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C" w:rsidRDefault="00E10F2C" w:rsidP="00826069">
      <w:pPr>
        <w:jc w:val="center"/>
        <w:rPr>
          <w:b/>
        </w:rPr>
      </w:pPr>
      <w:bookmarkStart w:id="0" w:name="_Toc351371335"/>
      <w:bookmarkStart w:id="1" w:name="_Toc355193546"/>
      <w:r w:rsidRPr="00E10F2C">
        <w:rPr>
          <w:b/>
        </w:rPr>
        <w:t>DETERMINANTES DO CRÉDITO BANCÁRIO NO BRASIL: UMA ANÁLISE DE FATORES MICRO E MACROECONÔMICOS</w:t>
      </w:r>
    </w:p>
    <w:p w:rsidR="00E10F2C" w:rsidRDefault="00E10F2C" w:rsidP="00826069">
      <w:pPr>
        <w:jc w:val="center"/>
        <w:rPr>
          <w:b/>
        </w:rPr>
      </w:pPr>
    </w:p>
    <w:p w:rsidR="00E10F2C" w:rsidRDefault="00E10F2C" w:rsidP="00826069">
      <w:pPr>
        <w:jc w:val="center"/>
        <w:rPr>
          <w:b/>
        </w:rPr>
      </w:pPr>
    </w:p>
    <w:p w:rsidR="00504264" w:rsidRDefault="00D14ACA" w:rsidP="00504264">
      <w:pPr>
        <w:tabs>
          <w:tab w:val="left" w:pos="6120"/>
          <w:tab w:val="right" w:pos="9214"/>
        </w:tabs>
        <w:jc w:val="right"/>
        <w:sectPr w:rsidR="00504264" w:rsidSect="00D14ACA">
          <w:headerReference w:type="default" r:id="rId8"/>
          <w:footnotePr>
            <w:numFmt w:val="chicago"/>
            <w:numRestart w:val="eachSect"/>
          </w:footnotePr>
          <w:type w:val="continuous"/>
          <w:pgSz w:w="11906" w:h="16838" w:code="9"/>
          <w:pgMar w:top="1134" w:right="849" w:bottom="1134" w:left="851" w:header="709" w:footer="709" w:gutter="0"/>
          <w:pgNumType w:start="1"/>
          <w:cols w:space="708"/>
          <w:titlePg/>
          <w:docGrid w:linePitch="360"/>
        </w:sectPr>
      </w:pPr>
      <w:r w:rsidRPr="00504264">
        <w:t>Fernanda Dantas Almeida</w:t>
      </w:r>
      <w:r w:rsidR="00504264">
        <w:rPr>
          <w:rStyle w:val="Refdenotaderodap"/>
        </w:rPr>
        <w:footnoteReference w:id="1"/>
      </w:r>
    </w:p>
    <w:p w:rsidR="00504264" w:rsidRDefault="00D14ACA" w:rsidP="00504264">
      <w:pPr>
        <w:tabs>
          <w:tab w:val="left" w:pos="6120"/>
          <w:tab w:val="right" w:pos="9214"/>
        </w:tabs>
        <w:jc w:val="right"/>
        <w:sectPr w:rsidR="00504264" w:rsidSect="00D14ACA">
          <w:footnotePr>
            <w:numFmt w:val="chicago"/>
          </w:footnotePr>
          <w:type w:val="continuous"/>
          <w:pgSz w:w="11906" w:h="16838" w:code="9"/>
          <w:pgMar w:top="1134" w:right="849" w:bottom="1134" w:left="851" w:header="709" w:footer="709" w:gutter="0"/>
          <w:pgNumType w:start="1"/>
          <w:cols w:space="708"/>
          <w:titlePg/>
          <w:docGrid w:linePitch="360"/>
        </w:sectPr>
      </w:pPr>
      <w:r w:rsidRPr="00504264">
        <w:t xml:space="preserve">José </w:t>
      </w:r>
      <w:proofErr w:type="spellStart"/>
      <w:r w:rsidRPr="00504264">
        <w:t>Angelo</w:t>
      </w:r>
      <w:proofErr w:type="spellEnd"/>
      <w:r w:rsidRPr="00504264">
        <w:t xml:space="preserve"> Divino</w:t>
      </w:r>
      <w:r w:rsidR="00504264">
        <w:rPr>
          <w:rStyle w:val="Refdenotaderodap"/>
        </w:rPr>
        <w:footnoteReference w:id="2"/>
      </w:r>
    </w:p>
    <w:p w:rsidR="00D14ACA" w:rsidRPr="00504264" w:rsidRDefault="00D14ACA" w:rsidP="00504264">
      <w:pPr>
        <w:tabs>
          <w:tab w:val="left" w:pos="6120"/>
          <w:tab w:val="right" w:pos="9214"/>
        </w:tabs>
        <w:jc w:val="right"/>
      </w:pPr>
    </w:p>
    <w:p w:rsidR="00D14ACA" w:rsidRPr="002C110D" w:rsidRDefault="00D14ACA" w:rsidP="00D14ACA"/>
    <w:p w:rsidR="00E10F2C" w:rsidRDefault="00826069" w:rsidP="00826069">
      <w:pPr>
        <w:jc w:val="both"/>
        <w:rPr>
          <w:b/>
        </w:rPr>
      </w:pPr>
      <w:r w:rsidRPr="00386176">
        <w:rPr>
          <w:b/>
        </w:rPr>
        <w:t>R</w:t>
      </w:r>
      <w:r w:rsidR="00E10F2C">
        <w:rPr>
          <w:b/>
        </w:rPr>
        <w:t>esumo</w:t>
      </w:r>
      <w:r w:rsidR="00504264">
        <w:rPr>
          <w:b/>
        </w:rPr>
        <w:t>:</w:t>
      </w:r>
    </w:p>
    <w:p w:rsidR="00E10F2C" w:rsidRDefault="00D14ACA" w:rsidP="00826069">
      <w:pPr>
        <w:jc w:val="both"/>
      </w:pPr>
      <w:r>
        <w:t>O objetivo desse artigo é</w:t>
      </w:r>
      <w:r w:rsidR="00E10F2C" w:rsidRPr="00AA3ABD">
        <w:t xml:space="preserve"> identificar os determinantes do crédito bancário brasileiro, considerando as estratégias específicas das instituições financeiras e a política monetária adotada. O modelo empírico baseia-se na modelagem teórica proposta por </w:t>
      </w:r>
      <w:proofErr w:type="spellStart"/>
      <w:r w:rsidR="00E10F2C" w:rsidRPr="00AA3ABD">
        <w:t>Hulsewig</w:t>
      </w:r>
      <w:proofErr w:type="spellEnd"/>
      <w:r w:rsidR="00E10F2C" w:rsidRPr="00AA3ABD">
        <w:t xml:space="preserve">, Mayer e </w:t>
      </w:r>
      <w:proofErr w:type="spellStart"/>
      <w:r w:rsidR="00E10F2C" w:rsidRPr="00AA3ABD">
        <w:t>Wollmershauser</w:t>
      </w:r>
      <w:proofErr w:type="spellEnd"/>
      <w:r w:rsidR="00E10F2C" w:rsidRPr="00AA3ABD">
        <w:t xml:space="preserve"> (2006). A amostra utilizada consiste em um painel balanceado composto por 75 instituições financeiras no período de 2001 a 2012. </w:t>
      </w:r>
      <w:r w:rsidR="00E10F2C" w:rsidRPr="004C10AA">
        <w:t>Este artigo</w:t>
      </w:r>
      <w:r w:rsidR="00E10F2C" w:rsidRPr="00AA3ABD">
        <w:t xml:space="preserve"> contribui com a literatura por constatar que não houve impacto</w:t>
      </w:r>
      <w:r w:rsidR="00E10F2C">
        <w:t xml:space="preserve"> direto</w:t>
      </w:r>
      <w:r w:rsidR="00E10F2C" w:rsidRPr="00AA3ABD">
        <w:t xml:space="preserve"> do ambiente econômico sobre a oferta de crédito no período analisado, dado que o governo adotou uma política creditícia anticíclica descasada das condições macroeconômicas vigentes. Além disso, o crescimento das concessões </w:t>
      </w:r>
      <w:proofErr w:type="gramStart"/>
      <w:r w:rsidR="00E10F2C" w:rsidRPr="00AA3ABD">
        <w:t>a</w:t>
      </w:r>
      <w:proofErr w:type="gramEnd"/>
      <w:r w:rsidR="00E10F2C" w:rsidRPr="00AA3ABD">
        <w:t xml:space="preserve"> pessoas físicas, que são menos sensíveis às variações macroeconômicas, também colaborou para que a política monetária tivesse pouca influência sobre a expansão do crédito. Ademais, os resultados destacam-se por demonstrar a importância da estratégia dos bancos, além de evidenciar o efeito inercial do crédito.</w:t>
      </w:r>
    </w:p>
    <w:p w:rsidR="00826069" w:rsidRPr="00386176" w:rsidRDefault="00826069" w:rsidP="00826069">
      <w:pPr>
        <w:jc w:val="both"/>
      </w:pPr>
    </w:p>
    <w:p w:rsidR="00826069" w:rsidRPr="00504264" w:rsidRDefault="00826069" w:rsidP="00826069">
      <w:pPr>
        <w:ind w:left="1843" w:hanging="1843"/>
        <w:jc w:val="both"/>
        <w:rPr>
          <w:lang w:val="en-US"/>
        </w:rPr>
      </w:pPr>
      <w:r w:rsidRPr="00C661D0">
        <w:rPr>
          <w:b/>
        </w:rPr>
        <w:t>Palavras-chave</w:t>
      </w:r>
      <w:r w:rsidRPr="00C661D0">
        <w:t>: Crédito Bancário.</w:t>
      </w:r>
      <w:r w:rsidR="00504264" w:rsidRPr="00C661D0">
        <w:t xml:space="preserve"> Política Monetária. </w:t>
      </w:r>
      <w:r w:rsidR="00504264">
        <w:rPr>
          <w:lang w:val="en-US"/>
        </w:rPr>
        <w:t xml:space="preserve">Dados </w:t>
      </w:r>
      <w:proofErr w:type="spellStart"/>
      <w:r w:rsidR="00504264">
        <w:rPr>
          <w:lang w:val="en-US"/>
        </w:rPr>
        <w:t>em</w:t>
      </w:r>
      <w:proofErr w:type="spellEnd"/>
      <w:r w:rsidR="00504264">
        <w:rPr>
          <w:lang w:val="en-US"/>
        </w:rPr>
        <w:t xml:space="preserve"> </w:t>
      </w:r>
      <w:proofErr w:type="spellStart"/>
      <w:r w:rsidR="00504264">
        <w:rPr>
          <w:lang w:val="en-US"/>
        </w:rPr>
        <w:t>Painel</w:t>
      </w:r>
      <w:proofErr w:type="spellEnd"/>
      <w:r w:rsidR="00504264">
        <w:rPr>
          <w:lang w:val="en-US"/>
        </w:rPr>
        <w:t>.</w:t>
      </w:r>
    </w:p>
    <w:p w:rsidR="00E10F2C" w:rsidRPr="00504264" w:rsidRDefault="00E10F2C" w:rsidP="00826069">
      <w:pPr>
        <w:ind w:left="1843" w:hanging="1843"/>
        <w:jc w:val="both"/>
        <w:rPr>
          <w:b/>
          <w:lang w:val="en-US"/>
        </w:rPr>
      </w:pPr>
    </w:p>
    <w:p w:rsidR="00826069" w:rsidRPr="00504264" w:rsidRDefault="00E10F2C" w:rsidP="00E10F2C">
      <w:pPr>
        <w:jc w:val="both"/>
        <w:rPr>
          <w:b/>
          <w:i/>
          <w:lang w:val="en-US"/>
        </w:rPr>
      </w:pPr>
      <w:r w:rsidRPr="00504264">
        <w:rPr>
          <w:b/>
          <w:i/>
          <w:lang w:val="en-US"/>
        </w:rPr>
        <w:t>Abstract</w:t>
      </w:r>
      <w:r w:rsidR="00504264">
        <w:rPr>
          <w:b/>
          <w:i/>
          <w:lang w:val="en-US"/>
        </w:rPr>
        <w:t>:</w:t>
      </w:r>
    </w:p>
    <w:p w:rsidR="00E10F2C" w:rsidRPr="002F32B5" w:rsidRDefault="00E10F2C" w:rsidP="00E10F2C">
      <w:pPr>
        <w:jc w:val="both"/>
        <w:rPr>
          <w:lang w:val="en-US"/>
        </w:rPr>
      </w:pPr>
      <w:r w:rsidRPr="00900430">
        <w:rPr>
          <w:lang w:val="en-US"/>
        </w:rPr>
        <w:t>The objective of this paper is to identify the major determinants of bank</w:t>
      </w:r>
      <w:r>
        <w:rPr>
          <w:lang w:val="en-US"/>
        </w:rPr>
        <w:t>ing</w:t>
      </w:r>
      <w:r w:rsidRPr="00900430">
        <w:rPr>
          <w:lang w:val="en-US"/>
        </w:rPr>
        <w:t xml:space="preserve"> credit in the Brazilian e</w:t>
      </w:r>
      <w:r w:rsidRPr="00DA4945">
        <w:rPr>
          <w:lang w:val="en-US"/>
        </w:rPr>
        <w:t xml:space="preserve">conomy, considering </w:t>
      </w:r>
      <w:r w:rsidRPr="00D67A0D">
        <w:rPr>
          <w:lang w:val="en-US"/>
        </w:rPr>
        <w:t xml:space="preserve">the influence of specific characteristics of the financial institutions </w:t>
      </w:r>
      <w:r w:rsidRPr="00DA4945">
        <w:rPr>
          <w:lang w:val="en-US"/>
        </w:rPr>
        <w:t xml:space="preserve">and monetary policy. </w:t>
      </w:r>
      <w:r w:rsidRPr="00FA0960">
        <w:rPr>
          <w:lang w:val="en-US"/>
        </w:rPr>
        <w:t xml:space="preserve">The </w:t>
      </w:r>
      <w:r>
        <w:rPr>
          <w:lang w:val="en-US"/>
        </w:rPr>
        <w:t>empirical model i</w:t>
      </w:r>
      <w:r w:rsidRPr="00FA0960">
        <w:rPr>
          <w:lang w:val="en-US"/>
        </w:rPr>
        <w:t xml:space="preserve">s </w:t>
      </w:r>
      <w:r>
        <w:rPr>
          <w:lang w:val="en-US"/>
        </w:rPr>
        <w:t xml:space="preserve">based on the work by </w:t>
      </w:r>
      <w:proofErr w:type="spellStart"/>
      <w:r w:rsidRPr="00DA4945">
        <w:rPr>
          <w:lang w:val="en-US"/>
        </w:rPr>
        <w:t>Hulsewig</w:t>
      </w:r>
      <w:proofErr w:type="spellEnd"/>
      <w:r w:rsidRPr="00DA4945">
        <w:rPr>
          <w:lang w:val="en-US"/>
        </w:rPr>
        <w:t xml:space="preserve">, </w:t>
      </w:r>
      <w:proofErr w:type="spellStart"/>
      <w:r w:rsidRPr="00AA3ABD">
        <w:rPr>
          <w:lang w:val="en-US"/>
        </w:rPr>
        <w:t>Wollmershauser</w:t>
      </w:r>
      <w:proofErr w:type="spellEnd"/>
      <w:r w:rsidRPr="00AA3ABD">
        <w:rPr>
          <w:lang w:val="en-US"/>
        </w:rPr>
        <w:t xml:space="preserve"> and Mayer (2006). The sample consists of a balanced panel, composed of 75 banks in the period 2001-2012. This paper contributes with the literature by showing that there was no relevant impact from the macroeconomic environment on the credit supply in the analyzed period. The </w:t>
      </w:r>
      <w:r w:rsidRPr="002F32B5">
        <w:rPr>
          <w:lang w:val="en-US"/>
        </w:rPr>
        <w:t>government has adopted a countercyclical credit policy mismatched from prevailing macroeconomic conditions. In addition, the growth of credit granted to individuals, who are less sensitive to the macroeconomic environment, also contributed to the little influence of the monetary policy on the credit expansion. Moreover, the results illustrated the importance of the banks’ strategy, in addition to the inertial effect of the credit supply.</w:t>
      </w:r>
    </w:p>
    <w:p w:rsidR="00826069" w:rsidRPr="002F32B5" w:rsidRDefault="00826069" w:rsidP="00826069">
      <w:pPr>
        <w:jc w:val="both"/>
        <w:rPr>
          <w:lang w:val="en-US"/>
        </w:rPr>
      </w:pPr>
    </w:p>
    <w:p w:rsidR="00E10F2C" w:rsidRPr="00504264" w:rsidRDefault="00E10F2C" w:rsidP="00E10F2C">
      <w:pPr>
        <w:spacing w:line="360" w:lineRule="auto"/>
        <w:jc w:val="both"/>
      </w:pPr>
      <w:r w:rsidRPr="002F32B5">
        <w:rPr>
          <w:b/>
          <w:lang w:val="en-US"/>
        </w:rPr>
        <w:t>Keywords:</w:t>
      </w:r>
      <w:r w:rsidRPr="002F32B5">
        <w:rPr>
          <w:lang w:val="en-US"/>
        </w:rPr>
        <w:t xml:space="preserve"> Bank Credit. Monetary Policy. </w:t>
      </w:r>
      <w:proofErr w:type="spellStart"/>
      <w:r w:rsidRPr="00504264">
        <w:t>Panel</w:t>
      </w:r>
      <w:proofErr w:type="spellEnd"/>
      <w:r w:rsidRPr="00504264">
        <w:t xml:space="preserve"> Data.</w:t>
      </w:r>
    </w:p>
    <w:p w:rsidR="00504264" w:rsidRPr="00504264" w:rsidRDefault="00504264" w:rsidP="00504264">
      <w:pPr>
        <w:rPr>
          <w:b/>
        </w:rPr>
      </w:pPr>
      <w:r w:rsidRPr="00504264">
        <w:rPr>
          <w:b/>
        </w:rPr>
        <w:t>JEL Codes: E51; E52; G21.</w:t>
      </w:r>
    </w:p>
    <w:p w:rsidR="00504264" w:rsidRPr="00D14ACA" w:rsidRDefault="00504264" w:rsidP="00504264"/>
    <w:p w:rsidR="00504264" w:rsidRPr="00504264" w:rsidRDefault="00504264" w:rsidP="00504264">
      <w:pPr>
        <w:rPr>
          <w:b/>
        </w:rPr>
      </w:pPr>
      <w:r w:rsidRPr="00504264">
        <w:rPr>
          <w:b/>
        </w:rPr>
        <w:t>Área 8</w:t>
      </w:r>
      <w:r w:rsidR="00A64C85">
        <w:rPr>
          <w:b/>
        </w:rPr>
        <w:t xml:space="preserve"> –</w:t>
      </w:r>
      <w:r w:rsidRPr="00504264">
        <w:rPr>
          <w:b/>
        </w:rPr>
        <w:t xml:space="preserve"> Microeconomia, Métodos Quantitativos e Finanças.</w:t>
      </w:r>
    </w:p>
    <w:p w:rsidR="00826069" w:rsidRPr="00826069" w:rsidRDefault="00826069" w:rsidP="00826069">
      <w:pPr>
        <w:rPr>
          <w:lang w:eastAsia="en-US"/>
        </w:rPr>
      </w:pPr>
    </w:p>
    <w:p w:rsidR="00E10F2C" w:rsidRDefault="00E10F2C">
      <w:pPr>
        <w:spacing w:after="240" w:line="259" w:lineRule="auto"/>
        <w:rPr>
          <w:rFonts w:eastAsiaTheme="majorEastAsia"/>
          <w:bCs/>
          <w:lang w:eastAsia="en-US"/>
        </w:rPr>
      </w:pPr>
      <w:bookmarkStart w:id="2" w:name="_Toc442703379"/>
      <w:bookmarkStart w:id="3" w:name="_Toc442703423"/>
      <w:bookmarkStart w:id="4" w:name="_Toc442703509"/>
      <w:bookmarkStart w:id="5" w:name="_Toc442704193"/>
      <w:bookmarkStart w:id="6" w:name="_Toc442720856"/>
      <w:bookmarkStart w:id="7" w:name="_Toc442703380"/>
      <w:bookmarkStart w:id="8" w:name="_Toc442703424"/>
      <w:bookmarkStart w:id="9" w:name="_Toc442703510"/>
      <w:bookmarkStart w:id="10" w:name="_Toc442704194"/>
      <w:bookmarkStart w:id="11" w:name="_Toc442720857"/>
      <w:bookmarkStart w:id="12" w:name="_Toc443286296"/>
      <w:bookmarkStart w:id="13" w:name="_Toc443286342"/>
      <w:bookmarkStart w:id="14" w:name="_Toc443287381"/>
      <w:bookmarkStart w:id="15" w:name="_Toc443287426"/>
      <w:bookmarkStart w:id="16" w:name="_Toc443452156"/>
      <w:bookmarkStart w:id="17" w:name="_Toc443452203"/>
      <w:bookmarkStart w:id="18" w:name="_Toc443452250"/>
      <w:bookmarkStart w:id="19" w:name="_Toc443452324"/>
      <w:bookmarkStart w:id="20" w:name="_Toc443452372"/>
      <w:bookmarkStart w:id="21" w:name="_Toc443462215"/>
      <w:bookmarkStart w:id="22" w:name="_Toc443462476"/>
      <w:bookmarkStart w:id="23" w:name="_Toc443462594"/>
      <w:bookmarkStart w:id="24" w:name="_Toc443462981"/>
      <w:bookmarkStart w:id="25" w:name="_Toc443500066"/>
      <w:bookmarkStart w:id="26" w:name="_Toc443504897"/>
      <w:bookmarkStart w:id="27" w:name="_Toc443505133"/>
      <w:bookmarkStart w:id="28" w:name="_Toc443542858"/>
      <w:bookmarkStart w:id="29" w:name="_Toc443550200"/>
      <w:bookmarkStart w:id="30" w:name="_Toc443550556"/>
      <w:bookmarkStart w:id="31" w:name="_Toc443577921"/>
      <w:bookmarkStart w:id="32" w:name="_Toc443592826"/>
      <w:bookmarkStart w:id="33" w:name="_Toc443596992"/>
      <w:bookmarkStart w:id="34" w:name="_Toc443597039"/>
      <w:bookmarkStart w:id="35" w:name="_Toc447440971"/>
      <w:bookmarkStart w:id="36" w:name="_Toc447989432"/>
      <w:bookmarkStart w:id="37" w:name="_Toc447989865"/>
      <w:bookmarkStart w:id="38" w:name="_Toc448596244"/>
      <w:bookmarkStart w:id="39" w:name="_Toc448678372"/>
      <w:bookmarkStart w:id="40" w:name="_Toc449864109"/>
      <w:bookmarkStart w:id="41" w:name="_Toc449864166"/>
      <w:bookmarkStart w:id="42" w:name="_Toc449864331"/>
      <w:bookmarkStart w:id="43" w:name="_Toc449905882"/>
      <w:bookmarkStart w:id="44" w:name="_Toc449905932"/>
      <w:bookmarkStart w:id="45" w:name="_Toc449906584"/>
      <w:bookmarkStart w:id="46" w:name="_Toc450118143"/>
      <w:bookmarkStart w:id="47" w:name="_Toc450118208"/>
      <w:bookmarkStart w:id="48" w:name="_Toc450167903"/>
      <w:bookmarkStart w:id="49" w:name="_Toc450197697"/>
      <w:bookmarkStart w:id="50" w:name="_Toc450256319"/>
      <w:bookmarkStart w:id="51" w:name="_Toc450259531"/>
      <w:bookmarkStart w:id="52" w:name="_Toc45129436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Pr>
          <w:b/>
        </w:rPr>
        <w:br w:type="page"/>
      </w:r>
    </w:p>
    <w:p w:rsidR="00B50BAB" w:rsidRPr="00E10F2C" w:rsidRDefault="00A50C7A" w:rsidP="00521EFA">
      <w:pPr>
        <w:pStyle w:val="Ttulo2"/>
        <w:numPr>
          <w:ilvl w:val="1"/>
          <w:numId w:val="9"/>
        </w:numPr>
        <w:tabs>
          <w:tab w:val="left" w:pos="284"/>
        </w:tabs>
        <w:spacing w:before="240" w:line="240" w:lineRule="auto"/>
        <w:ind w:left="0" w:firstLine="0"/>
        <w:jc w:val="both"/>
        <w:rPr>
          <w:rFonts w:ascii="Times New Roman" w:hAnsi="Times New Roman" w:cs="Times New Roman"/>
          <w:sz w:val="24"/>
          <w:szCs w:val="24"/>
        </w:rPr>
      </w:pPr>
      <w:r w:rsidRPr="00E10F2C">
        <w:rPr>
          <w:rFonts w:ascii="Times New Roman" w:hAnsi="Times New Roman" w:cs="Times New Roman"/>
          <w:sz w:val="24"/>
          <w:szCs w:val="24"/>
        </w:rPr>
        <w:lastRenderedPageBreak/>
        <w:t>INTRODUÇÃO</w:t>
      </w:r>
      <w:bookmarkEnd w:id="52"/>
    </w:p>
    <w:p w:rsidR="004A3926" w:rsidRPr="00386176" w:rsidRDefault="00D44F35" w:rsidP="00826069">
      <w:pPr>
        <w:ind w:firstLine="709"/>
        <w:jc w:val="both"/>
      </w:pPr>
      <w:r w:rsidRPr="00386176">
        <w:t>O papel de intermediação financeira desempenhado pelo</w:t>
      </w:r>
      <w:r w:rsidR="00065F7C" w:rsidRPr="00386176">
        <w:t xml:space="preserve"> setor bancário </w:t>
      </w:r>
      <w:r w:rsidRPr="00386176">
        <w:t xml:space="preserve">é essencial para um crescimento econômico sustentável, </w:t>
      </w:r>
      <w:r w:rsidR="00065F7C" w:rsidRPr="00386176">
        <w:t xml:space="preserve">principalmente, </w:t>
      </w:r>
      <w:r w:rsidRPr="00386176">
        <w:t xml:space="preserve">em países com um </w:t>
      </w:r>
      <w:r w:rsidR="00065F7C" w:rsidRPr="00386176">
        <w:t xml:space="preserve">mercado de capitais pouco desenvolvido, como é o caso brasileiro. </w:t>
      </w:r>
      <w:r w:rsidR="00923CB9" w:rsidRPr="00386176">
        <w:t>Assim, a transferência de recursos dos</w:t>
      </w:r>
      <w:r w:rsidR="00065F7C" w:rsidRPr="00386176">
        <w:t xml:space="preserve"> agentes superavitários </w:t>
      </w:r>
      <w:r w:rsidR="00923CB9" w:rsidRPr="00386176">
        <w:t xml:space="preserve">para </w:t>
      </w:r>
      <w:r w:rsidR="00065F7C" w:rsidRPr="00386176">
        <w:t>os agentes deficitários da economia</w:t>
      </w:r>
      <w:r w:rsidR="00923CB9" w:rsidRPr="00386176">
        <w:t>,</w:t>
      </w:r>
      <w:r w:rsidR="00065F7C" w:rsidRPr="00386176">
        <w:t xml:space="preserve"> sob a forma de </w:t>
      </w:r>
      <w:r w:rsidR="00923CB9" w:rsidRPr="00386176">
        <w:t>empréstimos bancários,</w:t>
      </w:r>
      <w:r w:rsidR="00065F7C" w:rsidRPr="00386176">
        <w:t xml:space="preserve"> </w:t>
      </w:r>
      <w:r w:rsidR="00923CB9" w:rsidRPr="00386176">
        <w:t>possibilita o financiamento dos investimentos que, por sua vez, impacta no crescimento do nível de produto da economia</w:t>
      </w:r>
      <w:r w:rsidR="00065F7C" w:rsidRPr="00386176">
        <w:t xml:space="preserve">. </w:t>
      </w:r>
      <w:r w:rsidR="00990E3E" w:rsidRPr="00386176">
        <w:t>Conforme</w:t>
      </w:r>
      <w:r w:rsidR="007F3F14" w:rsidRPr="00386176">
        <w:t xml:space="preserve"> </w:t>
      </w:r>
      <w:proofErr w:type="spellStart"/>
      <w:r w:rsidR="007F3F14" w:rsidRPr="00386176">
        <w:t>Freixas</w:t>
      </w:r>
      <w:proofErr w:type="spellEnd"/>
      <w:r w:rsidR="007F3F14" w:rsidRPr="00386176">
        <w:t xml:space="preserve"> e </w:t>
      </w:r>
      <w:proofErr w:type="spellStart"/>
      <w:r w:rsidR="007F3F14" w:rsidRPr="00386176">
        <w:t>Rochet</w:t>
      </w:r>
      <w:proofErr w:type="spellEnd"/>
      <w:r w:rsidR="00990E3E" w:rsidRPr="00386176">
        <w:t xml:space="preserve"> (</w:t>
      </w:r>
      <w:r w:rsidR="007F3F14" w:rsidRPr="00386176">
        <w:t>2008</w:t>
      </w:r>
      <w:r w:rsidR="00990E3E" w:rsidRPr="00386176">
        <w:t>,</w:t>
      </w:r>
      <w:r w:rsidR="007F3F14" w:rsidRPr="00386176">
        <w:t xml:space="preserve"> apud</w:t>
      </w:r>
      <w:r w:rsidR="00990E3E" w:rsidRPr="00386176">
        <w:t xml:space="preserve"> M</w:t>
      </w:r>
      <w:r w:rsidR="007F3F14" w:rsidRPr="00386176">
        <w:t xml:space="preserve">ERTON, </w:t>
      </w:r>
      <w:r w:rsidR="00990E3E" w:rsidRPr="00386176">
        <w:t>1993,</w:t>
      </w:r>
      <w:r w:rsidR="007F3F14" w:rsidRPr="00386176">
        <w:t xml:space="preserve"> p. 20</w:t>
      </w:r>
      <w:r w:rsidR="00990E3E" w:rsidRPr="00386176">
        <w:t xml:space="preserve">), um sistema financeiro bem desenvolvido facilita a alocação eficiente do consumo das famílias e do capital físico para uma utilização mais produtiva no setor empresarial. </w:t>
      </w:r>
      <w:r w:rsidR="0071570C" w:rsidRPr="00386176">
        <w:t xml:space="preserve">Por outro lado, </w:t>
      </w:r>
      <w:r w:rsidR="00BE239C" w:rsidRPr="00386176">
        <w:t xml:space="preserve">ensinam, ainda, que </w:t>
      </w:r>
      <w:r w:rsidR="00810404" w:rsidRPr="00386176">
        <w:rPr>
          <w:lang w:val="pt-PT"/>
        </w:rPr>
        <w:t xml:space="preserve">o paradigma de </w:t>
      </w:r>
      <w:r w:rsidR="00810404" w:rsidRPr="00386176">
        <w:rPr>
          <w:rStyle w:val="hps"/>
          <w:lang w:val="pt-PT"/>
        </w:rPr>
        <w:t>Arrow-</w:t>
      </w:r>
      <w:r w:rsidR="00810404" w:rsidRPr="00386176">
        <w:rPr>
          <w:lang w:val="pt-PT"/>
        </w:rPr>
        <w:t xml:space="preserve">Debreu </w:t>
      </w:r>
      <w:r w:rsidR="00810404" w:rsidRPr="00386176">
        <w:rPr>
          <w:rStyle w:val="hps"/>
          <w:lang w:val="pt-PT"/>
        </w:rPr>
        <w:t>leva</w:t>
      </w:r>
      <w:r w:rsidR="004341B6" w:rsidRPr="00386176">
        <w:rPr>
          <w:rStyle w:val="hps"/>
          <w:lang w:val="pt-PT"/>
        </w:rPr>
        <w:t>ria</w:t>
      </w:r>
      <w:r w:rsidR="00810404" w:rsidRPr="00386176">
        <w:rPr>
          <w:rStyle w:val="hps"/>
          <w:lang w:val="pt-PT"/>
        </w:rPr>
        <w:t xml:space="preserve"> a</w:t>
      </w:r>
      <w:r w:rsidR="00810404" w:rsidRPr="00386176">
        <w:rPr>
          <w:lang w:val="pt-PT"/>
        </w:rPr>
        <w:t xml:space="preserve"> </w:t>
      </w:r>
      <w:r w:rsidR="00810404" w:rsidRPr="00386176">
        <w:rPr>
          <w:rStyle w:val="hps"/>
          <w:lang w:val="pt-PT"/>
        </w:rPr>
        <w:t>um mundo</w:t>
      </w:r>
      <w:r w:rsidR="00810404" w:rsidRPr="00386176">
        <w:rPr>
          <w:lang w:val="pt-PT"/>
        </w:rPr>
        <w:t xml:space="preserve"> </w:t>
      </w:r>
      <w:r w:rsidR="00810404" w:rsidRPr="00386176">
        <w:rPr>
          <w:rStyle w:val="hps"/>
          <w:lang w:val="pt-PT"/>
        </w:rPr>
        <w:t>em que os bancos</w:t>
      </w:r>
      <w:r w:rsidR="00810404" w:rsidRPr="00386176">
        <w:rPr>
          <w:lang w:val="pt-PT"/>
        </w:rPr>
        <w:t xml:space="preserve"> </w:t>
      </w:r>
      <w:r w:rsidR="004341B6" w:rsidRPr="00386176">
        <w:rPr>
          <w:rStyle w:val="hps"/>
          <w:lang w:val="pt-PT"/>
        </w:rPr>
        <w:t>seriam</w:t>
      </w:r>
      <w:r w:rsidR="00810404" w:rsidRPr="00386176">
        <w:rPr>
          <w:rStyle w:val="hps"/>
          <w:lang w:val="pt-PT"/>
        </w:rPr>
        <w:t xml:space="preserve"> instituições</w:t>
      </w:r>
      <w:r w:rsidR="00810404" w:rsidRPr="00386176">
        <w:rPr>
          <w:lang w:val="pt-PT"/>
        </w:rPr>
        <w:t xml:space="preserve"> </w:t>
      </w:r>
      <w:r w:rsidR="00810404" w:rsidRPr="00386176">
        <w:rPr>
          <w:rStyle w:val="hps"/>
          <w:lang w:val="pt-PT"/>
        </w:rPr>
        <w:t>redundantes</w:t>
      </w:r>
      <w:r w:rsidR="00385845" w:rsidRPr="00386176">
        <w:t>.</w:t>
      </w:r>
      <w:r w:rsidR="00810404" w:rsidRPr="00386176">
        <w:t xml:space="preserve"> </w:t>
      </w:r>
      <w:r w:rsidR="00BE239C" w:rsidRPr="00386176">
        <w:t xml:space="preserve">Nesse, </w:t>
      </w:r>
      <w:r w:rsidR="00810404" w:rsidRPr="00386176">
        <w:t>se as firmas</w:t>
      </w:r>
      <w:r w:rsidR="00BE239C" w:rsidRPr="00386176">
        <w:t xml:space="preserve"> e</w:t>
      </w:r>
      <w:r w:rsidR="00810404" w:rsidRPr="00386176">
        <w:t xml:space="preserve"> as famílias</w:t>
      </w:r>
      <w:r w:rsidR="008503E5" w:rsidRPr="00386176">
        <w:t xml:space="preserve"> tivesse</w:t>
      </w:r>
      <w:r w:rsidR="00810404" w:rsidRPr="00386176">
        <w:t xml:space="preserve">m acesso irrestrito a um mercado financeiro completo e sem fricções, </w:t>
      </w:r>
      <w:r w:rsidR="00810404" w:rsidRPr="00386176">
        <w:rPr>
          <w:rStyle w:val="hps"/>
          <w:lang w:val="pt-PT"/>
        </w:rPr>
        <w:t>o tamanho e a</w:t>
      </w:r>
      <w:r w:rsidR="00810404" w:rsidRPr="00386176">
        <w:rPr>
          <w:lang w:val="pt-PT"/>
        </w:rPr>
        <w:t xml:space="preserve"> </w:t>
      </w:r>
      <w:r w:rsidR="00810404" w:rsidRPr="00386176">
        <w:rPr>
          <w:rStyle w:val="hps"/>
          <w:lang w:val="pt-PT"/>
        </w:rPr>
        <w:t>composição do</w:t>
      </w:r>
      <w:r w:rsidR="00810404" w:rsidRPr="00386176">
        <w:rPr>
          <w:lang w:val="pt-PT"/>
        </w:rPr>
        <w:t xml:space="preserve"> </w:t>
      </w:r>
      <w:r w:rsidR="00810404" w:rsidRPr="00386176">
        <w:rPr>
          <w:rStyle w:val="hps"/>
          <w:lang w:val="pt-PT"/>
        </w:rPr>
        <w:t>balanço dos bancos</w:t>
      </w:r>
      <w:r w:rsidR="00810404" w:rsidRPr="00386176">
        <w:rPr>
          <w:lang w:val="pt-PT"/>
        </w:rPr>
        <w:t xml:space="preserve"> </w:t>
      </w:r>
      <w:r w:rsidR="00810404" w:rsidRPr="00386176">
        <w:rPr>
          <w:rStyle w:val="hps"/>
          <w:lang w:val="pt-PT"/>
        </w:rPr>
        <w:t>não teria</w:t>
      </w:r>
      <w:r w:rsidR="008503E5" w:rsidRPr="00386176">
        <w:rPr>
          <w:rStyle w:val="hps"/>
          <w:lang w:val="pt-PT"/>
        </w:rPr>
        <w:t>m</w:t>
      </w:r>
      <w:r w:rsidR="00810404" w:rsidRPr="00386176">
        <w:rPr>
          <w:rStyle w:val="hps"/>
          <w:lang w:val="pt-PT"/>
        </w:rPr>
        <w:t xml:space="preserve"> efeitos sobre</w:t>
      </w:r>
      <w:r w:rsidR="00810404" w:rsidRPr="00386176">
        <w:rPr>
          <w:lang w:val="pt-PT"/>
        </w:rPr>
        <w:t xml:space="preserve"> </w:t>
      </w:r>
      <w:r w:rsidR="00810404" w:rsidRPr="00386176">
        <w:rPr>
          <w:rStyle w:val="hps"/>
          <w:lang w:val="pt-PT"/>
        </w:rPr>
        <w:t>outros agentes econômicos.</w:t>
      </w:r>
      <w:r w:rsidR="00810404" w:rsidRPr="00386176">
        <w:t xml:space="preserve"> </w:t>
      </w:r>
      <w:r w:rsidR="007B02D0" w:rsidRPr="00386176">
        <w:t>No entanto, a existência de imperfeições no mundo real torna fundamental o</w:t>
      </w:r>
      <w:r w:rsidR="005668D6" w:rsidRPr="00386176">
        <w:t xml:space="preserve"> seu </w:t>
      </w:r>
      <w:r w:rsidR="007B02D0" w:rsidRPr="00386176">
        <w:t>papel.</w:t>
      </w:r>
    </w:p>
    <w:p w:rsidR="00065F7C" w:rsidRPr="00386176" w:rsidRDefault="00065F7C" w:rsidP="00826069">
      <w:pPr>
        <w:ind w:firstLine="709"/>
        <w:jc w:val="both"/>
      </w:pPr>
      <w:r w:rsidRPr="00386176">
        <w:t xml:space="preserve">Logo, compreender a dinâmica do crédito bancário é de extrema relevância, uma vez que a atuação das instituições financeiras traz consequências para toda a economia. Desse modo, este trabalho tem como objetivo analisar os determinantes do crédito bancário no Brasil, sob a ótica da oferta. Para tanto, </w:t>
      </w:r>
      <w:r w:rsidR="00BE239C" w:rsidRPr="00386176">
        <w:t xml:space="preserve">buscou-se </w:t>
      </w:r>
      <w:r w:rsidRPr="00386176">
        <w:t xml:space="preserve">averiguar o efeito das estratégias dos bancos e evidenciar o impacto da política monetária sobre a oferta de crédito. Assim sendo, foi estimado um modelo econométrico com dados em painel, considerando uma amostra composta por índices econômicos e dados trimestrais de balanço para o período de 2001 a 2012. A estimação baseia-se no modelo teórico proposto por </w:t>
      </w:r>
      <w:proofErr w:type="spellStart"/>
      <w:r w:rsidRPr="00386176">
        <w:t>Hulsewig</w:t>
      </w:r>
      <w:proofErr w:type="spellEnd"/>
      <w:r w:rsidRPr="00386176">
        <w:t xml:space="preserve">, Mayer e </w:t>
      </w:r>
      <w:proofErr w:type="spellStart"/>
      <w:r w:rsidRPr="00386176">
        <w:t>Wollmershauser</w:t>
      </w:r>
      <w:proofErr w:type="spellEnd"/>
      <w:r w:rsidRPr="00386176">
        <w:t xml:space="preserve"> (2006), no qual a análise do canal de crédito </w:t>
      </w:r>
      <w:r w:rsidR="001B2D75" w:rsidRPr="00386176">
        <w:t xml:space="preserve">utiliza como parâmetro </w:t>
      </w:r>
      <w:r w:rsidRPr="00386176">
        <w:t xml:space="preserve">um modelo da firma bancária, onde os bancos decidem sobre sua oferta de empréstimo diante de uma política monetária incerta. </w:t>
      </w:r>
    </w:p>
    <w:p w:rsidR="00065F7C" w:rsidRPr="00386176" w:rsidRDefault="00065F7C" w:rsidP="00826069">
      <w:pPr>
        <w:ind w:firstLine="709"/>
        <w:jc w:val="both"/>
      </w:pPr>
      <w:r w:rsidRPr="00386176">
        <w:t xml:space="preserve">Tendo em vista que o tratamento empírico do tema foi </w:t>
      </w:r>
      <w:r w:rsidR="004802A7" w:rsidRPr="00386176">
        <w:t>pouco explorado até então, este estudo</w:t>
      </w:r>
      <w:r w:rsidRPr="00386176">
        <w:t xml:space="preserve"> contribui, principalmente, pela constatação de que não houve impacto do ambiente econômico sobre a oferta de crédito no período analisado, dado que a política de expansão do crédito adotada pelo governo foi descasada das condições macroeconômicas vigentes. Da mesma forma, o aumento das concessões a pessoas físicas, que são menos sensíveis às variações macroeconômicas, também contribuiu para que a política monetária tivesse pouca influência sobre a expansão do crédito. Ademais, os resultados destacam-se por demonstrar o efeito inercial do crédito e evidenciar a importância da estratégia dos bancos, sugerindo que maiores ganhos com </w:t>
      </w:r>
      <w:r w:rsidRPr="00386176">
        <w:rPr>
          <w:i/>
        </w:rPr>
        <w:t>spread</w:t>
      </w:r>
      <w:r w:rsidRPr="00386176">
        <w:t xml:space="preserve"> incentivam o aumento da concessão de empréstimos, assim como maiores níveis de despesa com captação, risco de crédito, exigência de capital e um volume maior de Títulos e Valores Mobiliários – TVM na carteira de ativos do banco tendem a desestimular a oferta de crédito. </w:t>
      </w:r>
    </w:p>
    <w:p w:rsidR="00C2138A" w:rsidRPr="00386176" w:rsidRDefault="00C2138A" w:rsidP="00826069">
      <w:pPr>
        <w:ind w:firstLine="709"/>
        <w:jc w:val="both"/>
      </w:pPr>
      <w:r w:rsidRPr="00386176">
        <w:t xml:space="preserve">Na literatura econômica ainda são poucos os estudos empíricos sobre os fatores determinantes do crédito bancário. Grande parte dos trabalhos tem se preocupado em avaliar o impacto do cenário macroeconômico na oferta de crédito. No ambiente internacional, </w:t>
      </w:r>
      <w:r w:rsidRPr="00386176">
        <w:rPr>
          <w:noProof/>
        </w:rPr>
        <w:t>Guo e Stepanyan (2011)</w:t>
      </w:r>
      <w:r w:rsidRPr="00386176">
        <w:t xml:space="preserve"> examinaram mudanças no crédito bancário em economias de mercados emergentes na última década. Foram avaliados 38 países entre o primeiro trimestre de 2002 e o primeiro trimestre de 2010, mediante um painel desbalanceado. Os resultados mostraram que o crescimento econômico mais forte leva a um aumento do crédito e da inflação, ao mesmo tempo em que a inflação amortece o crescimento real do crédito privado. Nessa mesma linha, </w:t>
      </w:r>
      <w:r w:rsidRPr="00386176">
        <w:rPr>
          <w:noProof/>
        </w:rPr>
        <w:t>Imran e Nishat (2013)</w:t>
      </w:r>
      <w:r w:rsidRPr="00386176">
        <w:t xml:space="preserve"> investigaram os fatores que determinam o crédito bancário no caso de uma economia emergente como o Paquistão. A amostra utilizada foi composta por dados anuais de 1971 a 2010. Os modelos estimados demonstraram que o crédito privado é afetado pelos passivos externos, depósitos domésticos, crescimento econômico, taxa de câmbio e pelas condições monetárias do país. Adicionalmente, os autores verificaram que o relacionamento de longo prazo é estável e que desequilíbrios de curto prazo devem ser temporários, sendo corrigidos com uma elevada velocidade. </w:t>
      </w:r>
    </w:p>
    <w:p w:rsidR="00C2138A" w:rsidRPr="00386176" w:rsidRDefault="00C2138A" w:rsidP="00826069">
      <w:pPr>
        <w:ind w:firstLine="708"/>
        <w:jc w:val="both"/>
      </w:pPr>
      <w:r w:rsidRPr="00386176">
        <w:t xml:space="preserve">No ambiente nacional, Vasconcelos et. al. (2004) analisaram a distribuição do crédito e do atendimento bancário entre as unidades da federação. A pesquisa concentrou-se em responder indagações a respeito de quais foram os efeitos da reestruturação bancária a partir do Plano Real sobre a distribuição regional de crédito entre os estados. A amostra utilizada consiste em dados de painel anuais de 26 estados </w:t>
      </w:r>
      <w:r w:rsidRPr="00386176">
        <w:lastRenderedPageBreak/>
        <w:t xml:space="preserve">brasileiros no período entre 1994 e 2002. Como resultado, observou-se uma piora nos índices que medem a concentração de crédito bancário entre os estados brasileiros, bem como o aumento do número de municípios que não possuem agências bancárias. Além disso, assinala-se uma significativa concentração creditícia na região Sudeste, especialmente em São Paulo. </w:t>
      </w:r>
    </w:p>
    <w:p w:rsidR="00C2138A" w:rsidRPr="00386176" w:rsidRDefault="00C2138A" w:rsidP="00826069">
      <w:pPr>
        <w:ind w:firstLine="709"/>
        <w:jc w:val="both"/>
      </w:pPr>
      <w:r w:rsidRPr="00386176">
        <w:t xml:space="preserve">Visando a avaliar o impacto do requerimento de capital sobre a oferta de crédito, </w:t>
      </w:r>
      <w:r w:rsidRPr="00386176">
        <w:rPr>
          <w:noProof/>
        </w:rPr>
        <w:t xml:space="preserve">Blum e Nakane (2005) </w:t>
      </w:r>
      <w:r w:rsidRPr="00386176">
        <w:t xml:space="preserve">elaboraram um modelo no qual o crédito é função das taxas de retorno, dos requerimentos de capital e do ajuste da oferta à demanda. A amostra possui periodicidade trimestral e contemplou 118 bancos no período de Jan/2001 a </w:t>
      </w:r>
      <w:proofErr w:type="spellStart"/>
      <w:r w:rsidRPr="00386176">
        <w:t>Jun</w:t>
      </w:r>
      <w:proofErr w:type="spellEnd"/>
      <w:r w:rsidRPr="00386176">
        <w:t xml:space="preserve">/2004. O modelo </w:t>
      </w:r>
      <w:r w:rsidR="00562EF5" w:rsidRPr="00386176">
        <w:t xml:space="preserve">utilizou o estimador de </w:t>
      </w:r>
      <w:proofErr w:type="spellStart"/>
      <w:r w:rsidRPr="00386176">
        <w:t>Arellano</w:t>
      </w:r>
      <w:proofErr w:type="spellEnd"/>
      <w:r w:rsidRPr="00386176">
        <w:t xml:space="preserve"> e Bond (1991) e os resultados demonstraram uma relação negativa com o </w:t>
      </w:r>
      <w:proofErr w:type="spellStart"/>
      <w:r w:rsidRPr="00386176">
        <w:t>desenquadramento</w:t>
      </w:r>
      <w:proofErr w:type="spellEnd"/>
      <w:r w:rsidRPr="00386176">
        <w:t xml:space="preserve"> de requerimentos de capital, taxa de câmbio e Selic e positiva com o Índice de Basiléia</w:t>
      </w:r>
      <w:r w:rsidR="008A6C5F" w:rsidRPr="00386176">
        <w:t xml:space="preserve"> – IB</w:t>
      </w:r>
      <w:r w:rsidRPr="00386176">
        <w:t xml:space="preserve"> e sua interação com uma </w:t>
      </w:r>
      <w:proofErr w:type="spellStart"/>
      <w:r w:rsidRPr="00386176">
        <w:rPr>
          <w:i/>
        </w:rPr>
        <w:t>dummy</w:t>
      </w:r>
      <w:proofErr w:type="spellEnd"/>
      <w:r w:rsidRPr="00386176">
        <w:rPr>
          <w:i/>
        </w:rPr>
        <w:t xml:space="preserve"> </w:t>
      </w:r>
      <w:r w:rsidRPr="00386176">
        <w:t xml:space="preserve">de </w:t>
      </w:r>
      <w:proofErr w:type="spellStart"/>
      <w:r w:rsidRPr="00386176">
        <w:t>desenquadramento</w:t>
      </w:r>
      <w:proofErr w:type="spellEnd"/>
      <w:r w:rsidRPr="00386176">
        <w:t xml:space="preserve">, rentabilidade das carteiras de crédito e renda fixa e PIB. </w:t>
      </w:r>
    </w:p>
    <w:p w:rsidR="00C2138A" w:rsidRPr="00386176" w:rsidRDefault="00C2138A" w:rsidP="00826069">
      <w:pPr>
        <w:ind w:firstLine="709"/>
        <w:jc w:val="both"/>
      </w:pPr>
      <w:r w:rsidRPr="00386176">
        <w:t xml:space="preserve">Com o objetivo de encontrar variáveis significativamente correlacionadas com a oferta de crédito bancário, </w:t>
      </w:r>
      <w:proofErr w:type="spellStart"/>
      <w:r w:rsidRPr="00386176">
        <w:t>Fucidji</w:t>
      </w:r>
      <w:proofErr w:type="spellEnd"/>
      <w:r w:rsidRPr="00386176">
        <w:t xml:space="preserve"> e Prince (2009) analisaram fatores que capturam três aspectos distintos: estratégia dos bancos, política econômica e demanda por crédito. A amostra foi constituída por dados trimestrais dos treze maiores bancos atuantes no mercado brasileiro no período de Mar/2001 a </w:t>
      </w:r>
      <w:proofErr w:type="spellStart"/>
      <w:r w:rsidRPr="00386176">
        <w:t>Jun</w:t>
      </w:r>
      <w:proofErr w:type="spellEnd"/>
      <w:r w:rsidRPr="00386176">
        <w:t xml:space="preserve">/2006. Para avaliar a relação das candidatas a variáveis explicativas com o crédito bancário, foi estimada uma regressão com dados em painel pelo método de Mínimos Quadrados Ordinários – MQO. Os principais resultados mostram uma correlação inversa entre as operações de crédito e as aplicações em títulos públicos e uma correlação positiva com o grau de alavancagem e o PIB. </w:t>
      </w:r>
    </w:p>
    <w:p w:rsidR="00C2138A" w:rsidRDefault="00C2138A" w:rsidP="00826069">
      <w:pPr>
        <w:tabs>
          <w:tab w:val="left" w:pos="709"/>
        </w:tabs>
        <w:jc w:val="both"/>
        <w:rPr>
          <w:noProof/>
        </w:rPr>
      </w:pPr>
      <w:r w:rsidRPr="00386176">
        <w:tab/>
      </w:r>
      <w:r w:rsidRPr="00386176">
        <w:rPr>
          <w:noProof/>
        </w:rPr>
        <w:t xml:space="preserve">Mendonça e Sachsida (2013) estimaram o sistema de oferta e demanda de crédito bancário com recursos livres, por meio de dados agregados de Jun/2000 a Ago/2012. Os autores avaliaram o crédito para os segmentos Pessoa Física – PF e Pessoa Jurídica – PJ. Assim, verificou-se que a demanda reage negativamente às taxa de financiamento e desemprego e, positivamente ao PIB, indicando uma demanda por crédito pró-cíclica. Quanto à oferta, constatou-se que a taxa de juros do financiamento tem um impacto positivo, enquanto o custo de captação e as taxas de inadimplência e inflação agem negativamente. </w:t>
      </w:r>
    </w:p>
    <w:p w:rsidR="00285CBA" w:rsidRDefault="00285CBA" w:rsidP="00285CBA">
      <w:pPr>
        <w:tabs>
          <w:tab w:val="left" w:pos="709"/>
        </w:tabs>
        <w:jc w:val="both"/>
      </w:pPr>
      <w:r>
        <w:tab/>
      </w:r>
      <w:r w:rsidRPr="00533EB4">
        <w:t xml:space="preserve">Este artigo está organizado do seguinte modo. A </w:t>
      </w:r>
      <w:r>
        <w:t>presente</w:t>
      </w:r>
      <w:r w:rsidRPr="00533EB4">
        <w:t xml:space="preserve"> seção delimita os objetivos da pesquisa, abordando o referencial teórico nacional e internacional sobre o tema. A seção dois apresenta o modelo teórico no qual este artigo fundamentou-se e discorre sobre a metodologia de estimação do modelo empírico. A </w:t>
      </w:r>
      <w:r>
        <w:t xml:space="preserve">terceira </w:t>
      </w:r>
      <w:r w:rsidRPr="00533EB4">
        <w:t xml:space="preserve">seção demonstra os resultados e suas implicações para o crédito bancário. </w:t>
      </w:r>
      <w:r>
        <w:t xml:space="preserve">Por fim, a última </w:t>
      </w:r>
      <w:r w:rsidRPr="00533EB4">
        <w:t>seção trata das considerações finais elucidando as principais conclusões desta pesquisa.</w:t>
      </w:r>
    </w:p>
    <w:p w:rsidR="001847A4" w:rsidRPr="00E10F2C" w:rsidRDefault="001847A4" w:rsidP="00521EFA">
      <w:pPr>
        <w:pStyle w:val="Ttulo2"/>
        <w:numPr>
          <w:ilvl w:val="1"/>
          <w:numId w:val="9"/>
        </w:numPr>
        <w:tabs>
          <w:tab w:val="left" w:pos="284"/>
        </w:tabs>
        <w:spacing w:before="240" w:line="240" w:lineRule="auto"/>
        <w:ind w:left="0" w:firstLine="0"/>
        <w:rPr>
          <w:rFonts w:ascii="Times New Roman" w:hAnsi="Times New Roman" w:cs="Times New Roman"/>
          <w:sz w:val="24"/>
          <w:szCs w:val="24"/>
        </w:rPr>
      </w:pPr>
      <w:bookmarkStart w:id="53" w:name="_Toc451294365"/>
      <w:bookmarkEnd w:id="0"/>
      <w:bookmarkEnd w:id="1"/>
      <w:r w:rsidRPr="00E10F2C">
        <w:rPr>
          <w:rFonts w:ascii="Times New Roman" w:hAnsi="Times New Roman" w:cs="Times New Roman"/>
          <w:sz w:val="24"/>
          <w:szCs w:val="24"/>
        </w:rPr>
        <w:t>METODOLOGIA</w:t>
      </w:r>
      <w:bookmarkEnd w:id="53"/>
      <w:r w:rsidRPr="00E10F2C">
        <w:rPr>
          <w:rFonts w:ascii="Times New Roman" w:hAnsi="Times New Roman" w:cs="Times New Roman"/>
          <w:sz w:val="24"/>
          <w:szCs w:val="24"/>
        </w:rPr>
        <w:t xml:space="preserve"> </w:t>
      </w:r>
    </w:p>
    <w:p w:rsidR="001847A4" w:rsidRPr="002F32B5" w:rsidRDefault="001847A4" w:rsidP="004D3C47">
      <w:pPr>
        <w:pStyle w:val="Ttulo3"/>
        <w:numPr>
          <w:ilvl w:val="1"/>
          <w:numId w:val="14"/>
        </w:numPr>
        <w:spacing w:before="240" w:line="240" w:lineRule="auto"/>
        <w:rPr>
          <w:rFonts w:ascii="Times New Roman" w:hAnsi="Times New Roman" w:cs="Times New Roman"/>
          <w:b w:val="0"/>
        </w:rPr>
      </w:pPr>
      <w:bookmarkStart w:id="54" w:name="_Toc451294366"/>
      <w:r w:rsidRPr="002F32B5">
        <w:rPr>
          <w:rFonts w:ascii="Times New Roman" w:hAnsi="Times New Roman" w:cs="Times New Roman"/>
          <w:b w:val="0"/>
        </w:rPr>
        <w:t>M</w:t>
      </w:r>
      <w:r w:rsidR="002F32B5" w:rsidRPr="002F32B5">
        <w:rPr>
          <w:rFonts w:ascii="Times New Roman" w:hAnsi="Times New Roman" w:cs="Times New Roman"/>
          <w:b w:val="0"/>
        </w:rPr>
        <w:t>ODELO TEÓRICO</w:t>
      </w:r>
      <w:bookmarkEnd w:id="54"/>
    </w:p>
    <w:p w:rsidR="001847A4" w:rsidRPr="00386176" w:rsidRDefault="001847A4" w:rsidP="00826069">
      <w:pPr>
        <w:tabs>
          <w:tab w:val="left" w:pos="-567"/>
        </w:tabs>
        <w:ind w:firstLine="709"/>
        <w:jc w:val="both"/>
      </w:pPr>
      <w:r w:rsidRPr="00386176">
        <w:t xml:space="preserve">Este trabalho balizou-se no modelo teórico de oferta ótima de crédito proposto por </w:t>
      </w:r>
      <w:proofErr w:type="spellStart"/>
      <w:r w:rsidRPr="00386176">
        <w:t>Hulsewig</w:t>
      </w:r>
      <w:proofErr w:type="spellEnd"/>
      <w:r w:rsidRPr="00386176">
        <w:t xml:space="preserve">, Mayer e </w:t>
      </w:r>
      <w:proofErr w:type="spellStart"/>
      <w:r w:rsidRPr="00386176">
        <w:t>Wollmershauser</w:t>
      </w:r>
      <w:proofErr w:type="spellEnd"/>
      <w:r w:rsidRPr="00386176">
        <w:t xml:space="preserve"> (2006), no qual a análise do canal de crédito é baseada em um modelo da firma bancária, em que os bancos decidem sobre sua oferta de empréstimo levando em conta uma política monetária futura incerta. </w:t>
      </w:r>
    </w:p>
    <w:p w:rsidR="001847A4" w:rsidRPr="00386176" w:rsidRDefault="001847A4" w:rsidP="00826069">
      <w:pPr>
        <w:tabs>
          <w:tab w:val="left" w:pos="-567"/>
        </w:tabs>
        <w:ind w:firstLine="709"/>
        <w:jc w:val="both"/>
      </w:pPr>
      <w:r w:rsidRPr="00386176">
        <w:t xml:space="preserve">O modelo considera um Sistema Bancário composto por </w:t>
      </w:r>
      <m:oMath>
        <m:r>
          <w:rPr>
            <w:rFonts w:ascii="Cambria Math" w:hAnsi="Cambria Math"/>
          </w:rPr>
          <m:t>n</m:t>
        </m:r>
      </m:oMath>
      <w:r w:rsidR="00562EF5" w:rsidRPr="00386176">
        <w:t xml:space="preserve"> bancos com funções</w:t>
      </w:r>
      <w:r w:rsidRPr="00386176">
        <w:t xml:space="preserve"> de custos idêntica</w:t>
      </w:r>
      <w:r w:rsidR="00562EF5" w:rsidRPr="00386176">
        <w:t>s</w:t>
      </w:r>
      <w:r w:rsidRPr="00386176">
        <w:t xml:space="preserve"> que atuam como tomadores de preços</w:t>
      </w:r>
      <w:r w:rsidR="00FD17C2" w:rsidRPr="00386176">
        <w:rPr>
          <w:rStyle w:val="Refdenotaderodap"/>
        </w:rPr>
        <w:footnoteReference w:id="3"/>
      </w:r>
      <w:r w:rsidRPr="00386176">
        <w:t xml:space="preserve"> e concedem empréstimos,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386176">
        <w:t xml:space="preserve">, a firmas não bancárias. Esses empréstimos são financiados via depósitos,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86176">
        <w:t xml:space="preserve">, e créditos do Banco Central,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386176">
        <w:t xml:space="preserve">. Admite-se que as taxas de empréstimos,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L</m:t>
            </m:r>
          </m:sup>
        </m:sSubSup>
      </m:oMath>
      <w:r w:rsidRPr="00386176">
        <w:t xml:space="preserve">, e depósitos,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D</m:t>
            </m:r>
          </m:sup>
        </m:sSubSup>
      </m:oMath>
      <w:r w:rsidRPr="00386176">
        <w:t xml:space="preserve">, são dadas e o nível de depósitos é exógeno. Além disso, considera-se que </w:t>
      </w:r>
      <w:r w:rsidRPr="00386176">
        <w:lastRenderedPageBreak/>
        <w:t xml:space="preserve">o Banco Central administra a taxa política,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M</m:t>
            </m:r>
          </m:sup>
        </m:sSubSup>
      </m:oMath>
      <w:r w:rsidRPr="00386176">
        <w:t xml:space="preserve">, que determina a taxa de juros no mercado monetário interbancário. Deste modo, a função de lucro dos bancos é dada por: </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2"/>
        <w:gridCol w:w="1182"/>
      </w:tblGrid>
      <w:tr w:rsidR="001847A4" w:rsidRPr="00386176" w:rsidTr="00A271A9">
        <w:trPr>
          <w:trHeight w:val="284"/>
          <w:jc w:val="right"/>
        </w:trPr>
        <w:tc>
          <w:tcPr>
            <w:tcW w:w="8632" w:type="dxa"/>
            <w:vAlign w:val="center"/>
          </w:tcPr>
          <w:p w:rsidR="001847A4" w:rsidRPr="00386176" w:rsidRDefault="003564B8" w:rsidP="00826069">
            <w:pPr>
              <w:jc w:val="center"/>
            </w:pPr>
            <m:oMathPara>
              <m:oMath>
                <m:sSubSup>
                  <m:sSubSupPr>
                    <m:ctrlPr>
                      <w:rPr>
                        <w:rFonts w:ascii="Cambria Math" w:hAnsi="Cambria Math"/>
                        <w:i/>
                      </w:rPr>
                    </m:ctrlPr>
                  </m:sSubSupPr>
                  <m:e>
                    <m:r>
                      <w:rPr>
                        <w:rFonts w:ascii="Cambria Math" w:hAnsi="Cambria Math"/>
                      </w:rPr>
                      <m:t>π</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L</m:t>
                    </m:r>
                  </m:sup>
                </m:sSubSup>
                <m:sSubSup>
                  <m:sSubSupPr>
                    <m:ctrlPr>
                      <w:rPr>
                        <w:rFonts w:ascii="Cambria Math" w:hAnsi="Cambria Math"/>
                        <w:i/>
                      </w:rPr>
                    </m:ctrlPr>
                  </m:sSubSupPr>
                  <m:e>
                    <m:r>
                      <w:rPr>
                        <w:rFonts w:ascii="Cambria Math" w:hAnsi="Cambria Math"/>
                      </w:rPr>
                      <m:t>L</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D</m:t>
                    </m:r>
                  </m:sup>
                </m:sSubSup>
                <m:sSubSup>
                  <m:sSubSupPr>
                    <m:ctrlPr>
                      <w:rPr>
                        <w:rFonts w:ascii="Cambria Math" w:hAnsi="Cambria Math"/>
                        <w:i/>
                      </w:rPr>
                    </m:ctrlPr>
                  </m:sSubSupPr>
                  <m:e>
                    <m:r>
                      <w:rPr>
                        <w:rFonts w:ascii="Cambria Math" w:hAnsi="Cambria Math"/>
                      </w:rPr>
                      <m:t>D</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M</m:t>
                    </m:r>
                  </m:sup>
                </m:sSubSup>
                <m:sSubSup>
                  <m:sSubSupPr>
                    <m:ctrlPr>
                      <w:rPr>
                        <w:rFonts w:ascii="Cambria Math" w:hAnsi="Cambria Math"/>
                        <w:i/>
                      </w:rPr>
                    </m:ctrlPr>
                  </m:sSubSupPr>
                  <m:e>
                    <m:r>
                      <w:rPr>
                        <w:rFonts w:ascii="Cambria Math" w:hAnsi="Cambria Math"/>
                      </w:rPr>
                      <m:t>B</m:t>
                    </m:r>
                  </m:e>
                  <m:sub>
                    <m:r>
                      <w:rPr>
                        <w:rFonts w:ascii="Cambria Math" w:hAnsi="Cambria Math"/>
                      </w:rPr>
                      <m:t>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t+j</m:t>
                    </m:r>
                  </m:sub>
                </m:sSub>
              </m:oMath>
            </m:oMathPara>
          </w:p>
        </w:tc>
        <w:tc>
          <w:tcPr>
            <w:tcW w:w="0" w:type="auto"/>
            <w:vAlign w:val="center"/>
          </w:tcPr>
          <w:p w:rsidR="001847A4" w:rsidRPr="00386176" w:rsidRDefault="001847A4" w:rsidP="00826069">
            <w:pPr>
              <w:pStyle w:val="Legenda"/>
              <w:keepNext/>
              <w:spacing w:after="0" w:line="240" w:lineRule="auto"/>
              <w:ind w:left="1" w:firstLine="708"/>
              <w:jc w:val="right"/>
              <w:rPr>
                <w:b w:val="0"/>
                <w:color w:val="auto"/>
                <w:sz w:val="22"/>
                <w:szCs w:val="22"/>
              </w:rPr>
            </w:pPr>
            <w:r w:rsidRPr="00386176">
              <w:rPr>
                <w:b w:val="0"/>
                <w:color w:val="auto"/>
                <w:sz w:val="22"/>
                <w:szCs w:val="22"/>
              </w:rPr>
              <w:t>(</w:t>
            </w:r>
            <w:r w:rsidRPr="00386176">
              <w:rPr>
                <w:b w:val="0"/>
                <w:color w:val="auto"/>
                <w:sz w:val="22"/>
                <w:szCs w:val="22"/>
              </w:rPr>
              <w:fldChar w:fldCharType="begin"/>
            </w:r>
            <w:r w:rsidRPr="00386176">
              <w:rPr>
                <w:b w:val="0"/>
                <w:color w:val="auto"/>
                <w:sz w:val="22"/>
                <w:szCs w:val="22"/>
              </w:rPr>
              <w:instrText xml:space="preserve"> SEQ Equação \* ARABIC </w:instrText>
            </w:r>
            <w:r w:rsidRPr="00386176">
              <w:rPr>
                <w:b w:val="0"/>
                <w:color w:val="auto"/>
                <w:sz w:val="22"/>
                <w:szCs w:val="22"/>
              </w:rPr>
              <w:fldChar w:fldCharType="separate"/>
            </w:r>
            <w:r w:rsidR="00103018">
              <w:rPr>
                <w:b w:val="0"/>
                <w:noProof/>
                <w:color w:val="auto"/>
                <w:sz w:val="22"/>
                <w:szCs w:val="22"/>
              </w:rPr>
              <w:t>1</w:t>
            </w:r>
            <w:r w:rsidRPr="00386176">
              <w:rPr>
                <w:b w:val="0"/>
                <w:color w:val="auto"/>
                <w:sz w:val="22"/>
                <w:szCs w:val="22"/>
              </w:rPr>
              <w:fldChar w:fldCharType="end"/>
            </w:r>
            <w:r w:rsidRPr="00386176">
              <w:rPr>
                <w:b w:val="0"/>
                <w:color w:val="auto"/>
                <w:sz w:val="22"/>
                <w:szCs w:val="22"/>
              </w:rPr>
              <w:t>)</w:t>
            </w:r>
          </w:p>
          <w:p w:rsidR="001847A4" w:rsidRPr="00386176" w:rsidRDefault="001847A4" w:rsidP="00826069">
            <w:pPr>
              <w:jc w:val="center"/>
            </w:pPr>
          </w:p>
        </w:tc>
      </w:tr>
    </w:tbl>
    <w:p w:rsidR="001847A4" w:rsidRPr="00386176" w:rsidRDefault="001847A4" w:rsidP="00DF44FD">
      <w:pPr>
        <w:tabs>
          <w:tab w:val="left" w:pos="-567"/>
        </w:tabs>
        <w:spacing w:before="120"/>
        <w:jc w:val="both"/>
      </w:pPr>
      <w:r w:rsidRPr="00386176">
        <w:t xml:space="preserve">onde: </w:t>
      </w:r>
      <m:oMath>
        <m:sSubSup>
          <m:sSubSupPr>
            <m:ctrlPr>
              <w:rPr>
                <w:rFonts w:ascii="Cambria Math" w:hAnsi="Cambria Math"/>
                <w:i/>
              </w:rPr>
            </m:ctrlPr>
          </m:sSubSupPr>
          <m:e>
            <m:r>
              <w:rPr>
                <w:rFonts w:ascii="Cambria Math" w:hAnsi="Cambria Math"/>
              </w:rPr>
              <m:t>π</m:t>
            </m:r>
          </m:e>
          <m:sub>
            <m:r>
              <w:rPr>
                <w:rFonts w:ascii="Cambria Math" w:hAnsi="Cambria Math"/>
              </w:rPr>
              <m:t>t+j</m:t>
            </m:r>
          </m:sub>
          <m:sup>
            <m:r>
              <w:rPr>
                <w:rFonts w:ascii="Cambria Math" w:hAnsi="Cambria Math"/>
              </w:rPr>
              <m:t>i</m:t>
            </m:r>
          </m:sup>
        </m:sSubSup>
      </m:oMath>
      <w:r w:rsidRPr="00386176">
        <w:t xml:space="preserve"> é o lucro do banco </w:t>
      </w:r>
      <m:oMath>
        <m:r>
          <w:rPr>
            <w:rFonts w:ascii="Cambria Math" w:hAnsi="Cambria Math"/>
          </w:rPr>
          <m:t>i</m:t>
        </m:r>
      </m:oMath>
      <w:r w:rsidRPr="00386176">
        <w:t xml:space="preserve"> no período </w:t>
      </w:r>
      <m:oMath>
        <m:r>
          <w:rPr>
            <w:rFonts w:ascii="Cambria Math" w:hAnsi="Cambria Math"/>
          </w:rPr>
          <m:t>t+j</m:t>
        </m:r>
      </m:oMath>
      <w:r w:rsidRPr="00386176">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t+j</m:t>
            </m:r>
          </m:sub>
          <m:sup>
            <m:r>
              <w:rPr>
                <w:rFonts w:ascii="Cambria Math" w:hAnsi="Cambria Math"/>
              </w:rPr>
              <m:t>i</m:t>
            </m:r>
          </m:sup>
        </m:sSubSup>
      </m:oMath>
      <w:r w:rsidRPr="00386176">
        <w:t xml:space="preserve"> são os empréstimos em </w:t>
      </w:r>
      <m:oMath>
        <m:r>
          <w:rPr>
            <w:rFonts w:ascii="Cambria Math" w:hAnsi="Cambria Math"/>
          </w:rPr>
          <m:t>t+j</m:t>
        </m:r>
      </m:oMath>
      <w:r w:rsidRPr="00386176">
        <w:t xml:space="preserve"> concedidos a taxa </w:t>
      </w:r>
      <m:oMath>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L</m:t>
            </m:r>
          </m:sup>
        </m:sSubSup>
      </m:oMath>
      <w:r w:rsidRPr="0038617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t+j</m:t>
            </m:r>
          </m:sub>
          <m:sup>
            <m:r>
              <w:rPr>
                <w:rFonts w:ascii="Cambria Math" w:hAnsi="Cambria Math"/>
              </w:rPr>
              <m:t>i</m:t>
            </m:r>
          </m:sup>
        </m:sSubSup>
      </m:oMath>
      <w:r w:rsidRPr="00386176">
        <w:t xml:space="preserve"> são os depósitos em </w:t>
      </w:r>
      <m:oMath>
        <m:r>
          <w:rPr>
            <w:rFonts w:ascii="Cambria Math" w:hAnsi="Cambria Math"/>
          </w:rPr>
          <m:t>t+j</m:t>
        </m:r>
      </m:oMath>
      <w:r w:rsidRPr="00386176">
        <w:t xml:space="preserve"> a taxa </w:t>
      </w:r>
      <m:oMath>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D</m:t>
            </m:r>
          </m:sup>
        </m:sSubSup>
      </m:oMath>
      <w:r w:rsidRPr="00386176">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t+j</m:t>
            </m:r>
          </m:sub>
          <m:sup>
            <m:r>
              <w:rPr>
                <w:rFonts w:ascii="Cambria Math" w:hAnsi="Cambria Math"/>
              </w:rPr>
              <m:t>i</m:t>
            </m:r>
          </m:sup>
        </m:sSubSup>
      </m:oMath>
      <w:r w:rsidRPr="00386176">
        <w:t xml:space="preserve"> é a posição líquida no mercado monetário interbancário em </w:t>
      </w:r>
      <m:oMath>
        <m:r>
          <w:rPr>
            <w:rFonts w:ascii="Cambria Math" w:hAnsi="Cambria Math"/>
          </w:rPr>
          <m:t>t+j</m:t>
        </m:r>
      </m:oMath>
      <w:r w:rsidRPr="00386176">
        <w:t xml:space="preserve"> a taxa </w:t>
      </w:r>
      <m:oMath>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M</m:t>
            </m:r>
          </m:sup>
        </m:sSubSup>
      </m:oMath>
      <w:r w:rsidRPr="00386176">
        <w:t xml:space="preserve">; </w:t>
      </w:r>
      <m:oMath>
        <m:sSub>
          <m:sSubPr>
            <m:ctrlPr>
              <w:rPr>
                <w:rFonts w:ascii="Cambria Math" w:hAnsi="Cambria Math"/>
                <w:i/>
              </w:rPr>
            </m:ctrlPr>
          </m:sSubPr>
          <m:e>
            <m:r>
              <w:rPr>
                <w:rFonts w:ascii="Cambria Math" w:hAnsi="Cambria Math"/>
              </w:rPr>
              <m:t>C</m:t>
            </m:r>
          </m:e>
          <m:sub>
            <m:r>
              <w:rPr>
                <w:rFonts w:ascii="Cambria Math" w:hAnsi="Cambria Math"/>
              </w:rPr>
              <m:t>t+j</m:t>
            </m:r>
          </m:sub>
        </m:sSub>
      </m:oMath>
      <w:r w:rsidRPr="00386176">
        <w:t xml:space="preserve"> é o custo de avaliação e ajuste do estoque de empréstimos dado por </w:t>
      </w:r>
      <m:oMath>
        <m:sSub>
          <m:sSubPr>
            <m:ctrlPr>
              <w:rPr>
                <w:rFonts w:ascii="Cambria Math" w:hAnsi="Cambria Math"/>
                <w:i/>
              </w:rPr>
            </m:ctrlPr>
          </m:sSubPr>
          <m:e>
            <m:r>
              <w:rPr>
                <w:rFonts w:ascii="Cambria Math" w:hAnsi="Cambria Math"/>
              </w:rPr>
              <m:t>C</m:t>
            </m:r>
          </m:e>
          <m:sub>
            <m:r>
              <w:rPr>
                <w:rFonts w:ascii="Cambria Math" w:hAnsi="Cambria Math"/>
              </w:rPr>
              <m:t>t+j</m:t>
            </m:r>
          </m:sub>
        </m:sSub>
        <m:r>
          <w:rPr>
            <w:rFonts w:ascii="Cambria Math" w:hAnsi="Cambria Math"/>
          </w:rPr>
          <m:t>=(</m:t>
        </m:r>
        <m:f>
          <m:fPr>
            <m:type m:val="lin"/>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t+j-1</m:t>
                </m:r>
              </m:sub>
              <m:sup>
                <m:r>
                  <w:rPr>
                    <w:rFonts w:ascii="Cambria Math" w:hAnsi="Cambria Math"/>
                  </w:rPr>
                  <m:t>i</m:t>
                </m:r>
              </m:sup>
            </m:sSubSup>
            <m:r>
              <w:rPr>
                <w:rFonts w:ascii="Cambria Math" w:hAnsi="Cambria Math"/>
              </w:rPr>
              <m:t>)</m:t>
            </m:r>
          </m:e>
          <m:sup>
            <m:r>
              <w:rPr>
                <w:rFonts w:ascii="Cambria Math" w:hAnsi="Cambria Math"/>
              </w:rPr>
              <m:t>2</m:t>
            </m:r>
          </m:sup>
        </m:sSup>
      </m:oMath>
      <w:r w:rsidRPr="00386176">
        <w:t xml:space="preserve">, em que </w:t>
      </w:r>
      <m:oMath>
        <m:r>
          <w:rPr>
            <w:rFonts w:ascii="Cambria Math" w:hAnsi="Cambria Math"/>
          </w:rPr>
          <m:t>a</m:t>
        </m:r>
      </m:oMath>
      <w:r w:rsidRPr="00386176">
        <w:t xml:space="preserve"> é uma constante positiva. Ent</w:t>
      </w:r>
      <w:proofErr w:type="spellStart"/>
      <w:r w:rsidRPr="00386176">
        <w:t>ende-se</w:t>
      </w:r>
      <w:proofErr w:type="spellEnd"/>
      <w:r w:rsidRPr="00386176">
        <w:t xml:space="preserve"> que os custos de ajuste da carteira de crédito refletem a alocação de recursos necessários para avaliar a capacidade de crédito dos clientes e monitorar os empréstimos durante o período de vigência.</w:t>
      </w:r>
    </w:p>
    <w:p w:rsidR="001847A4" w:rsidRPr="00386176" w:rsidRDefault="001847A4" w:rsidP="00826069">
      <w:pPr>
        <w:tabs>
          <w:tab w:val="left" w:pos="-567"/>
        </w:tabs>
        <w:jc w:val="both"/>
      </w:pPr>
      <w:r w:rsidRPr="00386176">
        <w:tab/>
        <w:t xml:space="preserve">Nota-se, que o lucro de uma instituição financeira é mensurado pela diferença entre a receita com empréstimos e os custos no mercado de crédito. Logo, o problema dos bancos consiste em </w:t>
      </w:r>
      <w:r w:rsidR="00E66BF1" w:rsidRPr="00386176">
        <w:t xml:space="preserve">escolher os volumes de empréstimos, depósitos e a posição líquida no mercado interbancário de forma a </w:t>
      </w:r>
      <w:r w:rsidRPr="00386176">
        <w:t>maximizar o valor presente esperado do fluxo de lucros futuros:</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2"/>
        <w:gridCol w:w="1182"/>
      </w:tblGrid>
      <w:tr w:rsidR="001847A4" w:rsidRPr="00386176" w:rsidTr="00A271A9">
        <w:trPr>
          <w:jc w:val="right"/>
        </w:trPr>
        <w:tc>
          <w:tcPr>
            <w:tcW w:w="8632" w:type="dxa"/>
            <w:vAlign w:val="center"/>
          </w:tcPr>
          <w:p w:rsidR="001847A4" w:rsidRPr="00386176" w:rsidRDefault="003564B8" w:rsidP="00826069">
            <w:pPr>
              <w:tabs>
                <w:tab w:val="left" w:pos="-567"/>
              </w:tabs>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j</m:t>
                        </m:r>
                      </m:sup>
                    </m:sSup>
                    <m:sSubSup>
                      <m:sSubSupPr>
                        <m:ctrlPr>
                          <w:rPr>
                            <w:rFonts w:ascii="Cambria Math" w:hAnsi="Cambria Math"/>
                            <w:i/>
                          </w:rPr>
                        </m:ctrlPr>
                      </m:sSubSupPr>
                      <m:e>
                        <m:r>
                          <w:rPr>
                            <w:rFonts w:ascii="Cambria Math" w:hAnsi="Cambria Math"/>
                          </w:rPr>
                          <m:t>π</m:t>
                        </m:r>
                      </m:e>
                      <m:sub>
                        <m:r>
                          <w:rPr>
                            <w:rFonts w:ascii="Cambria Math" w:hAnsi="Cambria Math"/>
                          </w:rPr>
                          <m:t>t+j</m:t>
                        </m:r>
                      </m:sub>
                      <m:sup>
                        <m:r>
                          <w:rPr>
                            <w:rFonts w:ascii="Cambria Math" w:hAnsi="Cambria Math"/>
                          </w:rPr>
                          <m:t>i</m:t>
                        </m:r>
                      </m:sup>
                    </m:sSubSup>
                  </m:e>
                </m:nary>
              </m:oMath>
            </m:oMathPara>
          </w:p>
        </w:tc>
        <w:tc>
          <w:tcPr>
            <w:tcW w:w="0" w:type="auto"/>
            <w:vAlign w:val="center"/>
          </w:tcPr>
          <w:p w:rsidR="001847A4" w:rsidRPr="00386176" w:rsidRDefault="001847A4" w:rsidP="00826069">
            <w:pPr>
              <w:pStyle w:val="Legenda"/>
              <w:keepNext/>
              <w:spacing w:line="240" w:lineRule="auto"/>
              <w:ind w:left="1" w:firstLine="708"/>
              <w:jc w:val="center"/>
              <w:rPr>
                <w:b w:val="0"/>
                <w:color w:val="auto"/>
                <w:sz w:val="22"/>
                <w:szCs w:val="22"/>
              </w:rPr>
            </w:pPr>
            <w:r w:rsidRPr="00386176">
              <w:rPr>
                <w:b w:val="0"/>
                <w:color w:val="auto"/>
                <w:sz w:val="22"/>
                <w:szCs w:val="22"/>
              </w:rPr>
              <w:t>(</w:t>
            </w:r>
            <w:r w:rsidRPr="00386176">
              <w:rPr>
                <w:b w:val="0"/>
                <w:color w:val="auto"/>
                <w:sz w:val="22"/>
                <w:szCs w:val="22"/>
              </w:rPr>
              <w:fldChar w:fldCharType="begin"/>
            </w:r>
            <w:r w:rsidRPr="00386176">
              <w:rPr>
                <w:b w:val="0"/>
                <w:color w:val="auto"/>
                <w:sz w:val="22"/>
                <w:szCs w:val="22"/>
              </w:rPr>
              <w:instrText xml:space="preserve"> SEQ Equação \* ARABIC </w:instrText>
            </w:r>
            <w:r w:rsidRPr="00386176">
              <w:rPr>
                <w:b w:val="0"/>
                <w:color w:val="auto"/>
                <w:sz w:val="22"/>
                <w:szCs w:val="22"/>
              </w:rPr>
              <w:fldChar w:fldCharType="separate"/>
            </w:r>
            <w:r w:rsidR="00103018">
              <w:rPr>
                <w:b w:val="0"/>
                <w:noProof/>
                <w:color w:val="auto"/>
                <w:sz w:val="22"/>
                <w:szCs w:val="22"/>
              </w:rPr>
              <w:t>2</w:t>
            </w:r>
            <w:r w:rsidRPr="00386176">
              <w:rPr>
                <w:b w:val="0"/>
                <w:color w:val="auto"/>
                <w:sz w:val="22"/>
                <w:szCs w:val="22"/>
              </w:rPr>
              <w:fldChar w:fldCharType="end"/>
            </w:r>
            <w:r w:rsidRPr="00386176">
              <w:rPr>
                <w:b w:val="0"/>
                <w:color w:val="auto"/>
                <w:sz w:val="22"/>
                <w:szCs w:val="22"/>
              </w:rPr>
              <w:t>)</w:t>
            </w:r>
          </w:p>
        </w:tc>
      </w:tr>
    </w:tbl>
    <w:p w:rsidR="001847A4" w:rsidRPr="00386176" w:rsidRDefault="001847A4" w:rsidP="00826069">
      <w:pPr>
        <w:tabs>
          <w:tab w:val="left" w:pos="-567"/>
        </w:tabs>
        <w:jc w:val="both"/>
      </w:pPr>
      <w:proofErr w:type="gramStart"/>
      <w:r w:rsidRPr="00386176">
        <w:t>onde</w:t>
      </w:r>
      <w:proofErr w:type="gramEnd"/>
      <w:r w:rsidRPr="00386176">
        <w:t xml:space="preserve"> </w:t>
      </w:r>
      <m:oMath>
        <m:r>
          <w:rPr>
            <w:rFonts w:ascii="Cambria Math" w:hAnsi="Cambria Math"/>
          </w:rPr>
          <m:t>0&lt;β&lt;1</m:t>
        </m:r>
      </m:oMath>
      <w:r w:rsidRPr="00386176">
        <w:t>.</w:t>
      </w:r>
    </w:p>
    <w:p w:rsidR="001847A4" w:rsidRPr="00386176" w:rsidRDefault="001847A4" w:rsidP="00826069">
      <w:pPr>
        <w:ind w:firstLine="708"/>
        <w:jc w:val="both"/>
      </w:pPr>
      <w:r w:rsidRPr="00386176">
        <w:t xml:space="preserve">A restrição de balanço é dada por: </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gridCol w:w="473"/>
      </w:tblGrid>
      <w:tr w:rsidR="001847A4" w:rsidRPr="00386176" w:rsidTr="00A271A9">
        <w:trPr>
          <w:jc w:val="right"/>
        </w:trPr>
        <w:tc>
          <w:tcPr>
            <w:tcW w:w="8706" w:type="dxa"/>
          </w:tcPr>
          <w:p w:rsidR="001847A4" w:rsidRPr="00386176" w:rsidRDefault="003564B8" w:rsidP="00826069">
            <w:pPr>
              <w:jc w:val="both"/>
            </w:pPr>
            <m:oMathPara>
              <m:oMath>
                <m:sSubSup>
                  <m:sSubSupPr>
                    <m:ctrlPr>
                      <w:rPr>
                        <w:rFonts w:ascii="Cambria Math" w:hAnsi="Cambria Math"/>
                        <w:i/>
                      </w:rPr>
                    </m:ctrlPr>
                  </m:sSubSupPr>
                  <m:e>
                    <m:r>
                      <w:rPr>
                        <w:rFonts w:ascii="Cambria Math" w:hAnsi="Cambria Math"/>
                      </w:rPr>
                      <m:t>L</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t+j</m:t>
                    </m:r>
                  </m:sub>
                  <m:sup>
                    <m:r>
                      <w:rPr>
                        <w:rFonts w:ascii="Cambria Math" w:hAnsi="Cambria Math"/>
                      </w:rPr>
                      <m:t>i</m:t>
                    </m:r>
                  </m:sup>
                </m:sSubSup>
              </m:oMath>
            </m:oMathPara>
          </w:p>
        </w:tc>
        <w:tc>
          <w:tcPr>
            <w:tcW w:w="0" w:type="auto"/>
          </w:tcPr>
          <w:p w:rsidR="001847A4" w:rsidRPr="00386176" w:rsidRDefault="001847A4" w:rsidP="00826069">
            <w:pPr>
              <w:pStyle w:val="Legenda"/>
              <w:keepNext/>
              <w:spacing w:line="240" w:lineRule="auto"/>
              <w:jc w:val="both"/>
              <w:rPr>
                <w:b w:val="0"/>
                <w:color w:val="auto"/>
                <w:sz w:val="22"/>
                <w:szCs w:val="22"/>
              </w:rPr>
            </w:pPr>
            <w:r w:rsidRPr="00386176">
              <w:rPr>
                <w:b w:val="0"/>
                <w:color w:val="auto"/>
                <w:sz w:val="22"/>
                <w:szCs w:val="22"/>
              </w:rPr>
              <w:t>(</w:t>
            </w:r>
            <w:r w:rsidRPr="00386176">
              <w:rPr>
                <w:b w:val="0"/>
                <w:color w:val="auto"/>
                <w:sz w:val="22"/>
                <w:szCs w:val="22"/>
              </w:rPr>
              <w:fldChar w:fldCharType="begin"/>
            </w:r>
            <w:r w:rsidRPr="00386176">
              <w:rPr>
                <w:b w:val="0"/>
                <w:color w:val="auto"/>
                <w:sz w:val="22"/>
                <w:szCs w:val="22"/>
              </w:rPr>
              <w:instrText xml:space="preserve"> SEQ Equação \* ARABIC </w:instrText>
            </w:r>
            <w:r w:rsidRPr="00386176">
              <w:rPr>
                <w:b w:val="0"/>
                <w:color w:val="auto"/>
                <w:sz w:val="22"/>
                <w:szCs w:val="22"/>
              </w:rPr>
              <w:fldChar w:fldCharType="separate"/>
            </w:r>
            <w:r w:rsidR="00103018">
              <w:rPr>
                <w:b w:val="0"/>
                <w:noProof/>
                <w:color w:val="auto"/>
                <w:sz w:val="22"/>
                <w:szCs w:val="22"/>
              </w:rPr>
              <w:t>3</w:t>
            </w:r>
            <w:r w:rsidRPr="00386176">
              <w:rPr>
                <w:b w:val="0"/>
                <w:color w:val="auto"/>
                <w:sz w:val="22"/>
                <w:szCs w:val="22"/>
              </w:rPr>
              <w:fldChar w:fldCharType="end"/>
            </w:r>
            <w:r w:rsidRPr="00386176">
              <w:rPr>
                <w:b w:val="0"/>
                <w:color w:val="auto"/>
                <w:sz w:val="22"/>
                <w:szCs w:val="22"/>
              </w:rPr>
              <w:t>)</w:t>
            </w:r>
          </w:p>
        </w:tc>
      </w:tr>
    </w:tbl>
    <w:p w:rsidR="001847A4" w:rsidRPr="00386176" w:rsidRDefault="001847A4" w:rsidP="00826069">
      <w:pPr>
        <w:jc w:val="both"/>
      </w:pPr>
      <w:proofErr w:type="gramStart"/>
      <w:r w:rsidRPr="00386176">
        <w:t>onde</w:t>
      </w:r>
      <w:proofErr w:type="gramEnd"/>
      <w:r w:rsidRPr="00386176">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i</m:t>
            </m:r>
          </m:sup>
        </m:sSubSup>
      </m:oMath>
      <w:r w:rsidRPr="00386176">
        <w:t xml:space="preserve"> são as reservas bancárias mínimas determinadas por uma fração dos depósitos </w:t>
      </w:r>
      <m:oMath>
        <m:sSubSup>
          <m:sSubSupPr>
            <m:ctrlPr>
              <w:rPr>
                <w:rFonts w:ascii="Cambria Math" w:hAnsi="Cambria Math"/>
                <w:i/>
              </w:rPr>
            </m:ctrlPr>
          </m:sSubSupPr>
          <m:e>
            <m:r>
              <w:rPr>
                <w:rFonts w:ascii="Cambria Math" w:hAnsi="Cambria Math"/>
              </w:rPr>
              <m:t>R</m:t>
            </m:r>
          </m:e>
          <m:sub>
            <m:r>
              <w:rPr>
                <w:rFonts w:ascii="Cambria Math" w:hAnsi="Cambria Math"/>
              </w:rPr>
              <m:t>t+j</m:t>
            </m:r>
          </m:sub>
          <m:sup>
            <m:r>
              <w:rPr>
                <w:rFonts w:ascii="Cambria Math" w:hAnsi="Cambria Math"/>
              </w:rPr>
              <m:t>i</m:t>
            </m:r>
          </m:sup>
        </m:sSubSup>
        <m:r>
          <w:rPr>
            <w:rFonts w:ascii="Cambria Math" w:hAnsi="Cambria Math"/>
          </w:rPr>
          <m:t>=d</m:t>
        </m:r>
        <m:sSubSup>
          <m:sSubSupPr>
            <m:ctrlPr>
              <w:rPr>
                <w:rFonts w:ascii="Cambria Math" w:hAnsi="Cambria Math"/>
                <w:i/>
              </w:rPr>
            </m:ctrlPr>
          </m:sSubSupPr>
          <m:e>
            <m:r>
              <w:rPr>
                <w:rFonts w:ascii="Cambria Math" w:hAnsi="Cambria Math"/>
              </w:rPr>
              <m:t>D</m:t>
            </m:r>
          </m:e>
          <m:sub>
            <m:r>
              <w:rPr>
                <w:rFonts w:ascii="Cambria Math" w:hAnsi="Cambria Math"/>
              </w:rPr>
              <m:t>t+j</m:t>
            </m:r>
          </m:sub>
          <m:sup>
            <m:r>
              <w:rPr>
                <w:rFonts w:ascii="Cambria Math" w:hAnsi="Cambria Math"/>
              </w:rPr>
              <m:t>i</m:t>
            </m:r>
          </m:sup>
        </m:sSubSup>
      </m:oMath>
      <w:r w:rsidRPr="00386176">
        <w:t xml:space="preserve">, </w:t>
      </w:r>
      <m:oMath>
        <m:r>
          <w:rPr>
            <w:rFonts w:ascii="Cambria Math" w:hAnsi="Cambria Math"/>
          </w:rPr>
          <m:t>0&lt;d&lt;1</m:t>
        </m:r>
      </m:oMath>
      <w:r w:rsidRPr="00386176">
        <w:t xml:space="preserve">. De acordo com o fluxo de caixa, o banco ajusta sua posição líquida no mercado interbancário, </w:t>
      </w:r>
      <m:oMath>
        <m:sSubSup>
          <m:sSubSupPr>
            <m:ctrlPr>
              <w:rPr>
                <w:rFonts w:ascii="Cambria Math" w:hAnsi="Cambria Math"/>
                <w:i/>
              </w:rPr>
            </m:ctrlPr>
          </m:sSubSupPr>
          <m:e>
            <m:r>
              <w:rPr>
                <w:rFonts w:ascii="Cambria Math" w:hAnsi="Cambria Math"/>
              </w:rPr>
              <m:t>B</m:t>
            </m:r>
          </m:e>
          <m:sub>
            <m:r>
              <w:rPr>
                <w:rFonts w:ascii="Cambria Math" w:hAnsi="Cambria Math"/>
              </w:rPr>
              <m:t>t+j</m:t>
            </m:r>
          </m:sub>
          <m:sup>
            <m:r>
              <w:rPr>
                <w:rFonts w:ascii="Cambria Math" w:hAnsi="Cambria Math"/>
              </w:rPr>
              <m:t>i</m:t>
            </m:r>
          </m:sup>
        </m:sSubSup>
      </m:oMath>
      <w:r w:rsidRPr="00386176">
        <w:t xml:space="preserve">, de forma a respeitar a restrição de balanço imposta. </w:t>
      </w:r>
    </w:p>
    <w:p w:rsidR="001847A4" w:rsidRPr="00386176" w:rsidRDefault="001847A4" w:rsidP="00826069">
      <w:pPr>
        <w:ind w:firstLine="708"/>
        <w:jc w:val="both"/>
      </w:pPr>
      <w:r w:rsidRPr="00386176">
        <w:t>A oferta ótima de empréstimos é derivada das condições de primeira ordem desse problema</w:t>
      </w:r>
      <w:r w:rsidRPr="00386176">
        <w:rPr>
          <w:rStyle w:val="Refdenotaderodap"/>
        </w:rPr>
        <w:footnoteReference w:id="4"/>
      </w:r>
      <w:r w:rsidRPr="00386176">
        <w:t xml:space="preserve"> e consiste no estoque de empréstimos </w:t>
      </w:r>
      <w:r w:rsidR="00E66BF1" w:rsidRPr="00386176">
        <w:t>d</w:t>
      </w:r>
      <w:r w:rsidRPr="00386176">
        <w:t xml:space="preserve">o período anterior acrescido do valor presente esperado do fluxo de </w:t>
      </w:r>
      <w:r w:rsidRPr="00386176">
        <w:rPr>
          <w:i/>
        </w:rPr>
        <w:t>spread</w:t>
      </w:r>
      <w:r w:rsidRPr="00386176">
        <w:t xml:space="preserve"> bancário, o qual é calculado como a diferença entre a taxa ativa dos empréstimos e a taxa política:</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2"/>
        <w:gridCol w:w="1182"/>
      </w:tblGrid>
      <w:tr w:rsidR="001847A4" w:rsidRPr="00386176" w:rsidTr="00A271A9">
        <w:trPr>
          <w:jc w:val="right"/>
        </w:trPr>
        <w:tc>
          <w:tcPr>
            <w:tcW w:w="8632" w:type="dxa"/>
            <w:vAlign w:val="center"/>
          </w:tcPr>
          <w:p w:rsidR="001847A4" w:rsidRPr="00386176" w:rsidRDefault="003564B8" w:rsidP="00826069">
            <w:pPr>
              <w:tabs>
                <w:tab w:val="left" w:pos="-567"/>
              </w:tabs>
              <w:jc w:val="center"/>
            </w:pPr>
            <m:oMathPara>
              <m:oMath>
                <m:sSubSup>
                  <m:sSubSupPr>
                    <m:ctrlPr>
                      <w:rPr>
                        <w:rFonts w:ascii="Cambria Math" w:hAnsi="Cambria Math"/>
                        <w:i/>
                      </w:rPr>
                    </m:ctrlPr>
                  </m:sSubSupPr>
                  <m:e>
                    <m:r>
                      <w:rPr>
                        <w:rFonts w:ascii="Cambria Math" w:hAnsi="Cambria Math"/>
                      </w:rPr>
                      <m:t>L</m:t>
                    </m:r>
                  </m:e>
                  <m:sub>
                    <m:r>
                      <w:rPr>
                        <w:rFonts w:ascii="Cambria Math" w:hAnsi="Cambria Math"/>
                      </w:rPr>
                      <m:t>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t+j-1</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nary>
                  <m:naryPr>
                    <m:chr m:val="∑"/>
                    <m:limLoc m:val="undOvr"/>
                    <m:ctrlPr>
                      <w:rPr>
                        <w:rFonts w:ascii="Cambria Math" w:hAnsi="Cambria Math"/>
                        <w:i/>
                      </w:rPr>
                    </m:ctrlPr>
                  </m:naryPr>
                  <m:sub>
                    <m:r>
                      <w:rPr>
                        <w:rFonts w:ascii="Cambria Math" w:hAnsi="Cambria Math"/>
                      </w:rPr>
                      <m:t>s=0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s</m:t>
                        </m:r>
                      </m:sup>
                    </m:sSup>
                    <m:sSub>
                      <m:sSubPr>
                        <m:ctrlPr>
                          <w:rPr>
                            <w:rFonts w:ascii="Cambria Math" w:hAnsi="Cambria Math"/>
                            <w:i/>
                          </w:rPr>
                        </m:ctrlPr>
                      </m:sSubPr>
                      <m:e>
                        <m:r>
                          <w:rPr>
                            <w:rFonts w:ascii="Cambria Math" w:hAnsi="Cambria Math"/>
                          </w:rPr>
                          <m:t>E</m:t>
                        </m:r>
                      </m:e>
                      <m:sub>
                        <m:r>
                          <w:rPr>
                            <w:rFonts w:ascii="Cambria Math" w:hAnsi="Cambria Math"/>
                          </w:rPr>
                          <m:t>t+j</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t+j+s</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t+j+s</m:t>
                        </m:r>
                      </m:sub>
                      <m:sup>
                        <m:r>
                          <w:rPr>
                            <w:rFonts w:ascii="Cambria Math" w:hAnsi="Cambria Math"/>
                          </w:rPr>
                          <m:t>M</m:t>
                        </m:r>
                      </m:sup>
                    </m:sSubSup>
                    <m:r>
                      <w:rPr>
                        <w:rFonts w:ascii="Cambria Math" w:hAnsi="Cambria Math"/>
                      </w:rPr>
                      <m:t>)</m:t>
                    </m:r>
                  </m:e>
                </m:nary>
              </m:oMath>
            </m:oMathPara>
          </w:p>
        </w:tc>
        <w:tc>
          <w:tcPr>
            <w:tcW w:w="0" w:type="auto"/>
            <w:vAlign w:val="center"/>
          </w:tcPr>
          <w:p w:rsidR="001847A4" w:rsidRPr="00386176" w:rsidRDefault="001847A4" w:rsidP="00826069">
            <w:pPr>
              <w:pStyle w:val="Legenda"/>
              <w:keepNext/>
              <w:spacing w:line="240" w:lineRule="auto"/>
              <w:ind w:left="1" w:firstLine="708"/>
              <w:jc w:val="center"/>
              <w:rPr>
                <w:b w:val="0"/>
                <w:color w:val="auto"/>
                <w:sz w:val="22"/>
                <w:szCs w:val="22"/>
              </w:rPr>
            </w:pPr>
            <w:r w:rsidRPr="00386176">
              <w:rPr>
                <w:b w:val="0"/>
                <w:color w:val="auto"/>
                <w:sz w:val="22"/>
                <w:szCs w:val="22"/>
              </w:rPr>
              <w:t>(</w:t>
            </w:r>
            <w:r w:rsidRPr="00386176">
              <w:rPr>
                <w:b w:val="0"/>
                <w:color w:val="auto"/>
                <w:sz w:val="22"/>
                <w:szCs w:val="22"/>
              </w:rPr>
              <w:fldChar w:fldCharType="begin"/>
            </w:r>
            <w:r w:rsidRPr="00386176">
              <w:rPr>
                <w:b w:val="0"/>
                <w:color w:val="auto"/>
                <w:sz w:val="22"/>
                <w:szCs w:val="22"/>
              </w:rPr>
              <w:instrText xml:space="preserve"> SEQ Equação \* ARABIC </w:instrText>
            </w:r>
            <w:r w:rsidRPr="00386176">
              <w:rPr>
                <w:b w:val="0"/>
                <w:color w:val="auto"/>
                <w:sz w:val="22"/>
                <w:szCs w:val="22"/>
              </w:rPr>
              <w:fldChar w:fldCharType="separate"/>
            </w:r>
            <w:r w:rsidR="00103018">
              <w:rPr>
                <w:b w:val="0"/>
                <w:noProof/>
                <w:color w:val="auto"/>
                <w:sz w:val="22"/>
                <w:szCs w:val="22"/>
              </w:rPr>
              <w:t>4</w:t>
            </w:r>
            <w:r w:rsidRPr="00386176">
              <w:rPr>
                <w:b w:val="0"/>
                <w:color w:val="auto"/>
                <w:sz w:val="22"/>
                <w:szCs w:val="22"/>
              </w:rPr>
              <w:fldChar w:fldCharType="end"/>
            </w:r>
            <w:r w:rsidRPr="00386176">
              <w:rPr>
                <w:b w:val="0"/>
                <w:color w:val="auto"/>
                <w:sz w:val="22"/>
                <w:szCs w:val="22"/>
              </w:rPr>
              <w:t>)</w:t>
            </w:r>
          </w:p>
        </w:tc>
      </w:tr>
    </w:tbl>
    <w:p w:rsidR="001847A4" w:rsidRPr="00386176" w:rsidRDefault="001847A4" w:rsidP="00826069">
      <w:pPr>
        <w:ind w:firstLine="709"/>
        <w:jc w:val="both"/>
      </w:pPr>
      <w:r w:rsidRPr="00386176">
        <w:t xml:space="preserve">Assim, alterações na taxa política,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m:t>
            </m:r>
          </m:sup>
        </m:sSubSup>
      </m:oMath>
      <w:r w:rsidRPr="00386176">
        <w:t xml:space="preserve">, possuem um efeito negativo sobre a oferta de crédito, enquanto aumentos na taxa de empréstimos,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L</m:t>
            </m:r>
          </m:sup>
        </m:sSubSup>
      </m:oMath>
      <w:r w:rsidRPr="00386176">
        <w:t xml:space="preserve">, tendem a ter um efeito positivo sobre </w:t>
      </w:r>
      <w:r w:rsidR="005000EE" w:rsidRPr="00386176">
        <w:t xml:space="preserve">a oferta de </w:t>
      </w:r>
      <w:r w:rsidRPr="00386176">
        <w:t xml:space="preserve">crédito da economia. </w:t>
      </w:r>
    </w:p>
    <w:p w:rsidR="001847A4" w:rsidRPr="00DF44FD" w:rsidRDefault="00DF44FD" w:rsidP="004D3C47">
      <w:pPr>
        <w:pStyle w:val="Ttulo3"/>
        <w:numPr>
          <w:ilvl w:val="1"/>
          <w:numId w:val="14"/>
        </w:numPr>
        <w:spacing w:before="240" w:line="240" w:lineRule="auto"/>
        <w:rPr>
          <w:rFonts w:ascii="Times New Roman" w:hAnsi="Times New Roman" w:cs="Times New Roman"/>
          <w:b w:val="0"/>
        </w:rPr>
      </w:pPr>
      <w:bookmarkStart w:id="55" w:name="_Toc451294367"/>
      <w:r w:rsidRPr="00DF44FD">
        <w:rPr>
          <w:rFonts w:ascii="Times New Roman" w:hAnsi="Times New Roman" w:cs="Times New Roman"/>
          <w:b w:val="0"/>
        </w:rPr>
        <w:t>MODELO EMPÍRICO</w:t>
      </w:r>
      <w:bookmarkEnd w:id="55"/>
    </w:p>
    <w:p w:rsidR="001847A4" w:rsidRPr="00386176" w:rsidRDefault="001847A4" w:rsidP="00826069">
      <w:pPr>
        <w:tabs>
          <w:tab w:val="left" w:pos="709"/>
        </w:tabs>
        <w:jc w:val="both"/>
      </w:pPr>
      <w:r w:rsidRPr="00386176">
        <w:tab/>
        <w:t xml:space="preserve">O modelo teórico </w:t>
      </w:r>
      <m:oMath>
        <m:d>
          <m:dPr>
            <m:ctrlPr>
              <w:rPr>
                <w:rFonts w:ascii="Cambria Math" w:hAnsi="Cambria Math"/>
                <w:i/>
              </w:rPr>
            </m:ctrlPr>
          </m:dPr>
          <m:e>
            <m:r>
              <w:rPr>
                <w:rFonts w:ascii="Cambria Math" w:hAnsi="Cambria Math"/>
              </w:rPr>
              <m:t>4</m:t>
            </m:r>
          </m:e>
        </m:d>
      </m:oMath>
      <w:r w:rsidRPr="00386176">
        <w:t xml:space="preserve"> sugere uma função para a regressão do crédito em que a oferta ótima de empréstimos em um dado período depende da oferta do período anterior e do </w:t>
      </w:r>
      <w:r w:rsidRPr="00386176">
        <w:rPr>
          <w:i/>
        </w:rPr>
        <w:t>spread</w:t>
      </w:r>
      <w:r w:rsidRPr="00386176">
        <w:t xml:space="preserve"> bancário de maneira que </w:t>
      </w:r>
      <m:oMath>
        <m:sSub>
          <m:sSubPr>
            <m:ctrlPr>
              <w:rPr>
                <w:rFonts w:ascii="Cambria Math" w:hAnsi="Cambria Math"/>
                <w:i/>
              </w:rPr>
            </m:ctrlPr>
          </m:sSubPr>
          <m:e>
            <m:r>
              <w:rPr>
                <w:rFonts w:ascii="Cambria Math" w:hAnsi="Cambria Math"/>
              </w:rPr>
              <m:t>Cred</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Cred</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Spread</m:t>
            </m:r>
          </m:e>
          <m:sub>
            <m:r>
              <w:rPr>
                <w:rFonts w:ascii="Cambria Math" w:hAnsi="Cambria Math"/>
              </w:rPr>
              <m:t>t</m:t>
            </m:r>
          </m:sub>
        </m:sSub>
        <m:r>
          <w:rPr>
            <w:rFonts w:ascii="Cambria Math" w:hAnsi="Cambria Math"/>
          </w:rPr>
          <m:t>)</m:t>
        </m:r>
      </m:oMath>
      <w:r w:rsidRPr="00386176">
        <w:t xml:space="preserve">. Essa função pode ser ampliada para incluir outros controles, visto que o crédito bancário também pode ser afetado pelas estratégias praticadas pelas instituições financeiras e pelo cenário macroeconômico. Então, com o propósito de elencar as candidatas a variáveis explicativas, realizou-se a revisão de literatura dos principais trabalhos nacionais e internacionais a respeito do tema. Desse modo, baseado no modelo teórico e nas variáveis utilizadas nas principais análises empíricas sobre o assunto, o modelo a ser estimado neste trabalho é representado por: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532"/>
      </w:tblGrid>
      <w:tr w:rsidR="001847A4" w:rsidRPr="00386176" w:rsidTr="00A271A9">
        <w:tc>
          <w:tcPr>
            <w:tcW w:w="8755" w:type="dxa"/>
            <w:vAlign w:val="center"/>
          </w:tcPr>
          <w:p w:rsidR="001847A4" w:rsidRPr="00386176" w:rsidRDefault="003564B8" w:rsidP="00826069">
            <w:pPr>
              <w:tabs>
                <w:tab w:val="left" w:pos="709"/>
              </w:tabs>
              <w:spacing w:before="120" w:after="120"/>
              <w:jc w:val="center"/>
            </w:pPr>
            <m:oMathPara>
              <m:oMathParaPr>
                <m:jc m:val="left"/>
              </m:oMathParaPr>
              <m:oMath>
                <m:sSub>
                  <m:sSubPr>
                    <m:ctrlPr>
                      <w:rPr>
                        <w:rFonts w:ascii="Cambria Math" w:hAnsi="Cambria Math"/>
                        <w:i/>
                      </w:rPr>
                    </m:ctrlPr>
                  </m:sSubPr>
                  <m:e>
                    <m:r>
                      <w:rPr>
                        <w:rFonts w:ascii="Cambria Math" w:hAnsi="Cambria Math"/>
                      </w:rPr>
                      <m:t>Cred</m:t>
                    </m:r>
                  </m:e>
                  <m:sub>
                    <m:r>
                      <w:rPr>
                        <w:rFonts w:ascii="Cambria Math" w:hAnsi="Cambria Math"/>
                      </w:rPr>
                      <m:t>it</m:t>
                    </m:r>
                  </m:sub>
                </m:sSub>
                <m:r>
                  <w:rPr>
                    <w:rFonts w:ascii="Cambria Math" w:hAnsi="Cambria Math"/>
                  </w:rPr>
                  <m:t>=f(</m:t>
                </m:r>
                <m:sSub>
                  <m:sSubPr>
                    <m:ctrlPr>
                      <w:rPr>
                        <w:rFonts w:ascii="Cambria Math" w:hAnsi="Cambria Math"/>
                        <w:i/>
                      </w:rPr>
                    </m:ctrlPr>
                  </m:sSubPr>
                  <m:e>
                    <m:r>
                      <w:rPr>
                        <w:rFonts w:ascii="Cambria Math" w:hAnsi="Cambria Math"/>
                      </w:rPr>
                      <m:t>Cred</m:t>
                    </m:r>
                  </m:e>
                  <m:sub>
                    <m:r>
                      <w:rPr>
                        <w:rFonts w:ascii="Cambria Math" w:hAnsi="Cambria Math"/>
                      </w:rPr>
                      <m:t xml:space="preserve">it-1, </m:t>
                    </m:r>
                  </m:sub>
                </m:sSub>
                <m:sSub>
                  <m:sSubPr>
                    <m:ctrlPr>
                      <w:rPr>
                        <w:rFonts w:ascii="Cambria Math" w:hAnsi="Cambria Math"/>
                        <w:i/>
                      </w:rPr>
                    </m:ctrlPr>
                  </m:sSubPr>
                  <m:e>
                    <m:r>
                      <w:rPr>
                        <w:rFonts w:ascii="Cambria Math" w:hAnsi="Cambria Math"/>
                      </w:rPr>
                      <m:t>Spread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DepVista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DepPrazo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TVM</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Captação</m:t>
                    </m:r>
                  </m:e>
                  <m:sub>
                    <m:r>
                      <w:rPr>
                        <w:rFonts w:ascii="Cambria Math" w:hAnsi="Cambria Math"/>
                      </w:rPr>
                      <m:t>it</m:t>
                    </m:r>
                  </m:sub>
                </m:sSub>
                <m:r>
                  <w:rPr>
                    <w:rFonts w:ascii="Cambria Math" w:hAnsi="Cambria Math"/>
                  </w:rPr>
                  <m:t>,</m:t>
                </m:r>
              </m:oMath>
            </m:oMathPara>
          </w:p>
          <w:p w:rsidR="001847A4" w:rsidRPr="00386176" w:rsidRDefault="003564B8" w:rsidP="00826069">
            <w:pPr>
              <w:tabs>
                <w:tab w:val="left" w:pos="709"/>
              </w:tabs>
              <w:spacing w:before="120" w:after="120"/>
              <w:jc w:val="center"/>
              <w:rPr>
                <w:lang w:val="en-US"/>
              </w:rPr>
            </w:pPr>
            <m:oMath>
              <m:sSub>
                <m:sSubPr>
                  <m:ctrlPr>
                    <w:rPr>
                      <w:rFonts w:ascii="Cambria Math" w:hAnsi="Cambria Math"/>
                      <w:i/>
                    </w:rPr>
                  </m:ctrlPr>
                </m:sSubPr>
                <m:e>
                  <m:r>
                    <w:rPr>
                      <w:rFonts w:ascii="Cambria Math" w:hAnsi="Cambria Math"/>
                    </w:rPr>
                    <m:t>RCr</m:t>
                  </m:r>
                  <m:r>
                    <w:rPr>
                      <w:rFonts w:ascii="Cambria Math" w:hAnsi="Cambria Math"/>
                      <w:lang w:val="en-US"/>
                    </w:rPr>
                    <m:t>é</m:t>
                  </m:r>
                  <m:r>
                    <w:rPr>
                      <w:rFonts w:ascii="Cambria Math" w:hAnsi="Cambria Math"/>
                    </w:rPr>
                    <m:t>dito</m:t>
                  </m:r>
                </m:e>
                <m:sub>
                  <m:r>
                    <w:rPr>
                      <w:rFonts w:ascii="Cambria Math" w:hAnsi="Cambria Math"/>
                    </w:rPr>
                    <m:t>it</m:t>
                  </m:r>
                </m:sub>
              </m:sSub>
              <m:r>
                <w:rPr>
                  <w:rFonts w:ascii="Cambria Math" w:hAnsi="Cambria Math"/>
                  <w:lang w:val="en-US"/>
                </w:rPr>
                <m:t>,</m:t>
              </m:r>
              <m:sSub>
                <m:sSubPr>
                  <m:ctrlPr>
                    <w:rPr>
                      <w:rFonts w:ascii="Cambria Math" w:hAnsi="Cambria Math"/>
                      <w:i/>
                    </w:rPr>
                  </m:ctrlPr>
                </m:sSubPr>
                <m:e>
                  <m:r>
                    <w:rPr>
                      <w:rFonts w:ascii="Cambria Math" w:hAnsi="Cambria Math"/>
                    </w:rPr>
                    <m:t>IB</m:t>
                  </m:r>
                </m:e>
                <m:sub>
                  <m:r>
                    <w:rPr>
                      <w:rFonts w:ascii="Cambria Math" w:hAnsi="Cambria Math"/>
                    </w:rPr>
                    <m:t>it</m:t>
                  </m:r>
                </m:sub>
              </m:sSub>
              <m:r>
                <w:rPr>
                  <w:rFonts w:ascii="Cambria Math" w:hAnsi="Cambria Math"/>
                  <w:lang w:val="en-US"/>
                </w:rPr>
                <m:t xml:space="preserve">, </m:t>
              </m:r>
              <m:sSub>
                <m:sSubPr>
                  <m:ctrlPr>
                    <w:rPr>
                      <w:rFonts w:ascii="Cambria Math" w:hAnsi="Cambria Math"/>
                      <w:i/>
                    </w:rPr>
                  </m:ctrlPr>
                </m:sSubPr>
                <m:e>
                  <m:r>
                    <w:rPr>
                      <w:rFonts w:ascii="Cambria Math" w:hAnsi="Cambria Math"/>
                    </w:rPr>
                    <m:t>CompDVista</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CompDPrazo</m:t>
                  </m:r>
                </m:e>
                <m:sub>
                  <m:r>
                    <w:rPr>
                      <w:rFonts w:ascii="Cambria Math" w:hAnsi="Cambria Math"/>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rPr>
                    <m:t>Selic</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PIB</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IPCA</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M</m:t>
                  </m:r>
                  <m:r>
                    <w:rPr>
                      <w:rFonts w:ascii="Cambria Math" w:hAnsi="Cambria Math"/>
                      <w:lang w:val="en-US"/>
                    </w:rPr>
                    <m:t>2</m:t>
                  </m:r>
                </m:e>
                <m:sub>
                  <m:r>
                    <w:rPr>
                      <w:rFonts w:ascii="Cambria Math" w:hAnsi="Cambria Math"/>
                    </w:rPr>
                    <m:t>t</m:t>
                  </m:r>
                </m:sub>
              </m:sSub>
              <m:r>
                <w:rPr>
                  <w:rFonts w:ascii="Cambria Math" w:hAnsi="Cambria Math"/>
                  <w:lang w:val="en-US"/>
                </w:rPr>
                <m:t xml:space="preserve">, </m:t>
              </m:r>
            </m:oMath>
            <w:r w:rsidR="001847A4" w:rsidRPr="00386176">
              <w:rPr>
                <w:i/>
                <w:lang w:val="en-US"/>
              </w:rPr>
              <w:t>Dummy_pp</w:t>
            </w:r>
            <m:oMath>
              <m:r>
                <w:rPr>
                  <w:rFonts w:ascii="Cambria Math" w:hAnsi="Cambria Math"/>
                  <w:lang w:val="en-US"/>
                </w:rPr>
                <m:t>)</m:t>
              </m:r>
            </m:oMath>
          </w:p>
        </w:tc>
        <w:tc>
          <w:tcPr>
            <w:tcW w:w="532" w:type="dxa"/>
            <w:vAlign w:val="bottom"/>
          </w:tcPr>
          <w:p w:rsidR="001847A4" w:rsidRPr="00386176" w:rsidRDefault="001847A4" w:rsidP="00826069">
            <w:pPr>
              <w:pStyle w:val="Legenda"/>
              <w:keepNext/>
              <w:spacing w:line="240" w:lineRule="auto"/>
              <w:jc w:val="center"/>
              <w:rPr>
                <w:color w:val="auto"/>
              </w:rPr>
            </w:pPr>
            <w:r w:rsidRPr="00386176">
              <w:rPr>
                <w:b w:val="0"/>
                <w:color w:val="auto"/>
                <w:sz w:val="22"/>
                <w:szCs w:val="22"/>
              </w:rPr>
              <w:t>(</w:t>
            </w:r>
            <w:r w:rsidRPr="00386176">
              <w:rPr>
                <w:b w:val="0"/>
                <w:color w:val="auto"/>
                <w:sz w:val="22"/>
                <w:szCs w:val="22"/>
              </w:rPr>
              <w:fldChar w:fldCharType="begin"/>
            </w:r>
            <w:r w:rsidRPr="00386176">
              <w:rPr>
                <w:b w:val="0"/>
                <w:color w:val="auto"/>
                <w:sz w:val="22"/>
                <w:szCs w:val="22"/>
              </w:rPr>
              <w:instrText xml:space="preserve"> SEQ Equação \* ARABIC </w:instrText>
            </w:r>
            <w:r w:rsidRPr="00386176">
              <w:rPr>
                <w:b w:val="0"/>
                <w:color w:val="auto"/>
                <w:sz w:val="22"/>
                <w:szCs w:val="22"/>
              </w:rPr>
              <w:fldChar w:fldCharType="separate"/>
            </w:r>
            <w:r w:rsidR="00103018">
              <w:rPr>
                <w:b w:val="0"/>
                <w:noProof/>
                <w:color w:val="auto"/>
                <w:sz w:val="22"/>
                <w:szCs w:val="22"/>
              </w:rPr>
              <w:t>5</w:t>
            </w:r>
            <w:r w:rsidRPr="00386176">
              <w:rPr>
                <w:b w:val="0"/>
                <w:color w:val="auto"/>
                <w:sz w:val="22"/>
                <w:szCs w:val="22"/>
              </w:rPr>
              <w:fldChar w:fldCharType="end"/>
            </w:r>
            <w:r w:rsidRPr="00386176">
              <w:rPr>
                <w:b w:val="0"/>
                <w:color w:val="auto"/>
                <w:sz w:val="22"/>
                <w:szCs w:val="22"/>
              </w:rPr>
              <w:t>)</w:t>
            </w:r>
          </w:p>
          <w:p w:rsidR="001847A4" w:rsidRPr="00386176" w:rsidRDefault="001847A4" w:rsidP="00826069">
            <w:pPr>
              <w:tabs>
                <w:tab w:val="left" w:pos="709"/>
              </w:tabs>
              <w:jc w:val="center"/>
            </w:pPr>
          </w:p>
        </w:tc>
      </w:tr>
    </w:tbl>
    <w:p w:rsidR="001847A4" w:rsidRPr="00386176" w:rsidRDefault="001847A4" w:rsidP="00826069">
      <w:pPr>
        <w:tabs>
          <w:tab w:val="left" w:pos="709"/>
        </w:tabs>
        <w:spacing w:before="120"/>
        <w:jc w:val="both"/>
      </w:pPr>
      <w:r w:rsidRPr="00386176">
        <w:t xml:space="preserve">onde: </w:t>
      </w:r>
      <m:oMath>
        <m:r>
          <w:rPr>
            <w:rFonts w:ascii="Cambria Math" w:hAnsi="Cambria Math"/>
          </w:rPr>
          <m:t>Cred</m:t>
        </m:r>
      </m:oMath>
      <w:r w:rsidRPr="00386176">
        <w:t xml:space="preserve"> é o crédito bancário; </w:t>
      </w:r>
      <m:oMath>
        <m:r>
          <w:rPr>
            <w:rFonts w:ascii="Cambria Math" w:hAnsi="Cambria Math"/>
          </w:rPr>
          <m:t>Spread</m:t>
        </m:r>
      </m:oMath>
      <w:r w:rsidRPr="00386176">
        <w:t xml:space="preserve"> é o </w:t>
      </w:r>
      <w:r w:rsidRPr="00386176">
        <w:rPr>
          <w:i/>
        </w:rPr>
        <w:t>spread</w:t>
      </w:r>
      <w:r w:rsidRPr="00386176">
        <w:t xml:space="preserve"> bancário; </w:t>
      </w:r>
      <m:oMath>
        <m:r>
          <w:rPr>
            <w:rFonts w:ascii="Cambria Math" w:hAnsi="Cambria Math"/>
          </w:rPr>
          <m:t>DepVista</m:t>
        </m:r>
      </m:oMath>
      <w:r w:rsidRPr="00386176">
        <w:t xml:space="preserve"> é o depósito à vista; </w:t>
      </w:r>
      <m:oMath>
        <m:r>
          <w:rPr>
            <w:rFonts w:ascii="Cambria Math" w:hAnsi="Cambria Math"/>
          </w:rPr>
          <m:t>DepPrazo</m:t>
        </m:r>
      </m:oMath>
      <w:r w:rsidRPr="00386176">
        <w:t xml:space="preserve"> é o depósito a prazo; </w:t>
      </w:r>
      <m:oMath>
        <m:r>
          <w:rPr>
            <w:rFonts w:ascii="Cambria Math" w:hAnsi="Cambria Math"/>
          </w:rPr>
          <m:t>GA</m:t>
        </m:r>
      </m:oMath>
      <w:r w:rsidRPr="00386176">
        <w:t xml:space="preserve"> é o grau de alavancagem; </w:t>
      </w:r>
      <m:oMath>
        <m:r>
          <w:rPr>
            <w:rFonts w:ascii="Cambria Math" w:hAnsi="Cambria Math"/>
          </w:rPr>
          <m:t>TVM</m:t>
        </m:r>
      </m:oMath>
      <w:r w:rsidRPr="00386176">
        <w:t xml:space="preserve"> são os títulos e valores mobiliários; </w:t>
      </w:r>
      <m:oMath>
        <m:r>
          <w:rPr>
            <w:rFonts w:ascii="Cambria Math" w:hAnsi="Cambria Math"/>
          </w:rPr>
          <m:t>Captação</m:t>
        </m:r>
      </m:oMath>
      <w:r w:rsidRPr="00386176">
        <w:t xml:space="preserve"> é a despesa com captação; </w:t>
      </w:r>
      <m:oMath>
        <m:r>
          <w:rPr>
            <w:rFonts w:ascii="Cambria Math" w:hAnsi="Cambria Math"/>
          </w:rPr>
          <m:t>RCredito</m:t>
        </m:r>
      </m:oMath>
      <w:r w:rsidRPr="00386176">
        <w:t xml:space="preserve"> é o risco de crédito; </w:t>
      </w:r>
      <m:oMath>
        <m:r>
          <w:rPr>
            <w:rFonts w:ascii="Cambria Math" w:hAnsi="Cambria Math"/>
          </w:rPr>
          <m:t>IB</m:t>
        </m:r>
      </m:oMath>
      <w:r w:rsidRPr="00386176">
        <w:t xml:space="preserve"> é o índice de Basiléia; </w:t>
      </w:r>
      <m:oMath>
        <m:r>
          <w:rPr>
            <w:rFonts w:ascii="Cambria Math" w:hAnsi="Cambria Math"/>
          </w:rPr>
          <m:t>CompDVista</m:t>
        </m:r>
      </m:oMath>
      <w:r w:rsidRPr="00386176">
        <w:t xml:space="preserve"> é o depósito compulsório sobre o depósito à vista; </w:t>
      </w:r>
      <m:oMath>
        <m:r>
          <w:rPr>
            <w:rFonts w:ascii="Cambria Math" w:hAnsi="Cambria Math"/>
          </w:rPr>
          <m:t>CompDPrazo</m:t>
        </m:r>
      </m:oMath>
      <w:r w:rsidRPr="00386176">
        <w:t xml:space="preserve"> é o depósito compulsório sobre o depósito a prazo; </w:t>
      </w:r>
      <m:oMath>
        <m:r>
          <w:rPr>
            <w:rFonts w:ascii="Cambria Math" w:hAnsi="Cambria Math"/>
          </w:rPr>
          <m:t>Selic</m:t>
        </m:r>
      </m:oMath>
      <w:r w:rsidRPr="00386176">
        <w:t xml:space="preserve"> é a taxa Selic; </w:t>
      </w:r>
      <m:oMath>
        <m:r>
          <w:rPr>
            <w:rFonts w:ascii="Cambria Math" w:hAnsi="Cambria Math"/>
          </w:rPr>
          <m:t>PIB</m:t>
        </m:r>
      </m:oMath>
      <w:r w:rsidRPr="00386176">
        <w:t xml:space="preserve"> é o Produto Interno Bruto da economia; </w:t>
      </w:r>
      <m:oMath>
        <m:r>
          <w:rPr>
            <w:rFonts w:ascii="Cambria Math" w:hAnsi="Cambria Math"/>
          </w:rPr>
          <m:t>IPCA</m:t>
        </m:r>
      </m:oMath>
      <w:r w:rsidRPr="00386176">
        <w:t xml:space="preserve"> é a taxa de inflação medida pelo IPCA; </w:t>
      </w:r>
      <m:oMath>
        <m:r>
          <w:rPr>
            <w:rFonts w:ascii="Cambria Math" w:hAnsi="Cambria Math"/>
          </w:rPr>
          <m:t>M2</m:t>
        </m:r>
      </m:oMath>
      <w:r w:rsidRPr="00386176">
        <w:t xml:space="preserve"> é o meio de pagamento M2 e </w:t>
      </w:r>
      <m:oMath>
        <m:r>
          <w:rPr>
            <w:rFonts w:ascii="Cambria Math" w:hAnsi="Cambria Math"/>
          </w:rPr>
          <m:t>Dummy_pp</m:t>
        </m:r>
      </m:oMath>
      <w:r w:rsidRPr="00386176">
        <w:t xml:space="preserve"> é uma variável </w:t>
      </w:r>
      <w:proofErr w:type="spellStart"/>
      <w:r w:rsidRPr="00386176">
        <w:rPr>
          <w:i/>
        </w:rPr>
        <w:t>dummy</w:t>
      </w:r>
      <w:proofErr w:type="spellEnd"/>
      <w:r w:rsidRPr="00386176">
        <w:t xml:space="preserve"> indicativa do controle de capital – público ou privado.</w:t>
      </w:r>
    </w:p>
    <w:p w:rsidR="001847A4" w:rsidRPr="00386176" w:rsidRDefault="001847A4" w:rsidP="00826069">
      <w:pPr>
        <w:ind w:firstLine="708"/>
        <w:jc w:val="both"/>
      </w:pPr>
      <w:r w:rsidRPr="00386176">
        <w:t xml:space="preserve">De forma a aproveitar uma estrutura mais rica de </w:t>
      </w:r>
      <w:proofErr w:type="spellStart"/>
      <w:r w:rsidRPr="00386176">
        <w:t>microdados</w:t>
      </w:r>
      <w:proofErr w:type="spellEnd"/>
      <w:r w:rsidRPr="00386176">
        <w:t xml:space="preserve"> bancários, a base de dados desagregada por instituição financeira demanda o uso de dados em painel para a estimação. Essa metodologia propicia a análise explícita da heterogeneidade entre as instituições financeiras, permitindo controlar variáveis individuais que não são passíveis de observação ou mensuração. Além disso, ao combinar as dimensões temporal e </w:t>
      </w:r>
      <w:proofErr w:type="spellStart"/>
      <w:r w:rsidRPr="00386176">
        <w:rPr>
          <w:i/>
        </w:rPr>
        <w:t>cross-section</w:t>
      </w:r>
      <w:proofErr w:type="spellEnd"/>
      <w:r w:rsidRPr="00386176">
        <w:rPr>
          <w:i/>
        </w:rPr>
        <w:t xml:space="preserve">, </w:t>
      </w:r>
      <w:r w:rsidRPr="00386176">
        <w:t xml:space="preserve">eleva-se o número de dados utilizados, aumentando os graus de liberdade. Ressalta-se que o modelo empírico </w:t>
      </w:r>
      <m:oMath>
        <m:r>
          <w:rPr>
            <w:rFonts w:ascii="Cambria Math" w:hAnsi="Cambria Math"/>
          </w:rPr>
          <m:t>(5)</m:t>
        </m:r>
      </m:oMath>
      <w:r w:rsidRPr="00386176">
        <w:t xml:space="preserve"> considerou todas as variáveis em logaritmo, de modo a obter os coeficientes em termos de elasticidade e estabilizar a variância do erro. </w:t>
      </w:r>
    </w:p>
    <w:p w:rsidR="001847A4" w:rsidRPr="00DF44FD" w:rsidRDefault="001847A4" w:rsidP="004D3C47">
      <w:pPr>
        <w:pStyle w:val="Ttulo3"/>
        <w:numPr>
          <w:ilvl w:val="1"/>
          <w:numId w:val="14"/>
        </w:numPr>
        <w:spacing w:before="240" w:line="240" w:lineRule="auto"/>
        <w:ind w:left="567" w:hanging="567"/>
        <w:rPr>
          <w:rFonts w:ascii="Times New Roman" w:hAnsi="Times New Roman" w:cs="Times New Roman"/>
          <w:b w:val="0"/>
        </w:rPr>
      </w:pPr>
      <w:bookmarkStart w:id="56" w:name="_Toc351371340"/>
      <w:bookmarkStart w:id="57" w:name="_Toc451294368"/>
      <w:r w:rsidRPr="00DF44FD">
        <w:rPr>
          <w:rFonts w:ascii="Times New Roman" w:hAnsi="Times New Roman" w:cs="Times New Roman"/>
          <w:b w:val="0"/>
        </w:rPr>
        <w:t>P</w:t>
      </w:r>
      <w:r w:rsidR="00DF44FD" w:rsidRPr="00DF44FD">
        <w:rPr>
          <w:rFonts w:ascii="Times New Roman" w:hAnsi="Times New Roman" w:cs="Times New Roman"/>
          <w:b w:val="0"/>
        </w:rPr>
        <w:t>AINEL ESTÁTICO</w:t>
      </w:r>
      <w:bookmarkEnd w:id="56"/>
      <w:bookmarkEnd w:id="57"/>
    </w:p>
    <w:p w:rsidR="001847A4" w:rsidRPr="00386176" w:rsidRDefault="001847A4" w:rsidP="00826069">
      <w:pPr>
        <w:ind w:firstLine="708"/>
        <w:jc w:val="both"/>
      </w:pPr>
      <w:r w:rsidRPr="00386176">
        <w:t xml:space="preserve">De acordo com </w:t>
      </w:r>
      <w:r w:rsidRPr="00386176">
        <w:rPr>
          <w:noProof/>
        </w:rPr>
        <w:t>Wooldridge (2010)</w:t>
      </w:r>
      <w:r w:rsidRPr="00386176">
        <w:t>, a principal motivação para o uso de dados em painel é resolver o problema de variáveis omitidas, permitindo estimadores consistentes. Assim, considera-se a seguinte equação:</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gridCol w:w="473"/>
      </w:tblGrid>
      <w:tr w:rsidR="001847A4" w:rsidRPr="00386176" w:rsidTr="00585461">
        <w:trPr>
          <w:jc w:val="right"/>
        </w:trPr>
        <w:tc>
          <w:tcPr>
            <w:tcW w:w="8706" w:type="dxa"/>
            <w:vAlign w:val="center"/>
          </w:tcPr>
          <w:p w:rsidR="001847A4" w:rsidRPr="00386176" w:rsidRDefault="003564B8" w:rsidP="0082606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m:t>
                    </m:r>
                  </m:sup>
                </m:sSubSup>
                <m:r>
                  <w:rPr>
                    <w:rFonts w:ascii="Cambria Math" w:hAnsi="Cambria Math"/>
                  </w:rPr>
                  <m:t>β+</m:t>
                </m:r>
                <m:sSub>
                  <m:sSubPr>
                    <m:ctrlPr>
                      <w:rPr>
                        <w:rFonts w:ascii="Cambria Math" w:hAnsi="Cambria Math"/>
                        <w:i/>
                      </w:rPr>
                    </m:ctrlPr>
                  </m:sSubPr>
                  <m:e>
                    <m:r>
                      <w:rPr>
                        <w:rFonts w:ascii="Cambria Math" w:hAnsi="Cambria Math"/>
                      </w:rPr>
                      <m:t>ϑ</m:t>
                    </m:r>
                  </m:e>
                  <m:sub>
                    <m:r>
                      <w:rPr>
                        <w:rFonts w:ascii="Cambria Math" w:hAnsi="Cambria Math"/>
                      </w:rPr>
                      <m:t>it</m:t>
                    </m:r>
                  </m:sub>
                </m:sSub>
                <m:r>
                  <w:rPr>
                    <w:rFonts w:ascii="Cambria Math" w:hAnsi="Cambria Math"/>
                  </w:rPr>
                  <m:t>,  t=1,2,…,T</m:t>
                </m:r>
              </m:oMath>
            </m:oMathPara>
          </w:p>
        </w:tc>
        <w:tc>
          <w:tcPr>
            <w:tcW w:w="473" w:type="dxa"/>
            <w:vAlign w:val="center"/>
          </w:tcPr>
          <w:p w:rsidR="001847A4" w:rsidRPr="00386176" w:rsidRDefault="001847A4" w:rsidP="00826069">
            <w:pPr>
              <w:pStyle w:val="Legenda"/>
              <w:keepNext/>
              <w:spacing w:after="0" w:line="240" w:lineRule="auto"/>
              <w:jc w:val="center"/>
              <w:rPr>
                <w:b w:val="0"/>
                <w:color w:val="auto"/>
                <w:sz w:val="22"/>
                <w:szCs w:val="22"/>
              </w:rPr>
            </w:pPr>
            <w:r w:rsidRPr="00386176">
              <w:rPr>
                <w:b w:val="0"/>
                <w:color w:val="auto"/>
                <w:sz w:val="22"/>
                <w:szCs w:val="22"/>
              </w:rPr>
              <w:t>(</w:t>
            </w:r>
            <w:r w:rsidRPr="00386176">
              <w:rPr>
                <w:b w:val="0"/>
                <w:color w:val="auto"/>
                <w:sz w:val="22"/>
                <w:szCs w:val="22"/>
              </w:rPr>
              <w:fldChar w:fldCharType="begin"/>
            </w:r>
            <w:r w:rsidRPr="00386176">
              <w:rPr>
                <w:b w:val="0"/>
                <w:color w:val="auto"/>
                <w:sz w:val="22"/>
                <w:szCs w:val="22"/>
              </w:rPr>
              <w:instrText xml:space="preserve"> SEQ Equação \* ARABIC </w:instrText>
            </w:r>
            <w:r w:rsidRPr="00386176">
              <w:rPr>
                <w:b w:val="0"/>
                <w:color w:val="auto"/>
                <w:sz w:val="22"/>
                <w:szCs w:val="22"/>
              </w:rPr>
              <w:fldChar w:fldCharType="separate"/>
            </w:r>
            <w:r w:rsidR="00103018">
              <w:rPr>
                <w:b w:val="0"/>
                <w:noProof/>
                <w:color w:val="auto"/>
                <w:sz w:val="22"/>
                <w:szCs w:val="22"/>
              </w:rPr>
              <w:t>6</w:t>
            </w:r>
            <w:r w:rsidRPr="00386176">
              <w:rPr>
                <w:b w:val="0"/>
                <w:color w:val="auto"/>
                <w:sz w:val="22"/>
                <w:szCs w:val="22"/>
              </w:rPr>
              <w:fldChar w:fldCharType="end"/>
            </w:r>
            <w:r w:rsidRPr="00386176">
              <w:rPr>
                <w:b w:val="0"/>
                <w:color w:val="auto"/>
                <w:sz w:val="22"/>
                <w:szCs w:val="22"/>
              </w:rPr>
              <w:t>)</w:t>
            </w:r>
          </w:p>
          <w:p w:rsidR="001847A4" w:rsidRPr="00386176" w:rsidRDefault="001847A4" w:rsidP="00826069">
            <w:pPr>
              <w:jc w:val="center"/>
              <w:rPr>
                <w:b/>
                <w:sz w:val="20"/>
                <w:szCs w:val="20"/>
              </w:rPr>
            </w:pPr>
          </w:p>
        </w:tc>
      </w:tr>
    </w:tbl>
    <w:p w:rsidR="001847A4" w:rsidRPr="00386176" w:rsidRDefault="001847A4" w:rsidP="00DF44FD">
      <w:pPr>
        <w:spacing w:before="120"/>
        <w:jc w:val="both"/>
      </w:pPr>
      <w:proofErr w:type="gramStart"/>
      <w:r w:rsidRPr="00386176">
        <w:t>onde</w:t>
      </w:r>
      <w:proofErr w:type="gramEnd"/>
      <w:r w:rsidRPr="00386176">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386176">
        <w:t xml:space="preserve"> é um vetor de variáveis explicativas que contém as variáveis constantes entre indivíduos mas não no tempo, variáveis constantes no tempo mas que variam entre indivíduos e variáveis que se alteram tanto no tempo quanto entre indivíduos;</w:t>
      </w:r>
      <m:oMath>
        <m:r>
          <w:rPr>
            <w:rFonts w:ascii="Cambria Math" w:hAnsi="Cambria Math"/>
          </w:rPr>
          <m:t xml:space="preserve"> </m:t>
        </m:r>
        <m:sSub>
          <m:sSubPr>
            <m:ctrlPr>
              <w:rPr>
                <w:rFonts w:ascii="Cambria Math" w:hAnsi="Cambria Math"/>
                <w:i/>
              </w:rPr>
            </m:ctrlPr>
          </m:sSubPr>
          <m:e>
            <m:r>
              <w:rPr>
                <w:rFonts w:ascii="Cambria Math" w:hAnsi="Cambria Math"/>
              </w:rPr>
              <m:t>ϑ</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r w:rsidRPr="00386176">
        <w:t xml:space="preserve"> é o termo de erro composto no qual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é o efeito não observado, também denominado efeito fixo, e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386176">
        <w:t xml:space="preserve"> é o erro idiossincrático. </w:t>
      </w:r>
    </w:p>
    <w:p w:rsidR="001847A4" w:rsidRPr="00386176" w:rsidRDefault="001847A4" w:rsidP="00826069">
      <w:pPr>
        <w:jc w:val="both"/>
      </w:pPr>
      <w:r w:rsidRPr="00386176">
        <w:tab/>
        <w:t xml:space="preserve">A estimação de dados em painel por meio do estimador </w:t>
      </w:r>
      <w:proofErr w:type="spellStart"/>
      <w:r w:rsidRPr="00386176">
        <w:rPr>
          <w:i/>
        </w:rPr>
        <w:t>Pooled</w:t>
      </w:r>
      <w:proofErr w:type="spellEnd"/>
      <w:r w:rsidRPr="00386176">
        <w:t xml:space="preserve"> OLS</w:t>
      </w:r>
      <w:r w:rsidRPr="00386176">
        <w:rPr>
          <w:rStyle w:val="Refdenotaderodap"/>
        </w:rPr>
        <w:footnoteReference w:id="5"/>
      </w:r>
      <w:r w:rsidRPr="00386176">
        <w:t xml:space="preserve"> não é eficiente, dado que </w:t>
      </w:r>
      <m:oMath>
        <m:sSub>
          <m:sSubPr>
            <m:ctrlPr>
              <w:rPr>
                <w:rFonts w:ascii="Cambria Math" w:hAnsi="Cambria Math"/>
                <w:i/>
              </w:rPr>
            </m:ctrlPr>
          </m:sSubPr>
          <m:e>
            <m:r>
              <w:rPr>
                <w:rFonts w:ascii="Cambria Math" w:hAnsi="Cambria Math"/>
              </w:rPr>
              <m:t>ϑ</m:t>
            </m:r>
          </m:e>
          <m:sub>
            <m:r>
              <w:rPr>
                <w:rFonts w:ascii="Cambria Math" w:hAnsi="Cambria Math"/>
              </w:rPr>
              <m:t>it</m:t>
            </m:r>
          </m:sub>
        </m:sSub>
      </m:oMath>
      <w:r w:rsidRPr="00386176">
        <w:t xml:space="preserve"> será correlacionado em série por causa da presença 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em todos os períodos de tempo. Deste modo, para garantir a eficiência dos estimadores é necessário saber qual tratamento deve ser dado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que será denominado efeito aleatório quando tratado como uma variável aleatória ou efeito fixo quando tratado como um parâmetro a ser estimado para cada indivíduo </w:t>
      </w:r>
      <m:oMath>
        <m:r>
          <w:rPr>
            <w:rFonts w:ascii="Cambria Math" w:hAnsi="Cambria Math"/>
          </w:rPr>
          <m:t>i</m:t>
        </m:r>
      </m:oMath>
      <w:r w:rsidRPr="00386176">
        <w:t>. Conforme Wooldridge (2010), se o modelo for estimado por efeitos aleatórios,</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será incorporado ao termo de erro e a autocorrelação serial será eliminada por meio de </w:t>
      </w:r>
      <w:proofErr w:type="spellStart"/>
      <w:r w:rsidRPr="00386176">
        <w:rPr>
          <w:i/>
        </w:rPr>
        <w:t>Generalized</w:t>
      </w:r>
      <w:proofErr w:type="spellEnd"/>
      <w:r w:rsidRPr="00386176">
        <w:rPr>
          <w:i/>
        </w:rPr>
        <w:t xml:space="preserve"> </w:t>
      </w:r>
      <w:proofErr w:type="spellStart"/>
      <w:r w:rsidRPr="00386176">
        <w:rPr>
          <w:i/>
        </w:rPr>
        <w:t>Least</w:t>
      </w:r>
      <w:proofErr w:type="spellEnd"/>
      <w:r w:rsidRPr="00386176">
        <w:rPr>
          <w:i/>
        </w:rPr>
        <w:t xml:space="preserve"> </w:t>
      </w:r>
      <w:proofErr w:type="spellStart"/>
      <w:r w:rsidRPr="00386176">
        <w:rPr>
          <w:i/>
        </w:rPr>
        <w:t>Squares</w:t>
      </w:r>
      <w:proofErr w:type="spellEnd"/>
      <w:r w:rsidRPr="00386176">
        <w:t xml:space="preserve"> – GLS. Nesse caso, assumem-se as hipóteses de </w:t>
      </w:r>
      <w:proofErr w:type="spellStart"/>
      <w:r w:rsidRPr="00386176">
        <w:t>exogeneidade</w:t>
      </w:r>
      <w:proofErr w:type="spellEnd"/>
      <w:r w:rsidRPr="00386176">
        <w:t xml:space="preserve"> estrita e ortogonalidade entre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386176">
        <w:t xml:space="preserve">. Por outro lado, quando estimado por efeitos fixos, o modelo inclui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como intercepto para cada indivíduo </w:t>
      </w:r>
      <m:oMath>
        <m:r>
          <w:rPr>
            <w:rFonts w:ascii="Cambria Math" w:hAnsi="Cambria Math"/>
          </w:rPr>
          <m:t>i</m:t>
        </m:r>
      </m:oMath>
      <w:r w:rsidRPr="00386176">
        <w:t xml:space="preserve"> e a autocorrelação serial será eliminada por meio de uma transformação da equação (6) de modo a excluir o efeito não observado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Essa transformação pode ocorrer de três formas principais: transformação por primeira diferença, transformação de efeitos fixos com dados centrados na média (</w:t>
      </w:r>
      <w:proofErr w:type="spellStart"/>
      <w:r w:rsidRPr="00386176">
        <w:rPr>
          <w:i/>
        </w:rPr>
        <w:t>within</w:t>
      </w:r>
      <w:proofErr w:type="spellEnd"/>
      <w:r w:rsidRPr="00386176">
        <w:rPr>
          <w:i/>
        </w:rPr>
        <w:t xml:space="preserve"> </w:t>
      </w:r>
      <w:proofErr w:type="spellStart"/>
      <w:r w:rsidRPr="00386176">
        <w:rPr>
          <w:i/>
        </w:rPr>
        <w:t>transformation</w:t>
      </w:r>
      <w:proofErr w:type="spellEnd"/>
      <w:r w:rsidRPr="00386176">
        <w:t xml:space="preserve">) e regressão de variáveis </w:t>
      </w:r>
      <w:proofErr w:type="spellStart"/>
      <w:r w:rsidRPr="00386176">
        <w:rPr>
          <w:i/>
        </w:rPr>
        <w:t>dummy</w:t>
      </w:r>
      <w:proofErr w:type="spellEnd"/>
      <w:r w:rsidRPr="00386176">
        <w:rPr>
          <w:i/>
        </w:rPr>
        <w:t>.</w:t>
      </w:r>
      <w:r w:rsidRPr="00386176">
        <w:t xml:space="preserve"> Para o estimador de efeitos fixos, assume-se a hipótese de </w:t>
      </w:r>
      <w:proofErr w:type="spellStart"/>
      <w:r w:rsidRPr="00386176">
        <w:t>exogeneidade</w:t>
      </w:r>
      <w:proofErr w:type="spellEnd"/>
      <w:r w:rsidRPr="00386176">
        <w:t xml:space="preserve"> estrita das variáveis explanatórias condicional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w:t>
      </w:r>
    </w:p>
    <w:p w:rsidR="001847A4" w:rsidRPr="00386176" w:rsidRDefault="001847A4" w:rsidP="00826069">
      <w:pPr>
        <w:ind w:firstLine="708"/>
        <w:jc w:val="both"/>
      </w:pPr>
      <w:r w:rsidRPr="00386176">
        <w:t xml:space="preserve">Visando a identificar o estimador adequado, utiliza-se o teste de </w:t>
      </w:r>
      <w:proofErr w:type="spellStart"/>
      <w:r w:rsidRPr="00386176">
        <w:rPr>
          <w:i/>
        </w:rPr>
        <w:t>Hausman</w:t>
      </w:r>
      <w:proofErr w:type="spellEnd"/>
      <w:r w:rsidRPr="00386176">
        <w:t xml:space="preserve"> que testa a correlação entre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386176">
        <w:t xml:space="preserve"> 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Uma vez que o estimador por efeitos fixos permanece consistente quando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386176">
        <w:t xml:space="preserve"> 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são correlacionados, mas o estimador por efeitos aleatórios torna-se inconsistente, o teste possui as s</w:t>
      </w:r>
      <w:proofErr w:type="spellStart"/>
      <w:r w:rsidRPr="00386176">
        <w:t>eguintes</w:t>
      </w:r>
      <w:proofErr w:type="spellEnd"/>
      <w:r w:rsidRPr="00386176">
        <w:t xml:space="preserve"> hipóteses:</w:t>
      </w:r>
    </w:p>
    <w:p w:rsidR="001847A4" w:rsidRPr="00386176" w:rsidRDefault="003564B8" w:rsidP="00826069">
      <w:pPr>
        <w:ind w:firstLine="708"/>
        <w:jc w:val="both"/>
        <w:rPr>
          <w:lang w:val="en-US"/>
        </w:rPr>
      </w:pPr>
      <m:oMathPara>
        <m:oMath>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0</m:t>
              </m:r>
            </m:sub>
          </m:sSub>
          <m:r>
            <m:rPr>
              <m:sty m:val="p"/>
            </m:rPr>
            <w:rPr>
              <w:rFonts w:ascii="Cambria Math" w:hAnsi="Cambria Math"/>
              <w:lang w:val="en-US"/>
            </w:rPr>
            <m:t>:Corr</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it</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i</m:t>
                  </m:r>
                </m:sub>
              </m:sSub>
            </m:e>
          </m:d>
          <m:r>
            <m:rPr>
              <m:sty m:val="p"/>
            </m:rPr>
            <w:rPr>
              <w:rFonts w:ascii="Cambria Math" w:hAnsi="Cambria Math"/>
              <w:lang w:val="en-US"/>
            </w:rPr>
            <m:t>=0 →Efeitos Aleatórios</m:t>
          </m:r>
        </m:oMath>
      </m:oMathPara>
    </w:p>
    <w:p w:rsidR="001847A4" w:rsidRPr="00386176" w:rsidRDefault="003564B8" w:rsidP="00826069">
      <w:pPr>
        <w:ind w:firstLine="708"/>
        <w:jc w:val="both"/>
        <w:rPr>
          <w:lang w:val="en-US"/>
        </w:rPr>
      </w:pPr>
      <m:oMathPara>
        <m:oMath>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a</m:t>
              </m:r>
            </m:sub>
          </m:sSub>
          <m:r>
            <m:rPr>
              <m:sty m:val="p"/>
            </m:rPr>
            <w:rPr>
              <w:rFonts w:ascii="Cambria Math" w:hAnsi="Cambria Math"/>
              <w:lang w:val="en-US"/>
            </w:rPr>
            <m:t>:Corr</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it</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i</m:t>
                  </m:r>
                </m:sub>
              </m:sSub>
            </m:e>
          </m:d>
          <m:r>
            <m:rPr>
              <m:sty m:val="p"/>
            </m:rPr>
            <w:rPr>
              <w:rFonts w:ascii="Cambria Math" w:hAnsi="Cambria Math"/>
              <w:lang w:val="en-US"/>
            </w:rPr>
            <m:t>≠0→Efeitos Fixos</m:t>
          </m:r>
        </m:oMath>
      </m:oMathPara>
    </w:p>
    <w:p w:rsidR="001847A4" w:rsidRPr="00DF44FD" w:rsidRDefault="001847A4" w:rsidP="004D3C47">
      <w:pPr>
        <w:pStyle w:val="Ttulo3"/>
        <w:numPr>
          <w:ilvl w:val="1"/>
          <w:numId w:val="14"/>
        </w:numPr>
        <w:spacing w:before="240" w:line="240" w:lineRule="auto"/>
        <w:ind w:left="567" w:hanging="567"/>
        <w:rPr>
          <w:rFonts w:ascii="Times New Roman" w:hAnsi="Times New Roman" w:cs="Times New Roman"/>
          <w:b w:val="0"/>
        </w:rPr>
      </w:pPr>
      <w:bookmarkStart w:id="58" w:name="_Toc451294369"/>
      <w:r w:rsidRPr="00DF44FD">
        <w:rPr>
          <w:rFonts w:ascii="Times New Roman" w:hAnsi="Times New Roman" w:cs="Times New Roman"/>
          <w:b w:val="0"/>
        </w:rPr>
        <w:t>P</w:t>
      </w:r>
      <w:r w:rsidR="00DF44FD" w:rsidRPr="00DF44FD">
        <w:rPr>
          <w:rFonts w:ascii="Times New Roman" w:hAnsi="Times New Roman" w:cs="Times New Roman"/>
          <w:b w:val="0"/>
        </w:rPr>
        <w:t>AINEL DINÂMICO</w:t>
      </w:r>
      <w:bookmarkEnd w:id="58"/>
      <w:r w:rsidRPr="00DF44FD">
        <w:rPr>
          <w:rFonts w:ascii="Times New Roman" w:hAnsi="Times New Roman" w:cs="Times New Roman"/>
          <w:b w:val="0"/>
        </w:rPr>
        <w:t xml:space="preserve"> </w:t>
      </w:r>
    </w:p>
    <w:p w:rsidR="001847A4" w:rsidRPr="00386176" w:rsidRDefault="001847A4" w:rsidP="00826069">
      <w:pPr>
        <w:ind w:firstLine="708"/>
        <w:jc w:val="both"/>
      </w:pPr>
      <w:r w:rsidRPr="00386176">
        <w:t xml:space="preserve">Conforme </w:t>
      </w:r>
      <w:r w:rsidRPr="00386176">
        <w:rPr>
          <w:noProof/>
        </w:rPr>
        <w:t>Cameron e Trivedi (2009)</w:t>
      </w:r>
      <w:r w:rsidRPr="00386176">
        <w:t xml:space="preserve">, para o painel dinâmico considera-se um modelo geral </w:t>
      </w:r>
      <w:proofErr w:type="spellStart"/>
      <w:r w:rsidRPr="00386176">
        <w:t>autorregressivo</w:t>
      </w:r>
      <w:proofErr w:type="spellEnd"/>
      <w:r w:rsidRPr="00386176">
        <w:t xml:space="preserve"> de ordem </w:t>
      </w:r>
      <m:oMath>
        <m:r>
          <w:rPr>
            <w:rFonts w:ascii="Cambria Math" w:hAnsi="Cambria Math"/>
          </w:rPr>
          <m:t>p</m:t>
        </m:r>
      </m:oMath>
      <w:r w:rsidRPr="00386176">
        <w:t xml:space="preserve"> em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86176">
        <w:t xml:space="preserve"> contendo </w:t>
      </w:r>
      <m:oMath>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i,t-p</m:t>
            </m:r>
          </m:sub>
        </m:sSub>
      </m:oMath>
      <w:r w:rsidRPr="00386176">
        <w:t xml:space="preserve"> como regressores:</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3"/>
        <w:gridCol w:w="496"/>
      </w:tblGrid>
      <w:tr w:rsidR="001847A4" w:rsidRPr="00386176" w:rsidTr="00A271A9">
        <w:trPr>
          <w:jc w:val="right"/>
        </w:trPr>
        <w:tc>
          <w:tcPr>
            <w:tcW w:w="8683" w:type="dxa"/>
          </w:tcPr>
          <w:p w:rsidR="001847A4" w:rsidRPr="00386176" w:rsidRDefault="003564B8" w:rsidP="00826069">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i,t-p</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m:t>
                    </m:r>
                  </m:sup>
                </m:sSubSup>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t=p+1,…,T</m:t>
                </m:r>
              </m:oMath>
            </m:oMathPara>
          </w:p>
        </w:tc>
        <w:tc>
          <w:tcPr>
            <w:tcW w:w="0" w:type="auto"/>
          </w:tcPr>
          <w:p w:rsidR="001847A4" w:rsidRPr="00386176" w:rsidRDefault="001847A4" w:rsidP="00826069">
            <w:pPr>
              <w:jc w:val="both"/>
            </w:pPr>
            <w:r w:rsidRPr="00386176">
              <w:t>(</w:t>
            </w:r>
            <w:r w:rsidR="003564B8">
              <w:fldChar w:fldCharType="begin"/>
            </w:r>
            <w:r w:rsidR="003564B8">
              <w:instrText xml:space="preserve"> SEQ Equação \* ARABIC </w:instrText>
            </w:r>
            <w:r w:rsidR="003564B8">
              <w:fldChar w:fldCharType="separate"/>
            </w:r>
            <w:r w:rsidR="00103018">
              <w:rPr>
                <w:noProof/>
              </w:rPr>
              <w:t>7</w:t>
            </w:r>
            <w:r w:rsidR="003564B8">
              <w:rPr>
                <w:noProof/>
              </w:rPr>
              <w:fldChar w:fldCharType="end"/>
            </w:r>
            <w:r w:rsidRPr="00386176">
              <w:t>)</w:t>
            </w:r>
          </w:p>
        </w:tc>
      </w:tr>
    </w:tbl>
    <w:p w:rsidR="001847A4" w:rsidRPr="00386176" w:rsidRDefault="001847A4" w:rsidP="00826069">
      <w:pPr>
        <w:jc w:val="both"/>
      </w:pPr>
      <w:proofErr w:type="gramStart"/>
      <w:r w:rsidRPr="00386176">
        <w:t>onde</w:t>
      </w:r>
      <w:proofErr w:type="gramEnd"/>
      <w:r w:rsidRPr="00386176">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86176">
        <w:t xml:space="preserve"> é um efeito fixo. Assume-se que os regressores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386176">
        <w:t xml:space="preserve"> são não correlacionados com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386176">
        <w:t xml:space="preserve">. </w:t>
      </w:r>
    </w:p>
    <w:p w:rsidR="001847A4" w:rsidRPr="00386176" w:rsidRDefault="001847A4" w:rsidP="00826069">
      <w:pPr>
        <w:ind w:firstLine="708"/>
        <w:jc w:val="both"/>
      </w:pPr>
      <w:r w:rsidRPr="00386176">
        <w:t xml:space="preserve">De acordo com </w:t>
      </w:r>
      <w:r w:rsidRPr="00386176">
        <w:rPr>
          <w:noProof/>
        </w:rPr>
        <w:t>Nickell (1981)</w:t>
      </w:r>
      <w:r w:rsidRPr="00386176">
        <w:t xml:space="preserve">, a utilização do estimador </w:t>
      </w:r>
      <w:proofErr w:type="spellStart"/>
      <w:r w:rsidRPr="00386176">
        <w:rPr>
          <w:i/>
        </w:rPr>
        <w:t>within-group</w:t>
      </w:r>
      <w:proofErr w:type="spellEnd"/>
      <w:r w:rsidRPr="00386176">
        <w:rPr>
          <w:rStyle w:val="Refdenotaderodap"/>
          <w:i/>
        </w:rPr>
        <w:footnoteReference w:id="6"/>
      </w:r>
      <w:r w:rsidRPr="00386176">
        <w:t xml:space="preserve"> para modelos dinâmicos com efeitos fixos pode gerar estimativas inconsistentes na medida em que o número de indivíduos </w:t>
      </w:r>
      <m:oMath>
        <m:r>
          <w:rPr>
            <w:rFonts w:ascii="Cambria Math" w:hAnsi="Cambria Math"/>
          </w:rPr>
          <m:t>N</m:t>
        </m:r>
      </m:oMath>
      <w:r w:rsidRPr="00386176">
        <w:t xml:space="preserve"> aumenta e o número de períodos </w:t>
      </w:r>
      <m:oMath>
        <m:r>
          <w:rPr>
            <w:rFonts w:ascii="Cambria Math" w:hAnsi="Cambria Math"/>
          </w:rPr>
          <m:t>T</m:t>
        </m:r>
      </m:oMath>
      <w:r w:rsidRPr="00386176">
        <w:t xml:space="preserve"> permanece fixo. Isso decorre do fato de que a var</w:t>
      </w:r>
      <w:proofErr w:type="spellStart"/>
      <w:r w:rsidRPr="00386176">
        <w:t>iável</w:t>
      </w:r>
      <w:proofErr w:type="spellEnd"/>
      <w:r w:rsidRPr="00386176">
        <w:t xml:space="preserve"> dependente defasada será correlacionada com o termo de erro idiossincrático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386176">
        <w:t>. Como consequência, essa correlação cria um viés na estimativa do coeficiente da variável dependente desfasada, o qual não é mitigado aumentando-se o número de indivíd</w:t>
      </w:r>
      <w:proofErr w:type="spellStart"/>
      <w:r w:rsidRPr="00386176">
        <w:t>uos</w:t>
      </w:r>
      <w:proofErr w:type="spellEnd"/>
      <w:r w:rsidRPr="00386176">
        <w:t>.</w:t>
      </w:r>
    </w:p>
    <w:p w:rsidR="001847A4" w:rsidRPr="00386176" w:rsidRDefault="001847A4" w:rsidP="00826069">
      <w:pPr>
        <w:ind w:firstLine="708"/>
        <w:jc w:val="both"/>
      </w:pPr>
      <w:r w:rsidRPr="00386176">
        <w:t xml:space="preserve">Por isso, esse tipo de estimação requer um tratamento diferenciado. Dentre as formas de tratamento desse problema existentes na literatura, destacam-se os estimadores de </w:t>
      </w:r>
      <w:r w:rsidRPr="00386176">
        <w:rPr>
          <w:noProof/>
        </w:rPr>
        <w:t>Arellano e Bond (1991)</w:t>
      </w:r>
      <w:r w:rsidRPr="00386176">
        <w:t xml:space="preserve"> e </w:t>
      </w:r>
      <w:r w:rsidRPr="00386176">
        <w:rPr>
          <w:noProof/>
        </w:rPr>
        <w:t>Arellano e Bover (1995)</w:t>
      </w:r>
      <w:r w:rsidRPr="00386176">
        <w:t xml:space="preserve">. O estimador de </w:t>
      </w:r>
      <w:proofErr w:type="spellStart"/>
      <w:r w:rsidRPr="00386176">
        <w:t>Arellano</w:t>
      </w:r>
      <w:proofErr w:type="spellEnd"/>
      <w:r w:rsidRPr="00386176">
        <w:t xml:space="preserve"> e Bond (1991), também conhecido como Diferença GMM, elimina os efeitos fixos de cada indivíduo por meio da transformação de primeira diferença e utiliza GMM para estimar os parâmetros.</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gridCol w:w="473"/>
      </w:tblGrid>
      <w:tr w:rsidR="001847A4" w:rsidRPr="00386176" w:rsidTr="00A271A9">
        <w:trPr>
          <w:jc w:val="right"/>
        </w:trPr>
        <w:tc>
          <w:tcPr>
            <w:tcW w:w="8706" w:type="dxa"/>
          </w:tcPr>
          <w:p w:rsidR="001847A4" w:rsidRPr="00386176" w:rsidRDefault="001847A4" w:rsidP="00826069">
            <w:pPr>
              <w:jc w:val="both"/>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rPr>
                      <m:t>it</m:t>
                    </m:r>
                    <m:ctrlPr>
                      <w:rPr>
                        <w:rFonts w:ascii="Cambria Math" w:hAnsi="Cambria Math"/>
                        <w:i/>
                      </w:rPr>
                    </m:ctrlPr>
                  </m:sub>
                  <m:sup>
                    <m:r>
                      <w:rPr>
                        <w:rFonts w:ascii="Cambria Math" w:hAnsi="Cambria Math"/>
                        <w:lang w:val="en-US"/>
                      </w:rPr>
                      <m:t>'</m:t>
                    </m:r>
                  </m:sup>
                </m:sSubSup>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tc>
        <w:tc>
          <w:tcPr>
            <w:tcW w:w="0" w:type="auto"/>
          </w:tcPr>
          <w:p w:rsidR="001847A4" w:rsidRPr="00386176" w:rsidRDefault="001847A4" w:rsidP="00826069">
            <w:pPr>
              <w:pStyle w:val="Legenda"/>
              <w:keepNext/>
              <w:spacing w:line="240" w:lineRule="auto"/>
              <w:jc w:val="both"/>
              <w:rPr>
                <w:color w:val="auto"/>
              </w:rPr>
            </w:pPr>
            <w:r w:rsidRPr="00386176">
              <w:rPr>
                <w:b w:val="0"/>
                <w:bCs w:val="0"/>
                <w:noProof/>
                <w:color w:val="auto"/>
                <w:sz w:val="22"/>
                <w:szCs w:val="22"/>
              </w:rPr>
              <w:t>(</w:t>
            </w:r>
            <w:r w:rsidRPr="00386176">
              <w:rPr>
                <w:b w:val="0"/>
                <w:bCs w:val="0"/>
                <w:noProof/>
                <w:color w:val="auto"/>
                <w:sz w:val="22"/>
                <w:szCs w:val="22"/>
              </w:rPr>
              <w:fldChar w:fldCharType="begin"/>
            </w:r>
            <w:r w:rsidRPr="00386176">
              <w:rPr>
                <w:b w:val="0"/>
                <w:bCs w:val="0"/>
                <w:noProof/>
                <w:color w:val="auto"/>
                <w:sz w:val="22"/>
                <w:szCs w:val="22"/>
              </w:rPr>
              <w:instrText xml:space="preserve"> SEQ Equação \* ARABIC </w:instrText>
            </w:r>
            <w:r w:rsidRPr="00386176">
              <w:rPr>
                <w:b w:val="0"/>
                <w:bCs w:val="0"/>
                <w:noProof/>
                <w:color w:val="auto"/>
                <w:sz w:val="22"/>
                <w:szCs w:val="22"/>
              </w:rPr>
              <w:fldChar w:fldCharType="separate"/>
            </w:r>
            <w:r w:rsidR="00103018">
              <w:rPr>
                <w:b w:val="0"/>
                <w:bCs w:val="0"/>
                <w:noProof/>
                <w:color w:val="auto"/>
                <w:sz w:val="22"/>
                <w:szCs w:val="22"/>
              </w:rPr>
              <w:t>8</w:t>
            </w:r>
            <w:r w:rsidRPr="00386176">
              <w:rPr>
                <w:b w:val="0"/>
                <w:bCs w:val="0"/>
                <w:noProof/>
                <w:color w:val="auto"/>
                <w:sz w:val="22"/>
                <w:szCs w:val="22"/>
              </w:rPr>
              <w:fldChar w:fldCharType="end"/>
            </w:r>
            <w:r w:rsidRPr="00386176">
              <w:rPr>
                <w:b w:val="0"/>
                <w:bCs w:val="0"/>
                <w:noProof/>
                <w:color w:val="auto"/>
                <w:sz w:val="22"/>
                <w:szCs w:val="22"/>
              </w:rPr>
              <w:t>)</w:t>
            </w:r>
          </w:p>
        </w:tc>
      </w:tr>
    </w:tbl>
    <w:p w:rsidR="001847A4" w:rsidRPr="00386176" w:rsidRDefault="001847A4" w:rsidP="00826069">
      <w:pPr>
        <w:ind w:firstLine="708"/>
        <w:jc w:val="both"/>
      </w:pPr>
      <w:r w:rsidRPr="00386176">
        <w:t xml:space="preserve">Apesar dessa transformação eliminar o efeito fixo, de acordo com </w:t>
      </w:r>
      <w:proofErr w:type="spellStart"/>
      <w:r w:rsidRPr="00386176">
        <w:t>Roodman</w:t>
      </w:r>
      <w:proofErr w:type="spellEnd"/>
      <w:r w:rsidRPr="00386176">
        <w:t xml:space="preserve"> (2009), a variável dependente defasada continua endógena, pois o termo  </w:t>
      </w:r>
      <m:oMath>
        <m:sSub>
          <m:sSubPr>
            <m:ctrlPr>
              <w:rPr>
                <w:rFonts w:ascii="Cambria Math" w:hAnsi="Cambria Math"/>
                <w:i/>
              </w:rPr>
            </m:ctrlPr>
          </m:sSubPr>
          <m:e>
            <m:r>
              <w:rPr>
                <w:rFonts w:ascii="Cambria Math" w:hAnsi="Cambria Math"/>
              </w:rPr>
              <m:t>y</m:t>
            </m:r>
          </m:e>
          <m:sub>
            <m:r>
              <w:rPr>
                <w:rFonts w:ascii="Cambria Math" w:hAnsi="Cambria Math"/>
              </w:rPr>
              <m:t>i,t-1</m:t>
            </m:r>
          </m:sub>
        </m:sSub>
      </m:oMath>
      <w:r w:rsidRPr="00386176">
        <w:t xml:space="preserve"> em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i,t-2</m:t>
            </m:r>
          </m:sub>
        </m:sSub>
      </m:oMath>
      <w:r w:rsidRPr="00386176">
        <w:t xml:space="preserve"> é correlacionado com </w:t>
      </w:r>
      <m:oMath>
        <m:sSub>
          <m:sSubPr>
            <m:ctrlPr>
              <w:rPr>
                <w:rFonts w:ascii="Cambria Math" w:hAnsi="Cambria Math"/>
                <w:i/>
              </w:rPr>
            </m:ctrlPr>
          </m:sSubPr>
          <m:e>
            <m:r>
              <w:rPr>
                <w:rFonts w:ascii="Cambria Math" w:hAnsi="Cambria Math"/>
              </w:rPr>
              <m:t>u</m:t>
            </m:r>
          </m:e>
          <m:sub>
            <m:r>
              <w:rPr>
                <w:rFonts w:ascii="Cambria Math" w:hAnsi="Cambria Math"/>
              </w:rPr>
              <m:t>i,t-1</m:t>
            </m:r>
          </m:sub>
        </m:sSub>
      </m:oMath>
      <w:r w:rsidRPr="00386176">
        <w:t xml:space="preserve"> em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i,t-1</m:t>
            </m:r>
          </m:sub>
        </m:sSub>
      </m:oMath>
      <w:r w:rsidRPr="00386176">
        <w:t>.</w:t>
      </w:r>
    </w:p>
    <w:p w:rsidR="001847A4" w:rsidRPr="00386176" w:rsidRDefault="001847A4" w:rsidP="00826069">
      <w:pPr>
        <w:ind w:firstLine="708"/>
        <w:jc w:val="both"/>
      </w:pPr>
      <w:r w:rsidRPr="00386176">
        <w:t xml:space="preserve">Já o estimador </w:t>
      </w:r>
      <w:proofErr w:type="spellStart"/>
      <w:r w:rsidRPr="00386176">
        <w:t>Arellano</w:t>
      </w:r>
      <w:proofErr w:type="spellEnd"/>
      <w:r w:rsidRPr="00386176">
        <w:t xml:space="preserve"> e </w:t>
      </w:r>
      <w:proofErr w:type="spellStart"/>
      <w:r w:rsidRPr="00386176">
        <w:t>Bover</w:t>
      </w:r>
      <w:proofErr w:type="spellEnd"/>
      <w:r w:rsidRPr="00386176">
        <w:t xml:space="preserve"> (1995) desenvolvido por </w:t>
      </w:r>
      <w:r w:rsidRPr="00386176">
        <w:rPr>
          <w:noProof/>
        </w:rPr>
        <w:t>B</w:t>
      </w:r>
      <w:proofErr w:type="spellStart"/>
      <w:r w:rsidRPr="00386176">
        <w:t>lundell</w:t>
      </w:r>
      <w:proofErr w:type="spellEnd"/>
      <w:r w:rsidRPr="00386176">
        <w:t xml:space="preserve"> e Bond (1998) corresponde a uma extensão do estimador original de </w:t>
      </w:r>
      <w:proofErr w:type="spellStart"/>
      <w:r w:rsidRPr="00386176">
        <w:t>Arellano</w:t>
      </w:r>
      <w:proofErr w:type="spellEnd"/>
      <w:r w:rsidRPr="00386176">
        <w:t xml:space="preserve"> e Bond (1991), no qual, segundo </w:t>
      </w:r>
      <w:proofErr w:type="spellStart"/>
      <w:r w:rsidRPr="00386176">
        <w:t>Roodman</w:t>
      </w:r>
      <w:proofErr w:type="spellEnd"/>
      <w:r w:rsidRPr="00386176">
        <w:t xml:space="preserve"> (2009), ao invés de subtrair a observação anterior da contemporânea, subtrai-se a média de todas as observações futuras disponíveis da variável. Logo, como as variáveis defasadas não entram na fórmula, são válidas como instrumentos. Além disso, esse estimador combina um sistema de regressões em diferenças com regressões em nível e, por isso, é conhecido como Sistema GMM. As regressões em diferença utilizam os mesmos instrumentos propostos por </w:t>
      </w:r>
      <w:proofErr w:type="spellStart"/>
      <w:r w:rsidRPr="00386176">
        <w:t>Arellano</w:t>
      </w:r>
      <w:proofErr w:type="spellEnd"/>
      <w:r w:rsidRPr="00386176">
        <w:t xml:space="preserve"> e Bond (1991). Já as variáveis instrumentais das regressões em nível são compostas pelas defasagens das variáveis explicativas em diferenças. Deste modo, </w:t>
      </w:r>
      <w:proofErr w:type="spellStart"/>
      <w:r w:rsidRPr="00386176">
        <w:t>Blundell</w:t>
      </w:r>
      <w:proofErr w:type="spellEnd"/>
      <w:r w:rsidRPr="00386176">
        <w:t xml:space="preserve"> e Bond (1998) demonstraram que, sob a hipótese de </w:t>
      </w:r>
      <w:proofErr w:type="spellStart"/>
      <w:r w:rsidRPr="00386176">
        <w:t>estacionaridade</w:t>
      </w:r>
      <w:proofErr w:type="spellEnd"/>
      <w:r w:rsidRPr="00386176">
        <w:t xml:space="preserve"> do painel, o estimador proposto é mais eficiente, apresentando menor variância que o estimador de </w:t>
      </w:r>
      <w:proofErr w:type="spellStart"/>
      <w:r w:rsidRPr="00386176">
        <w:t>Arellano</w:t>
      </w:r>
      <w:proofErr w:type="spellEnd"/>
      <w:r w:rsidRPr="00386176">
        <w:t xml:space="preserve"> e Bond (1991).</w:t>
      </w:r>
    </w:p>
    <w:p w:rsidR="001847A4" w:rsidRPr="00386176" w:rsidRDefault="001847A4" w:rsidP="00826069">
      <w:pPr>
        <w:ind w:firstLine="708"/>
        <w:jc w:val="both"/>
      </w:pPr>
      <w:r w:rsidRPr="00386176">
        <w:t xml:space="preserve">Como a consistência do estimador depende da validade dos instrumentos utilizados, deve-se realizar o teste de </w:t>
      </w:r>
      <w:proofErr w:type="spellStart"/>
      <w:r w:rsidRPr="00386176">
        <w:t>sobreidentificação</w:t>
      </w:r>
      <w:proofErr w:type="spellEnd"/>
      <w:r w:rsidRPr="00386176">
        <w:t xml:space="preserve"> que verifica se os instrumentos, como grupo, são </w:t>
      </w:r>
      <w:r w:rsidR="00AB343C">
        <w:t>ortogonais</w:t>
      </w:r>
      <w:r w:rsidRPr="00386176">
        <w:t xml:space="preserve">. Tendo em vista que a estatística de </w:t>
      </w:r>
      <w:proofErr w:type="spellStart"/>
      <w:r w:rsidRPr="00386176">
        <w:t>Sargan</w:t>
      </w:r>
      <w:proofErr w:type="spellEnd"/>
      <w:r w:rsidRPr="00386176">
        <w:t xml:space="preserve"> é inconsistente na presença de </w:t>
      </w:r>
      <w:proofErr w:type="spellStart"/>
      <w:r w:rsidRPr="00386176">
        <w:t>heterocedasticidade</w:t>
      </w:r>
      <w:proofErr w:type="spellEnd"/>
      <w:r w:rsidRPr="00386176">
        <w:t xml:space="preserve"> e </w:t>
      </w:r>
      <w:proofErr w:type="spellStart"/>
      <w:r w:rsidRPr="00386176">
        <w:t>autocorrelação</w:t>
      </w:r>
      <w:proofErr w:type="spellEnd"/>
      <w:r w:rsidRPr="00386176">
        <w:t xml:space="preserve"> serial, deve-se realizar o teste de </w:t>
      </w:r>
      <w:proofErr w:type="spellStart"/>
      <w:r w:rsidRPr="00386176">
        <w:t>sobreidentificação</w:t>
      </w:r>
      <w:proofErr w:type="spellEnd"/>
      <w:r w:rsidRPr="00386176">
        <w:t xml:space="preserve"> de Hansen por ser mais robusto. Esse teste possui a hipótese nula de que os instrumentos são não correlacionados com o termo de erro,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e>
        </m:d>
        <m:r>
          <w:rPr>
            <w:rFonts w:ascii="Cambria Math" w:hAnsi="Cambria Math"/>
          </w:rPr>
          <m:t>=0</m:t>
        </m:r>
      </m:oMath>
      <w:r w:rsidRPr="00386176">
        <w:t xml:space="preserve">, onde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Pr="00386176">
        <w:t xml:space="preserve"> corresponde ao vetor de instrum</w:t>
      </w:r>
      <w:proofErr w:type="spellStart"/>
      <w:r w:rsidRPr="00386176">
        <w:t>entos</w:t>
      </w:r>
      <w:proofErr w:type="spellEnd"/>
      <w:r w:rsidRPr="00386176">
        <w:t xml:space="preserve">. </w:t>
      </w:r>
    </w:p>
    <w:p w:rsidR="001847A4" w:rsidRPr="00386176" w:rsidRDefault="001847A4" w:rsidP="00826069">
      <w:pPr>
        <w:ind w:firstLine="708"/>
        <w:jc w:val="both"/>
      </w:pPr>
      <w:r w:rsidRPr="00386176">
        <w:t xml:space="preserve">Quanto à </w:t>
      </w:r>
      <w:proofErr w:type="spellStart"/>
      <w:r w:rsidRPr="00386176">
        <w:t>autocorrelação</w:t>
      </w:r>
      <w:proofErr w:type="spellEnd"/>
      <w:r w:rsidRPr="00386176">
        <w:t xml:space="preserve"> serial, o teste proposto por </w:t>
      </w:r>
      <w:proofErr w:type="spellStart"/>
      <w:r w:rsidRPr="00386176">
        <w:t>Arellano</w:t>
      </w:r>
      <w:proofErr w:type="spellEnd"/>
      <w:r w:rsidRPr="00386176">
        <w:t xml:space="preserve"> e Bond deve ser aplicado aos resíduos em diferença. Como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r w:rsidRPr="00386176">
        <w:t xml:space="preserve"> é relacionado com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i,t-1</m:t>
            </m:r>
          </m:sub>
        </m:sSub>
      </m:oMath>
      <w:r w:rsidRPr="00386176">
        <w:t xml:space="preserve">, espera-se que exista correlação serial de primeira ordem. Por isso, deve-se realizar o teste para ordens superiores. Conforme </w:t>
      </w:r>
      <w:proofErr w:type="spellStart"/>
      <w:r w:rsidRPr="00386176">
        <w:t>Roodman</w:t>
      </w:r>
      <w:proofErr w:type="spellEnd"/>
      <w:r w:rsidRPr="00386176">
        <w:t xml:space="preserve"> (2009), para checar a correlação serial de ordem </w:t>
      </w:r>
      <m:oMath>
        <m:r>
          <w:rPr>
            <w:rFonts w:ascii="Cambria Math" w:hAnsi="Cambria Math"/>
          </w:rPr>
          <m:t>l</m:t>
        </m:r>
      </m:oMath>
      <w:r w:rsidRPr="00386176">
        <w:t xml:space="preserve"> em nível, realiza-se o teste em diferenças para a ordem </w:t>
      </w:r>
      <m:oMath>
        <m:r>
          <w:rPr>
            <w:rFonts w:ascii="Cambria Math" w:hAnsi="Cambria Math"/>
          </w:rPr>
          <m:t>l+1</m:t>
        </m:r>
      </m:oMath>
      <w:r w:rsidRPr="00386176">
        <w:t>. A não rejeição da hipótese de resíduos não correlacionados serialmente indica que as condições de m</w:t>
      </w:r>
      <w:proofErr w:type="spellStart"/>
      <w:r w:rsidRPr="00386176">
        <w:t>omento</w:t>
      </w:r>
      <w:proofErr w:type="spellEnd"/>
      <w:r w:rsidRPr="00386176">
        <w:t xml:space="preserve"> utilizadas são válidas.</w:t>
      </w:r>
    </w:p>
    <w:p w:rsidR="001847A4" w:rsidRPr="00E10F2C" w:rsidRDefault="001847A4" w:rsidP="00826069">
      <w:pPr>
        <w:pStyle w:val="Ttulo2"/>
        <w:numPr>
          <w:ilvl w:val="1"/>
          <w:numId w:val="9"/>
        </w:numPr>
        <w:spacing w:before="240" w:line="240" w:lineRule="auto"/>
        <w:ind w:left="431" w:hanging="431"/>
        <w:rPr>
          <w:rFonts w:ascii="Times New Roman" w:hAnsi="Times New Roman" w:cs="Times New Roman"/>
          <w:sz w:val="24"/>
          <w:szCs w:val="24"/>
        </w:rPr>
      </w:pPr>
      <w:bookmarkStart w:id="59" w:name="_Toc451294370"/>
      <w:r w:rsidRPr="00E10F2C">
        <w:rPr>
          <w:rFonts w:ascii="Times New Roman" w:hAnsi="Times New Roman" w:cs="Times New Roman"/>
          <w:sz w:val="24"/>
          <w:szCs w:val="24"/>
        </w:rPr>
        <w:lastRenderedPageBreak/>
        <w:t>RESULTADOS</w:t>
      </w:r>
      <w:bookmarkEnd w:id="59"/>
      <w:r w:rsidRPr="00E10F2C">
        <w:rPr>
          <w:rFonts w:ascii="Times New Roman" w:hAnsi="Times New Roman" w:cs="Times New Roman"/>
          <w:sz w:val="24"/>
          <w:szCs w:val="24"/>
        </w:rPr>
        <w:t xml:space="preserve"> </w:t>
      </w:r>
    </w:p>
    <w:p w:rsidR="001847A4" w:rsidRPr="00B15E83" w:rsidRDefault="001847A4" w:rsidP="004D3C47">
      <w:pPr>
        <w:pStyle w:val="Ttulo3"/>
        <w:numPr>
          <w:ilvl w:val="1"/>
          <w:numId w:val="15"/>
        </w:numPr>
        <w:spacing w:before="240" w:line="240" w:lineRule="auto"/>
        <w:rPr>
          <w:rFonts w:ascii="Times New Roman" w:hAnsi="Times New Roman" w:cs="Times New Roman"/>
          <w:b w:val="0"/>
        </w:rPr>
      </w:pPr>
      <w:bookmarkStart w:id="60" w:name="_Toc442703388"/>
      <w:bookmarkStart w:id="61" w:name="_Toc442703432"/>
      <w:bookmarkStart w:id="62" w:name="_Toc442703518"/>
      <w:bookmarkStart w:id="63" w:name="_Toc442704202"/>
      <w:bookmarkStart w:id="64" w:name="_Toc442720865"/>
      <w:bookmarkStart w:id="65" w:name="_Toc451294371"/>
      <w:bookmarkEnd w:id="60"/>
      <w:bookmarkEnd w:id="61"/>
      <w:bookmarkEnd w:id="62"/>
      <w:bookmarkEnd w:id="63"/>
      <w:bookmarkEnd w:id="64"/>
      <w:r w:rsidRPr="00B15E83">
        <w:rPr>
          <w:rFonts w:ascii="Times New Roman" w:hAnsi="Times New Roman" w:cs="Times New Roman"/>
          <w:b w:val="0"/>
        </w:rPr>
        <w:t>D</w:t>
      </w:r>
      <w:r w:rsidR="00B15E83" w:rsidRPr="00B15E83">
        <w:rPr>
          <w:rFonts w:ascii="Times New Roman" w:hAnsi="Times New Roman" w:cs="Times New Roman"/>
          <w:b w:val="0"/>
        </w:rPr>
        <w:t>ADOS</w:t>
      </w:r>
      <w:bookmarkEnd w:id="65"/>
    </w:p>
    <w:p w:rsidR="001847A4" w:rsidRPr="00386176" w:rsidRDefault="001847A4" w:rsidP="00826069">
      <w:pPr>
        <w:ind w:firstLine="708"/>
        <w:jc w:val="both"/>
      </w:pPr>
      <w:r w:rsidRPr="00386176">
        <w:t xml:space="preserve">Considerando que os objetivos específicos desse estudo consistem em evidenciar o impacto da política monetária e explorar os efeitos da estratégia específica de cada instituição financeira sobre o crédito bancário, foram selecionadas informações de duas categorias distintas: dados de balanço, que se referem às características individuais das instituições, e indicadores macroeconômicos. A seleção das variáveis do modelo baseou-se nos principais trabalhos realizados na literatura empírica nacional e estrangeira a respeito do tema e no modelo teórico que balizou essa análise. </w:t>
      </w:r>
    </w:p>
    <w:p w:rsidR="001847A4" w:rsidRPr="00386176" w:rsidRDefault="001847A4" w:rsidP="00826069">
      <w:pPr>
        <w:ind w:firstLine="708"/>
        <w:jc w:val="both"/>
      </w:pPr>
      <w:r w:rsidRPr="00386176">
        <w:t>Para este estudo, foram selecionadas as Instituições Financeiras atuantes no Brasil que concedem operações de crédito e que permaneceram ativas entre o primeiro trimestre de 2001 e o quarto trimestre de 2012, formando um painel balanceado composto por 75 bancos</w:t>
      </w:r>
      <w:r w:rsidRPr="00386176">
        <w:rPr>
          <w:rStyle w:val="Refdenotaderodap"/>
        </w:rPr>
        <w:footnoteReference w:id="7"/>
      </w:r>
      <w:r w:rsidRPr="00386176">
        <w:t xml:space="preserve"> e 48 períodos. O período da amostra foi escolhido de acordo com a disponibilidade dos dados. Os </w:t>
      </w:r>
      <w:r w:rsidR="00E205DD" w:rsidRPr="00386176">
        <w:t xml:space="preserve">índices </w:t>
      </w:r>
      <w:r w:rsidRPr="00386176">
        <w:t xml:space="preserve">relativos às características individuais das instituições financeiras, </w:t>
      </w:r>
      <w:proofErr w:type="gramStart"/>
      <w:r w:rsidRPr="00386176">
        <w:t>denominados variáveis</w:t>
      </w:r>
      <w:proofErr w:type="gramEnd"/>
      <w:r w:rsidRPr="00386176">
        <w:t xml:space="preserve"> microeconômicas, foram obtidos no sítio do Banco Central do Brasil – BCB </w:t>
      </w:r>
      <w:r w:rsidR="005F6FB6" w:rsidRPr="00386176">
        <w:t>n</w:t>
      </w:r>
      <w:r w:rsidR="008A6C5F" w:rsidRPr="00386176">
        <w:t>o arquivo</w:t>
      </w:r>
      <w:r w:rsidR="005F6FB6" w:rsidRPr="00386176">
        <w:t xml:space="preserve"> Informações Financeiras Trimestrais – IFT</w:t>
      </w:r>
      <w:r w:rsidR="005F6FB6" w:rsidRPr="00386176">
        <w:rPr>
          <w:rStyle w:val="Refdenotaderodap"/>
        </w:rPr>
        <w:footnoteReference w:id="8"/>
      </w:r>
      <w:r w:rsidR="005F6FB6" w:rsidRPr="00386176">
        <w:t xml:space="preserve"> </w:t>
      </w:r>
      <w:r w:rsidRPr="00386176">
        <w:t>oriundos das Demonstrações Contábeis 7002 – Balanço Patrimonial e 7003 – Demonstração de Resultado. Para a obtenção do Índice de Basiléia das institui</w:t>
      </w:r>
      <w:r w:rsidR="008A6C5F" w:rsidRPr="00386176">
        <w:t>ções financeiras, utilizou-se os valores dos 5</w:t>
      </w:r>
      <w:r w:rsidRPr="00386176">
        <w:t>0 Maiores Bancos, também fornecida pelo BCB. Ambas as bases de dados são de periodicidade trimestral. Já as variáveis macroeconômicas têm como fonte, tanto o BCB quanto o Instituto Brasileiro de Geografia e Estatística – IBGE.</w:t>
      </w:r>
    </w:p>
    <w:p w:rsidR="000168F7" w:rsidRPr="00386176" w:rsidRDefault="001847A4" w:rsidP="00826069">
      <w:pPr>
        <w:ind w:firstLine="708"/>
        <w:jc w:val="both"/>
        <w:rPr>
          <w:noProof/>
        </w:rPr>
      </w:pPr>
      <w:r w:rsidRPr="00386176">
        <w:t xml:space="preserve">O modelo empírico estimado possui como variável dependente o volume de crédito, incluindo as operações com arrendamento mercantil, ponderado pelo ativo total, de modo a medir a representatividade do crédito em cada instituição financeira. </w:t>
      </w:r>
      <w:r w:rsidR="00F45DA0" w:rsidRPr="00386176">
        <w:t>As variáveis</w:t>
      </w:r>
      <w:r w:rsidR="006557E0">
        <w:t xml:space="preserve"> utilizadas</w:t>
      </w:r>
      <w:r w:rsidR="00F45DA0" w:rsidRPr="00386176">
        <w:t xml:space="preserve"> </w:t>
      </w:r>
      <w:r w:rsidR="006557E0">
        <w:t xml:space="preserve">na estimação </w:t>
      </w:r>
      <w:r w:rsidR="00F45DA0" w:rsidRPr="00386176">
        <w:t>são explicadas a seguir.</w:t>
      </w:r>
    </w:p>
    <w:p w:rsidR="001847A4" w:rsidRPr="00E10F2C" w:rsidRDefault="00B700C7" w:rsidP="004D3C47">
      <w:pPr>
        <w:pStyle w:val="Ttulo3"/>
        <w:numPr>
          <w:ilvl w:val="2"/>
          <w:numId w:val="15"/>
        </w:numPr>
        <w:spacing w:before="240" w:line="240" w:lineRule="auto"/>
        <w:rPr>
          <w:rFonts w:ascii="Times New Roman" w:hAnsi="Times New Roman" w:cs="Times New Roman"/>
        </w:rPr>
      </w:pPr>
      <w:r w:rsidRPr="00E10F2C">
        <w:rPr>
          <w:rFonts w:ascii="Times New Roman" w:hAnsi="Times New Roman" w:cs="Times New Roman"/>
        </w:rPr>
        <w:t>Variável dependente</w:t>
      </w:r>
      <w:r w:rsidRPr="00E10F2C">
        <w:rPr>
          <w:rFonts w:ascii="Times New Roman" w:hAnsi="Times New Roman" w:cs="Times New Roman"/>
        </w:rPr>
        <w:tab/>
      </w:r>
    </w:p>
    <w:p w:rsidR="00B700C7" w:rsidRPr="00386176" w:rsidRDefault="00B700C7" w:rsidP="00826069">
      <w:pPr>
        <w:ind w:firstLine="709"/>
        <w:jc w:val="both"/>
      </w:pPr>
      <w:r w:rsidRPr="00386176">
        <w:t>Crédito Bancário: medido como a razão entre o estoque de crédito e o ativo total de cada banco. Para essa análise, considerou-se o Crédito Total de cada instituição, composto tanto pelo Crédito Livre quanto pelo Crédito Direcionado</w:t>
      </w:r>
      <w:r w:rsidR="00A85EE9" w:rsidRPr="00386176">
        <w:t xml:space="preserve"> e</w:t>
      </w:r>
      <w:r w:rsidR="007C3C57" w:rsidRPr="00386176">
        <w:t xml:space="preserve"> Operações de</w:t>
      </w:r>
      <w:r w:rsidR="00A85EE9" w:rsidRPr="00386176">
        <w:t xml:space="preserve"> Arrendamento Mercantil</w:t>
      </w:r>
      <w:r w:rsidRPr="00386176">
        <w:t>.</w:t>
      </w:r>
    </w:p>
    <w:p w:rsidR="00B700C7" w:rsidRPr="009F505D" w:rsidRDefault="00B700C7" w:rsidP="004D3C47">
      <w:pPr>
        <w:pStyle w:val="Ttulo3"/>
        <w:numPr>
          <w:ilvl w:val="2"/>
          <w:numId w:val="15"/>
        </w:numPr>
        <w:spacing w:before="240" w:line="240" w:lineRule="auto"/>
        <w:rPr>
          <w:rFonts w:ascii="Times New Roman" w:hAnsi="Times New Roman" w:cs="Times New Roman"/>
        </w:rPr>
      </w:pPr>
      <w:r w:rsidRPr="009F505D">
        <w:rPr>
          <w:rFonts w:ascii="Times New Roman" w:hAnsi="Times New Roman" w:cs="Times New Roman"/>
        </w:rPr>
        <w:t>Variáveis microeconômicas</w:t>
      </w:r>
    </w:p>
    <w:p w:rsidR="001847A4" w:rsidRPr="00386176" w:rsidRDefault="001847A4" w:rsidP="00826069">
      <w:pPr>
        <w:ind w:firstLine="708"/>
        <w:jc w:val="both"/>
      </w:pPr>
      <w:r w:rsidRPr="00386176">
        <w:rPr>
          <w:i/>
        </w:rPr>
        <w:t xml:space="preserve">Spread </w:t>
      </w:r>
      <w:r w:rsidRPr="00386176">
        <w:t xml:space="preserve">bancário: consiste na diferença entre as receitas de aplicações em concessões de crédito e a despesa associada aos recursos que financiam esses empréstimos, sendo um importante componente do lucro bancário. Por essa razão, espera-se uma relação positiva entre o </w:t>
      </w:r>
      <w:r w:rsidRPr="00386176">
        <w:rPr>
          <w:i/>
        </w:rPr>
        <w:t>spread</w:t>
      </w:r>
      <w:r w:rsidRPr="00386176">
        <w:t xml:space="preserve"> e o volume de crédito. No presente estudo, essa variável é calculada como a diferença entre a taxa média obtida com as operações de </w:t>
      </w:r>
      <w:r w:rsidRPr="00386176">
        <w:lastRenderedPageBreak/>
        <w:t>crédito e o custo de captação, representado pela taxa Selic, conforme modelo teórico. A taxa média dos empréstimos foi mensurada como a razão entre as receitas de intermediação financeira e o volume total de operações de crédito.</w:t>
      </w:r>
    </w:p>
    <w:p w:rsidR="001847A4" w:rsidRPr="00386176" w:rsidRDefault="001847A4" w:rsidP="00826069">
      <w:pPr>
        <w:ind w:firstLine="708"/>
        <w:jc w:val="both"/>
      </w:pPr>
      <w:r w:rsidRPr="00386176">
        <w:t>Depósito à Vista: por agir como intermediário financeiro, os bancos precisam captar recursos para financiar a concessão de empréstimos. Assim, o depósito à vista constitui-se em uma das principais fontes de captação, especialmente, por ser um recurso de baixo custo, já que não possui remuneração. Portanto, espera-se que essa modalidade de depósito possua uma relação positiva com a variável dependente do modelo. Na estimação realizada, essa variável foi mensurada como a razão entre depósito à vista e captação total</w:t>
      </w:r>
      <w:r w:rsidRPr="00386176">
        <w:rPr>
          <w:rStyle w:val="Refdenotaderodap"/>
        </w:rPr>
        <w:footnoteReference w:id="9"/>
      </w:r>
      <w:r w:rsidRPr="00386176">
        <w:t>.</w:t>
      </w:r>
    </w:p>
    <w:p w:rsidR="001847A4" w:rsidRPr="00386176" w:rsidRDefault="001847A4" w:rsidP="00826069">
      <w:pPr>
        <w:ind w:firstLine="709"/>
        <w:jc w:val="both"/>
      </w:pPr>
      <w:r w:rsidRPr="00386176">
        <w:t xml:space="preserve">Depósito a Prazo: consiste em um título nominativo cujas modalidades são os Certificados de Depósito Bancário – CDB e os Recibos de Depósito Bancário – RDB, conforme Resolução CMN n. 3454 de </w:t>
      </w:r>
      <w:proofErr w:type="gramStart"/>
      <w:r w:rsidRPr="00386176">
        <w:t>Maio</w:t>
      </w:r>
      <w:proofErr w:type="gramEnd"/>
      <w:r w:rsidRPr="00386176">
        <w:t>/2007. Atualmente, esse tipo de depósito constitui a principal modalidade de captação bancária, sendo calculado como a</w:t>
      </w:r>
      <w:r w:rsidRPr="00386176">
        <w:rPr>
          <w:b/>
        </w:rPr>
        <w:t xml:space="preserve"> </w:t>
      </w:r>
      <w:r w:rsidRPr="00386176">
        <w:t xml:space="preserve">razão entre o depósito a prazo e a captação total. Da mesma forma que o depósito à vista, acredita-se que essa variável mantenha uma relação positiva com o crédito bancário, possibilitando a ampliação do volume ofertado. </w:t>
      </w:r>
    </w:p>
    <w:p w:rsidR="001847A4" w:rsidRPr="00386176" w:rsidRDefault="001847A4" w:rsidP="00826069">
      <w:pPr>
        <w:ind w:firstLine="708"/>
        <w:jc w:val="both"/>
      </w:pPr>
      <w:r w:rsidRPr="00386176">
        <w:t xml:space="preserve">Grau de Alavancagem: para </w:t>
      </w:r>
      <w:proofErr w:type="spellStart"/>
      <w:r w:rsidRPr="00386176">
        <w:t>Fucidji</w:t>
      </w:r>
      <w:proofErr w:type="spellEnd"/>
      <w:r w:rsidRPr="00386176">
        <w:t xml:space="preserve"> e Prince (2009) essa variável mede o grau de agressividade do banco em suas aplicações, pois implica na disposição do banco em comprometer uma parcela maior do patrimônio líquido com operações arriscadas – empréstimos, e, como consequência, assumir um risco maior de insolvência. Por essa razão, espera-se uma correlação positiva com a oferta de crédito. Conforme os autores, o grau de alavancagem é calculado como a diferença entre o ativo total, o encaixe bancário e os títulos do governo, todos ponderados pelo patrimônio líquido.</w:t>
      </w:r>
    </w:p>
    <w:p w:rsidR="001847A4" w:rsidRPr="00386176" w:rsidRDefault="001847A4" w:rsidP="00826069">
      <w:pPr>
        <w:ind w:firstLine="708"/>
        <w:jc w:val="both"/>
        <w:rPr>
          <w:i/>
        </w:rPr>
      </w:pPr>
      <w:proofErr w:type="gramStart"/>
      <w:r w:rsidRPr="00386176">
        <w:t>Títulos e Valores Mobiliários</w:t>
      </w:r>
      <w:proofErr w:type="gramEnd"/>
      <w:r w:rsidRPr="00386176">
        <w:t xml:space="preserve"> – TVM: podem ser vistos como uma forma de garantir liquidez aos bancos. Nesse sentido, </w:t>
      </w:r>
      <w:r w:rsidRPr="00386176">
        <w:rPr>
          <w:noProof/>
        </w:rPr>
        <w:t>A</w:t>
      </w:r>
      <w:r w:rsidRPr="00386176">
        <w:t>raújo (2013) argumenta que proporções menores de operações com TVM e derivativos indicam menor preferência por ativos líquidos, em prol de operações de crédito. Além disso, as aplicações em TVM também podem ser uma fonte alternativa de receita, pois os recursos captados podem ser aplicados via concessão de operações de crédito ou via Mercado de Capitais. Portanto, é esperada uma correlação negativa entre as aplicações em TVM e a oferta de crédito, quer seja pela ótica da rentabilidade, quer seja pela ótica da preferência pela liquidez. A fórmula de cálculo adotada nesse estudo consiste na razão entre a TVM e o ativo total do banco.</w:t>
      </w:r>
    </w:p>
    <w:p w:rsidR="001847A4" w:rsidRPr="00386176" w:rsidRDefault="001847A4" w:rsidP="00826069">
      <w:pPr>
        <w:ind w:firstLine="709"/>
        <w:jc w:val="both"/>
      </w:pPr>
      <w:r w:rsidRPr="00386176">
        <w:t xml:space="preserve">Despesa com captação: ao atuar com intermediação financeira, os bancos necessitam captar recursos para financiar a concessão de operações de crédito. Assim, quando o banco capta recursos junto ao público, paga uma remuneração por essas aplicações. Por conseguinte, quando a taxa de remuneração paga se eleva sem que haja um aumento proporcional da taxa dos empréstimos, a rentabilidade do banco tende a ser menor e, consequentemente, menor é o estímulo para expandir a concessão de empréstimos. A variável captação utilizada </w:t>
      </w:r>
      <w:r w:rsidR="002C642A" w:rsidRPr="00386176">
        <w:t>nessa</w:t>
      </w:r>
      <w:r w:rsidRPr="00386176">
        <w:t xml:space="preserve"> análise foi calculada como a razão entre a despesa com captação e o passivo total.</w:t>
      </w:r>
    </w:p>
    <w:p w:rsidR="001847A4" w:rsidRPr="00386176" w:rsidRDefault="001847A4" w:rsidP="00826069">
      <w:pPr>
        <w:ind w:firstLine="708"/>
        <w:jc w:val="both"/>
      </w:pPr>
      <w:r w:rsidRPr="00386176">
        <w:t xml:space="preserve">Risco de Crédito: a atividade bancária incorre em diversos tipos de riscos, no entanto, conforme </w:t>
      </w:r>
      <w:r w:rsidRPr="00386176">
        <w:rPr>
          <w:noProof/>
        </w:rPr>
        <w:t>Souza (2007)</w:t>
      </w:r>
      <w:r w:rsidRPr="00386176">
        <w:t xml:space="preserve">, o risco de crédito é considerado como o mais importante subjacente à atividade bancária. Para ele, esse risco “consiste na probabilidade da ocorrência de perdas devido ao não cumprimento dos pagamentos na data contratada e/ou nas condições pactuadas previamente, por parte dos devedores das instituições financeiras”. Dessa forma, o risco de crédito pode ser visto como uma forma de medir a qualidade dos empréstimos e, por isso, espera-se um coeficiente negativo. Além disso, essa variável também reflete a preferência pela liquidez dos bancos, tendo em vista que a elevação desse risco pode levar a instituição financeira a aumentar as aplicações em TVM. Desse modo, o risco de crédito é calculado como a razão entre a Provisão de Crédito para Liquidação Duvidosa – PCLD e o total de operações de crédito líquidas de provisão. </w:t>
      </w:r>
    </w:p>
    <w:p w:rsidR="001847A4" w:rsidRPr="00386176" w:rsidRDefault="001847A4" w:rsidP="00826069">
      <w:pPr>
        <w:ind w:firstLine="708"/>
        <w:jc w:val="both"/>
        <w:rPr>
          <w:b/>
        </w:rPr>
      </w:pPr>
      <w:r w:rsidRPr="00386176">
        <w:t xml:space="preserve">Índice de Basiléia – IB: possui o objetivo de promover a estabilidade do setor financeiro e é calculado de maneira a considerar o valor dos ativos ponderados pelos respectivos riscos de perda, </w:t>
      </w:r>
      <w:r w:rsidRPr="00386176">
        <w:lastRenderedPageBreak/>
        <w:t xml:space="preserve">indicando o capital necessário que o banco deve ter para arcar com possíveis prejuízos. Segundo </w:t>
      </w:r>
      <w:r w:rsidRPr="00386176">
        <w:rPr>
          <w:noProof/>
        </w:rPr>
        <w:t xml:space="preserve">Soares (2002), </w:t>
      </w:r>
      <w:r w:rsidRPr="00386176">
        <w:t xml:space="preserve">o IB pode ter um caráter restritivo em relação ao crédito, haja vista que, caso um banco necessite aumentar o capital, mas não o faça, deverá reduzir o volume de aplicações arriscadas – empréstimos. Por consequência, ao considerar o IB efetivo de cada instituição financeira, deve-se esperar uma relação negativa entre o IB e a oferta de crédito, visto que índices mais baixos, mas ainda acima do mínimo exigido pela regulação de 11%, indicam que os bancos estão ofertando o máximo de crédito possível dada a restrição regulatória. Por outro lado, índices maiores sugerem que ainda há potencial para o crescimento do crédito e que os bancos estão optando por operações menos arriscadas como os títulos públicos. </w:t>
      </w:r>
      <w:r w:rsidRPr="00386176">
        <w:rPr>
          <w:noProof/>
        </w:rPr>
        <w:t xml:space="preserve">Para essa variável utilizou-se o IB efetivo das instituições financeiras obtido na base de dados </w:t>
      </w:r>
      <w:r w:rsidR="002C642A" w:rsidRPr="00386176">
        <w:rPr>
          <w:noProof/>
        </w:rPr>
        <w:t xml:space="preserve">dos </w:t>
      </w:r>
      <w:r w:rsidRPr="00386176">
        <w:rPr>
          <w:noProof/>
        </w:rPr>
        <w:t>50 Maiores Bancos do BCB</w:t>
      </w:r>
      <w:r w:rsidR="002C642A" w:rsidRPr="00386176">
        <w:rPr>
          <w:noProof/>
        </w:rPr>
        <w:t xml:space="preserve"> </w:t>
      </w:r>
      <w:r w:rsidRPr="00386176">
        <w:rPr>
          <w:noProof/>
        </w:rPr>
        <w:t xml:space="preserve">. </w:t>
      </w:r>
    </w:p>
    <w:p w:rsidR="001847A4" w:rsidRDefault="001847A4" w:rsidP="00826069">
      <w:pPr>
        <w:ind w:firstLine="708"/>
        <w:jc w:val="both"/>
        <w:rPr>
          <w:i/>
          <w:noProof/>
        </w:rPr>
      </w:pPr>
      <w:proofErr w:type="spellStart"/>
      <w:r w:rsidRPr="00386176">
        <w:rPr>
          <w:i/>
        </w:rPr>
        <w:t>Dummy_pp</w:t>
      </w:r>
      <w:proofErr w:type="spellEnd"/>
      <w:r w:rsidRPr="00386176">
        <w:t>: dadas</w:t>
      </w:r>
      <w:r w:rsidRPr="00386176">
        <w:rPr>
          <w:noProof/>
        </w:rPr>
        <w:t xml:space="preserve"> as diferenças entre as estratégias adotadas pelos bancos públicos e privados criou-se uma </w:t>
      </w:r>
      <w:r w:rsidRPr="00386176">
        <w:rPr>
          <w:i/>
          <w:noProof/>
        </w:rPr>
        <w:t>dummy</w:t>
      </w:r>
      <w:r w:rsidRPr="00386176">
        <w:rPr>
          <w:noProof/>
        </w:rPr>
        <w:t xml:space="preserve"> indicativa do controle do capital, na qual se considera zero para as instituições financeiras privadas e um para as instituições públicas. Considerando que a presença de efeitos fixos no modelo não permite a introdução de elementos invariantes no tempo, essa </w:t>
      </w:r>
      <w:r w:rsidRPr="00386176">
        <w:rPr>
          <w:i/>
          <w:noProof/>
        </w:rPr>
        <w:t>dummy</w:t>
      </w:r>
      <w:r w:rsidRPr="00386176">
        <w:rPr>
          <w:noProof/>
        </w:rPr>
        <w:t xml:space="preserve">, então, foi utilizada de forma multiplicativa associada às variáveis microeconômicas. Logo, não existe uma hipótese única sobre a expectativa do sinal dessas </w:t>
      </w:r>
      <w:r w:rsidRPr="00386176">
        <w:rPr>
          <w:i/>
          <w:noProof/>
        </w:rPr>
        <w:t>dummies.</w:t>
      </w:r>
    </w:p>
    <w:p w:rsidR="00B15E83" w:rsidRPr="00386176" w:rsidRDefault="00B15E83" w:rsidP="00B15E83">
      <w:pPr>
        <w:pStyle w:val="Legenda"/>
        <w:keepNext/>
        <w:spacing w:before="240" w:after="0" w:line="240" w:lineRule="auto"/>
        <w:rPr>
          <w:rFonts w:cs="Times New Roman"/>
          <w:b w:val="0"/>
          <w:color w:val="auto"/>
          <w:sz w:val="20"/>
          <w:szCs w:val="20"/>
        </w:rPr>
      </w:pPr>
      <w:bookmarkStart w:id="66" w:name="_Toc451294342"/>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Pr>
          <w:rFonts w:cs="Times New Roman"/>
          <w:b w:val="0"/>
          <w:noProof/>
          <w:color w:val="auto"/>
          <w:sz w:val="20"/>
          <w:szCs w:val="20"/>
        </w:rPr>
        <w:t>1</w:t>
      </w:r>
      <w:r w:rsidRPr="00386176">
        <w:rPr>
          <w:rFonts w:cs="Times New Roman"/>
          <w:b w:val="0"/>
          <w:color w:val="auto"/>
          <w:sz w:val="20"/>
          <w:szCs w:val="20"/>
        </w:rPr>
        <w:fldChar w:fldCharType="end"/>
      </w:r>
      <w:r w:rsidRPr="00386176">
        <w:rPr>
          <w:rFonts w:cs="Times New Roman"/>
          <w:b w:val="0"/>
          <w:color w:val="auto"/>
          <w:sz w:val="20"/>
          <w:szCs w:val="20"/>
        </w:rPr>
        <w:t xml:space="preserve"> - Variáveis Microeconômicas</w:t>
      </w:r>
      <w:bookmarkEnd w:id="66"/>
    </w:p>
    <w:tbl>
      <w:tblPr>
        <w:tblStyle w:val="Tabelacomgrade"/>
        <w:tblW w:w="10206" w:type="dxa"/>
        <w:tblInd w:w="-5" w:type="dxa"/>
        <w:tblLook w:val="04A0" w:firstRow="1" w:lastRow="0" w:firstColumn="1" w:lastColumn="0" w:noHBand="0" w:noVBand="1"/>
      </w:tblPr>
      <w:tblGrid>
        <w:gridCol w:w="2127"/>
        <w:gridCol w:w="1417"/>
        <w:gridCol w:w="1559"/>
        <w:gridCol w:w="5103"/>
      </w:tblGrid>
      <w:tr w:rsidR="00B15E83" w:rsidRPr="00386176" w:rsidTr="00BF559C">
        <w:tc>
          <w:tcPr>
            <w:tcW w:w="2127" w:type="dxa"/>
            <w:vAlign w:val="center"/>
          </w:tcPr>
          <w:p w:rsidR="00B15E83" w:rsidRPr="00386176" w:rsidRDefault="00B15E83" w:rsidP="004D5B0D">
            <w:pPr>
              <w:jc w:val="center"/>
              <w:rPr>
                <w:b/>
                <w:sz w:val="22"/>
                <w:szCs w:val="22"/>
              </w:rPr>
            </w:pPr>
            <w:r w:rsidRPr="00386176">
              <w:rPr>
                <w:b/>
                <w:sz w:val="22"/>
                <w:szCs w:val="22"/>
              </w:rPr>
              <w:t>Variável</w:t>
            </w:r>
          </w:p>
        </w:tc>
        <w:tc>
          <w:tcPr>
            <w:tcW w:w="1417" w:type="dxa"/>
            <w:vAlign w:val="center"/>
          </w:tcPr>
          <w:p w:rsidR="00B15E83" w:rsidRPr="00386176" w:rsidRDefault="00B15E83" w:rsidP="004D5B0D">
            <w:pPr>
              <w:jc w:val="center"/>
              <w:rPr>
                <w:b/>
                <w:sz w:val="22"/>
                <w:szCs w:val="22"/>
              </w:rPr>
            </w:pPr>
            <w:r w:rsidRPr="00386176">
              <w:rPr>
                <w:b/>
                <w:sz w:val="22"/>
                <w:szCs w:val="22"/>
              </w:rPr>
              <w:t>Sinal Esperado</w:t>
            </w:r>
          </w:p>
        </w:tc>
        <w:tc>
          <w:tcPr>
            <w:tcW w:w="1559" w:type="dxa"/>
            <w:vAlign w:val="center"/>
          </w:tcPr>
          <w:p w:rsidR="00B15E83" w:rsidRPr="00386176" w:rsidRDefault="00B15E83" w:rsidP="004D5B0D">
            <w:pPr>
              <w:jc w:val="center"/>
              <w:rPr>
                <w:b/>
                <w:sz w:val="22"/>
                <w:szCs w:val="22"/>
              </w:rPr>
            </w:pPr>
            <w:r w:rsidRPr="00386176">
              <w:rPr>
                <w:b/>
                <w:sz w:val="22"/>
                <w:szCs w:val="22"/>
              </w:rPr>
              <w:t>Fonte</w:t>
            </w:r>
          </w:p>
        </w:tc>
        <w:tc>
          <w:tcPr>
            <w:tcW w:w="5103" w:type="dxa"/>
            <w:vAlign w:val="center"/>
          </w:tcPr>
          <w:p w:rsidR="00B15E83" w:rsidRPr="00386176" w:rsidRDefault="00B15E83" w:rsidP="004D5B0D">
            <w:pPr>
              <w:jc w:val="center"/>
              <w:rPr>
                <w:b/>
                <w:sz w:val="22"/>
                <w:szCs w:val="22"/>
              </w:rPr>
            </w:pPr>
            <w:r w:rsidRPr="00386176">
              <w:rPr>
                <w:b/>
                <w:sz w:val="22"/>
                <w:szCs w:val="22"/>
              </w:rPr>
              <w:t>Fórmula de Cálculo</w:t>
            </w:r>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Crédito</w:t>
            </w:r>
          </w:p>
        </w:tc>
        <w:tc>
          <w:tcPr>
            <w:tcW w:w="1417" w:type="dxa"/>
            <w:vAlign w:val="center"/>
          </w:tcPr>
          <w:p w:rsidR="00B15E83" w:rsidRPr="00386176" w:rsidRDefault="00B15E83" w:rsidP="004D5B0D">
            <w:pPr>
              <w:jc w:val="center"/>
              <w:rPr>
                <w:sz w:val="22"/>
                <w:szCs w:val="22"/>
              </w:rPr>
            </w:pP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rFonts w:eastAsia="Calibri"/>
                <w:sz w:val="22"/>
                <w:szCs w:val="22"/>
              </w:rPr>
            </w:pPr>
            <m:oMathPara>
              <m:oMath>
                <m:r>
                  <w:rPr>
                    <w:rFonts w:ascii="Cambria Math" w:hAnsi="Cambria Math"/>
                    <w:sz w:val="22"/>
                    <w:szCs w:val="22"/>
                  </w:rPr>
                  <m:t>Cre</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Saldo Cre</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it</m:t>
                        </m:r>
                      </m:sub>
                    </m:sSub>
                  </m:num>
                  <m:den>
                    <m:r>
                      <w:rPr>
                        <w:rFonts w:ascii="Cambria Math" w:hAnsi="Cambria Math"/>
                        <w:sz w:val="22"/>
                        <w:szCs w:val="22"/>
                      </w:rPr>
                      <m:t>Ativo Tota</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Spread</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Sprea</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it</m:t>
                    </m:r>
                  </m:sub>
                </m:sSub>
                <m:r>
                  <w:rPr>
                    <w:rFonts w:ascii="Cambria Math" w:hAnsi="Cambria Math"/>
                    <w:sz w:val="22"/>
                    <w:szCs w:val="22"/>
                  </w:rPr>
                  <m:t>=Taxa Empréstimo</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it</m:t>
                    </m:r>
                  </m:sub>
                </m:sSub>
                <m:r>
                  <w:rPr>
                    <w:rFonts w:ascii="Cambria Math" w:hAnsi="Cambria Math"/>
                    <w:sz w:val="22"/>
                    <w:szCs w:val="22"/>
                  </w:rPr>
                  <m:t>-Taxa Seli</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Depósito à Vista</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DepVist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Depósito à Vist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num>
                  <m:den>
                    <m:r>
                      <w:rPr>
                        <w:rFonts w:ascii="Cambria Math" w:hAnsi="Cambria Math"/>
                        <w:sz w:val="22"/>
                        <w:szCs w:val="22"/>
                      </w:rPr>
                      <m:t>Captação Tota</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Depósito a Prazo</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DepPraz</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Depósito a Praz</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it</m:t>
                        </m:r>
                      </m:sub>
                    </m:sSub>
                  </m:num>
                  <m:den>
                    <m:r>
                      <w:rPr>
                        <w:rFonts w:ascii="Cambria Math" w:hAnsi="Cambria Math"/>
                        <w:sz w:val="22"/>
                        <w:szCs w:val="22"/>
                      </w:rPr>
                      <m:t>Captação Tota</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Grau de Alavancagem</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Ativo Tota</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it</m:t>
                        </m:r>
                      </m:sub>
                    </m:sSub>
                    <m:r>
                      <w:rPr>
                        <w:rFonts w:ascii="Cambria Math" w:hAnsi="Cambria Math"/>
                        <w:sz w:val="22"/>
                        <w:szCs w:val="22"/>
                      </w:rPr>
                      <m:t>-Encaixe</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it</m:t>
                        </m:r>
                      </m:sub>
                    </m:sSub>
                    <m:r>
                      <w:rPr>
                        <w:rFonts w:ascii="Cambria Math" w:hAnsi="Cambria Math"/>
                        <w:sz w:val="22"/>
                        <w:szCs w:val="22"/>
                      </w:rPr>
                      <m:t>-Título</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it</m:t>
                        </m:r>
                      </m:sub>
                    </m:sSub>
                  </m:num>
                  <m:den>
                    <m:r>
                      <w:rPr>
                        <w:rFonts w:ascii="Cambria Math" w:hAnsi="Cambria Math"/>
                        <w:sz w:val="22"/>
                        <w:szCs w:val="22"/>
                      </w:rPr>
                      <m:t>Patrimônio Líquid</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proofErr w:type="gramStart"/>
            <w:r w:rsidRPr="00386176">
              <w:rPr>
                <w:sz w:val="22"/>
                <w:szCs w:val="22"/>
              </w:rPr>
              <w:t>Títulos e Valores Mobiliários</w:t>
            </w:r>
            <w:proofErr w:type="gramEnd"/>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TV</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Título</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it</m:t>
                        </m:r>
                      </m:sub>
                    </m:sSub>
                  </m:num>
                  <m:den>
                    <m:r>
                      <w:rPr>
                        <w:rFonts w:ascii="Cambria Math" w:hAnsi="Cambria Math"/>
                        <w:sz w:val="22"/>
                        <w:szCs w:val="22"/>
                      </w:rPr>
                      <m:t>Ativo Tota</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Despesa com captação</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Captaçã</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Despesa Captaçã</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it</m:t>
                        </m:r>
                      </m:sub>
                    </m:sSub>
                  </m:num>
                  <m:den>
                    <m:r>
                      <w:rPr>
                        <w:rFonts w:ascii="Cambria Math" w:hAnsi="Cambria Math"/>
                        <w:sz w:val="22"/>
                        <w:szCs w:val="22"/>
                      </w:rPr>
                      <m:t>Passivo Tota</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Risco de Crédito</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IFT</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RCre</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PCL</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it</m:t>
                        </m:r>
                      </m:sub>
                    </m:sSub>
                  </m:num>
                  <m:den>
                    <m:r>
                      <w:rPr>
                        <w:rFonts w:ascii="Cambria Math" w:hAnsi="Cambria Math"/>
                        <w:sz w:val="22"/>
                        <w:szCs w:val="22"/>
                      </w:rPr>
                      <m:t>Operações de Crédito Líquida</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it</m:t>
                        </m:r>
                      </m:sub>
                    </m:sSub>
                  </m:den>
                </m:f>
              </m:oMath>
            </m:oMathPara>
          </w:p>
        </w:tc>
      </w:tr>
      <w:tr w:rsidR="00B15E83" w:rsidRPr="00386176" w:rsidTr="00BF559C">
        <w:tc>
          <w:tcPr>
            <w:tcW w:w="2127" w:type="dxa"/>
            <w:vAlign w:val="center"/>
          </w:tcPr>
          <w:p w:rsidR="00B15E83" w:rsidRPr="00386176" w:rsidRDefault="00B15E83" w:rsidP="004D5B0D">
            <w:pPr>
              <w:jc w:val="center"/>
              <w:rPr>
                <w:sz w:val="22"/>
                <w:szCs w:val="22"/>
              </w:rPr>
            </w:pPr>
            <w:r w:rsidRPr="00386176">
              <w:rPr>
                <w:sz w:val="22"/>
                <w:szCs w:val="22"/>
              </w:rPr>
              <w:t>Índice de Basiléia</w:t>
            </w:r>
          </w:p>
        </w:tc>
        <w:tc>
          <w:tcPr>
            <w:tcW w:w="1417" w:type="dxa"/>
            <w:vAlign w:val="center"/>
          </w:tcPr>
          <w:p w:rsidR="00B15E83" w:rsidRPr="00386176" w:rsidRDefault="00B15E83" w:rsidP="004D5B0D">
            <w:pPr>
              <w:jc w:val="center"/>
              <w:rPr>
                <w:sz w:val="22"/>
                <w:szCs w:val="22"/>
              </w:rPr>
            </w:pPr>
            <w:r w:rsidRPr="00386176">
              <w:rPr>
                <w:sz w:val="22"/>
                <w:szCs w:val="22"/>
              </w:rPr>
              <w:t>–</w:t>
            </w:r>
          </w:p>
        </w:tc>
        <w:tc>
          <w:tcPr>
            <w:tcW w:w="1559" w:type="dxa"/>
            <w:vAlign w:val="center"/>
          </w:tcPr>
          <w:p w:rsidR="00B15E83" w:rsidRPr="00386176" w:rsidRDefault="00B15E83" w:rsidP="004D5B0D">
            <w:pPr>
              <w:jc w:val="center"/>
              <w:rPr>
                <w:sz w:val="22"/>
                <w:szCs w:val="22"/>
              </w:rPr>
            </w:pPr>
            <w:r w:rsidRPr="00386176">
              <w:rPr>
                <w:sz w:val="22"/>
                <w:szCs w:val="22"/>
              </w:rPr>
              <w:t>50 Maiores Bancos</w:t>
            </w:r>
          </w:p>
        </w:tc>
        <w:tc>
          <w:tcPr>
            <w:tcW w:w="5103" w:type="dxa"/>
            <w:vAlign w:val="center"/>
          </w:tcPr>
          <w:p w:rsidR="00B15E83" w:rsidRPr="00386176" w:rsidRDefault="00B15E83" w:rsidP="004D5B0D">
            <w:pPr>
              <w:jc w:val="center"/>
              <w:rPr>
                <w:sz w:val="22"/>
                <w:szCs w:val="22"/>
              </w:rPr>
            </w:pPr>
            <m:oMathPara>
              <m:oMath>
                <m:r>
                  <w:rPr>
                    <w:rFonts w:ascii="Cambria Math" w:hAnsi="Cambria Math"/>
                    <w:sz w:val="22"/>
                    <w:szCs w:val="22"/>
                  </w:rPr>
                  <m:t>Série do Índice de Basiléia efetivo de cada banco</m:t>
                </m:r>
              </m:oMath>
            </m:oMathPara>
          </w:p>
        </w:tc>
      </w:tr>
      <w:tr w:rsidR="00B15E83" w:rsidRPr="00386176" w:rsidTr="00BF559C">
        <w:tc>
          <w:tcPr>
            <w:tcW w:w="2127" w:type="dxa"/>
            <w:vAlign w:val="center"/>
          </w:tcPr>
          <w:p w:rsidR="00B15E83" w:rsidRPr="00386176" w:rsidRDefault="00B15E83" w:rsidP="004D5B0D">
            <w:pPr>
              <w:jc w:val="center"/>
              <w:rPr>
                <w:sz w:val="22"/>
                <w:szCs w:val="22"/>
              </w:rPr>
            </w:pPr>
            <w:proofErr w:type="spellStart"/>
            <w:r w:rsidRPr="00386176">
              <w:rPr>
                <w:i/>
                <w:sz w:val="22"/>
                <w:szCs w:val="22"/>
              </w:rPr>
              <w:t>Dummy</w:t>
            </w:r>
            <w:proofErr w:type="spellEnd"/>
            <w:r w:rsidRPr="00386176">
              <w:rPr>
                <w:sz w:val="22"/>
                <w:szCs w:val="22"/>
              </w:rPr>
              <w:t xml:space="preserve"> para Bancos Públicos e Privados</w:t>
            </w:r>
          </w:p>
        </w:tc>
        <w:tc>
          <w:tcPr>
            <w:tcW w:w="1417" w:type="dxa"/>
            <w:vAlign w:val="center"/>
          </w:tcPr>
          <w:p w:rsidR="00B15E83" w:rsidRPr="00386176" w:rsidRDefault="00B15E83" w:rsidP="004D5B0D">
            <w:pPr>
              <w:jc w:val="center"/>
              <w:rPr>
                <w:sz w:val="22"/>
                <w:szCs w:val="22"/>
              </w:rPr>
            </w:pPr>
          </w:p>
        </w:tc>
        <w:tc>
          <w:tcPr>
            <w:tcW w:w="1559" w:type="dxa"/>
            <w:vAlign w:val="center"/>
          </w:tcPr>
          <w:p w:rsidR="00B15E83" w:rsidRPr="00386176" w:rsidRDefault="00B15E83" w:rsidP="004D5B0D">
            <w:pPr>
              <w:jc w:val="center"/>
              <w:rPr>
                <w:sz w:val="22"/>
                <w:szCs w:val="22"/>
              </w:rPr>
            </w:pPr>
          </w:p>
        </w:tc>
        <w:tc>
          <w:tcPr>
            <w:tcW w:w="5103" w:type="dxa"/>
            <w:vAlign w:val="center"/>
          </w:tcPr>
          <w:p w:rsidR="00B15E83" w:rsidRPr="00386176" w:rsidRDefault="00B15E83" w:rsidP="004D5B0D">
            <w:pPr>
              <w:jc w:val="center"/>
              <w:rPr>
                <w:sz w:val="22"/>
                <w:szCs w:val="22"/>
              </w:rPr>
            </w:pPr>
            <m:oMathPara>
              <m:oMath>
                <m:r>
                  <w:rPr>
                    <w:rFonts w:ascii="Cambria Math" w:eastAsia="Calibri" w:hAnsi="Cambria Math"/>
                    <w:sz w:val="22"/>
                    <w:szCs w:val="22"/>
                  </w:rPr>
                  <m:t>Zero para as instituições financeiras Privadas</m:t>
                </m:r>
              </m:oMath>
            </m:oMathPara>
          </w:p>
          <w:p w:rsidR="00B15E83" w:rsidRPr="00386176" w:rsidRDefault="00B15E83" w:rsidP="004D5B0D">
            <w:pPr>
              <w:jc w:val="center"/>
              <w:rPr>
                <w:rFonts w:eastAsia="Calibri"/>
                <w:sz w:val="22"/>
                <w:szCs w:val="22"/>
              </w:rPr>
            </w:pPr>
            <m:oMathPara>
              <m:oMath>
                <m:r>
                  <w:rPr>
                    <w:rFonts w:ascii="Cambria Math" w:eastAsia="Calibri" w:hAnsi="Cambria Math"/>
                    <w:sz w:val="22"/>
                    <w:szCs w:val="22"/>
                  </w:rPr>
                  <m:t>e Um para as instituições Públicas</m:t>
                </m:r>
              </m:oMath>
            </m:oMathPara>
          </w:p>
        </w:tc>
      </w:tr>
    </w:tbl>
    <w:p w:rsidR="006557E0" w:rsidRPr="009F505D" w:rsidRDefault="006557E0" w:rsidP="004D3C47">
      <w:pPr>
        <w:pStyle w:val="Ttulo3"/>
        <w:numPr>
          <w:ilvl w:val="2"/>
          <w:numId w:val="15"/>
        </w:numPr>
        <w:spacing w:before="240" w:line="240" w:lineRule="auto"/>
        <w:rPr>
          <w:rFonts w:ascii="Times New Roman" w:hAnsi="Times New Roman" w:cs="Times New Roman"/>
        </w:rPr>
      </w:pPr>
      <w:r w:rsidRPr="009F505D">
        <w:rPr>
          <w:rFonts w:ascii="Times New Roman" w:hAnsi="Times New Roman" w:cs="Times New Roman"/>
        </w:rPr>
        <w:t>Variáveis macroeconômicas</w:t>
      </w:r>
    </w:p>
    <w:p w:rsidR="006557E0" w:rsidRPr="00386176" w:rsidRDefault="006557E0" w:rsidP="00826069">
      <w:pPr>
        <w:ind w:firstLine="708"/>
        <w:jc w:val="both"/>
      </w:pPr>
      <w:r w:rsidRPr="00386176">
        <w:t xml:space="preserve">Depósitos Compulsórios: de acordo com o BCB, os recolhimentos compulsórios constituem-se em um instrumento utilizado para influenciar a quantidade de moeda na economia. Representam uma parcela dos depósitos captados pelos bancos que devem ser mantidos compulsoriamente no BCB. Nesta análise serão utilizadas como variáveis as séries temporais das alíquotas incidentes sobre o depósito à vista e a prazo. Por isso, espera-se um coeficiente negativo visto que diminuições na alíquota farão com que os bancos possam emprestar uma parcela maior de suas reservas. </w:t>
      </w:r>
    </w:p>
    <w:p w:rsidR="001847A4" w:rsidRPr="00386176" w:rsidRDefault="001847A4" w:rsidP="00826069">
      <w:pPr>
        <w:ind w:firstLine="709"/>
        <w:jc w:val="both"/>
      </w:pPr>
      <w:r w:rsidRPr="00386176">
        <w:t>Taxa de juros da economia – Taxa Selic</w:t>
      </w:r>
      <w:r w:rsidR="00A85BC7" w:rsidRPr="00386176">
        <w:t xml:space="preserve"> e CDI</w:t>
      </w:r>
      <w:r w:rsidRPr="00386176">
        <w:t xml:space="preserve">: </w:t>
      </w:r>
      <w:r w:rsidR="00A85BC7" w:rsidRPr="00386176">
        <w:t xml:space="preserve">a taxa Selic </w:t>
      </w:r>
      <w:r w:rsidRPr="00386176">
        <w:t xml:space="preserve">consiste na taxa básica de juros da economia </w:t>
      </w:r>
      <w:r w:rsidR="00882C2B" w:rsidRPr="00386176">
        <w:t xml:space="preserve">sendo </w:t>
      </w:r>
      <w:r w:rsidRPr="00386176">
        <w:t xml:space="preserve">utilizada como balizadora para </w:t>
      </w:r>
      <w:r w:rsidR="00A85BC7" w:rsidRPr="00386176">
        <w:t xml:space="preserve">o custo de captação dos bancos. Por sua vez, a taxa CDI é utilizada como referencial para o custo do dinheiro – juros, pois advém das negociações entre instituições </w:t>
      </w:r>
      <w:r w:rsidR="00A85BC7" w:rsidRPr="00386176">
        <w:lastRenderedPageBreak/>
        <w:t xml:space="preserve">financeiras por prazos curtos com títulos líquidos. Em geral, a diferença entre elas é pequena e representada pela própria natureza dos títulos públicos e privados. </w:t>
      </w:r>
      <w:r w:rsidRPr="00386176">
        <w:t xml:space="preserve">Quando </w:t>
      </w:r>
      <w:r w:rsidR="00A85BC7" w:rsidRPr="00386176">
        <w:t>a taxa de juros da economia</w:t>
      </w:r>
      <w:r w:rsidRPr="00386176">
        <w:t xml:space="preserve"> está alta, o custo total do empréstimo também se torna alto devido ao custo de oportunidade do dinheiro. Ademais, o efeito dessa taxa sobre o crédito também evidencia a preferência pela liquidez das instituições financeiras, pois a elevação da taxa </w:t>
      </w:r>
      <w:r w:rsidR="00A85BC7" w:rsidRPr="00386176">
        <w:t xml:space="preserve">de juros </w:t>
      </w:r>
      <w:r w:rsidRPr="00386176">
        <w:t xml:space="preserve">causa um aumento dos riscos incorridos pelo banco e, como resultado, eleva a atratividade das aplicações em títulos. Assim, espera-se que a </w:t>
      </w:r>
      <w:r w:rsidR="00A85BC7" w:rsidRPr="00386176">
        <w:t>taxa de juros</w:t>
      </w:r>
      <w:r w:rsidRPr="00386176">
        <w:t xml:space="preserve"> exerça uma influência negativa sobre a oferta de crédito bancário. Utilizou-se neste estudo a</w:t>
      </w:r>
      <w:r w:rsidR="00A85BC7" w:rsidRPr="00386176">
        <w:t>s</w:t>
      </w:r>
      <w:r w:rsidRPr="00386176">
        <w:t xml:space="preserve"> taxa</w:t>
      </w:r>
      <w:r w:rsidR="00A85BC7" w:rsidRPr="00386176">
        <w:t>s</w:t>
      </w:r>
      <w:r w:rsidRPr="00386176">
        <w:t xml:space="preserve"> Selic</w:t>
      </w:r>
      <w:r w:rsidR="00A85BC7" w:rsidRPr="00386176">
        <w:t xml:space="preserve"> e CDI mensais</w:t>
      </w:r>
      <w:r w:rsidRPr="00386176">
        <w:t xml:space="preserve"> calculada</w:t>
      </w:r>
      <w:r w:rsidR="00EC2E8E" w:rsidRPr="00386176">
        <w:t>s</w:t>
      </w:r>
      <w:r w:rsidRPr="00386176">
        <w:t xml:space="preserve"> pelo BCB</w:t>
      </w:r>
      <w:r w:rsidR="00EC2E8E" w:rsidRPr="00386176">
        <w:t xml:space="preserve"> e pela </w:t>
      </w:r>
      <w:r w:rsidR="00AB6D2C" w:rsidRPr="00386176">
        <w:rPr>
          <w:rStyle w:val="st"/>
        </w:rPr>
        <w:t xml:space="preserve">Central de Custódia e de Liquidação Financeira de Títulos – </w:t>
      </w:r>
      <w:r w:rsidR="008A6C5F" w:rsidRPr="00386176">
        <w:t>CETIP</w:t>
      </w:r>
      <w:r w:rsidR="00EC2E8E" w:rsidRPr="00386176">
        <w:t>, respectivamente</w:t>
      </w:r>
      <w:r w:rsidRPr="00386176">
        <w:t>, que fo</w:t>
      </w:r>
      <w:r w:rsidR="00A85BC7" w:rsidRPr="00386176">
        <w:t>ram</w:t>
      </w:r>
      <w:r w:rsidRPr="00386176">
        <w:t xml:space="preserve"> transformada</w:t>
      </w:r>
      <w:r w:rsidR="00A85BC7" w:rsidRPr="00386176">
        <w:t>s</w:t>
      </w:r>
      <w:r w:rsidRPr="00386176">
        <w:t xml:space="preserve"> em taxa</w:t>
      </w:r>
      <w:r w:rsidR="00A85BC7" w:rsidRPr="00386176">
        <w:t>s</w:t>
      </w:r>
      <w:r w:rsidRPr="00386176">
        <w:t xml:space="preserve"> acumulada</w:t>
      </w:r>
      <w:r w:rsidR="00A85BC7" w:rsidRPr="00386176">
        <w:t>s trimestrais</w:t>
      </w:r>
      <w:r w:rsidRPr="00386176">
        <w:t>.</w:t>
      </w:r>
    </w:p>
    <w:p w:rsidR="001847A4" w:rsidRPr="00386176" w:rsidRDefault="001847A4" w:rsidP="00826069">
      <w:pPr>
        <w:ind w:firstLine="708"/>
        <w:jc w:val="both"/>
      </w:pPr>
      <w:r w:rsidRPr="00386176">
        <w:t xml:space="preserve">Nível de Produção – PIB: é considerado um importante indicador do nível da atividade econômica de um país, refletindo a instabilidade do ambiente de mercado. Para </w:t>
      </w:r>
      <w:r w:rsidRPr="00386176">
        <w:rPr>
          <w:noProof/>
        </w:rPr>
        <w:t>Guo e Stepanyan, (2011), níveis mais altos de produção levam a um aumento da demanda e, portanto, ao crescimento da oferta de crédito</w:t>
      </w:r>
      <w:r w:rsidRPr="00386176">
        <w:t>, evidenciando, então, uma relação positiva entre eles. Na estimação, considerou-se o PIB a preços de mercado calculado pelo IBGE, deflacionado pelo IPCA e, posteriormente, dessazonalizado por meio da Metodologia X12-ARIMA.</w:t>
      </w:r>
    </w:p>
    <w:p w:rsidR="001847A4" w:rsidRPr="00386176" w:rsidRDefault="001847A4" w:rsidP="00826069">
      <w:pPr>
        <w:ind w:firstLine="708"/>
        <w:jc w:val="both"/>
      </w:pPr>
      <w:r w:rsidRPr="00386176">
        <w:t>Inflação – Índice Nacional de Preços ao Consumidor Amplo – IPCA: é o índice oficial de inflação no Brasil. Esse índice também pode representar um indicador de instabilidade econômica, uma vez que quanto maior for a variabilidade da taxa de inflação de um país, maior será a volatilidade da taxa básica de juros, resultando em uma economia mais instável. Em consequência, elevações da taxa de inflação podem ser associadas a um nível menor de oferta de crédito. Para mensurar a inflação, utilizou-se a taxa mensal do IPCA, calculada pelo IBGE e transformada em taxa acumulada trimestral.</w:t>
      </w:r>
      <w:r w:rsidRPr="00386176">
        <w:rPr>
          <w:noProof/>
        </w:rPr>
        <w:t xml:space="preserve"> </w:t>
      </w:r>
    </w:p>
    <w:p w:rsidR="001847A4" w:rsidRPr="00386176" w:rsidRDefault="001847A4" w:rsidP="00826069">
      <w:pPr>
        <w:ind w:firstLine="708"/>
        <w:jc w:val="both"/>
        <w:rPr>
          <w:noProof/>
        </w:rPr>
      </w:pPr>
      <w:r w:rsidRPr="00386176">
        <w:t xml:space="preserve">Condições Monetárias – M2: de acordo com o BCB, o M2, conceito ampliado de moeda, corresponde às emissões de alta liquidez realizadas primariamente no mercado interno por instituições depositárias acrescidas do M1, conceito restrito que inclui o papel-moeda em poder do público e os depósitos à vista. </w:t>
      </w:r>
      <w:r w:rsidRPr="00386176">
        <w:rPr>
          <w:noProof/>
        </w:rPr>
        <w:t>Dessa maneira, espera-se uma relação positiva entre o crédito e o M2, dado que quanto melhor as condições monetárias da economia, maior pode ser a oferta de crédito bancário. Foi utilizado neste estudo, o M2 em percentual do PIB, calculado pelo BCB e transformado em média trimestral.</w:t>
      </w:r>
    </w:p>
    <w:p w:rsidR="00E61735" w:rsidRPr="00386176" w:rsidRDefault="00E61735" w:rsidP="00826069">
      <w:pPr>
        <w:pStyle w:val="Legenda"/>
        <w:keepNext/>
        <w:spacing w:before="240" w:after="0" w:line="240" w:lineRule="auto"/>
        <w:rPr>
          <w:rFonts w:cs="Times New Roman"/>
          <w:b w:val="0"/>
          <w:color w:val="auto"/>
          <w:sz w:val="20"/>
          <w:szCs w:val="20"/>
        </w:rPr>
      </w:pPr>
      <w:bookmarkStart w:id="67" w:name="_Toc451294343"/>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sidR="00103018">
        <w:rPr>
          <w:rFonts w:cs="Times New Roman"/>
          <w:b w:val="0"/>
          <w:noProof/>
          <w:color w:val="auto"/>
          <w:sz w:val="20"/>
          <w:szCs w:val="20"/>
        </w:rPr>
        <w:t>2</w:t>
      </w:r>
      <w:r w:rsidRPr="00386176">
        <w:rPr>
          <w:rFonts w:cs="Times New Roman"/>
          <w:b w:val="0"/>
          <w:color w:val="auto"/>
          <w:sz w:val="20"/>
          <w:szCs w:val="20"/>
        </w:rPr>
        <w:fldChar w:fldCharType="end"/>
      </w:r>
      <w:r w:rsidRPr="00386176">
        <w:rPr>
          <w:rFonts w:cs="Times New Roman"/>
          <w:b w:val="0"/>
          <w:color w:val="auto"/>
          <w:sz w:val="20"/>
          <w:szCs w:val="20"/>
        </w:rPr>
        <w:t xml:space="preserve"> - Variáveis Macroeconômicas</w:t>
      </w:r>
      <w:bookmarkEnd w:id="67"/>
    </w:p>
    <w:tbl>
      <w:tblPr>
        <w:tblStyle w:val="Tabelacomgrade"/>
        <w:tblW w:w="10206" w:type="dxa"/>
        <w:tblInd w:w="-5" w:type="dxa"/>
        <w:tblLook w:val="04A0" w:firstRow="1" w:lastRow="0" w:firstColumn="1" w:lastColumn="0" w:noHBand="0" w:noVBand="1"/>
      </w:tblPr>
      <w:tblGrid>
        <w:gridCol w:w="1985"/>
        <w:gridCol w:w="1276"/>
        <w:gridCol w:w="1402"/>
        <w:gridCol w:w="5543"/>
      </w:tblGrid>
      <w:tr w:rsidR="00663C83" w:rsidRPr="00386176" w:rsidTr="00BF559C">
        <w:tc>
          <w:tcPr>
            <w:tcW w:w="1985" w:type="dxa"/>
            <w:vAlign w:val="center"/>
          </w:tcPr>
          <w:p w:rsidR="002E0CFE" w:rsidRPr="00386176" w:rsidRDefault="002E0CFE" w:rsidP="00826069">
            <w:pPr>
              <w:jc w:val="center"/>
              <w:rPr>
                <w:b/>
                <w:sz w:val="22"/>
                <w:szCs w:val="22"/>
              </w:rPr>
            </w:pPr>
            <w:r w:rsidRPr="00386176">
              <w:rPr>
                <w:b/>
                <w:sz w:val="22"/>
                <w:szCs w:val="22"/>
              </w:rPr>
              <w:t>Variável</w:t>
            </w:r>
          </w:p>
        </w:tc>
        <w:tc>
          <w:tcPr>
            <w:tcW w:w="1276" w:type="dxa"/>
            <w:vAlign w:val="center"/>
          </w:tcPr>
          <w:p w:rsidR="002E0CFE" w:rsidRPr="00386176" w:rsidRDefault="002E0CFE" w:rsidP="00826069">
            <w:pPr>
              <w:jc w:val="center"/>
              <w:rPr>
                <w:b/>
                <w:sz w:val="22"/>
                <w:szCs w:val="22"/>
              </w:rPr>
            </w:pPr>
            <w:r w:rsidRPr="00386176">
              <w:rPr>
                <w:b/>
                <w:sz w:val="22"/>
                <w:szCs w:val="22"/>
              </w:rPr>
              <w:t>Sinal Esperado</w:t>
            </w:r>
          </w:p>
        </w:tc>
        <w:tc>
          <w:tcPr>
            <w:tcW w:w="1402" w:type="dxa"/>
            <w:vAlign w:val="center"/>
          </w:tcPr>
          <w:p w:rsidR="002E0CFE" w:rsidRPr="00386176" w:rsidRDefault="002E0CFE" w:rsidP="00826069">
            <w:pPr>
              <w:jc w:val="center"/>
              <w:rPr>
                <w:b/>
                <w:sz w:val="22"/>
                <w:szCs w:val="22"/>
              </w:rPr>
            </w:pPr>
            <w:r w:rsidRPr="00386176">
              <w:rPr>
                <w:b/>
                <w:sz w:val="22"/>
                <w:szCs w:val="22"/>
              </w:rPr>
              <w:t>Fonte</w:t>
            </w:r>
          </w:p>
        </w:tc>
        <w:tc>
          <w:tcPr>
            <w:tcW w:w="5543" w:type="dxa"/>
            <w:vAlign w:val="center"/>
          </w:tcPr>
          <w:p w:rsidR="002E0CFE" w:rsidRPr="00386176" w:rsidRDefault="002E0CFE" w:rsidP="00826069">
            <w:pPr>
              <w:jc w:val="center"/>
              <w:rPr>
                <w:b/>
                <w:sz w:val="22"/>
                <w:szCs w:val="22"/>
              </w:rPr>
            </w:pPr>
            <w:r w:rsidRPr="00386176">
              <w:rPr>
                <w:b/>
                <w:sz w:val="22"/>
                <w:szCs w:val="22"/>
              </w:rPr>
              <w:t>Fórmula de Cálculo</w:t>
            </w:r>
          </w:p>
        </w:tc>
      </w:tr>
      <w:tr w:rsidR="00663C83" w:rsidRPr="00386176" w:rsidTr="00BF559C">
        <w:tc>
          <w:tcPr>
            <w:tcW w:w="1985" w:type="dxa"/>
            <w:vAlign w:val="center"/>
          </w:tcPr>
          <w:p w:rsidR="002E0CFE" w:rsidRPr="00386176" w:rsidRDefault="002E0CFE" w:rsidP="00826069">
            <w:pPr>
              <w:jc w:val="center"/>
              <w:rPr>
                <w:sz w:val="22"/>
                <w:szCs w:val="22"/>
              </w:rPr>
            </w:pPr>
            <w:r w:rsidRPr="00386176">
              <w:rPr>
                <w:sz w:val="22"/>
                <w:szCs w:val="22"/>
              </w:rPr>
              <w:t>Depósitos Compulsórios – Depósito à Vista</w:t>
            </w:r>
          </w:p>
        </w:tc>
        <w:tc>
          <w:tcPr>
            <w:tcW w:w="1276" w:type="dxa"/>
            <w:vAlign w:val="center"/>
          </w:tcPr>
          <w:p w:rsidR="002E0CFE" w:rsidRPr="00386176" w:rsidRDefault="002E0CFE" w:rsidP="00826069">
            <w:pPr>
              <w:jc w:val="center"/>
              <w:rPr>
                <w:sz w:val="22"/>
                <w:szCs w:val="22"/>
              </w:rPr>
            </w:pPr>
            <w:r w:rsidRPr="00386176">
              <w:rPr>
                <w:sz w:val="22"/>
                <w:szCs w:val="22"/>
              </w:rPr>
              <w:t>–</w:t>
            </w:r>
          </w:p>
        </w:tc>
        <w:tc>
          <w:tcPr>
            <w:tcW w:w="1402" w:type="dxa"/>
            <w:vAlign w:val="center"/>
          </w:tcPr>
          <w:p w:rsidR="002E0CFE" w:rsidRPr="00386176" w:rsidRDefault="008B74BE" w:rsidP="00826069">
            <w:pPr>
              <w:jc w:val="center"/>
              <w:rPr>
                <w:sz w:val="22"/>
                <w:szCs w:val="22"/>
              </w:rPr>
            </w:pPr>
            <w:r w:rsidRPr="00386176">
              <w:rPr>
                <w:sz w:val="22"/>
                <w:szCs w:val="22"/>
              </w:rPr>
              <w:t>BCB</w:t>
            </w:r>
          </w:p>
        </w:tc>
        <w:tc>
          <w:tcPr>
            <w:tcW w:w="5543" w:type="dxa"/>
            <w:vAlign w:val="center"/>
          </w:tcPr>
          <w:p w:rsidR="002E0CFE" w:rsidRPr="00386176" w:rsidRDefault="002E0CFE" w:rsidP="00826069">
            <w:pPr>
              <w:jc w:val="center"/>
              <w:rPr>
                <w:sz w:val="22"/>
                <w:szCs w:val="22"/>
              </w:rPr>
            </w:pPr>
            <m:oMathPara>
              <m:oMath>
                <m:r>
                  <w:rPr>
                    <w:rFonts w:ascii="Cambria Math" w:eastAsia="Calibri" w:hAnsi="Cambria Math"/>
                    <w:sz w:val="22"/>
                    <w:szCs w:val="22"/>
                  </w:rPr>
                  <m:t xml:space="preserve">Série da alíquota do Compulsório sobre </m:t>
                </m:r>
              </m:oMath>
            </m:oMathPara>
          </w:p>
          <w:p w:rsidR="002E0CFE" w:rsidRPr="00386176" w:rsidRDefault="002E0CFE" w:rsidP="00826069">
            <w:pPr>
              <w:jc w:val="center"/>
              <w:rPr>
                <w:rFonts w:eastAsia="Calibri"/>
                <w:sz w:val="22"/>
                <w:szCs w:val="22"/>
              </w:rPr>
            </w:pPr>
            <m:oMathPara>
              <m:oMath>
                <m:r>
                  <w:rPr>
                    <w:rFonts w:ascii="Cambria Math" w:eastAsia="Calibri" w:hAnsi="Cambria Math"/>
                    <w:sz w:val="22"/>
                    <w:szCs w:val="22"/>
                  </w:rPr>
                  <m:t>o Depósito à Vista</m:t>
                </m:r>
              </m:oMath>
            </m:oMathPara>
          </w:p>
        </w:tc>
      </w:tr>
      <w:tr w:rsidR="00663C83" w:rsidRPr="00386176" w:rsidTr="00BF559C">
        <w:tc>
          <w:tcPr>
            <w:tcW w:w="1985" w:type="dxa"/>
            <w:vAlign w:val="center"/>
          </w:tcPr>
          <w:p w:rsidR="002E0CFE" w:rsidRPr="00386176" w:rsidRDefault="002E0CFE" w:rsidP="00826069">
            <w:pPr>
              <w:jc w:val="center"/>
              <w:rPr>
                <w:sz w:val="22"/>
                <w:szCs w:val="22"/>
              </w:rPr>
            </w:pPr>
            <w:r w:rsidRPr="00386176">
              <w:rPr>
                <w:sz w:val="22"/>
                <w:szCs w:val="22"/>
              </w:rPr>
              <w:t>Depósitos Compulsórios – Depósito a Prazo</w:t>
            </w:r>
          </w:p>
        </w:tc>
        <w:tc>
          <w:tcPr>
            <w:tcW w:w="1276" w:type="dxa"/>
            <w:vAlign w:val="center"/>
          </w:tcPr>
          <w:p w:rsidR="002E0CFE" w:rsidRPr="00386176" w:rsidRDefault="002E0CFE" w:rsidP="00826069">
            <w:pPr>
              <w:jc w:val="center"/>
              <w:rPr>
                <w:sz w:val="22"/>
                <w:szCs w:val="22"/>
              </w:rPr>
            </w:pPr>
            <w:r w:rsidRPr="00386176">
              <w:rPr>
                <w:sz w:val="22"/>
                <w:szCs w:val="22"/>
              </w:rPr>
              <w:t>–</w:t>
            </w:r>
          </w:p>
        </w:tc>
        <w:tc>
          <w:tcPr>
            <w:tcW w:w="1402" w:type="dxa"/>
            <w:vAlign w:val="center"/>
          </w:tcPr>
          <w:p w:rsidR="002E0CFE" w:rsidRPr="00386176" w:rsidRDefault="008B74BE" w:rsidP="00826069">
            <w:pPr>
              <w:jc w:val="center"/>
              <w:rPr>
                <w:sz w:val="22"/>
                <w:szCs w:val="22"/>
              </w:rPr>
            </w:pPr>
            <w:r w:rsidRPr="00386176">
              <w:rPr>
                <w:sz w:val="22"/>
                <w:szCs w:val="22"/>
              </w:rPr>
              <w:t xml:space="preserve">BCB </w:t>
            </w:r>
          </w:p>
        </w:tc>
        <w:tc>
          <w:tcPr>
            <w:tcW w:w="5543" w:type="dxa"/>
            <w:vAlign w:val="center"/>
          </w:tcPr>
          <w:p w:rsidR="002E0CFE" w:rsidRPr="00386176" w:rsidRDefault="002E0CFE" w:rsidP="00826069">
            <w:pPr>
              <w:jc w:val="center"/>
              <w:rPr>
                <w:sz w:val="22"/>
                <w:szCs w:val="22"/>
              </w:rPr>
            </w:pPr>
            <m:oMathPara>
              <m:oMath>
                <m:r>
                  <w:rPr>
                    <w:rFonts w:ascii="Cambria Math" w:eastAsia="Calibri" w:hAnsi="Cambria Math"/>
                    <w:sz w:val="22"/>
                    <w:szCs w:val="22"/>
                  </w:rPr>
                  <m:t>Série da alíquota do Compulsório sobre o</m:t>
                </m:r>
              </m:oMath>
            </m:oMathPara>
          </w:p>
          <w:p w:rsidR="002E0CFE" w:rsidRPr="00386176" w:rsidRDefault="002E0CFE" w:rsidP="00826069">
            <w:pPr>
              <w:jc w:val="center"/>
              <w:rPr>
                <w:rFonts w:eastAsia="Calibri"/>
                <w:sz w:val="22"/>
                <w:szCs w:val="22"/>
              </w:rPr>
            </w:pPr>
            <m:oMathPara>
              <m:oMath>
                <m:r>
                  <w:rPr>
                    <w:rFonts w:ascii="Cambria Math" w:eastAsia="Calibri" w:hAnsi="Cambria Math"/>
                    <w:sz w:val="22"/>
                    <w:szCs w:val="22"/>
                  </w:rPr>
                  <m:t xml:space="preserve"> Depósito a Prazo</m:t>
                </m:r>
              </m:oMath>
            </m:oMathPara>
          </w:p>
        </w:tc>
      </w:tr>
      <w:tr w:rsidR="00A85BC7" w:rsidRPr="00386176" w:rsidTr="00BF559C">
        <w:tc>
          <w:tcPr>
            <w:tcW w:w="1985" w:type="dxa"/>
            <w:vAlign w:val="center"/>
          </w:tcPr>
          <w:p w:rsidR="00A85BC7" w:rsidRPr="00386176" w:rsidRDefault="00A85BC7" w:rsidP="00826069">
            <w:pPr>
              <w:jc w:val="center"/>
              <w:rPr>
                <w:sz w:val="22"/>
                <w:szCs w:val="22"/>
              </w:rPr>
            </w:pPr>
            <w:r w:rsidRPr="00386176">
              <w:rPr>
                <w:sz w:val="22"/>
                <w:szCs w:val="22"/>
              </w:rPr>
              <w:t>CDI</w:t>
            </w:r>
          </w:p>
        </w:tc>
        <w:tc>
          <w:tcPr>
            <w:tcW w:w="1276" w:type="dxa"/>
            <w:vAlign w:val="center"/>
          </w:tcPr>
          <w:p w:rsidR="00A85BC7" w:rsidRPr="00386176" w:rsidRDefault="00A85BC7" w:rsidP="00826069">
            <w:pPr>
              <w:jc w:val="center"/>
              <w:rPr>
                <w:sz w:val="22"/>
                <w:szCs w:val="22"/>
              </w:rPr>
            </w:pPr>
            <w:r w:rsidRPr="00386176">
              <w:rPr>
                <w:sz w:val="22"/>
                <w:szCs w:val="22"/>
              </w:rPr>
              <w:t>–</w:t>
            </w:r>
          </w:p>
        </w:tc>
        <w:tc>
          <w:tcPr>
            <w:tcW w:w="1402" w:type="dxa"/>
            <w:vAlign w:val="center"/>
          </w:tcPr>
          <w:p w:rsidR="00A85BC7" w:rsidRPr="00386176" w:rsidRDefault="00AB6D2C" w:rsidP="00826069">
            <w:pPr>
              <w:jc w:val="center"/>
              <w:rPr>
                <w:sz w:val="22"/>
                <w:szCs w:val="22"/>
              </w:rPr>
            </w:pPr>
            <w:r w:rsidRPr="00386176">
              <w:t>C</w:t>
            </w:r>
            <w:r w:rsidR="000F4AA0" w:rsidRPr="00386176">
              <w:t>ETIP</w:t>
            </w:r>
          </w:p>
        </w:tc>
        <w:tc>
          <w:tcPr>
            <w:tcW w:w="5543" w:type="dxa"/>
            <w:vAlign w:val="center"/>
          </w:tcPr>
          <w:p w:rsidR="00A85BC7" w:rsidRPr="00386176" w:rsidRDefault="00A85BC7" w:rsidP="00826069">
            <w:pPr>
              <w:jc w:val="center"/>
              <w:rPr>
                <w:sz w:val="22"/>
                <w:szCs w:val="22"/>
              </w:rPr>
            </w:pPr>
            <m:oMathPara>
              <m:oMath>
                <m:r>
                  <w:rPr>
                    <w:rFonts w:ascii="Cambria Math" w:eastAsia="Calibri" w:hAnsi="Cambria Math"/>
                    <w:sz w:val="22"/>
                    <w:szCs w:val="22"/>
                  </w:rPr>
                  <m:t>Série da Taxa CDI Mensal transformada</m:t>
                </m:r>
              </m:oMath>
            </m:oMathPara>
          </w:p>
          <w:p w:rsidR="00A85BC7" w:rsidRPr="00386176" w:rsidRDefault="00A85BC7" w:rsidP="00826069">
            <w:pPr>
              <w:jc w:val="center"/>
              <w:rPr>
                <w:rFonts w:eastAsia="Calibri"/>
                <w:sz w:val="22"/>
                <w:szCs w:val="22"/>
              </w:rPr>
            </w:pPr>
            <m:oMathPara>
              <m:oMath>
                <m:r>
                  <w:rPr>
                    <w:rFonts w:ascii="Cambria Math" w:eastAsia="Calibri" w:hAnsi="Cambria Math"/>
                    <w:sz w:val="22"/>
                    <w:szCs w:val="22"/>
                  </w:rPr>
                  <m:t>em taxa acumulada trimestral</m:t>
                </m:r>
              </m:oMath>
            </m:oMathPara>
          </w:p>
        </w:tc>
      </w:tr>
      <w:tr w:rsidR="00A85BC7" w:rsidRPr="00386176" w:rsidTr="00BF559C">
        <w:tc>
          <w:tcPr>
            <w:tcW w:w="1985" w:type="dxa"/>
            <w:vAlign w:val="center"/>
          </w:tcPr>
          <w:p w:rsidR="00A85BC7" w:rsidRPr="00386176" w:rsidRDefault="00A85BC7" w:rsidP="00826069">
            <w:pPr>
              <w:jc w:val="center"/>
              <w:rPr>
                <w:sz w:val="22"/>
                <w:szCs w:val="22"/>
              </w:rPr>
            </w:pPr>
            <w:r w:rsidRPr="00386176">
              <w:rPr>
                <w:sz w:val="22"/>
                <w:szCs w:val="22"/>
              </w:rPr>
              <w:t>Selic</w:t>
            </w:r>
          </w:p>
        </w:tc>
        <w:tc>
          <w:tcPr>
            <w:tcW w:w="1276" w:type="dxa"/>
            <w:vAlign w:val="center"/>
          </w:tcPr>
          <w:p w:rsidR="00A85BC7" w:rsidRPr="00386176" w:rsidRDefault="00A85BC7" w:rsidP="00826069">
            <w:pPr>
              <w:jc w:val="center"/>
              <w:rPr>
                <w:sz w:val="22"/>
                <w:szCs w:val="22"/>
              </w:rPr>
            </w:pPr>
            <w:r w:rsidRPr="00386176">
              <w:rPr>
                <w:sz w:val="22"/>
                <w:szCs w:val="22"/>
              </w:rPr>
              <w:t>–</w:t>
            </w:r>
          </w:p>
        </w:tc>
        <w:tc>
          <w:tcPr>
            <w:tcW w:w="1402" w:type="dxa"/>
            <w:vAlign w:val="center"/>
          </w:tcPr>
          <w:p w:rsidR="00A85BC7" w:rsidRPr="00386176" w:rsidRDefault="008B74BE" w:rsidP="00826069">
            <w:pPr>
              <w:jc w:val="center"/>
              <w:rPr>
                <w:sz w:val="22"/>
                <w:szCs w:val="22"/>
              </w:rPr>
            </w:pPr>
            <w:r w:rsidRPr="00386176">
              <w:rPr>
                <w:sz w:val="22"/>
                <w:szCs w:val="22"/>
              </w:rPr>
              <w:t>BCB</w:t>
            </w:r>
          </w:p>
        </w:tc>
        <w:tc>
          <w:tcPr>
            <w:tcW w:w="5543" w:type="dxa"/>
            <w:vAlign w:val="center"/>
          </w:tcPr>
          <w:p w:rsidR="00A85BC7" w:rsidRPr="00386176" w:rsidRDefault="00A85BC7" w:rsidP="00826069">
            <w:pPr>
              <w:jc w:val="center"/>
              <w:rPr>
                <w:sz w:val="22"/>
                <w:szCs w:val="22"/>
              </w:rPr>
            </w:pPr>
            <m:oMathPara>
              <m:oMath>
                <m:r>
                  <w:rPr>
                    <w:rFonts w:ascii="Cambria Math" w:eastAsia="Calibri" w:hAnsi="Cambria Math"/>
                    <w:sz w:val="22"/>
                    <w:szCs w:val="22"/>
                  </w:rPr>
                  <m:t>Série da Taxa Selic Mensal transformada</m:t>
                </m:r>
              </m:oMath>
            </m:oMathPara>
          </w:p>
          <w:p w:rsidR="00A85BC7" w:rsidRPr="00386176" w:rsidRDefault="00A85BC7" w:rsidP="00826069">
            <w:pPr>
              <w:jc w:val="center"/>
              <w:rPr>
                <w:rFonts w:eastAsia="Calibri"/>
                <w:sz w:val="22"/>
                <w:szCs w:val="22"/>
              </w:rPr>
            </w:pPr>
            <m:oMathPara>
              <m:oMath>
                <m:r>
                  <w:rPr>
                    <w:rFonts w:ascii="Cambria Math" w:eastAsia="Calibri" w:hAnsi="Cambria Math"/>
                    <w:sz w:val="22"/>
                    <w:szCs w:val="22"/>
                  </w:rPr>
                  <m:t>em taxa acumulada trimestral</m:t>
                </m:r>
              </m:oMath>
            </m:oMathPara>
          </w:p>
        </w:tc>
      </w:tr>
      <w:tr w:rsidR="00A85BC7" w:rsidRPr="00386176" w:rsidTr="00BF559C">
        <w:tc>
          <w:tcPr>
            <w:tcW w:w="1985" w:type="dxa"/>
            <w:vAlign w:val="center"/>
          </w:tcPr>
          <w:p w:rsidR="00A85BC7" w:rsidRPr="00386176" w:rsidRDefault="00A85BC7" w:rsidP="00826069">
            <w:pPr>
              <w:jc w:val="center"/>
              <w:rPr>
                <w:sz w:val="22"/>
                <w:szCs w:val="22"/>
              </w:rPr>
            </w:pPr>
            <w:r w:rsidRPr="00386176">
              <w:rPr>
                <w:sz w:val="22"/>
                <w:szCs w:val="22"/>
              </w:rPr>
              <w:t>PIB</w:t>
            </w:r>
          </w:p>
        </w:tc>
        <w:tc>
          <w:tcPr>
            <w:tcW w:w="1276" w:type="dxa"/>
            <w:vAlign w:val="center"/>
          </w:tcPr>
          <w:p w:rsidR="00A85BC7" w:rsidRPr="00386176" w:rsidRDefault="00A85BC7" w:rsidP="00826069">
            <w:pPr>
              <w:jc w:val="center"/>
              <w:rPr>
                <w:sz w:val="22"/>
                <w:szCs w:val="22"/>
              </w:rPr>
            </w:pPr>
            <w:r w:rsidRPr="00386176">
              <w:rPr>
                <w:sz w:val="22"/>
                <w:szCs w:val="22"/>
              </w:rPr>
              <w:t>+</w:t>
            </w:r>
          </w:p>
        </w:tc>
        <w:tc>
          <w:tcPr>
            <w:tcW w:w="1402" w:type="dxa"/>
            <w:vAlign w:val="center"/>
          </w:tcPr>
          <w:p w:rsidR="00A85BC7" w:rsidRPr="00386176" w:rsidRDefault="00A85BC7" w:rsidP="00826069">
            <w:pPr>
              <w:jc w:val="center"/>
              <w:rPr>
                <w:sz w:val="22"/>
                <w:szCs w:val="22"/>
              </w:rPr>
            </w:pPr>
            <w:r w:rsidRPr="00386176">
              <w:rPr>
                <w:sz w:val="22"/>
                <w:szCs w:val="22"/>
              </w:rPr>
              <w:t>IBGE</w:t>
            </w:r>
          </w:p>
        </w:tc>
        <w:tc>
          <w:tcPr>
            <w:tcW w:w="5543" w:type="dxa"/>
            <w:vAlign w:val="center"/>
          </w:tcPr>
          <w:p w:rsidR="00A85BC7" w:rsidRPr="00386176" w:rsidRDefault="00A85BC7" w:rsidP="00826069">
            <w:pPr>
              <w:jc w:val="center"/>
              <w:rPr>
                <w:sz w:val="22"/>
                <w:szCs w:val="22"/>
              </w:rPr>
            </w:pPr>
            <m:oMathPara>
              <m:oMath>
                <m:r>
                  <w:rPr>
                    <w:rFonts w:ascii="Cambria Math" w:eastAsia="Calibri" w:hAnsi="Cambria Math"/>
                    <w:sz w:val="22"/>
                    <w:szCs w:val="22"/>
                  </w:rPr>
                  <m:t xml:space="preserve">Série do PIB a preços de mercado calculado </m:t>
                </m:r>
              </m:oMath>
            </m:oMathPara>
          </w:p>
          <w:p w:rsidR="00A85BC7" w:rsidRPr="00386176" w:rsidRDefault="00A85BC7" w:rsidP="00826069">
            <w:pPr>
              <w:jc w:val="center"/>
              <w:rPr>
                <w:sz w:val="22"/>
                <w:szCs w:val="22"/>
              </w:rPr>
            </w:pPr>
            <m:oMathPara>
              <m:oMath>
                <m:r>
                  <w:rPr>
                    <w:rFonts w:ascii="Cambria Math" w:eastAsia="Calibri" w:hAnsi="Cambria Math"/>
                    <w:sz w:val="22"/>
                    <w:szCs w:val="22"/>
                  </w:rPr>
                  <m:t xml:space="preserve">pelo IBGE, deflacionado pelo IPCA e dessazonalizado </m:t>
                </m:r>
              </m:oMath>
            </m:oMathPara>
          </w:p>
          <w:p w:rsidR="00A85BC7" w:rsidRPr="00386176" w:rsidRDefault="00A85BC7" w:rsidP="00826069">
            <w:pPr>
              <w:jc w:val="center"/>
              <w:rPr>
                <w:rFonts w:eastAsia="Calibri"/>
                <w:sz w:val="22"/>
                <w:szCs w:val="22"/>
              </w:rPr>
            </w:pPr>
            <m:oMathPara>
              <m:oMath>
                <m:r>
                  <w:rPr>
                    <w:rFonts w:ascii="Cambria Math" w:eastAsia="Calibri" w:hAnsi="Cambria Math"/>
                    <w:sz w:val="22"/>
                    <w:szCs w:val="22"/>
                  </w:rPr>
                  <m:t>por meio da Metodologia X12-ARIMA</m:t>
                </m:r>
              </m:oMath>
            </m:oMathPara>
          </w:p>
        </w:tc>
      </w:tr>
      <w:tr w:rsidR="00A85BC7" w:rsidRPr="00386176" w:rsidTr="00BF559C">
        <w:tc>
          <w:tcPr>
            <w:tcW w:w="1985" w:type="dxa"/>
            <w:vAlign w:val="center"/>
          </w:tcPr>
          <w:p w:rsidR="00A85BC7" w:rsidRPr="00386176" w:rsidRDefault="00A85BC7" w:rsidP="00826069">
            <w:pPr>
              <w:jc w:val="center"/>
              <w:rPr>
                <w:sz w:val="22"/>
                <w:szCs w:val="22"/>
              </w:rPr>
            </w:pPr>
            <w:r w:rsidRPr="00386176">
              <w:rPr>
                <w:sz w:val="22"/>
                <w:szCs w:val="22"/>
              </w:rPr>
              <w:t>IPCA</w:t>
            </w:r>
          </w:p>
        </w:tc>
        <w:tc>
          <w:tcPr>
            <w:tcW w:w="1276" w:type="dxa"/>
            <w:vAlign w:val="center"/>
          </w:tcPr>
          <w:p w:rsidR="00A85BC7" w:rsidRPr="00386176" w:rsidRDefault="00A85BC7" w:rsidP="00826069">
            <w:pPr>
              <w:jc w:val="center"/>
              <w:rPr>
                <w:sz w:val="22"/>
                <w:szCs w:val="22"/>
              </w:rPr>
            </w:pPr>
            <w:r w:rsidRPr="00386176">
              <w:rPr>
                <w:sz w:val="22"/>
                <w:szCs w:val="22"/>
              </w:rPr>
              <w:t>–</w:t>
            </w:r>
          </w:p>
        </w:tc>
        <w:tc>
          <w:tcPr>
            <w:tcW w:w="1402" w:type="dxa"/>
            <w:vAlign w:val="center"/>
          </w:tcPr>
          <w:p w:rsidR="00A85BC7" w:rsidRPr="00386176" w:rsidRDefault="00A85BC7" w:rsidP="00826069">
            <w:pPr>
              <w:jc w:val="center"/>
              <w:rPr>
                <w:sz w:val="22"/>
                <w:szCs w:val="22"/>
              </w:rPr>
            </w:pPr>
            <w:r w:rsidRPr="00386176">
              <w:rPr>
                <w:sz w:val="22"/>
                <w:szCs w:val="22"/>
              </w:rPr>
              <w:t>IBGE</w:t>
            </w:r>
          </w:p>
        </w:tc>
        <w:tc>
          <w:tcPr>
            <w:tcW w:w="5543" w:type="dxa"/>
            <w:vAlign w:val="center"/>
          </w:tcPr>
          <w:p w:rsidR="00A85BC7" w:rsidRPr="00386176" w:rsidRDefault="00A85BC7" w:rsidP="00826069">
            <w:pPr>
              <w:jc w:val="center"/>
              <w:rPr>
                <w:sz w:val="22"/>
                <w:szCs w:val="22"/>
              </w:rPr>
            </w:pPr>
            <m:oMathPara>
              <m:oMath>
                <m:r>
                  <w:rPr>
                    <w:rFonts w:ascii="Cambria Math" w:eastAsia="Calibri" w:hAnsi="Cambria Math"/>
                    <w:sz w:val="22"/>
                    <w:szCs w:val="22"/>
                  </w:rPr>
                  <m:t>Série do IPCA Mensal transformada</m:t>
                </m:r>
              </m:oMath>
            </m:oMathPara>
          </w:p>
          <w:p w:rsidR="00A85BC7" w:rsidRPr="00386176" w:rsidRDefault="00A85BC7" w:rsidP="00826069">
            <w:pPr>
              <w:jc w:val="center"/>
              <w:rPr>
                <w:rFonts w:eastAsia="Calibri"/>
                <w:sz w:val="22"/>
                <w:szCs w:val="22"/>
              </w:rPr>
            </w:pPr>
            <m:oMathPara>
              <m:oMath>
                <m:r>
                  <w:rPr>
                    <w:rFonts w:ascii="Cambria Math" w:eastAsia="Calibri" w:hAnsi="Cambria Math"/>
                    <w:sz w:val="22"/>
                    <w:szCs w:val="22"/>
                  </w:rPr>
                  <m:t>em taxa acumulada trimestral</m:t>
                </m:r>
              </m:oMath>
            </m:oMathPara>
          </w:p>
        </w:tc>
      </w:tr>
      <w:tr w:rsidR="00A85BC7" w:rsidRPr="00386176" w:rsidTr="00BF559C">
        <w:tc>
          <w:tcPr>
            <w:tcW w:w="1985" w:type="dxa"/>
            <w:vAlign w:val="center"/>
          </w:tcPr>
          <w:p w:rsidR="00A85BC7" w:rsidRPr="00386176" w:rsidRDefault="00A85BC7" w:rsidP="00826069">
            <w:pPr>
              <w:jc w:val="center"/>
              <w:rPr>
                <w:sz w:val="22"/>
                <w:szCs w:val="22"/>
              </w:rPr>
            </w:pPr>
            <w:r w:rsidRPr="00386176">
              <w:rPr>
                <w:sz w:val="22"/>
                <w:szCs w:val="22"/>
              </w:rPr>
              <w:t>M2</w:t>
            </w:r>
          </w:p>
        </w:tc>
        <w:tc>
          <w:tcPr>
            <w:tcW w:w="1276" w:type="dxa"/>
            <w:vAlign w:val="center"/>
          </w:tcPr>
          <w:p w:rsidR="00A85BC7" w:rsidRPr="00386176" w:rsidRDefault="00A85BC7" w:rsidP="00826069">
            <w:pPr>
              <w:jc w:val="center"/>
              <w:rPr>
                <w:sz w:val="22"/>
                <w:szCs w:val="22"/>
              </w:rPr>
            </w:pPr>
            <w:r w:rsidRPr="00386176">
              <w:rPr>
                <w:sz w:val="22"/>
                <w:szCs w:val="22"/>
              </w:rPr>
              <w:t>+</w:t>
            </w:r>
          </w:p>
        </w:tc>
        <w:tc>
          <w:tcPr>
            <w:tcW w:w="1402" w:type="dxa"/>
            <w:vAlign w:val="center"/>
          </w:tcPr>
          <w:p w:rsidR="00A85BC7" w:rsidRPr="00386176" w:rsidRDefault="008B74BE" w:rsidP="00826069">
            <w:pPr>
              <w:jc w:val="center"/>
              <w:rPr>
                <w:sz w:val="22"/>
                <w:szCs w:val="22"/>
              </w:rPr>
            </w:pPr>
            <w:r w:rsidRPr="00386176">
              <w:rPr>
                <w:sz w:val="22"/>
                <w:szCs w:val="22"/>
              </w:rPr>
              <w:t>BCB</w:t>
            </w:r>
          </w:p>
        </w:tc>
        <w:tc>
          <w:tcPr>
            <w:tcW w:w="5543" w:type="dxa"/>
            <w:vAlign w:val="center"/>
          </w:tcPr>
          <w:p w:rsidR="00A85BC7" w:rsidRPr="00386176" w:rsidRDefault="00A85BC7" w:rsidP="00826069">
            <w:pPr>
              <w:jc w:val="center"/>
              <w:rPr>
                <w:sz w:val="22"/>
                <w:szCs w:val="22"/>
              </w:rPr>
            </w:pPr>
            <m:oMathPara>
              <m:oMath>
                <m:r>
                  <w:rPr>
                    <w:rFonts w:ascii="Cambria Math" w:eastAsia="Calibri" w:hAnsi="Cambria Math"/>
                    <w:sz w:val="22"/>
                    <w:szCs w:val="22"/>
                  </w:rPr>
                  <m:t xml:space="preserve">Série </m:t>
                </m:r>
                <m:r>
                  <m:rPr>
                    <m:sty m:val="p"/>
                  </m:rPr>
                  <w:rPr>
                    <w:rFonts w:ascii="Cambria Math" w:hAnsi="Cambria Math"/>
                    <w:noProof/>
                    <w:sz w:val="22"/>
                    <w:szCs w:val="22"/>
                  </w:rPr>
                  <m:t>M2 em percentual do PIB</m:t>
                </m:r>
              </m:oMath>
            </m:oMathPara>
          </w:p>
          <w:p w:rsidR="00A85BC7" w:rsidRPr="00386176" w:rsidRDefault="00A85BC7" w:rsidP="00826069">
            <w:pPr>
              <w:jc w:val="center"/>
              <w:rPr>
                <w:rFonts w:eastAsia="Calibri"/>
                <w:sz w:val="22"/>
                <w:szCs w:val="22"/>
              </w:rPr>
            </w:pPr>
            <m:oMathPara>
              <m:oMath>
                <m:r>
                  <w:rPr>
                    <w:rFonts w:ascii="Cambria Math" w:eastAsia="Calibri" w:hAnsi="Cambria Math"/>
                    <w:sz w:val="22"/>
                    <w:szCs w:val="22"/>
                  </w:rPr>
                  <m:t>e transformado em média trimestral</m:t>
                </m:r>
              </m:oMath>
            </m:oMathPara>
          </w:p>
        </w:tc>
      </w:tr>
    </w:tbl>
    <w:p w:rsidR="002E0CFE" w:rsidRDefault="002E0CFE" w:rsidP="00826069">
      <w:pPr>
        <w:jc w:val="both"/>
        <w:rPr>
          <w:noProof/>
        </w:rPr>
      </w:pPr>
    </w:p>
    <w:p w:rsidR="00751376" w:rsidRPr="00386176" w:rsidRDefault="00751376" w:rsidP="00826069">
      <w:pPr>
        <w:jc w:val="both"/>
        <w:rPr>
          <w:noProof/>
        </w:rPr>
      </w:pPr>
    </w:p>
    <w:p w:rsidR="001847A4" w:rsidRPr="00751376" w:rsidRDefault="001847A4" w:rsidP="004D3C47">
      <w:pPr>
        <w:pStyle w:val="Ttulo3"/>
        <w:numPr>
          <w:ilvl w:val="1"/>
          <w:numId w:val="15"/>
        </w:numPr>
        <w:spacing w:before="240" w:line="240" w:lineRule="auto"/>
        <w:ind w:left="567" w:hanging="567"/>
        <w:rPr>
          <w:rFonts w:ascii="Times New Roman" w:hAnsi="Times New Roman" w:cs="Times New Roman"/>
          <w:b w:val="0"/>
        </w:rPr>
      </w:pPr>
      <w:bookmarkStart w:id="68" w:name="_Toc451294372"/>
      <w:r w:rsidRPr="00751376">
        <w:rPr>
          <w:rFonts w:ascii="Times New Roman" w:hAnsi="Times New Roman" w:cs="Times New Roman"/>
          <w:b w:val="0"/>
        </w:rPr>
        <w:lastRenderedPageBreak/>
        <w:t>T</w:t>
      </w:r>
      <w:r w:rsidR="00751376">
        <w:rPr>
          <w:rFonts w:ascii="Times New Roman" w:hAnsi="Times New Roman" w:cs="Times New Roman"/>
          <w:b w:val="0"/>
        </w:rPr>
        <w:t>ESTES DE RAIZ UNITÁRIA</w:t>
      </w:r>
      <w:bookmarkEnd w:id="68"/>
    </w:p>
    <w:p w:rsidR="001847A4" w:rsidRPr="00386176" w:rsidRDefault="001847A4" w:rsidP="00751376">
      <w:pPr>
        <w:spacing w:after="120"/>
        <w:jc w:val="both"/>
      </w:pPr>
      <w:r w:rsidRPr="00386176">
        <w:tab/>
        <w:t xml:space="preserve">Previamente à estimação do modelo, é fundamental a verificação da </w:t>
      </w:r>
      <w:proofErr w:type="spellStart"/>
      <w:r w:rsidRPr="00386176">
        <w:t>estacionaridade</w:t>
      </w:r>
      <w:proofErr w:type="spellEnd"/>
      <w:r w:rsidRPr="00386176">
        <w:t xml:space="preserve"> das séries utilizadas. Para os dados em painel foram utilizados os testes </w:t>
      </w:r>
      <w:proofErr w:type="spellStart"/>
      <w:r w:rsidRPr="00386176">
        <w:t>Levin</w:t>
      </w:r>
      <w:proofErr w:type="spellEnd"/>
      <w:r w:rsidRPr="00386176">
        <w:t>-</w:t>
      </w:r>
      <w:proofErr w:type="spellStart"/>
      <w:r w:rsidRPr="00386176">
        <w:t>Lin-Chu</w:t>
      </w:r>
      <w:proofErr w:type="spellEnd"/>
      <w:r w:rsidRPr="00386176">
        <w:t xml:space="preserve"> - LLC e </w:t>
      </w:r>
      <w:proofErr w:type="spellStart"/>
      <w:r w:rsidRPr="00386176">
        <w:t>Im-Pesaran-Shin</w:t>
      </w:r>
      <w:proofErr w:type="spellEnd"/>
      <w:r w:rsidRPr="00386176">
        <w:t xml:space="preserve"> – IPS. Ambos os testes possuem a hipótese nula de que cada série temporal no painel contém raiz unitária. Quanto à hipótese alternativa, </w:t>
      </w:r>
      <w:proofErr w:type="spellStart"/>
      <w:r w:rsidRPr="00386176">
        <w:t>Hsiao</w:t>
      </w:r>
      <w:proofErr w:type="spellEnd"/>
      <w:r w:rsidRPr="00386176">
        <w:t xml:space="preserve"> (2003) menciona que o LLC é mais restritivo, pois considera que cada série de tempo é estacionária enquanto o IPS relaxa a forte suposição de homogeneidade do modelo, pressupondo uma hipótese alternativa de que pelo menos alguma série é estacionária.</w:t>
      </w:r>
    </w:p>
    <w:p w:rsidR="001847A4" w:rsidRPr="00386176" w:rsidRDefault="001847A4" w:rsidP="00826069">
      <w:pPr>
        <w:pStyle w:val="Legenda"/>
        <w:keepNext/>
        <w:spacing w:after="0" w:line="240" w:lineRule="auto"/>
        <w:rPr>
          <w:rFonts w:cs="Times New Roman"/>
          <w:b w:val="0"/>
          <w:color w:val="auto"/>
          <w:sz w:val="20"/>
          <w:szCs w:val="20"/>
        </w:rPr>
      </w:pPr>
      <w:bookmarkStart w:id="69" w:name="_Toc451294344"/>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sidR="00103018">
        <w:rPr>
          <w:rFonts w:cs="Times New Roman"/>
          <w:b w:val="0"/>
          <w:noProof/>
          <w:color w:val="auto"/>
          <w:sz w:val="20"/>
          <w:szCs w:val="20"/>
        </w:rPr>
        <w:t>3</w:t>
      </w:r>
      <w:r w:rsidRPr="00386176">
        <w:rPr>
          <w:rFonts w:cs="Times New Roman"/>
          <w:b w:val="0"/>
          <w:color w:val="auto"/>
          <w:sz w:val="20"/>
          <w:szCs w:val="20"/>
        </w:rPr>
        <w:fldChar w:fldCharType="end"/>
      </w:r>
      <w:r w:rsidRPr="00386176">
        <w:rPr>
          <w:rFonts w:cs="Times New Roman"/>
          <w:b w:val="0"/>
          <w:color w:val="auto"/>
          <w:sz w:val="20"/>
          <w:szCs w:val="20"/>
        </w:rPr>
        <w:t xml:space="preserve"> - Resultados dos Testes de Raiz Unitária para Dados em Painel</w:t>
      </w:r>
      <w:bookmarkEnd w:id="69"/>
    </w:p>
    <w:tbl>
      <w:tblPr>
        <w:tblW w:w="10153" w:type="dxa"/>
        <w:tblInd w:w="55" w:type="dxa"/>
        <w:tblLayout w:type="fixed"/>
        <w:tblCellMar>
          <w:left w:w="70" w:type="dxa"/>
          <w:right w:w="70" w:type="dxa"/>
        </w:tblCellMar>
        <w:tblLook w:val="04A0" w:firstRow="1" w:lastRow="0" w:firstColumn="1" w:lastColumn="0" w:noHBand="0" w:noVBand="1"/>
      </w:tblPr>
      <w:tblGrid>
        <w:gridCol w:w="1788"/>
        <w:gridCol w:w="1134"/>
        <w:gridCol w:w="851"/>
        <w:gridCol w:w="1134"/>
        <w:gridCol w:w="834"/>
        <w:gridCol w:w="160"/>
        <w:gridCol w:w="1134"/>
        <w:gridCol w:w="992"/>
        <w:gridCol w:w="1134"/>
        <w:gridCol w:w="992"/>
      </w:tblGrid>
      <w:tr w:rsidR="001847A4" w:rsidRPr="00386176" w:rsidTr="00751376">
        <w:trPr>
          <w:trHeight w:val="218"/>
        </w:trPr>
        <w:tc>
          <w:tcPr>
            <w:tcW w:w="1788" w:type="dxa"/>
            <w:vMerge w:val="restart"/>
            <w:tcBorders>
              <w:top w:val="single" w:sz="4" w:space="0" w:color="auto"/>
              <w:left w:val="nil"/>
              <w:bottom w:val="single" w:sz="4" w:space="0" w:color="000000"/>
              <w:right w:val="nil"/>
            </w:tcBorders>
            <w:shd w:val="clear" w:color="auto" w:fill="auto"/>
            <w:noWrap/>
            <w:vAlign w:val="center"/>
            <w:hideMark/>
          </w:tcPr>
          <w:p w:rsidR="001847A4" w:rsidRPr="00386176" w:rsidRDefault="001847A4" w:rsidP="00826069">
            <w:pPr>
              <w:jc w:val="center"/>
              <w:rPr>
                <w:b/>
                <w:bCs/>
                <w:sz w:val="22"/>
                <w:szCs w:val="22"/>
              </w:rPr>
            </w:pPr>
            <w:r w:rsidRPr="00386176">
              <w:rPr>
                <w:b/>
                <w:bCs/>
                <w:sz w:val="22"/>
                <w:szCs w:val="22"/>
              </w:rPr>
              <w:t>Variável</w:t>
            </w:r>
          </w:p>
        </w:tc>
        <w:tc>
          <w:tcPr>
            <w:tcW w:w="3953" w:type="dxa"/>
            <w:gridSpan w:val="4"/>
            <w:tcBorders>
              <w:top w:val="single" w:sz="4" w:space="0" w:color="auto"/>
              <w:left w:val="nil"/>
              <w:bottom w:val="single" w:sz="4" w:space="0" w:color="auto"/>
              <w:right w:val="nil"/>
            </w:tcBorders>
            <w:shd w:val="clear" w:color="auto" w:fill="auto"/>
            <w:noWrap/>
            <w:vAlign w:val="bottom"/>
            <w:hideMark/>
          </w:tcPr>
          <w:p w:rsidR="001847A4" w:rsidRPr="00386176" w:rsidRDefault="001847A4" w:rsidP="00826069">
            <w:pPr>
              <w:jc w:val="center"/>
              <w:rPr>
                <w:b/>
                <w:bCs/>
                <w:sz w:val="22"/>
                <w:szCs w:val="22"/>
              </w:rPr>
            </w:pPr>
            <w:r w:rsidRPr="00386176">
              <w:rPr>
                <w:b/>
                <w:bCs/>
                <w:sz w:val="22"/>
                <w:szCs w:val="22"/>
              </w:rPr>
              <w:t>LLC</w:t>
            </w:r>
          </w:p>
        </w:tc>
        <w:tc>
          <w:tcPr>
            <w:tcW w:w="160" w:type="dxa"/>
            <w:tcBorders>
              <w:top w:val="single" w:sz="4" w:space="0" w:color="auto"/>
              <w:left w:val="nil"/>
              <w:bottom w:val="nil"/>
              <w:right w:val="nil"/>
            </w:tcBorders>
            <w:shd w:val="clear" w:color="auto" w:fill="auto"/>
            <w:noWrap/>
            <w:vAlign w:val="bottom"/>
            <w:hideMark/>
          </w:tcPr>
          <w:p w:rsidR="001847A4" w:rsidRPr="00386176" w:rsidRDefault="001847A4" w:rsidP="00826069">
            <w:pPr>
              <w:jc w:val="center"/>
              <w:rPr>
                <w:b/>
                <w:bCs/>
                <w:sz w:val="22"/>
                <w:szCs w:val="22"/>
              </w:rPr>
            </w:pPr>
            <w:r w:rsidRPr="00386176">
              <w:rPr>
                <w:b/>
                <w:bCs/>
                <w:sz w:val="22"/>
                <w:szCs w:val="22"/>
              </w:rPr>
              <w:t> </w:t>
            </w:r>
          </w:p>
        </w:tc>
        <w:tc>
          <w:tcPr>
            <w:tcW w:w="4252" w:type="dxa"/>
            <w:gridSpan w:val="4"/>
            <w:tcBorders>
              <w:top w:val="single" w:sz="4" w:space="0" w:color="auto"/>
              <w:left w:val="nil"/>
              <w:bottom w:val="single" w:sz="4" w:space="0" w:color="auto"/>
              <w:right w:val="nil"/>
            </w:tcBorders>
            <w:shd w:val="clear" w:color="auto" w:fill="auto"/>
            <w:noWrap/>
            <w:vAlign w:val="bottom"/>
            <w:hideMark/>
          </w:tcPr>
          <w:p w:rsidR="001847A4" w:rsidRPr="00386176" w:rsidRDefault="001847A4" w:rsidP="00826069">
            <w:pPr>
              <w:jc w:val="center"/>
              <w:rPr>
                <w:b/>
                <w:bCs/>
                <w:sz w:val="22"/>
                <w:szCs w:val="22"/>
              </w:rPr>
            </w:pPr>
            <w:r w:rsidRPr="00386176">
              <w:rPr>
                <w:b/>
                <w:bCs/>
                <w:sz w:val="22"/>
                <w:szCs w:val="22"/>
              </w:rPr>
              <w:t>IPS</w:t>
            </w:r>
          </w:p>
        </w:tc>
      </w:tr>
      <w:tr w:rsidR="001847A4" w:rsidRPr="00386176" w:rsidTr="00751376">
        <w:trPr>
          <w:trHeight w:val="478"/>
        </w:trPr>
        <w:tc>
          <w:tcPr>
            <w:tcW w:w="1788" w:type="dxa"/>
            <w:vMerge/>
            <w:tcBorders>
              <w:top w:val="single" w:sz="4" w:space="0" w:color="auto"/>
              <w:left w:val="nil"/>
              <w:bottom w:val="single" w:sz="4" w:space="0" w:color="000000"/>
              <w:right w:val="nil"/>
            </w:tcBorders>
            <w:vAlign w:val="center"/>
            <w:hideMark/>
          </w:tcPr>
          <w:p w:rsidR="001847A4" w:rsidRPr="00386176" w:rsidRDefault="001847A4" w:rsidP="00826069">
            <w:pPr>
              <w:rPr>
                <w:b/>
                <w:bCs/>
                <w:sz w:val="22"/>
                <w:szCs w:val="22"/>
              </w:rPr>
            </w:pPr>
          </w:p>
        </w:tc>
        <w:tc>
          <w:tcPr>
            <w:tcW w:w="1985" w:type="dxa"/>
            <w:gridSpan w:val="2"/>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Constante e Tendência</w:t>
            </w:r>
          </w:p>
        </w:tc>
        <w:tc>
          <w:tcPr>
            <w:tcW w:w="1968" w:type="dxa"/>
            <w:gridSpan w:val="2"/>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Constante</w:t>
            </w:r>
          </w:p>
        </w:tc>
        <w:tc>
          <w:tcPr>
            <w:tcW w:w="160" w:type="dxa"/>
            <w:tcBorders>
              <w:top w:val="nil"/>
              <w:left w:val="nil"/>
              <w:bottom w:val="nil"/>
              <w:right w:val="nil"/>
            </w:tcBorders>
            <w:shd w:val="clear" w:color="auto" w:fill="auto"/>
            <w:vAlign w:val="center"/>
            <w:hideMark/>
          </w:tcPr>
          <w:p w:rsidR="001847A4" w:rsidRPr="00386176" w:rsidRDefault="001847A4" w:rsidP="00826069">
            <w:pPr>
              <w:jc w:val="center"/>
              <w:rPr>
                <w:b/>
                <w:bCs/>
                <w:sz w:val="22"/>
                <w:szCs w:val="22"/>
              </w:rPr>
            </w:pPr>
          </w:p>
        </w:tc>
        <w:tc>
          <w:tcPr>
            <w:tcW w:w="2126" w:type="dxa"/>
            <w:gridSpan w:val="2"/>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Constante e Tendência</w:t>
            </w:r>
          </w:p>
        </w:tc>
        <w:tc>
          <w:tcPr>
            <w:tcW w:w="2126" w:type="dxa"/>
            <w:gridSpan w:val="2"/>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Constante</w:t>
            </w:r>
          </w:p>
        </w:tc>
      </w:tr>
      <w:tr w:rsidR="001847A4" w:rsidRPr="00386176" w:rsidTr="00751376">
        <w:trPr>
          <w:trHeight w:val="300"/>
        </w:trPr>
        <w:tc>
          <w:tcPr>
            <w:tcW w:w="1788" w:type="dxa"/>
            <w:vMerge/>
            <w:tcBorders>
              <w:top w:val="single" w:sz="4" w:space="0" w:color="auto"/>
              <w:left w:val="nil"/>
              <w:bottom w:val="single" w:sz="4" w:space="0" w:color="000000"/>
              <w:right w:val="nil"/>
            </w:tcBorders>
            <w:vAlign w:val="center"/>
            <w:hideMark/>
          </w:tcPr>
          <w:p w:rsidR="001847A4" w:rsidRPr="00386176" w:rsidRDefault="001847A4" w:rsidP="00826069">
            <w:pPr>
              <w:rPr>
                <w:b/>
                <w:bCs/>
                <w:sz w:val="22"/>
                <w:szCs w:val="22"/>
              </w:rPr>
            </w:pPr>
          </w:p>
        </w:tc>
        <w:tc>
          <w:tcPr>
            <w:tcW w:w="1134"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Adjusted</w:t>
            </w:r>
            <w:proofErr w:type="spellEnd"/>
            <w:r w:rsidRPr="00386176">
              <w:rPr>
                <w:b/>
                <w:bCs/>
                <w:sz w:val="22"/>
                <w:szCs w:val="22"/>
              </w:rPr>
              <w:t xml:space="preserve"> t</w:t>
            </w:r>
          </w:p>
        </w:tc>
        <w:tc>
          <w:tcPr>
            <w:tcW w:w="851"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Lags</w:t>
            </w:r>
            <w:proofErr w:type="spellEnd"/>
            <w:r w:rsidRPr="00386176">
              <w:rPr>
                <w:b/>
                <w:bCs/>
                <w:sz w:val="22"/>
                <w:szCs w:val="22"/>
              </w:rPr>
              <w:t xml:space="preserve"> </w:t>
            </w:r>
            <w:r w:rsidRPr="00386176">
              <w:rPr>
                <w:b/>
                <w:bCs/>
                <w:sz w:val="22"/>
                <w:szCs w:val="22"/>
                <w:vertAlign w:val="superscript"/>
              </w:rPr>
              <w:t>(1)</w:t>
            </w:r>
          </w:p>
        </w:tc>
        <w:tc>
          <w:tcPr>
            <w:tcW w:w="1134"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Adjusted</w:t>
            </w:r>
            <w:proofErr w:type="spellEnd"/>
            <w:r w:rsidRPr="00386176">
              <w:rPr>
                <w:b/>
                <w:bCs/>
                <w:sz w:val="22"/>
                <w:szCs w:val="22"/>
              </w:rPr>
              <w:t xml:space="preserve"> t</w:t>
            </w:r>
          </w:p>
        </w:tc>
        <w:tc>
          <w:tcPr>
            <w:tcW w:w="834"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Lags</w:t>
            </w:r>
            <w:proofErr w:type="spellEnd"/>
            <w:r w:rsidRPr="00386176">
              <w:rPr>
                <w:b/>
                <w:bCs/>
                <w:sz w:val="22"/>
                <w:szCs w:val="22"/>
              </w:rPr>
              <w:t xml:space="preserve"> </w:t>
            </w:r>
            <w:r w:rsidRPr="00386176">
              <w:rPr>
                <w:b/>
                <w:bCs/>
                <w:sz w:val="22"/>
                <w:szCs w:val="22"/>
                <w:vertAlign w:val="superscript"/>
              </w:rPr>
              <w:t>(1)</w:t>
            </w:r>
          </w:p>
        </w:tc>
        <w:tc>
          <w:tcPr>
            <w:tcW w:w="16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 </w:t>
            </w:r>
          </w:p>
        </w:tc>
        <w:tc>
          <w:tcPr>
            <w:tcW w:w="1134"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W-t-bar</w:t>
            </w:r>
          </w:p>
        </w:tc>
        <w:tc>
          <w:tcPr>
            <w:tcW w:w="99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Lags</w:t>
            </w:r>
            <w:proofErr w:type="spellEnd"/>
            <w:r w:rsidRPr="00386176">
              <w:rPr>
                <w:b/>
                <w:bCs/>
                <w:sz w:val="22"/>
                <w:szCs w:val="22"/>
              </w:rPr>
              <w:t xml:space="preserve"> </w:t>
            </w:r>
            <w:r w:rsidRPr="00386176">
              <w:rPr>
                <w:b/>
                <w:bCs/>
                <w:sz w:val="22"/>
                <w:szCs w:val="22"/>
                <w:vertAlign w:val="superscript"/>
              </w:rPr>
              <w:t>(1)</w:t>
            </w:r>
          </w:p>
        </w:tc>
        <w:tc>
          <w:tcPr>
            <w:tcW w:w="1134"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W-t-bar</w:t>
            </w:r>
          </w:p>
        </w:tc>
        <w:tc>
          <w:tcPr>
            <w:tcW w:w="99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Lags</w:t>
            </w:r>
            <w:proofErr w:type="spellEnd"/>
            <w:r w:rsidRPr="00386176">
              <w:rPr>
                <w:b/>
                <w:bCs/>
                <w:sz w:val="22"/>
                <w:szCs w:val="22"/>
              </w:rPr>
              <w:t xml:space="preserve"> </w:t>
            </w:r>
            <w:r w:rsidRPr="00386176">
              <w:rPr>
                <w:b/>
                <w:bCs/>
                <w:sz w:val="22"/>
                <w:szCs w:val="22"/>
                <w:vertAlign w:val="superscript"/>
              </w:rPr>
              <w:t>(1)</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Crédito</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-7,95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0,23</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-2,58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0,31</w:t>
            </w:r>
          </w:p>
        </w:tc>
        <w:tc>
          <w:tcPr>
            <w:tcW w:w="1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 </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-6,23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0,23</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-3,52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0,31</w:t>
            </w:r>
          </w:p>
        </w:tc>
      </w:tr>
      <w:tr w:rsidR="001847A4" w:rsidRPr="00386176" w:rsidTr="00751376">
        <w:trPr>
          <w:trHeight w:val="312"/>
        </w:trPr>
        <w:tc>
          <w:tcPr>
            <w:tcW w:w="1788" w:type="dxa"/>
            <w:tcBorders>
              <w:top w:val="nil"/>
              <w:left w:val="nil"/>
              <w:bottom w:val="nil"/>
              <w:right w:val="nil"/>
            </w:tcBorders>
            <w:shd w:val="clear" w:color="auto" w:fill="auto"/>
            <w:noWrap/>
            <w:vAlign w:val="bottom"/>
            <w:hideMark/>
          </w:tcPr>
          <w:p w:rsidR="001847A4" w:rsidRPr="00386176" w:rsidRDefault="001847A4" w:rsidP="00826069">
            <w:pPr>
              <w:rPr>
                <w:i/>
                <w:sz w:val="22"/>
                <w:szCs w:val="22"/>
              </w:rPr>
            </w:pPr>
            <w:r w:rsidRPr="00386176">
              <w:rPr>
                <w:i/>
                <w:sz w:val="22"/>
                <w:szCs w:val="22"/>
              </w:rPr>
              <w:t xml:space="preserve">Spread </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-29,77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0,39</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-24,27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0,41</w:t>
            </w:r>
          </w:p>
        </w:tc>
        <w:tc>
          <w:tcPr>
            <w:tcW w:w="160"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-30,17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0,39</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-26,55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0,41</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TVM</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-10,94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0,31</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-4,82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0,32</w:t>
            </w:r>
          </w:p>
        </w:tc>
        <w:tc>
          <w:tcPr>
            <w:tcW w:w="1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-9,33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0,31</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-6,63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0,32</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 xml:space="preserve">Depósito à </w:t>
            </w:r>
            <w:proofErr w:type="gramStart"/>
            <w:r w:rsidRPr="00386176">
              <w:rPr>
                <w:sz w:val="22"/>
                <w:szCs w:val="22"/>
              </w:rPr>
              <w:t>Vista</w:t>
            </w:r>
            <w:r w:rsidRPr="00386176">
              <w:rPr>
                <w:sz w:val="22"/>
                <w:szCs w:val="22"/>
                <w:vertAlign w:val="superscript"/>
              </w:rPr>
              <w:t>(</w:t>
            </w:r>
            <w:proofErr w:type="gramEnd"/>
            <w:r w:rsidRPr="00386176">
              <w:rPr>
                <w:sz w:val="22"/>
                <w:szCs w:val="22"/>
                <w:vertAlign w:val="superscript"/>
              </w:rPr>
              <w:t>2)</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-15,66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0,44</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-12,50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0,51</w:t>
            </w:r>
          </w:p>
        </w:tc>
        <w:tc>
          <w:tcPr>
            <w:tcW w:w="1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 xml:space="preserve">Depósito a </w:t>
            </w:r>
            <w:proofErr w:type="gramStart"/>
            <w:r w:rsidRPr="00386176">
              <w:rPr>
                <w:sz w:val="22"/>
                <w:szCs w:val="22"/>
              </w:rPr>
              <w:t>Prazo</w:t>
            </w:r>
            <w:r w:rsidRPr="00386176">
              <w:rPr>
                <w:sz w:val="22"/>
                <w:szCs w:val="22"/>
                <w:vertAlign w:val="superscript"/>
              </w:rPr>
              <w:t>(</w:t>
            </w:r>
            <w:proofErr w:type="gramEnd"/>
            <w:r w:rsidRPr="00386176">
              <w:rPr>
                <w:sz w:val="22"/>
                <w:szCs w:val="22"/>
                <w:vertAlign w:val="superscript"/>
              </w:rPr>
              <w:t>2)</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-7,05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0,35</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-4,77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0,33</w:t>
            </w:r>
          </w:p>
        </w:tc>
        <w:tc>
          <w:tcPr>
            <w:tcW w:w="1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Grau Alavancagem</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-12,94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0,32</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-6,81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0,33</w:t>
            </w:r>
          </w:p>
        </w:tc>
        <w:tc>
          <w:tcPr>
            <w:tcW w:w="1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-11,03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0,32</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-9,42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0,33</w:t>
            </w:r>
          </w:p>
        </w:tc>
      </w:tr>
      <w:tr w:rsidR="001847A4" w:rsidRPr="00386176" w:rsidTr="00751376">
        <w:trPr>
          <w:trHeight w:val="312"/>
        </w:trPr>
        <w:tc>
          <w:tcPr>
            <w:tcW w:w="1788" w:type="dxa"/>
            <w:tcBorders>
              <w:top w:val="nil"/>
              <w:left w:val="nil"/>
              <w:bottom w:val="nil"/>
              <w:right w:val="nil"/>
            </w:tcBorders>
            <w:shd w:val="clear" w:color="auto" w:fill="auto"/>
            <w:noWrap/>
            <w:vAlign w:val="bottom"/>
            <w:hideMark/>
          </w:tcPr>
          <w:p w:rsidR="001847A4" w:rsidRPr="00386176" w:rsidRDefault="001847A4" w:rsidP="00826069">
            <w:pPr>
              <w:rPr>
                <w:sz w:val="22"/>
                <w:szCs w:val="22"/>
              </w:rPr>
            </w:pPr>
            <w:r w:rsidRPr="00386176">
              <w:rPr>
                <w:sz w:val="22"/>
                <w:szCs w:val="22"/>
              </w:rPr>
              <w:t>Despesa Captação</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-27,38 ***</w:t>
            </w:r>
          </w:p>
        </w:tc>
        <w:tc>
          <w:tcPr>
            <w:tcW w:w="851"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0,47</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-18,45 ***</w:t>
            </w:r>
          </w:p>
        </w:tc>
        <w:tc>
          <w:tcPr>
            <w:tcW w:w="8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0,40</w:t>
            </w:r>
          </w:p>
        </w:tc>
        <w:tc>
          <w:tcPr>
            <w:tcW w:w="160"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-29,46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0,47</w:t>
            </w:r>
          </w:p>
        </w:tc>
        <w:tc>
          <w:tcPr>
            <w:tcW w:w="1134"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-23,67 ***</w:t>
            </w:r>
          </w:p>
        </w:tc>
        <w:tc>
          <w:tcPr>
            <w:tcW w:w="992"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0,40</w:t>
            </w:r>
          </w:p>
        </w:tc>
      </w:tr>
      <w:tr w:rsidR="001847A4" w:rsidRPr="00386176" w:rsidTr="00751376">
        <w:trPr>
          <w:trHeight w:val="312"/>
        </w:trPr>
        <w:tc>
          <w:tcPr>
            <w:tcW w:w="1788" w:type="dxa"/>
            <w:tcBorders>
              <w:top w:val="nil"/>
              <w:left w:val="nil"/>
              <w:bottom w:val="nil"/>
              <w:right w:val="nil"/>
            </w:tcBorders>
            <w:shd w:val="clear" w:color="auto" w:fill="auto"/>
            <w:noWrap/>
            <w:vAlign w:val="bottom"/>
            <w:hideMark/>
          </w:tcPr>
          <w:p w:rsidR="001847A4" w:rsidRPr="00386176" w:rsidRDefault="001847A4" w:rsidP="00826069">
            <w:pPr>
              <w:rPr>
                <w:sz w:val="22"/>
                <w:szCs w:val="22"/>
              </w:rPr>
            </w:pPr>
            <w:r w:rsidRPr="00386176">
              <w:rPr>
                <w:sz w:val="22"/>
                <w:szCs w:val="22"/>
              </w:rPr>
              <w:t>Risco de Crédito</w:t>
            </w:r>
          </w:p>
        </w:tc>
        <w:tc>
          <w:tcPr>
            <w:tcW w:w="1134"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-10,30 ***</w:t>
            </w:r>
          </w:p>
        </w:tc>
        <w:tc>
          <w:tcPr>
            <w:tcW w:w="851"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0,51</w:t>
            </w:r>
          </w:p>
        </w:tc>
        <w:tc>
          <w:tcPr>
            <w:tcW w:w="1134"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-8,61 ***</w:t>
            </w:r>
          </w:p>
        </w:tc>
        <w:tc>
          <w:tcPr>
            <w:tcW w:w="834"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0,47</w:t>
            </w:r>
          </w:p>
        </w:tc>
        <w:tc>
          <w:tcPr>
            <w:tcW w:w="160"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p>
        </w:tc>
        <w:tc>
          <w:tcPr>
            <w:tcW w:w="1134"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-9,67 ***</w:t>
            </w:r>
          </w:p>
        </w:tc>
        <w:tc>
          <w:tcPr>
            <w:tcW w:w="992"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0,51</w:t>
            </w:r>
          </w:p>
        </w:tc>
        <w:tc>
          <w:tcPr>
            <w:tcW w:w="1134"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-10,04 ***</w:t>
            </w:r>
          </w:p>
        </w:tc>
        <w:tc>
          <w:tcPr>
            <w:tcW w:w="992" w:type="dxa"/>
            <w:tcBorders>
              <w:top w:val="nil"/>
              <w:left w:val="nil"/>
              <w:bottom w:val="nil"/>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0,47</w:t>
            </w:r>
          </w:p>
        </w:tc>
      </w:tr>
      <w:tr w:rsidR="001847A4" w:rsidRPr="00386176" w:rsidTr="00751376">
        <w:trPr>
          <w:trHeight w:val="312"/>
        </w:trPr>
        <w:tc>
          <w:tcPr>
            <w:tcW w:w="1788" w:type="dxa"/>
            <w:tcBorders>
              <w:top w:val="nil"/>
              <w:left w:val="nil"/>
              <w:bottom w:val="single" w:sz="4" w:space="0" w:color="auto"/>
              <w:right w:val="nil"/>
            </w:tcBorders>
            <w:shd w:val="clear" w:color="auto" w:fill="auto"/>
            <w:noWrap/>
            <w:vAlign w:val="bottom"/>
            <w:hideMark/>
          </w:tcPr>
          <w:p w:rsidR="001847A4" w:rsidRPr="00386176" w:rsidRDefault="001847A4" w:rsidP="00826069">
            <w:pPr>
              <w:rPr>
                <w:sz w:val="22"/>
                <w:szCs w:val="22"/>
              </w:rPr>
            </w:pPr>
            <w:r w:rsidRPr="00386176">
              <w:rPr>
                <w:sz w:val="22"/>
                <w:szCs w:val="22"/>
              </w:rPr>
              <w:t>Índice de Basiléia</w:t>
            </w:r>
          </w:p>
        </w:tc>
        <w:tc>
          <w:tcPr>
            <w:tcW w:w="1134"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-10,51 ***</w:t>
            </w:r>
          </w:p>
        </w:tc>
        <w:tc>
          <w:tcPr>
            <w:tcW w:w="851"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0,18</w:t>
            </w:r>
          </w:p>
        </w:tc>
        <w:tc>
          <w:tcPr>
            <w:tcW w:w="1134"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-9,18 ***</w:t>
            </w:r>
          </w:p>
        </w:tc>
        <w:tc>
          <w:tcPr>
            <w:tcW w:w="834"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0,20</w:t>
            </w:r>
          </w:p>
        </w:tc>
        <w:tc>
          <w:tcPr>
            <w:tcW w:w="160" w:type="dxa"/>
            <w:tcBorders>
              <w:top w:val="nil"/>
              <w:left w:val="nil"/>
              <w:bottom w:val="single" w:sz="4" w:space="0" w:color="auto"/>
              <w:right w:val="nil"/>
            </w:tcBorders>
            <w:shd w:val="clear" w:color="auto" w:fill="auto"/>
            <w:noWrap/>
            <w:vAlign w:val="bottom"/>
            <w:hideMark/>
          </w:tcPr>
          <w:p w:rsidR="001847A4" w:rsidRPr="00386176" w:rsidRDefault="001847A4" w:rsidP="00826069">
            <w:pPr>
              <w:jc w:val="center"/>
              <w:rPr>
                <w:sz w:val="22"/>
                <w:szCs w:val="22"/>
              </w:rPr>
            </w:pPr>
            <w:r w:rsidRPr="00386176">
              <w:rPr>
                <w:sz w:val="22"/>
                <w:szCs w:val="22"/>
              </w:rPr>
              <w:t> </w:t>
            </w:r>
          </w:p>
        </w:tc>
        <w:tc>
          <w:tcPr>
            <w:tcW w:w="1134"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-4,68 ***</w:t>
            </w:r>
          </w:p>
        </w:tc>
        <w:tc>
          <w:tcPr>
            <w:tcW w:w="992"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0,18</w:t>
            </w:r>
          </w:p>
        </w:tc>
        <w:tc>
          <w:tcPr>
            <w:tcW w:w="1134"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-2,71 ***</w:t>
            </w:r>
          </w:p>
        </w:tc>
        <w:tc>
          <w:tcPr>
            <w:tcW w:w="992"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0,20</w:t>
            </w:r>
          </w:p>
        </w:tc>
      </w:tr>
      <w:tr w:rsidR="001847A4" w:rsidRPr="00386176" w:rsidTr="00751376">
        <w:trPr>
          <w:trHeight w:val="240"/>
        </w:trPr>
        <w:tc>
          <w:tcPr>
            <w:tcW w:w="10153" w:type="dxa"/>
            <w:gridSpan w:val="10"/>
            <w:tcBorders>
              <w:top w:val="single" w:sz="4" w:space="0" w:color="auto"/>
              <w:left w:val="nil"/>
              <w:bottom w:val="nil"/>
              <w:right w:val="nil"/>
            </w:tcBorders>
            <w:shd w:val="clear" w:color="auto" w:fill="auto"/>
            <w:noWrap/>
            <w:vAlign w:val="bottom"/>
            <w:hideMark/>
          </w:tcPr>
          <w:p w:rsidR="001847A4" w:rsidRPr="00386176" w:rsidRDefault="001847A4" w:rsidP="00826069">
            <w:pPr>
              <w:rPr>
                <w:sz w:val="20"/>
                <w:szCs w:val="20"/>
              </w:rPr>
            </w:pPr>
            <w:r w:rsidRPr="00386176">
              <w:rPr>
                <w:sz w:val="20"/>
                <w:szCs w:val="20"/>
              </w:rPr>
              <w:t>Fonte: Elaboração Própria.</w:t>
            </w:r>
          </w:p>
        </w:tc>
      </w:tr>
      <w:tr w:rsidR="001847A4" w:rsidRPr="00386176" w:rsidTr="00751376">
        <w:trPr>
          <w:trHeight w:val="240"/>
        </w:trPr>
        <w:tc>
          <w:tcPr>
            <w:tcW w:w="10153" w:type="dxa"/>
            <w:gridSpan w:val="10"/>
            <w:tcBorders>
              <w:top w:val="nil"/>
              <w:left w:val="nil"/>
              <w:bottom w:val="nil"/>
              <w:right w:val="nil"/>
            </w:tcBorders>
            <w:shd w:val="clear" w:color="auto" w:fill="auto"/>
            <w:noWrap/>
            <w:vAlign w:val="bottom"/>
            <w:hideMark/>
          </w:tcPr>
          <w:p w:rsidR="001847A4" w:rsidRPr="00386176" w:rsidRDefault="001847A4" w:rsidP="00826069">
            <w:pPr>
              <w:rPr>
                <w:sz w:val="20"/>
                <w:szCs w:val="20"/>
              </w:rPr>
            </w:pPr>
            <w:r w:rsidRPr="00386176">
              <w:rPr>
                <w:sz w:val="20"/>
                <w:szCs w:val="20"/>
              </w:rPr>
              <w:t>Notas: * Significante a 10%; ** Significante a 5%; *** Significante a 1%.</w:t>
            </w:r>
          </w:p>
        </w:tc>
      </w:tr>
      <w:tr w:rsidR="001847A4" w:rsidRPr="00386176" w:rsidTr="00751376">
        <w:trPr>
          <w:trHeight w:val="264"/>
        </w:trPr>
        <w:tc>
          <w:tcPr>
            <w:tcW w:w="10153" w:type="dxa"/>
            <w:gridSpan w:val="10"/>
            <w:tcBorders>
              <w:top w:val="nil"/>
              <w:left w:val="nil"/>
              <w:bottom w:val="nil"/>
              <w:right w:val="nil"/>
            </w:tcBorders>
            <w:shd w:val="clear" w:color="auto" w:fill="auto"/>
            <w:noWrap/>
            <w:vAlign w:val="bottom"/>
            <w:hideMark/>
          </w:tcPr>
          <w:p w:rsidR="001847A4" w:rsidRPr="00386176" w:rsidRDefault="001847A4" w:rsidP="00826069">
            <w:pPr>
              <w:ind w:firstLine="512"/>
              <w:rPr>
                <w:sz w:val="20"/>
                <w:szCs w:val="20"/>
              </w:rPr>
            </w:pPr>
            <w:proofErr w:type="gramStart"/>
            <w:r w:rsidRPr="00386176">
              <w:rPr>
                <w:sz w:val="20"/>
                <w:szCs w:val="20"/>
                <w:vertAlign w:val="superscript"/>
              </w:rPr>
              <w:t>(1)</w:t>
            </w:r>
            <w:r w:rsidRPr="00386176">
              <w:rPr>
                <w:sz w:val="20"/>
                <w:szCs w:val="20"/>
              </w:rPr>
              <w:t xml:space="preserve"> Os</w:t>
            </w:r>
            <w:proofErr w:type="gramEnd"/>
            <w:r w:rsidRPr="00386176">
              <w:rPr>
                <w:sz w:val="20"/>
                <w:szCs w:val="20"/>
              </w:rPr>
              <w:t xml:space="preserve"> </w:t>
            </w:r>
            <w:proofErr w:type="spellStart"/>
            <w:r w:rsidRPr="00386176">
              <w:rPr>
                <w:sz w:val="20"/>
                <w:szCs w:val="20"/>
              </w:rPr>
              <w:t>lags</w:t>
            </w:r>
            <w:proofErr w:type="spellEnd"/>
            <w:r w:rsidRPr="00386176">
              <w:rPr>
                <w:sz w:val="20"/>
                <w:szCs w:val="20"/>
              </w:rPr>
              <w:t xml:space="preserve"> considerados nos testes consistem na média dos </w:t>
            </w:r>
            <w:proofErr w:type="spellStart"/>
            <w:r w:rsidRPr="00386176">
              <w:rPr>
                <w:sz w:val="20"/>
                <w:szCs w:val="20"/>
              </w:rPr>
              <w:t>lags</w:t>
            </w:r>
            <w:proofErr w:type="spellEnd"/>
            <w:r w:rsidRPr="00386176">
              <w:rPr>
                <w:sz w:val="20"/>
                <w:szCs w:val="20"/>
              </w:rPr>
              <w:t xml:space="preserve"> para cada unidade do painel.</w:t>
            </w:r>
          </w:p>
        </w:tc>
      </w:tr>
      <w:tr w:rsidR="0065294D" w:rsidRPr="00386176" w:rsidTr="00751376">
        <w:trPr>
          <w:trHeight w:val="264"/>
        </w:trPr>
        <w:tc>
          <w:tcPr>
            <w:tcW w:w="10153" w:type="dxa"/>
            <w:gridSpan w:val="10"/>
            <w:tcBorders>
              <w:top w:val="nil"/>
              <w:left w:val="nil"/>
              <w:bottom w:val="nil"/>
              <w:right w:val="nil"/>
            </w:tcBorders>
            <w:shd w:val="clear" w:color="auto" w:fill="auto"/>
            <w:noWrap/>
            <w:vAlign w:val="bottom"/>
          </w:tcPr>
          <w:p w:rsidR="0065294D" w:rsidRPr="00386176" w:rsidRDefault="0065294D" w:rsidP="0065294D">
            <w:pPr>
              <w:ind w:firstLine="512"/>
              <w:rPr>
                <w:sz w:val="20"/>
                <w:szCs w:val="20"/>
                <w:vertAlign w:val="superscript"/>
              </w:rPr>
            </w:pPr>
            <w:proofErr w:type="gramStart"/>
            <w:r w:rsidRPr="00CC64C3">
              <w:rPr>
                <w:sz w:val="20"/>
                <w:szCs w:val="20"/>
                <w:vertAlign w:val="superscript"/>
              </w:rPr>
              <w:t>(2)</w:t>
            </w:r>
            <w:r w:rsidRPr="00CC64C3">
              <w:rPr>
                <w:sz w:val="20"/>
                <w:szCs w:val="20"/>
              </w:rPr>
              <w:t xml:space="preserve"> Para</w:t>
            </w:r>
            <w:proofErr w:type="gramEnd"/>
            <w:r w:rsidRPr="00CC64C3">
              <w:rPr>
                <w:sz w:val="20"/>
                <w:szCs w:val="20"/>
              </w:rPr>
              <w:t xml:space="preserve"> o cálculo da estatística W-t-bar é necessário um núme</w:t>
            </w:r>
            <w:r>
              <w:rPr>
                <w:sz w:val="20"/>
                <w:szCs w:val="20"/>
              </w:rPr>
              <w:t xml:space="preserve">ro mínimo de informações. Como </w:t>
            </w:r>
            <w:r w:rsidRPr="00CC64C3">
              <w:rPr>
                <w:sz w:val="20"/>
                <w:szCs w:val="20"/>
              </w:rPr>
              <w:t>algumas instituições financeiras não possuem depósito à vista e/ou depósito a prazo, não foi possível realizar o teste IPS para essas variáveis.</w:t>
            </w:r>
          </w:p>
        </w:tc>
      </w:tr>
    </w:tbl>
    <w:p w:rsidR="001847A4" w:rsidRPr="00386176" w:rsidRDefault="001847A4" w:rsidP="00751376">
      <w:pPr>
        <w:spacing w:before="120"/>
        <w:ind w:firstLine="709"/>
        <w:jc w:val="both"/>
      </w:pPr>
      <w:r w:rsidRPr="00386176">
        <w:t xml:space="preserve">Os resultados </w:t>
      </w:r>
      <w:r w:rsidR="00882C2B" w:rsidRPr="00386176">
        <w:t xml:space="preserve">mostram </w:t>
      </w:r>
      <w:r w:rsidRPr="00386176">
        <w:t xml:space="preserve">que todas as variáveis utilizadas </w:t>
      </w:r>
      <w:r w:rsidR="000E3F16" w:rsidRPr="00386176">
        <w:t xml:space="preserve">em logaritmo </w:t>
      </w:r>
      <w:r w:rsidRPr="00386176">
        <w:t xml:space="preserve">são estacionárias a um nível de significância de 5% para, pelo menos, um dos testes realizados. Como o modelo possui algumas séries macroeconômicas, também são aplicados os testes </w:t>
      </w:r>
      <m:oMath>
        <m:sSup>
          <m:sSupPr>
            <m:ctrlPr>
              <w:rPr>
                <w:rFonts w:ascii="Cambria Math" w:hAnsi="Cambria Math"/>
                <w:i/>
              </w:rPr>
            </m:ctrlPr>
          </m:sSupPr>
          <m:e>
            <m:r>
              <w:rPr>
                <w:rFonts w:ascii="Cambria Math" w:hAnsi="Cambria Math"/>
              </w:rPr>
              <m:t>MADF</m:t>
            </m:r>
          </m:e>
          <m:sup>
            <m:r>
              <w:rPr>
                <w:rFonts w:ascii="Cambria Math" w:hAnsi="Cambria Math"/>
              </w:rPr>
              <m:t>GLS</m:t>
            </m:r>
          </m:sup>
        </m:sSup>
      </m:oMath>
      <w:r w:rsidRPr="00386176">
        <w:t xml:space="preserve"> e </w:t>
      </w:r>
      <m:oMath>
        <m:sSup>
          <m:sSupPr>
            <m:ctrlPr>
              <w:rPr>
                <w:rFonts w:ascii="Cambria Math" w:hAnsi="Cambria Math"/>
                <w:i/>
              </w:rPr>
            </m:ctrlPr>
          </m:sSupPr>
          <m:e>
            <m:r>
              <w:rPr>
                <w:rFonts w:ascii="Cambria Math" w:hAnsi="Cambria Math"/>
              </w:rPr>
              <m:t>MPP</m:t>
            </m:r>
          </m:e>
          <m:sup>
            <m:r>
              <w:rPr>
                <w:rFonts w:ascii="Cambria Math" w:hAnsi="Cambria Math"/>
              </w:rPr>
              <m:t>GLS</m:t>
            </m:r>
          </m:sup>
        </m:sSup>
      </m:oMath>
      <w:r w:rsidRPr="00386176">
        <w:t xml:space="preserve">. Esses testes são mais robustos que os tradicionais </w:t>
      </w:r>
      <w:proofErr w:type="spellStart"/>
      <w:r w:rsidRPr="00386176">
        <w:rPr>
          <w:i/>
        </w:rPr>
        <w:t>Augmented</w:t>
      </w:r>
      <w:proofErr w:type="spellEnd"/>
      <w:r w:rsidRPr="00386176">
        <w:rPr>
          <w:i/>
        </w:rPr>
        <w:t xml:space="preserve"> </w:t>
      </w:r>
      <w:proofErr w:type="spellStart"/>
      <w:r w:rsidRPr="00386176">
        <w:rPr>
          <w:i/>
        </w:rPr>
        <w:t>Dickey-Fuller</w:t>
      </w:r>
      <w:proofErr w:type="spellEnd"/>
      <w:r w:rsidRPr="00386176">
        <w:t xml:space="preserve"> – ADF e </w:t>
      </w:r>
      <w:r w:rsidRPr="00386176">
        <w:rPr>
          <w:i/>
        </w:rPr>
        <w:t xml:space="preserve">Phillips </w:t>
      </w:r>
      <w:proofErr w:type="spellStart"/>
      <w:r w:rsidRPr="00386176">
        <w:rPr>
          <w:i/>
        </w:rPr>
        <w:t>Perron</w:t>
      </w:r>
      <w:proofErr w:type="spellEnd"/>
      <w:r w:rsidRPr="00386176">
        <w:t xml:space="preserve"> – PP, pois utilizam GLS para eliminar os termos deterministas </w:t>
      </w:r>
      <w:sdt>
        <w:sdtPr>
          <w:id w:val="1637758924"/>
          <w:citation/>
        </w:sdtPr>
        <w:sdtEndPr/>
        <w:sdtContent>
          <w:r w:rsidRPr="00386176">
            <w:fldChar w:fldCharType="begin"/>
          </w:r>
          <w:r w:rsidRPr="00386176">
            <w:instrText xml:space="preserve">CITATION ELL \l 1046 </w:instrText>
          </w:r>
          <w:r w:rsidRPr="00386176">
            <w:fldChar w:fldCharType="separate"/>
          </w:r>
          <w:r w:rsidR="00C12580">
            <w:rPr>
              <w:noProof/>
            </w:rPr>
            <w:t>(ELLIOTT, ROTHENBERG e STOCK, 1996)</w:t>
          </w:r>
          <w:r w:rsidRPr="00386176">
            <w:fldChar w:fldCharType="end"/>
          </w:r>
        </w:sdtContent>
      </w:sdt>
      <w:r w:rsidRPr="00386176">
        <w:t xml:space="preserve"> e o critério </w:t>
      </w:r>
      <w:proofErr w:type="spellStart"/>
      <w:r w:rsidRPr="00386176">
        <w:t>Akaike</w:t>
      </w:r>
      <w:proofErr w:type="spellEnd"/>
      <w:r w:rsidRPr="00386176">
        <w:t xml:space="preserve"> modificado – MAIC para selecionar o número ótimo de defasagens </w:t>
      </w:r>
      <w:sdt>
        <w:sdtPr>
          <w:id w:val="332422163"/>
          <w:citation/>
        </w:sdtPr>
        <w:sdtEndPr/>
        <w:sdtContent>
          <w:r w:rsidRPr="00386176">
            <w:fldChar w:fldCharType="begin"/>
          </w:r>
          <w:r w:rsidRPr="00386176">
            <w:instrText xml:space="preserve"> CITATION NGS01 \l 1046 </w:instrText>
          </w:r>
          <w:r w:rsidRPr="00386176">
            <w:fldChar w:fldCharType="separate"/>
          </w:r>
          <w:r w:rsidR="00C12580">
            <w:rPr>
              <w:noProof/>
            </w:rPr>
            <w:t>(NG e PERRON, 2001)</w:t>
          </w:r>
          <w:r w:rsidRPr="00386176">
            <w:fldChar w:fldCharType="end"/>
          </w:r>
        </w:sdtContent>
      </w:sdt>
      <w:r w:rsidRPr="00386176">
        <w:t>.</w:t>
      </w:r>
    </w:p>
    <w:p w:rsidR="00ED08D3" w:rsidRPr="00386176" w:rsidRDefault="00ED08D3" w:rsidP="00826069">
      <w:pPr>
        <w:ind w:firstLine="709"/>
        <w:jc w:val="both"/>
      </w:pPr>
    </w:p>
    <w:p w:rsidR="001847A4" w:rsidRPr="00386176" w:rsidRDefault="001847A4" w:rsidP="00826069">
      <w:pPr>
        <w:pStyle w:val="Legenda"/>
        <w:keepNext/>
        <w:spacing w:after="0" w:line="240" w:lineRule="auto"/>
        <w:rPr>
          <w:rFonts w:cs="Times New Roman"/>
          <w:b w:val="0"/>
          <w:color w:val="auto"/>
          <w:sz w:val="20"/>
          <w:szCs w:val="20"/>
        </w:rPr>
      </w:pPr>
      <w:bookmarkStart w:id="70" w:name="_Toc451294345"/>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sidR="00103018">
        <w:rPr>
          <w:rFonts w:cs="Times New Roman"/>
          <w:b w:val="0"/>
          <w:noProof/>
          <w:color w:val="auto"/>
          <w:sz w:val="20"/>
          <w:szCs w:val="20"/>
        </w:rPr>
        <w:t>4</w:t>
      </w:r>
      <w:r w:rsidRPr="00386176">
        <w:rPr>
          <w:rFonts w:cs="Times New Roman"/>
          <w:b w:val="0"/>
          <w:color w:val="auto"/>
          <w:sz w:val="20"/>
          <w:szCs w:val="20"/>
        </w:rPr>
        <w:fldChar w:fldCharType="end"/>
      </w:r>
      <w:r w:rsidRPr="00386176">
        <w:rPr>
          <w:rFonts w:cs="Times New Roman"/>
          <w:b w:val="0"/>
          <w:color w:val="auto"/>
          <w:sz w:val="20"/>
          <w:szCs w:val="20"/>
        </w:rPr>
        <w:t xml:space="preserve"> - Resultados dos Testes de Raiz Unitária para Séries de Tempo</w:t>
      </w:r>
      <w:bookmarkEnd w:id="70"/>
    </w:p>
    <w:tbl>
      <w:tblPr>
        <w:tblW w:w="10154" w:type="dxa"/>
        <w:tblInd w:w="55" w:type="dxa"/>
        <w:tblLayout w:type="fixed"/>
        <w:tblCellMar>
          <w:left w:w="70" w:type="dxa"/>
          <w:right w:w="70" w:type="dxa"/>
        </w:tblCellMar>
        <w:tblLook w:val="04A0" w:firstRow="1" w:lastRow="0" w:firstColumn="1" w:lastColumn="0" w:noHBand="0" w:noVBand="1"/>
      </w:tblPr>
      <w:tblGrid>
        <w:gridCol w:w="1788"/>
        <w:gridCol w:w="1559"/>
        <w:gridCol w:w="709"/>
        <w:gridCol w:w="992"/>
        <w:gridCol w:w="552"/>
        <w:gridCol w:w="195"/>
        <w:gridCol w:w="1726"/>
        <w:gridCol w:w="507"/>
        <w:gridCol w:w="1134"/>
        <w:gridCol w:w="992"/>
      </w:tblGrid>
      <w:tr w:rsidR="001847A4" w:rsidRPr="00386176" w:rsidTr="00751376">
        <w:trPr>
          <w:trHeight w:val="227"/>
        </w:trPr>
        <w:tc>
          <w:tcPr>
            <w:tcW w:w="1788" w:type="dxa"/>
            <w:vMerge w:val="restart"/>
            <w:tcBorders>
              <w:top w:val="single" w:sz="4" w:space="0" w:color="auto"/>
              <w:left w:val="nil"/>
              <w:bottom w:val="single" w:sz="4" w:space="0" w:color="000000"/>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Variável</w:t>
            </w:r>
          </w:p>
        </w:tc>
        <w:tc>
          <w:tcPr>
            <w:tcW w:w="3812" w:type="dxa"/>
            <w:gridSpan w:val="4"/>
            <w:tcBorders>
              <w:top w:val="single" w:sz="4" w:space="0" w:color="auto"/>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MADF</w:t>
            </w:r>
            <w:r w:rsidRPr="00386176">
              <w:rPr>
                <w:b/>
                <w:bCs/>
                <w:sz w:val="22"/>
                <w:szCs w:val="22"/>
                <w:vertAlign w:val="superscript"/>
              </w:rPr>
              <w:t>GLS</w:t>
            </w:r>
          </w:p>
        </w:tc>
        <w:tc>
          <w:tcPr>
            <w:tcW w:w="195" w:type="dxa"/>
            <w:tcBorders>
              <w:top w:val="single" w:sz="4" w:space="0" w:color="auto"/>
              <w:left w:val="nil"/>
              <w:bottom w:val="nil"/>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 </w:t>
            </w:r>
          </w:p>
        </w:tc>
        <w:tc>
          <w:tcPr>
            <w:tcW w:w="4359" w:type="dxa"/>
            <w:gridSpan w:val="4"/>
            <w:tcBorders>
              <w:top w:val="single" w:sz="4" w:space="0" w:color="auto"/>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MPP</w:t>
            </w:r>
            <w:r w:rsidRPr="00386176">
              <w:rPr>
                <w:b/>
                <w:bCs/>
                <w:sz w:val="22"/>
                <w:szCs w:val="22"/>
                <w:vertAlign w:val="superscript"/>
              </w:rPr>
              <w:t>GLS</w:t>
            </w:r>
          </w:p>
        </w:tc>
      </w:tr>
      <w:tr w:rsidR="001847A4" w:rsidRPr="00386176" w:rsidTr="00751376">
        <w:trPr>
          <w:trHeight w:val="227"/>
        </w:trPr>
        <w:tc>
          <w:tcPr>
            <w:tcW w:w="1788" w:type="dxa"/>
            <w:vMerge/>
            <w:tcBorders>
              <w:top w:val="single" w:sz="4" w:space="0" w:color="auto"/>
              <w:left w:val="nil"/>
              <w:bottom w:val="single" w:sz="4" w:space="0" w:color="000000"/>
              <w:right w:val="nil"/>
            </w:tcBorders>
            <w:vAlign w:val="center"/>
            <w:hideMark/>
          </w:tcPr>
          <w:p w:rsidR="001847A4" w:rsidRPr="00386176" w:rsidRDefault="001847A4" w:rsidP="00826069">
            <w:pPr>
              <w:rPr>
                <w:b/>
                <w:bCs/>
                <w:sz w:val="22"/>
                <w:szCs w:val="22"/>
              </w:rPr>
            </w:pPr>
          </w:p>
        </w:tc>
        <w:tc>
          <w:tcPr>
            <w:tcW w:w="2268" w:type="dxa"/>
            <w:gridSpan w:val="2"/>
            <w:tcBorders>
              <w:top w:val="single" w:sz="4" w:space="0" w:color="auto"/>
              <w:left w:val="nil"/>
              <w:bottom w:val="single" w:sz="4" w:space="0" w:color="auto"/>
              <w:right w:val="nil"/>
            </w:tcBorders>
            <w:shd w:val="clear" w:color="auto" w:fill="auto"/>
            <w:vAlign w:val="center"/>
            <w:hideMark/>
          </w:tcPr>
          <w:p w:rsidR="001847A4" w:rsidRPr="00386176" w:rsidRDefault="00751376" w:rsidP="00751376">
            <w:pPr>
              <w:jc w:val="center"/>
              <w:rPr>
                <w:b/>
                <w:bCs/>
                <w:sz w:val="22"/>
                <w:szCs w:val="22"/>
              </w:rPr>
            </w:pPr>
            <w:r>
              <w:rPr>
                <w:b/>
                <w:bCs/>
                <w:sz w:val="22"/>
                <w:szCs w:val="22"/>
              </w:rPr>
              <w:t>Constante e t</w:t>
            </w:r>
            <w:r w:rsidR="001847A4" w:rsidRPr="00386176">
              <w:rPr>
                <w:b/>
                <w:bCs/>
                <w:sz w:val="22"/>
                <w:szCs w:val="22"/>
              </w:rPr>
              <w:t>endência</w:t>
            </w:r>
          </w:p>
        </w:tc>
        <w:tc>
          <w:tcPr>
            <w:tcW w:w="1544" w:type="dxa"/>
            <w:gridSpan w:val="2"/>
            <w:tcBorders>
              <w:top w:val="single" w:sz="4" w:space="0" w:color="auto"/>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 xml:space="preserve">Constante </w:t>
            </w:r>
          </w:p>
        </w:tc>
        <w:tc>
          <w:tcPr>
            <w:tcW w:w="195" w:type="dxa"/>
            <w:tcBorders>
              <w:top w:val="nil"/>
              <w:left w:val="nil"/>
              <w:bottom w:val="nil"/>
              <w:right w:val="nil"/>
            </w:tcBorders>
            <w:shd w:val="clear" w:color="auto" w:fill="auto"/>
            <w:vAlign w:val="center"/>
            <w:hideMark/>
          </w:tcPr>
          <w:p w:rsidR="001847A4" w:rsidRPr="00386176" w:rsidRDefault="001847A4" w:rsidP="00826069">
            <w:pPr>
              <w:jc w:val="center"/>
              <w:rPr>
                <w:b/>
                <w:bCs/>
                <w:sz w:val="22"/>
                <w:szCs w:val="22"/>
              </w:rPr>
            </w:pPr>
          </w:p>
        </w:tc>
        <w:tc>
          <w:tcPr>
            <w:tcW w:w="2233" w:type="dxa"/>
            <w:gridSpan w:val="2"/>
            <w:tcBorders>
              <w:top w:val="single" w:sz="4" w:space="0" w:color="auto"/>
              <w:left w:val="nil"/>
              <w:bottom w:val="single" w:sz="4" w:space="0" w:color="auto"/>
              <w:right w:val="nil"/>
            </w:tcBorders>
            <w:shd w:val="clear" w:color="auto" w:fill="auto"/>
            <w:vAlign w:val="center"/>
            <w:hideMark/>
          </w:tcPr>
          <w:p w:rsidR="001847A4" w:rsidRPr="00386176" w:rsidRDefault="001847A4" w:rsidP="00751376">
            <w:pPr>
              <w:jc w:val="center"/>
              <w:rPr>
                <w:b/>
                <w:bCs/>
                <w:sz w:val="22"/>
                <w:szCs w:val="22"/>
              </w:rPr>
            </w:pPr>
            <w:r w:rsidRPr="00386176">
              <w:rPr>
                <w:b/>
                <w:bCs/>
                <w:sz w:val="22"/>
                <w:szCs w:val="22"/>
              </w:rPr>
              <w:t xml:space="preserve">Constante e </w:t>
            </w:r>
            <w:r w:rsidR="00751376">
              <w:rPr>
                <w:b/>
                <w:bCs/>
                <w:sz w:val="22"/>
                <w:szCs w:val="22"/>
              </w:rPr>
              <w:t>t</w:t>
            </w:r>
            <w:r w:rsidRPr="00386176">
              <w:rPr>
                <w:b/>
                <w:bCs/>
                <w:sz w:val="22"/>
                <w:szCs w:val="22"/>
              </w:rPr>
              <w:t>endência</w:t>
            </w:r>
          </w:p>
        </w:tc>
        <w:tc>
          <w:tcPr>
            <w:tcW w:w="2126" w:type="dxa"/>
            <w:gridSpan w:val="2"/>
            <w:tcBorders>
              <w:top w:val="single" w:sz="4" w:space="0" w:color="auto"/>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 xml:space="preserve">Constante </w:t>
            </w:r>
          </w:p>
        </w:tc>
      </w:tr>
      <w:tr w:rsidR="001847A4" w:rsidRPr="00386176" w:rsidTr="00751376">
        <w:trPr>
          <w:trHeight w:val="227"/>
        </w:trPr>
        <w:tc>
          <w:tcPr>
            <w:tcW w:w="1788" w:type="dxa"/>
            <w:vMerge/>
            <w:tcBorders>
              <w:top w:val="single" w:sz="4" w:space="0" w:color="auto"/>
              <w:left w:val="nil"/>
              <w:bottom w:val="single" w:sz="4" w:space="0" w:color="000000"/>
              <w:right w:val="nil"/>
            </w:tcBorders>
            <w:vAlign w:val="center"/>
            <w:hideMark/>
          </w:tcPr>
          <w:p w:rsidR="001847A4" w:rsidRPr="00386176" w:rsidRDefault="001847A4" w:rsidP="00826069">
            <w:pPr>
              <w:rPr>
                <w:b/>
                <w:bCs/>
                <w:sz w:val="22"/>
                <w:szCs w:val="22"/>
              </w:rPr>
            </w:pPr>
          </w:p>
        </w:tc>
        <w:tc>
          <w:tcPr>
            <w:tcW w:w="1559" w:type="dxa"/>
            <w:tcBorders>
              <w:top w:val="nil"/>
              <w:left w:val="nil"/>
              <w:bottom w:val="single" w:sz="4" w:space="0" w:color="auto"/>
              <w:right w:val="nil"/>
            </w:tcBorders>
            <w:shd w:val="clear" w:color="auto" w:fill="auto"/>
            <w:vAlign w:val="center"/>
            <w:hideMark/>
          </w:tcPr>
          <w:p w:rsidR="001847A4" w:rsidRPr="00386176" w:rsidRDefault="001847A4" w:rsidP="00751376">
            <w:pPr>
              <w:jc w:val="center"/>
              <w:rPr>
                <w:b/>
                <w:bCs/>
                <w:sz w:val="22"/>
                <w:szCs w:val="22"/>
              </w:rPr>
            </w:pPr>
            <w:proofErr w:type="gramStart"/>
            <w:r w:rsidRPr="00386176">
              <w:rPr>
                <w:b/>
                <w:bCs/>
                <w:sz w:val="22"/>
                <w:szCs w:val="22"/>
              </w:rPr>
              <w:t>t</w:t>
            </w:r>
            <w:proofErr w:type="gramEnd"/>
            <w:r w:rsidRPr="00386176">
              <w:rPr>
                <w:b/>
                <w:bCs/>
                <w:sz w:val="22"/>
                <w:szCs w:val="22"/>
              </w:rPr>
              <w:t>-</w:t>
            </w:r>
            <w:proofErr w:type="spellStart"/>
            <w:r w:rsidRPr="00386176">
              <w:rPr>
                <w:b/>
                <w:bCs/>
                <w:sz w:val="22"/>
                <w:szCs w:val="22"/>
              </w:rPr>
              <w:t>Stat</w:t>
            </w:r>
            <w:proofErr w:type="spellEnd"/>
            <w:r w:rsidR="00751376">
              <w:rPr>
                <w:b/>
                <w:bCs/>
                <w:sz w:val="22"/>
                <w:szCs w:val="22"/>
              </w:rPr>
              <w:t>.</w:t>
            </w:r>
          </w:p>
        </w:tc>
        <w:tc>
          <w:tcPr>
            <w:tcW w:w="709"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proofErr w:type="gramStart"/>
            <w:r w:rsidRPr="00386176">
              <w:rPr>
                <w:b/>
                <w:bCs/>
                <w:sz w:val="22"/>
                <w:szCs w:val="22"/>
              </w:rPr>
              <w:t>lags</w:t>
            </w:r>
            <w:proofErr w:type="spellEnd"/>
            <w:proofErr w:type="gramEnd"/>
          </w:p>
        </w:tc>
        <w:tc>
          <w:tcPr>
            <w:tcW w:w="992" w:type="dxa"/>
            <w:tcBorders>
              <w:top w:val="nil"/>
              <w:left w:val="nil"/>
              <w:bottom w:val="single" w:sz="4" w:space="0" w:color="auto"/>
              <w:right w:val="nil"/>
            </w:tcBorders>
            <w:shd w:val="clear" w:color="auto" w:fill="auto"/>
            <w:vAlign w:val="center"/>
            <w:hideMark/>
          </w:tcPr>
          <w:p w:rsidR="001847A4" w:rsidRPr="00386176" w:rsidRDefault="001847A4" w:rsidP="00751376">
            <w:pPr>
              <w:jc w:val="center"/>
              <w:rPr>
                <w:b/>
                <w:bCs/>
                <w:sz w:val="22"/>
                <w:szCs w:val="22"/>
              </w:rPr>
            </w:pPr>
            <w:proofErr w:type="gramStart"/>
            <w:r w:rsidRPr="00386176">
              <w:rPr>
                <w:b/>
                <w:bCs/>
                <w:sz w:val="22"/>
                <w:szCs w:val="22"/>
              </w:rPr>
              <w:t>t</w:t>
            </w:r>
            <w:proofErr w:type="gramEnd"/>
            <w:r w:rsidRPr="00386176">
              <w:rPr>
                <w:b/>
                <w:bCs/>
                <w:sz w:val="22"/>
                <w:szCs w:val="22"/>
              </w:rPr>
              <w:t>-</w:t>
            </w:r>
            <w:proofErr w:type="spellStart"/>
            <w:r w:rsidRPr="00386176">
              <w:rPr>
                <w:b/>
                <w:bCs/>
                <w:sz w:val="22"/>
                <w:szCs w:val="22"/>
              </w:rPr>
              <w:t>Stat</w:t>
            </w:r>
            <w:proofErr w:type="spellEnd"/>
            <w:r w:rsidR="00751376">
              <w:rPr>
                <w:b/>
                <w:bCs/>
                <w:sz w:val="22"/>
                <w:szCs w:val="22"/>
              </w:rPr>
              <w:t>.</w:t>
            </w:r>
          </w:p>
        </w:tc>
        <w:tc>
          <w:tcPr>
            <w:tcW w:w="55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proofErr w:type="gramStart"/>
            <w:r w:rsidRPr="00386176">
              <w:rPr>
                <w:b/>
                <w:bCs/>
                <w:sz w:val="22"/>
                <w:szCs w:val="22"/>
              </w:rPr>
              <w:t>lags</w:t>
            </w:r>
            <w:proofErr w:type="spellEnd"/>
            <w:proofErr w:type="gramEnd"/>
          </w:p>
        </w:tc>
        <w:tc>
          <w:tcPr>
            <w:tcW w:w="195"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 </w:t>
            </w:r>
          </w:p>
        </w:tc>
        <w:tc>
          <w:tcPr>
            <w:tcW w:w="1726" w:type="dxa"/>
            <w:tcBorders>
              <w:top w:val="nil"/>
              <w:left w:val="nil"/>
              <w:bottom w:val="single" w:sz="4" w:space="0" w:color="auto"/>
              <w:right w:val="nil"/>
            </w:tcBorders>
            <w:shd w:val="clear" w:color="auto" w:fill="auto"/>
            <w:vAlign w:val="center"/>
            <w:hideMark/>
          </w:tcPr>
          <w:p w:rsidR="001847A4" w:rsidRPr="00386176" w:rsidRDefault="001847A4" w:rsidP="00751376">
            <w:pPr>
              <w:jc w:val="center"/>
              <w:rPr>
                <w:b/>
                <w:bCs/>
                <w:sz w:val="22"/>
                <w:szCs w:val="22"/>
              </w:rPr>
            </w:pPr>
            <w:proofErr w:type="spellStart"/>
            <w:r w:rsidRPr="00386176">
              <w:rPr>
                <w:b/>
                <w:bCs/>
                <w:sz w:val="22"/>
                <w:szCs w:val="22"/>
              </w:rPr>
              <w:t>MZt</w:t>
            </w:r>
            <w:proofErr w:type="spellEnd"/>
          </w:p>
        </w:tc>
        <w:tc>
          <w:tcPr>
            <w:tcW w:w="507"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proofErr w:type="gramStart"/>
            <w:r w:rsidRPr="00386176">
              <w:rPr>
                <w:b/>
                <w:bCs/>
                <w:sz w:val="22"/>
                <w:szCs w:val="22"/>
              </w:rPr>
              <w:t>lags</w:t>
            </w:r>
            <w:proofErr w:type="spellEnd"/>
            <w:proofErr w:type="gramEnd"/>
          </w:p>
        </w:tc>
        <w:tc>
          <w:tcPr>
            <w:tcW w:w="1134" w:type="dxa"/>
            <w:tcBorders>
              <w:top w:val="nil"/>
              <w:left w:val="nil"/>
              <w:bottom w:val="single" w:sz="4" w:space="0" w:color="auto"/>
              <w:right w:val="nil"/>
            </w:tcBorders>
            <w:shd w:val="clear" w:color="auto" w:fill="auto"/>
            <w:vAlign w:val="center"/>
            <w:hideMark/>
          </w:tcPr>
          <w:p w:rsidR="001847A4" w:rsidRPr="00386176" w:rsidRDefault="001847A4" w:rsidP="00826069">
            <w:pPr>
              <w:rPr>
                <w:b/>
                <w:bCs/>
                <w:sz w:val="22"/>
                <w:szCs w:val="22"/>
              </w:rPr>
            </w:pPr>
            <w:r w:rsidRPr="00386176">
              <w:rPr>
                <w:b/>
                <w:bCs/>
                <w:sz w:val="22"/>
                <w:szCs w:val="22"/>
              </w:rPr>
              <w:t xml:space="preserve">   </w:t>
            </w:r>
            <w:proofErr w:type="spellStart"/>
            <w:r w:rsidRPr="00386176">
              <w:rPr>
                <w:b/>
                <w:bCs/>
                <w:sz w:val="22"/>
                <w:szCs w:val="22"/>
              </w:rPr>
              <w:t>MZt</w:t>
            </w:r>
            <w:proofErr w:type="spellEnd"/>
          </w:p>
        </w:tc>
        <w:tc>
          <w:tcPr>
            <w:tcW w:w="99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proofErr w:type="gramStart"/>
            <w:r w:rsidRPr="00386176">
              <w:rPr>
                <w:b/>
                <w:bCs/>
                <w:sz w:val="22"/>
                <w:szCs w:val="22"/>
              </w:rPr>
              <w:t>lags</w:t>
            </w:r>
            <w:proofErr w:type="spellEnd"/>
            <w:proofErr w:type="gramEnd"/>
          </w:p>
        </w:tc>
      </w:tr>
      <w:tr w:rsidR="001F17F1" w:rsidRPr="00386176" w:rsidTr="00751376">
        <w:trPr>
          <w:trHeight w:val="312"/>
        </w:trPr>
        <w:tc>
          <w:tcPr>
            <w:tcW w:w="1788" w:type="dxa"/>
            <w:tcBorders>
              <w:top w:val="nil"/>
              <w:left w:val="nil"/>
              <w:bottom w:val="nil"/>
              <w:right w:val="nil"/>
            </w:tcBorders>
            <w:shd w:val="clear" w:color="auto" w:fill="auto"/>
            <w:noWrap/>
            <w:vAlign w:val="center"/>
            <w:hideMark/>
          </w:tcPr>
          <w:p w:rsidR="001F17F1" w:rsidRPr="00386176" w:rsidRDefault="001F17F1" w:rsidP="00826069">
            <w:pPr>
              <w:rPr>
                <w:sz w:val="22"/>
                <w:szCs w:val="22"/>
              </w:rPr>
            </w:pPr>
            <w:r w:rsidRPr="00386176">
              <w:rPr>
                <w:sz w:val="22"/>
                <w:szCs w:val="22"/>
              </w:rPr>
              <w:t>CDI</w:t>
            </w:r>
          </w:p>
        </w:tc>
        <w:tc>
          <w:tcPr>
            <w:tcW w:w="1559" w:type="dxa"/>
            <w:tcBorders>
              <w:top w:val="nil"/>
              <w:left w:val="nil"/>
              <w:bottom w:val="nil"/>
              <w:right w:val="nil"/>
            </w:tcBorders>
            <w:shd w:val="clear" w:color="auto" w:fill="auto"/>
            <w:vAlign w:val="center"/>
            <w:hideMark/>
          </w:tcPr>
          <w:p w:rsidR="001F17F1" w:rsidRPr="00386176" w:rsidRDefault="00D2294F" w:rsidP="00826069">
            <w:pPr>
              <w:jc w:val="center"/>
              <w:rPr>
                <w:sz w:val="22"/>
                <w:szCs w:val="22"/>
              </w:rPr>
            </w:pPr>
            <w:r w:rsidRPr="00386176">
              <w:rPr>
                <w:sz w:val="22"/>
                <w:szCs w:val="22"/>
              </w:rPr>
              <w:t>-1</w:t>
            </w:r>
            <w:r w:rsidR="00301980">
              <w:rPr>
                <w:sz w:val="22"/>
                <w:szCs w:val="22"/>
              </w:rPr>
              <w:t>,</w:t>
            </w:r>
            <w:r w:rsidRPr="00386176">
              <w:rPr>
                <w:sz w:val="22"/>
                <w:szCs w:val="22"/>
              </w:rPr>
              <w:t>6</w:t>
            </w:r>
            <w:r w:rsidR="001F17F1" w:rsidRPr="00386176">
              <w:rPr>
                <w:sz w:val="22"/>
                <w:szCs w:val="22"/>
              </w:rPr>
              <w:t>8</w:t>
            </w:r>
          </w:p>
        </w:tc>
        <w:tc>
          <w:tcPr>
            <w:tcW w:w="709" w:type="dxa"/>
            <w:tcBorders>
              <w:top w:val="nil"/>
              <w:left w:val="nil"/>
              <w:bottom w:val="nil"/>
              <w:right w:val="nil"/>
            </w:tcBorders>
            <w:shd w:val="clear" w:color="auto" w:fill="auto"/>
            <w:noWrap/>
            <w:vAlign w:val="center"/>
            <w:hideMark/>
          </w:tcPr>
          <w:p w:rsidR="001F17F1" w:rsidRPr="00386176" w:rsidRDefault="00D2294F" w:rsidP="00826069">
            <w:pPr>
              <w:jc w:val="center"/>
              <w:rPr>
                <w:sz w:val="22"/>
                <w:szCs w:val="22"/>
              </w:rPr>
            </w:pPr>
            <w:r w:rsidRPr="00386176">
              <w:rPr>
                <w:sz w:val="22"/>
                <w:szCs w:val="22"/>
              </w:rPr>
              <w:t>5</w:t>
            </w:r>
          </w:p>
        </w:tc>
        <w:tc>
          <w:tcPr>
            <w:tcW w:w="992" w:type="dxa"/>
            <w:tcBorders>
              <w:top w:val="nil"/>
              <w:left w:val="nil"/>
              <w:bottom w:val="nil"/>
              <w:right w:val="nil"/>
            </w:tcBorders>
            <w:shd w:val="clear" w:color="auto" w:fill="auto"/>
            <w:vAlign w:val="center"/>
            <w:hideMark/>
          </w:tcPr>
          <w:p w:rsidR="001F17F1" w:rsidRPr="00386176" w:rsidRDefault="001F17F1" w:rsidP="00826069">
            <w:pPr>
              <w:jc w:val="center"/>
              <w:rPr>
                <w:sz w:val="22"/>
                <w:szCs w:val="22"/>
              </w:rPr>
            </w:pPr>
            <w:r w:rsidRPr="00386176">
              <w:rPr>
                <w:sz w:val="22"/>
                <w:szCs w:val="22"/>
              </w:rPr>
              <w:t>-0</w:t>
            </w:r>
            <w:r w:rsidR="00301980">
              <w:rPr>
                <w:sz w:val="22"/>
                <w:szCs w:val="22"/>
              </w:rPr>
              <w:t>,</w:t>
            </w:r>
            <w:r w:rsidRPr="00386176">
              <w:rPr>
                <w:sz w:val="22"/>
                <w:szCs w:val="22"/>
              </w:rPr>
              <w:t>6</w:t>
            </w:r>
            <w:r w:rsidR="00D2294F" w:rsidRPr="00386176">
              <w:rPr>
                <w:sz w:val="22"/>
                <w:szCs w:val="22"/>
              </w:rPr>
              <w:t>5</w:t>
            </w:r>
          </w:p>
        </w:tc>
        <w:tc>
          <w:tcPr>
            <w:tcW w:w="552" w:type="dxa"/>
            <w:tcBorders>
              <w:top w:val="nil"/>
              <w:left w:val="nil"/>
              <w:bottom w:val="nil"/>
              <w:right w:val="nil"/>
            </w:tcBorders>
            <w:shd w:val="clear" w:color="auto" w:fill="auto"/>
            <w:vAlign w:val="center"/>
            <w:hideMark/>
          </w:tcPr>
          <w:p w:rsidR="001F17F1" w:rsidRPr="00386176" w:rsidRDefault="001F17F1" w:rsidP="00826069">
            <w:pPr>
              <w:jc w:val="center"/>
              <w:rPr>
                <w:sz w:val="22"/>
                <w:szCs w:val="22"/>
              </w:rPr>
            </w:pPr>
            <w:r w:rsidRPr="00386176">
              <w:rPr>
                <w:sz w:val="22"/>
                <w:szCs w:val="22"/>
              </w:rPr>
              <w:t>5</w:t>
            </w:r>
          </w:p>
        </w:tc>
        <w:tc>
          <w:tcPr>
            <w:tcW w:w="195" w:type="dxa"/>
            <w:tcBorders>
              <w:top w:val="nil"/>
              <w:left w:val="nil"/>
              <w:bottom w:val="nil"/>
              <w:right w:val="nil"/>
            </w:tcBorders>
            <w:shd w:val="clear" w:color="auto" w:fill="auto"/>
            <w:vAlign w:val="center"/>
            <w:hideMark/>
          </w:tcPr>
          <w:p w:rsidR="001F17F1" w:rsidRPr="00386176" w:rsidRDefault="001F17F1" w:rsidP="00826069">
            <w:pPr>
              <w:jc w:val="center"/>
              <w:rPr>
                <w:sz w:val="22"/>
                <w:szCs w:val="22"/>
              </w:rPr>
            </w:pPr>
            <w:r w:rsidRPr="00386176">
              <w:rPr>
                <w:sz w:val="22"/>
                <w:szCs w:val="22"/>
              </w:rPr>
              <w:t> </w:t>
            </w:r>
          </w:p>
        </w:tc>
        <w:tc>
          <w:tcPr>
            <w:tcW w:w="1726" w:type="dxa"/>
            <w:tcBorders>
              <w:top w:val="nil"/>
              <w:left w:val="nil"/>
              <w:bottom w:val="nil"/>
              <w:right w:val="nil"/>
            </w:tcBorders>
            <w:shd w:val="clear" w:color="auto" w:fill="auto"/>
            <w:vAlign w:val="center"/>
            <w:hideMark/>
          </w:tcPr>
          <w:p w:rsidR="001F17F1" w:rsidRPr="00386176" w:rsidRDefault="001F17F1" w:rsidP="00826069">
            <w:pPr>
              <w:jc w:val="center"/>
              <w:rPr>
                <w:sz w:val="22"/>
                <w:szCs w:val="22"/>
              </w:rPr>
            </w:pPr>
            <w:r w:rsidRPr="00386176">
              <w:rPr>
                <w:sz w:val="22"/>
                <w:szCs w:val="22"/>
              </w:rPr>
              <w:t>-1</w:t>
            </w:r>
            <w:r w:rsidR="00301980">
              <w:rPr>
                <w:sz w:val="22"/>
                <w:szCs w:val="22"/>
              </w:rPr>
              <w:t>,</w:t>
            </w:r>
            <w:r w:rsidR="00D2294F" w:rsidRPr="00386176">
              <w:rPr>
                <w:sz w:val="22"/>
                <w:szCs w:val="22"/>
              </w:rPr>
              <w:t>84</w:t>
            </w:r>
          </w:p>
        </w:tc>
        <w:tc>
          <w:tcPr>
            <w:tcW w:w="507" w:type="dxa"/>
            <w:tcBorders>
              <w:top w:val="nil"/>
              <w:left w:val="nil"/>
              <w:bottom w:val="nil"/>
              <w:right w:val="nil"/>
            </w:tcBorders>
            <w:shd w:val="clear" w:color="auto" w:fill="auto"/>
            <w:vAlign w:val="center"/>
            <w:hideMark/>
          </w:tcPr>
          <w:p w:rsidR="001F17F1" w:rsidRPr="00386176" w:rsidRDefault="00D2294F" w:rsidP="00826069">
            <w:pPr>
              <w:jc w:val="center"/>
              <w:rPr>
                <w:sz w:val="22"/>
                <w:szCs w:val="22"/>
              </w:rPr>
            </w:pPr>
            <w:r w:rsidRPr="00386176">
              <w:rPr>
                <w:sz w:val="22"/>
                <w:szCs w:val="22"/>
              </w:rPr>
              <w:t>5</w:t>
            </w:r>
          </w:p>
        </w:tc>
        <w:tc>
          <w:tcPr>
            <w:tcW w:w="1134" w:type="dxa"/>
            <w:tcBorders>
              <w:top w:val="nil"/>
              <w:left w:val="nil"/>
              <w:bottom w:val="nil"/>
              <w:right w:val="nil"/>
            </w:tcBorders>
            <w:shd w:val="clear" w:color="auto" w:fill="auto"/>
            <w:vAlign w:val="center"/>
            <w:hideMark/>
          </w:tcPr>
          <w:p w:rsidR="001F17F1" w:rsidRPr="00386176" w:rsidRDefault="001F17F1" w:rsidP="00826069">
            <w:pPr>
              <w:jc w:val="center"/>
              <w:rPr>
                <w:sz w:val="22"/>
                <w:szCs w:val="22"/>
              </w:rPr>
            </w:pPr>
            <w:r w:rsidRPr="00386176">
              <w:rPr>
                <w:sz w:val="22"/>
                <w:szCs w:val="22"/>
              </w:rPr>
              <w:t>-0</w:t>
            </w:r>
            <w:r w:rsidR="00301980">
              <w:rPr>
                <w:sz w:val="22"/>
                <w:szCs w:val="22"/>
              </w:rPr>
              <w:t>,</w:t>
            </w:r>
            <w:r w:rsidR="00D2294F" w:rsidRPr="00386176">
              <w:rPr>
                <w:sz w:val="22"/>
                <w:szCs w:val="22"/>
              </w:rPr>
              <w:t>71</w:t>
            </w:r>
          </w:p>
        </w:tc>
        <w:tc>
          <w:tcPr>
            <w:tcW w:w="992" w:type="dxa"/>
            <w:tcBorders>
              <w:top w:val="nil"/>
              <w:left w:val="nil"/>
              <w:bottom w:val="nil"/>
              <w:right w:val="nil"/>
            </w:tcBorders>
            <w:shd w:val="clear" w:color="auto" w:fill="auto"/>
            <w:vAlign w:val="center"/>
            <w:hideMark/>
          </w:tcPr>
          <w:p w:rsidR="001F17F1" w:rsidRPr="00386176" w:rsidRDefault="001F17F1" w:rsidP="00826069">
            <w:pPr>
              <w:jc w:val="center"/>
              <w:rPr>
                <w:sz w:val="22"/>
                <w:szCs w:val="22"/>
              </w:rPr>
            </w:pPr>
            <w:r w:rsidRPr="00386176">
              <w:rPr>
                <w:sz w:val="22"/>
                <w:szCs w:val="22"/>
              </w:rPr>
              <w:t>5</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Selic</w:t>
            </w:r>
          </w:p>
        </w:tc>
        <w:tc>
          <w:tcPr>
            <w:tcW w:w="1559"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58</w:t>
            </w:r>
          </w:p>
        </w:tc>
        <w:tc>
          <w:tcPr>
            <w:tcW w:w="709"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6</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66</w:t>
            </w:r>
          </w:p>
        </w:tc>
        <w:tc>
          <w:tcPr>
            <w:tcW w:w="55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5</w:t>
            </w:r>
          </w:p>
        </w:tc>
        <w:tc>
          <w:tcPr>
            <w:tcW w:w="195"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 </w:t>
            </w:r>
          </w:p>
        </w:tc>
        <w:tc>
          <w:tcPr>
            <w:tcW w:w="1726"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98</w:t>
            </w:r>
          </w:p>
        </w:tc>
        <w:tc>
          <w:tcPr>
            <w:tcW w:w="507"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6</w:t>
            </w:r>
          </w:p>
        </w:tc>
        <w:tc>
          <w:tcPr>
            <w:tcW w:w="1134"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35</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5</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IPCA</w:t>
            </w:r>
          </w:p>
        </w:tc>
        <w:tc>
          <w:tcPr>
            <w:tcW w:w="1559"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77</w:t>
            </w:r>
          </w:p>
        </w:tc>
        <w:tc>
          <w:tcPr>
            <w:tcW w:w="709"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6</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65 *</w:t>
            </w:r>
          </w:p>
        </w:tc>
        <w:tc>
          <w:tcPr>
            <w:tcW w:w="55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6</w:t>
            </w:r>
          </w:p>
        </w:tc>
        <w:tc>
          <w:tcPr>
            <w:tcW w:w="195"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p>
        </w:tc>
        <w:tc>
          <w:tcPr>
            <w:tcW w:w="1726"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94</w:t>
            </w:r>
          </w:p>
        </w:tc>
        <w:tc>
          <w:tcPr>
            <w:tcW w:w="507"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6</w:t>
            </w:r>
          </w:p>
        </w:tc>
        <w:tc>
          <w:tcPr>
            <w:tcW w:w="1134"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64 *</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6</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PIB</w:t>
            </w:r>
          </w:p>
        </w:tc>
        <w:tc>
          <w:tcPr>
            <w:tcW w:w="1559"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86</w:t>
            </w:r>
          </w:p>
        </w:tc>
        <w:tc>
          <w:tcPr>
            <w:tcW w:w="709"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34</w:t>
            </w:r>
          </w:p>
        </w:tc>
        <w:tc>
          <w:tcPr>
            <w:tcW w:w="55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p>
        </w:tc>
        <w:tc>
          <w:tcPr>
            <w:tcW w:w="195"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p>
        </w:tc>
        <w:tc>
          <w:tcPr>
            <w:tcW w:w="1726"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63</w:t>
            </w:r>
          </w:p>
        </w:tc>
        <w:tc>
          <w:tcPr>
            <w:tcW w:w="507"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p>
        </w:tc>
        <w:tc>
          <w:tcPr>
            <w:tcW w:w="1134"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61</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M2</w:t>
            </w:r>
          </w:p>
        </w:tc>
        <w:tc>
          <w:tcPr>
            <w:tcW w:w="1559"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42</w:t>
            </w:r>
          </w:p>
        </w:tc>
        <w:tc>
          <w:tcPr>
            <w:tcW w:w="709"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6</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69</w:t>
            </w:r>
          </w:p>
        </w:tc>
        <w:tc>
          <w:tcPr>
            <w:tcW w:w="55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5</w:t>
            </w:r>
          </w:p>
        </w:tc>
        <w:tc>
          <w:tcPr>
            <w:tcW w:w="195"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p>
        </w:tc>
        <w:tc>
          <w:tcPr>
            <w:tcW w:w="1726"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56</w:t>
            </w:r>
          </w:p>
        </w:tc>
        <w:tc>
          <w:tcPr>
            <w:tcW w:w="507"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6</w:t>
            </w:r>
          </w:p>
        </w:tc>
        <w:tc>
          <w:tcPr>
            <w:tcW w:w="1134"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11</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5</w:t>
            </w:r>
          </w:p>
        </w:tc>
      </w:tr>
      <w:tr w:rsidR="001847A4" w:rsidRPr="00386176" w:rsidTr="00751376">
        <w:trPr>
          <w:trHeight w:val="312"/>
        </w:trPr>
        <w:tc>
          <w:tcPr>
            <w:tcW w:w="1788"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Comp. Dep. Vista</w:t>
            </w:r>
          </w:p>
        </w:tc>
        <w:tc>
          <w:tcPr>
            <w:tcW w:w="1559"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-2</w:t>
            </w:r>
            <w:r w:rsidR="00301980">
              <w:rPr>
                <w:sz w:val="22"/>
                <w:szCs w:val="22"/>
              </w:rPr>
              <w:t>,</w:t>
            </w:r>
            <w:r w:rsidRPr="00386176">
              <w:rPr>
                <w:sz w:val="22"/>
                <w:szCs w:val="22"/>
              </w:rPr>
              <w:t>47</w:t>
            </w:r>
          </w:p>
        </w:tc>
        <w:tc>
          <w:tcPr>
            <w:tcW w:w="709"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-2</w:t>
            </w:r>
            <w:r w:rsidR="00301980">
              <w:rPr>
                <w:sz w:val="22"/>
                <w:szCs w:val="22"/>
              </w:rPr>
              <w:t>,</w:t>
            </w:r>
            <w:r w:rsidRPr="00386176">
              <w:rPr>
                <w:sz w:val="22"/>
                <w:szCs w:val="22"/>
              </w:rPr>
              <w:t>00 **</w:t>
            </w:r>
          </w:p>
        </w:tc>
        <w:tc>
          <w:tcPr>
            <w:tcW w:w="55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2</w:t>
            </w:r>
          </w:p>
        </w:tc>
        <w:tc>
          <w:tcPr>
            <w:tcW w:w="195"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p>
        </w:tc>
        <w:tc>
          <w:tcPr>
            <w:tcW w:w="1726"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-2</w:t>
            </w:r>
            <w:r w:rsidR="00301980">
              <w:rPr>
                <w:sz w:val="22"/>
                <w:szCs w:val="22"/>
              </w:rPr>
              <w:t>,</w:t>
            </w:r>
            <w:r w:rsidRPr="00386176">
              <w:rPr>
                <w:sz w:val="22"/>
                <w:szCs w:val="22"/>
              </w:rPr>
              <w:t>11</w:t>
            </w:r>
          </w:p>
        </w:tc>
        <w:tc>
          <w:tcPr>
            <w:tcW w:w="507"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p>
        </w:tc>
        <w:tc>
          <w:tcPr>
            <w:tcW w:w="1134"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99 **</w:t>
            </w:r>
          </w:p>
        </w:tc>
        <w:tc>
          <w:tcPr>
            <w:tcW w:w="992"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2</w:t>
            </w:r>
          </w:p>
        </w:tc>
      </w:tr>
      <w:tr w:rsidR="001847A4" w:rsidRPr="00386176" w:rsidTr="00751376">
        <w:trPr>
          <w:trHeight w:val="312"/>
        </w:trPr>
        <w:tc>
          <w:tcPr>
            <w:tcW w:w="1788" w:type="dxa"/>
            <w:tcBorders>
              <w:top w:val="nil"/>
              <w:left w:val="nil"/>
              <w:bottom w:val="single" w:sz="4" w:space="0" w:color="auto"/>
              <w:right w:val="nil"/>
            </w:tcBorders>
            <w:shd w:val="clear" w:color="auto" w:fill="auto"/>
            <w:noWrap/>
            <w:vAlign w:val="center"/>
            <w:hideMark/>
          </w:tcPr>
          <w:p w:rsidR="001847A4" w:rsidRPr="00386176" w:rsidRDefault="001847A4" w:rsidP="00826069">
            <w:pPr>
              <w:rPr>
                <w:sz w:val="22"/>
                <w:szCs w:val="22"/>
              </w:rPr>
            </w:pPr>
            <w:r w:rsidRPr="00386176">
              <w:rPr>
                <w:sz w:val="22"/>
                <w:szCs w:val="22"/>
              </w:rPr>
              <w:t>Comp. Dep. Prazo</w:t>
            </w:r>
          </w:p>
        </w:tc>
        <w:tc>
          <w:tcPr>
            <w:tcW w:w="1559"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65</w:t>
            </w:r>
          </w:p>
        </w:tc>
        <w:tc>
          <w:tcPr>
            <w:tcW w:w="709"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p>
        </w:tc>
        <w:tc>
          <w:tcPr>
            <w:tcW w:w="99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35</w:t>
            </w:r>
          </w:p>
        </w:tc>
        <w:tc>
          <w:tcPr>
            <w:tcW w:w="55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3</w:t>
            </w:r>
          </w:p>
        </w:tc>
        <w:tc>
          <w:tcPr>
            <w:tcW w:w="195"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 </w:t>
            </w:r>
          </w:p>
        </w:tc>
        <w:tc>
          <w:tcPr>
            <w:tcW w:w="1726"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49</w:t>
            </w:r>
          </w:p>
        </w:tc>
        <w:tc>
          <w:tcPr>
            <w:tcW w:w="507"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0</w:t>
            </w:r>
          </w:p>
        </w:tc>
        <w:tc>
          <w:tcPr>
            <w:tcW w:w="1134"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-1</w:t>
            </w:r>
            <w:r w:rsidR="00301980">
              <w:rPr>
                <w:sz w:val="22"/>
                <w:szCs w:val="22"/>
              </w:rPr>
              <w:t>,</w:t>
            </w:r>
            <w:r w:rsidRPr="00386176">
              <w:rPr>
                <w:sz w:val="22"/>
                <w:szCs w:val="22"/>
              </w:rPr>
              <w:t>67</w:t>
            </w:r>
          </w:p>
        </w:tc>
        <w:tc>
          <w:tcPr>
            <w:tcW w:w="992"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3</w:t>
            </w:r>
          </w:p>
        </w:tc>
      </w:tr>
      <w:tr w:rsidR="001847A4" w:rsidRPr="00386176" w:rsidTr="00751376">
        <w:trPr>
          <w:trHeight w:val="227"/>
        </w:trPr>
        <w:tc>
          <w:tcPr>
            <w:tcW w:w="10154" w:type="dxa"/>
            <w:gridSpan w:val="10"/>
            <w:tcBorders>
              <w:top w:val="single" w:sz="4" w:space="0" w:color="auto"/>
              <w:left w:val="nil"/>
              <w:bottom w:val="nil"/>
              <w:right w:val="nil"/>
            </w:tcBorders>
            <w:shd w:val="clear" w:color="auto" w:fill="auto"/>
            <w:noWrap/>
          </w:tcPr>
          <w:p w:rsidR="001847A4" w:rsidRPr="00386176" w:rsidRDefault="001847A4" w:rsidP="00826069">
            <w:pPr>
              <w:rPr>
                <w:sz w:val="20"/>
                <w:szCs w:val="20"/>
              </w:rPr>
            </w:pPr>
            <w:r w:rsidRPr="00386176">
              <w:rPr>
                <w:sz w:val="20"/>
                <w:szCs w:val="20"/>
              </w:rPr>
              <w:t>Fonte: Elaboração Própria.</w:t>
            </w:r>
          </w:p>
        </w:tc>
      </w:tr>
      <w:tr w:rsidR="001847A4" w:rsidRPr="00386176" w:rsidTr="00751376">
        <w:trPr>
          <w:trHeight w:val="227"/>
        </w:trPr>
        <w:tc>
          <w:tcPr>
            <w:tcW w:w="10154" w:type="dxa"/>
            <w:gridSpan w:val="10"/>
            <w:tcBorders>
              <w:left w:val="nil"/>
              <w:bottom w:val="nil"/>
              <w:right w:val="nil"/>
            </w:tcBorders>
            <w:shd w:val="clear" w:color="auto" w:fill="auto"/>
            <w:noWrap/>
            <w:hideMark/>
          </w:tcPr>
          <w:p w:rsidR="001847A4" w:rsidRPr="00386176" w:rsidRDefault="001847A4" w:rsidP="00826069">
            <w:pPr>
              <w:rPr>
                <w:sz w:val="20"/>
                <w:szCs w:val="20"/>
              </w:rPr>
            </w:pPr>
            <w:r w:rsidRPr="00386176">
              <w:rPr>
                <w:sz w:val="20"/>
                <w:szCs w:val="20"/>
              </w:rPr>
              <w:t>Nota: * Significante a 10%; ** Significante a 5%; *** Significante a 1%.</w:t>
            </w:r>
          </w:p>
        </w:tc>
      </w:tr>
    </w:tbl>
    <w:p w:rsidR="001847A4" w:rsidRPr="00386176" w:rsidRDefault="001847A4" w:rsidP="00826069">
      <w:pPr>
        <w:spacing w:before="240" w:after="240"/>
        <w:jc w:val="both"/>
      </w:pPr>
      <w:r w:rsidRPr="00386176">
        <w:lastRenderedPageBreak/>
        <w:tab/>
        <w:t xml:space="preserve">Os resultados indicam que somente o Compulsório do Depósito à Vista foi estacionário a um nível de significância de 5%. Assim, considerando a possibilidade de quebras estruturais nas séries macroeconômicas, utilizou-se também o teste de </w:t>
      </w:r>
      <w:r w:rsidRPr="00386176">
        <w:rPr>
          <w:noProof/>
        </w:rPr>
        <w:t xml:space="preserve">Perron (1989), </w:t>
      </w:r>
      <w:r w:rsidRPr="00386176">
        <w:t xml:space="preserve">específico para esse fim. O teste considera três modelos para distintos tipos de quebra </w:t>
      </w:r>
      <w:r w:rsidR="00736F85">
        <w:t>estrutural: A) mudança de nível;</w:t>
      </w:r>
      <w:r w:rsidRPr="00386176">
        <w:t xml:space="preserve"> B) mudança de tendência</w:t>
      </w:r>
      <w:r w:rsidR="007C1530" w:rsidRPr="00386176">
        <w:t>;</w:t>
      </w:r>
      <w:r w:rsidRPr="00386176">
        <w:t xml:space="preserve"> e </w:t>
      </w:r>
      <w:r w:rsidR="00736F85">
        <w:br w:type="textWrapping" w:clear="all"/>
      </w:r>
      <w:r w:rsidRPr="00386176">
        <w:t>C) mudança de nível e tendência. Todos os modelos possuem a hipótese nula de raiz unitária e a seleção das quebras é realizada de forma exógena por meio de análise gráfica. Os valores críticos do teste foram tabelados pelo autor.</w:t>
      </w:r>
    </w:p>
    <w:p w:rsidR="001847A4" w:rsidRPr="00386176" w:rsidRDefault="001847A4" w:rsidP="00826069">
      <w:pPr>
        <w:pStyle w:val="Legenda"/>
        <w:keepNext/>
        <w:spacing w:after="0" w:line="240" w:lineRule="auto"/>
        <w:rPr>
          <w:rFonts w:cs="Times New Roman"/>
          <w:b w:val="0"/>
          <w:color w:val="auto"/>
          <w:sz w:val="20"/>
          <w:szCs w:val="20"/>
        </w:rPr>
      </w:pPr>
      <w:bookmarkStart w:id="71" w:name="_Toc451294346"/>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sidR="00103018">
        <w:rPr>
          <w:rFonts w:cs="Times New Roman"/>
          <w:b w:val="0"/>
          <w:noProof/>
          <w:color w:val="auto"/>
          <w:sz w:val="20"/>
          <w:szCs w:val="20"/>
        </w:rPr>
        <w:t>5</w:t>
      </w:r>
      <w:r w:rsidRPr="00386176">
        <w:rPr>
          <w:rFonts w:cs="Times New Roman"/>
          <w:b w:val="0"/>
          <w:color w:val="auto"/>
          <w:sz w:val="20"/>
          <w:szCs w:val="20"/>
        </w:rPr>
        <w:fldChar w:fldCharType="end"/>
      </w:r>
      <w:r w:rsidRPr="00386176">
        <w:rPr>
          <w:rFonts w:cs="Times New Roman"/>
          <w:b w:val="0"/>
          <w:color w:val="auto"/>
          <w:sz w:val="20"/>
          <w:szCs w:val="20"/>
        </w:rPr>
        <w:t xml:space="preserve"> - Resultados dos Testes de Raiz Unitária para Séries de Tempo com Quebra Estrutural</w:t>
      </w:r>
      <w:bookmarkEnd w:id="71"/>
    </w:p>
    <w:tbl>
      <w:tblPr>
        <w:tblW w:w="7820" w:type="dxa"/>
        <w:tblInd w:w="55" w:type="dxa"/>
        <w:tblCellMar>
          <w:left w:w="70" w:type="dxa"/>
          <w:right w:w="70" w:type="dxa"/>
        </w:tblCellMar>
        <w:tblLook w:val="04A0" w:firstRow="1" w:lastRow="0" w:firstColumn="1" w:lastColumn="0" w:noHBand="0" w:noVBand="1"/>
      </w:tblPr>
      <w:tblGrid>
        <w:gridCol w:w="1800"/>
        <w:gridCol w:w="1000"/>
        <w:gridCol w:w="2120"/>
        <w:gridCol w:w="860"/>
        <w:gridCol w:w="860"/>
        <w:gridCol w:w="1180"/>
      </w:tblGrid>
      <w:tr w:rsidR="001847A4" w:rsidRPr="00386176" w:rsidTr="00A271A9">
        <w:trPr>
          <w:trHeight w:val="227"/>
        </w:trPr>
        <w:tc>
          <w:tcPr>
            <w:tcW w:w="1800" w:type="dxa"/>
            <w:vMerge w:val="restart"/>
            <w:tcBorders>
              <w:top w:val="single" w:sz="4" w:space="0" w:color="auto"/>
              <w:left w:val="nil"/>
              <w:bottom w:val="single" w:sz="4" w:space="0" w:color="000000"/>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Variável</w:t>
            </w:r>
          </w:p>
        </w:tc>
        <w:tc>
          <w:tcPr>
            <w:tcW w:w="6020" w:type="dxa"/>
            <w:gridSpan w:val="5"/>
            <w:tcBorders>
              <w:top w:val="single" w:sz="4" w:space="0" w:color="auto"/>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r w:rsidRPr="00386176">
              <w:rPr>
                <w:b/>
                <w:bCs/>
                <w:sz w:val="22"/>
                <w:szCs w:val="22"/>
              </w:rPr>
              <w:t>Perron</w:t>
            </w:r>
            <w:proofErr w:type="spellEnd"/>
            <w:r w:rsidRPr="00386176">
              <w:rPr>
                <w:b/>
                <w:bCs/>
                <w:sz w:val="22"/>
                <w:szCs w:val="22"/>
              </w:rPr>
              <w:t xml:space="preserve"> (1989)</w:t>
            </w:r>
          </w:p>
        </w:tc>
      </w:tr>
      <w:tr w:rsidR="001847A4" w:rsidRPr="00386176" w:rsidTr="00A271A9">
        <w:trPr>
          <w:trHeight w:val="227"/>
        </w:trPr>
        <w:tc>
          <w:tcPr>
            <w:tcW w:w="1800" w:type="dxa"/>
            <w:vMerge/>
            <w:tcBorders>
              <w:top w:val="single" w:sz="4" w:space="0" w:color="auto"/>
              <w:left w:val="nil"/>
              <w:bottom w:val="single" w:sz="4" w:space="0" w:color="000000"/>
              <w:right w:val="nil"/>
            </w:tcBorders>
            <w:vAlign w:val="center"/>
            <w:hideMark/>
          </w:tcPr>
          <w:p w:rsidR="001847A4" w:rsidRPr="00386176" w:rsidRDefault="001847A4" w:rsidP="00826069">
            <w:pPr>
              <w:rPr>
                <w:b/>
                <w:bCs/>
                <w:sz w:val="22"/>
                <w:szCs w:val="22"/>
              </w:rPr>
            </w:pPr>
          </w:p>
        </w:tc>
        <w:tc>
          <w:tcPr>
            <w:tcW w:w="100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Modelo</w:t>
            </w:r>
          </w:p>
        </w:tc>
        <w:tc>
          <w:tcPr>
            <w:tcW w:w="212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r w:rsidRPr="00386176">
              <w:rPr>
                <w:b/>
                <w:bCs/>
                <w:sz w:val="22"/>
                <w:szCs w:val="22"/>
              </w:rPr>
              <w:t>Período da Quebra</w:t>
            </w:r>
          </w:p>
        </w:tc>
        <w:tc>
          <w:tcPr>
            <w:tcW w:w="86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spellStart"/>
            <w:proofErr w:type="gramStart"/>
            <w:r w:rsidRPr="00386176">
              <w:rPr>
                <w:b/>
                <w:bCs/>
                <w:sz w:val="22"/>
                <w:szCs w:val="22"/>
              </w:rPr>
              <w:t>lags</w:t>
            </w:r>
            <w:proofErr w:type="spellEnd"/>
            <w:proofErr w:type="gramEnd"/>
          </w:p>
        </w:tc>
        <w:tc>
          <w:tcPr>
            <w:tcW w:w="86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gramStart"/>
            <w:r w:rsidRPr="00386176">
              <w:rPr>
                <w:b/>
                <w:bCs/>
                <w:sz w:val="22"/>
                <w:szCs w:val="22"/>
              </w:rPr>
              <w:t>λ</w:t>
            </w:r>
            <w:proofErr w:type="gramEnd"/>
          </w:p>
        </w:tc>
        <w:tc>
          <w:tcPr>
            <w:tcW w:w="118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b/>
                <w:bCs/>
                <w:sz w:val="22"/>
                <w:szCs w:val="22"/>
              </w:rPr>
            </w:pPr>
            <w:proofErr w:type="gramStart"/>
            <w:r w:rsidRPr="00386176">
              <w:rPr>
                <w:b/>
                <w:bCs/>
                <w:sz w:val="22"/>
                <w:szCs w:val="22"/>
              </w:rPr>
              <w:t>t</w:t>
            </w:r>
            <w:proofErr w:type="gramEnd"/>
            <w:r w:rsidRPr="00386176">
              <w:rPr>
                <w:b/>
                <w:bCs/>
                <w:sz w:val="22"/>
                <w:szCs w:val="22"/>
              </w:rPr>
              <w:t>-</w:t>
            </w:r>
            <w:proofErr w:type="spellStart"/>
            <w:r w:rsidRPr="00386176">
              <w:rPr>
                <w:b/>
                <w:bCs/>
                <w:sz w:val="22"/>
                <w:szCs w:val="22"/>
              </w:rPr>
              <w:t>Statistic</w:t>
            </w:r>
            <w:proofErr w:type="spellEnd"/>
          </w:p>
        </w:tc>
      </w:tr>
      <w:tr w:rsidR="00EF1DA0" w:rsidRPr="00386176" w:rsidTr="0010373B">
        <w:trPr>
          <w:trHeight w:val="312"/>
        </w:trPr>
        <w:tc>
          <w:tcPr>
            <w:tcW w:w="1800" w:type="dxa"/>
            <w:tcBorders>
              <w:top w:val="nil"/>
              <w:left w:val="nil"/>
              <w:bottom w:val="nil"/>
              <w:right w:val="nil"/>
            </w:tcBorders>
            <w:shd w:val="clear" w:color="auto" w:fill="auto"/>
            <w:noWrap/>
            <w:vAlign w:val="center"/>
            <w:hideMark/>
          </w:tcPr>
          <w:p w:rsidR="00EF1DA0" w:rsidRPr="00386176" w:rsidRDefault="00EF1DA0" w:rsidP="00826069">
            <w:pPr>
              <w:rPr>
                <w:sz w:val="22"/>
                <w:szCs w:val="22"/>
              </w:rPr>
            </w:pPr>
            <w:r w:rsidRPr="00386176">
              <w:rPr>
                <w:sz w:val="22"/>
                <w:szCs w:val="22"/>
              </w:rPr>
              <w:t>CDI</w:t>
            </w:r>
          </w:p>
        </w:tc>
        <w:tc>
          <w:tcPr>
            <w:tcW w:w="1000" w:type="dxa"/>
            <w:tcBorders>
              <w:top w:val="nil"/>
              <w:left w:val="nil"/>
              <w:bottom w:val="nil"/>
              <w:right w:val="nil"/>
            </w:tcBorders>
            <w:shd w:val="clear" w:color="auto" w:fill="auto"/>
            <w:noWrap/>
            <w:vAlign w:val="center"/>
            <w:hideMark/>
          </w:tcPr>
          <w:p w:rsidR="00EF1DA0" w:rsidRPr="00386176" w:rsidRDefault="00EF1DA0" w:rsidP="00826069">
            <w:pPr>
              <w:jc w:val="center"/>
              <w:rPr>
                <w:sz w:val="22"/>
                <w:szCs w:val="22"/>
              </w:rPr>
            </w:pPr>
            <w:r w:rsidRPr="00386176">
              <w:rPr>
                <w:sz w:val="22"/>
                <w:szCs w:val="22"/>
              </w:rPr>
              <w:t>A</w:t>
            </w:r>
          </w:p>
        </w:tc>
        <w:tc>
          <w:tcPr>
            <w:tcW w:w="2120" w:type="dxa"/>
            <w:tcBorders>
              <w:top w:val="nil"/>
              <w:left w:val="nil"/>
              <w:bottom w:val="nil"/>
              <w:right w:val="nil"/>
            </w:tcBorders>
            <w:shd w:val="clear" w:color="auto" w:fill="auto"/>
            <w:noWrap/>
            <w:vAlign w:val="center"/>
            <w:hideMark/>
          </w:tcPr>
          <w:p w:rsidR="00EF1DA0" w:rsidRPr="00386176" w:rsidRDefault="00EF1DA0" w:rsidP="00826069">
            <w:pPr>
              <w:jc w:val="center"/>
              <w:rPr>
                <w:sz w:val="22"/>
                <w:szCs w:val="22"/>
              </w:rPr>
            </w:pPr>
            <w:r w:rsidRPr="00386176">
              <w:rPr>
                <w:sz w:val="22"/>
                <w:szCs w:val="22"/>
              </w:rPr>
              <w:t xml:space="preserve"> 2002:4</w:t>
            </w:r>
          </w:p>
        </w:tc>
        <w:tc>
          <w:tcPr>
            <w:tcW w:w="860" w:type="dxa"/>
            <w:tcBorders>
              <w:top w:val="nil"/>
              <w:left w:val="nil"/>
              <w:bottom w:val="nil"/>
              <w:right w:val="nil"/>
            </w:tcBorders>
            <w:shd w:val="clear" w:color="auto" w:fill="auto"/>
            <w:noWrap/>
            <w:vAlign w:val="center"/>
            <w:hideMark/>
          </w:tcPr>
          <w:p w:rsidR="00EF1DA0" w:rsidRPr="00386176" w:rsidRDefault="00D2294F" w:rsidP="00826069">
            <w:pPr>
              <w:jc w:val="center"/>
              <w:rPr>
                <w:sz w:val="22"/>
                <w:szCs w:val="22"/>
              </w:rPr>
            </w:pPr>
            <w:r w:rsidRPr="00386176">
              <w:rPr>
                <w:sz w:val="22"/>
                <w:szCs w:val="22"/>
              </w:rPr>
              <w:t>1</w:t>
            </w:r>
          </w:p>
        </w:tc>
        <w:tc>
          <w:tcPr>
            <w:tcW w:w="860" w:type="dxa"/>
            <w:tcBorders>
              <w:top w:val="nil"/>
              <w:left w:val="nil"/>
              <w:bottom w:val="nil"/>
              <w:right w:val="nil"/>
            </w:tcBorders>
            <w:shd w:val="clear" w:color="auto" w:fill="auto"/>
            <w:noWrap/>
            <w:vAlign w:val="center"/>
            <w:hideMark/>
          </w:tcPr>
          <w:p w:rsidR="00EF1DA0" w:rsidRPr="00386176" w:rsidRDefault="00EF1DA0" w:rsidP="00826069">
            <w:pPr>
              <w:jc w:val="center"/>
              <w:rPr>
                <w:sz w:val="22"/>
                <w:szCs w:val="22"/>
              </w:rPr>
            </w:pPr>
            <w:r w:rsidRPr="00386176">
              <w:rPr>
                <w:sz w:val="22"/>
                <w:szCs w:val="22"/>
              </w:rPr>
              <w:t>0</w:t>
            </w:r>
            <w:r w:rsidR="00301980">
              <w:rPr>
                <w:sz w:val="22"/>
                <w:szCs w:val="22"/>
              </w:rPr>
              <w:t>,</w:t>
            </w:r>
            <w:r w:rsidRPr="00386176">
              <w:rPr>
                <w:sz w:val="22"/>
                <w:szCs w:val="22"/>
              </w:rPr>
              <w:t>15</w:t>
            </w:r>
          </w:p>
        </w:tc>
        <w:tc>
          <w:tcPr>
            <w:tcW w:w="1180" w:type="dxa"/>
            <w:tcBorders>
              <w:top w:val="nil"/>
              <w:left w:val="nil"/>
              <w:bottom w:val="nil"/>
              <w:right w:val="nil"/>
            </w:tcBorders>
            <w:shd w:val="clear" w:color="auto" w:fill="auto"/>
            <w:vAlign w:val="center"/>
            <w:hideMark/>
          </w:tcPr>
          <w:p w:rsidR="00EF1DA0" w:rsidRPr="00386176" w:rsidRDefault="00EF1DA0" w:rsidP="00826069">
            <w:pPr>
              <w:jc w:val="center"/>
              <w:rPr>
                <w:sz w:val="22"/>
                <w:szCs w:val="22"/>
              </w:rPr>
            </w:pPr>
            <w:r w:rsidRPr="00386176">
              <w:rPr>
                <w:sz w:val="22"/>
                <w:szCs w:val="22"/>
              </w:rPr>
              <w:t>-3</w:t>
            </w:r>
            <w:r w:rsidR="00301980">
              <w:rPr>
                <w:sz w:val="22"/>
                <w:szCs w:val="22"/>
              </w:rPr>
              <w:t>,</w:t>
            </w:r>
            <w:r w:rsidR="00D2294F" w:rsidRPr="00386176">
              <w:rPr>
                <w:sz w:val="22"/>
                <w:szCs w:val="22"/>
              </w:rPr>
              <w:t>82</w:t>
            </w:r>
            <w:r w:rsidRPr="00386176">
              <w:rPr>
                <w:sz w:val="22"/>
                <w:szCs w:val="22"/>
              </w:rPr>
              <w:t xml:space="preserve"> **</w:t>
            </w:r>
          </w:p>
        </w:tc>
      </w:tr>
      <w:tr w:rsidR="001847A4" w:rsidRPr="00386176" w:rsidTr="0010373B">
        <w:trPr>
          <w:trHeight w:val="312"/>
        </w:trPr>
        <w:tc>
          <w:tcPr>
            <w:tcW w:w="1800"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Selic</w:t>
            </w:r>
          </w:p>
        </w:tc>
        <w:tc>
          <w:tcPr>
            <w:tcW w:w="100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A</w:t>
            </w:r>
          </w:p>
        </w:tc>
        <w:tc>
          <w:tcPr>
            <w:tcW w:w="212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 xml:space="preserve"> 2002:4</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15</w:t>
            </w:r>
          </w:p>
        </w:tc>
        <w:tc>
          <w:tcPr>
            <w:tcW w:w="1180"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-3</w:t>
            </w:r>
            <w:r w:rsidR="00301980">
              <w:rPr>
                <w:sz w:val="22"/>
                <w:szCs w:val="22"/>
              </w:rPr>
              <w:t>,</w:t>
            </w:r>
            <w:r w:rsidRPr="00386176">
              <w:rPr>
                <w:sz w:val="22"/>
                <w:szCs w:val="22"/>
              </w:rPr>
              <w:t>82 **</w:t>
            </w:r>
          </w:p>
        </w:tc>
      </w:tr>
      <w:tr w:rsidR="001847A4" w:rsidRPr="00386176" w:rsidTr="0010373B">
        <w:trPr>
          <w:trHeight w:val="312"/>
        </w:trPr>
        <w:tc>
          <w:tcPr>
            <w:tcW w:w="1800"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IPCA</w:t>
            </w:r>
          </w:p>
        </w:tc>
        <w:tc>
          <w:tcPr>
            <w:tcW w:w="100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A</w:t>
            </w:r>
          </w:p>
        </w:tc>
        <w:tc>
          <w:tcPr>
            <w:tcW w:w="212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 xml:space="preserve"> 2002:4</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15</w:t>
            </w:r>
          </w:p>
        </w:tc>
        <w:tc>
          <w:tcPr>
            <w:tcW w:w="1180"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-5</w:t>
            </w:r>
            <w:r w:rsidR="00301980">
              <w:rPr>
                <w:sz w:val="22"/>
                <w:szCs w:val="22"/>
              </w:rPr>
              <w:t>,</w:t>
            </w:r>
            <w:r w:rsidRPr="00386176">
              <w:rPr>
                <w:sz w:val="22"/>
                <w:szCs w:val="22"/>
              </w:rPr>
              <w:t>14 ***</w:t>
            </w:r>
          </w:p>
        </w:tc>
      </w:tr>
      <w:tr w:rsidR="001847A4" w:rsidRPr="00386176" w:rsidTr="0010373B">
        <w:trPr>
          <w:trHeight w:val="312"/>
        </w:trPr>
        <w:tc>
          <w:tcPr>
            <w:tcW w:w="1800"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Comp. Dep. Prazo</w:t>
            </w:r>
          </w:p>
        </w:tc>
        <w:tc>
          <w:tcPr>
            <w:tcW w:w="100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C</w:t>
            </w:r>
          </w:p>
        </w:tc>
        <w:tc>
          <w:tcPr>
            <w:tcW w:w="212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2008:3</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3</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63</w:t>
            </w:r>
          </w:p>
        </w:tc>
        <w:tc>
          <w:tcPr>
            <w:tcW w:w="1180"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-4</w:t>
            </w:r>
            <w:r w:rsidR="00301980">
              <w:rPr>
                <w:sz w:val="22"/>
                <w:szCs w:val="22"/>
              </w:rPr>
              <w:t>,</w:t>
            </w:r>
            <w:r w:rsidRPr="00386176">
              <w:rPr>
                <w:sz w:val="22"/>
                <w:szCs w:val="22"/>
              </w:rPr>
              <w:t>48 **</w:t>
            </w:r>
          </w:p>
        </w:tc>
      </w:tr>
      <w:tr w:rsidR="001847A4" w:rsidRPr="00386176" w:rsidTr="0010373B">
        <w:trPr>
          <w:trHeight w:val="312"/>
        </w:trPr>
        <w:tc>
          <w:tcPr>
            <w:tcW w:w="1800" w:type="dxa"/>
            <w:tcBorders>
              <w:top w:val="nil"/>
              <w:left w:val="nil"/>
              <w:bottom w:val="nil"/>
              <w:right w:val="nil"/>
            </w:tcBorders>
            <w:shd w:val="clear" w:color="auto" w:fill="auto"/>
            <w:noWrap/>
            <w:vAlign w:val="center"/>
            <w:hideMark/>
          </w:tcPr>
          <w:p w:rsidR="001847A4" w:rsidRPr="00386176" w:rsidRDefault="001847A4" w:rsidP="00826069">
            <w:pPr>
              <w:rPr>
                <w:sz w:val="22"/>
                <w:szCs w:val="22"/>
              </w:rPr>
            </w:pPr>
            <w:r w:rsidRPr="00386176">
              <w:rPr>
                <w:sz w:val="22"/>
                <w:szCs w:val="22"/>
              </w:rPr>
              <w:t>PIB</w:t>
            </w:r>
          </w:p>
        </w:tc>
        <w:tc>
          <w:tcPr>
            <w:tcW w:w="100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C</w:t>
            </w:r>
          </w:p>
        </w:tc>
        <w:tc>
          <w:tcPr>
            <w:tcW w:w="212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2002:3</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1</w:t>
            </w:r>
          </w:p>
        </w:tc>
        <w:tc>
          <w:tcPr>
            <w:tcW w:w="860" w:type="dxa"/>
            <w:tcBorders>
              <w:top w:val="nil"/>
              <w:left w:val="nil"/>
              <w:bottom w:val="nil"/>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13</w:t>
            </w:r>
          </w:p>
        </w:tc>
        <w:tc>
          <w:tcPr>
            <w:tcW w:w="1180" w:type="dxa"/>
            <w:tcBorders>
              <w:top w:val="nil"/>
              <w:left w:val="nil"/>
              <w:bottom w:val="nil"/>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-4</w:t>
            </w:r>
            <w:r w:rsidR="00301980">
              <w:rPr>
                <w:sz w:val="22"/>
                <w:szCs w:val="22"/>
              </w:rPr>
              <w:t>,</w:t>
            </w:r>
            <w:r w:rsidRPr="00386176">
              <w:rPr>
                <w:sz w:val="22"/>
                <w:szCs w:val="22"/>
              </w:rPr>
              <w:t>23 **</w:t>
            </w:r>
          </w:p>
        </w:tc>
      </w:tr>
      <w:tr w:rsidR="001847A4" w:rsidRPr="00386176" w:rsidTr="0010373B">
        <w:trPr>
          <w:trHeight w:val="312"/>
        </w:trPr>
        <w:tc>
          <w:tcPr>
            <w:tcW w:w="1800" w:type="dxa"/>
            <w:tcBorders>
              <w:top w:val="nil"/>
              <w:left w:val="nil"/>
              <w:bottom w:val="single" w:sz="4" w:space="0" w:color="auto"/>
              <w:right w:val="nil"/>
            </w:tcBorders>
            <w:shd w:val="clear" w:color="auto" w:fill="auto"/>
            <w:noWrap/>
            <w:vAlign w:val="center"/>
            <w:hideMark/>
          </w:tcPr>
          <w:p w:rsidR="001847A4" w:rsidRPr="00386176" w:rsidRDefault="001847A4" w:rsidP="00826069">
            <w:pPr>
              <w:rPr>
                <w:sz w:val="22"/>
                <w:szCs w:val="22"/>
              </w:rPr>
            </w:pPr>
            <w:r w:rsidRPr="00386176">
              <w:rPr>
                <w:sz w:val="22"/>
                <w:szCs w:val="22"/>
              </w:rPr>
              <w:t>M2</w:t>
            </w:r>
          </w:p>
        </w:tc>
        <w:tc>
          <w:tcPr>
            <w:tcW w:w="1000"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C</w:t>
            </w:r>
          </w:p>
        </w:tc>
        <w:tc>
          <w:tcPr>
            <w:tcW w:w="2120"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2008:1</w:t>
            </w:r>
          </w:p>
        </w:tc>
        <w:tc>
          <w:tcPr>
            <w:tcW w:w="860"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4</w:t>
            </w:r>
          </w:p>
        </w:tc>
        <w:tc>
          <w:tcPr>
            <w:tcW w:w="860" w:type="dxa"/>
            <w:tcBorders>
              <w:top w:val="nil"/>
              <w:left w:val="nil"/>
              <w:bottom w:val="single" w:sz="4" w:space="0" w:color="auto"/>
              <w:right w:val="nil"/>
            </w:tcBorders>
            <w:shd w:val="clear" w:color="auto" w:fill="auto"/>
            <w:noWrap/>
            <w:vAlign w:val="center"/>
            <w:hideMark/>
          </w:tcPr>
          <w:p w:rsidR="001847A4" w:rsidRPr="00386176" w:rsidRDefault="001847A4" w:rsidP="00826069">
            <w:pPr>
              <w:jc w:val="center"/>
              <w:rPr>
                <w:sz w:val="22"/>
                <w:szCs w:val="22"/>
              </w:rPr>
            </w:pPr>
            <w:r w:rsidRPr="00386176">
              <w:rPr>
                <w:sz w:val="22"/>
                <w:szCs w:val="22"/>
              </w:rPr>
              <w:t>0</w:t>
            </w:r>
            <w:r w:rsidR="00301980">
              <w:rPr>
                <w:sz w:val="22"/>
                <w:szCs w:val="22"/>
              </w:rPr>
              <w:t>,</w:t>
            </w:r>
            <w:r w:rsidRPr="00386176">
              <w:rPr>
                <w:sz w:val="22"/>
                <w:szCs w:val="22"/>
              </w:rPr>
              <w:t>58</w:t>
            </w:r>
          </w:p>
        </w:tc>
        <w:tc>
          <w:tcPr>
            <w:tcW w:w="1180" w:type="dxa"/>
            <w:tcBorders>
              <w:top w:val="nil"/>
              <w:left w:val="nil"/>
              <w:bottom w:val="single" w:sz="4" w:space="0" w:color="auto"/>
              <w:right w:val="nil"/>
            </w:tcBorders>
            <w:shd w:val="clear" w:color="auto" w:fill="auto"/>
            <w:vAlign w:val="center"/>
            <w:hideMark/>
          </w:tcPr>
          <w:p w:rsidR="001847A4" w:rsidRPr="00386176" w:rsidRDefault="001847A4" w:rsidP="00826069">
            <w:pPr>
              <w:jc w:val="center"/>
              <w:rPr>
                <w:sz w:val="22"/>
                <w:szCs w:val="22"/>
              </w:rPr>
            </w:pPr>
            <w:r w:rsidRPr="00386176">
              <w:rPr>
                <w:sz w:val="22"/>
                <w:szCs w:val="22"/>
              </w:rPr>
              <w:t>-4</w:t>
            </w:r>
            <w:r w:rsidR="00301980">
              <w:rPr>
                <w:sz w:val="22"/>
                <w:szCs w:val="22"/>
              </w:rPr>
              <w:t>,</w:t>
            </w:r>
            <w:r w:rsidRPr="00386176">
              <w:rPr>
                <w:sz w:val="22"/>
                <w:szCs w:val="22"/>
              </w:rPr>
              <w:t>49 **</w:t>
            </w:r>
          </w:p>
        </w:tc>
      </w:tr>
      <w:tr w:rsidR="001847A4" w:rsidRPr="00386176" w:rsidTr="00A271A9">
        <w:trPr>
          <w:trHeight w:val="227"/>
        </w:trPr>
        <w:tc>
          <w:tcPr>
            <w:tcW w:w="7820" w:type="dxa"/>
            <w:gridSpan w:val="6"/>
            <w:tcBorders>
              <w:top w:val="single" w:sz="4" w:space="0" w:color="auto"/>
              <w:left w:val="nil"/>
              <w:bottom w:val="nil"/>
              <w:right w:val="nil"/>
            </w:tcBorders>
            <w:shd w:val="clear" w:color="auto" w:fill="auto"/>
            <w:noWrap/>
          </w:tcPr>
          <w:p w:rsidR="001847A4" w:rsidRPr="00386176" w:rsidRDefault="001847A4" w:rsidP="00826069">
            <w:pPr>
              <w:rPr>
                <w:sz w:val="20"/>
                <w:szCs w:val="20"/>
              </w:rPr>
            </w:pPr>
            <w:r w:rsidRPr="00386176">
              <w:rPr>
                <w:sz w:val="20"/>
                <w:szCs w:val="20"/>
              </w:rPr>
              <w:t>Fonte: Elaboração Própria.</w:t>
            </w:r>
          </w:p>
        </w:tc>
      </w:tr>
      <w:tr w:rsidR="001847A4" w:rsidRPr="00386176" w:rsidTr="00A271A9">
        <w:trPr>
          <w:trHeight w:val="227"/>
        </w:trPr>
        <w:tc>
          <w:tcPr>
            <w:tcW w:w="7820" w:type="dxa"/>
            <w:gridSpan w:val="6"/>
            <w:tcBorders>
              <w:left w:val="nil"/>
              <w:bottom w:val="nil"/>
              <w:right w:val="nil"/>
            </w:tcBorders>
            <w:shd w:val="clear" w:color="auto" w:fill="auto"/>
            <w:noWrap/>
            <w:hideMark/>
          </w:tcPr>
          <w:p w:rsidR="001847A4" w:rsidRPr="00386176" w:rsidRDefault="001847A4" w:rsidP="00826069">
            <w:pPr>
              <w:jc w:val="both"/>
              <w:rPr>
                <w:sz w:val="20"/>
                <w:szCs w:val="20"/>
              </w:rPr>
            </w:pPr>
            <w:r w:rsidRPr="00386176">
              <w:rPr>
                <w:sz w:val="20"/>
                <w:szCs w:val="20"/>
              </w:rPr>
              <w:t>Nota: * Significante a 10%; ** Significante a 5%; *** Significante a 1%.</w:t>
            </w:r>
          </w:p>
        </w:tc>
      </w:tr>
    </w:tbl>
    <w:p w:rsidR="001847A4" w:rsidRDefault="001847A4" w:rsidP="007E1E4C">
      <w:pPr>
        <w:spacing w:before="240"/>
        <w:jc w:val="both"/>
      </w:pPr>
      <w:r w:rsidRPr="00386176">
        <w:tab/>
        <w:t xml:space="preserve">Ao considerar quebra estrutural nos testes, os resultados modificam-se indicando que as séries macroeconômicas são estacionárias com quebra estrutural a um nível </w:t>
      </w:r>
      <w:r w:rsidR="00D2294F" w:rsidRPr="00386176">
        <w:t xml:space="preserve">de significância de 5%. A Selic, o CDI </w:t>
      </w:r>
      <w:r w:rsidRPr="00386176">
        <w:t xml:space="preserve">e o IPCA possuem quebra de nível e o Compulsório do Depósito a Prazo, o PIB e o M2 possuem quebra de nível e tendência. </w:t>
      </w:r>
    </w:p>
    <w:p w:rsidR="001847A4" w:rsidRPr="00D34D00" w:rsidRDefault="001847A4" w:rsidP="004D3C47">
      <w:pPr>
        <w:pStyle w:val="Ttulo3"/>
        <w:numPr>
          <w:ilvl w:val="1"/>
          <w:numId w:val="15"/>
        </w:numPr>
        <w:spacing w:before="240" w:line="240" w:lineRule="auto"/>
        <w:ind w:left="567" w:hanging="567"/>
        <w:rPr>
          <w:rFonts w:ascii="Times New Roman" w:hAnsi="Times New Roman" w:cs="Times New Roman"/>
          <w:b w:val="0"/>
        </w:rPr>
      </w:pPr>
      <w:bookmarkStart w:id="72" w:name="_Toc451294373"/>
      <w:r w:rsidRPr="00D34D00">
        <w:rPr>
          <w:rFonts w:ascii="Times New Roman" w:hAnsi="Times New Roman" w:cs="Times New Roman"/>
          <w:b w:val="0"/>
        </w:rPr>
        <w:t>E</w:t>
      </w:r>
      <w:r w:rsidR="00D34D00">
        <w:rPr>
          <w:rFonts w:ascii="Times New Roman" w:hAnsi="Times New Roman" w:cs="Times New Roman"/>
          <w:b w:val="0"/>
        </w:rPr>
        <w:t>STIMAÇÃO DO MODELO</w:t>
      </w:r>
      <w:bookmarkEnd w:id="72"/>
      <w:r w:rsidRPr="00D34D00">
        <w:rPr>
          <w:rFonts w:ascii="Times New Roman" w:hAnsi="Times New Roman" w:cs="Times New Roman"/>
          <w:b w:val="0"/>
        </w:rPr>
        <w:t xml:space="preserve"> </w:t>
      </w:r>
    </w:p>
    <w:p w:rsidR="001847A4" w:rsidRPr="00386176" w:rsidRDefault="001847A4" w:rsidP="00B13A55">
      <w:pPr>
        <w:ind w:firstLine="709"/>
        <w:jc w:val="both"/>
      </w:pPr>
      <w:r w:rsidRPr="00386176">
        <w:t xml:space="preserve">O modelo (5) sob a forma estática foi estimado, inicialmente, com todas as candidatas a variáveis explicativas. Uma vez que algumas variáveis não foram estatisticamente significantes, foi aplicada a estratégia de modelagem geral para específico na qual se excluem essas variáveis de forma individual e sequencial, de acordo com a estatística </w:t>
      </w:r>
      <w:r w:rsidRPr="00386176">
        <w:rPr>
          <w:i/>
        </w:rPr>
        <w:t>t</w:t>
      </w:r>
      <w:r w:rsidRPr="00386176">
        <w:t xml:space="preserve">. A estratégia adotada permitiu chegar a um modelo com um número reduzido de variáveis explicativas, porém todas estatisticamente significantes a um nível de 10%. O modelo, então, foi estimado com efeitos fixos, haja vista que se rejeitou a hipótese nula de efeitos aleatórios do teste de </w:t>
      </w:r>
      <w:proofErr w:type="spellStart"/>
      <w:r w:rsidRPr="00386176">
        <w:t>Hausman</w:t>
      </w:r>
      <w:proofErr w:type="spellEnd"/>
      <w:r w:rsidR="006B3FED" w:rsidRPr="00386176">
        <w:t xml:space="preserve">, conforme Apêndice </w:t>
      </w:r>
      <w:r w:rsidR="009D05CE" w:rsidRPr="00386176">
        <w:t>A</w:t>
      </w:r>
      <w:r w:rsidRPr="00386176">
        <w:t xml:space="preserve">. </w:t>
      </w:r>
    </w:p>
    <w:p w:rsidR="001416B4" w:rsidRDefault="001847A4" w:rsidP="00B13A55">
      <w:pPr>
        <w:pStyle w:val="Legenda"/>
        <w:keepNext/>
        <w:spacing w:after="0" w:line="240" w:lineRule="auto"/>
        <w:ind w:firstLine="708"/>
        <w:jc w:val="both"/>
        <w:rPr>
          <w:rFonts w:cs="Times New Roman"/>
          <w:b w:val="0"/>
          <w:color w:val="auto"/>
          <w:sz w:val="24"/>
          <w:szCs w:val="24"/>
        </w:rPr>
      </w:pPr>
      <w:r w:rsidRPr="00386176">
        <w:rPr>
          <w:rFonts w:cs="Times New Roman"/>
          <w:b w:val="0"/>
          <w:color w:val="auto"/>
          <w:sz w:val="24"/>
          <w:szCs w:val="24"/>
        </w:rPr>
        <w:t xml:space="preserve">O Modelo 1, estimado para a amostra completa, possui quatro variáveis explicativas significantes: o </w:t>
      </w:r>
      <w:r w:rsidRPr="00386176">
        <w:rPr>
          <w:rFonts w:cs="Times New Roman"/>
          <w:b w:val="0"/>
          <w:i/>
          <w:color w:val="auto"/>
          <w:sz w:val="24"/>
          <w:szCs w:val="24"/>
        </w:rPr>
        <w:t>spread</w:t>
      </w:r>
      <w:r w:rsidR="007E0074" w:rsidRPr="00386176">
        <w:rPr>
          <w:rStyle w:val="Refdenotaderodap"/>
          <w:rFonts w:cs="Times New Roman"/>
          <w:b w:val="0"/>
          <w:i/>
          <w:color w:val="auto"/>
          <w:sz w:val="24"/>
          <w:szCs w:val="24"/>
        </w:rPr>
        <w:footnoteReference w:id="10"/>
      </w:r>
      <w:r w:rsidRPr="00386176">
        <w:rPr>
          <w:rFonts w:cs="Times New Roman"/>
          <w:b w:val="0"/>
          <w:color w:val="auto"/>
          <w:sz w:val="24"/>
          <w:szCs w:val="24"/>
        </w:rPr>
        <w:t xml:space="preserve">, os Títulos e Valores Mobiliários – TVM, a despesa de captação e o risco de crédito. O </w:t>
      </w:r>
      <w:r w:rsidRPr="00386176">
        <w:rPr>
          <w:rFonts w:cs="Times New Roman"/>
          <w:b w:val="0"/>
          <w:i/>
          <w:color w:val="auto"/>
          <w:sz w:val="24"/>
          <w:szCs w:val="24"/>
        </w:rPr>
        <w:t>spread</w:t>
      </w:r>
      <w:r w:rsidRPr="00386176">
        <w:rPr>
          <w:rFonts w:cs="Times New Roman"/>
          <w:b w:val="0"/>
          <w:color w:val="auto"/>
          <w:sz w:val="24"/>
          <w:szCs w:val="24"/>
        </w:rPr>
        <w:t>, variável que caracteriza o modelo teórico, apresenta uma relação positiva com a oferta de crédito bancário, conforme esperado, indicando</w:t>
      </w:r>
      <w:r w:rsidR="00295318" w:rsidRPr="00386176">
        <w:rPr>
          <w:rFonts w:cs="Times New Roman"/>
          <w:b w:val="0"/>
          <w:color w:val="auto"/>
          <w:sz w:val="24"/>
          <w:szCs w:val="24"/>
        </w:rPr>
        <w:t xml:space="preserve"> que</w:t>
      </w:r>
      <w:r w:rsidRPr="00386176">
        <w:rPr>
          <w:rFonts w:cs="Times New Roman"/>
          <w:b w:val="0"/>
          <w:color w:val="auto"/>
          <w:sz w:val="24"/>
          <w:szCs w:val="24"/>
        </w:rPr>
        <w:t xml:space="preserve"> </w:t>
      </w:r>
      <w:r w:rsidR="00295318" w:rsidRPr="00386176">
        <w:rPr>
          <w:rFonts w:cs="Times New Roman"/>
          <w:b w:val="0"/>
          <w:color w:val="auto"/>
          <w:sz w:val="24"/>
          <w:szCs w:val="24"/>
        </w:rPr>
        <w:t xml:space="preserve">ganhos mais elevados com a intermediação financeira incentivam uma maior oferta de crédito por parte da instituição, de forma </w:t>
      </w:r>
      <w:r w:rsidRPr="00386176">
        <w:rPr>
          <w:rFonts w:cs="Times New Roman"/>
          <w:b w:val="0"/>
          <w:color w:val="auto"/>
          <w:sz w:val="24"/>
          <w:szCs w:val="24"/>
        </w:rPr>
        <w:t xml:space="preserve">que </w:t>
      </w:r>
      <w:r w:rsidR="00295318" w:rsidRPr="00386176">
        <w:rPr>
          <w:rFonts w:cs="Times New Roman"/>
          <w:b w:val="0"/>
          <w:color w:val="auto"/>
          <w:sz w:val="24"/>
          <w:szCs w:val="24"/>
        </w:rPr>
        <w:t xml:space="preserve">um aumento de 1% no </w:t>
      </w:r>
      <w:r w:rsidR="00295318" w:rsidRPr="00386176">
        <w:rPr>
          <w:rFonts w:cs="Times New Roman"/>
          <w:b w:val="0"/>
          <w:i/>
          <w:color w:val="auto"/>
          <w:sz w:val="24"/>
          <w:szCs w:val="24"/>
        </w:rPr>
        <w:t xml:space="preserve">spread </w:t>
      </w:r>
      <w:r w:rsidR="00295318" w:rsidRPr="00386176">
        <w:rPr>
          <w:rFonts w:cs="Times New Roman"/>
          <w:b w:val="0"/>
          <w:color w:val="auto"/>
          <w:sz w:val="24"/>
          <w:szCs w:val="24"/>
        </w:rPr>
        <w:t>das instituições financeiras, elevam a oferta de crédito em 0,94%</w:t>
      </w:r>
      <w:r w:rsidR="00B52CD7" w:rsidRPr="00386176">
        <w:rPr>
          <w:rFonts w:cs="Times New Roman"/>
          <w:b w:val="0"/>
          <w:color w:val="auto"/>
          <w:sz w:val="24"/>
          <w:szCs w:val="24"/>
        </w:rPr>
        <w:t>, maior elasticidade encontrada dentre as variáveis significativas</w:t>
      </w:r>
      <w:r w:rsidR="00295318" w:rsidRPr="00386176">
        <w:rPr>
          <w:rFonts w:cs="Times New Roman"/>
          <w:b w:val="0"/>
          <w:color w:val="auto"/>
          <w:sz w:val="24"/>
          <w:szCs w:val="24"/>
        </w:rPr>
        <w:t>.</w:t>
      </w:r>
      <w:r w:rsidRPr="00386176">
        <w:rPr>
          <w:rFonts w:cs="Times New Roman"/>
          <w:b w:val="0"/>
          <w:color w:val="auto"/>
          <w:sz w:val="24"/>
          <w:szCs w:val="24"/>
        </w:rPr>
        <w:t xml:space="preserve"> Os Títulos e Valores Mobiliários mostraram-se inversamente correlacionados com a oferta de crédito bancário, evidenciando que por serem modalidades de aplicação de recursos concorrentes, a aplicação em TVM pode restringir a expansão do crédito</w:t>
      </w:r>
      <w:r w:rsidR="00295318" w:rsidRPr="00386176">
        <w:rPr>
          <w:rFonts w:cs="Times New Roman"/>
          <w:b w:val="0"/>
          <w:color w:val="auto"/>
          <w:sz w:val="24"/>
          <w:szCs w:val="24"/>
        </w:rPr>
        <w:t xml:space="preserve"> em 0,37%, dado um aumento de 1% na TVM.</w:t>
      </w:r>
      <w:r w:rsidRPr="00386176">
        <w:rPr>
          <w:rFonts w:cs="Times New Roman"/>
          <w:b w:val="0"/>
          <w:color w:val="auto"/>
          <w:sz w:val="24"/>
          <w:szCs w:val="24"/>
        </w:rPr>
        <w:t xml:space="preserve"> </w:t>
      </w:r>
      <w:proofErr w:type="spellStart"/>
      <w:r w:rsidR="00295318" w:rsidRPr="00386176">
        <w:rPr>
          <w:rFonts w:cs="Times New Roman"/>
          <w:b w:val="0"/>
          <w:color w:val="auto"/>
          <w:sz w:val="24"/>
          <w:szCs w:val="24"/>
        </w:rPr>
        <w:t>Fucidji</w:t>
      </w:r>
      <w:proofErr w:type="spellEnd"/>
      <w:r w:rsidR="00295318" w:rsidRPr="00386176">
        <w:rPr>
          <w:rFonts w:cs="Times New Roman"/>
          <w:b w:val="0"/>
          <w:color w:val="auto"/>
          <w:sz w:val="24"/>
          <w:szCs w:val="24"/>
        </w:rPr>
        <w:t xml:space="preserve"> e Prince (2009) encontraram resultado semelhante a esse. </w:t>
      </w:r>
      <w:r w:rsidRPr="00386176">
        <w:rPr>
          <w:rFonts w:cs="Times New Roman"/>
          <w:b w:val="0"/>
          <w:color w:val="auto"/>
          <w:sz w:val="24"/>
          <w:szCs w:val="24"/>
        </w:rPr>
        <w:t>Por sua vez, a despesa de captação mostrou-se uma variável significativa e negativamente relacionada com o crédito</w:t>
      </w:r>
      <w:r w:rsidR="00295318" w:rsidRPr="00386176">
        <w:rPr>
          <w:rFonts w:cs="Times New Roman"/>
          <w:b w:val="0"/>
          <w:color w:val="auto"/>
          <w:sz w:val="24"/>
          <w:szCs w:val="24"/>
        </w:rPr>
        <w:t>, sendo que uma redução dessa variável na ordem de 1% tende a reduzir a oferta de crédito em 0,49%. Esse</w:t>
      </w:r>
      <w:r w:rsidRPr="00386176">
        <w:rPr>
          <w:rFonts w:cs="Times New Roman"/>
          <w:b w:val="0"/>
          <w:color w:val="auto"/>
          <w:sz w:val="24"/>
          <w:szCs w:val="24"/>
        </w:rPr>
        <w:t xml:space="preserve"> resultado</w:t>
      </w:r>
      <w:r w:rsidR="00295318" w:rsidRPr="00386176">
        <w:rPr>
          <w:rFonts w:cs="Times New Roman"/>
          <w:b w:val="0"/>
          <w:color w:val="auto"/>
          <w:sz w:val="24"/>
          <w:szCs w:val="24"/>
        </w:rPr>
        <w:t xml:space="preserve"> </w:t>
      </w:r>
      <w:r w:rsidRPr="00386176">
        <w:rPr>
          <w:rFonts w:cs="Times New Roman"/>
          <w:b w:val="0"/>
          <w:color w:val="auto"/>
          <w:sz w:val="24"/>
          <w:szCs w:val="24"/>
        </w:rPr>
        <w:t>justifica</w:t>
      </w:r>
      <w:r w:rsidR="00D6789F" w:rsidRPr="00386176">
        <w:rPr>
          <w:rFonts w:cs="Times New Roman"/>
          <w:b w:val="0"/>
          <w:color w:val="auto"/>
          <w:sz w:val="24"/>
          <w:szCs w:val="24"/>
        </w:rPr>
        <w:t>-se</w:t>
      </w:r>
      <w:r w:rsidRPr="00386176">
        <w:rPr>
          <w:rFonts w:cs="Times New Roman"/>
          <w:b w:val="0"/>
          <w:color w:val="auto"/>
          <w:sz w:val="24"/>
          <w:szCs w:val="24"/>
        </w:rPr>
        <w:t xml:space="preserve">, pois, a concessão das operações de crédito é financiada pela captação de recursos e, quanto mais cara é a </w:t>
      </w:r>
      <w:r w:rsidRPr="00386176">
        <w:rPr>
          <w:rFonts w:cs="Times New Roman"/>
          <w:b w:val="0"/>
          <w:color w:val="auto"/>
          <w:sz w:val="24"/>
          <w:szCs w:val="24"/>
        </w:rPr>
        <w:lastRenderedPageBreak/>
        <w:t>captação, menos o banco tende a ofertar. Por último, o risco de crédito, que possui uma relação inversa com a oferta de crédito, também constatado por</w:t>
      </w:r>
      <w:r w:rsidRPr="00386176">
        <w:rPr>
          <w:rFonts w:cs="Times New Roman"/>
          <w:color w:val="auto"/>
          <w:sz w:val="24"/>
          <w:szCs w:val="24"/>
        </w:rPr>
        <w:t xml:space="preserve"> </w:t>
      </w:r>
      <w:r w:rsidRPr="00386176">
        <w:rPr>
          <w:rFonts w:cs="Times New Roman"/>
          <w:b w:val="0"/>
          <w:color w:val="auto"/>
          <w:sz w:val="24"/>
          <w:szCs w:val="24"/>
        </w:rPr>
        <w:t xml:space="preserve">Mendonça e </w:t>
      </w:r>
      <w:proofErr w:type="spellStart"/>
      <w:r w:rsidRPr="00386176">
        <w:rPr>
          <w:rFonts w:cs="Times New Roman"/>
          <w:b w:val="0"/>
          <w:color w:val="auto"/>
          <w:sz w:val="24"/>
          <w:szCs w:val="24"/>
        </w:rPr>
        <w:t>Sachsida</w:t>
      </w:r>
      <w:proofErr w:type="spellEnd"/>
      <w:r w:rsidRPr="00386176">
        <w:rPr>
          <w:rFonts w:cs="Times New Roman"/>
          <w:b w:val="0"/>
          <w:color w:val="auto"/>
          <w:sz w:val="24"/>
          <w:szCs w:val="24"/>
        </w:rPr>
        <w:t xml:space="preserve"> (2013), sugere</w:t>
      </w:r>
      <w:r w:rsidR="00C07C90" w:rsidRPr="00386176">
        <w:rPr>
          <w:rFonts w:cs="Times New Roman"/>
          <w:b w:val="0"/>
          <w:color w:val="auto"/>
          <w:sz w:val="24"/>
          <w:szCs w:val="24"/>
        </w:rPr>
        <w:t xml:space="preserve"> que</w:t>
      </w:r>
      <w:r w:rsidRPr="00386176">
        <w:rPr>
          <w:rFonts w:cs="Times New Roman"/>
          <w:b w:val="0"/>
          <w:color w:val="auto"/>
          <w:sz w:val="24"/>
          <w:szCs w:val="24"/>
        </w:rPr>
        <w:t xml:space="preserve"> a expansão do crédito pode comprometer a seleção dos bons tomadores, impactando em maior risco de crédito.</w:t>
      </w:r>
      <w:r w:rsidR="001416B4" w:rsidRPr="00386176">
        <w:rPr>
          <w:rFonts w:cs="Times New Roman"/>
          <w:b w:val="0"/>
          <w:color w:val="auto"/>
          <w:sz w:val="24"/>
          <w:szCs w:val="24"/>
        </w:rPr>
        <w:t xml:space="preserve"> Assim, um aumento de 1% no risco de crédito pode reduzir a concessão de crédito em 0,34%.</w:t>
      </w:r>
      <w:r w:rsidRPr="00386176">
        <w:rPr>
          <w:rFonts w:cs="Times New Roman"/>
          <w:b w:val="0"/>
          <w:color w:val="auto"/>
          <w:sz w:val="24"/>
          <w:szCs w:val="24"/>
        </w:rPr>
        <w:t xml:space="preserve"> </w:t>
      </w:r>
    </w:p>
    <w:p w:rsidR="00B13A55" w:rsidRPr="00386176" w:rsidRDefault="00B13A55" w:rsidP="00B13A55">
      <w:pPr>
        <w:pStyle w:val="Legenda"/>
        <w:keepNext/>
        <w:spacing w:before="240" w:after="0" w:line="240" w:lineRule="auto"/>
        <w:rPr>
          <w:rFonts w:cs="Times New Roman"/>
          <w:b w:val="0"/>
          <w:color w:val="auto"/>
          <w:sz w:val="20"/>
          <w:szCs w:val="20"/>
        </w:rPr>
      </w:pPr>
      <w:bookmarkStart w:id="73" w:name="_Toc451294347"/>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sidR="00103018">
        <w:rPr>
          <w:rFonts w:cs="Times New Roman"/>
          <w:b w:val="0"/>
          <w:noProof/>
          <w:color w:val="auto"/>
          <w:sz w:val="20"/>
          <w:szCs w:val="20"/>
        </w:rPr>
        <w:t>6</w:t>
      </w:r>
      <w:r w:rsidRPr="00386176">
        <w:rPr>
          <w:rFonts w:cs="Times New Roman"/>
          <w:b w:val="0"/>
          <w:color w:val="auto"/>
          <w:sz w:val="20"/>
          <w:szCs w:val="20"/>
        </w:rPr>
        <w:fldChar w:fldCharType="end"/>
      </w:r>
      <w:r w:rsidRPr="00386176">
        <w:rPr>
          <w:rFonts w:cs="Times New Roman"/>
          <w:b w:val="0"/>
          <w:color w:val="auto"/>
          <w:sz w:val="20"/>
          <w:szCs w:val="20"/>
        </w:rPr>
        <w:t xml:space="preserve"> - Resultado da Estimação do Modelo Estático</w:t>
      </w:r>
      <w:bookmarkEnd w:id="73"/>
    </w:p>
    <w:tbl>
      <w:tblPr>
        <w:tblW w:w="10206" w:type="dxa"/>
        <w:tblLayout w:type="fixed"/>
        <w:tblCellMar>
          <w:left w:w="70" w:type="dxa"/>
          <w:right w:w="70" w:type="dxa"/>
        </w:tblCellMar>
        <w:tblLook w:val="04A0" w:firstRow="1" w:lastRow="0" w:firstColumn="1" w:lastColumn="0" w:noHBand="0" w:noVBand="1"/>
      </w:tblPr>
      <w:tblGrid>
        <w:gridCol w:w="2102"/>
        <w:gridCol w:w="2026"/>
        <w:gridCol w:w="2026"/>
        <w:gridCol w:w="2026"/>
        <w:gridCol w:w="2026"/>
      </w:tblGrid>
      <w:tr w:rsidR="00093508" w:rsidRPr="00093508" w:rsidTr="006A5F3D">
        <w:trPr>
          <w:trHeight w:val="888"/>
        </w:trPr>
        <w:tc>
          <w:tcPr>
            <w:tcW w:w="2060" w:type="dxa"/>
            <w:tcBorders>
              <w:top w:val="single" w:sz="4" w:space="0" w:color="auto"/>
              <w:left w:val="nil"/>
              <w:bottom w:val="single" w:sz="4" w:space="0" w:color="auto"/>
              <w:right w:val="nil"/>
            </w:tcBorders>
            <w:shd w:val="clear" w:color="auto" w:fill="auto"/>
            <w:noWrap/>
            <w:vAlign w:val="center"/>
            <w:hideMark/>
          </w:tcPr>
          <w:p w:rsidR="00093508" w:rsidRPr="00093508" w:rsidRDefault="00093508" w:rsidP="004D5B0D">
            <w:pPr>
              <w:jc w:val="center"/>
              <w:rPr>
                <w:b/>
                <w:bCs/>
                <w:color w:val="000000"/>
                <w:sz w:val="22"/>
                <w:szCs w:val="22"/>
              </w:rPr>
            </w:pPr>
            <w:r w:rsidRPr="00093508">
              <w:rPr>
                <w:b/>
                <w:bCs/>
                <w:color w:val="000000"/>
                <w:sz w:val="22"/>
                <w:szCs w:val="22"/>
              </w:rPr>
              <w:t>Variável</w:t>
            </w:r>
          </w:p>
        </w:tc>
        <w:tc>
          <w:tcPr>
            <w:tcW w:w="1985" w:type="dxa"/>
            <w:tcBorders>
              <w:top w:val="single" w:sz="4" w:space="0" w:color="auto"/>
              <w:left w:val="nil"/>
              <w:bottom w:val="single" w:sz="4" w:space="0" w:color="auto"/>
              <w:right w:val="nil"/>
            </w:tcBorders>
            <w:shd w:val="clear" w:color="auto" w:fill="auto"/>
            <w:vAlign w:val="center"/>
            <w:hideMark/>
          </w:tcPr>
          <w:p w:rsidR="00093508" w:rsidRPr="00093508" w:rsidRDefault="00093508" w:rsidP="004D5B0D">
            <w:pPr>
              <w:jc w:val="center"/>
              <w:rPr>
                <w:b/>
                <w:bCs/>
                <w:color w:val="000000"/>
                <w:sz w:val="22"/>
                <w:szCs w:val="22"/>
              </w:rPr>
            </w:pPr>
            <w:r w:rsidRPr="00093508">
              <w:rPr>
                <w:b/>
                <w:bCs/>
                <w:color w:val="000000"/>
                <w:sz w:val="22"/>
                <w:szCs w:val="22"/>
              </w:rPr>
              <w:t xml:space="preserve">Modelo 1 </w:t>
            </w:r>
            <w:r w:rsidRPr="00093508">
              <w:rPr>
                <w:color w:val="000000"/>
                <w:sz w:val="22"/>
                <w:szCs w:val="22"/>
                <w:vertAlign w:val="superscript"/>
              </w:rPr>
              <w:t>(1)</w:t>
            </w:r>
            <w:r w:rsidRPr="00093508">
              <w:rPr>
                <w:b/>
                <w:bCs/>
                <w:color w:val="000000"/>
                <w:sz w:val="22"/>
                <w:szCs w:val="22"/>
              </w:rPr>
              <w:br/>
            </w:r>
            <w:r w:rsidRPr="00093508">
              <w:rPr>
                <w:color w:val="000000"/>
                <w:sz w:val="22"/>
                <w:szCs w:val="22"/>
              </w:rPr>
              <w:t>(Completo)</w:t>
            </w:r>
          </w:p>
        </w:tc>
        <w:tc>
          <w:tcPr>
            <w:tcW w:w="1985" w:type="dxa"/>
            <w:tcBorders>
              <w:top w:val="single" w:sz="4" w:space="0" w:color="auto"/>
              <w:left w:val="nil"/>
              <w:bottom w:val="single" w:sz="4" w:space="0" w:color="auto"/>
              <w:right w:val="nil"/>
            </w:tcBorders>
            <w:shd w:val="clear" w:color="auto" w:fill="auto"/>
            <w:vAlign w:val="center"/>
            <w:hideMark/>
          </w:tcPr>
          <w:p w:rsidR="00093508" w:rsidRPr="00093508" w:rsidRDefault="00093508" w:rsidP="004D5B0D">
            <w:pPr>
              <w:jc w:val="center"/>
              <w:rPr>
                <w:b/>
                <w:bCs/>
                <w:color w:val="000000"/>
                <w:sz w:val="22"/>
                <w:szCs w:val="22"/>
              </w:rPr>
            </w:pPr>
            <w:r w:rsidRPr="00093508">
              <w:rPr>
                <w:b/>
                <w:bCs/>
                <w:color w:val="000000"/>
                <w:sz w:val="22"/>
                <w:szCs w:val="22"/>
              </w:rPr>
              <w:t xml:space="preserve">Modelo 2 </w:t>
            </w:r>
            <w:r w:rsidRPr="00093508">
              <w:rPr>
                <w:color w:val="000000"/>
                <w:sz w:val="22"/>
                <w:szCs w:val="22"/>
                <w:vertAlign w:val="superscript"/>
              </w:rPr>
              <w:t>(1)</w:t>
            </w:r>
            <w:r w:rsidRPr="00093508">
              <w:rPr>
                <w:b/>
                <w:bCs/>
                <w:color w:val="000000"/>
                <w:sz w:val="22"/>
                <w:szCs w:val="22"/>
              </w:rPr>
              <w:br/>
            </w:r>
            <w:r w:rsidRPr="00093508">
              <w:rPr>
                <w:color w:val="000000"/>
                <w:sz w:val="22"/>
                <w:szCs w:val="22"/>
              </w:rPr>
              <w:t xml:space="preserve">(Completo c/ </w:t>
            </w:r>
            <w:proofErr w:type="spellStart"/>
            <w:r w:rsidRPr="00093508">
              <w:rPr>
                <w:i/>
                <w:iCs/>
                <w:color w:val="000000"/>
                <w:sz w:val="22"/>
                <w:szCs w:val="22"/>
              </w:rPr>
              <w:t>dummies</w:t>
            </w:r>
            <w:proofErr w:type="spellEnd"/>
            <w:r w:rsidRPr="00093508">
              <w:rPr>
                <w:color w:val="000000"/>
                <w:sz w:val="22"/>
                <w:szCs w:val="22"/>
              </w:rPr>
              <w:t>)</w:t>
            </w:r>
          </w:p>
        </w:tc>
        <w:tc>
          <w:tcPr>
            <w:tcW w:w="1985" w:type="dxa"/>
            <w:tcBorders>
              <w:top w:val="single" w:sz="4" w:space="0" w:color="auto"/>
              <w:left w:val="nil"/>
              <w:bottom w:val="single" w:sz="4" w:space="0" w:color="auto"/>
              <w:right w:val="nil"/>
            </w:tcBorders>
            <w:shd w:val="clear" w:color="auto" w:fill="auto"/>
            <w:vAlign w:val="center"/>
            <w:hideMark/>
          </w:tcPr>
          <w:p w:rsidR="00093508" w:rsidRPr="00093508" w:rsidRDefault="00093508" w:rsidP="004D5B0D">
            <w:pPr>
              <w:jc w:val="center"/>
              <w:rPr>
                <w:b/>
                <w:bCs/>
                <w:color w:val="000000"/>
                <w:sz w:val="22"/>
                <w:szCs w:val="22"/>
              </w:rPr>
            </w:pPr>
            <w:r w:rsidRPr="00093508">
              <w:rPr>
                <w:b/>
                <w:bCs/>
                <w:color w:val="000000"/>
                <w:sz w:val="22"/>
                <w:szCs w:val="22"/>
              </w:rPr>
              <w:t xml:space="preserve">Modelo 3 </w:t>
            </w:r>
            <w:r w:rsidRPr="00093508">
              <w:rPr>
                <w:color w:val="000000"/>
                <w:sz w:val="22"/>
                <w:szCs w:val="22"/>
                <w:vertAlign w:val="superscript"/>
              </w:rPr>
              <w:t>(1)</w:t>
            </w:r>
            <w:r w:rsidRPr="00093508">
              <w:rPr>
                <w:b/>
                <w:bCs/>
                <w:color w:val="000000"/>
                <w:sz w:val="22"/>
                <w:szCs w:val="22"/>
              </w:rPr>
              <w:br/>
            </w:r>
            <w:r w:rsidRPr="00093508">
              <w:rPr>
                <w:color w:val="000000"/>
                <w:sz w:val="22"/>
                <w:szCs w:val="22"/>
              </w:rPr>
              <w:t>(C/ Índice Basiléia)</w:t>
            </w:r>
          </w:p>
        </w:tc>
        <w:tc>
          <w:tcPr>
            <w:tcW w:w="1985" w:type="dxa"/>
            <w:tcBorders>
              <w:top w:val="single" w:sz="4" w:space="0" w:color="auto"/>
              <w:left w:val="nil"/>
              <w:bottom w:val="single" w:sz="4" w:space="0" w:color="auto"/>
              <w:right w:val="nil"/>
            </w:tcBorders>
            <w:shd w:val="clear" w:color="auto" w:fill="auto"/>
            <w:vAlign w:val="center"/>
            <w:hideMark/>
          </w:tcPr>
          <w:p w:rsidR="00093508" w:rsidRPr="00093508" w:rsidRDefault="00093508" w:rsidP="004D5B0D">
            <w:pPr>
              <w:jc w:val="center"/>
              <w:rPr>
                <w:b/>
                <w:bCs/>
                <w:color w:val="000000"/>
                <w:sz w:val="22"/>
                <w:szCs w:val="22"/>
              </w:rPr>
            </w:pPr>
            <w:r w:rsidRPr="00093508">
              <w:rPr>
                <w:b/>
                <w:bCs/>
                <w:color w:val="000000"/>
                <w:sz w:val="22"/>
                <w:szCs w:val="22"/>
              </w:rPr>
              <w:t xml:space="preserve">Modelo 4 </w:t>
            </w:r>
            <w:r w:rsidRPr="00093508">
              <w:rPr>
                <w:color w:val="000000"/>
                <w:sz w:val="22"/>
                <w:szCs w:val="22"/>
                <w:vertAlign w:val="superscript"/>
              </w:rPr>
              <w:t>(1)</w:t>
            </w:r>
            <w:r w:rsidRPr="00093508">
              <w:rPr>
                <w:b/>
                <w:bCs/>
                <w:color w:val="000000"/>
                <w:sz w:val="22"/>
                <w:szCs w:val="22"/>
              </w:rPr>
              <w:br/>
            </w:r>
            <w:r w:rsidRPr="00093508">
              <w:rPr>
                <w:color w:val="000000"/>
                <w:sz w:val="22"/>
                <w:szCs w:val="22"/>
              </w:rPr>
              <w:t xml:space="preserve">(C/ Índ. </w:t>
            </w:r>
            <w:proofErr w:type="spellStart"/>
            <w:r w:rsidRPr="00093508">
              <w:rPr>
                <w:color w:val="000000"/>
                <w:sz w:val="22"/>
                <w:szCs w:val="22"/>
              </w:rPr>
              <w:t>Basil</w:t>
            </w:r>
            <w:proofErr w:type="spellEnd"/>
            <w:r w:rsidRPr="00093508">
              <w:rPr>
                <w:color w:val="000000"/>
                <w:sz w:val="22"/>
                <w:szCs w:val="22"/>
              </w:rPr>
              <w:t xml:space="preserve">. </w:t>
            </w:r>
            <w:proofErr w:type="gramStart"/>
            <w:r w:rsidRPr="00093508">
              <w:rPr>
                <w:color w:val="000000"/>
                <w:sz w:val="22"/>
                <w:szCs w:val="22"/>
              </w:rPr>
              <w:t>e</w:t>
            </w:r>
            <w:proofErr w:type="gramEnd"/>
            <w:r w:rsidRPr="00093508">
              <w:rPr>
                <w:color w:val="000000"/>
                <w:sz w:val="22"/>
                <w:szCs w:val="22"/>
              </w:rPr>
              <w:t xml:space="preserve"> </w:t>
            </w:r>
            <w:proofErr w:type="spellStart"/>
            <w:r w:rsidRPr="00093508">
              <w:rPr>
                <w:i/>
                <w:iCs/>
                <w:color w:val="000000"/>
                <w:sz w:val="22"/>
                <w:szCs w:val="22"/>
              </w:rPr>
              <w:t>dummies</w:t>
            </w:r>
            <w:proofErr w:type="spellEnd"/>
            <w:r w:rsidRPr="00093508">
              <w:rPr>
                <w:color w:val="000000"/>
                <w:sz w:val="22"/>
                <w:szCs w:val="22"/>
              </w:rPr>
              <w:t>)</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i/>
                <w:iCs/>
                <w:color w:val="000000"/>
                <w:sz w:val="22"/>
                <w:szCs w:val="22"/>
              </w:rPr>
            </w:pPr>
            <w:proofErr w:type="spellStart"/>
            <w:r w:rsidRPr="00093508">
              <w:rPr>
                <w:i/>
                <w:iCs/>
                <w:color w:val="000000"/>
                <w:sz w:val="22"/>
                <w:szCs w:val="22"/>
              </w:rPr>
              <w:t>Spread</w:t>
            </w:r>
            <w:r w:rsidRPr="00093508">
              <w:rPr>
                <w:i/>
                <w:iCs/>
                <w:color w:val="000000"/>
                <w:sz w:val="22"/>
                <w:szCs w:val="22"/>
                <w:vertAlign w:val="subscript"/>
              </w:rPr>
              <w:t>t</w:t>
            </w:r>
            <w:proofErr w:type="spellEnd"/>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0.9426***</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0.9390***</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0.7558***</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0.7167**</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color w:val="000000"/>
                <w:sz w:val="22"/>
                <w:szCs w:val="22"/>
              </w:rPr>
            </w:pPr>
            <w:proofErr w:type="spellStart"/>
            <w:r w:rsidRPr="00093508">
              <w:rPr>
                <w:color w:val="000000"/>
                <w:sz w:val="22"/>
                <w:szCs w:val="22"/>
              </w:rPr>
              <w:t>TVM</w:t>
            </w:r>
            <w:r w:rsidRPr="00093508">
              <w:rPr>
                <w:color w:val="000000"/>
                <w:sz w:val="22"/>
                <w:szCs w:val="22"/>
                <w:vertAlign w:val="subscript"/>
              </w:rPr>
              <w:t>t</w:t>
            </w:r>
            <w:proofErr w:type="spellEnd"/>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-0.3723***</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-0.3585***</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-0.3037***</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-0.2748***</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color w:val="000000"/>
                <w:sz w:val="22"/>
                <w:szCs w:val="22"/>
              </w:rPr>
            </w:pPr>
            <w:r w:rsidRPr="00093508">
              <w:rPr>
                <w:color w:val="000000"/>
                <w:sz w:val="22"/>
                <w:szCs w:val="22"/>
              </w:rPr>
              <w:t xml:space="preserve">Despesa de </w:t>
            </w:r>
            <w:proofErr w:type="spellStart"/>
            <w:r w:rsidRPr="00093508">
              <w:rPr>
                <w:color w:val="000000"/>
                <w:sz w:val="22"/>
                <w:szCs w:val="22"/>
              </w:rPr>
              <w:t>Captação</w:t>
            </w:r>
            <w:r w:rsidRPr="00093508">
              <w:rPr>
                <w:color w:val="000000"/>
                <w:sz w:val="22"/>
                <w:szCs w:val="22"/>
                <w:vertAlign w:val="subscript"/>
              </w:rPr>
              <w:t>t</w:t>
            </w:r>
            <w:proofErr w:type="spellEnd"/>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-0.4875*</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-0.4911*</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-0.4325</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-0.4250*</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color w:val="000000"/>
                <w:sz w:val="22"/>
                <w:szCs w:val="22"/>
              </w:rPr>
            </w:pPr>
            <w:r w:rsidRPr="00093508">
              <w:rPr>
                <w:color w:val="000000"/>
                <w:sz w:val="22"/>
                <w:szCs w:val="22"/>
              </w:rPr>
              <w:t xml:space="preserve">Risco de </w:t>
            </w:r>
            <w:proofErr w:type="spellStart"/>
            <w:r w:rsidRPr="00093508">
              <w:rPr>
                <w:color w:val="000000"/>
                <w:sz w:val="22"/>
                <w:szCs w:val="22"/>
              </w:rPr>
              <w:t>Crédito</w:t>
            </w:r>
            <w:r w:rsidRPr="00093508">
              <w:rPr>
                <w:color w:val="000000"/>
                <w:sz w:val="22"/>
                <w:szCs w:val="22"/>
                <w:vertAlign w:val="subscript"/>
              </w:rPr>
              <w:t>t</w:t>
            </w:r>
            <w:proofErr w:type="spellEnd"/>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-0.3454**</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-0.3366**</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-0.2493*</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-0.2274*</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color w:val="000000"/>
                <w:sz w:val="22"/>
                <w:szCs w:val="22"/>
              </w:rPr>
            </w:pPr>
            <w:r w:rsidRPr="00093508">
              <w:rPr>
                <w:color w:val="000000"/>
                <w:sz w:val="22"/>
                <w:szCs w:val="22"/>
              </w:rPr>
              <w:t>Índice de Basiléia</w:t>
            </w:r>
            <w:r w:rsidRPr="00093508">
              <w:rPr>
                <w:color w:val="000000"/>
                <w:sz w:val="22"/>
                <w:szCs w:val="22"/>
                <w:vertAlign w:val="subscript"/>
              </w:rPr>
              <w:t>t-1</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rPr>
                <w:color w:val="000000"/>
                <w:sz w:val="22"/>
                <w:szCs w:val="22"/>
              </w:rPr>
            </w:pP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sz w:val="20"/>
                <w:szCs w:val="20"/>
              </w:rPr>
            </w:pP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-0.1649***</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-0.1585***</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i/>
                <w:iCs/>
                <w:color w:val="000000"/>
                <w:sz w:val="22"/>
                <w:szCs w:val="22"/>
              </w:rPr>
            </w:pPr>
            <w:proofErr w:type="spellStart"/>
            <w:r w:rsidRPr="00093508">
              <w:rPr>
                <w:i/>
                <w:iCs/>
                <w:color w:val="000000"/>
                <w:sz w:val="22"/>
                <w:szCs w:val="22"/>
              </w:rPr>
              <w:t>Dummy_spread</w:t>
            </w:r>
            <w:proofErr w:type="spellEnd"/>
          </w:p>
        </w:tc>
        <w:tc>
          <w:tcPr>
            <w:tcW w:w="1985" w:type="dxa"/>
            <w:tcBorders>
              <w:top w:val="nil"/>
              <w:left w:val="nil"/>
              <w:bottom w:val="nil"/>
              <w:right w:val="nil"/>
            </w:tcBorders>
            <w:shd w:val="clear" w:color="auto" w:fill="auto"/>
            <w:noWrap/>
            <w:vAlign w:val="bottom"/>
            <w:hideMark/>
          </w:tcPr>
          <w:p w:rsidR="00093508" w:rsidRPr="00093508" w:rsidRDefault="00093508" w:rsidP="004D5B0D">
            <w:pPr>
              <w:rPr>
                <w:i/>
                <w:iCs/>
                <w:color w:val="000000"/>
                <w:sz w:val="22"/>
                <w:szCs w:val="22"/>
              </w:rPr>
            </w:pP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0.4563</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2.1704**</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rPr>
                <w:i/>
                <w:iCs/>
                <w:color w:val="000000"/>
                <w:sz w:val="22"/>
                <w:szCs w:val="22"/>
              </w:rPr>
            </w:pPr>
            <w:proofErr w:type="spellStart"/>
            <w:r w:rsidRPr="00093508">
              <w:rPr>
                <w:i/>
                <w:iCs/>
                <w:color w:val="000000"/>
                <w:sz w:val="22"/>
                <w:szCs w:val="22"/>
              </w:rPr>
              <w:t>Dummy_tvm</w:t>
            </w:r>
            <w:proofErr w:type="spellEnd"/>
          </w:p>
        </w:tc>
        <w:tc>
          <w:tcPr>
            <w:tcW w:w="1985" w:type="dxa"/>
            <w:tcBorders>
              <w:top w:val="nil"/>
              <w:left w:val="nil"/>
              <w:bottom w:val="nil"/>
              <w:right w:val="nil"/>
            </w:tcBorders>
            <w:shd w:val="clear" w:color="auto" w:fill="auto"/>
            <w:noWrap/>
            <w:vAlign w:val="bottom"/>
            <w:hideMark/>
          </w:tcPr>
          <w:p w:rsidR="00093508" w:rsidRPr="00093508" w:rsidRDefault="00093508" w:rsidP="004D5B0D">
            <w:pPr>
              <w:rPr>
                <w:i/>
                <w:iCs/>
                <w:color w:val="000000"/>
                <w:sz w:val="22"/>
                <w:szCs w:val="22"/>
              </w:rPr>
            </w:pP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-0.2239*</w:t>
            </w: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p>
        </w:tc>
        <w:tc>
          <w:tcPr>
            <w:tcW w:w="1985" w:type="dxa"/>
            <w:tcBorders>
              <w:top w:val="nil"/>
              <w:left w:val="nil"/>
              <w:bottom w:val="nil"/>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-0.3255**</w:t>
            </w:r>
          </w:p>
        </w:tc>
      </w:tr>
      <w:tr w:rsidR="00093508" w:rsidRPr="00093508" w:rsidTr="006A5F3D">
        <w:trPr>
          <w:trHeight w:val="284"/>
        </w:trPr>
        <w:tc>
          <w:tcPr>
            <w:tcW w:w="2060" w:type="dxa"/>
            <w:tcBorders>
              <w:top w:val="nil"/>
              <w:left w:val="nil"/>
              <w:bottom w:val="single" w:sz="4" w:space="0" w:color="auto"/>
              <w:right w:val="nil"/>
            </w:tcBorders>
            <w:shd w:val="clear" w:color="auto" w:fill="auto"/>
            <w:noWrap/>
            <w:vAlign w:val="center"/>
            <w:hideMark/>
          </w:tcPr>
          <w:p w:rsidR="00093508" w:rsidRPr="00093508" w:rsidRDefault="00093508" w:rsidP="004D5B0D">
            <w:pPr>
              <w:rPr>
                <w:color w:val="000000"/>
                <w:sz w:val="22"/>
                <w:szCs w:val="22"/>
              </w:rPr>
            </w:pPr>
            <w:r w:rsidRPr="00093508">
              <w:rPr>
                <w:color w:val="000000"/>
                <w:sz w:val="22"/>
                <w:szCs w:val="22"/>
              </w:rPr>
              <w:t>Constante</w:t>
            </w:r>
          </w:p>
        </w:tc>
        <w:tc>
          <w:tcPr>
            <w:tcW w:w="1985" w:type="dxa"/>
            <w:tcBorders>
              <w:top w:val="nil"/>
              <w:left w:val="nil"/>
              <w:bottom w:val="single" w:sz="4" w:space="0" w:color="auto"/>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0.3291***</w:t>
            </w:r>
          </w:p>
        </w:tc>
        <w:tc>
          <w:tcPr>
            <w:tcW w:w="1985" w:type="dxa"/>
            <w:tcBorders>
              <w:top w:val="nil"/>
              <w:left w:val="nil"/>
              <w:bottom w:val="single" w:sz="4" w:space="0" w:color="auto"/>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0.3259***</w:t>
            </w:r>
          </w:p>
        </w:tc>
        <w:tc>
          <w:tcPr>
            <w:tcW w:w="1985" w:type="dxa"/>
            <w:tcBorders>
              <w:top w:val="nil"/>
              <w:left w:val="nil"/>
              <w:bottom w:val="single" w:sz="4" w:space="0" w:color="auto"/>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0.3392***</w:t>
            </w:r>
          </w:p>
        </w:tc>
        <w:tc>
          <w:tcPr>
            <w:tcW w:w="1985" w:type="dxa"/>
            <w:tcBorders>
              <w:top w:val="nil"/>
              <w:left w:val="nil"/>
              <w:bottom w:val="single" w:sz="4" w:space="0" w:color="auto"/>
              <w:right w:val="nil"/>
            </w:tcBorders>
            <w:shd w:val="clear" w:color="auto" w:fill="auto"/>
            <w:noWrap/>
            <w:vAlign w:val="bottom"/>
            <w:hideMark/>
          </w:tcPr>
          <w:p w:rsidR="00093508" w:rsidRPr="00093508" w:rsidRDefault="00093508" w:rsidP="004D5B0D">
            <w:pPr>
              <w:jc w:val="center"/>
              <w:rPr>
                <w:color w:val="000000"/>
                <w:sz w:val="22"/>
                <w:szCs w:val="22"/>
              </w:rPr>
            </w:pPr>
            <w:r w:rsidRPr="00093508">
              <w:rPr>
                <w:color w:val="000000"/>
                <w:sz w:val="22"/>
                <w:szCs w:val="22"/>
              </w:rPr>
              <w:t>0.2995***</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N</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3600</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3600</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2350</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2350</w:t>
            </w:r>
          </w:p>
        </w:tc>
      </w:tr>
      <w:tr w:rsidR="00093508" w:rsidRPr="00093508" w:rsidTr="006A5F3D">
        <w:trPr>
          <w:trHeight w:val="284"/>
        </w:trPr>
        <w:tc>
          <w:tcPr>
            <w:tcW w:w="2060"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R</w:t>
            </w:r>
            <w:r w:rsidRPr="00093508">
              <w:rPr>
                <w:color w:val="000000"/>
                <w:sz w:val="22"/>
                <w:szCs w:val="22"/>
                <w:vertAlign w:val="superscript"/>
              </w:rPr>
              <w:t>2</w:t>
            </w:r>
            <w:r w:rsidRPr="00093508">
              <w:rPr>
                <w:color w:val="000000"/>
                <w:sz w:val="22"/>
                <w:szCs w:val="22"/>
              </w:rPr>
              <w:t xml:space="preserve"> </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0.28</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0.28</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0.23</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0.25</w:t>
            </w:r>
          </w:p>
        </w:tc>
      </w:tr>
      <w:tr w:rsidR="00093508" w:rsidRPr="00093508" w:rsidTr="006A5F3D">
        <w:trPr>
          <w:trHeight w:val="284"/>
        </w:trPr>
        <w:tc>
          <w:tcPr>
            <w:tcW w:w="2060" w:type="dxa"/>
            <w:tcBorders>
              <w:top w:val="nil"/>
              <w:left w:val="nil"/>
              <w:bottom w:val="single" w:sz="4" w:space="0" w:color="auto"/>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F [</w:t>
            </w:r>
            <w:proofErr w:type="spellStart"/>
            <w:r w:rsidRPr="00093508">
              <w:rPr>
                <w:color w:val="000000"/>
                <w:sz w:val="22"/>
                <w:szCs w:val="22"/>
              </w:rPr>
              <w:t>prob</w:t>
            </w:r>
            <w:proofErr w:type="spellEnd"/>
            <w:r w:rsidRPr="00093508">
              <w:rPr>
                <w:color w:val="000000"/>
                <w:sz w:val="22"/>
                <w:szCs w:val="22"/>
              </w:rPr>
              <w:t>]</w:t>
            </w:r>
          </w:p>
        </w:tc>
        <w:tc>
          <w:tcPr>
            <w:tcW w:w="1985" w:type="dxa"/>
            <w:tcBorders>
              <w:top w:val="nil"/>
              <w:left w:val="nil"/>
              <w:bottom w:val="single" w:sz="4" w:space="0" w:color="auto"/>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24,8 [0,00]</w:t>
            </w:r>
          </w:p>
        </w:tc>
        <w:tc>
          <w:tcPr>
            <w:tcW w:w="1985" w:type="dxa"/>
            <w:tcBorders>
              <w:top w:val="nil"/>
              <w:left w:val="nil"/>
              <w:bottom w:val="single" w:sz="4" w:space="0" w:color="auto"/>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20,02 [0,00]</w:t>
            </w:r>
          </w:p>
        </w:tc>
        <w:tc>
          <w:tcPr>
            <w:tcW w:w="1985" w:type="dxa"/>
            <w:tcBorders>
              <w:top w:val="nil"/>
              <w:left w:val="nil"/>
              <w:bottom w:val="single" w:sz="4" w:space="0" w:color="auto"/>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13,04 [0,00]</w:t>
            </w:r>
          </w:p>
        </w:tc>
        <w:tc>
          <w:tcPr>
            <w:tcW w:w="1985" w:type="dxa"/>
            <w:tcBorders>
              <w:top w:val="nil"/>
              <w:left w:val="nil"/>
              <w:bottom w:val="single" w:sz="4" w:space="0" w:color="auto"/>
              <w:right w:val="nil"/>
            </w:tcBorders>
            <w:shd w:val="clear" w:color="auto" w:fill="auto"/>
            <w:noWrap/>
            <w:vAlign w:val="center"/>
            <w:hideMark/>
          </w:tcPr>
          <w:p w:rsidR="00093508" w:rsidRPr="00093508" w:rsidRDefault="00093508" w:rsidP="004D5B0D">
            <w:pPr>
              <w:jc w:val="center"/>
              <w:rPr>
                <w:color w:val="000000"/>
                <w:sz w:val="22"/>
                <w:szCs w:val="22"/>
              </w:rPr>
            </w:pPr>
            <w:r w:rsidRPr="00093508">
              <w:rPr>
                <w:color w:val="000000"/>
                <w:sz w:val="22"/>
                <w:szCs w:val="22"/>
              </w:rPr>
              <w:t>12,40 [0,00]</w:t>
            </w:r>
          </w:p>
        </w:tc>
      </w:tr>
      <w:tr w:rsidR="00093508" w:rsidRPr="00093508" w:rsidTr="006A5F3D">
        <w:trPr>
          <w:trHeight w:val="227"/>
        </w:trPr>
        <w:tc>
          <w:tcPr>
            <w:tcW w:w="1985" w:type="dxa"/>
            <w:gridSpan w:val="2"/>
            <w:tcBorders>
              <w:top w:val="nil"/>
              <w:left w:val="nil"/>
              <w:bottom w:val="nil"/>
              <w:right w:val="nil"/>
            </w:tcBorders>
            <w:shd w:val="clear" w:color="auto" w:fill="auto"/>
            <w:noWrap/>
            <w:vAlign w:val="center"/>
            <w:hideMark/>
          </w:tcPr>
          <w:p w:rsidR="00093508" w:rsidRPr="00093508" w:rsidRDefault="00093508" w:rsidP="004D5B0D">
            <w:pPr>
              <w:rPr>
                <w:color w:val="000000"/>
                <w:sz w:val="20"/>
                <w:szCs w:val="20"/>
              </w:rPr>
            </w:pPr>
            <w:r w:rsidRPr="00093508">
              <w:rPr>
                <w:color w:val="000000"/>
                <w:sz w:val="20"/>
                <w:szCs w:val="20"/>
              </w:rPr>
              <w:t>Fonte: Elaboração Própria</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rPr>
                <w:color w:val="000000"/>
                <w:sz w:val="20"/>
                <w:szCs w:val="20"/>
              </w:rPr>
            </w:pP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sz w:val="20"/>
                <w:szCs w:val="20"/>
              </w:rPr>
            </w:pPr>
          </w:p>
        </w:tc>
        <w:tc>
          <w:tcPr>
            <w:tcW w:w="1985" w:type="dxa"/>
            <w:tcBorders>
              <w:top w:val="nil"/>
              <w:left w:val="nil"/>
              <w:bottom w:val="nil"/>
              <w:right w:val="nil"/>
            </w:tcBorders>
            <w:shd w:val="clear" w:color="auto" w:fill="auto"/>
            <w:noWrap/>
            <w:vAlign w:val="center"/>
            <w:hideMark/>
          </w:tcPr>
          <w:p w:rsidR="00093508" w:rsidRPr="00093508" w:rsidRDefault="00093508" w:rsidP="004D5B0D">
            <w:pPr>
              <w:jc w:val="center"/>
              <w:rPr>
                <w:sz w:val="20"/>
                <w:szCs w:val="20"/>
              </w:rPr>
            </w:pPr>
          </w:p>
        </w:tc>
      </w:tr>
      <w:tr w:rsidR="00093508" w:rsidRPr="00093508" w:rsidTr="006A5F3D">
        <w:trPr>
          <w:trHeight w:val="227"/>
        </w:trPr>
        <w:tc>
          <w:tcPr>
            <w:tcW w:w="1985" w:type="dxa"/>
            <w:gridSpan w:val="4"/>
            <w:tcBorders>
              <w:top w:val="nil"/>
              <w:left w:val="nil"/>
              <w:bottom w:val="nil"/>
              <w:right w:val="nil"/>
            </w:tcBorders>
            <w:shd w:val="clear" w:color="auto" w:fill="auto"/>
            <w:noWrap/>
            <w:vAlign w:val="center"/>
            <w:hideMark/>
          </w:tcPr>
          <w:p w:rsidR="00093508" w:rsidRPr="00093508" w:rsidRDefault="00093508" w:rsidP="004D5B0D">
            <w:pPr>
              <w:rPr>
                <w:color w:val="000000"/>
                <w:sz w:val="20"/>
                <w:szCs w:val="20"/>
              </w:rPr>
            </w:pPr>
            <w:r w:rsidRPr="00093508">
              <w:rPr>
                <w:color w:val="000000"/>
                <w:sz w:val="20"/>
                <w:szCs w:val="20"/>
              </w:rPr>
              <w:t>Notas: * Significante a 10%; ** Significante a 5%; *** Significante a 1%.</w:t>
            </w:r>
          </w:p>
        </w:tc>
        <w:tc>
          <w:tcPr>
            <w:tcW w:w="1985" w:type="dxa"/>
            <w:tcBorders>
              <w:top w:val="nil"/>
              <w:left w:val="nil"/>
              <w:bottom w:val="nil"/>
              <w:right w:val="nil"/>
            </w:tcBorders>
            <w:shd w:val="clear" w:color="auto" w:fill="auto"/>
            <w:noWrap/>
            <w:vAlign w:val="center"/>
            <w:hideMark/>
          </w:tcPr>
          <w:p w:rsidR="00093508" w:rsidRPr="00093508" w:rsidRDefault="00093508" w:rsidP="004D5B0D">
            <w:pPr>
              <w:rPr>
                <w:color w:val="000000"/>
                <w:sz w:val="20"/>
                <w:szCs w:val="20"/>
              </w:rPr>
            </w:pPr>
          </w:p>
        </w:tc>
      </w:tr>
      <w:tr w:rsidR="00093508" w:rsidRPr="00E9431A" w:rsidTr="006A5F3D">
        <w:trPr>
          <w:trHeight w:val="227"/>
        </w:trPr>
        <w:tc>
          <w:tcPr>
            <w:tcW w:w="1985" w:type="dxa"/>
            <w:gridSpan w:val="5"/>
            <w:tcBorders>
              <w:top w:val="nil"/>
              <w:left w:val="nil"/>
              <w:bottom w:val="nil"/>
              <w:right w:val="nil"/>
            </w:tcBorders>
            <w:shd w:val="clear" w:color="auto" w:fill="auto"/>
            <w:noWrap/>
            <w:hideMark/>
          </w:tcPr>
          <w:p w:rsidR="00093508" w:rsidRPr="00E9431A" w:rsidRDefault="00093508" w:rsidP="004D5B0D">
            <w:pPr>
              <w:ind w:firstLineChars="300" w:firstLine="600"/>
              <w:rPr>
                <w:color w:val="000000"/>
                <w:sz w:val="20"/>
                <w:szCs w:val="20"/>
              </w:rPr>
            </w:pPr>
            <w:proofErr w:type="gramStart"/>
            <w:r w:rsidRPr="00093508">
              <w:rPr>
                <w:color w:val="000000"/>
                <w:sz w:val="20"/>
                <w:szCs w:val="20"/>
                <w:vertAlign w:val="superscript"/>
              </w:rPr>
              <w:t xml:space="preserve">(1) </w:t>
            </w:r>
            <w:r w:rsidRPr="00093508">
              <w:rPr>
                <w:color w:val="000000"/>
                <w:sz w:val="20"/>
                <w:szCs w:val="20"/>
              </w:rPr>
              <w:t>Em</w:t>
            </w:r>
            <w:proofErr w:type="gramEnd"/>
            <w:r w:rsidRPr="00093508">
              <w:rPr>
                <w:color w:val="000000"/>
                <w:sz w:val="20"/>
                <w:szCs w:val="20"/>
              </w:rPr>
              <w:t xml:space="preserve"> todas as estimações realizadas, considerou-se uma matriz de variância robusta.</w:t>
            </w:r>
          </w:p>
        </w:tc>
      </w:tr>
    </w:tbl>
    <w:p w:rsidR="001847A4" w:rsidRPr="00386176" w:rsidRDefault="001847A4" w:rsidP="00093508">
      <w:pPr>
        <w:spacing w:before="120"/>
        <w:ind w:firstLine="709"/>
        <w:jc w:val="both"/>
      </w:pPr>
      <w:r w:rsidRPr="00386176">
        <w:t xml:space="preserve">Nota-se que o resultado da estimação do Modelo 1 sugere a preferência pela liquidez do setor bancário, refletida nas variáveis TVM e risco de crédito. Para </w:t>
      </w:r>
      <w:r w:rsidRPr="00386176">
        <w:rPr>
          <w:noProof/>
        </w:rPr>
        <w:t xml:space="preserve">De Paula </w:t>
      </w:r>
      <w:r w:rsidRPr="00386176">
        <w:rPr>
          <w:i/>
          <w:noProof/>
        </w:rPr>
        <w:t>et al.</w:t>
      </w:r>
      <w:r w:rsidRPr="00386176">
        <w:rPr>
          <w:noProof/>
        </w:rPr>
        <w:t xml:space="preserve"> (2001)</w:t>
      </w:r>
      <w:r w:rsidR="007C1530" w:rsidRPr="00386176">
        <w:rPr>
          <w:noProof/>
        </w:rPr>
        <w:t xml:space="preserve"> </w:t>
      </w:r>
      <w:r w:rsidRPr="00386176">
        <w:rPr>
          <w:noProof/>
        </w:rPr>
        <w:t>o</w:t>
      </w:r>
      <w:r w:rsidRPr="00386176">
        <w:t xml:space="preserve">s bancos montam seu portfólio de modo a conciliar lucratividade e liquidez, demonstrando precaução pelos riscos incorridos. Logo, os bancos tendem a se comportar de maneira pró-cíclica, aumentando a carteira de crédito em períodos de expansão econômica e privilegiando ativos mais líquidos, como os títulos públicos, em momentos de contração econômica (ARAÚJO, 2013). </w:t>
      </w:r>
    </w:p>
    <w:p w:rsidR="001847A4" w:rsidRPr="00386176" w:rsidRDefault="001847A4" w:rsidP="00826069">
      <w:pPr>
        <w:ind w:firstLine="708"/>
        <w:jc w:val="both"/>
        <w:rPr>
          <w:b/>
        </w:rPr>
      </w:pPr>
      <w:r w:rsidRPr="00386176">
        <w:t xml:space="preserve">Com base no crescimento da participação das instituições financeiras públicas no total da oferta de crédito do Sistema Financeiro Nacional – SFN, foi estimado o Modelo 2 para amostra completa que considera duas </w:t>
      </w:r>
      <w:proofErr w:type="spellStart"/>
      <w:r w:rsidRPr="00386176">
        <w:rPr>
          <w:i/>
        </w:rPr>
        <w:t>dummies</w:t>
      </w:r>
      <w:proofErr w:type="spellEnd"/>
      <w:r w:rsidRPr="00386176">
        <w:t xml:space="preserve"> multiplicativas associadas à TVM e ao </w:t>
      </w:r>
      <w:r w:rsidRPr="00386176">
        <w:rPr>
          <w:i/>
        </w:rPr>
        <w:t>spread</w:t>
      </w:r>
      <w:r w:rsidRPr="00386176">
        <w:rPr>
          <w:rStyle w:val="Refdenotaderodap"/>
          <w:i/>
        </w:rPr>
        <w:footnoteReference w:id="11"/>
      </w:r>
      <w:r w:rsidRPr="00386176">
        <w:t xml:space="preserve">. Esta última não foi significativa nesse modelo. Quanto à TVM, percebe-se um impacto mais forte dessa variável sobre os bancos públicos, dado o coeficiente negativo, indicando que </w:t>
      </w:r>
      <w:r w:rsidR="00160D36" w:rsidRPr="00386176">
        <w:t xml:space="preserve">o aumento de 1% no </w:t>
      </w:r>
      <w:r w:rsidRPr="00386176">
        <w:t>volume de TVM na carteira de ativos reduz a oferta de crédito dessas instituições</w:t>
      </w:r>
      <w:r w:rsidR="00160D36" w:rsidRPr="00386176">
        <w:t xml:space="preserve"> em 0,23%</w:t>
      </w:r>
      <w:r w:rsidR="00A94316" w:rsidRPr="00386176">
        <w:t>,</w:t>
      </w:r>
      <w:r w:rsidRPr="00386176">
        <w:t xml:space="preserve"> em comparação às instituições privadas. Para Araújo (2013), esse resultado reflete a maior preferência pela liquidez dos bancos públicos.</w:t>
      </w:r>
      <w:r w:rsidR="00265303" w:rsidRPr="00386176">
        <w:t xml:space="preserve"> O autor possui a tese de que o grau de preferência pela liquidez dos bancos públicos foi maior do que o dos bancos privados, nos anos de 2003 a 2008. Para ele, menores proporções de operações com TVM são indicadores de menor preferência por ativos líquidos, em prol de operações de crédito.</w:t>
      </w:r>
      <w:r w:rsidR="006B46C1" w:rsidRPr="00386176">
        <w:t xml:space="preserve"> Em relação às demais variáveis, nota-se que não houve modificações significativas em relação aos valores e sinais de seus coeficientes.</w:t>
      </w:r>
    </w:p>
    <w:p w:rsidR="001847A4" w:rsidRPr="00386176" w:rsidRDefault="001847A4" w:rsidP="00826069">
      <w:pPr>
        <w:ind w:firstLine="708"/>
        <w:jc w:val="both"/>
        <w:rPr>
          <w:noProof/>
        </w:rPr>
      </w:pPr>
      <w:r w:rsidRPr="00386176">
        <w:t>Os Modelos 1 e 2 não consideraram o Índice de Basiléia como candidato a variável explicativa, posto que não foi possível encontrá-lo para todos os bancos da amostra. Assim, devido a importância dessa variável, estimaram-se os Modelos 3 e 4 com uma amostra reduzida</w:t>
      </w:r>
      <w:r w:rsidRPr="00386176">
        <w:rPr>
          <w:rStyle w:val="Refdenotaderodap"/>
        </w:rPr>
        <w:footnoteReference w:id="12"/>
      </w:r>
      <w:r w:rsidRPr="00386176">
        <w:t>. No geral, as variáveis mantiveram-se significativas e com o sinal esperado, porém com uma pequena redução dos coeficientes. Da mesma forma, o Índice de Basiléia mostrou-se significativo e com um coeficiente negativo, conforme esperado</w:t>
      </w:r>
      <w:r w:rsidR="008B2D68" w:rsidRPr="00386176">
        <w:t>.</w:t>
      </w:r>
      <w:r w:rsidR="006A5F3D">
        <w:t xml:space="preserve"> </w:t>
      </w:r>
      <w:r w:rsidR="006A5F3D" w:rsidRPr="006A5F3D">
        <w:t xml:space="preserve">Nota-se que esta variável foi considerada no modelo com defasagem de um período de modo a evitar </w:t>
      </w:r>
      <w:r w:rsidR="006A5F3D" w:rsidRPr="006A5F3D">
        <w:lastRenderedPageBreak/>
        <w:t>problemas de endogeneidade.</w:t>
      </w:r>
      <w:r w:rsidR="008B2D68" w:rsidRPr="006A5F3D">
        <w:t xml:space="preserve"> Assim, o aumento de 1% no Índice de Basiléia, ou seja, um aumento do</w:t>
      </w:r>
      <w:r w:rsidR="008B2D68" w:rsidRPr="00386176">
        <w:t xml:space="preserve"> excesso de capital, tende a reduzir a oferta de crédito em torno de 0,1</w:t>
      </w:r>
      <w:r w:rsidR="0034230E">
        <w:t>6</w:t>
      </w:r>
      <w:r w:rsidR="008B2D68" w:rsidRPr="00386176">
        <w:t>%</w:t>
      </w:r>
      <w:r w:rsidRPr="00386176">
        <w:t xml:space="preserve">. Sobre esse assunto, </w:t>
      </w:r>
      <w:r w:rsidRPr="00386176">
        <w:rPr>
          <w:noProof/>
        </w:rPr>
        <w:t>Araújo, Neto e Linhares (2008) citam que o perfil dos bancos brasileiros provém basicamente da exposição em operações de crédito e mencionam uma medida de risco que reforça a ideia de que o nível de capitalização desses bancos pode ser suficiente para enfrentar os riscos a que estão sujeitos. Dessa forma, esse nível de exposição ao risco pode ser parcialmente explicado pela grande proporção de títulos públicos federais, considerados de baixo risco, nos ativos das instituições financeiras, sugerindo que o nível de crédito pode estar abaixo do ótimo para o sistema. Para Silva e Divino (2012), os bancos que operam em atividades de tesouraria tendem a manter maiores excedentes de capital, de modo a sinalizar solidez financeira e adequada capacidade de liquidez. Logo, percebe-se que a preferência pela liquidez das instituições brasileiras pode impactar diretamente no Índice de Basiléia dos bancos, causando essa relação negativa com a oferta de crédito.</w:t>
      </w:r>
    </w:p>
    <w:p w:rsidR="001847A4" w:rsidRPr="00386176" w:rsidRDefault="001847A4" w:rsidP="00826069">
      <w:pPr>
        <w:ind w:firstLine="708"/>
        <w:jc w:val="both"/>
      </w:pPr>
      <w:r w:rsidRPr="00386176">
        <w:t xml:space="preserve">Visando a avaliar o impacto do controle do capital, estimou-se também o Modelo 4 com amostra reduzida e inclusão de </w:t>
      </w:r>
      <w:proofErr w:type="spellStart"/>
      <w:r w:rsidRPr="00386176">
        <w:rPr>
          <w:i/>
        </w:rPr>
        <w:t>dummies</w:t>
      </w:r>
      <w:proofErr w:type="spellEnd"/>
      <w:r w:rsidRPr="00386176">
        <w:rPr>
          <w:i/>
        </w:rPr>
        <w:t xml:space="preserve">. </w:t>
      </w:r>
      <w:r w:rsidRPr="00386176">
        <w:t xml:space="preserve">Testou-se </w:t>
      </w:r>
      <w:proofErr w:type="spellStart"/>
      <w:r w:rsidRPr="00386176">
        <w:rPr>
          <w:i/>
        </w:rPr>
        <w:t>dummies</w:t>
      </w:r>
      <w:proofErr w:type="spellEnd"/>
      <w:r w:rsidRPr="00386176">
        <w:t xml:space="preserve"> multiplicativa</w:t>
      </w:r>
      <w:r w:rsidR="006C45BD" w:rsidRPr="00386176">
        <w:t>s</w:t>
      </w:r>
      <w:r w:rsidRPr="00386176">
        <w:t xml:space="preserve"> relacionadas a todas as variáveis do modelo. Contudo, somente aquelas</w:t>
      </w:r>
      <w:r w:rsidRPr="00386176">
        <w:rPr>
          <w:i/>
        </w:rPr>
        <w:t xml:space="preserve"> </w:t>
      </w:r>
      <w:r w:rsidRPr="00386176">
        <w:t xml:space="preserve">associadas ao </w:t>
      </w:r>
      <w:r w:rsidRPr="00386176">
        <w:rPr>
          <w:i/>
        </w:rPr>
        <w:t xml:space="preserve">spread </w:t>
      </w:r>
      <w:r w:rsidRPr="00386176">
        <w:t xml:space="preserve">e à TVM foram significativas. No tocante ao </w:t>
      </w:r>
      <w:r w:rsidRPr="00386176">
        <w:rPr>
          <w:i/>
        </w:rPr>
        <w:t>spread</w:t>
      </w:r>
      <w:r w:rsidRPr="00386176">
        <w:t xml:space="preserve">, constatou-se uma relevância maior para essa variável nos bancos públicos, indicando que um aumento </w:t>
      </w:r>
      <w:r w:rsidR="00C97A54" w:rsidRPr="00386176">
        <w:t xml:space="preserve">de 1% </w:t>
      </w:r>
      <w:r w:rsidRPr="00386176">
        <w:t xml:space="preserve">no </w:t>
      </w:r>
      <w:r w:rsidRPr="00386176">
        <w:rPr>
          <w:i/>
        </w:rPr>
        <w:t>spread</w:t>
      </w:r>
      <w:r w:rsidRPr="00386176">
        <w:t xml:space="preserve"> bancário eleva a oferta de crédito das instituições públicas</w:t>
      </w:r>
      <w:r w:rsidR="00C97A54" w:rsidRPr="00386176">
        <w:t xml:space="preserve"> em 2,01%,</w:t>
      </w:r>
      <w:r w:rsidRPr="00386176">
        <w:t xml:space="preserve"> em relação às privadas. </w:t>
      </w:r>
      <w:r w:rsidR="00C97A54" w:rsidRPr="00386176">
        <w:t>É importante destacar, que a análise realizada nesta tese considera o crédito total das instituições, englobando tanto o crédito livre quanto o crédito direcionado. Com objetivos sociais específicos, o crédito direcionado possui taxas monitoradas de forma a torna</w:t>
      </w:r>
      <w:r w:rsidR="00D46A0A" w:rsidRPr="00386176">
        <w:t>-lo</w:t>
      </w:r>
      <w:r w:rsidR="00C97A54" w:rsidRPr="00386176">
        <w:t xml:space="preserve"> mais barat</w:t>
      </w:r>
      <w:r w:rsidR="00D46A0A" w:rsidRPr="00386176">
        <w:t>o que o</w:t>
      </w:r>
      <w:r w:rsidR="00C97A54" w:rsidRPr="00386176">
        <w:t xml:space="preserve">s demais. Como os bancos públicos são os maiores ofertantes desse tipo de </w:t>
      </w:r>
      <w:r w:rsidR="00D46A0A" w:rsidRPr="00386176">
        <w:t>empréstimo</w:t>
      </w:r>
      <w:r w:rsidR="00C97A54" w:rsidRPr="00386176">
        <w:t xml:space="preserve">, </w:t>
      </w:r>
      <w:r w:rsidR="00D46A0A" w:rsidRPr="00386176">
        <w:t>o</w:t>
      </w:r>
      <w:r w:rsidR="00C97A54" w:rsidRPr="00386176">
        <w:t xml:space="preserve"> </w:t>
      </w:r>
      <w:r w:rsidR="00C97A54" w:rsidRPr="00386176">
        <w:rPr>
          <w:i/>
        </w:rPr>
        <w:t>spread</w:t>
      </w:r>
      <w:r w:rsidR="00C97A54" w:rsidRPr="00386176">
        <w:t xml:space="preserve"> global das operações de crédito tende a ser reduzido por essas operações. Assim, constata-se, por parte dessas instituições, uma maior</w:t>
      </w:r>
      <w:r w:rsidRPr="00386176">
        <w:t xml:space="preserve"> preocupação com a lucratividade das demais operações de crédito</w:t>
      </w:r>
      <w:r w:rsidR="00C97A54" w:rsidRPr="00386176">
        <w:t xml:space="preserve"> de forma a compensar a baixa rentabilidade do crédito direcionado</w:t>
      </w:r>
      <w:r w:rsidRPr="00386176">
        <w:rPr>
          <w:b/>
        </w:rPr>
        <w:t xml:space="preserve">. </w:t>
      </w:r>
      <w:r w:rsidRPr="00386176">
        <w:t xml:space="preserve">Desse modo, conforme Araújo (2013), os bancos públicos enfrentam um dilema constante entre o cumprimento de suas funções clássicas e a necessidade de obtenção de resultados econômico-financeiros. </w:t>
      </w:r>
    </w:p>
    <w:p w:rsidR="009F305E" w:rsidRPr="00386176" w:rsidRDefault="001847A4" w:rsidP="00826069">
      <w:pPr>
        <w:spacing w:after="240"/>
        <w:ind w:firstLine="709"/>
        <w:jc w:val="both"/>
        <w:rPr>
          <w:b/>
        </w:rPr>
      </w:pPr>
      <w:r w:rsidRPr="00386176">
        <w:rPr>
          <w:noProof/>
        </w:rPr>
        <w:t>Verifica-se que não foi possível identificar a influência da política monetária sobre a oferta de crédito no período analisado, dado que nenhuma variável macroeconômica foi significativa nos modelos estimados</w:t>
      </w:r>
      <w:r w:rsidR="00B45C7F" w:rsidRPr="00386176">
        <w:rPr>
          <w:rStyle w:val="Refdenotaderodap"/>
          <w:bCs/>
        </w:rPr>
        <w:footnoteReference w:id="13"/>
      </w:r>
      <w:r w:rsidRPr="00386176">
        <w:rPr>
          <w:noProof/>
        </w:rPr>
        <w:t xml:space="preserve">, </w:t>
      </w:r>
      <w:r w:rsidR="00D6789F" w:rsidRPr="00386176">
        <w:t>de acordo com o</w:t>
      </w:r>
      <w:r w:rsidRPr="00386176">
        <w:t xml:space="preserve"> </w:t>
      </w:r>
      <w:r w:rsidR="00170724" w:rsidRPr="00386176">
        <w:t>apresentad</w:t>
      </w:r>
      <w:r w:rsidRPr="00386176">
        <w:t>o no Apêndice</w:t>
      </w:r>
      <w:r w:rsidR="00C32AF5" w:rsidRPr="00386176">
        <w:t xml:space="preserve"> </w:t>
      </w:r>
      <w:r w:rsidR="00305864" w:rsidRPr="00386176">
        <w:t>C</w:t>
      </w:r>
      <w:r w:rsidRPr="00386176">
        <w:t xml:space="preserve">. </w:t>
      </w:r>
      <w:r w:rsidR="00BA6160" w:rsidRPr="00386176">
        <w:t>Acredita-se que o crescimento dos bancos p</w:t>
      </w:r>
      <w:r w:rsidR="006557E0">
        <w:t>úblicos, conforme evidenciado na Figura 1</w:t>
      </w:r>
      <w:r w:rsidR="00BA6160" w:rsidRPr="00386176">
        <w:t xml:space="preserve">, </w:t>
      </w:r>
      <w:r w:rsidR="00BA6160" w:rsidRPr="00386176">
        <w:rPr>
          <w:bCs/>
        </w:rPr>
        <w:t xml:space="preserve">contribuiu para que alterações na política monetária tivessem menos impacto sobre o crédito total, haja vista que estes possuem uma grande parcela do crédito direcionado do mercado, que é menos influenciado por modificações no cenário macroeconômico. Além do mais, </w:t>
      </w:r>
      <w:r w:rsidR="00D93106" w:rsidRPr="00386176">
        <w:rPr>
          <w:bCs/>
        </w:rPr>
        <w:t xml:space="preserve">de modo a </w:t>
      </w:r>
      <w:r w:rsidR="00D93106" w:rsidRPr="00386176">
        <w:t xml:space="preserve">fomentar a economia brasileira após a crise econômica </w:t>
      </w:r>
      <w:r w:rsidR="00D93106" w:rsidRPr="00386176">
        <w:rPr>
          <w:bCs/>
        </w:rPr>
        <w:t>de 2008</w:t>
      </w:r>
      <w:r w:rsidR="00F0570F" w:rsidRPr="00386176">
        <w:rPr>
          <w:rStyle w:val="Refdenotaderodap"/>
          <w:bCs/>
        </w:rPr>
        <w:footnoteReference w:id="14"/>
      </w:r>
      <w:r w:rsidR="00D93106" w:rsidRPr="00386176">
        <w:rPr>
          <w:bCs/>
        </w:rPr>
        <w:t xml:space="preserve">, </w:t>
      </w:r>
      <w:r w:rsidR="00D93106" w:rsidRPr="00386176">
        <w:t>o governo brasileiro adotou uma política anticíclica de expansão do crédito, principalmente, mediante aumento das operações dos bancos oficiais</w:t>
      </w:r>
      <w:sdt>
        <w:sdtPr>
          <w:id w:val="1360168737"/>
          <w:citation/>
        </w:sdtPr>
        <w:sdtEndPr/>
        <w:sdtContent>
          <w:r w:rsidR="00D93106" w:rsidRPr="00386176">
            <w:fldChar w:fldCharType="begin"/>
          </w:r>
          <w:r w:rsidR="00D93106" w:rsidRPr="00386176">
            <w:instrText xml:space="preserve">CITATION Edu11 \l 1046 </w:instrText>
          </w:r>
          <w:r w:rsidR="00D93106" w:rsidRPr="00386176">
            <w:fldChar w:fldCharType="separate"/>
          </w:r>
          <w:r w:rsidR="00C12580">
            <w:rPr>
              <w:noProof/>
            </w:rPr>
            <w:t xml:space="preserve"> (LUNDBERG, 2011)</w:t>
          </w:r>
          <w:r w:rsidR="00D93106" w:rsidRPr="00386176">
            <w:fldChar w:fldCharType="end"/>
          </w:r>
        </w:sdtContent>
      </w:sdt>
      <w:r w:rsidR="00D93106" w:rsidRPr="00386176">
        <w:t>. Assim, foi possível garantir a continuidade do crescimento da oferta de empréstimos, mesmo que de</w:t>
      </w:r>
      <w:r w:rsidR="00B53747" w:rsidRPr="00386176">
        <w:t xml:space="preserve"> </w:t>
      </w:r>
      <w:r w:rsidR="00D93106" w:rsidRPr="00386176">
        <w:t xml:space="preserve">forma descasada das condições macroeconômicas vigentes. </w:t>
      </w:r>
      <w:r w:rsidRPr="00386176">
        <w:rPr>
          <w:noProof/>
        </w:rPr>
        <w:t>Por isso, além de atuarem tradicionalmente como agentes do governo nas políticas públicas, esses bancos também agem de forma a forçar o aumento de liquidez por meio do canal concorrência de mercado. Como efeito, a participação da oferta de crédito dessas instituições no SFN passou de 3</w:t>
      </w:r>
      <w:r w:rsidR="009F305E" w:rsidRPr="00386176">
        <w:rPr>
          <w:noProof/>
        </w:rPr>
        <w:t>6</w:t>
      </w:r>
      <w:r w:rsidRPr="00386176">
        <w:rPr>
          <w:noProof/>
        </w:rPr>
        <w:t>,</w:t>
      </w:r>
      <w:r w:rsidR="009F305E" w:rsidRPr="00386176">
        <w:rPr>
          <w:noProof/>
        </w:rPr>
        <w:t>1</w:t>
      </w:r>
      <w:r w:rsidRPr="00386176">
        <w:rPr>
          <w:noProof/>
        </w:rPr>
        <w:t xml:space="preserve">% em </w:t>
      </w:r>
      <w:r w:rsidR="009F305E" w:rsidRPr="00386176">
        <w:rPr>
          <w:noProof/>
        </w:rPr>
        <w:t>Dez</w:t>
      </w:r>
      <w:r w:rsidRPr="00386176">
        <w:rPr>
          <w:noProof/>
        </w:rPr>
        <w:t>/08 para 47,9% em Dez/12, tendo uma taxa de crescimento média em 12 meses 2,3 vezes maior do que o crescimento das instituições privadas.</w:t>
      </w:r>
    </w:p>
    <w:p w:rsidR="006557E0" w:rsidRPr="003B19D9" w:rsidRDefault="006557E0" w:rsidP="00BC07A0">
      <w:pPr>
        <w:pStyle w:val="Legenda"/>
        <w:keepNext/>
        <w:spacing w:after="120" w:line="240" w:lineRule="auto"/>
        <w:ind w:firstLine="2268"/>
        <w:rPr>
          <w:b w:val="0"/>
          <w:color w:val="auto"/>
          <w:sz w:val="20"/>
        </w:rPr>
      </w:pPr>
      <w:bookmarkStart w:id="74" w:name="_Toc451294330"/>
      <w:r w:rsidRPr="003B19D9">
        <w:rPr>
          <w:b w:val="0"/>
          <w:color w:val="auto"/>
          <w:sz w:val="20"/>
        </w:rPr>
        <w:lastRenderedPageBreak/>
        <w:t xml:space="preserve">Figura </w:t>
      </w:r>
      <w:r w:rsidR="0063466D">
        <w:rPr>
          <w:b w:val="0"/>
          <w:color w:val="auto"/>
          <w:sz w:val="20"/>
        </w:rPr>
        <w:fldChar w:fldCharType="begin"/>
      </w:r>
      <w:r w:rsidR="0063466D">
        <w:rPr>
          <w:b w:val="0"/>
          <w:color w:val="auto"/>
          <w:sz w:val="20"/>
        </w:rPr>
        <w:instrText xml:space="preserve"> SEQ Figura \* ARABIC </w:instrText>
      </w:r>
      <w:r w:rsidR="0063466D">
        <w:rPr>
          <w:b w:val="0"/>
          <w:color w:val="auto"/>
          <w:sz w:val="20"/>
        </w:rPr>
        <w:fldChar w:fldCharType="separate"/>
      </w:r>
      <w:r w:rsidR="00103018">
        <w:rPr>
          <w:b w:val="0"/>
          <w:noProof/>
          <w:color w:val="auto"/>
          <w:sz w:val="20"/>
        </w:rPr>
        <w:t>1</w:t>
      </w:r>
      <w:r w:rsidR="0063466D">
        <w:rPr>
          <w:b w:val="0"/>
          <w:color w:val="auto"/>
          <w:sz w:val="20"/>
        </w:rPr>
        <w:fldChar w:fldCharType="end"/>
      </w:r>
      <w:r w:rsidRPr="003B19D9">
        <w:rPr>
          <w:b w:val="0"/>
          <w:color w:val="auto"/>
          <w:sz w:val="20"/>
        </w:rPr>
        <w:t xml:space="preserve"> – Evolução do Saldo de Crédito do SFN</w:t>
      </w:r>
      <w:bookmarkEnd w:id="74"/>
    </w:p>
    <w:p w:rsidR="001847A4" w:rsidRDefault="00196CD9" w:rsidP="00826069">
      <w:pPr>
        <w:jc w:val="center"/>
        <w:rPr>
          <w:noProof/>
        </w:rPr>
      </w:pPr>
      <w:r>
        <w:rPr>
          <w:noProof/>
        </w:rPr>
        <w:drawing>
          <wp:inline distT="0" distB="0" distL="0" distR="0" wp14:anchorId="4C6E6E56" wp14:editId="438BC729">
            <wp:extent cx="3703813" cy="162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3813" cy="1620000"/>
                    </a:xfrm>
                    <a:prstGeom prst="rect">
                      <a:avLst/>
                    </a:prstGeom>
                    <a:noFill/>
                  </pic:spPr>
                </pic:pic>
              </a:graphicData>
            </a:graphic>
          </wp:inline>
        </w:drawing>
      </w:r>
    </w:p>
    <w:p w:rsidR="003B19D9" w:rsidRPr="003B19D9" w:rsidRDefault="003B19D9" w:rsidP="00BC07A0">
      <w:pPr>
        <w:ind w:left="2268"/>
        <w:rPr>
          <w:noProof/>
          <w:sz w:val="18"/>
        </w:rPr>
      </w:pPr>
      <w:r w:rsidRPr="003B19D9">
        <w:rPr>
          <w:noProof/>
          <w:sz w:val="18"/>
        </w:rPr>
        <w:t>Fonte: Banco Central do Brasil</w:t>
      </w:r>
      <w:r w:rsidR="0034230E">
        <w:rPr>
          <w:noProof/>
          <w:sz w:val="18"/>
        </w:rPr>
        <w:t xml:space="preserve">          </w:t>
      </w:r>
      <w:r w:rsidRPr="003B19D9">
        <w:rPr>
          <w:noProof/>
          <w:sz w:val="18"/>
        </w:rPr>
        <w:t>Elaboração própria</w:t>
      </w:r>
    </w:p>
    <w:p w:rsidR="00212E6C" w:rsidRPr="00386176" w:rsidRDefault="001847A4" w:rsidP="00826069">
      <w:pPr>
        <w:spacing w:before="240" w:after="240"/>
        <w:ind w:firstLine="709"/>
        <w:jc w:val="both"/>
        <w:rPr>
          <w:b/>
        </w:rPr>
      </w:pPr>
      <w:r w:rsidRPr="00386176">
        <w:rPr>
          <w:noProof/>
        </w:rPr>
        <w:t xml:space="preserve">Nesse sentido, realizaram-se duas estimações adicionais do Modelo 1, nas quais a amostra foi separada entre bancos públicos e privados, acrescentando ao modelo as variáveis macroeconômicas. Entretanto, observou-se que, no período analisado, as instituições privadas também não foram afetadas pela política monetária, indicando que esses bancos viram-se forçados a seguir em linha com a política anticíclica adotada, de forma a manter o </w:t>
      </w:r>
      <w:r w:rsidRPr="00386176">
        <w:rPr>
          <w:i/>
          <w:noProof/>
        </w:rPr>
        <w:t>market-share</w:t>
      </w:r>
      <w:r w:rsidRPr="00386176">
        <w:rPr>
          <w:noProof/>
        </w:rPr>
        <w:t>. Some-se a isso, o aumento crescente da participação das operações de crédito com recursos livres a pessoas físicas – PF</w:t>
      </w:r>
      <w:r w:rsidR="007B7473" w:rsidRPr="00386176">
        <w:rPr>
          <w:noProof/>
        </w:rPr>
        <w:t>, conforme</w:t>
      </w:r>
      <w:r w:rsidRPr="00386176">
        <w:rPr>
          <w:noProof/>
        </w:rPr>
        <w:t xml:space="preserve"> </w:t>
      </w:r>
      <w:r w:rsidR="007B7473" w:rsidRPr="00386176">
        <w:t>observado n</w:t>
      </w:r>
      <w:r w:rsidR="006557E0">
        <w:t>a</w:t>
      </w:r>
      <w:r w:rsidR="00196CD9">
        <w:t>s</w:t>
      </w:r>
      <w:r w:rsidR="007B7473" w:rsidRPr="00386176">
        <w:t xml:space="preserve"> </w:t>
      </w:r>
      <w:r w:rsidR="006557E0" w:rsidRPr="00196CD9">
        <w:t>Figura</w:t>
      </w:r>
      <w:r w:rsidR="00F42E1C">
        <w:t>s</w:t>
      </w:r>
      <w:r w:rsidR="007B7473" w:rsidRPr="00196CD9">
        <w:t xml:space="preserve"> 2</w:t>
      </w:r>
      <w:r w:rsidR="00196CD9">
        <w:t xml:space="preserve"> e 3</w:t>
      </w:r>
      <w:r w:rsidRPr="00196CD9">
        <w:rPr>
          <w:noProof/>
        </w:rPr>
        <w:t>.</w:t>
      </w:r>
      <w:r w:rsidRPr="00386176">
        <w:rPr>
          <w:noProof/>
        </w:rPr>
        <w:t xml:space="preserve"> Cabe ressaltar que o crédito PF é menos sensível a indicadores macroeconômicos, </w:t>
      </w:r>
      <w:r w:rsidR="007B7473" w:rsidRPr="00386176">
        <w:rPr>
          <w:noProof/>
        </w:rPr>
        <w:t xml:space="preserve">pois, </w:t>
      </w:r>
      <w:r w:rsidR="00C0200C" w:rsidRPr="00386176">
        <w:t>diferente</w:t>
      </w:r>
      <w:r w:rsidR="007B7473" w:rsidRPr="00386176">
        <w:t xml:space="preserve"> da pessoa jurídica, que possui outras alternativas de financiamento, a PF necessita de empréstimos bancários para a aquisição de bens de consumo mais caros. Além disso, </w:t>
      </w:r>
      <w:r w:rsidRPr="00386176">
        <w:rPr>
          <w:noProof/>
        </w:rPr>
        <w:t xml:space="preserve">para esse tipo de tomador é mais importante ter “uma prestação que caiba no bolso” do que fatores como taxa de juros e prazo da operação (TAKEDA; DAWID, 2013), sugerindo que o banco possui maior poder de mercado sobre o mutuário PF. </w:t>
      </w:r>
      <w:r w:rsidR="00170724" w:rsidRPr="00386176">
        <w:rPr>
          <w:noProof/>
        </w:rPr>
        <w:t xml:space="preserve"> </w:t>
      </w:r>
    </w:p>
    <w:p w:rsidR="00145834" w:rsidRPr="003B19D9" w:rsidRDefault="00145834" w:rsidP="00BC07A0">
      <w:pPr>
        <w:pStyle w:val="Legenda"/>
        <w:keepNext/>
        <w:spacing w:after="120" w:line="240" w:lineRule="auto"/>
        <w:ind w:firstLine="2268"/>
        <w:rPr>
          <w:b w:val="0"/>
          <w:color w:val="auto"/>
          <w:sz w:val="20"/>
        </w:rPr>
      </w:pPr>
      <w:bookmarkStart w:id="75" w:name="_Toc451294331"/>
      <w:r w:rsidRPr="003B19D9">
        <w:rPr>
          <w:b w:val="0"/>
          <w:color w:val="auto"/>
          <w:sz w:val="20"/>
        </w:rPr>
        <w:t xml:space="preserve">Figura </w:t>
      </w:r>
      <w:r w:rsidR="0063466D">
        <w:rPr>
          <w:b w:val="0"/>
          <w:color w:val="auto"/>
          <w:sz w:val="20"/>
        </w:rPr>
        <w:fldChar w:fldCharType="begin"/>
      </w:r>
      <w:r w:rsidR="0063466D">
        <w:rPr>
          <w:b w:val="0"/>
          <w:color w:val="auto"/>
          <w:sz w:val="20"/>
        </w:rPr>
        <w:instrText xml:space="preserve"> SEQ Figura \* ARABIC </w:instrText>
      </w:r>
      <w:r w:rsidR="0063466D">
        <w:rPr>
          <w:b w:val="0"/>
          <w:color w:val="auto"/>
          <w:sz w:val="20"/>
        </w:rPr>
        <w:fldChar w:fldCharType="separate"/>
      </w:r>
      <w:r w:rsidR="00103018">
        <w:rPr>
          <w:b w:val="0"/>
          <w:noProof/>
          <w:color w:val="auto"/>
          <w:sz w:val="20"/>
        </w:rPr>
        <w:t>2</w:t>
      </w:r>
      <w:r w:rsidR="0063466D">
        <w:rPr>
          <w:b w:val="0"/>
          <w:color w:val="auto"/>
          <w:sz w:val="20"/>
        </w:rPr>
        <w:fldChar w:fldCharType="end"/>
      </w:r>
      <w:r w:rsidRPr="003B19D9">
        <w:rPr>
          <w:b w:val="0"/>
          <w:color w:val="auto"/>
          <w:sz w:val="20"/>
        </w:rPr>
        <w:t xml:space="preserve"> – Evolução do Saldo de Crédito Total do SFN – PF </w:t>
      </w:r>
      <w:proofErr w:type="gramStart"/>
      <w:r w:rsidRPr="003B19D9">
        <w:rPr>
          <w:b w:val="0"/>
          <w:color w:val="auto"/>
          <w:sz w:val="20"/>
        </w:rPr>
        <w:t>x</w:t>
      </w:r>
      <w:proofErr w:type="gramEnd"/>
      <w:r w:rsidRPr="003B19D9">
        <w:rPr>
          <w:b w:val="0"/>
          <w:color w:val="auto"/>
          <w:sz w:val="20"/>
        </w:rPr>
        <w:t xml:space="preserve"> PJ</w:t>
      </w:r>
      <w:bookmarkEnd w:id="75"/>
    </w:p>
    <w:p w:rsidR="00212E6C" w:rsidRDefault="00196CD9" w:rsidP="00826069">
      <w:pPr>
        <w:jc w:val="center"/>
      </w:pPr>
      <w:r>
        <w:rPr>
          <w:noProof/>
        </w:rPr>
        <w:drawing>
          <wp:inline distT="0" distB="0" distL="0" distR="0" wp14:anchorId="64645BA4" wp14:editId="791C840F">
            <wp:extent cx="3696379" cy="162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6379" cy="1620000"/>
                    </a:xfrm>
                    <a:prstGeom prst="rect">
                      <a:avLst/>
                    </a:prstGeom>
                    <a:noFill/>
                  </pic:spPr>
                </pic:pic>
              </a:graphicData>
            </a:graphic>
          </wp:inline>
        </w:drawing>
      </w:r>
    </w:p>
    <w:p w:rsidR="003B19D9" w:rsidRPr="003B19D9" w:rsidRDefault="003B19D9" w:rsidP="00BC07A0">
      <w:pPr>
        <w:ind w:left="2268"/>
        <w:rPr>
          <w:noProof/>
          <w:sz w:val="18"/>
        </w:rPr>
      </w:pPr>
      <w:r w:rsidRPr="003B19D9">
        <w:rPr>
          <w:noProof/>
          <w:sz w:val="18"/>
        </w:rPr>
        <w:t>Fonte: Banco Central do Brasil</w:t>
      </w:r>
      <w:r w:rsidR="0034230E">
        <w:rPr>
          <w:noProof/>
          <w:sz w:val="18"/>
        </w:rPr>
        <w:t xml:space="preserve">          </w:t>
      </w:r>
      <w:r w:rsidRPr="003B19D9">
        <w:rPr>
          <w:noProof/>
          <w:sz w:val="18"/>
        </w:rPr>
        <w:t>Elaboração própria</w:t>
      </w:r>
    </w:p>
    <w:p w:rsidR="00196CD9" w:rsidRDefault="00196CD9" w:rsidP="00826069">
      <w:pPr>
        <w:jc w:val="center"/>
      </w:pPr>
    </w:p>
    <w:p w:rsidR="00196CD9" w:rsidRPr="003B19D9" w:rsidRDefault="00196CD9" w:rsidP="00BC07A0">
      <w:pPr>
        <w:pStyle w:val="Legenda"/>
        <w:keepNext/>
        <w:spacing w:after="120" w:line="240" w:lineRule="auto"/>
        <w:ind w:firstLine="2268"/>
        <w:rPr>
          <w:b w:val="0"/>
          <w:color w:val="auto"/>
          <w:sz w:val="20"/>
        </w:rPr>
      </w:pPr>
      <w:bookmarkStart w:id="76" w:name="_Toc451294332"/>
      <w:r w:rsidRPr="003B19D9">
        <w:rPr>
          <w:b w:val="0"/>
          <w:color w:val="auto"/>
          <w:sz w:val="20"/>
        </w:rPr>
        <w:t xml:space="preserve">Figura </w:t>
      </w:r>
      <w:r w:rsidR="0063466D">
        <w:rPr>
          <w:b w:val="0"/>
          <w:color w:val="auto"/>
          <w:sz w:val="20"/>
        </w:rPr>
        <w:fldChar w:fldCharType="begin"/>
      </w:r>
      <w:r w:rsidR="0063466D">
        <w:rPr>
          <w:b w:val="0"/>
          <w:color w:val="auto"/>
          <w:sz w:val="20"/>
        </w:rPr>
        <w:instrText xml:space="preserve"> SEQ Figura \* ARABIC </w:instrText>
      </w:r>
      <w:r w:rsidR="0063466D">
        <w:rPr>
          <w:b w:val="0"/>
          <w:color w:val="auto"/>
          <w:sz w:val="20"/>
        </w:rPr>
        <w:fldChar w:fldCharType="separate"/>
      </w:r>
      <w:r w:rsidR="00103018">
        <w:rPr>
          <w:b w:val="0"/>
          <w:noProof/>
          <w:color w:val="auto"/>
          <w:sz w:val="20"/>
        </w:rPr>
        <w:t>3</w:t>
      </w:r>
      <w:r w:rsidR="0063466D">
        <w:rPr>
          <w:b w:val="0"/>
          <w:color w:val="auto"/>
          <w:sz w:val="20"/>
        </w:rPr>
        <w:fldChar w:fldCharType="end"/>
      </w:r>
      <w:r w:rsidRPr="003B19D9">
        <w:rPr>
          <w:b w:val="0"/>
          <w:color w:val="auto"/>
          <w:sz w:val="20"/>
        </w:rPr>
        <w:t xml:space="preserve"> – Evolução da Participação no Crédito Total do SFN – PF </w:t>
      </w:r>
      <w:proofErr w:type="gramStart"/>
      <w:r w:rsidRPr="003B19D9">
        <w:rPr>
          <w:b w:val="0"/>
          <w:color w:val="auto"/>
          <w:sz w:val="20"/>
        </w:rPr>
        <w:t>x</w:t>
      </w:r>
      <w:proofErr w:type="gramEnd"/>
      <w:r w:rsidRPr="003B19D9">
        <w:rPr>
          <w:b w:val="0"/>
          <w:color w:val="auto"/>
          <w:sz w:val="20"/>
        </w:rPr>
        <w:t xml:space="preserve"> PJ</w:t>
      </w:r>
      <w:bookmarkEnd w:id="76"/>
    </w:p>
    <w:p w:rsidR="00196CD9" w:rsidRDefault="00196CD9" w:rsidP="00826069">
      <w:pPr>
        <w:jc w:val="center"/>
      </w:pPr>
      <w:r>
        <w:rPr>
          <w:noProof/>
        </w:rPr>
        <w:drawing>
          <wp:inline distT="0" distB="0" distL="0" distR="0" wp14:anchorId="43428343" wp14:editId="69B27D20">
            <wp:extent cx="3696379" cy="1620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6379" cy="1620000"/>
                    </a:xfrm>
                    <a:prstGeom prst="rect">
                      <a:avLst/>
                    </a:prstGeom>
                    <a:noFill/>
                  </pic:spPr>
                </pic:pic>
              </a:graphicData>
            </a:graphic>
          </wp:inline>
        </w:drawing>
      </w:r>
    </w:p>
    <w:p w:rsidR="003B19D9" w:rsidRPr="003B19D9" w:rsidRDefault="003B19D9" w:rsidP="00BC07A0">
      <w:pPr>
        <w:ind w:left="2268"/>
        <w:rPr>
          <w:noProof/>
          <w:sz w:val="18"/>
        </w:rPr>
      </w:pPr>
      <w:r w:rsidRPr="003B19D9">
        <w:rPr>
          <w:noProof/>
          <w:sz w:val="18"/>
        </w:rPr>
        <w:t>Fonte: Banco Central do Brasil</w:t>
      </w:r>
      <w:r w:rsidR="0034230E">
        <w:rPr>
          <w:noProof/>
          <w:sz w:val="18"/>
        </w:rPr>
        <w:t xml:space="preserve">          </w:t>
      </w:r>
      <w:r w:rsidRPr="003B19D9">
        <w:rPr>
          <w:noProof/>
          <w:sz w:val="18"/>
        </w:rPr>
        <w:t>Elaboração própria</w:t>
      </w:r>
    </w:p>
    <w:p w:rsidR="001847A4" w:rsidRPr="00386176" w:rsidRDefault="001847A4" w:rsidP="00826069">
      <w:pPr>
        <w:spacing w:before="240"/>
        <w:ind w:firstLine="709"/>
        <w:jc w:val="both"/>
      </w:pPr>
      <w:r w:rsidRPr="00386176">
        <w:t xml:space="preserve">Apesar de nenhuma variável macroeconômica ter sido significativa, observa-se que a política monetária </w:t>
      </w:r>
      <w:r w:rsidR="003A01F6" w:rsidRPr="00386176">
        <w:t>influência</w:t>
      </w:r>
      <w:r w:rsidRPr="00386176">
        <w:t xml:space="preserve"> direta ou indiretamente todas as variáveis presentes no modelo, principalmente no que </w:t>
      </w:r>
      <w:r w:rsidRPr="00386176">
        <w:lastRenderedPageBreak/>
        <w:t xml:space="preserve">se refere à taxa básica de juros da economia, considerada seu principal instrumento. Em relação ao </w:t>
      </w:r>
      <w:r w:rsidRPr="00386176">
        <w:rPr>
          <w:i/>
        </w:rPr>
        <w:t>sprea</w:t>
      </w:r>
      <w:r w:rsidRPr="00386176">
        <w:t xml:space="preserve">d bancário, nota-se uma influência direta das flutuações da taxa Selic, especialmente, pelo fato desta captar os efeitos do custo financeiro com a captação de recursos. Assim, conforme </w:t>
      </w:r>
      <w:proofErr w:type="spellStart"/>
      <w:r w:rsidRPr="00386176">
        <w:t>Fucidji</w:t>
      </w:r>
      <w:proofErr w:type="spellEnd"/>
      <w:r w:rsidRPr="00386176">
        <w:t xml:space="preserve"> e Prince (2009), uma hipótese para explicar a presença do </w:t>
      </w:r>
      <w:r w:rsidRPr="00386176">
        <w:rPr>
          <w:i/>
        </w:rPr>
        <w:t>spread</w:t>
      </w:r>
      <w:r w:rsidRPr="00386176">
        <w:t xml:space="preserve"> no modelo em detrimento da taxa Selic, seria o fato de que para o comportamento do crédito não importa a taxa básica de juros da economia, mas sim o </w:t>
      </w:r>
      <w:r w:rsidRPr="00386176">
        <w:rPr>
          <w:i/>
        </w:rPr>
        <w:t xml:space="preserve">spread </w:t>
      </w:r>
      <w:r w:rsidRPr="00386176">
        <w:t>bancário, que representa o aumento do preço do crédito para o tomador, bem como o aumento do custo para as in</w:t>
      </w:r>
      <w:r w:rsidR="001D1004" w:rsidRPr="00386176">
        <w:t>stituições financeiras. Quanto a</w:t>
      </w:r>
      <w:r w:rsidRPr="00386176">
        <w:t xml:space="preserve"> TVM, a taxa Selic impacta diretamente na rentabilidade das operações realizadas no Mercado de Capitais, influenciando a decisão </w:t>
      </w:r>
      <w:r w:rsidR="001D1004" w:rsidRPr="00386176">
        <w:t xml:space="preserve">de aplicação </w:t>
      </w:r>
      <w:r w:rsidRPr="00386176">
        <w:t xml:space="preserve">dos bancos. Por sua vez, a despesa de captação, sofre forte influência da taxa Selic, já que a principal modalidade de captação, o CDB costuma ser indexado à taxa CDI, altamente correlacionada com a Selic. Por último, o risco de crédito também sofre influência da Selic, haja vista que quando esta aumenta, os bancos repassam esse custo para o tomador, elevando as taxas dos empréstimos, podendo aumentar a probabilidade de inadimplência. </w:t>
      </w:r>
    </w:p>
    <w:p w:rsidR="001847A4" w:rsidRDefault="001847A4" w:rsidP="00826069">
      <w:pPr>
        <w:ind w:firstLine="709"/>
        <w:jc w:val="both"/>
        <w:rPr>
          <w:bCs/>
        </w:rPr>
      </w:pPr>
      <w:r w:rsidRPr="00386176">
        <w:rPr>
          <w:bCs/>
        </w:rPr>
        <w:t>Com o objetivo de analisar o efeito inercial da oferta de crédito bancário, foram estimados os Modelos dinâmicos 5 e 6 para a amostra completa e 7 e 8 para a amostra reduzida. A inclusão de defasagens na variável dependente decorre do fato de que o estoque de crédito de um banco em um dado período reflete não somente a decisão de oferta do período corrente, mas também as decisões tomadas em períodos anteriores.</w:t>
      </w:r>
    </w:p>
    <w:p w:rsidR="009B0BA8" w:rsidRPr="00386176" w:rsidRDefault="009B0BA8" w:rsidP="00826069">
      <w:pPr>
        <w:jc w:val="both"/>
        <w:rPr>
          <w:bCs/>
        </w:rPr>
      </w:pPr>
      <w:r w:rsidRPr="00386176">
        <w:rPr>
          <w:bCs/>
        </w:rPr>
        <w:tab/>
        <w:t xml:space="preserve"> A introdução do crédito defasado em um período no Modelo 5, não alterou a significância nem os sinais dos coeficientes em relação ao modelo estático. Entretanto, causou uma alteração em todos os valores estimados: de </w:t>
      </w:r>
      <w:r w:rsidRPr="00386176">
        <w:rPr>
          <w:szCs w:val="22"/>
        </w:rPr>
        <w:t>0</w:t>
      </w:r>
      <w:r w:rsidRPr="00386176">
        <w:rPr>
          <w:sz w:val="22"/>
          <w:szCs w:val="22"/>
        </w:rPr>
        <w:t>,</w:t>
      </w:r>
      <w:r w:rsidRPr="00386176">
        <w:t>9426 para 0,4585 no</w:t>
      </w:r>
      <w:r w:rsidRPr="00386176">
        <w:rPr>
          <w:bCs/>
          <w:i/>
        </w:rPr>
        <w:t xml:space="preserve"> spread</w:t>
      </w:r>
      <w:r w:rsidRPr="00386176">
        <w:t>, de -0,3722</w:t>
      </w:r>
      <w:r w:rsidR="000D7D40">
        <w:t xml:space="preserve"> para -0,0598 na TVM, de -0,4875</w:t>
      </w:r>
      <w:r w:rsidRPr="00386176">
        <w:t xml:space="preserve"> para -0,5414 na despesa de captação e de -0,345</w:t>
      </w:r>
      <w:r w:rsidR="000D7D40">
        <w:t>4</w:t>
      </w:r>
      <w:r w:rsidRPr="00386176">
        <w:t xml:space="preserve"> para -0,0950 no risco de crédito. </w:t>
      </w:r>
      <w:r w:rsidRPr="00386176">
        <w:rPr>
          <w:bCs/>
        </w:rPr>
        <w:t>Verifica-se um efeito inercial forte dado pelo coeficiente de 0,8554 da primeira defasagem do crédito, justificado pela relação existente entre o volume de crédito</w:t>
      </w:r>
      <w:r>
        <w:rPr>
          <w:bCs/>
        </w:rPr>
        <w:t xml:space="preserve"> </w:t>
      </w:r>
      <w:r w:rsidRPr="00386176">
        <w:rPr>
          <w:bCs/>
        </w:rPr>
        <w:t>ofertado e o estoque de operações anteriormente contratadas, refletindo não apenas as concessões realizadas no período contemporâneo, mas toda a carteira da instituição. Por sua</w:t>
      </w:r>
      <w:r>
        <w:rPr>
          <w:bCs/>
        </w:rPr>
        <w:t xml:space="preserve"> </w:t>
      </w:r>
      <w:r w:rsidRPr="00386176">
        <w:rPr>
          <w:bCs/>
        </w:rPr>
        <w:t xml:space="preserve">vez, o Modelo 7, para amostra reduzida, não obteve todas as variáveis significativas, alterando a significância do risco de crédito e do índice de Basiléia, ambas consideradas medidas de risco. Esse resultado demonstra que o efeito inercial do crédito também reduz o impacto das variáveis de risco no modelo. Em relação aos Modelos 6 e 8, nenhuma das </w:t>
      </w:r>
      <w:proofErr w:type="spellStart"/>
      <w:r w:rsidRPr="00386176">
        <w:rPr>
          <w:bCs/>
          <w:i/>
        </w:rPr>
        <w:t>dummies</w:t>
      </w:r>
      <w:proofErr w:type="spellEnd"/>
      <w:r w:rsidRPr="00386176">
        <w:rPr>
          <w:bCs/>
        </w:rPr>
        <w:t xml:space="preserve"> avaliadas foi significativa.</w:t>
      </w:r>
    </w:p>
    <w:p w:rsidR="001847A4" w:rsidRPr="00386176" w:rsidRDefault="001847A4" w:rsidP="00826069">
      <w:pPr>
        <w:pStyle w:val="Legenda"/>
        <w:keepNext/>
        <w:spacing w:before="240" w:after="0" w:line="240" w:lineRule="auto"/>
        <w:rPr>
          <w:rFonts w:cs="Times New Roman"/>
          <w:b w:val="0"/>
          <w:color w:val="auto"/>
          <w:sz w:val="20"/>
          <w:szCs w:val="20"/>
        </w:rPr>
      </w:pPr>
      <w:bookmarkStart w:id="77" w:name="_Toc451294348"/>
      <w:r w:rsidRPr="00386176">
        <w:rPr>
          <w:rFonts w:cs="Times New Roman"/>
          <w:b w:val="0"/>
          <w:color w:val="auto"/>
          <w:sz w:val="20"/>
          <w:szCs w:val="20"/>
        </w:rPr>
        <w:t xml:space="preserve">Tabela </w:t>
      </w:r>
      <w:r w:rsidRPr="00386176">
        <w:rPr>
          <w:rFonts w:cs="Times New Roman"/>
          <w:b w:val="0"/>
          <w:color w:val="auto"/>
          <w:sz w:val="20"/>
          <w:szCs w:val="20"/>
        </w:rPr>
        <w:fldChar w:fldCharType="begin"/>
      </w:r>
      <w:r w:rsidRPr="00386176">
        <w:rPr>
          <w:rFonts w:cs="Times New Roman"/>
          <w:b w:val="0"/>
          <w:color w:val="auto"/>
          <w:sz w:val="20"/>
          <w:szCs w:val="20"/>
        </w:rPr>
        <w:instrText xml:space="preserve"> SEQ Tabela \* ARABIC </w:instrText>
      </w:r>
      <w:r w:rsidRPr="00386176">
        <w:rPr>
          <w:rFonts w:cs="Times New Roman"/>
          <w:b w:val="0"/>
          <w:color w:val="auto"/>
          <w:sz w:val="20"/>
          <w:szCs w:val="20"/>
        </w:rPr>
        <w:fldChar w:fldCharType="separate"/>
      </w:r>
      <w:r w:rsidR="00103018">
        <w:rPr>
          <w:rFonts w:cs="Times New Roman"/>
          <w:b w:val="0"/>
          <w:noProof/>
          <w:color w:val="auto"/>
          <w:sz w:val="20"/>
          <w:szCs w:val="20"/>
        </w:rPr>
        <w:t>7</w:t>
      </w:r>
      <w:r w:rsidRPr="00386176">
        <w:rPr>
          <w:rFonts w:cs="Times New Roman"/>
          <w:b w:val="0"/>
          <w:color w:val="auto"/>
          <w:sz w:val="20"/>
          <w:szCs w:val="20"/>
        </w:rPr>
        <w:fldChar w:fldCharType="end"/>
      </w:r>
      <w:r w:rsidRPr="00386176">
        <w:rPr>
          <w:rFonts w:cs="Times New Roman"/>
          <w:b w:val="0"/>
          <w:color w:val="auto"/>
          <w:sz w:val="20"/>
          <w:szCs w:val="20"/>
        </w:rPr>
        <w:t xml:space="preserve"> - Resultado da Estimação do Modelo Dinâmico para Amostra Completa</w:t>
      </w:r>
      <w:bookmarkEnd w:id="77"/>
    </w:p>
    <w:tbl>
      <w:tblPr>
        <w:tblW w:w="10206" w:type="dxa"/>
        <w:tblCellMar>
          <w:left w:w="70" w:type="dxa"/>
          <w:right w:w="70" w:type="dxa"/>
        </w:tblCellMar>
        <w:tblLook w:val="04A0" w:firstRow="1" w:lastRow="0" w:firstColumn="1" w:lastColumn="0" w:noHBand="0" w:noVBand="1"/>
      </w:tblPr>
      <w:tblGrid>
        <w:gridCol w:w="2587"/>
        <w:gridCol w:w="1949"/>
        <w:gridCol w:w="1949"/>
        <w:gridCol w:w="1907"/>
        <w:gridCol w:w="1814"/>
      </w:tblGrid>
      <w:tr w:rsidR="002513D2" w:rsidRPr="00C661D0" w:rsidTr="00BC07A0">
        <w:trPr>
          <w:trHeight w:val="732"/>
        </w:trPr>
        <w:tc>
          <w:tcPr>
            <w:tcW w:w="851" w:type="dxa"/>
            <w:tcBorders>
              <w:top w:val="single" w:sz="4" w:space="0" w:color="auto"/>
              <w:left w:val="nil"/>
              <w:bottom w:val="single" w:sz="4" w:space="0" w:color="auto"/>
              <w:right w:val="nil"/>
            </w:tcBorders>
            <w:shd w:val="clear" w:color="auto" w:fill="auto"/>
            <w:noWrap/>
            <w:vAlign w:val="center"/>
            <w:hideMark/>
          </w:tcPr>
          <w:p w:rsidR="002513D2" w:rsidRPr="00C661D0" w:rsidRDefault="002513D2" w:rsidP="00826069">
            <w:pPr>
              <w:jc w:val="center"/>
              <w:rPr>
                <w:b/>
                <w:bCs/>
                <w:sz w:val="22"/>
                <w:szCs w:val="22"/>
              </w:rPr>
            </w:pPr>
            <w:r w:rsidRPr="00C661D0">
              <w:rPr>
                <w:b/>
                <w:bCs/>
                <w:sz w:val="22"/>
                <w:szCs w:val="22"/>
              </w:rPr>
              <w:t>Variável</w:t>
            </w:r>
          </w:p>
        </w:tc>
        <w:tc>
          <w:tcPr>
            <w:tcW w:w="851" w:type="dxa"/>
            <w:tcBorders>
              <w:top w:val="single" w:sz="4" w:space="0" w:color="auto"/>
              <w:left w:val="nil"/>
              <w:bottom w:val="single" w:sz="4" w:space="0" w:color="auto"/>
              <w:right w:val="nil"/>
            </w:tcBorders>
            <w:shd w:val="clear" w:color="auto" w:fill="auto"/>
            <w:vAlign w:val="center"/>
            <w:hideMark/>
          </w:tcPr>
          <w:p w:rsidR="002513D2" w:rsidRPr="00C661D0" w:rsidRDefault="002513D2" w:rsidP="00826069">
            <w:pPr>
              <w:jc w:val="center"/>
              <w:rPr>
                <w:b/>
                <w:bCs/>
                <w:sz w:val="22"/>
                <w:szCs w:val="22"/>
              </w:rPr>
            </w:pPr>
            <w:r w:rsidRPr="00C661D0">
              <w:rPr>
                <w:b/>
                <w:bCs/>
                <w:sz w:val="22"/>
                <w:szCs w:val="22"/>
              </w:rPr>
              <w:t xml:space="preserve">Modelo 5 </w:t>
            </w:r>
            <w:r w:rsidRPr="00C661D0">
              <w:rPr>
                <w:sz w:val="22"/>
                <w:szCs w:val="22"/>
                <w:vertAlign w:val="superscript"/>
              </w:rPr>
              <w:t>(1)</w:t>
            </w:r>
            <w:r w:rsidRPr="00C661D0">
              <w:rPr>
                <w:b/>
                <w:bCs/>
                <w:sz w:val="22"/>
                <w:szCs w:val="22"/>
              </w:rPr>
              <w:br/>
            </w:r>
            <w:r w:rsidRPr="00C661D0">
              <w:rPr>
                <w:sz w:val="22"/>
                <w:szCs w:val="22"/>
              </w:rPr>
              <w:t>(Completo)</w:t>
            </w:r>
          </w:p>
        </w:tc>
        <w:tc>
          <w:tcPr>
            <w:tcW w:w="851" w:type="dxa"/>
            <w:tcBorders>
              <w:top w:val="single" w:sz="4" w:space="0" w:color="auto"/>
              <w:left w:val="nil"/>
              <w:bottom w:val="single" w:sz="4" w:space="0" w:color="auto"/>
              <w:right w:val="nil"/>
            </w:tcBorders>
            <w:shd w:val="clear" w:color="auto" w:fill="auto"/>
            <w:vAlign w:val="center"/>
            <w:hideMark/>
          </w:tcPr>
          <w:p w:rsidR="002513D2" w:rsidRPr="00C661D0" w:rsidRDefault="002513D2" w:rsidP="00826069">
            <w:pPr>
              <w:jc w:val="center"/>
              <w:rPr>
                <w:b/>
                <w:bCs/>
                <w:sz w:val="22"/>
                <w:szCs w:val="22"/>
              </w:rPr>
            </w:pPr>
            <w:r w:rsidRPr="00C661D0">
              <w:rPr>
                <w:b/>
                <w:bCs/>
                <w:sz w:val="22"/>
                <w:szCs w:val="22"/>
              </w:rPr>
              <w:t xml:space="preserve">Modelo 6 </w:t>
            </w:r>
            <w:r w:rsidRPr="00C661D0">
              <w:rPr>
                <w:sz w:val="22"/>
                <w:szCs w:val="22"/>
                <w:vertAlign w:val="superscript"/>
              </w:rPr>
              <w:t>(1)</w:t>
            </w:r>
            <w:r w:rsidRPr="00C661D0">
              <w:rPr>
                <w:b/>
                <w:bCs/>
                <w:sz w:val="22"/>
                <w:szCs w:val="22"/>
              </w:rPr>
              <w:br/>
            </w:r>
            <w:r w:rsidRPr="00C661D0">
              <w:rPr>
                <w:sz w:val="22"/>
                <w:szCs w:val="22"/>
              </w:rPr>
              <w:t>(Completo c/</w:t>
            </w:r>
            <w:proofErr w:type="spellStart"/>
            <w:r w:rsidRPr="00C661D0">
              <w:rPr>
                <w:i/>
                <w:iCs/>
                <w:sz w:val="22"/>
                <w:szCs w:val="22"/>
              </w:rPr>
              <w:t>dummies</w:t>
            </w:r>
            <w:proofErr w:type="spellEnd"/>
            <w:r w:rsidRPr="00C661D0">
              <w:rPr>
                <w:sz w:val="22"/>
                <w:szCs w:val="22"/>
              </w:rPr>
              <w:t>)</w:t>
            </w:r>
          </w:p>
        </w:tc>
        <w:tc>
          <w:tcPr>
            <w:tcW w:w="851" w:type="dxa"/>
            <w:tcBorders>
              <w:top w:val="single" w:sz="4" w:space="0" w:color="auto"/>
              <w:left w:val="nil"/>
              <w:bottom w:val="single" w:sz="4" w:space="0" w:color="auto"/>
              <w:right w:val="nil"/>
            </w:tcBorders>
            <w:shd w:val="clear" w:color="auto" w:fill="auto"/>
            <w:vAlign w:val="center"/>
            <w:hideMark/>
          </w:tcPr>
          <w:p w:rsidR="002513D2" w:rsidRPr="00C661D0" w:rsidRDefault="002513D2" w:rsidP="00826069">
            <w:pPr>
              <w:jc w:val="center"/>
              <w:rPr>
                <w:b/>
                <w:bCs/>
                <w:sz w:val="22"/>
                <w:szCs w:val="22"/>
              </w:rPr>
            </w:pPr>
            <w:r w:rsidRPr="00C661D0">
              <w:rPr>
                <w:b/>
                <w:bCs/>
                <w:sz w:val="22"/>
                <w:szCs w:val="22"/>
              </w:rPr>
              <w:t xml:space="preserve">Modelo 7 </w:t>
            </w:r>
            <w:r w:rsidRPr="00C661D0">
              <w:rPr>
                <w:sz w:val="22"/>
                <w:szCs w:val="22"/>
                <w:vertAlign w:val="superscript"/>
              </w:rPr>
              <w:t>(1)</w:t>
            </w:r>
            <w:r w:rsidRPr="00C661D0">
              <w:rPr>
                <w:b/>
                <w:bCs/>
                <w:sz w:val="22"/>
                <w:szCs w:val="22"/>
              </w:rPr>
              <w:br/>
            </w:r>
            <w:r w:rsidRPr="00C661D0">
              <w:rPr>
                <w:sz w:val="22"/>
                <w:szCs w:val="22"/>
              </w:rPr>
              <w:t>(Reduzido)</w:t>
            </w:r>
          </w:p>
        </w:tc>
        <w:tc>
          <w:tcPr>
            <w:tcW w:w="851" w:type="dxa"/>
            <w:tcBorders>
              <w:top w:val="single" w:sz="4" w:space="0" w:color="auto"/>
              <w:left w:val="nil"/>
              <w:bottom w:val="single" w:sz="4" w:space="0" w:color="auto"/>
              <w:right w:val="nil"/>
            </w:tcBorders>
            <w:shd w:val="clear" w:color="auto" w:fill="auto"/>
            <w:vAlign w:val="center"/>
            <w:hideMark/>
          </w:tcPr>
          <w:p w:rsidR="002513D2" w:rsidRPr="00C661D0" w:rsidRDefault="002513D2" w:rsidP="00826069">
            <w:pPr>
              <w:jc w:val="center"/>
              <w:rPr>
                <w:b/>
                <w:bCs/>
                <w:sz w:val="22"/>
                <w:szCs w:val="22"/>
              </w:rPr>
            </w:pPr>
            <w:r w:rsidRPr="00C661D0">
              <w:rPr>
                <w:b/>
                <w:bCs/>
                <w:sz w:val="22"/>
                <w:szCs w:val="22"/>
              </w:rPr>
              <w:t>Modelo 8</w:t>
            </w:r>
            <w:r w:rsidRPr="00C661D0">
              <w:rPr>
                <w:sz w:val="22"/>
                <w:szCs w:val="22"/>
                <w:vertAlign w:val="superscript"/>
              </w:rPr>
              <w:t xml:space="preserve"> (1)</w:t>
            </w:r>
            <w:r w:rsidRPr="00C661D0">
              <w:rPr>
                <w:b/>
                <w:bCs/>
                <w:sz w:val="22"/>
                <w:szCs w:val="22"/>
              </w:rPr>
              <w:br/>
            </w:r>
            <w:r w:rsidRPr="00C661D0">
              <w:rPr>
                <w:sz w:val="22"/>
                <w:szCs w:val="22"/>
              </w:rPr>
              <w:t xml:space="preserve">(Reduzido c/ </w:t>
            </w:r>
            <w:proofErr w:type="spellStart"/>
            <w:r w:rsidRPr="00C661D0">
              <w:rPr>
                <w:i/>
                <w:iCs/>
                <w:sz w:val="22"/>
                <w:szCs w:val="22"/>
              </w:rPr>
              <w:t>dummies</w:t>
            </w:r>
            <w:proofErr w:type="spellEnd"/>
            <w:r w:rsidRPr="00C661D0">
              <w:rPr>
                <w:sz w:val="22"/>
                <w:szCs w:val="22"/>
              </w:rPr>
              <w:t>)</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r w:rsidRPr="00C661D0">
              <w:rPr>
                <w:sz w:val="22"/>
                <w:szCs w:val="22"/>
              </w:rPr>
              <w:t xml:space="preserve">Crédito </w:t>
            </w:r>
            <w:r w:rsidRPr="00C661D0">
              <w:rPr>
                <w:sz w:val="22"/>
                <w:szCs w:val="22"/>
                <w:vertAlign w:val="subscript"/>
              </w:rPr>
              <w:t>t-1</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8554***</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8590***</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8264***</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8137***</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i/>
                <w:sz w:val="22"/>
                <w:szCs w:val="22"/>
              </w:rPr>
            </w:pPr>
            <w:r w:rsidRPr="00C661D0">
              <w:rPr>
                <w:i/>
                <w:sz w:val="22"/>
                <w:szCs w:val="22"/>
              </w:rPr>
              <w:t>Spread</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4585***</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3602***</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3636</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3484*</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r w:rsidRPr="00C661D0">
              <w:rPr>
                <w:sz w:val="22"/>
                <w:szCs w:val="22"/>
              </w:rPr>
              <w:t>TVM</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0598**</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095**</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1191**</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1707**</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r w:rsidRPr="00C661D0">
              <w:rPr>
                <w:sz w:val="22"/>
                <w:szCs w:val="22"/>
              </w:rPr>
              <w:t>Despesa de Captação</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5414***</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4880***</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4247*</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4324**</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r w:rsidRPr="00C661D0">
              <w:rPr>
                <w:sz w:val="22"/>
                <w:szCs w:val="22"/>
              </w:rPr>
              <w:t>Risco de Crédito</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0950**</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0741</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2052</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0894</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r w:rsidRPr="00C661D0">
              <w:rPr>
                <w:sz w:val="22"/>
                <w:szCs w:val="22"/>
              </w:rPr>
              <w:t>Índice de Basiléia</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0190</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0546</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i/>
                <w:iCs/>
                <w:sz w:val="22"/>
                <w:szCs w:val="22"/>
              </w:rPr>
            </w:pPr>
            <w:proofErr w:type="spellStart"/>
            <w:r w:rsidRPr="00C661D0">
              <w:rPr>
                <w:i/>
                <w:iCs/>
                <w:sz w:val="22"/>
                <w:szCs w:val="22"/>
              </w:rPr>
              <w:t>Dummy_spread</w:t>
            </w:r>
            <w:proofErr w:type="spellEnd"/>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i/>
                <w:iCs/>
                <w:sz w:val="22"/>
                <w:szCs w:val="22"/>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5059</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-1</w:t>
            </w:r>
            <w:r w:rsidR="00301980" w:rsidRPr="00C661D0">
              <w:rPr>
                <w:sz w:val="22"/>
                <w:szCs w:val="22"/>
              </w:rPr>
              <w:t>,</w:t>
            </w:r>
            <w:r w:rsidRPr="00C661D0">
              <w:rPr>
                <w:sz w:val="22"/>
                <w:szCs w:val="22"/>
              </w:rPr>
              <w:t>1263</w:t>
            </w:r>
          </w:p>
        </w:tc>
      </w:tr>
      <w:tr w:rsidR="002513D2" w:rsidRPr="00C661D0" w:rsidTr="00BC07A0">
        <w:trPr>
          <w:trHeight w:val="284"/>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proofErr w:type="spellStart"/>
            <w:r w:rsidRPr="00C661D0">
              <w:rPr>
                <w:i/>
                <w:iCs/>
                <w:sz w:val="22"/>
                <w:szCs w:val="22"/>
              </w:rPr>
              <w:t>Dummy</w:t>
            </w:r>
            <w:r w:rsidRPr="00C661D0">
              <w:rPr>
                <w:sz w:val="22"/>
                <w:szCs w:val="22"/>
              </w:rPr>
              <w:t>_tvm</w:t>
            </w:r>
            <w:proofErr w:type="spellEnd"/>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2"/>
                <w:szCs w:val="22"/>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1998</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2766</w:t>
            </w:r>
          </w:p>
        </w:tc>
      </w:tr>
      <w:tr w:rsidR="002513D2" w:rsidRPr="00C661D0" w:rsidTr="00BC07A0">
        <w:trPr>
          <w:trHeight w:val="284"/>
        </w:trPr>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rPr>
                <w:sz w:val="22"/>
                <w:szCs w:val="22"/>
              </w:rPr>
            </w:pPr>
            <w:r w:rsidRPr="00C661D0">
              <w:rPr>
                <w:sz w:val="22"/>
                <w:szCs w:val="22"/>
              </w:rPr>
              <w:t>Constante</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0584***</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0739***</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0663**</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0</w:t>
            </w:r>
            <w:r w:rsidR="00301980" w:rsidRPr="00C661D0">
              <w:rPr>
                <w:sz w:val="22"/>
                <w:szCs w:val="22"/>
              </w:rPr>
              <w:t>,</w:t>
            </w:r>
            <w:r w:rsidRPr="00C661D0">
              <w:rPr>
                <w:sz w:val="22"/>
                <w:szCs w:val="22"/>
              </w:rPr>
              <w:t>1109***</w:t>
            </w:r>
          </w:p>
        </w:tc>
      </w:tr>
      <w:tr w:rsidR="002513D2" w:rsidRPr="00C661D0" w:rsidTr="00BC07A0">
        <w:trPr>
          <w:trHeight w:val="227"/>
        </w:trPr>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N</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3525</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3525</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2200</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2200</w:t>
            </w:r>
          </w:p>
        </w:tc>
      </w:tr>
      <w:tr w:rsidR="002513D2" w:rsidRPr="00C661D0" w:rsidTr="00BC07A0">
        <w:trPr>
          <w:trHeight w:val="227"/>
        </w:trPr>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lang w:val="en-US"/>
              </w:rPr>
            </w:pPr>
            <w:r w:rsidRPr="00C661D0">
              <w:rPr>
                <w:sz w:val="22"/>
                <w:szCs w:val="22"/>
                <w:lang w:val="en-US"/>
              </w:rPr>
              <w:t xml:space="preserve">Arellano-Bond test for </w:t>
            </w:r>
            <w:proofErr w:type="gramStart"/>
            <w:r w:rsidRPr="00C661D0">
              <w:rPr>
                <w:sz w:val="22"/>
                <w:szCs w:val="22"/>
                <w:lang w:val="en-US"/>
              </w:rPr>
              <w:t>AR(</w:t>
            </w:r>
            <w:proofErr w:type="gramEnd"/>
            <w:r w:rsidRPr="00C661D0">
              <w:rPr>
                <w:sz w:val="22"/>
                <w:szCs w:val="22"/>
                <w:lang w:val="en-US"/>
              </w:rPr>
              <w:t>2) [</w:t>
            </w:r>
            <w:proofErr w:type="spellStart"/>
            <w:r w:rsidRPr="00C661D0">
              <w:rPr>
                <w:sz w:val="22"/>
                <w:szCs w:val="22"/>
                <w:lang w:val="en-US"/>
              </w:rPr>
              <w:t>prob</w:t>
            </w:r>
            <w:proofErr w:type="spellEnd"/>
            <w:r w:rsidRPr="00C661D0">
              <w:rPr>
                <w:sz w:val="22"/>
                <w:szCs w:val="22"/>
                <w:lang w:val="en-US"/>
              </w:rPr>
              <w:t>]</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2,78 [0,01]</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2,72 [0,01]</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1,95 [0,05]</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1,94 [0,05]</w:t>
            </w:r>
          </w:p>
        </w:tc>
      </w:tr>
      <w:tr w:rsidR="002513D2" w:rsidRPr="00C661D0" w:rsidTr="00BC07A0">
        <w:trPr>
          <w:trHeight w:val="227"/>
        </w:trPr>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lang w:val="en-US"/>
              </w:rPr>
            </w:pPr>
            <w:r w:rsidRPr="00C661D0">
              <w:rPr>
                <w:sz w:val="22"/>
                <w:szCs w:val="22"/>
                <w:lang w:val="en-US"/>
              </w:rPr>
              <w:t xml:space="preserve">Hansen test of </w:t>
            </w:r>
            <w:proofErr w:type="spellStart"/>
            <w:r w:rsidRPr="00C661D0">
              <w:rPr>
                <w:sz w:val="22"/>
                <w:szCs w:val="22"/>
                <w:lang w:val="en-US"/>
              </w:rPr>
              <w:t>overid</w:t>
            </w:r>
            <w:proofErr w:type="spellEnd"/>
            <w:r w:rsidRPr="00C661D0">
              <w:rPr>
                <w:sz w:val="22"/>
                <w:szCs w:val="22"/>
                <w:lang w:val="en-US"/>
              </w:rPr>
              <w:t xml:space="preserve"> [</w:t>
            </w:r>
            <w:proofErr w:type="spellStart"/>
            <w:r w:rsidRPr="00C661D0">
              <w:rPr>
                <w:sz w:val="22"/>
                <w:szCs w:val="22"/>
                <w:lang w:val="en-US"/>
              </w:rPr>
              <w:t>prob</w:t>
            </w:r>
            <w:proofErr w:type="spellEnd"/>
            <w:r w:rsidRPr="00C661D0">
              <w:rPr>
                <w:sz w:val="22"/>
                <w:szCs w:val="22"/>
                <w:lang w:val="en-US"/>
              </w:rPr>
              <w:t>]</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71,38 [0,94]</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67,42 [0,96]</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47,03 [1,00]</w:t>
            </w:r>
          </w:p>
        </w:tc>
        <w:tc>
          <w:tcPr>
            <w:tcW w:w="851" w:type="dxa"/>
            <w:tcBorders>
              <w:top w:val="nil"/>
              <w:left w:val="nil"/>
              <w:bottom w:val="single" w:sz="4" w:space="0" w:color="auto"/>
              <w:right w:val="nil"/>
            </w:tcBorders>
            <w:shd w:val="clear" w:color="auto" w:fill="auto"/>
            <w:noWrap/>
            <w:vAlign w:val="center"/>
            <w:hideMark/>
          </w:tcPr>
          <w:p w:rsidR="002513D2" w:rsidRPr="00C661D0" w:rsidRDefault="002513D2" w:rsidP="00826069">
            <w:pPr>
              <w:jc w:val="center"/>
              <w:rPr>
                <w:sz w:val="22"/>
                <w:szCs w:val="22"/>
              </w:rPr>
            </w:pPr>
            <w:r w:rsidRPr="00C661D0">
              <w:rPr>
                <w:sz w:val="22"/>
                <w:szCs w:val="22"/>
              </w:rPr>
              <w:t>41,05 [1,00]</w:t>
            </w:r>
          </w:p>
        </w:tc>
      </w:tr>
      <w:tr w:rsidR="002513D2" w:rsidRPr="00C661D0" w:rsidTr="00BC07A0">
        <w:trPr>
          <w:trHeight w:val="227"/>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r w:rsidRPr="00C661D0">
              <w:rPr>
                <w:sz w:val="20"/>
                <w:szCs w:val="20"/>
              </w:rPr>
              <w:t>Fonte: Elaboração própria</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jc w:val="center"/>
              <w:rPr>
                <w:sz w:val="20"/>
                <w:szCs w:val="20"/>
              </w:rPr>
            </w:pPr>
          </w:p>
        </w:tc>
      </w:tr>
      <w:tr w:rsidR="002513D2" w:rsidRPr="00C661D0" w:rsidTr="00BC07A0">
        <w:trPr>
          <w:trHeight w:val="227"/>
        </w:trPr>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r w:rsidRPr="00C661D0">
              <w:rPr>
                <w:sz w:val="20"/>
                <w:szCs w:val="20"/>
              </w:rPr>
              <w:t xml:space="preserve">Notas: </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p>
        </w:tc>
        <w:tc>
          <w:tcPr>
            <w:tcW w:w="851" w:type="dxa"/>
            <w:tcBorders>
              <w:top w:val="nil"/>
              <w:left w:val="nil"/>
              <w:bottom w:val="nil"/>
              <w:right w:val="nil"/>
            </w:tcBorders>
            <w:shd w:val="clear" w:color="auto" w:fill="auto"/>
            <w:noWrap/>
            <w:vAlign w:val="center"/>
            <w:hideMark/>
          </w:tcPr>
          <w:p w:rsidR="002513D2" w:rsidRPr="00C661D0" w:rsidRDefault="002513D2" w:rsidP="00826069">
            <w:pPr>
              <w:rPr>
                <w:sz w:val="20"/>
                <w:szCs w:val="20"/>
              </w:rPr>
            </w:pPr>
          </w:p>
        </w:tc>
      </w:tr>
      <w:tr w:rsidR="002513D2" w:rsidRPr="00C661D0" w:rsidTr="00BC07A0">
        <w:trPr>
          <w:trHeight w:val="227"/>
        </w:trPr>
        <w:tc>
          <w:tcPr>
            <w:tcW w:w="851" w:type="dxa"/>
            <w:gridSpan w:val="4"/>
            <w:tcBorders>
              <w:top w:val="nil"/>
              <w:left w:val="nil"/>
              <w:bottom w:val="nil"/>
              <w:right w:val="nil"/>
            </w:tcBorders>
            <w:shd w:val="clear" w:color="auto" w:fill="auto"/>
            <w:noWrap/>
            <w:vAlign w:val="center"/>
            <w:hideMark/>
          </w:tcPr>
          <w:p w:rsidR="002513D2" w:rsidRPr="00C661D0" w:rsidRDefault="002513D2" w:rsidP="00826069">
            <w:pPr>
              <w:ind w:firstLineChars="300" w:firstLine="600"/>
              <w:rPr>
                <w:sz w:val="20"/>
                <w:szCs w:val="20"/>
              </w:rPr>
            </w:pPr>
            <w:r w:rsidRPr="00C661D0">
              <w:rPr>
                <w:sz w:val="20"/>
                <w:szCs w:val="20"/>
              </w:rPr>
              <w:t>* Significante a 10%; ** Significante a 5%; *** Significante a 1%.</w:t>
            </w:r>
          </w:p>
        </w:tc>
        <w:tc>
          <w:tcPr>
            <w:tcW w:w="851" w:type="dxa"/>
            <w:tcBorders>
              <w:top w:val="nil"/>
              <w:left w:val="nil"/>
              <w:bottom w:val="nil"/>
              <w:right w:val="nil"/>
            </w:tcBorders>
            <w:shd w:val="clear" w:color="auto" w:fill="auto"/>
            <w:noWrap/>
            <w:vAlign w:val="center"/>
            <w:hideMark/>
          </w:tcPr>
          <w:p w:rsidR="002513D2" w:rsidRPr="00C661D0" w:rsidRDefault="002513D2" w:rsidP="00826069">
            <w:pPr>
              <w:ind w:firstLineChars="300" w:firstLine="600"/>
              <w:rPr>
                <w:sz w:val="20"/>
                <w:szCs w:val="20"/>
              </w:rPr>
            </w:pPr>
          </w:p>
        </w:tc>
      </w:tr>
      <w:tr w:rsidR="002513D2" w:rsidRPr="00386176" w:rsidTr="00BC07A0">
        <w:trPr>
          <w:trHeight w:val="227"/>
        </w:trPr>
        <w:tc>
          <w:tcPr>
            <w:tcW w:w="851" w:type="dxa"/>
            <w:gridSpan w:val="5"/>
            <w:tcBorders>
              <w:top w:val="nil"/>
              <w:left w:val="nil"/>
              <w:bottom w:val="nil"/>
              <w:right w:val="nil"/>
            </w:tcBorders>
            <w:shd w:val="clear" w:color="auto" w:fill="auto"/>
            <w:noWrap/>
            <w:vAlign w:val="center"/>
            <w:hideMark/>
          </w:tcPr>
          <w:p w:rsidR="002513D2" w:rsidRPr="00386176" w:rsidRDefault="002513D2" w:rsidP="00826069">
            <w:pPr>
              <w:ind w:firstLineChars="300" w:firstLine="600"/>
              <w:rPr>
                <w:sz w:val="20"/>
                <w:szCs w:val="20"/>
              </w:rPr>
            </w:pPr>
            <w:proofErr w:type="gramStart"/>
            <w:r w:rsidRPr="00C661D0">
              <w:rPr>
                <w:sz w:val="20"/>
                <w:szCs w:val="20"/>
                <w:vertAlign w:val="superscript"/>
              </w:rPr>
              <w:t>(1)</w:t>
            </w:r>
            <w:r w:rsidRPr="00C661D0">
              <w:rPr>
                <w:sz w:val="20"/>
                <w:szCs w:val="20"/>
              </w:rPr>
              <w:t xml:space="preserve"> Considerou-se</w:t>
            </w:r>
            <w:proofErr w:type="gramEnd"/>
            <w:r w:rsidRPr="00C661D0">
              <w:rPr>
                <w:sz w:val="20"/>
                <w:szCs w:val="20"/>
              </w:rPr>
              <w:t xml:space="preserve"> uma matriz de variância robusta para todas as estimações realizadas.</w:t>
            </w:r>
          </w:p>
        </w:tc>
      </w:tr>
    </w:tbl>
    <w:p w:rsidR="00C50613" w:rsidRPr="009F505D" w:rsidRDefault="00C50613" w:rsidP="00826069">
      <w:pPr>
        <w:pStyle w:val="Ttulo2"/>
        <w:numPr>
          <w:ilvl w:val="1"/>
          <w:numId w:val="9"/>
        </w:numPr>
        <w:spacing w:before="240" w:line="240" w:lineRule="auto"/>
        <w:ind w:left="431" w:hanging="431"/>
        <w:rPr>
          <w:rFonts w:ascii="Times New Roman" w:hAnsi="Times New Roman" w:cs="Times New Roman"/>
          <w:sz w:val="24"/>
          <w:szCs w:val="24"/>
        </w:rPr>
      </w:pPr>
      <w:bookmarkStart w:id="78" w:name="_Toc451294374"/>
      <w:r w:rsidRPr="009F505D">
        <w:rPr>
          <w:rFonts w:ascii="Times New Roman" w:hAnsi="Times New Roman" w:cs="Times New Roman"/>
          <w:sz w:val="24"/>
          <w:szCs w:val="24"/>
        </w:rPr>
        <w:lastRenderedPageBreak/>
        <w:t>CONCLUSÃO</w:t>
      </w:r>
      <w:bookmarkEnd w:id="78"/>
      <w:r w:rsidRPr="009F505D">
        <w:rPr>
          <w:rFonts w:ascii="Times New Roman" w:hAnsi="Times New Roman" w:cs="Times New Roman"/>
          <w:sz w:val="24"/>
          <w:szCs w:val="24"/>
        </w:rPr>
        <w:t xml:space="preserve"> </w:t>
      </w:r>
    </w:p>
    <w:p w:rsidR="00C50613" w:rsidRPr="00386176" w:rsidRDefault="00B13A55" w:rsidP="00826069">
      <w:pPr>
        <w:ind w:firstLine="708"/>
        <w:jc w:val="both"/>
        <w:rPr>
          <w:bCs/>
        </w:rPr>
      </w:pPr>
      <w:r>
        <w:rPr>
          <w:bCs/>
        </w:rPr>
        <w:t>Este artigo</w:t>
      </w:r>
      <w:r w:rsidR="00C50613" w:rsidRPr="00386176">
        <w:rPr>
          <w:bCs/>
        </w:rPr>
        <w:t xml:space="preserve"> teve como objetivo principal analisar os determinantes do crédito bancário no Brasil, sob a ótica da oferta. Para isso, considerou-se um painel balanceado composto por 75 instituições financeiras no período entre 2001 e 2012. Dado que a análise buscou estudar o efeito das estratégias dos bancos e da política monetária sobre a oferta de crédito, o modelo empírico estimado utilizou, inicialmente, todas as candidatas a variáveis explicativas micro e macroeconômicas. Porém, o modelo final, resultante da estratégia de modelagem empregada, constatou que não houve impacto direto do ambiente macroeconômico sobre a oferta de crédito no período analisado, considerando que o governo adotou uma política creditícia anticíclica de forma a reaquecer a economia, principalmente, após a crise internacional de 2008. Essa política foi liderada pelas instituições financeiras públicas que serviram como indutoras de comportamento das demais instituições, que se viram obrigadas a seguir em linha com os bancos públicos de modo a manter a participação de mercado. Além disso, o crescimento das concessões a pessoas físicas, que são menos sensíveis às variações do ambiente econômico, também contribuiu para que a política monetária tivesse pouca influência sobre a expansão do crédito.</w:t>
      </w:r>
    </w:p>
    <w:p w:rsidR="006C45BD" w:rsidRPr="00386176" w:rsidRDefault="00C50613" w:rsidP="00826069">
      <w:pPr>
        <w:ind w:firstLine="708"/>
        <w:jc w:val="both"/>
        <w:rPr>
          <w:bCs/>
        </w:rPr>
      </w:pPr>
      <w:r w:rsidRPr="00386176">
        <w:rPr>
          <w:bCs/>
        </w:rPr>
        <w:t xml:space="preserve">Assim, as estimações estáticas resultaram em um modelo composto somente por características específicas dos bancos, sendo possível comprovar a importância da estratégia adotada por cada instituição financeira como determinante da oferta de crédito bancário. Nesse contexto, destacam-se as variáveis volume de TVM, despesa com captação, risco de crédito e Índice de Basiléia que afetam negativamente o crédito, bem como o </w:t>
      </w:r>
      <w:r w:rsidRPr="00386176">
        <w:rPr>
          <w:bCs/>
          <w:i/>
        </w:rPr>
        <w:t>spread</w:t>
      </w:r>
      <w:r w:rsidRPr="00386176">
        <w:rPr>
          <w:bCs/>
        </w:rPr>
        <w:t xml:space="preserve"> que possui influência positiva. Ressalta-se, ainda, que as variáveis aplicações em TVM e risco de crédito evidenciam a preferência pela liquidez das instituições financeiras brasileiras. </w:t>
      </w:r>
      <w:r w:rsidR="006C45BD" w:rsidRPr="00386176">
        <w:rPr>
          <w:bCs/>
        </w:rPr>
        <w:t>Em relação ao Índice de Basiléia, o sinal negativo dessa variável indica que a preferência pela liquidez das instituições brasileiras pode impactar diretamente nesse índice, dada a alta participação de títulos nos ativos das instituições financeiras brasileiras e a relação positiva entre esses ativos e o excedente de capital. Quanto ao controle do capital, a evidência empírica sugere diferenças no comportamento das instituições públicas e privadas, principalm</w:t>
      </w:r>
      <w:r w:rsidR="0042238E" w:rsidRPr="00386176">
        <w:rPr>
          <w:bCs/>
        </w:rPr>
        <w:t>ente, em relação ao volume de T</w:t>
      </w:r>
      <w:r w:rsidR="006C45BD" w:rsidRPr="00386176">
        <w:rPr>
          <w:bCs/>
        </w:rPr>
        <w:t>V</w:t>
      </w:r>
      <w:r w:rsidR="0042238E" w:rsidRPr="00386176">
        <w:rPr>
          <w:bCs/>
        </w:rPr>
        <w:t>M</w:t>
      </w:r>
      <w:r w:rsidR="00E6545A" w:rsidRPr="00386176">
        <w:rPr>
          <w:bCs/>
        </w:rPr>
        <w:t xml:space="preserve"> </w:t>
      </w:r>
      <w:r w:rsidR="006C45BD" w:rsidRPr="00386176">
        <w:rPr>
          <w:bCs/>
        </w:rPr>
        <w:t xml:space="preserve">em carteira e à taxa de </w:t>
      </w:r>
      <w:r w:rsidR="006C45BD" w:rsidRPr="00386176">
        <w:rPr>
          <w:bCs/>
          <w:i/>
        </w:rPr>
        <w:t>spread</w:t>
      </w:r>
      <w:r w:rsidR="006C45BD" w:rsidRPr="00386176">
        <w:rPr>
          <w:bCs/>
        </w:rPr>
        <w:t xml:space="preserve"> obtida por meio da intermediação financeira. Nos bancos públicos, o efeito dessas variáveis sobre a oferta de crédito é potencializado. </w:t>
      </w:r>
    </w:p>
    <w:p w:rsidR="00C50613" w:rsidRPr="00386176" w:rsidRDefault="00C50613" w:rsidP="00826069">
      <w:pPr>
        <w:ind w:firstLine="708"/>
        <w:jc w:val="both"/>
        <w:rPr>
          <w:bCs/>
        </w:rPr>
      </w:pPr>
      <w:r w:rsidRPr="00386176">
        <w:rPr>
          <w:bCs/>
        </w:rPr>
        <w:t xml:space="preserve">A estimação do modelo dinâmico evidenciou um efeito inercial </w:t>
      </w:r>
      <w:r w:rsidR="006C45BD" w:rsidRPr="00386176">
        <w:rPr>
          <w:bCs/>
        </w:rPr>
        <w:t>forte</w:t>
      </w:r>
      <w:r w:rsidRPr="00386176">
        <w:rPr>
          <w:bCs/>
        </w:rPr>
        <w:t xml:space="preserve"> do crédito justificado pela relação existente entre o volume ofertado e o estoque de operações anteriormente contratadas. Como já mencionado, o modelo resultante não obteve significância estatística para nenhuma variável macroeconômica. Contudo, nota-se o impacto direto da taxa Selic, principal instrumento da política monetária, sobre as variáveis significativas do modelo estimado. Logo, uma hipótese para explicar a presença do </w:t>
      </w:r>
      <w:r w:rsidRPr="00386176">
        <w:rPr>
          <w:bCs/>
          <w:i/>
        </w:rPr>
        <w:t>spread</w:t>
      </w:r>
      <w:r w:rsidRPr="00386176">
        <w:rPr>
          <w:bCs/>
        </w:rPr>
        <w:t xml:space="preserve"> no modelo em detrimento dessa taxa relaciona-se ao fato de que este representa o aumento do preço do crédito para o tomador, afetando a demanda, bem como o aumento do custo para as instituições financeiras, impactando a oferta. Em relação ao volume de TVM na carteira de ativos do banco, a taxa Selic </w:t>
      </w:r>
      <w:r w:rsidR="0042238E" w:rsidRPr="00386176">
        <w:rPr>
          <w:bCs/>
        </w:rPr>
        <w:t>influencia</w:t>
      </w:r>
      <w:r w:rsidRPr="00386176">
        <w:rPr>
          <w:bCs/>
        </w:rPr>
        <w:t xml:space="preserve"> diretamente na rentabilidade dessas operações, influenciando a decisão de investimento das instituições financeiras. Já a despesa de captação pode ser influenciada pela Selic, já que a principal modalidade de captação, o CDB, costuma ser indexado à taxa CDI que é altamente correlacionada com a Selic. O risco de crédito também sofre influência da taxa Selic, pois quando esta aumenta, os bancos tendem a repassar esse custo para o tomador, elevando as taxas dos empréstimos, aumentando a probabilidade de inadimplência.</w:t>
      </w:r>
      <w:bookmarkStart w:id="79" w:name="_GoBack"/>
      <w:bookmarkEnd w:id="79"/>
    </w:p>
    <w:p w:rsidR="0034230E" w:rsidRDefault="00157FB5" w:rsidP="0034230E">
      <w:pPr>
        <w:ind w:firstLine="709"/>
        <w:jc w:val="both"/>
        <w:rPr>
          <w:bCs/>
        </w:rPr>
      </w:pPr>
      <w:r w:rsidRPr="00386176">
        <w:rPr>
          <w:bCs/>
        </w:rPr>
        <w:t xml:space="preserve">Por outro lado, o saldo do crédito, por ser formado não só pelas novas concessões, mas, principalmente, pelo estoque de empréstimos concedido em períodos anteriores, já indica o resultado de equilíbrio de mercado, caracterizado pela oferta e </w:t>
      </w:r>
      <w:proofErr w:type="gramStart"/>
      <w:r w:rsidRPr="00386176">
        <w:rPr>
          <w:bCs/>
        </w:rPr>
        <w:t>pela demanda pretéritas</w:t>
      </w:r>
      <w:proofErr w:type="gramEnd"/>
      <w:r w:rsidRPr="00386176">
        <w:rPr>
          <w:bCs/>
        </w:rPr>
        <w:t xml:space="preserve">. Assim, a avaliação das concessões de empréstimos pode ser mais eficiente na análise dos determinantes macroeconômicos do </w:t>
      </w:r>
      <w:r w:rsidRPr="00386176">
        <w:rPr>
          <w:bCs/>
        </w:rPr>
        <w:lastRenderedPageBreak/>
        <w:t>crédito bancário do que o saldo</w:t>
      </w:r>
      <w:r w:rsidR="008219D1">
        <w:rPr>
          <w:rStyle w:val="Refdenotaderodap"/>
          <w:bCs/>
        </w:rPr>
        <w:footnoteReference w:id="15"/>
      </w:r>
      <w:r w:rsidRPr="00386176">
        <w:rPr>
          <w:bCs/>
        </w:rPr>
        <w:t xml:space="preserve">. </w:t>
      </w:r>
      <w:r w:rsidR="00E6545A" w:rsidRPr="00386176">
        <w:rPr>
          <w:bCs/>
        </w:rPr>
        <w:t>Nesse contexto</w:t>
      </w:r>
      <w:r w:rsidRPr="00386176">
        <w:rPr>
          <w:bCs/>
        </w:rPr>
        <w:t>, p</w:t>
      </w:r>
      <w:r w:rsidR="00C50613" w:rsidRPr="00386176">
        <w:rPr>
          <w:bCs/>
        </w:rPr>
        <w:t xml:space="preserve">ara pesquisas futuras, sugere-se </w:t>
      </w:r>
      <w:r w:rsidR="000231E1" w:rsidRPr="00386176">
        <w:rPr>
          <w:bCs/>
        </w:rPr>
        <w:t>a utilização de outra base de dados, visto que a utilizada neste estudo foi descontinuada</w:t>
      </w:r>
      <w:r w:rsidR="00235783" w:rsidRPr="00386176">
        <w:rPr>
          <w:bCs/>
        </w:rPr>
        <w:t xml:space="preserve"> em 2012</w:t>
      </w:r>
      <w:r w:rsidRPr="00386176">
        <w:rPr>
          <w:bCs/>
        </w:rPr>
        <w:t xml:space="preserve"> e que apenas possui informações dos saldos dos empréstimos</w:t>
      </w:r>
      <w:r w:rsidR="000231E1" w:rsidRPr="00386176">
        <w:rPr>
          <w:bCs/>
        </w:rPr>
        <w:t xml:space="preserve">. </w:t>
      </w:r>
      <w:r w:rsidR="00C50613" w:rsidRPr="00386176">
        <w:rPr>
          <w:bCs/>
        </w:rPr>
        <w:t xml:space="preserve">Acredita-se que, assim, será possível </w:t>
      </w:r>
      <w:r w:rsidR="000231E1" w:rsidRPr="00386176">
        <w:rPr>
          <w:bCs/>
        </w:rPr>
        <w:t>evidenciar</w:t>
      </w:r>
      <w:r w:rsidR="00C50613" w:rsidRPr="00386176">
        <w:rPr>
          <w:bCs/>
        </w:rPr>
        <w:t xml:space="preserve"> empiricamente os impactos da política econômica sobre o crédito bancário.</w:t>
      </w:r>
    </w:p>
    <w:p w:rsidR="0034230E" w:rsidRDefault="0034230E" w:rsidP="0034230E">
      <w:pPr>
        <w:ind w:firstLine="709"/>
        <w:jc w:val="both"/>
      </w:pPr>
    </w:p>
    <w:sdt>
      <w:sdtPr>
        <w:rPr>
          <w:rFonts w:eastAsiaTheme="minorHAnsi" w:cstheme="minorBidi"/>
          <w:b/>
          <w:lang w:eastAsia="en-US"/>
        </w:rPr>
        <w:id w:val="-1516071879"/>
        <w:docPartObj>
          <w:docPartGallery w:val="Bibliographies"/>
          <w:docPartUnique/>
        </w:docPartObj>
      </w:sdtPr>
      <w:sdtEndPr>
        <w:rPr>
          <w:b w:val="0"/>
        </w:rPr>
      </w:sdtEndPr>
      <w:sdtContent>
        <w:sdt>
          <w:sdtPr>
            <w:rPr>
              <w:rFonts w:eastAsiaTheme="minorHAnsi" w:cstheme="minorBidi"/>
              <w:b/>
              <w:noProof/>
              <w:lang w:eastAsia="en-US"/>
            </w:rPr>
            <w:id w:val="-960497512"/>
            <w:docPartObj>
              <w:docPartGallery w:val="Bibliographies"/>
              <w:docPartUnique/>
            </w:docPartObj>
          </w:sdtPr>
          <w:sdtEndPr>
            <w:rPr>
              <w:b w:val="0"/>
              <w:noProof w:val="0"/>
            </w:rPr>
          </w:sdtEndPr>
          <w:sdtContent>
            <w:bookmarkStart w:id="80" w:name="_Toc451294398" w:displacedByCustomXml="prev"/>
            <w:p w:rsidR="001847A4" w:rsidRDefault="001847A4" w:rsidP="0034230E">
              <w:pPr>
                <w:rPr>
                  <w:b/>
                </w:rPr>
              </w:pPr>
              <w:r w:rsidRPr="0034230E">
                <w:rPr>
                  <w:b/>
                </w:rPr>
                <w:t>REFERÊNCIAS</w:t>
              </w:r>
              <w:bookmarkEnd w:id="80"/>
            </w:p>
            <w:p w:rsidR="0034230E" w:rsidRPr="0034230E" w:rsidRDefault="0034230E" w:rsidP="0034230E">
              <w:pPr>
                <w:rPr>
                  <w:b/>
                </w:rPr>
              </w:pPr>
            </w:p>
            <w:p w:rsidR="00C12580" w:rsidRDefault="001847A4" w:rsidP="00C12580">
              <w:pPr>
                <w:pStyle w:val="Bibliografia"/>
                <w:rPr>
                  <w:noProof/>
                </w:rPr>
              </w:pPr>
              <w:r w:rsidRPr="00386176">
                <w:rPr>
                  <w:rFonts w:cs="Times New Roman"/>
                </w:rPr>
                <w:fldChar w:fldCharType="begin"/>
              </w:r>
              <w:r w:rsidRPr="00386176">
                <w:rPr>
                  <w:rFonts w:cs="Times New Roman"/>
                </w:rPr>
                <w:instrText>BIBLIOGRAPHY</w:instrText>
              </w:r>
              <w:r w:rsidRPr="00386176">
                <w:rPr>
                  <w:rFonts w:cs="Times New Roman"/>
                </w:rPr>
                <w:fldChar w:fldCharType="separate"/>
              </w:r>
              <w:r w:rsidR="00C12580">
                <w:rPr>
                  <w:noProof/>
                </w:rPr>
                <w:t xml:space="preserve">ARAÚJO, L. A. D. D.; JORGE NETO, P. D. M. Risco e Competição Bancária no Brasil. </w:t>
              </w:r>
              <w:r w:rsidR="00C12580">
                <w:rPr>
                  <w:b/>
                  <w:bCs/>
                  <w:noProof/>
                </w:rPr>
                <w:t>Revista Brasileira de Economia</w:t>
              </w:r>
              <w:r w:rsidR="00C12580">
                <w:rPr>
                  <w:noProof/>
                </w:rPr>
                <w:t>, v. 61, n. 2, p. p. 175–200, 2007.</w:t>
              </w:r>
            </w:p>
            <w:p w:rsidR="00C12580" w:rsidRDefault="00C12580" w:rsidP="00C12580">
              <w:pPr>
                <w:pStyle w:val="Bibliografia"/>
                <w:rPr>
                  <w:noProof/>
                </w:rPr>
              </w:pPr>
              <w:r>
                <w:rPr>
                  <w:noProof/>
                </w:rPr>
                <w:t xml:space="preserve">ARAÚJO, L. A. D. D.; NETO, P. D. M. J.; LINHARES, F. Capital, Risco e Regulação dos Bancos no Brasil. </w:t>
              </w:r>
              <w:r>
                <w:rPr>
                  <w:b/>
                  <w:bCs/>
                  <w:noProof/>
                </w:rPr>
                <w:t>Pesquisa e Planejamento Econômico</w:t>
              </w:r>
              <w:r>
                <w:rPr>
                  <w:noProof/>
                </w:rPr>
                <w:t>, v. 38, n. 3, p. 459-486, 2008.</w:t>
              </w:r>
            </w:p>
            <w:p w:rsidR="00C12580" w:rsidRPr="00C12580" w:rsidRDefault="00C12580" w:rsidP="00C12580">
              <w:pPr>
                <w:pStyle w:val="Bibliografia"/>
                <w:rPr>
                  <w:noProof/>
                  <w:lang w:val="en-US"/>
                </w:rPr>
              </w:pPr>
              <w:r>
                <w:rPr>
                  <w:noProof/>
                </w:rPr>
                <w:t xml:space="preserve">ARAUJO, V. L. D. Preferência pela Liquidez do Setor Bancário no Ciclo de Expansão do Crédito no Brasil: 2003-2010. </w:t>
              </w:r>
              <w:r w:rsidRPr="00C12580">
                <w:rPr>
                  <w:b/>
                  <w:bCs/>
                  <w:noProof/>
                  <w:lang w:val="en-US"/>
                </w:rPr>
                <w:t>Análise Econômica</w:t>
              </w:r>
              <w:r w:rsidRPr="00C12580">
                <w:rPr>
                  <w:noProof/>
                  <w:lang w:val="en-US"/>
                </w:rPr>
                <w:t>, Porto Alegre. n. 59, p. 47-75, 2013.</w:t>
              </w:r>
            </w:p>
            <w:p w:rsidR="00C12580" w:rsidRPr="00C12580" w:rsidRDefault="00C12580" w:rsidP="00C12580">
              <w:pPr>
                <w:pStyle w:val="Bibliografia"/>
                <w:rPr>
                  <w:noProof/>
                  <w:lang w:val="en-US"/>
                </w:rPr>
              </w:pPr>
              <w:r w:rsidRPr="00C12580">
                <w:rPr>
                  <w:noProof/>
                  <w:lang w:val="en-US"/>
                </w:rPr>
                <w:t xml:space="preserve">ARELLANO, M.; BOND, S. R. Some tests of specification for panel data: Monte Carlo evidence and an application to employment equations. </w:t>
              </w:r>
              <w:r w:rsidRPr="00C12580">
                <w:rPr>
                  <w:b/>
                  <w:bCs/>
                  <w:noProof/>
                  <w:lang w:val="en-US"/>
                </w:rPr>
                <w:t>The Review of Economic</w:t>
              </w:r>
              <w:r w:rsidRPr="00C12580">
                <w:rPr>
                  <w:noProof/>
                  <w:lang w:val="en-US"/>
                </w:rPr>
                <w:t>, n. 58, p. 277-297, 1991.</w:t>
              </w:r>
            </w:p>
            <w:p w:rsidR="00C12580" w:rsidRDefault="00C12580" w:rsidP="00C12580">
              <w:pPr>
                <w:pStyle w:val="Bibliografia"/>
                <w:rPr>
                  <w:noProof/>
                </w:rPr>
              </w:pPr>
              <w:r w:rsidRPr="00C12580">
                <w:rPr>
                  <w:noProof/>
                  <w:lang w:val="en-US"/>
                </w:rPr>
                <w:t xml:space="preserve">ARELLANO, M.; BOVER, O. Another look at instrumental variables estimation of error componente models. </w:t>
              </w:r>
              <w:r>
                <w:rPr>
                  <w:b/>
                  <w:bCs/>
                  <w:noProof/>
                </w:rPr>
                <w:t>Journal of econometrics</w:t>
              </w:r>
              <w:r>
                <w:rPr>
                  <w:noProof/>
                </w:rPr>
                <w:t>. n. 115, p. 125-157, 1995.</w:t>
              </w:r>
            </w:p>
            <w:p w:rsidR="00C12580" w:rsidRDefault="00C12580" w:rsidP="00C12580">
              <w:pPr>
                <w:pStyle w:val="Bibliografia"/>
                <w:rPr>
                  <w:noProof/>
                </w:rPr>
              </w:pPr>
              <w:r>
                <w:rPr>
                  <w:noProof/>
                </w:rPr>
                <w:t xml:space="preserve">BANCO CENTRAL DO BRASIL. </w:t>
              </w:r>
              <w:r>
                <w:rPr>
                  <w:b/>
                  <w:bCs/>
                  <w:noProof/>
                </w:rPr>
                <w:t>Relatório de Inflação - Junho 1999</w:t>
              </w:r>
              <w:r>
                <w:rPr>
                  <w:noProof/>
                </w:rPr>
                <w:t>. 1999.</w:t>
              </w:r>
            </w:p>
            <w:p w:rsidR="00C12580" w:rsidRPr="000D7D40" w:rsidRDefault="00C12580" w:rsidP="00C12580">
              <w:pPr>
                <w:pStyle w:val="Bibliografia"/>
                <w:rPr>
                  <w:noProof/>
                </w:rPr>
              </w:pPr>
              <w:r>
                <w:rPr>
                  <w:noProof/>
                </w:rPr>
                <w:t xml:space="preserve">BLUM, D.; NAKANE, M. I. </w:t>
              </w:r>
              <w:r>
                <w:rPr>
                  <w:b/>
                  <w:bCs/>
                  <w:noProof/>
                </w:rPr>
                <w:t>O Impacto de Requerimentos de Capital na Oferta de Crédito Bancário no Brasil</w:t>
              </w:r>
              <w:r>
                <w:rPr>
                  <w:noProof/>
                </w:rPr>
                <w:t xml:space="preserve">. Anais do XXXIII Encontro Nacional de Economia da ANPEC. Natal: </w:t>
              </w:r>
              <w:r w:rsidRPr="000D7D40">
                <w:rPr>
                  <w:noProof/>
                </w:rPr>
                <w:t>2005.</w:t>
              </w:r>
            </w:p>
            <w:p w:rsidR="00C12580" w:rsidRPr="00C12580" w:rsidRDefault="00C12580" w:rsidP="00C12580">
              <w:pPr>
                <w:pStyle w:val="Bibliografia"/>
                <w:rPr>
                  <w:noProof/>
                  <w:lang w:val="en-US"/>
                </w:rPr>
              </w:pPr>
              <w:r w:rsidRPr="00C12580">
                <w:rPr>
                  <w:noProof/>
                  <w:lang w:val="en-US"/>
                </w:rPr>
                <w:t xml:space="preserve">BLUNDELL, R.; BOND, S. Initial conditions and moment restrictions in dynamic panel data models. </w:t>
              </w:r>
              <w:r w:rsidRPr="00C12580">
                <w:rPr>
                  <w:b/>
                  <w:bCs/>
                  <w:noProof/>
                  <w:lang w:val="en-US"/>
                </w:rPr>
                <w:t>Journal of econometrics</w:t>
              </w:r>
              <w:r w:rsidRPr="00C12580">
                <w:rPr>
                  <w:noProof/>
                  <w:lang w:val="en-US"/>
                </w:rPr>
                <w:t>. v. 87, 1998.</w:t>
              </w:r>
            </w:p>
            <w:p w:rsidR="00C12580" w:rsidRDefault="00C12580" w:rsidP="00C12580">
              <w:pPr>
                <w:pStyle w:val="Bibliografia"/>
                <w:rPr>
                  <w:noProof/>
                </w:rPr>
              </w:pPr>
              <w:r w:rsidRPr="00C12580">
                <w:rPr>
                  <w:noProof/>
                  <w:lang w:val="en-US"/>
                </w:rPr>
                <w:t xml:space="preserve">CAMERON, A. C.; TRIVEDI, P. K. </w:t>
              </w:r>
              <w:r w:rsidRPr="00C12580">
                <w:rPr>
                  <w:b/>
                  <w:bCs/>
                  <w:noProof/>
                  <w:lang w:val="en-US"/>
                </w:rPr>
                <w:t>Microeconomics Using Stata</w:t>
              </w:r>
              <w:r w:rsidRPr="00C12580">
                <w:rPr>
                  <w:noProof/>
                  <w:lang w:val="en-US"/>
                </w:rPr>
                <w:t xml:space="preserve">. </w:t>
              </w:r>
              <w:r>
                <w:rPr>
                  <w:noProof/>
                </w:rPr>
                <w:t>Texas: Stata Press, 2009.</w:t>
              </w:r>
            </w:p>
            <w:p w:rsidR="00C12580" w:rsidRDefault="00C12580" w:rsidP="00C12580">
              <w:pPr>
                <w:pStyle w:val="Bibliografia"/>
                <w:rPr>
                  <w:noProof/>
                </w:rPr>
              </w:pPr>
              <w:r>
                <w:rPr>
                  <w:noProof/>
                </w:rPr>
                <w:t>CONSELHO MONETÁRIO NACIONAL. Resolução CMN n. 3454 de maio/2007.</w:t>
              </w:r>
            </w:p>
            <w:p w:rsidR="00C12580" w:rsidRPr="00C12580" w:rsidRDefault="00C12580" w:rsidP="00C12580">
              <w:pPr>
                <w:pStyle w:val="Bibliografia"/>
                <w:rPr>
                  <w:noProof/>
                  <w:lang w:val="en-US"/>
                </w:rPr>
              </w:pPr>
              <w:r w:rsidRPr="00C12580">
                <w:rPr>
                  <w:noProof/>
                  <w:lang w:val="en-US"/>
                </w:rPr>
                <w:t xml:space="preserve">CÚRDIA, V.; WOODFORD., M. Credit Spreads and Monetary Policy. </w:t>
              </w:r>
              <w:r w:rsidRPr="00C12580">
                <w:rPr>
                  <w:b/>
                  <w:bCs/>
                  <w:noProof/>
                  <w:lang w:val="en-US"/>
                </w:rPr>
                <w:t>Journal of Money Credit and Banking</w:t>
              </w:r>
              <w:r w:rsidRPr="00C12580">
                <w:rPr>
                  <w:noProof/>
                  <w:lang w:val="en-US"/>
                </w:rPr>
                <w:t>, v. 42, p. 3-35, 2010.</w:t>
              </w:r>
            </w:p>
            <w:p w:rsidR="00C12580" w:rsidRDefault="00C12580" w:rsidP="00C12580">
              <w:pPr>
                <w:pStyle w:val="Bibliografia"/>
                <w:rPr>
                  <w:noProof/>
                </w:rPr>
              </w:pPr>
              <w:r>
                <w:rPr>
                  <w:noProof/>
                </w:rPr>
                <w:t xml:space="preserve">DE PAULA, L. F. R.; MARQUES, M. B. L.; ALVES JR, A. J. Ajuste Patrimonial e Padrão de Rentabilidade dos Bancos Privados no Brasil durante o Plano Real (1994/98). </w:t>
              </w:r>
              <w:r>
                <w:rPr>
                  <w:b/>
                  <w:bCs/>
                  <w:noProof/>
                </w:rPr>
                <w:t>Estudos Econômicos</w:t>
              </w:r>
              <w:r>
                <w:rPr>
                  <w:noProof/>
                </w:rPr>
                <w:t>, v. 31. p. 285-319, 2001.</w:t>
              </w:r>
            </w:p>
            <w:p w:rsidR="00C12580" w:rsidRDefault="00C12580" w:rsidP="00C12580">
              <w:pPr>
                <w:pStyle w:val="Bibliografia"/>
                <w:rPr>
                  <w:noProof/>
                </w:rPr>
              </w:pPr>
              <w:r>
                <w:rPr>
                  <w:noProof/>
                </w:rPr>
                <w:t xml:space="preserve">DE PAULA, L. F.; MARQUES, M. B. L. Tendências Recentes da Consolidação Bancária no Brasil. </w:t>
              </w:r>
              <w:r>
                <w:rPr>
                  <w:b/>
                  <w:bCs/>
                  <w:noProof/>
                </w:rPr>
                <w:t>Análise Econômica</w:t>
              </w:r>
              <w:r>
                <w:rPr>
                  <w:noProof/>
                </w:rPr>
                <w:t>, p. n. 45, p. 235-263, 2006.</w:t>
              </w:r>
            </w:p>
            <w:p w:rsidR="00C12580" w:rsidRPr="00C12580" w:rsidRDefault="00C12580" w:rsidP="00C12580">
              <w:pPr>
                <w:pStyle w:val="Bibliografia"/>
                <w:rPr>
                  <w:noProof/>
                  <w:lang w:val="en-US"/>
                </w:rPr>
              </w:pPr>
              <w:r>
                <w:rPr>
                  <w:noProof/>
                </w:rPr>
                <w:lastRenderedPageBreak/>
                <w:t xml:space="preserve">DE PAULA, L. F.; OREIRO, J. L.; BASILIO, F. A. C. Estrutura do setor bancário e o ciclo recente de expansão do crédito: O papel dos bancos públicos federais. </w:t>
              </w:r>
              <w:r w:rsidRPr="00C12580">
                <w:rPr>
                  <w:b/>
                  <w:bCs/>
                  <w:noProof/>
                  <w:lang w:val="en-US"/>
                </w:rPr>
                <w:t xml:space="preserve">Nova Economia </w:t>
              </w:r>
              <w:r w:rsidRPr="00C12580">
                <w:rPr>
                  <w:noProof/>
                  <w:lang w:val="en-US"/>
                </w:rPr>
                <w:t>, Belo Horizonte, 2013.</w:t>
              </w:r>
            </w:p>
            <w:p w:rsidR="00C12580" w:rsidRDefault="00C12580" w:rsidP="00C12580">
              <w:pPr>
                <w:pStyle w:val="Bibliografia"/>
                <w:rPr>
                  <w:noProof/>
                </w:rPr>
              </w:pPr>
              <w:r w:rsidRPr="00C12580">
                <w:rPr>
                  <w:noProof/>
                  <w:lang w:val="en-US"/>
                </w:rPr>
                <w:t xml:space="preserve">ELLIOTT, G.; ROTHENBERG, T. J.; STOCK, J. H. Efficient Tests for an Autoregressive Unit Root. </w:t>
              </w:r>
              <w:r>
                <w:rPr>
                  <w:b/>
                  <w:bCs/>
                  <w:noProof/>
                </w:rPr>
                <w:t>Econometrica</w:t>
              </w:r>
              <w:r>
                <w:rPr>
                  <w:noProof/>
                </w:rPr>
                <w:t>, v. 64, n. 4, p. 813–836, 1996.</w:t>
              </w:r>
            </w:p>
            <w:p w:rsidR="00C12580" w:rsidRPr="00C12580" w:rsidRDefault="00C12580" w:rsidP="00C12580">
              <w:pPr>
                <w:pStyle w:val="Bibliografia"/>
                <w:rPr>
                  <w:noProof/>
                  <w:lang w:val="en-US"/>
                </w:rPr>
              </w:pPr>
              <w:r>
                <w:rPr>
                  <w:noProof/>
                </w:rPr>
                <w:t xml:space="preserve">FUCIDJI, J. R.; PRINCE, D. D. Determinantes do Crédito Bancário: uma Análise com Dados em Painel para as Maiores Instituições. </w:t>
              </w:r>
              <w:r w:rsidRPr="00C12580">
                <w:rPr>
                  <w:b/>
                  <w:bCs/>
                  <w:noProof/>
                  <w:lang w:val="en-US"/>
                </w:rPr>
                <w:t>Análise Econômica</w:t>
              </w:r>
              <w:r w:rsidRPr="00C12580">
                <w:rPr>
                  <w:noProof/>
                  <w:lang w:val="en-US"/>
                </w:rPr>
                <w:t>. p. 233-251, 2009.</w:t>
              </w:r>
            </w:p>
            <w:p w:rsidR="00C12580" w:rsidRPr="00C12580" w:rsidRDefault="00C12580" w:rsidP="00C12580">
              <w:pPr>
                <w:pStyle w:val="Bibliografia"/>
                <w:rPr>
                  <w:noProof/>
                  <w:lang w:val="en-US"/>
                </w:rPr>
              </w:pPr>
              <w:r w:rsidRPr="00C12580">
                <w:rPr>
                  <w:noProof/>
                  <w:lang w:val="en-US"/>
                </w:rPr>
                <w:t xml:space="preserve">HSIAO, C. </w:t>
              </w:r>
              <w:r w:rsidRPr="00C12580">
                <w:rPr>
                  <w:b/>
                  <w:bCs/>
                  <w:noProof/>
                  <w:lang w:val="en-US"/>
                </w:rPr>
                <w:t>Analysis of Panel Data</w:t>
              </w:r>
              <w:r w:rsidRPr="00C12580">
                <w:rPr>
                  <w:noProof/>
                  <w:lang w:val="en-US"/>
                </w:rPr>
                <w:t>. 2. ed. New York: Cambridge University Press, 2003.</w:t>
              </w:r>
            </w:p>
            <w:p w:rsidR="00C12580" w:rsidRPr="00C12580" w:rsidRDefault="00C12580" w:rsidP="00C12580">
              <w:pPr>
                <w:pStyle w:val="Bibliografia"/>
                <w:rPr>
                  <w:noProof/>
                  <w:lang w:val="en-US"/>
                </w:rPr>
              </w:pPr>
              <w:r w:rsidRPr="00C12580">
                <w:rPr>
                  <w:noProof/>
                  <w:lang w:val="en-US"/>
                </w:rPr>
                <w:t xml:space="preserve">HULSEWIG, O.; MAYER, E.; WOLLMERSHAUSER, T. Bank loan supply and monetary policy transmission in Germany: An assessment based on matching impulse responses. </w:t>
              </w:r>
              <w:r w:rsidRPr="00C12580">
                <w:rPr>
                  <w:b/>
                  <w:bCs/>
                  <w:noProof/>
                  <w:lang w:val="en-US"/>
                </w:rPr>
                <w:t>Journal of Banking &amp; Finance</w:t>
              </w:r>
              <w:r w:rsidRPr="00C12580">
                <w:rPr>
                  <w:noProof/>
                  <w:lang w:val="en-US"/>
                </w:rPr>
                <w:t>, v. 30, p. 2893–2910. 2006.</w:t>
              </w:r>
            </w:p>
            <w:p w:rsidR="00C12580" w:rsidRPr="00C12580" w:rsidRDefault="00C12580" w:rsidP="00C12580">
              <w:pPr>
                <w:pStyle w:val="Bibliografia"/>
                <w:rPr>
                  <w:noProof/>
                  <w:lang w:val="en-US"/>
                </w:rPr>
              </w:pPr>
              <w:r w:rsidRPr="00C12580">
                <w:rPr>
                  <w:noProof/>
                  <w:lang w:val="en-US"/>
                </w:rPr>
                <w:t xml:space="preserve">IMRAN, K.; NISHAT, M. Determinants of bank credit in Pakistan: A supply side approach. </w:t>
              </w:r>
              <w:r w:rsidRPr="00C12580">
                <w:rPr>
                  <w:b/>
                  <w:bCs/>
                  <w:noProof/>
                  <w:lang w:val="en-US"/>
                </w:rPr>
                <w:t>Economic Modelling</w:t>
              </w:r>
              <w:r w:rsidRPr="00C12580">
                <w:rPr>
                  <w:noProof/>
                  <w:lang w:val="en-US"/>
                </w:rPr>
                <w:t>, v. 35, p. 384-390, 2013.</w:t>
              </w:r>
            </w:p>
            <w:p w:rsidR="00C12580" w:rsidRPr="00C12580" w:rsidRDefault="00C12580" w:rsidP="00C12580">
              <w:pPr>
                <w:pStyle w:val="Bibliografia"/>
                <w:rPr>
                  <w:noProof/>
                  <w:lang w:val="en-US"/>
                </w:rPr>
              </w:pPr>
              <w:r w:rsidRPr="00C12580">
                <w:rPr>
                  <w:noProof/>
                  <w:lang w:val="en-US"/>
                </w:rPr>
                <w:t xml:space="preserve">KIYOTAKI, N.; MOORE, J. Credit cycles. </w:t>
              </w:r>
              <w:r w:rsidRPr="00C12580">
                <w:rPr>
                  <w:b/>
                  <w:bCs/>
                  <w:noProof/>
                  <w:lang w:val="en-US"/>
                </w:rPr>
                <w:t>Journal of Political Economy</w:t>
              </w:r>
              <w:r w:rsidRPr="00C12580">
                <w:rPr>
                  <w:noProof/>
                  <w:lang w:val="en-US"/>
                </w:rPr>
                <w:t>, v. 105, p. 211-248, 1997.</w:t>
              </w:r>
            </w:p>
            <w:p w:rsidR="00C12580" w:rsidRDefault="00C12580" w:rsidP="00C12580">
              <w:pPr>
                <w:pStyle w:val="Bibliografia"/>
                <w:rPr>
                  <w:noProof/>
                </w:rPr>
              </w:pPr>
              <w:r w:rsidRPr="00C12580">
                <w:rPr>
                  <w:noProof/>
                  <w:lang w:val="en-US"/>
                </w:rPr>
                <w:t xml:space="preserve">LUCINDA, C. R. Competition in the Brazilian Loan Market: An Empirical Analysis. </w:t>
              </w:r>
              <w:r>
                <w:rPr>
                  <w:b/>
                  <w:bCs/>
                  <w:noProof/>
                </w:rPr>
                <w:t>Estudos Econômicos</w:t>
              </w:r>
              <w:r>
                <w:rPr>
                  <w:noProof/>
                </w:rPr>
                <w:t>, v. 40, n. 4, p. p. 831 - 858, 2010.</w:t>
              </w:r>
            </w:p>
            <w:p w:rsidR="00C12580" w:rsidRPr="00C12580" w:rsidRDefault="00C12580" w:rsidP="00C12580">
              <w:pPr>
                <w:pStyle w:val="Bibliografia"/>
                <w:rPr>
                  <w:noProof/>
                  <w:lang w:val="en-US"/>
                </w:rPr>
              </w:pPr>
              <w:r>
                <w:rPr>
                  <w:noProof/>
                </w:rPr>
                <w:t xml:space="preserve">LUNDBERG, E. L. </w:t>
              </w:r>
              <w:r>
                <w:rPr>
                  <w:b/>
                  <w:bCs/>
                  <w:noProof/>
                </w:rPr>
                <w:t>Bancos Oficiais e Crédito Direcionado - o que diferencia o mercado de crédito brasileiro?</w:t>
              </w:r>
              <w:r>
                <w:rPr>
                  <w:noProof/>
                </w:rPr>
                <w:t xml:space="preserve"> Banco Central do Brasil - Trabalhos para Discussão n. 258. Disponível em,http://www.bcb.gov.br/pec/wps/port/td258.pdf&gt;. </w:t>
              </w:r>
              <w:r w:rsidRPr="00C12580">
                <w:rPr>
                  <w:noProof/>
                  <w:lang w:val="en-US"/>
                </w:rPr>
                <w:t>Acesso em: 10/10/14. [S.l.]: [s.n.]. 2011.</w:t>
              </w:r>
            </w:p>
            <w:p w:rsidR="00C12580" w:rsidRDefault="00C12580" w:rsidP="00C12580">
              <w:pPr>
                <w:pStyle w:val="Bibliografia"/>
                <w:rPr>
                  <w:noProof/>
                </w:rPr>
              </w:pPr>
              <w:r w:rsidRPr="00C12580">
                <w:rPr>
                  <w:noProof/>
                  <w:lang w:val="en-US"/>
                </w:rPr>
                <w:t xml:space="preserve">MARINS, J. T. M.; NEVES, M. B. E. D. </w:t>
              </w:r>
              <w:r w:rsidRPr="00C12580">
                <w:rPr>
                  <w:b/>
                  <w:bCs/>
                  <w:noProof/>
                  <w:lang w:val="en-US"/>
                </w:rPr>
                <w:t>Credit Default and Business Cycles:</w:t>
              </w:r>
              <w:r w:rsidRPr="00C12580">
                <w:rPr>
                  <w:noProof/>
                  <w:lang w:val="en-US"/>
                </w:rPr>
                <w:t xml:space="preserve"> an investigation of this relationship in the Brazilian corporate credit market. </w:t>
              </w:r>
              <w:r>
                <w:rPr>
                  <w:noProof/>
                </w:rPr>
                <w:t>Banco Central do Brasil Working Paper n. 304. 2013.</w:t>
              </w:r>
            </w:p>
            <w:p w:rsidR="00C12580" w:rsidRPr="00C12580" w:rsidRDefault="00C12580" w:rsidP="00C12580">
              <w:pPr>
                <w:pStyle w:val="Bibliografia"/>
                <w:rPr>
                  <w:noProof/>
                  <w:lang w:val="en-US"/>
                </w:rPr>
              </w:pPr>
              <w:r>
                <w:rPr>
                  <w:noProof/>
                </w:rPr>
                <w:t xml:space="preserve">MENDONÇA, M. J.; SACHSIDA, A. </w:t>
              </w:r>
              <w:r>
                <w:rPr>
                  <w:b/>
                  <w:bCs/>
                  <w:noProof/>
                </w:rPr>
                <w:t>Identificando a Demanda e a Oferta de Crédito no Brasil</w:t>
              </w:r>
              <w:r>
                <w:rPr>
                  <w:noProof/>
                </w:rPr>
                <w:t xml:space="preserve">. Texto para Discussão IPEA n. 1837. Disponível em,http://repositorio.ipea.gov.br/bitstream/11058/1276/1/TD_1837.pdf&gt;. </w:t>
              </w:r>
              <w:r w:rsidRPr="00C12580">
                <w:rPr>
                  <w:noProof/>
                  <w:lang w:val="en-US"/>
                </w:rPr>
                <w:t>Acesso em: 09/08/14. 2013.</w:t>
              </w:r>
            </w:p>
            <w:p w:rsidR="00C12580" w:rsidRPr="00C12580" w:rsidRDefault="00C12580" w:rsidP="00C12580">
              <w:pPr>
                <w:pStyle w:val="Bibliografia"/>
                <w:rPr>
                  <w:noProof/>
                  <w:lang w:val="en-US"/>
                </w:rPr>
              </w:pPr>
              <w:r w:rsidRPr="00C12580">
                <w:rPr>
                  <w:noProof/>
                  <w:lang w:val="en-US"/>
                </w:rPr>
                <w:t xml:space="preserve">NAKANE, M. I. </w:t>
              </w:r>
              <w:r w:rsidRPr="00C12580">
                <w:rPr>
                  <w:b/>
                  <w:bCs/>
                  <w:noProof/>
                  <w:lang w:val="en-US"/>
                </w:rPr>
                <w:t>A Test of Competition in Brazilian Banking</w:t>
              </w:r>
              <w:r w:rsidRPr="00C12580">
                <w:rPr>
                  <w:noProof/>
                  <w:lang w:val="en-US"/>
                </w:rPr>
                <w:t xml:space="preserve">. </w:t>
              </w:r>
              <w:r>
                <w:rPr>
                  <w:noProof/>
                </w:rPr>
                <w:t xml:space="preserve">Working Paper n. 12 - Banco Central do Brasil. </w:t>
              </w:r>
              <w:r w:rsidRPr="00C12580">
                <w:rPr>
                  <w:noProof/>
                  <w:lang w:val="en-US"/>
                </w:rPr>
                <w:t>2001.</w:t>
              </w:r>
            </w:p>
            <w:p w:rsidR="00C12580" w:rsidRPr="00C12580" w:rsidRDefault="00C12580" w:rsidP="00C12580">
              <w:pPr>
                <w:pStyle w:val="Bibliografia"/>
                <w:rPr>
                  <w:noProof/>
                  <w:lang w:val="en-US"/>
                </w:rPr>
              </w:pPr>
              <w:r w:rsidRPr="00C12580">
                <w:rPr>
                  <w:noProof/>
                  <w:lang w:val="en-US"/>
                </w:rPr>
                <w:t xml:space="preserve">NG, S.; PERRON, P. Lag Length Selection and the Construction of Unit Root Tests with Good Size and Power. </w:t>
              </w:r>
              <w:r w:rsidRPr="00C12580">
                <w:rPr>
                  <w:b/>
                  <w:bCs/>
                  <w:noProof/>
                  <w:lang w:val="en-US"/>
                </w:rPr>
                <w:t>Econometrica</w:t>
              </w:r>
              <w:r w:rsidRPr="00C12580">
                <w:rPr>
                  <w:noProof/>
                  <w:lang w:val="en-US"/>
                </w:rPr>
                <w:t>, v. 69, n. 6, p. 1519–1554, 2001.</w:t>
              </w:r>
            </w:p>
            <w:p w:rsidR="00C12580" w:rsidRPr="00C12580" w:rsidRDefault="00C12580" w:rsidP="00C12580">
              <w:pPr>
                <w:pStyle w:val="Bibliografia"/>
                <w:rPr>
                  <w:noProof/>
                  <w:lang w:val="en-US"/>
                </w:rPr>
              </w:pPr>
              <w:r w:rsidRPr="00C12580">
                <w:rPr>
                  <w:noProof/>
                  <w:lang w:val="en-US"/>
                </w:rPr>
                <w:t xml:space="preserve">PERRON, P. The Great Crash, the Oil Price Shock, and the Unit Root Hypothesis. </w:t>
              </w:r>
              <w:r w:rsidRPr="00C12580">
                <w:rPr>
                  <w:b/>
                  <w:bCs/>
                  <w:noProof/>
                  <w:lang w:val="en-US"/>
                </w:rPr>
                <w:t>Econometrica</w:t>
              </w:r>
              <w:r w:rsidRPr="00C12580">
                <w:rPr>
                  <w:noProof/>
                  <w:lang w:val="en-US"/>
                </w:rPr>
                <w:t>, v. 57, n. 6, p. 1361–1401, 1989.</w:t>
              </w:r>
            </w:p>
            <w:p w:rsidR="00C12580" w:rsidRDefault="00C12580" w:rsidP="00C12580">
              <w:pPr>
                <w:pStyle w:val="Bibliografia"/>
                <w:rPr>
                  <w:noProof/>
                </w:rPr>
              </w:pPr>
              <w:r w:rsidRPr="00C12580">
                <w:rPr>
                  <w:noProof/>
                  <w:lang w:val="en-US"/>
                </w:rPr>
                <w:t>ROODMAN, D. How to do xtabond2: An introduction to di</w:t>
              </w:r>
              <w:r>
                <w:rPr>
                  <w:rFonts w:ascii="Cambria Math" w:hAnsi="Cambria Math" w:cs="Cambria Math"/>
                  <w:noProof/>
                </w:rPr>
                <w:t>ﬀ</w:t>
              </w:r>
              <w:r w:rsidRPr="00C12580">
                <w:rPr>
                  <w:noProof/>
                  <w:lang w:val="en-US"/>
                </w:rPr>
                <w:t xml:space="preserve">erence and system GMM in Stata. </w:t>
              </w:r>
              <w:r>
                <w:rPr>
                  <w:b/>
                  <w:bCs/>
                  <w:noProof/>
                </w:rPr>
                <w:t>The Stata Journal</w:t>
              </w:r>
              <w:r>
                <w:rPr>
                  <w:noProof/>
                </w:rPr>
                <w:t>. n. 1, p. 86–136. 2009.</w:t>
              </w:r>
            </w:p>
            <w:p w:rsidR="00C12580" w:rsidRDefault="00C12580" w:rsidP="00C12580">
              <w:pPr>
                <w:pStyle w:val="Bibliografia"/>
                <w:rPr>
                  <w:noProof/>
                </w:rPr>
              </w:pPr>
              <w:r>
                <w:rPr>
                  <w:noProof/>
                </w:rPr>
                <w:t xml:space="preserve">SOARES, R. P. Evolução do Crédito de 1994 a 1999: uma explicação. </w:t>
              </w:r>
              <w:r>
                <w:rPr>
                  <w:b/>
                  <w:bCs/>
                  <w:noProof/>
                </w:rPr>
                <w:t>Revista Planejamento e Políticas Públicas</w:t>
              </w:r>
              <w:r>
                <w:rPr>
                  <w:noProof/>
                </w:rPr>
                <w:t>. n. 25, p. 43-87, 2002.</w:t>
              </w:r>
            </w:p>
            <w:p w:rsidR="00C12580" w:rsidRPr="00C12580" w:rsidRDefault="00C12580" w:rsidP="00C12580">
              <w:pPr>
                <w:pStyle w:val="Bibliografia"/>
                <w:rPr>
                  <w:noProof/>
                  <w:lang w:val="en-US"/>
                </w:rPr>
              </w:pPr>
              <w:r>
                <w:rPr>
                  <w:noProof/>
                </w:rPr>
                <w:lastRenderedPageBreak/>
                <w:t xml:space="preserve">SOUZA, G. J. D. G. E. </w:t>
              </w:r>
              <w:r>
                <w:rPr>
                  <w:b/>
                  <w:bCs/>
                  <w:noProof/>
                </w:rPr>
                <w:t>A Interação entre a Dinâmica Macroeconômica e os Bancos:</w:t>
              </w:r>
              <w:r>
                <w:rPr>
                  <w:noProof/>
                </w:rPr>
                <w:t xml:space="preserve"> uma Perspectiva acerca do Risco de Crédito. Dissertação de Mestrado pela Universidade Federal Fluminense. Disponível em.http://www.cpgeconomia.uff.br//novosite/arquivos/tese/2007-gustavo_guimaraes.pdf&gt;. </w:t>
              </w:r>
              <w:r w:rsidRPr="00C12580">
                <w:rPr>
                  <w:noProof/>
                  <w:lang w:val="en-US"/>
                </w:rPr>
                <w:t>Acesso em: 20/08/14. 2007.</w:t>
              </w:r>
            </w:p>
            <w:p w:rsidR="00C12580" w:rsidRDefault="00C12580" w:rsidP="00C12580">
              <w:pPr>
                <w:pStyle w:val="Bibliografia"/>
                <w:rPr>
                  <w:noProof/>
                </w:rPr>
              </w:pPr>
              <w:r w:rsidRPr="00C12580">
                <w:rPr>
                  <w:noProof/>
                  <w:lang w:val="en-US"/>
                </w:rPr>
                <w:t xml:space="preserve">TABAK, B. M.; GOMES, G. M. R.; MEDEIROS JR., M. D. S. The impact of market power at bank level in risk-taking: The Brazilian case. </w:t>
              </w:r>
              <w:r>
                <w:rPr>
                  <w:b/>
                  <w:bCs/>
                  <w:noProof/>
                </w:rPr>
                <w:t>International Review of Financial Analysis</w:t>
              </w:r>
              <w:r>
                <w:rPr>
                  <w:noProof/>
                </w:rPr>
                <w:t>, v. 40, p. 154–165, 2015.</w:t>
              </w:r>
            </w:p>
            <w:p w:rsidR="00C12580" w:rsidRDefault="00C12580" w:rsidP="00C12580">
              <w:pPr>
                <w:pStyle w:val="Bibliografia"/>
                <w:rPr>
                  <w:noProof/>
                </w:rPr>
              </w:pPr>
              <w:r>
                <w:rPr>
                  <w:noProof/>
                </w:rPr>
                <w:t xml:space="preserve">TAKEDA , T.; DAWID, P. E. </w:t>
              </w:r>
              <w:r>
                <w:rPr>
                  <w:b/>
                  <w:bCs/>
                  <w:noProof/>
                </w:rPr>
                <w:t>Um Estudo sobre Comportamento de Tomadores e Ofertantes no Mercado de Crédito</w:t>
              </w:r>
              <w:r>
                <w:rPr>
                  <w:noProof/>
                </w:rPr>
                <w:t>. Banco Central do Brasil - Trabalhos para Discussão n. 338. Disponível em,http://www.bcb.gov.br/pec/wps/port/TD338.pdf&gt;. Acesso em: 18/10/14. 2013.</w:t>
              </w:r>
            </w:p>
            <w:p w:rsidR="00C12580" w:rsidRDefault="00C12580" w:rsidP="00C12580">
              <w:pPr>
                <w:pStyle w:val="Bibliografia"/>
                <w:rPr>
                  <w:noProof/>
                </w:rPr>
              </w:pPr>
              <w:r>
                <w:rPr>
                  <w:noProof/>
                </w:rPr>
                <w:t xml:space="preserve">TONOOKA, E. K.; KOYAMA, S. M. </w:t>
              </w:r>
              <w:r>
                <w:rPr>
                  <w:b/>
                  <w:bCs/>
                  <w:noProof/>
                </w:rPr>
                <w:t>Taxa de Juros e Concentração Bancária no Brasil</w:t>
              </w:r>
              <w:r>
                <w:rPr>
                  <w:noProof/>
                </w:rPr>
                <w:t>. Trabalhos para Discussão n. 62 - Banco Central do Brasil. 2003.</w:t>
              </w:r>
            </w:p>
            <w:p w:rsidR="00C12580" w:rsidRDefault="00C12580" w:rsidP="00C12580">
              <w:pPr>
                <w:pStyle w:val="Bibliografia"/>
                <w:rPr>
                  <w:noProof/>
                </w:rPr>
              </w:pPr>
              <w:r>
                <w:rPr>
                  <w:noProof/>
                </w:rPr>
                <w:t xml:space="preserve">VASCONCELOS, B.; DIVINO, J. A. </w:t>
              </w:r>
              <w:r>
                <w:rPr>
                  <w:b/>
                  <w:bCs/>
                  <w:noProof/>
                </w:rPr>
                <w:t>O desempenho recente da política monetária brasileira sob a ótica da modelagem DSGE</w:t>
              </w:r>
              <w:r>
                <w:rPr>
                  <w:noProof/>
                </w:rPr>
                <w:t>. Banco Central do Brasil - Texto para discussão nº 291. 2012.</w:t>
              </w:r>
            </w:p>
            <w:p w:rsidR="00C12580" w:rsidRPr="00C12580" w:rsidRDefault="00C12580" w:rsidP="00C12580">
              <w:pPr>
                <w:pStyle w:val="Bibliografia"/>
                <w:rPr>
                  <w:noProof/>
                  <w:lang w:val="en-US"/>
                </w:rPr>
              </w:pPr>
              <w:r>
                <w:rPr>
                  <w:noProof/>
                </w:rPr>
                <w:t xml:space="preserve">VASCONCELOS, M. R. et al. O todo e as partes: uma análise da desigualdade de crédito entre os estados brasileiros e os determinantes do crédito bancário com a aplicação de dados em painel. </w:t>
              </w:r>
              <w:r w:rsidRPr="00C12580">
                <w:rPr>
                  <w:b/>
                  <w:bCs/>
                  <w:noProof/>
                  <w:lang w:val="en-US"/>
                </w:rPr>
                <w:t>Economia e Sociedade</w:t>
              </w:r>
              <w:r w:rsidRPr="00C12580">
                <w:rPr>
                  <w:noProof/>
                  <w:lang w:val="en-US"/>
                </w:rPr>
                <w:t>. v. 13, n.1, p. 123-149, 2004.</w:t>
              </w:r>
            </w:p>
            <w:p w:rsidR="00C12580" w:rsidRDefault="00C12580" w:rsidP="00C12580">
              <w:pPr>
                <w:pStyle w:val="Bibliografia"/>
                <w:rPr>
                  <w:noProof/>
                </w:rPr>
              </w:pPr>
              <w:r w:rsidRPr="00C12580">
                <w:rPr>
                  <w:noProof/>
                  <w:lang w:val="en-US"/>
                </w:rPr>
                <w:t xml:space="preserve">WOOLDRIDGE, J. M. </w:t>
              </w:r>
              <w:r w:rsidRPr="00C12580">
                <w:rPr>
                  <w:b/>
                  <w:bCs/>
                  <w:noProof/>
                  <w:lang w:val="en-US"/>
                </w:rPr>
                <w:t>Econometric Analysis of Cross Section and Panel Data</w:t>
              </w:r>
              <w:r w:rsidRPr="00C12580">
                <w:rPr>
                  <w:noProof/>
                  <w:lang w:val="en-US"/>
                </w:rPr>
                <w:t xml:space="preserve">. 2. ed. </w:t>
              </w:r>
              <w:r>
                <w:rPr>
                  <w:noProof/>
                </w:rPr>
                <w:t>Cambridge: The MIT Press, 2001.</w:t>
              </w:r>
            </w:p>
            <w:p w:rsidR="001847A4" w:rsidRPr="00386176" w:rsidRDefault="001847A4" w:rsidP="00C12580">
              <w:pPr>
                <w:pStyle w:val="Bibliografia"/>
                <w:spacing w:after="0" w:line="240" w:lineRule="auto"/>
                <w:ind w:left="720" w:hanging="720"/>
                <w:rPr>
                  <w:rFonts w:cs="Times New Roman"/>
                </w:rPr>
              </w:pPr>
              <w:r w:rsidRPr="00386176">
                <w:rPr>
                  <w:rFonts w:cs="Times New Roman"/>
                  <w:b/>
                  <w:bCs/>
                </w:rPr>
                <w:fldChar w:fldCharType="end"/>
              </w:r>
              <w:r w:rsidRPr="00386176">
                <w:rPr>
                  <w:rFonts w:cs="Times New Roman"/>
                  <w:b/>
                  <w:bCs/>
                </w:rPr>
                <w:tab/>
              </w:r>
            </w:p>
          </w:sdtContent>
        </w:sdt>
      </w:sdtContent>
    </w:sdt>
    <w:sectPr w:rsidR="001847A4" w:rsidRPr="00386176" w:rsidSect="00D14ACA">
      <w:footnotePr>
        <w:numRestart w:val="eachSect"/>
      </w:footnotePr>
      <w:type w:val="continuous"/>
      <w:pgSz w:w="11906" w:h="16838" w:code="9"/>
      <w:pgMar w:top="1134" w:right="849"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4B8" w:rsidRDefault="003564B8" w:rsidP="001847A4">
      <w:r>
        <w:separator/>
      </w:r>
    </w:p>
  </w:endnote>
  <w:endnote w:type="continuationSeparator" w:id="0">
    <w:p w:rsidR="003564B8" w:rsidRDefault="003564B8" w:rsidP="0018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4B8" w:rsidRDefault="003564B8" w:rsidP="001847A4">
      <w:r>
        <w:separator/>
      </w:r>
    </w:p>
  </w:footnote>
  <w:footnote w:type="continuationSeparator" w:id="0">
    <w:p w:rsidR="003564B8" w:rsidRDefault="003564B8" w:rsidP="001847A4">
      <w:r>
        <w:continuationSeparator/>
      </w:r>
    </w:p>
  </w:footnote>
  <w:footnote w:id="1">
    <w:p w:rsidR="00504264" w:rsidRDefault="00504264" w:rsidP="00504264">
      <w:pPr>
        <w:pStyle w:val="Textodenotaderodap"/>
        <w:spacing w:after="0" w:line="240" w:lineRule="auto"/>
      </w:pPr>
      <w:r>
        <w:rPr>
          <w:rStyle w:val="Refdenotaderodap"/>
        </w:rPr>
        <w:footnoteRef/>
      </w:r>
      <w:r>
        <w:t xml:space="preserve"> Doutora em Economia. Universidade Católica de Brasília. SGAN 916, Zip: 70790-160, Brasília - DF, Brasil. E-mail: fernanda.d.almeida@caixa.gov.br.</w:t>
      </w:r>
    </w:p>
  </w:footnote>
  <w:footnote w:id="2">
    <w:p w:rsidR="00504264" w:rsidRDefault="00504264" w:rsidP="00504264">
      <w:pPr>
        <w:pStyle w:val="Textodenotaderodap"/>
        <w:spacing w:after="0" w:line="240" w:lineRule="auto"/>
      </w:pPr>
      <w:r>
        <w:rPr>
          <w:rStyle w:val="Refdenotaderodap"/>
        </w:rPr>
        <w:footnoteRef/>
      </w:r>
      <w:r>
        <w:t xml:space="preserve"> Universidade Católica de Brasília. Mestrado e Doutorado em Economia. SGAN 916, Sala A-118, Zip: 70790-160, Brasília - DF, Brasil. Telefone: +55 (61) 3448-7135 Fax: (61) 3347-4797. E-mail: jangelo@pos.ucb.br.</w:t>
      </w:r>
    </w:p>
  </w:footnote>
  <w:footnote w:id="3">
    <w:p w:rsidR="002B704F" w:rsidRDefault="002B704F" w:rsidP="00B65A02">
      <w:pPr>
        <w:pStyle w:val="Textodenotaderodap"/>
        <w:spacing w:after="0" w:line="240" w:lineRule="auto"/>
        <w:jc w:val="both"/>
      </w:pPr>
      <w:r w:rsidRPr="004C5564">
        <w:rPr>
          <w:rStyle w:val="Refdenotaderodap"/>
        </w:rPr>
        <w:footnoteRef/>
      </w:r>
      <w:r w:rsidRPr="004C5564">
        <w:t xml:space="preserve"> Diversos trabalhos na literatura brasileira examinam o grau de concentração bancária no Brasil, dentre eles estão </w:t>
      </w:r>
      <w:proofErr w:type="spellStart"/>
      <w:r w:rsidRPr="004C5564">
        <w:t>Nakane</w:t>
      </w:r>
      <w:proofErr w:type="spellEnd"/>
      <w:r w:rsidRPr="004C5564">
        <w:t xml:space="preserve"> (2001), </w:t>
      </w:r>
      <w:proofErr w:type="spellStart"/>
      <w:r w:rsidRPr="004C5564">
        <w:t>Tonooka</w:t>
      </w:r>
      <w:proofErr w:type="spellEnd"/>
      <w:r w:rsidRPr="004C5564">
        <w:t xml:space="preserve"> e </w:t>
      </w:r>
      <w:proofErr w:type="spellStart"/>
      <w:r w:rsidRPr="004C5564">
        <w:t>Koyama</w:t>
      </w:r>
      <w:proofErr w:type="spellEnd"/>
      <w:r w:rsidRPr="004C5564">
        <w:t xml:space="preserve"> (2003), Araújo e Jorge Neto (2007), Lucinda (2010), Tabak, Gomes e Medeiros Jr. (2015). Todos eles rejeitam as hipóteses extremas de concorrência perfeita e monopólio.</w:t>
      </w:r>
      <w:r>
        <w:t xml:space="preserve"> </w:t>
      </w:r>
      <w:proofErr w:type="spellStart"/>
      <w:r w:rsidRPr="004C5564">
        <w:t>Nakane</w:t>
      </w:r>
      <w:proofErr w:type="spellEnd"/>
      <w:r w:rsidRPr="004C5564">
        <w:t xml:space="preserve"> (2001) ressalta que o grau de concentração verificado ainda é baixo para refletir um possível exercício de poder de mercado por parte dos bancos brasileiros.</w:t>
      </w:r>
      <w:r>
        <w:t xml:space="preserve"> De forma complementar, o cálculo do </w:t>
      </w:r>
      <w:r w:rsidRPr="00AB6655">
        <w:t xml:space="preserve">Índice de </w:t>
      </w:r>
      <w:proofErr w:type="spellStart"/>
      <w:r w:rsidRPr="00AB6655">
        <w:rPr>
          <w:i/>
        </w:rPr>
        <w:t>Herfindahl-Hirschaman</w:t>
      </w:r>
      <w:proofErr w:type="spellEnd"/>
      <w:r w:rsidRPr="00AB6655">
        <w:t xml:space="preserve"> </w:t>
      </w:r>
      <w:r>
        <w:t xml:space="preserve">– IHH, que mede o nível de </w:t>
      </w:r>
      <w:r w:rsidRPr="00AB6655">
        <w:t>competição bancária</w:t>
      </w:r>
      <w:r>
        <w:t xml:space="preserve">, para o início e o fim do período analisado, dez/01 e dez/12, resulta nos valores de 0,07 e 0,13, indicando um mercado bancário não concentrado e com concentração moderada, respectivamente. Esse cálculo foi realizado com base nas estatísticas ESTBAN - </w:t>
      </w:r>
      <w:r w:rsidRPr="00E33731">
        <w:t>Estatística Bancária por município</w:t>
      </w:r>
      <w:r>
        <w:t xml:space="preserve"> do Banco Central do Brasil. </w:t>
      </w:r>
    </w:p>
  </w:footnote>
  <w:footnote w:id="4">
    <w:p w:rsidR="002B704F" w:rsidRPr="001847A4" w:rsidRDefault="002B704F" w:rsidP="001847A4">
      <w:pPr>
        <w:pStyle w:val="Textodenotaderodap"/>
        <w:rPr>
          <w:rFonts w:cs="Times New Roman"/>
        </w:rPr>
      </w:pPr>
      <w:r w:rsidRPr="001847A4">
        <w:rPr>
          <w:rStyle w:val="Refdenotaderodap"/>
          <w:rFonts w:cs="Times New Roman"/>
        </w:rPr>
        <w:footnoteRef/>
      </w:r>
      <w:r w:rsidRPr="001847A4">
        <w:rPr>
          <w:rFonts w:cs="Times New Roman"/>
        </w:rPr>
        <w:t xml:space="preserve"> Os procedimentos utilizados par</w:t>
      </w:r>
      <w:r>
        <w:rPr>
          <w:rFonts w:cs="Times New Roman"/>
        </w:rPr>
        <w:t>a derivar a oferta de crédito ó</w:t>
      </w:r>
      <w:r w:rsidRPr="001847A4">
        <w:rPr>
          <w:rFonts w:cs="Times New Roman"/>
        </w:rPr>
        <w:t>tima fo</w:t>
      </w:r>
      <w:r>
        <w:rPr>
          <w:rFonts w:cs="Times New Roman"/>
        </w:rPr>
        <w:t>ram</w:t>
      </w:r>
      <w:r w:rsidRPr="001847A4">
        <w:rPr>
          <w:rFonts w:cs="Times New Roman"/>
        </w:rPr>
        <w:t xml:space="preserve"> feit</w:t>
      </w:r>
      <w:r>
        <w:rPr>
          <w:rFonts w:cs="Times New Roman"/>
        </w:rPr>
        <w:t>os</w:t>
      </w:r>
      <w:r w:rsidRPr="001847A4">
        <w:rPr>
          <w:rFonts w:cs="Times New Roman"/>
        </w:rPr>
        <w:t xml:space="preserve"> a partir de </w:t>
      </w:r>
      <w:proofErr w:type="spellStart"/>
      <w:r w:rsidRPr="001847A4">
        <w:rPr>
          <w:rFonts w:cs="Times New Roman"/>
        </w:rPr>
        <w:t>Sargent</w:t>
      </w:r>
      <w:proofErr w:type="spellEnd"/>
      <w:r w:rsidRPr="001847A4">
        <w:rPr>
          <w:rFonts w:cs="Times New Roman"/>
        </w:rPr>
        <w:t xml:space="preserve"> (1979). Ver o Apêndice A de </w:t>
      </w:r>
      <w:proofErr w:type="spellStart"/>
      <w:r w:rsidRPr="001847A4">
        <w:rPr>
          <w:rFonts w:cs="Times New Roman"/>
        </w:rPr>
        <w:t>Hulsewig</w:t>
      </w:r>
      <w:proofErr w:type="spellEnd"/>
      <w:r w:rsidRPr="001847A4">
        <w:rPr>
          <w:rFonts w:cs="Times New Roman"/>
        </w:rPr>
        <w:t xml:space="preserve">, Mayer e </w:t>
      </w:r>
      <w:proofErr w:type="spellStart"/>
      <w:r w:rsidRPr="001847A4">
        <w:rPr>
          <w:rFonts w:cs="Times New Roman"/>
        </w:rPr>
        <w:t>Wollmershauser</w:t>
      </w:r>
      <w:proofErr w:type="spellEnd"/>
      <w:r w:rsidRPr="001847A4">
        <w:rPr>
          <w:rFonts w:cs="Times New Roman"/>
        </w:rPr>
        <w:t xml:space="preserve"> (2006) para mais detalhes.</w:t>
      </w:r>
    </w:p>
  </w:footnote>
  <w:footnote w:id="5">
    <w:p w:rsidR="002B704F" w:rsidRPr="001847A4" w:rsidRDefault="002B704F" w:rsidP="001847A4">
      <w:pPr>
        <w:pStyle w:val="Textodenotaderodap"/>
        <w:rPr>
          <w:rFonts w:cs="Times New Roman"/>
          <w:lang w:val="en-US"/>
        </w:rPr>
      </w:pPr>
      <w:r w:rsidRPr="001847A4">
        <w:rPr>
          <w:rStyle w:val="Refdenotaderodap"/>
          <w:rFonts w:cs="Times New Roman"/>
        </w:rPr>
        <w:footnoteRef/>
      </w:r>
      <w:r w:rsidRPr="001847A4">
        <w:rPr>
          <w:rFonts w:cs="Times New Roman"/>
          <w:lang w:val="en-US"/>
        </w:rPr>
        <w:t xml:space="preserve"> </w:t>
      </w:r>
      <w:r w:rsidRPr="001847A4">
        <w:rPr>
          <w:rFonts w:cs="Times New Roman"/>
          <w:i/>
          <w:lang w:val="en-US"/>
        </w:rPr>
        <w:t>Pooled</w:t>
      </w:r>
      <w:r w:rsidRPr="001847A4">
        <w:rPr>
          <w:rFonts w:cs="Times New Roman"/>
          <w:lang w:val="en-US"/>
        </w:rPr>
        <w:t xml:space="preserve"> </w:t>
      </w:r>
      <w:r w:rsidRPr="001847A4">
        <w:rPr>
          <w:rFonts w:cs="Times New Roman"/>
          <w:i/>
          <w:lang w:val="en-US"/>
        </w:rPr>
        <w:t>Ordinary Least Squares – OLS:</w:t>
      </w:r>
      <w:r w:rsidRPr="001847A4">
        <w:rPr>
          <w:rFonts w:cs="Times New Roman"/>
          <w:lang w:val="en-US"/>
        </w:rPr>
        <w:t xml:space="preserve"> dados </w:t>
      </w:r>
      <w:proofErr w:type="spellStart"/>
      <w:r w:rsidRPr="001847A4">
        <w:rPr>
          <w:rFonts w:cs="Times New Roman"/>
          <w:lang w:val="en-US"/>
        </w:rPr>
        <w:t>empilhados</w:t>
      </w:r>
      <w:proofErr w:type="spellEnd"/>
      <w:r w:rsidRPr="001847A4">
        <w:rPr>
          <w:rFonts w:cs="Times New Roman"/>
          <w:lang w:val="en-US"/>
        </w:rPr>
        <w:t>.</w:t>
      </w:r>
    </w:p>
  </w:footnote>
  <w:footnote w:id="6">
    <w:p w:rsidR="002B704F" w:rsidRPr="001847A4" w:rsidRDefault="002B704F" w:rsidP="001847A4">
      <w:pPr>
        <w:pStyle w:val="Textodenotaderodap"/>
        <w:rPr>
          <w:rFonts w:cs="Times New Roman"/>
          <w:i/>
        </w:rPr>
      </w:pPr>
      <w:r w:rsidRPr="001847A4">
        <w:rPr>
          <w:rStyle w:val="Refdenotaderodap"/>
          <w:rFonts w:cs="Times New Roman"/>
        </w:rPr>
        <w:footnoteRef/>
      </w:r>
      <w:r w:rsidRPr="001847A4">
        <w:rPr>
          <w:rFonts w:cs="Times New Roman"/>
        </w:rPr>
        <w:t xml:space="preserve"> Estimador utilizado na transformação </w:t>
      </w:r>
      <w:proofErr w:type="spellStart"/>
      <w:r w:rsidRPr="001847A4">
        <w:rPr>
          <w:rFonts w:cs="Times New Roman"/>
          <w:i/>
        </w:rPr>
        <w:t>within-groups</w:t>
      </w:r>
      <w:proofErr w:type="spellEnd"/>
      <w:r w:rsidRPr="001847A4">
        <w:rPr>
          <w:rFonts w:cs="Times New Roman"/>
          <w:i/>
        </w:rPr>
        <w:t>.</w:t>
      </w:r>
    </w:p>
  </w:footnote>
  <w:footnote w:id="7">
    <w:p w:rsidR="002B704F" w:rsidRPr="001847A4" w:rsidRDefault="002B704F" w:rsidP="00167631">
      <w:pPr>
        <w:pStyle w:val="Textodenotaderodap"/>
        <w:spacing w:after="0" w:line="240" w:lineRule="auto"/>
        <w:jc w:val="both"/>
        <w:rPr>
          <w:rFonts w:cs="Times New Roman"/>
          <w:b/>
        </w:rPr>
      </w:pPr>
      <w:r w:rsidRPr="001847A4">
        <w:rPr>
          <w:rStyle w:val="Refdenotaderodap"/>
          <w:rFonts w:cs="Times New Roman"/>
          <w:b/>
        </w:rPr>
        <w:footnoteRef/>
      </w:r>
      <w:r w:rsidRPr="001847A4">
        <w:rPr>
          <w:rFonts w:cs="Times New Roman"/>
          <w:b/>
        </w:rPr>
        <w:t xml:space="preserve"> </w:t>
      </w:r>
      <w:r w:rsidRPr="001847A4">
        <w:rPr>
          <w:rFonts w:cs="Times New Roman"/>
        </w:rPr>
        <w:t xml:space="preserve">Banco Bonsucesso S.A., Banco BTG Pactual S.A., Banco FIDIS, Banco Original, Banco Porto Real de Invest. S.A, Banco Semear, </w:t>
      </w:r>
      <w:proofErr w:type="spellStart"/>
      <w:r w:rsidRPr="001847A4">
        <w:rPr>
          <w:rFonts w:cs="Times New Roman"/>
        </w:rPr>
        <w:t>Bancoob</w:t>
      </w:r>
      <w:proofErr w:type="spellEnd"/>
      <w:r w:rsidRPr="001847A4">
        <w:rPr>
          <w:rFonts w:cs="Times New Roman"/>
        </w:rPr>
        <w:t xml:space="preserve">, </w:t>
      </w:r>
      <w:proofErr w:type="spellStart"/>
      <w:r w:rsidRPr="001847A4">
        <w:rPr>
          <w:rFonts w:cs="Times New Roman"/>
        </w:rPr>
        <w:t>Banif</w:t>
      </w:r>
      <w:proofErr w:type="spellEnd"/>
      <w:r w:rsidRPr="001847A4">
        <w:rPr>
          <w:rFonts w:cs="Times New Roman"/>
        </w:rPr>
        <w:t xml:space="preserve"> Brasil BM S.A., </w:t>
      </w:r>
      <w:proofErr w:type="spellStart"/>
      <w:r w:rsidRPr="001847A4">
        <w:rPr>
          <w:rFonts w:cs="Times New Roman"/>
        </w:rPr>
        <w:t>Bco</w:t>
      </w:r>
      <w:proofErr w:type="spellEnd"/>
      <w:r w:rsidRPr="001847A4">
        <w:rPr>
          <w:rFonts w:cs="Times New Roman"/>
        </w:rPr>
        <w:t xml:space="preserve"> ABC Brasil S.A., </w:t>
      </w:r>
      <w:proofErr w:type="spellStart"/>
      <w:r w:rsidRPr="001847A4">
        <w:rPr>
          <w:rFonts w:cs="Times New Roman"/>
        </w:rPr>
        <w:t>Bco</w:t>
      </w:r>
      <w:proofErr w:type="spellEnd"/>
      <w:r w:rsidRPr="001847A4">
        <w:rPr>
          <w:rFonts w:cs="Times New Roman"/>
        </w:rPr>
        <w:t xml:space="preserve"> Alfa de Investimento S.A., </w:t>
      </w:r>
      <w:proofErr w:type="spellStart"/>
      <w:r w:rsidRPr="001847A4">
        <w:rPr>
          <w:rFonts w:cs="Times New Roman"/>
        </w:rPr>
        <w:t>Bco</w:t>
      </w:r>
      <w:proofErr w:type="spellEnd"/>
      <w:r w:rsidRPr="001847A4">
        <w:rPr>
          <w:rFonts w:cs="Times New Roman"/>
        </w:rPr>
        <w:t xml:space="preserve"> Alfa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Arbi</w:t>
      </w:r>
      <w:proofErr w:type="spellEnd"/>
      <w:r w:rsidRPr="001847A4">
        <w:rPr>
          <w:rFonts w:cs="Times New Roman"/>
        </w:rPr>
        <w:t xml:space="preserve"> S.A.,</w:t>
      </w:r>
      <w:r w:rsidRPr="001847A4">
        <w:rPr>
          <w:rFonts w:cs="Times New Roman"/>
          <w:b/>
        </w:rPr>
        <w:t xml:space="preserve"> </w:t>
      </w:r>
      <w:proofErr w:type="spellStart"/>
      <w:r w:rsidRPr="001847A4">
        <w:rPr>
          <w:rFonts w:cs="Times New Roman"/>
        </w:rPr>
        <w:t>Bco</w:t>
      </w:r>
      <w:proofErr w:type="spellEnd"/>
      <w:r w:rsidRPr="001847A4">
        <w:rPr>
          <w:rFonts w:cs="Times New Roman"/>
        </w:rPr>
        <w:t xml:space="preserve"> Banestes S.A., </w:t>
      </w:r>
      <w:proofErr w:type="spellStart"/>
      <w:r w:rsidRPr="001847A4">
        <w:rPr>
          <w:rFonts w:cs="Times New Roman"/>
        </w:rPr>
        <w:t>Bco</w:t>
      </w:r>
      <w:proofErr w:type="spellEnd"/>
      <w:r w:rsidRPr="001847A4">
        <w:rPr>
          <w:rFonts w:cs="Times New Roman"/>
        </w:rPr>
        <w:t xml:space="preserve"> BBM S.A., </w:t>
      </w:r>
      <w:proofErr w:type="spellStart"/>
      <w:r w:rsidRPr="001847A4">
        <w:rPr>
          <w:rFonts w:cs="Times New Roman"/>
        </w:rPr>
        <w:t>Bco</w:t>
      </w:r>
      <w:proofErr w:type="spellEnd"/>
      <w:r w:rsidRPr="001847A4">
        <w:rPr>
          <w:rFonts w:cs="Times New Roman"/>
        </w:rPr>
        <w:t xml:space="preserve"> BGN S.A., </w:t>
      </w:r>
      <w:proofErr w:type="spellStart"/>
      <w:r w:rsidRPr="001847A4">
        <w:rPr>
          <w:rFonts w:cs="Times New Roman"/>
        </w:rPr>
        <w:t>Bco</w:t>
      </w:r>
      <w:proofErr w:type="spellEnd"/>
      <w:r w:rsidRPr="001847A4">
        <w:rPr>
          <w:rFonts w:cs="Times New Roman"/>
        </w:rPr>
        <w:t xml:space="preserve"> BMG S.A., </w:t>
      </w:r>
      <w:proofErr w:type="spellStart"/>
      <w:r w:rsidRPr="001847A4">
        <w:rPr>
          <w:rFonts w:cs="Times New Roman"/>
        </w:rPr>
        <w:t>Bco</w:t>
      </w:r>
      <w:proofErr w:type="spellEnd"/>
      <w:r w:rsidRPr="001847A4">
        <w:rPr>
          <w:rFonts w:cs="Times New Roman"/>
        </w:rPr>
        <w:t xml:space="preserve"> BNP </w:t>
      </w:r>
      <w:proofErr w:type="spellStart"/>
      <w:r w:rsidRPr="001847A4">
        <w:rPr>
          <w:rFonts w:cs="Times New Roman"/>
        </w:rPr>
        <w:t>Paribas</w:t>
      </w:r>
      <w:proofErr w:type="spellEnd"/>
      <w:r w:rsidRPr="001847A4">
        <w:rPr>
          <w:rFonts w:cs="Times New Roman"/>
        </w:rPr>
        <w:t xml:space="preserve"> Brasil S.A., </w:t>
      </w:r>
      <w:proofErr w:type="spellStart"/>
      <w:r w:rsidRPr="001847A4">
        <w:rPr>
          <w:rFonts w:cs="Times New Roman"/>
        </w:rPr>
        <w:t>Bco</w:t>
      </w:r>
      <w:proofErr w:type="spellEnd"/>
      <w:r w:rsidRPr="001847A4">
        <w:rPr>
          <w:rFonts w:cs="Times New Roman"/>
        </w:rPr>
        <w:t xml:space="preserve"> Bradesco </w:t>
      </w:r>
      <w:proofErr w:type="spellStart"/>
      <w:r w:rsidRPr="001847A4">
        <w:rPr>
          <w:rFonts w:cs="Times New Roman"/>
        </w:rPr>
        <w:t>Financ</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Bradesco S.A., </w:t>
      </w:r>
      <w:proofErr w:type="spellStart"/>
      <w:r w:rsidRPr="001847A4">
        <w:rPr>
          <w:rFonts w:cs="Times New Roman"/>
        </w:rPr>
        <w:t>Bco</w:t>
      </w:r>
      <w:proofErr w:type="spellEnd"/>
      <w:r w:rsidRPr="001847A4">
        <w:rPr>
          <w:rFonts w:cs="Times New Roman"/>
        </w:rPr>
        <w:t xml:space="preserve"> Cacique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Cedula</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Citibank S.A., </w:t>
      </w:r>
      <w:proofErr w:type="spellStart"/>
      <w:r w:rsidRPr="001847A4">
        <w:rPr>
          <w:rFonts w:cs="Times New Roman"/>
        </w:rPr>
        <w:t>Bco</w:t>
      </w:r>
      <w:proofErr w:type="spellEnd"/>
      <w:r w:rsidRPr="001847A4">
        <w:rPr>
          <w:rFonts w:cs="Times New Roman"/>
        </w:rPr>
        <w:t xml:space="preserve"> CNH Capital S.A., </w:t>
      </w:r>
      <w:proofErr w:type="spellStart"/>
      <w:r w:rsidRPr="001847A4">
        <w:rPr>
          <w:rFonts w:cs="Times New Roman"/>
        </w:rPr>
        <w:t>Bco</w:t>
      </w:r>
      <w:proofErr w:type="spellEnd"/>
      <w:r w:rsidRPr="001847A4">
        <w:rPr>
          <w:rFonts w:cs="Times New Roman"/>
        </w:rPr>
        <w:t xml:space="preserve"> Cooperativo </w:t>
      </w:r>
      <w:proofErr w:type="spellStart"/>
      <w:r w:rsidRPr="001847A4">
        <w:rPr>
          <w:rFonts w:cs="Times New Roman"/>
        </w:rPr>
        <w:t>Sicredi</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da </w:t>
      </w:r>
      <w:proofErr w:type="spellStart"/>
      <w:r w:rsidRPr="001847A4">
        <w:rPr>
          <w:rFonts w:cs="Times New Roman"/>
        </w:rPr>
        <w:t>Amazonia</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Daycoval</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des. </w:t>
      </w:r>
      <w:proofErr w:type="gramStart"/>
      <w:r w:rsidRPr="001847A4">
        <w:rPr>
          <w:rFonts w:cs="Times New Roman"/>
        </w:rPr>
        <w:t>de</w:t>
      </w:r>
      <w:proofErr w:type="gramEnd"/>
      <w:r w:rsidRPr="001847A4">
        <w:rPr>
          <w:rFonts w:cs="Times New Roman"/>
        </w:rPr>
        <w:t xml:space="preserve"> MG S.A., </w:t>
      </w:r>
      <w:proofErr w:type="spellStart"/>
      <w:r w:rsidRPr="001847A4">
        <w:rPr>
          <w:rFonts w:cs="Times New Roman"/>
        </w:rPr>
        <w:t>Bco</w:t>
      </w:r>
      <w:proofErr w:type="spellEnd"/>
      <w:r w:rsidRPr="001847A4">
        <w:rPr>
          <w:rFonts w:cs="Times New Roman"/>
        </w:rPr>
        <w:t xml:space="preserve"> des. do ES S.A., </w:t>
      </w:r>
      <w:proofErr w:type="spellStart"/>
      <w:r w:rsidRPr="001847A4">
        <w:rPr>
          <w:rFonts w:cs="Times New Roman"/>
        </w:rPr>
        <w:t>Bco</w:t>
      </w:r>
      <w:proofErr w:type="spellEnd"/>
      <w:r w:rsidRPr="001847A4">
        <w:rPr>
          <w:rFonts w:cs="Times New Roman"/>
        </w:rPr>
        <w:t xml:space="preserve"> do Brasil S.A., </w:t>
      </w:r>
      <w:proofErr w:type="spellStart"/>
      <w:r w:rsidRPr="001847A4">
        <w:rPr>
          <w:rFonts w:cs="Times New Roman"/>
        </w:rPr>
        <w:t>Bco</w:t>
      </w:r>
      <w:proofErr w:type="spellEnd"/>
      <w:r w:rsidRPr="001847A4">
        <w:rPr>
          <w:rFonts w:cs="Times New Roman"/>
        </w:rPr>
        <w:t xml:space="preserve"> do est. de SE S.A., </w:t>
      </w:r>
      <w:proofErr w:type="spellStart"/>
      <w:r w:rsidRPr="001847A4">
        <w:rPr>
          <w:rFonts w:cs="Times New Roman"/>
        </w:rPr>
        <w:t>Bco</w:t>
      </w:r>
      <w:proofErr w:type="spellEnd"/>
      <w:r w:rsidRPr="001847A4">
        <w:rPr>
          <w:rFonts w:cs="Times New Roman"/>
        </w:rPr>
        <w:t xml:space="preserve"> do est. do PA S.A., </w:t>
      </w:r>
      <w:proofErr w:type="spellStart"/>
      <w:r w:rsidRPr="001847A4">
        <w:rPr>
          <w:rFonts w:cs="Times New Roman"/>
        </w:rPr>
        <w:t>Bco</w:t>
      </w:r>
      <w:proofErr w:type="spellEnd"/>
      <w:r w:rsidRPr="001847A4">
        <w:rPr>
          <w:rFonts w:cs="Times New Roman"/>
        </w:rPr>
        <w:t xml:space="preserve"> do est. do RS S.A., </w:t>
      </w:r>
      <w:proofErr w:type="spellStart"/>
      <w:r w:rsidRPr="001847A4">
        <w:rPr>
          <w:rFonts w:cs="Times New Roman"/>
        </w:rPr>
        <w:t>Bco</w:t>
      </w:r>
      <w:proofErr w:type="spellEnd"/>
      <w:r w:rsidRPr="001847A4">
        <w:rPr>
          <w:rFonts w:cs="Times New Roman"/>
        </w:rPr>
        <w:t xml:space="preserve"> Industrial e Comercial </w:t>
      </w:r>
      <w:proofErr w:type="spellStart"/>
      <w:r w:rsidRPr="001847A4">
        <w:rPr>
          <w:rFonts w:cs="Times New Roman"/>
        </w:rPr>
        <w:t>s.a</w:t>
      </w:r>
      <w:proofErr w:type="spellEnd"/>
      <w:r w:rsidRPr="001847A4">
        <w:rPr>
          <w:rFonts w:cs="Times New Roman"/>
        </w:rPr>
        <w:t xml:space="preserve">, </w:t>
      </w:r>
      <w:proofErr w:type="spellStart"/>
      <w:r w:rsidRPr="001847A4">
        <w:rPr>
          <w:rFonts w:cs="Times New Roman"/>
        </w:rPr>
        <w:t>Bco</w:t>
      </w:r>
      <w:proofErr w:type="spellEnd"/>
      <w:r w:rsidRPr="001847A4">
        <w:rPr>
          <w:rFonts w:cs="Times New Roman"/>
        </w:rPr>
        <w:t xml:space="preserve"> Fibra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Ficsa</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Guanabara S.A., </w:t>
      </w:r>
      <w:proofErr w:type="spellStart"/>
      <w:r w:rsidRPr="001847A4">
        <w:rPr>
          <w:rFonts w:cs="Times New Roman"/>
        </w:rPr>
        <w:t>Bco</w:t>
      </w:r>
      <w:proofErr w:type="spellEnd"/>
      <w:r w:rsidRPr="001847A4">
        <w:rPr>
          <w:rFonts w:cs="Times New Roman"/>
        </w:rPr>
        <w:t xml:space="preserve"> Industrial do Brasil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Indusval</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Intercap</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Itaú BBA S.A., </w:t>
      </w:r>
      <w:proofErr w:type="spellStart"/>
      <w:r w:rsidRPr="001847A4">
        <w:rPr>
          <w:rFonts w:cs="Times New Roman"/>
        </w:rPr>
        <w:t>Bco</w:t>
      </w:r>
      <w:proofErr w:type="spellEnd"/>
      <w:r w:rsidRPr="001847A4">
        <w:rPr>
          <w:rFonts w:cs="Times New Roman"/>
        </w:rPr>
        <w:t xml:space="preserve"> J.P. Morgan S.A., </w:t>
      </w:r>
      <w:proofErr w:type="spellStart"/>
      <w:r w:rsidRPr="001847A4">
        <w:rPr>
          <w:rFonts w:cs="Times New Roman"/>
        </w:rPr>
        <w:t>BcoMmizuho</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Modal S.A., </w:t>
      </w:r>
      <w:proofErr w:type="spellStart"/>
      <w:r w:rsidRPr="001847A4">
        <w:rPr>
          <w:rFonts w:cs="Times New Roman"/>
        </w:rPr>
        <w:t>Bco</w:t>
      </w:r>
      <w:proofErr w:type="spellEnd"/>
      <w:r w:rsidRPr="001847A4">
        <w:rPr>
          <w:rFonts w:cs="Times New Roman"/>
        </w:rPr>
        <w:t xml:space="preserve"> Máxima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OurInvest</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Panamericano</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Paulista S.A., </w:t>
      </w:r>
      <w:proofErr w:type="spellStart"/>
      <w:r w:rsidRPr="001847A4">
        <w:rPr>
          <w:rFonts w:cs="Times New Roman"/>
        </w:rPr>
        <w:t>Bco</w:t>
      </w:r>
      <w:proofErr w:type="spellEnd"/>
      <w:r w:rsidRPr="001847A4">
        <w:rPr>
          <w:rFonts w:cs="Times New Roman"/>
        </w:rPr>
        <w:t xml:space="preserve"> Pine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Pottencial</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Rabobank </w:t>
      </w:r>
      <w:proofErr w:type="spellStart"/>
      <w:r w:rsidRPr="001847A4">
        <w:rPr>
          <w:rFonts w:cs="Times New Roman"/>
        </w:rPr>
        <w:t>Intl</w:t>
      </w:r>
      <w:proofErr w:type="spellEnd"/>
      <w:r w:rsidRPr="001847A4">
        <w:rPr>
          <w:rFonts w:cs="Times New Roman"/>
        </w:rPr>
        <w:t xml:space="preserve"> Brasil S.A., </w:t>
      </w:r>
      <w:proofErr w:type="spellStart"/>
      <w:r w:rsidRPr="001847A4">
        <w:rPr>
          <w:rFonts w:cs="Times New Roman"/>
        </w:rPr>
        <w:t>Bco</w:t>
      </w:r>
      <w:proofErr w:type="spellEnd"/>
      <w:r w:rsidRPr="001847A4">
        <w:rPr>
          <w:rFonts w:cs="Times New Roman"/>
        </w:rPr>
        <w:t xml:space="preserve"> Rendimento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Ribeirao</w:t>
      </w:r>
      <w:proofErr w:type="spellEnd"/>
      <w:r w:rsidRPr="001847A4">
        <w:rPr>
          <w:rFonts w:cs="Times New Roman"/>
        </w:rPr>
        <w:t xml:space="preserve"> Preto S.A., </w:t>
      </w:r>
      <w:proofErr w:type="spellStart"/>
      <w:r w:rsidRPr="001847A4">
        <w:rPr>
          <w:rFonts w:cs="Times New Roman"/>
        </w:rPr>
        <w:t>Bco</w:t>
      </w:r>
      <w:proofErr w:type="spellEnd"/>
      <w:r w:rsidRPr="001847A4">
        <w:rPr>
          <w:rFonts w:cs="Times New Roman"/>
        </w:rPr>
        <w:t xml:space="preserve"> Safra S.A., </w:t>
      </w:r>
      <w:proofErr w:type="spellStart"/>
      <w:r w:rsidRPr="001847A4">
        <w:rPr>
          <w:rFonts w:cs="Times New Roman"/>
        </w:rPr>
        <w:t>Bco</w:t>
      </w:r>
      <w:proofErr w:type="spellEnd"/>
      <w:r w:rsidRPr="001847A4">
        <w:rPr>
          <w:rFonts w:cs="Times New Roman"/>
        </w:rPr>
        <w:t xml:space="preserve"> Santander (Brasil)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Sofisa</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Sumitomo Mitsui Brasil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Tokyo</w:t>
      </w:r>
      <w:proofErr w:type="spellEnd"/>
      <w:r w:rsidRPr="001847A4">
        <w:rPr>
          <w:rFonts w:cs="Times New Roman"/>
        </w:rPr>
        <w:t xml:space="preserve">-Mitsubishi BM S.A., </w:t>
      </w:r>
      <w:proofErr w:type="spellStart"/>
      <w:r w:rsidRPr="001847A4">
        <w:rPr>
          <w:rFonts w:cs="Times New Roman"/>
        </w:rPr>
        <w:t>Bco</w:t>
      </w:r>
      <w:proofErr w:type="spellEnd"/>
      <w:r w:rsidRPr="001847A4">
        <w:rPr>
          <w:rFonts w:cs="Times New Roman"/>
        </w:rPr>
        <w:t xml:space="preserve"> Triangulo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Tricury</w:t>
      </w:r>
      <w:proofErr w:type="spellEnd"/>
      <w:r w:rsidRPr="001847A4">
        <w:rPr>
          <w:rFonts w:cs="Times New Roman"/>
        </w:rPr>
        <w:t xml:space="preserve"> S.A., </w:t>
      </w:r>
      <w:proofErr w:type="spellStart"/>
      <w:r w:rsidRPr="001847A4">
        <w:rPr>
          <w:rFonts w:cs="Times New Roman"/>
        </w:rPr>
        <w:t>Bco</w:t>
      </w:r>
      <w:proofErr w:type="spellEnd"/>
      <w:r w:rsidRPr="001847A4">
        <w:rPr>
          <w:rFonts w:cs="Times New Roman"/>
        </w:rPr>
        <w:t xml:space="preserve"> Votorantim S.A., BCV, BD Regional do Extremo Sul, BI </w:t>
      </w:r>
      <w:proofErr w:type="spellStart"/>
      <w:r w:rsidRPr="001847A4">
        <w:rPr>
          <w:rFonts w:cs="Times New Roman"/>
        </w:rPr>
        <w:t>Credit</w:t>
      </w:r>
      <w:proofErr w:type="spellEnd"/>
      <w:r w:rsidRPr="001847A4">
        <w:rPr>
          <w:rFonts w:cs="Times New Roman"/>
        </w:rPr>
        <w:t xml:space="preserve"> </w:t>
      </w:r>
      <w:proofErr w:type="spellStart"/>
      <w:r w:rsidRPr="001847A4">
        <w:rPr>
          <w:rFonts w:cs="Times New Roman"/>
        </w:rPr>
        <w:t>Suisse</w:t>
      </w:r>
      <w:proofErr w:type="spellEnd"/>
      <w:r w:rsidRPr="001847A4">
        <w:rPr>
          <w:rFonts w:cs="Times New Roman"/>
        </w:rPr>
        <w:t xml:space="preserve"> (Brasil) S.A., BNDES, BRB - </w:t>
      </w:r>
      <w:proofErr w:type="spellStart"/>
      <w:r w:rsidRPr="001847A4">
        <w:rPr>
          <w:rFonts w:cs="Times New Roman"/>
        </w:rPr>
        <w:t>Bco</w:t>
      </w:r>
      <w:proofErr w:type="spellEnd"/>
      <w:r w:rsidRPr="001847A4">
        <w:rPr>
          <w:rFonts w:cs="Times New Roman"/>
        </w:rPr>
        <w:t xml:space="preserve"> de </w:t>
      </w:r>
      <w:proofErr w:type="spellStart"/>
      <w:r w:rsidRPr="001847A4">
        <w:rPr>
          <w:rFonts w:cs="Times New Roman"/>
        </w:rPr>
        <w:t>Brasilia</w:t>
      </w:r>
      <w:proofErr w:type="spellEnd"/>
      <w:r w:rsidRPr="001847A4">
        <w:rPr>
          <w:rFonts w:cs="Times New Roman"/>
        </w:rPr>
        <w:t xml:space="preserve"> S.A., Caixa </w:t>
      </w:r>
      <w:proofErr w:type="spellStart"/>
      <w:r w:rsidRPr="001847A4">
        <w:rPr>
          <w:rFonts w:cs="Times New Roman"/>
        </w:rPr>
        <w:t>Economica</w:t>
      </w:r>
      <w:proofErr w:type="spellEnd"/>
      <w:r w:rsidRPr="001847A4">
        <w:rPr>
          <w:rFonts w:cs="Times New Roman"/>
        </w:rPr>
        <w:t xml:space="preserve"> Federal, Citibank N.A., HSBC Bank Brasil SA </w:t>
      </w:r>
      <w:proofErr w:type="spellStart"/>
      <w:r w:rsidRPr="001847A4">
        <w:rPr>
          <w:rFonts w:cs="Times New Roman"/>
        </w:rPr>
        <w:t>Bco</w:t>
      </w:r>
      <w:proofErr w:type="spellEnd"/>
      <w:r w:rsidRPr="001847A4">
        <w:rPr>
          <w:rFonts w:cs="Times New Roman"/>
        </w:rPr>
        <w:t xml:space="preserve"> </w:t>
      </w:r>
      <w:proofErr w:type="spellStart"/>
      <w:r w:rsidRPr="001847A4">
        <w:rPr>
          <w:rFonts w:cs="Times New Roman"/>
        </w:rPr>
        <w:t>Multip</w:t>
      </w:r>
      <w:proofErr w:type="spellEnd"/>
      <w:r w:rsidRPr="001847A4">
        <w:rPr>
          <w:rFonts w:cs="Times New Roman"/>
        </w:rPr>
        <w:t xml:space="preserve">, Itaú </w:t>
      </w:r>
      <w:proofErr w:type="spellStart"/>
      <w:r w:rsidRPr="001847A4">
        <w:rPr>
          <w:rFonts w:cs="Times New Roman"/>
        </w:rPr>
        <w:t>UniBanco</w:t>
      </w:r>
      <w:proofErr w:type="spellEnd"/>
      <w:r w:rsidRPr="001847A4">
        <w:rPr>
          <w:rFonts w:cs="Times New Roman"/>
        </w:rPr>
        <w:t xml:space="preserve"> BM S.A., NBC Bank Brasil S.A. - BM, </w:t>
      </w:r>
      <w:proofErr w:type="spellStart"/>
      <w:r w:rsidRPr="001847A4">
        <w:rPr>
          <w:rFonts w:cs="Times New Roman"/>
        </w:rPr>
        <w:t>Parana</w:t>
      </w:r>
      <w:proofErr w:type="spellEnd"/>
      <w:r w:rsidRPr="001847A4">
        <w:rPr>
          <w:rFonts w:cs="Times New Roman"/>
        </w:rPr>
        <w:t xml:space="preserve"> </w:t>
      </w:r>
      <w:proofErr w:type="spellStart"/>
      <w:r w:rsidRPr="001847A4">
        <w:rPr>
          <w:rFonts w:cs="Times New Roman"/>
        </w:rPr>
        <w:t>Bco</w:t>
      </w:r>
      <w:proofErr w:type="spellEnd"/>
      <w:r w:rsidRPr="001847A4">
        <w:rPr>
          <w:rFonts w:cs="Times New Roman"/>
        </w:rPr>
        <w:t xml:space="preserve"> S.A., </w:t>
      </w:r>
      <w:proofErr w:type="spellStart"/>
      <w:r w:rsidRPr="001847A4">
        <w:rPr>
          <w:rFonts w:cs="Times New Roman"/>
        </w:rPr>
        <w:t>Scotiabank</w:t>
      </w:r>
      <w:proofErr w:type="spellEnd"/>
      <w:r w:rsidRPr="001847A4">
        <w:rPr>
          <w:rFonts w:cs="Times New Roman"/>
        </w:rPr>
        <w:t xml:space="preserve"> Brasil, </w:t>
      </w:r>
      <w:proofErr w:type="spellStart"/>
      <w:r w:rsidRPr="001847A4">
        <w:rPr>
          <w:rFonts w:cs="Times New Roman"/>
        </w:rPr>
        <w:t>Bco</w:t>
      </w:r>
      <w:proofErr w:type="spellEnd"/>
      <w:r w:rsidRPr="001847A4">
        <w:rPr>
          <w:rFonts w:cs="Times New Roman"/>
        </w:rPr>
        <w:t xml:space="preserve"> Luso Brasileiro S.A., </w:t>
      </w:r>
      <w:proofErr w:type="spellStart"/>
      <w:r w:rsidRPr="001847A4">
        <w:rPr>
          <w:rFonts w:cs="Times New Roman"/>
        </w:rPr>
        <w:t>Bco</w:t>
      </w:r>
      <w:proofErr w:type="spellEnd"/>
      <w:r w:rsidRPr="001847A4">
        <w:rPr>
          <w:rFonts w:cs="Times New Roman"/>
        </w:rPr>
        <w:t xml:space="preserve"> do Nordeste do Brasil S.A. e </w:t>
      </w:r>
      <w:proofErr w:type="spellStart"/>
      <w:r w:rsidRPr="001847A4">
        <w:rPr>
          <w:rFonts w:cs="Times New Roman"/>
        </w:rPr>
        <w:t>Bco</w:t>
      </w:r>
      <w:proofErr w:type="spellEnd"/>
      <w:r w:rsidRPr="001847A4">
        <w:rPr>
          <w:rFonts w:cs="Times New Roman"/>
        </w:rPr>
        <w:t xml:space="preserve"> Mercantil do Brasil S.A..</w:t>
      </w:r>
    </w:p>
  </w:footnote>
  <w:footnote w:id="8">
    <w:p w:rsidR="002B704F" w:rsidRPr="001847A4" w:rsidRDefault="002B704F" w:rsidP="005F6FB6">
      <w:pPr>
        <w:pStyle w:val="Textodenotaderodap"/>
        <w:spacing w:after="0" w:line="240" w:lineRule="auto"/>
        <w:jc w:val="both"/>
        <w:rPr>
          <w:rFonts w:cs="Times New Roman"/>
        </w:rPr>
      </w:pPr>
      <w:r w:rsidRPr="001847A4">
        <w:rPr>
          <w:rStyle w:val="Refdenotaderodap"/>
          <w:rFonts w:cs="Times New Roman"/>
        </w:rPr>
        <w:footnoteRef/>
      </w:r>
      <w:r w:rsidRPr="001847A4">
        <w:rPr>
          <w:rFonts w:cs="Times New Roman"/>
        </w:rPr>
        <w:t xml:space="preserve"> Com base no disposto na Circular 3.630, de 19 de fevereiro de 2013, a base de dados IFT foi descontinuada desde o primeiro trimestre de 2013, inclusive. </w:t>
      </w:r>
    </w:p>
  </w:footnote>
  <w:footnote w:id="9">
    <w:p w:rsidR="002B704F" w:rsidRPr="00D739A5" w:rsidRDefault="002B704F" w:rsidP="00453C98">
      <w:pPr>
        <w:pStyle w:val="Textodenotaderodap"/>
        <w:spacing w:after="0" w:line="240" w:lineRule="auto"/>
        <w:jc w:val="both"/>
        <w:rPr>
          <w:rFonts w:cs="Times New Roman"/>
        </w:rPr>
      </w:pPr>
      <w:r w:rsidRPr="001847A4">
        <w:rPr>
          <w:rStyle w:val="Refdenotaderodap"/>
          <w:rFonts w:cs="Times New Roman"/>
        </w:rPr>
        <w:footnoteRef/>
      </w:r>
      <w:r w:rsidRPr="001847A4">
        <w:rPr>
          <w:rFonts w:cs="Times New Roman"/>
        </w:rPr>
        <w:t xml:space="preserve"> Foram consideradas como captação total as seguintes contas: depósito à vista, depósito a prazo, depósito de poupança, depósito interfinanceiro, outros depósitos e recursos de letras.</w:t>
      </w:r>
    </w:p>
  </w:footnote>
  <w:footnote w:id="10">
    <w:p w:rsidR="002B704F" w:rsidRPr="007E0074" w:rsidRDefault="002B704F" w:rsidP="00295318">
      <w:pPr>
        <w:pStyle w:val="Textodenotaderodap"/>
        <w:spacing w:after="0" w:line="240" w:lineRule="auto"/>
        <w:jc w:val="both"/>
      </w:pPr>
      <w:r>
        <w:rPr>
          <w:rStyle w:val="Refdenotaderodap"/>
        </w:rPr>
        <w:footnoteRef/>
      </w:r>
      <w:r>
        <w:t xml:space="preserve"> A variável </w:t>
      </w:r>
      <w:r>
        <w:rPr>
          <w:i/>
        </w:rPr>
        <w:t xml:space="preserve">spread </w:t>
      </w:r>
      <w:r>
        <w:t xml:space="preserve">foi </w:t>
      </w:r>
      <w:r w:rsidRPr="0060321D">
        <w:t xml:space="preserve">calculada como a diferença entre a taxa dos empréstimos e a taxa Selic. Dado que a taxa CDI poderia ser mais adequada para o cálculo do </w:t>
      </w:r>
      <w:r w:rsidRPr="0060321D">
        <w:rPr>
          <w:i/>
        </w:rPr>
        <w:t xml:space="preserve">spread </w:t>
      </w:r>
      <w:r w:rsidRPr="0060321D">
        <w:t xml:space="preserve">bancário, também, foram estimados os modelos com esse formato de </w:t>
      </w:r>
      <w:r w:rsidRPr="0060321D">
        <w:rPr>
          <w:i/>
        </w:rPr>
        <w:t xml:space="preserve">spread. </w:t>
      </w:r>
      <w:r w:rsidRPr="0060321D">
        <w:t xml:space="preserve">No entanto, o </w:t>
      </w:r>
      <w:r w:rsidRPr="0060321D">
        <w:rPr>
          <w:i/>
        </w:rPr>
        <w:t>spread</w:t>
      </w:r>
      <w:r w:rsidRPr="0060321D">
        <w:t xml:space="preserve"> calculado com a taxa CDI não foi significativo para alguns dos modelos, conforme evidenciado no Apêndice B.</w:t>
      </w:r>
    </w:p>
  </w:footnote>
  <w:footnote w:id="11">
    <w:p w:rsidR="002B704F" w:rsidRPr="001847A4" w:rsidRDefault="002B704F" w:rsidP="00453C98">
      <w:pPr>
        <w:pStyle w:val="Textodenotaderodap"/>
        <w:spacing w:after="0" w:line="240" w:lineRule="auto"/>
        <w:rPr>
          <w:rFonts w:cs="Times New Roman"/>
        </w:rPr>
      </w:pPr>
      <w:r w:rsidRPr="001847A4">
        <w:rPr>
          <w:rStyle w:val="Refdenotaderodap"/>
          <w:rFonts w:cs="Times New Roman"/>
        </w:rPr>
        <w:footnoteRef/>
      </w:r>
      <w:r w:rsidRPr="001847A4">
        <w:rPr>
          <w:rFonts w:cs="Times New Roman"/>
        </w:rPr>
        <w:t xml:space="preserve"> Esta </w:t>
      </w:r>
      <w:proofErr w:type="spellStart"/>
      <w:r w:rsidRPr="001847A4">
        <w:rPr>
          <w:rFonts w:cs="Times New Roman"/>
          <w:i/>
        </w:rPr>
        <w:t>dummy</w:t>
      </w:r>
      <w:proofErr w:type="spellEnd"/>
      <w:r w:rsidRPr="001847A4">
        <w:rPr>
          <w:rFonts w:cs="Times New Roman"/>
          <w:i/>
        </w:rPr>
        <w:t xml:space="preserve"> </w:t>
      </w:r>
      <w:r w:rsidRPr="001847A4">
        <w:rPr>
          <w:rFonts w:cs="Times New Roman"/>
        </w:rPr>
        <w:t>associada às demais variáveis não foi significativa.</w:t>
      </w:r>
    </w:p>
  </w:footnote>
  <w:footnote w:id="12">
    <w:p w:rsidR="002B704F" w:rsidRPr="00145567" w:rsidRDefault="002B704F" w:rsidP="00453C98">
      <w:pPr>
        <w:pStyle w:val="Textodenotaderodap"/>
        <w:spacing w:after="0" w:line="240" w:lineRule="auto"/>
        <w:jc w:val="both"/>
      </w:pPr>
      <w:r w:rsidRPr="001847A4">
        <w:rPr>
          <w:rStyle w:val="Refdenotaderodap"/>
          <w:rFonts w:cs="Times New Roman"/>
        </w:rPr>
        <w:footnoteRef/>
      </w:r>
      <w:r w:rsidRPr="001847A4">
        <w:rPr>
          <w:rFonts w:cs="Times New Roman"/>
        </w:rPr>
        <w:t xml:space="preserve"> Para construir essa amostra, foram eliminadas 15 instituições que não continham a informação de Índice de Basiléia, chegando a uma base de dados formada por 50 Instituições Financeiras.</w:t>
      </w:r>
      <w:r w:rsidRPr="007D36D8">
        <w:rPr>
          <w:rFonts w:cs="Times New Roman"/>
        </w:rPr>
        <w:t xml:space="preserve"> </w:t>
      </w:r>
    </w:p>
  </w:footnote>
  <w:footnote w:id="13">
    <w:p w:rsidR="002B704F" w:rsidRDefault="002B704F" w:rsidP="006C45BD">
      <w:pPr>
        <w:pStyle w:val="Textodenotaderodap"/>
        <w:spacing w:after="0" w:line="240" w:lineRule="auto"/>
      </w:pPr>
      <w:r>
        <w:rPr>
          <w:rStyle w:val="Refdenotaderodap"/>
        </w:rPr>
        <w:footnoteRef/>
      </w:r>
      <w:r>
        <w:t xml:space="preserve"> Com o objetivo de capturar os efeitos da demanda por crédito, estimou-se os modelos incluindo as variáveis renda das famílias e taxa de desemprego. Contudo, essas variáveis também não foram significativas.</w:t>
      </w:r>
    </w:p>
  </w:footnote>
  <w:footnote w:id="14">
    <w:p w:rsidR="002B704F" w:rsidRDefault="002B704F" w:rsidP="006C45BD">
      <w:pPr>
        <w:pStyle w:val="Textodenotaderodap"/>
        <w:spacing w:after="0" w:line="240" w:lineRule="auto"/>
      </w:pPr>
      <w:r>
        <w:rPr>
          <w:rStyle w:val="Refdenotaderodap"/>
        </w:rPr>
        <w:footnoteRef/>
      </w:r>
      <w:r>
        <w:t xml:space="preserve"> Duas </w:t>
      </w:r>
      <w:proofErr w:type="spellStart"/>
      <w:r w:rsidRPr="00F0570F">
        <w:rPr>
          <w:i/>
        </w:rPr>
        <w:t>dummies</w:t>
      </w:r>
      <w:proofErr w:type="spellEnd"/>
      <w:r>
        <w:t xml:space="preserve"> que capturam as quebras estruturais ocorridas em 2008 foram </w:t>
      </w:r>
      <w:r w:rsidRPr="0060321D">
        <w:t xml:space="preserve">testadas, bem como, uma terceira ocorrida em 2002. Contudo nenhuma dessas </w:t>
      </w:r>
      <w:proofErr w:type="spellStart"/>
      <w:r w:rsidRPr="0060321D">
        <w:rPr>
          <w:i/>
        </w:rPr>
        <w:t>dummies</w:t>
      </w:r>
      <w:proofErr w:type="spellEnd"/>
      <w:r w:rsidRPr="0060321D">
        <w:t xml:space="preserve"> foi significativa, conforme Apêndice D.</w:t>
      </w:r>
    </w:p>
  </w:footnote>
  <w:footnote w:id="15">
    <w:p w:rsidR="002B704F" w:rsidRDefault="002B704F">
      <w:pPr>
        <w:pStyle w:val="Textodenotaderodap"/>
      </w:pPr>
      <w:r>
        <w:rPr>
          <w:rStyle w:val="Refdenotaderodap"/>
        </w:rPr>
        <w:footnoteRef/>
      </w:r>
      <w:r>
        <w:t xml:space="preserve"> Outros artigos como </w:t>
      </w:r>
      <w:proofErr w:type="spellStart"/>
      <w:r w:rsidRPr="008219D1">
        <w:t>Fucidji</w:t>
      </w:r>
      <w:proofErr w:type="spellEnd"/>
      <w:r w:rsidRPr="008219D1">
        <w:t xml:space="preserve"> e Prince (2009)</w:t>
      </w:r>
      <w:r>
        <w:t xml:space="preserve"> e </w:t>
      </w:r>
      <w:r w:rsidRPr="00386176">
        <w:t xml:space="preserve">Vasconcelos et. al. (2004) </w:t>
      </w:r>
      <w:r>
        <w:t>também utilizam o saldo de crédito como variável dependente.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426594"/>
      <w:docPartObj>
        <w:docPartGallery w:val="Page Numbers (Top of Page)"/>
        <w:docPartUnique/>
      </w:docPartObj>
    </w:sdtPr>
    <w:sdtEndPr>
      <w:rPr>
        <w:noProof/>
      </w:rPr>
    </w:sdtEndPr>
    <w:sdtContent>
      <w:p w:rsidR="002B704F" w:rsidRDefault="002B704F">
        <w:pPr>
          <w:pStyle w:val="Cabealho"/>
          <w:jc w:val="right"/>
        </w:pPr>
        <w:r w:rsidRPr="007427E4">
          <w:rPr>
            <w:rFonts w:cs="Times New Roman"/>
          </w:rPr>
          <w:fldChar w:fldCharType="begin"/>
        </w:r>
        <w:r w:rsidRPr="007427E4">
          <w:rPr>
            <w:rFonts w:cs="Times New Roman"/>
          </w:rPr>
          <w:instrText xml:space="preserve"> PAGE   \* MERGEFORMAT </w:instrText>
        </w:r>
        <w:r w:rsidRPr="007427E4">
          <w:rPr>
            <w:rFonts w:cs="Times New Roman"/>
          </w:rPr>
          <w:fldChar w:fldCharType="separate"/>
        </w:r>
        <w:r w:rsidR="000D7D40">
          <w:rPr>
            <w:rFonts w:cs="Times New Roman"/>
            <w:noProof/>
          </w:rPr>
          <w:t>18</w:t>
        </w:r>
        <w:r w:rsidRPr="007427E4">
          <w:rPr>
            <w:rFonts w:cs="Times New Roman"/>
            <w:noProof/>
          </w:rPr>
          <w:fldChar w:fldCharType="end"/>
        </w:r>
      </w:p>
    </w:sdtContent>
  </w:sdt>
  <w:p w:rsidR="002B704F" w:rsidRDefault="002B70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ECD"/>
    <w:multiLevelType w:val="multilevel"/>
    <w:tmpl w:val="8E4ECD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1869DB"/>
    <w:multiLevelType w:val="multilevel"/>
    <w:tmpl w:val="6A48C1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165DC"/>
    <w:multiLevelType w:val="multilevel"/>
    <w:tmpl w:val="C8AADC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C40583"/>
    <w:multiLevelType w:val="multilevel"/>
    <w:tmpl w:val="430A67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DD545E"/>
    <w:multiLevelType w:val="multilevel"/>
    <w:tmpl w:val="D6D2F7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93125A"/>
    <w:multiLevelType w:val="multilevel"/>
    <w:tmpl w:val="8696CDEE"/>
    <w:lvl w:ilvl="0">
      <w:start w:val="1"/>
      <w:numFmt w:val="decimal"/>
      <w:pStyle w:val="Ttulo1"/>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3698"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5956A8"/>
    <w:multiLevelType w:val="multilevel"/>
    <w:tmpl w:val="53BA65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9A5D08"/>
    <w:multiLevelType w:val="multilevel"/>
    <w:tmpl w:val="A7ACEA5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B61CD"/>
    <w:multiLevelType w:val="multilevel"/>
    <w:tmpl w:val="39F84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060B74"/>
    <w:multiLevelType w:val="multilevel"/>
    <w:tmpl w:val="2BAA83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E24009"/>
    <w:multiLevelType w:val="multilevel"/>
    <w:tmpl w:val="B77CBA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B6707E"/>
    <w:multiLevelType w:val="multilevel"/>
    <w:tmpl w:val="3D787CF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8E1E44"/>
    <w:multiLevelType w:val="multilevel"/>
    <w:tmpl w:val="6A48C1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1858ED"/>
    <w:multiLevelType w:val="multilevel"/>
    <w:tmpl w:val="A96AF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1"/>
  </w:num>
  <w:num w:numId="3">
    <w:abstractNumId w:val="8"/>
  </w:num>
  <w:num w:numId="4">
    <w:abstractNumId w:val="0"/>
  </w:num>
  <w:num w:numId="5">
    <w:abstractNumId w:val="1"/>
  </w:num>
  <w:num w:numId="6">
    <w:abstractNumId w:val="12"/>
  </w:num>
  <w:num w:numId="7">
    <w:abstractNumId w:val="2"/>
  </w:num>
  <w:num w:numId="8">
    <w:abstractNumId w:val="0"/>
    <w:lvlOverride w:ilvl="0">
      <w:startOverride w:val="2"/>
    </w:lvlOverride>
    <w:lvlOverride w:ilvl="1">
      <w:startOverride w:val="2"/>
    </w:lvlOverride>
  </w:num>
  <w:num w:numId="9">
    <w:abstractNumId w:val="5"/>
  </w:num>
  <w:num w:numId="10">
    <w:abstractNumId w:val="3"/>
  </w:num>
  <w:num w:numId="11">
    <w:abstractNumId w:val="9"/>
  </w:num>
  <w:num w:numId="12">
    <w:abstractNumId w:val="10"/>
  </w:num>
  <w:num w:numId="13">
    <w:abstractNumId w:val="7"/>
  </w:num>
  <w:num w:numId="14">
    <w:abstractNumId w:val="6"/>
  </w:num>
  <w:num w:numId="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A9"/>
    <w:rsid w:val="000007E5"/>
    <w:rsid w:val="00002C95"/>
    <w:rsid w:val="00003A0B"/>
    <w:rsid w:val="00007954"/>
    <w:rsid w:val="00007D85"/>
    <w:rsid w:val="00010CF4"/>
    <w:rsid w:val="00012BAC"/>
    <w:rsid w:val="00013D41"/>
    <w:rsid w:val="000168F7"/>
    <w:rsid w:val="00020F53"/>
    <w:rsid w:val="00022553"/>
    <w:rsid w:val="00022E44"/>
    <w:rsid w:val="00022F1D"/>
    <w:rsid w:val="0002300A"/>
    <w:rsid w:val="000231E1"/>
    <w:rsid w:val="0002418A"/>
    <w:rsid w:val="00024B3A"/>
    <w:rsid w:val="00024F1F"/>
    <w:rsid w:val="000258FE"/>
    <w:rsid w:val="00026424"/>
    <w:rsid w:val="00026580"/>
    <w:rsid w:val="00034109"/>
    <w:rsid w:val="000342B7"/>
    <w:rsid w:val="00035329"/>
    <w:rsid w:val="0003573F"/>
    <w:rsid w:val="00040A0E"/>
    <w:rsid w:val="000418FD"/>
    <w:rsid w:val="000439F4"/>
    <w:rsid w:val="00043A3C"/>
    <w:rsid w:val="00043E21"/>
    <w:rsid w:val="0005027A"/>
    <w:rsid w:val="00050E43"/>
    <w:rsid w:val="0005173F"/>
    <w:rsid w:val="00051EF1"/>
    <w:rsid w:val="00053C28"/>
    <w:rsid w:val="00054753"/>
    <w:rsid w:val="00055860"/>
    <w:rsid w:val="00055997"/>
    <w:rsid w:val="00055D62"/>
    <w:rsid w:val="00056738"/>
    <w:rsid w:val="00060633"/>
    <w:rsid w:val="00060FFA"/>
    <w:rsid w:val="00062C7F"/>
    <w:rsid w:val="000637AC"/>
    <w:rsid w:val="00063944"/>
    <w:rsid w:val="000645C0"/>
    <w:rsid w:val="000656EA"/>
    <w:rsid w:val="00065955"/>
    <w:rsid w:val="00065F7C"/>
    <w:rsid w:val="00066078"/>
    <w:rsid w:val="0006618B"/>
    <w:rsid w:val="00071AFE"/>
    <w:rsid w:val="00072316"/>
    <w:rsid w:val="0007370E"/>
    <w:rsid w:val="00073D6D"/>
    <w:rsid w:val="00074A1B"/>
    <w:rsid w:val="00075AA7"/>
    <w:rsid w:val="00076174"/>
    <w:rsid w:val="00076B4B"/>
    <w:rsid w:val="00076E7C"/>
    <w:rsid w:val="00077B6C"/>
    <w:rsid w:val="00081DF3"/>
    <w:rsid w:val="0008257F"/>
    <w:rsid w:val="00082B87"/>
    <w:rsid w:val="00082F91"/>
    <w:rsid w:val="00085525"/>
    <w:rsid w:val="00085CAF"/>
    <w:rsid w:val="00085D8A"/>
    <w:rsid w:val="0009126E"/>
    <w:rsid w:val="0009168B"/>
    <w:rsid w:val="00091B2B"/>
    <w:rsid w:val="00093355"/>
    <w:rsid w:val="000934D2"/>
    <w:rsid w:val="00093508"/>
    <w:rsid w:val="000954DC"/>
    <w:rsid w:val="00096FD5"/>
    <w:rsid w:val="000976D6"/>
    <w:rsid w:val="000977CA"/>
    <w:rsid w:val="000A01CD"/>
    <w:rsid w:val="000A0677"/>
    <w:rsid w:val="000A0709"/>
    <w:rsid w:val="000A0D85"/>
    <w:rsid w:val="000A0F8E"/>
    <w:rsid w:val="000A1E8F"/>
    <w:rsid w:val="000A3188"/>
    <w:rsid w:val="000A45D0"/>
    <w:rsid w:val="000A5509"/>
    <w:rsid w:val="000A57D9"/>
    <w:rsid w:val="000A76E9"/>
    <w:rsid w:val="000A7BD3"/>
    <w:rsid w:val="000B27BE"/>
    <w:rsid w:val="000B4C35"/>
    <w:rsid w:val="000B4DAA"/>
    <w:rsid w:val="000C00AD"/>
    <w:rsid w:val="000C13B2"/>
    <w:rsid w:val="000C224A"/>
    <w:rsid w:val="000C302A"/>
    <w:rsid w:val="000C3180"/>
    <w:rsid w:val="000C43C7"/>
    <w:rsid w:val="000C6636"/>
    <w:rsid w:val="000C67CA"/>
    <w:rsid w:val="000C70A9"/>
    <w:rsid w:val="000D13B9"/>
    <w:rsid w:val="000D3A8F"/>
    <w:rsid w:val="000D5D56"/>
    <w:rsid w:val="000D7D40"/>
    <w:rsid w:val="000E2B54"/>
    <w:rsid w:val="000E32A8"/>
    <w:rsid w:val="000E37C7"/>
    <w:rsid w:val="000E3F16"/>
    <w:rsid w:val="000E4C2E"/>
    <w:rsid w:val="000E7B66"/>
    <w:rsid w:val="000E7EA0"/>
    <w:rsid w:val="000F0A23"/>
    <w:rsid w:val="000F2BF0"/>
    <w:rsid w:val="000F4AA0"/>
    <w:rsid w:val="000F75B5"/>
    <w:rsid w:val="00101504"/>
    <w:rsid w:val="001017A6"/>
    <w:rsid w:val="00102494"/>
    <w:rsid w:val="0010274B"/>
    <w:rsid w:val="00103018"/>
    <w:rsid w:val="0010373B"/>
    <w:rsid w:val="00104921"/>
    <w:rsid w:val="00104AF8"/>
    <w:rsid w:val="0010542C"/>
    <w:rsid w:val="00106372"/>
    <w:rsid w:val="00106948"/>
    <w:rsid w:val="00106B20"/>
    <w:rsid w:val="00107412"/>
    <w:rsid w:val="00107970"/>
    <w:rsid w:val="00111B77"/>
    <w:rsid w:val="00112D74"/>
    <w:rsid w:val="00112E97"/>
    <w:rsid w:val="00116234"/>
    <w:rsid w:val="001163A3"/>
    <w:rsid w:val="0011674F"/>
    <w:rsid w:val="00117B40"/>
    <w:rsid w:val="00120FDF"/>
    <w:rsid w:val="001214C1"/>
    <w:rsid w:val="001228DD"/>
    <w:rsid w:val="001234F5"/>
    <w:rsid w:val="00124B7C"/>
    <w:rsid w:val="00124FF7"/>
    <w:rsid w:val="00126F20"/>
    <w:rsid w:val="00127546"/>
    <w:rsid w:val="001279AF"/>
    <w:rsid w:val="0013034D"/>
    <w:rsid w:val="0013057A"/>
    <w:rsid w:val="001320C9"/>
    <w:rsid w:val="00132AD0"/>
    <w:rsid w:val="00135739"/>
    <w:rsid w:val="00136BCA"/>
    <w:rsid w:val="00137102"/>
    <w:rsid w:val="00137205"/>
    <w:rsid w:val="00140946"/>
    <w:rsid w:val="001416B4"/>
    <w:rsid w:val="00145044"/>
    <w:rsid w:val="00145834"/>
    <w:rsid w:val="00146481"/>
    <w:rsid w:val="00146BE4"/>
    <w:rsid w:val="00146C2A"/>
    <w:rsid w:val="00150A35"/>
    <w:rsid w:val="00154E85"/>
    <w:rsid w:val="00157FB5"/>
    <w:rsid w:val="00160D36"/>
    <w:rsid w:val="00163762"/>
    <w:rsid w:val="00163B08"/>
    <w:rsid w:val="00164E8B"/>
    <w:rsid w:val="001659AB"/>
    <w:rsid w:val="00167631"/>
    <w:rsid w:val="00167C3E"/>
    <w:rsid w:val="00170724"/>
    <w:rsid w:val="00171080"/>
    <w:rsid w:val="001722A1"/>
    <w:rsid w:val="001732D2"/>
    <w:rsid w:val="00173BCF"/>
    <w:rsid w:val="00174EA7"/>
    <w:rsid w:val="00177BB4"/>
    <w:rsid w:val="00180EC0"/>
    <w:rsid w:val="0018479B"/>
    <w:rsid w:val="001847A4"/>
    <w:rsid w:val="001866C1"/>
    <w:rsid w:val="00186891"/>
    <w:rsid w:val="001908E9"/>
    <w:rsid w:val="0019195A"/>
    <w:rsid w:val="00192151"/>
    <w:rsid w:val="0019249C"/>
    <w:rsid w:val="001927EB"/>
    <w:rsid w:val="00192A9E"/>
    <w:rsid w:val="001930A9"/>
    <w:rsid w:val="001933E7"/>
    <w:rsid w:val="00195883"/>
    <w:rsid w:val="00196CD9"/>
    <w:rsid w:val="00196EE1"/>
    <w:rsid w:val="001977AC"/>
    <w:rsid w:val="001A014A"/>
    <w:rsid w:val="001A2508"/>
    <w:rsid w:val="001A2E47"/>
    <w:rsid w:val="001A562A"/>
    <w:rsid w:val="001A5C0A"/>
    <w:rsid w:val="001A600E"/>
    <w:rsid w:val="001A7DF5"/>
    <w:rsid w:val="001B256A"/>
    <w:rsid w:val="001B2D75"/>
    <w:rsid w:val="001B3941"/>
    <w:rsid w:val="001B446A"/>
    <w:rsid w:val="001B516E"/>
    <w:rsid w:val="001B671E"/>
    <w:rsid w:val="001B679C"/>
    <w:rsid w:val="001B787C"/>
    <w:rsid w:val="001C0DA6"/>
    <w:rsid w:val="001C1BDB"/>
    <w:rsid w:val="001C3088"/>
    <w:rsid w:val="001C48D7"/>
    <w:rsid w:val="001C4F31"/>
    <w:rsid w:val="001C5CFA"/>
    <w:rsid w:val="001C652B"/>
    <w:rsid w:val="001C6ACF"/>
    <w:rsid w:val="001C7750"/>
    <w:rsid w:val="001C77DB"/>
    <w:rsid w:val="001C7CC8"/>
    <w:rsid w:val="001D013E"/>
    <w:rsid w:val="001D1004"/>
    <w:rsid w:val="001D1408"/>
    <w:rsid w:val="001D149E"/>
    <w:rsid w:val="001D2003"/>
    <w:rsid w:val="001D2DF8"/>
    <w:rsid w:val="001D2DFE"/>
    <w:rsid w:val="001D5129"/>
    <w:rsid w:val="001D5B60"/>
    <w:rsid w:val="001D633D"/>
    <w:rsid w:val="001D6D54"/>
    <w:rsid w:val="001D7B4F"/>
    <w:rsid w:val="001D7C4A"/>
    <w:rsid w:val="001E05E1"/>
    <w:rsid w:val="001E0DF3"/>
    <w:rsid w:val="001E0FFB"/>
    <w:rsid w:val="001E1CD7"/>
    <w:rsid w:val="001E2B54"/>
    <w:rsid w:val="001E4241"/>
    <w:rsid w:val="001E54F8"/>
    <w:rsid w:val="001F1092"/>
    <w:rsid w:val="001F17F1"/>
    <w:rsid w:val="001F1E31"/>
    <w:rsid w:val="001F26A3"/>
    <w:rsid w:val="001F27B2"/>
    <w:rsid w:val="001F3640"/>
    <w:rsid w:val="001F776E"/>
    <w:rsid w:val="00201B5B"/>
    <w:rsid w:val="0020233A"/>
    <w:rsid w:val="00202505"/>
    <w:rsid w:val="00202CE7"/>
    <w:rsid w:val="0020762C"/>
    <w:rsid w:val="002078AE"/>
    <w:rsid w:val="0021083E"/>
    <w:rsid w:val="002115D3"/>
    <w:rsid w:val="00212DF8"/>
    <w:rsid w:val="00212E6C"/>
    <w:rsid w:val="0021370B"/>
    <w:rsid w:val="00213E51"/>
    <w:rsid w:val="00215828"/>
    <w:rsid w:val="002202A0"/>
    <w:rsid w:val="00221022"/>
    <w:rsid w:val="00221310"/>
    <w:rsid w:val="00221407"/>
    <w:rsid w:val="002234FF"/>
    <w:rsid w:val="0022508B"/>
    <w:rsid w:val="00225CF1"/>
    <w:rsid w:val="00227A6E"/>
    <w:rsid w:val="00227CC9"/>
    <w:rsid w:val="00227FC9"/>
    <w:rsid w:val="00232888"/>
    <w:rsid w:val="00235783"/>
    <w:rsid w:val="0024068A"/>
    <w:rsid w:val="0024110F"/>
    <w:rsid w:val="00241C9C"/>
    <w:rsid w:val="0024205B"/>
    <w:rsid w:val="00242F8D"/>
    <w:rsid w:val="00244C5B"/>
    <w:rsid w:val="00244E6E"/>
    <w:rsid w:val="00245662"/>
    <w:rsid w:val="002459E4"/>
    <w:rsid w:val="00247707"/>
    <w:rsid w:val="00247D03"/>
    <w:rsid w:val="002513D2"/>
    <w:rsid w:val="0025161C"/>
    <w:rsid w:val="0025192D"/>
    <w:rsid w:val="00252A87"/>
    <w:rsid w:val="0025457C"/>
    <w:rsid w:val="00256184"/>
    <w:rsid w:val="002567C7"/>
    <w:rsid w:val="00256AD4"/>
    <w:rsid w:val="002605BB"/>
    <w:rsid w:val="00261615"/>
    <w:rsid w:val="00261C87"/>
    <w:rsid w:val="00265303"/>
    <w:rsid w:val="0026746B"/>
    <w:rsid w:val="002676DD"/>
    <w:rsid w:val="00271331"/>
    <w:rsid w:val="0027261F"/>
    <w:rsid w:val="00272749"/>
    <w:rsid w:val="0027346E"/>
    <w:rsid w:val="00274F7C"/>
    <w:rsid w:val="0027773D"/>
    <w:rsid w:val="00277FB5"/>
    <w:rsid w:val="0028157D"/>
    <w:rsid w:val="00282FC5"/>
    <w:rsid w:val="00283256"/>
    <w:rsid w:val="00283C05"/>
    <w:rsid w:val="00285CBA"/>
    <w:rsid w:val="00287A12"/>
    <w:rsid w:val="0029047C"/>
    <w:rsid w:val="00291039"/>
    <w:rsid w:val="00291801"/>
    <w:rsid w:val="00293470"/>
    <w:rsid w:val="00293C18"/>
    <w:rsid w:val="00295318"/>
    <w:rsid w:val="002A0D8B"/>
    <w:rsid w:val="002A1C18"/>
    <w:rsid w:val="002A2442"/>
    <w:rsid w:val="002A310F"/>
    <w:rsid w:val="002A3516"/>
    <w:rsid w:val="002A49A0"/>
    <w:rsid w:val="002A5AD3"/>
    <w:rsid w:val="002A5AFC"/>
    <w:rsid w:val="002A6F0D"/>
    <w:rsid w:val="002B033F"/>
    <w:rsid w:val="002B0CC3"/>
    <w:rsid w:val="002B1183"/>
    <w:rsid w:val="002B1E24"/>
    <w:rsid w:val="002B25BD"/>
    <w:rsid w:val="002B2FCA"/>
    <w:rsid w:val="002B32EB"/>
    <w:rsid w:val="002B335C"/>
    <w:rsid w:val="002B35DC"/>
    <w:rsid w:val="002B4AAA"/>
    <w:rsid w:val="002B60F0"/>
    <w:rsid w:val="002B704F"/>
    <w:rsid w:val="002B7C4B"/>
    <w:rsid w:val="002C5D73"/>
    <w:rsid w:val="002C642A"/>
    <w:rsid w:val="002C66EB"/>
    <w:rsid w:val="002C6D8E"/>
    <w:rsid w:val="002D06B5"/>
    <w:rsid w:val="002D0FA3"/>
    <w:rsid w:val="002D1484"/>
    <w:rsid w:val="002D4C8F"/>
    <w:rsid w:val="002D5FCB"/>
    <w:rsid w:val="002D70DE"/>
    <w:rsid w:val="002D7289"/>
    <w:rsid w:val="002D7FBE"/>
    <w:rsid w:val="002E06C1"/>
    <w:rsid w:val="002E0B02"/>
    <w:rsid w:val="002E0CFE"/>
    <w:rsid w:val="002E2FA6"/>
    <w:rsid w:val="002E3417"/>
    <w:rsid w:val="002E5D8E"/>
    <w:rsid w:val="002E728F"/>
    <w:rsid w:val="002F1063"/>
    <w:rsid w:val="002F32B5"/>
    <w:rsid w:val="002F4233"/>
    <w:rsid w:val="002F520F"/>
    <w:rsid w:val="002F6658"/>
    <w:rsid w:val="002F6D32"/>
    <w:rsid w:val="002F6FF1"/>
    <w:rsid w:val="002F7566"/>
    <w:rsid w:val="002F7C27"/>
    <w:rsid w:val="00300063"/>
    <w:rsid w:val="00301456"/>
    <w:rsid w:val="00301980"/>
    <w:rsid w:val="00301B35"/>
    <w:rsid w:val="0030222B"/>
    <w:rsid w:val="0030245A"/>
    <w:rsid w:val="00304D3B"/>
    <w:rsid w:val="0030508D"/>
    <w:rsid w:val="00305864"/>
    <w:rsid w:val="00306D26"/>
    <w:rsid w:val="003070B3"/>
    <w:rsid w:val="00307A8C"/>
    <w:rsid w:val="00311001"/>
    <w:rsid w:val="003116AB"/>
    <w:rsid w:val="00313393"/>
    <w:rsid w:val="00314753"/>
    <w:rsid w:val="00314D16"/>
    <w:rsid w:val="0031521B"/>
    <w:rsid w:val="00317E3B"/>
    <w:rsid w:val="00317F21"/>
    <w:rsid w:val="00321D11"/>
    <w:rsid w:val="00321D1F"/>
    <w:rsid w:val="003226D5"/>
    <w:rsid w:val="0032445F"/>
    <w:rsid w:val="00326106"/>
    <w:rsid w:val="003262C3"/>
    <w:rsid w:val="00326B34"/>
    <w:rsid w:val="00331801"/>
    <w:rsid w:val="003329CB"/>
    <w:rsid w:val="00334B5B"/>
    <w:rsid w:val="0033592B"/>
    <w:rsid w:val="00336856"/>
    <w:rsid w:val="00340326"/>
    <w:rsid w:val="00340843"/>
    <w:rsid w:val="00340DB2"/>
    <w:rsid w:val="00340DF9"/>
    <w:rsid w:val="00341B7C"/>
    <w:rsid w:val="0034200A"/>
    <w:rsid w:val="0034230E"/>
    <w:rsid w:val="00343423"/>
    <w:rsid w:val="003439BB"/>
    <w:rsid w:val="00344DA3"/>
    <w:rsid w:val="00345A39"/>
    <w:rsid w:val="00346013"/>
    <w:rsid w:val="003478FA"/>
    <w:rsid w:val="0035062D"/>
    <w:rsid w:val="00350A16"/>
    <w:rsid w:val="00351751"/>
    <w:rsid w:val="00353C77"/>
    <w:rsid w:val="0035459C"/>
    <w:rsid w:val="00354F9E"/>
    <w:rsid w:val="00355931"/>
    <w:rsid w:val="00355E61"/>
    <w:rsid w:val="003564B8"/>
    <w:rsid w:val="00360465"/>
    <w:rsid w:val="003616AC"/>
    <w:rsid w:val="0036373E"/>
    <w:rsid w:val="00363DE0"/>
    <w:rsid w:val="00371F65"/>
    <w:rsid w:val="00372630"/>
    <w:rsid w:val="00373AB0"/>
    <w:rsid w:val="00373CCB"/>
    <w:rsid w:val="003743CD"/>
    <w:rsid w:val="00374892"/>
    <w:rsid w:val="0037660C"/>
    <w:rsid w:val="00376EA6"/>
    <w:rsid w:val="003772B0"/>
    <w:rsid w:val="003808E0"/>
    <w:rsid w:val="00380C99"/>
    <w:rsid w:val="0038112C"/>
    <w:rsid w:val="00381C58"/>
    <w:rsid w:val="00382B25"/>
    <w:rsid w:val="00382E2C"/>
    <w:rsid w:val="00384013"/>
    <w:rsid w:val="0038517D"/>
    <w:rsid w:val="003856EC"/>
    <w:rsid w:val="00385845"/>
    <w:rsid w:val="00385BE3"/>
    <w:rsid w:val="00385EFA"/>
    <w:rsid w:val="00385F55"/>
    <w:rsid w:val="00386176"/>
    <w:rsid w:val="0039164D"/>
    <w:rsid w:val="00391E55"/>
    <w:rsid w:val="00392563"/>
    <w:rsid w:val="00394BF2"/>
    <w:rsid w:val="00394DD9"/>
    <w:rsid w:val="00397483"/>
    <w:rsid w:val="00397A9B"/>
    <w:rsid w:val="003A01F6"/>
    <w:rsid w:val="003A179B"/>
    <w:rsid w:val="003A17DD"/>
    <w:rsid w:val="003A6EBD"/>
    <w:rsid w:val="003B04CF"/>
    <w:rsid w:val="003B05D2"/>
    <w:rsid w:val="003B0A8D"/>
    <w:rsid w:val="003B19D9"/>
    <w:rsid w:val="003B22AB"/>
    <w:rsid w:val="003B37F0"/>
    <w:rsid w:val="003B3F94"/>
    <w:rsid w:val="003B4BAE"/>
    <w:rsid w:val="003B519B"/>
    <w:rsid w:val="003B5403"/>
    <w:rsid w:val="003B7D2A"/>
    <w:rsid w:val="003C2B9C"/>
    <w:rsid w:val="003C5D89"/>
    <w:rsid w:val="003C688E"/>
    <w:rsid w:val="003D10E2"/>
    <w:rsid w:val="003D1434"/>
    <w:rsid w:val="003D1B4F"/>
    <w:rsid w:val="003D20BA"/>
    <w:rsid w:val="003D2F3C"/>
    <w:rsid w:val="003D5ABE"/>
    <w:rsid w:val="003E302A"/>
    <w:rsid w:val="003E4FFF"/>
    <w:rsid w:val="003E616D"/>
    <w:rsid w:val="003E6EDF"/>
    <w:rsid w:val="003F28D7"/>
    <w:rsid w:val="003F4247"/>
    <w:rsid w:val="003F60C5"/>
    <w:rsid w:val="003F6CE0"/>
    <w:rsid w:val="004001E0"/>
    <w:rsid w:val="00401481"/>
    <w:rsid w:val="00401C2C"/>
    <w:rsid w:val="00410B7B"/>
    <w:rsid w:val="004119B0"/>
    <w:rsid w:val="00414234"/>
    <w:rsid w:val="0041434D"/>
    <w:rsid w:val="00414633"/>
    <w:rsid w:val="004154A2"/>
    <w:rsid w:val="00417E7F"/>
    <w:rsid w:val="00421E69"/>
    <w:rsid w:val="004220A6"/>
    <w:rsid w:val="0042238E"/>
    <w:rsid w:val="004232AD"/>
    <w:rsid w:val="00423713"/>
    <w:rsid w:val="00430E99"/>
    <w:rsid w:val="00431C0B"/>
    <w:rsid w:val="00434125"/>
    <w:rsid w:val="004341B6"/>
    <w:rsid w:val="00437329"/>
    <w:rsid w:val="00440AF4"/>
    <w:rsid w:val="00441F92"/>
    <w:rsid w:val="00442AFD"/>
    <w:rsid w:val="00453501"/>
    <w:rsid w:val="004539F2"/>
    <w:rsid w:val="00453C98"/>
    <w:rsid w:val="00457010"/>
    <w:rsid w:val="00457B95"/>
    <w:rsid w:val="00460E3B"/>
    <w:rsid w:val="004628C3"/>
    <w:rsid w:val="00463374"/>
    <w:rsid w:val="00466DCE"/>
    <w:rsid w:val="00467960"/>
    <w:rsid w:val="00470518"/>
    <w:rsid w:val="00470999"/>
    <w:rsid w:val="00471D43"/>
    <w:rsid w:val="004734DE"/>
    <w:rsid w:val="00473C43"/>
    <w:rsid w:val="0047406A"/>
    <w:rsid w:val="00474960"/>
    <w:rsid w:val="00475301"/>
    <w:rsid w:val="0047586B"/>
    <w:rsid w:val="00477424"/>
    <w:rsid w:val="0047765E"/>
    <w:rsid w:val="00477D60"/>
    <w:rsid w:val="00477E8F"/>
    <w:rsid w:val="004802A7"/>
    <w:rsid w:val="00480412"/>
    <w:rsid w:val="00483E07"/>
    <w:rsid w:val="00486030"/>
    <w:rsid w:val="00486CB2"/>
    <w:rsid w:val="00487689"/>
    <w:rsid w:val="004928D3"/>
    <w:rsid w:val="00492BB5"/>
    <w:rsid w:val="00492F7D"/>
    <w:rsid w:val="0049400A"/>
    <w:rsid w:val="0049507E"/>
    <w:rsid w:val="00497757"/>
    <w:rsid w:val="00497B93"/>
    <w:rsid w:val="004A18C7"/>
    <w:rsid w:val="004A1939"/>
    <w:rsid w:val="004A1BDF"/>
    <w:rsid w:val="004A1D7F"/>
    <w:rsid w:val="004A338A"/>
    <w:rsid w:val="004A33E4"/>
    <w:rsid w:val="004A3926"/>
    <w:rsid w:val="004A45D7"/>
    <w:rsid w:val="004A4F31"/>
    <w:rsid w:val="004A5A33"/>
    <w:rsid w:val="004B21DC"/>
    <w:rsid w:val="004C2AC8"/>
    <w:rsid w:val="004C2E99"/>
    <w:rsid w:val="004C507D"/>
    <w:rsid w:val="004C5564"/>
    <w:rsid w:val="004C6A20"/>
    <w:rsid w:val="004D3C47"/>
    <w:rsid w:val="004D4283"/>
    <w:rsid w:val="004D47CD"/>
    <w:rsid w:val="004D612F"/>
    <w:rsid w:val="004D6299"/>
    <w:rsid w:val="004E558F"/>
    <w:rsid w:val="004E5C2C"/>
    <w:rsid w:val="004E76B2"/>
    <w:rsid w:val="004F40A4"/>
    <w:rsid w:val="004F64F6"/>
    <w:rsid w:val="004F73F8"/>
    <w:rsid w:val="005000EE"/>
    <w:rsid w:val="005005D1"/>
    <w:rsid w:val="005007FD"/>
    <w:rsid w:val="00501313"/>
    <w:rsid w:val="00501570"/>
    <w:rsid w:val="00502224"/>
    <w:rsid w:val="00502B5E"/>
    <w:rsid w:val="0050324F"/>
    <w:rsid w:val="00504264"/>
    <w:rsid w:val="005062EA"/>
    <w:rsid w:val="00507D2B"/>
    <w:rsid w:val="00516F09"/>
    <w:rsid w:val="00517937"/>
    <w:rsid w:val="005210CB"/>
    <w:rsid w:val="00521EFA"/>
    <w:rsid w:val="00526D65"/>
    <w:rsid w:val="00531741"/>
    <w:rsid w:val="00533BBC"/>
    <w:rsid w:val="00533D2C"/>
    <w:rsid w:val="00533DE6"/>
    <w:rsid w:val="00535823"/>
    <w:rsid w:val="005366A9"/>
    <w:rsid w:val="00536962"/>
    <w:rsid w:val="00536D42"/>
    <w:rsid w:val="00542269"/>
    <w:rsid w:val="0054237E"/>
    <w:rsid w:val="00542DBA"/>
    <w:rsid w:val="00543233"/>
    <w:rsid w:val="00543C8E"/>
    <w:rsid w:val="00544ED5"/>
    <w:rsid w:val="0054567E"/>
    <w:rsid w:val="0055086B"/>
    <w:rsid w:val="005512FC"/>
    <w:rsid w:val="00551971"/>
    <w:rsid w:val="005533A7"/>
    <w:rsid w:val="005538D8"/>
    <w:rsid w:val="00555593"/>
    <w:rsid w:val="00556442"/>
    <w:rsid w:val="005602A9"/>
    <w:rsid w:val="0056197F"/>
    <w:rsid w:val="00562EF5"/>
    <w:rsid w:val="005646A1"/>
    <w:rsid w:val="005668D6"/>
    <w:rsid w:val="00567478"/>
    <w:rsid w:val="00567EEE"/>
    <w:rsid w:val="00574C22"/>
    <w:rsid w:val="00574C48"/>
    <w:rsid w:val="00577062"/>
    <w:rsid w:val="00585461"/>
    <w:rsid w:val="00586F97"/>
    <w:rsid w:val="005873F0"/>
    <w:rsid w:val="00587E16"/>
    <w:rsid w:val="00594813"/>
    <w:rsid w:val="00594AC8"/>
    <w:rsid w:val="00595626"/>
    <w:rsid w:val="00595D5C"/>
    <w:rsid w:val="00596DAB"/>
    <w:rsid w:val="005975FD"/>
    <w:rsid w:val="005A0332"/>
    <w:rsid w:val="005A04E9"/>
    <w:rsid w:val="005A0503"/>
    <w:rsid w:val="005A3175"/>
    <w:rsid w:val="005A3B33"/>
    <w:rsid w:val="005A5119"/>
    <w:rsid w:val="005B1265"/>
    <w:rsid w:val="005B1293"/>
    <w:rsid w:val="005B1DD7"/>
    <w:rsid w:val="005B3C03"/>
    <w:rsid w:val="005B3E37"/>
    <w:rsid w:val="005B48BF"/>
    <w:rsid w:val="005B4CA4"/>
    <w:rsid w:val="005B4F3B"/>
    <w:rsid w:val="005B6A5E"/>
    <w:rsid w:val="005B6D1C"/>
    <w:rsid w:val="005B771C"/>
    <w:rsid w:val="005C1241"/>
    <w:rsid w:val="005C51B3"/>
    <w:rsid w:val="005C5D81"/>
    <w:rsid w:val="005C60F2"/>
    <w:rsid w:val="005C6F13"/>
    <w:rsid w:val="005C70B2"/>
    <w:rsid w:val="005C7B98"/>
    <w:rsid w:val="005D109B"/>
    <w:rsid w:val="005D41C5"/>
    <w:rsid w:val="005D5CD1"/>
    <w:rsid w:val="005D62E7"/>
    <w:rsid w:val="005D6D85"/>
    <w:rsid w:val="005D6D99"/>
    <w:rsid w:val="005E06B4"/>
    <w:rsid w:val="005E0FEB"/>
    <w:rsid w:val="005E495B"/>
    <w:rsid w:val="005E55DE"/>
    <w:rsid w:val="005E6069"/>
    <w:rsid w:val="005E70D2"/>
    <w:rsid w:val="005E73ED"/>
    <w:rsid w:val="005E7965"/>
    <w:rsid w:val="005F6E66"/>
    <w:rsid w:val="005F6FB6"/>
    <w:rsid w:val="00602935"/>
    <w:rsid w:val="0060321D"/>
    <w:rsid w:val="0060394A"/>
    <w:rsid w:val="00606537"/>
    <w:rsid w:val="00606934"/>
    <w:rsid w:val="006071A9"/>
    <w:rsid w:val="00607239"/>
    <w:rsid w:val="00610FDE"/>
    <w:rsid w:val="00611B90"/>
    <w:rsid w:val="0061285D"/>
    <w:rsid w:val="006132AD"/>
    <w:rsid w:val="00613699"/>
    <w:rsid w:val="00616B99"/>
    <w:rsid w:val="0062381F"/>
    <w:rsid w:val="006240CB"/>
    <w:rsid w:val="0062681D"/>
    <w:rsid w:val="0062786C"/>
    <w:rsid w:val="006338AC"/>
    <w:rsid w:val="0063466D"/>
    <w:rsid w:val="00635301"/>
    <w:rsid w:val="0063786F"/>
    <w:rsid w:val="00651A33"/>
    <w:rsid w:val="0065294D"/>
    <w:rsid w:val="006557E0"/>
    <w:rsid w:val="00656534"/>
    <w:rsid w:val="00656F5E"/>
    <w:rsid w:val="0066149E"/>
    <w:rsid w:val="006616B2"/>
    <w:rsid w:val="006616FC"/>
    <w:rsid w:val="006629E1"/>
    <w:rsid w:val="00663C83"/>
    <w:rsid w:val="00665555"/>
    <w:rsid w:val="00665C9A"/>
    <w:rsid w:val="00670AA4"/>
    <w:rsid w:val="00675092"/>
    <w:rsid w:val="006750E1"/>
    <w:rsid w:val="00675B56"/>
    <w:rsid w:val="00677A9D"/>
    <w:rsid w:val="00677C51"/>
    <w:rsid w:val="00677EAA"/>
    <w:rsid w:val="00680788"/>
    <w:rsid w:val="00682175"/>
    <w:rsid w:val="006832D6"/>
    <w:rsid w:val="00684015"/>
    <w:rsid w:val="00686A66"/>
    <w:rsid w:val="00687A03"/>
    <w:rsid w:val="00691C33"/>
    <w:rsid w:val="006951C0"/>
    <w:rsid w:val="00695372"/>
    <w:rsid w:val="006A42DD"/>
    <w:rsid w:val="006A5F3D"/>
    <w:rsid w:val="006A7B54"/>
    <w:rsid w:val="006B0513"/>
    <w:rsid w:val="006B090C"/>
    <w:rsid w:val="006B0A30"/>
    <w:rsid w:val="006B0BE0"/>
    <w:rsid w:val="006B2338"/>
    <w:rsid w:val="006B3FED"/>
    <w:rsid w:val="006B46C1"/>
    <w:rsid w:val="006B75B1"/>
    <w:rsid w:val="006B78B2"/>
    <w:rsid w:val="006C0469"/>
    <w:rsid w:val="006C0ABB"/>
    <w:rsid w:val="006C45BD"/>
    <w:rsid w:val="006C4B83"/>
    <w:rsid w:val="006C4FBC"/>
    <w:rsid w:val="006C7458"/>
    <w:rsid w:val="006C7710"/>
    <w:rsid w:val="006D2157"/>
    <w:rsid w:val="006D2C71"/>
    <w:rsid w:val="006D3459"/>
    <w:rsid w:val="006D34D2"/>
    <w:rsid w:val="006D4A53"/>
    <w:rsid w:val="006D5B6A"/>
    <w:rsid w:val="006D6047"/>
    <w:rsid w:val="006D6779"/>
    <w:rsid w:val="006D7303"/>
    <w:rsid w:val="006D77ED"/>
    <w:rsid w:val="006E17B9"/>
    <w:rsid w:val="006E3635"/>
    <w:rsid w:val="006E5125"/>
    <w:rsid w:val="006F2764"/>
    <w:rsid w:val="00701410"/>
    <w:rsid w:val="00702118"/>
    <w:rsid w:val="00702CBD"/>
    <w:rsid w:val="00703140"/>
    <w:rsid w:val="007035F6"/>
    <w:rsid w:val="007036E0"/>
    <w:rsid w:val="007062C8"/>
    <w:rsid w:val="00706C24"/>
    <w:rsid w:val="007102F1"/>
    <w:rsid w:val="007106D4"/>
    <w:rsid w:val="00712119"/>
    <w:rsid w:val="007128A1"/>
    <w:rsid w:val="00713219"/>
    <w:rsid w:val="0071494E"/>
    <w:rsid w:val="0071535A"/>
    <w:rsid w:val="0071570C"/>
    <w:rsid w:val="007205AB"/>
    <w:rsid w:val="00721262"/>
    <w:rsid w:val="00721519"/>
    <w:rsid w:val="00724490"/>
    <w:rsid w:val="00726345"/>
    <w:rsid w:val="0072672C"/>
    <w:rsid w:val="00727AF8"/>
    <w:rsid w:val="007305DB"/>
    <w:rsid w:val="00731E4B"/>
    <w:rsid w:val="0073272D"/>
    <w:rsid w:val="007341F6"/>
    <w:rsid w:val="007356F6"/>
    <w:rsid w:val="007367D0"/>
    <w:rsid w:val="00736F85"/>
    <w:rsid w:val="00737750"/>
    <w:rsid w:val="0074169C"/>
    <w:rsid w:val="00741814"/>
    <w:rsid w:val="007426BD"/>
    <w:rsid w:val="007427E4"/>
    <w:rsid w:val="00743D91"/>
    <w:rsid w:val="00745A7A"/>
    <w:rsid w:val="00746B07"/>
    <w:rsid w:val="00750FC8"/>
    <w:rsid w:val="00751376"/>
    <w:rsid w:val="00751500"/>
    <w:rsid w:val="00753B7A"/>
    <w:rsid w:val="00756AB9"/>
    <w:rsid w:val="00756C5B"/>
    <w:rsid w:val="00757387"/>
    <w:rsid w:val="00757BE9"/>
    <w:rsid w:val="007601B2"/>
    <w:rsid w:val="00762658"/>
    <w:rsid w:val="00763686"/>
    <w:rsid w:val="00763B9D"/>
    <w:rsid w:val="0076521F"/>
    <w:rsid w:val="00765500"/>
    <w:rsid w:val="0076625B"/>
    <w:rsid w:val="00766DAD"/>
    <w:rsid w:val="00767FDA"/>
    <w:rsid w:val="007713DA"/>
    <w:rsid w:val="00774226"/>
    <w:rsid w:val="00774B61"/>
    <w:rsid w:val="00774C43"/>
    <w:rsid w:val="007802F4"/>
    <w:rsid w:val="00783119"/>
    <w:rsid w:val="00783526"/>
    <w:rsid w:val="00784318"/>
    <w:rsid w:val="00784A8B"/>
    <w:rsid w:val="00785870"/>
    <w:rsid w:val="00787881"/>
    <w:rsid w:val="007913F2"/>
    <w:rsid w:val="00797A09"/>
    <w:rsid w:val="007A0CA9"/>
    <w:rsid w:val="007A0CC9"/>
    <w:rsid w:val="007A3B6A"/>
    <w:rsid w:val="007A476B"/>
    <w:rsid w:val="007A74F0"/>
    <w:rsid w:val="007A7CC3"/>
    <w:rsid w:val="007B02D0"/>
    <w:rsid w:val="007B0A60"/>
    <w:rsid w:val="007B19A4"/>
    <w:rsid w:val="007B1C6D"/>
    <w:rsid w:val="007B213E"/>
    <w:rsid w:val="007B27D6"/>
    <w:rsid w:val="007B3817"/>
    <w:rsid w:val="007B39BC"/>
    <w:rsid w:val="007B4E1C"/>
    <w:rsid w:val="007B6F77"/>
    <w:rsid w:val="007B7473"/>
    <w:rsid w:val="007C12B9"/>
    <w:rsid w:val="007C1530"/>
    <w:rsid w:val="007C315E"/>
    <w:rsid w:val="007C3C57"/>
    <w:rsid w:val="007C4678"/>
    <w:rsid w:val="007C4B97"/>
    <w:rsid w:val="007C4C0C"/>
    <w:rsid w:val="007C5C58"/>
    <w:rsid w:val="007C6677"/>
    <w:rsid w:val="007D107F"/>
    <w:rsid w:val="007D127A"/>
    <w:rsid w:val="007D1D61"/>
    <w:rsid w:val="007D23FB"/>
    <w:rsid w:val="007D3D43"/>
    <w:rsid w:val="007D5AB7"/>
    <w:rsid w:val="007D6E0F"/>
    <w:rsid w:val="007E0074"/>
    <w:rsid w:val="007E0EB2"/>
    <w:rsid w:val="007E1E4C"/>
    <w:rsid w:val="007E50E2"/>
    <w:rsid w:val="007E697B"/>
    <w:rsid w:val="007E73E3"/>
    <w:rsid w:val="007E79A5"/>
    <w:rsid w:val="007F111F"/>
    <w:rsid w:val="007F2173"/>
    <w:rsid w:val="007F2C3D"/>
    <w:rsid w:val="007F3F14"/>
    <w:rsid w:val="007F4189"/>
    <w:rsid w:val="00802C86"/>
    <w:rsid w:val="008034FD"/>
    <w:rsid w:val="00803F9F"/>
    <w:rsid w:val="0080410E"/>
    <w:rsid w:val="0080435C"/>
    <w:rsid w:val="00804C73"/>
    <w:rsid w:val="00805567"/>
    <w:rsid w:val="00806072"/>
    <w:rsid w:val="008060A0"/>
    <w:rsid w:val="00806940"/>
    <w:rsid w:val="00806D86"/>
    <w:rsid w:val="00807F74"/>
    <w:rsid w:val="008102D7"/>
    <w:rsid w:val="00810404"/>
    <w:rsid w:val="00811217"/>
    <w:rsid w:val="00811DE1"/>
    <w:rsid w:val="0081240D"/>
    <w:rsid w:val="00817BFD"/>
    <w:rsid w:val="00817D62"/>
    <w:rsid w:val="008204D0"/>
    <w:rsid w:val="00820AF1"/>
    <w:rsid w:val="008219D1"/>
    <w:rsid w:val="00824836"/>
    <w:rsid w:val="00824D9E"/>
    <w:rsid w:val="0082579A"/>
    <w:rsid w:val="00825BBA"/>
    <w:rsid w:val="00826069"/>
    <w:rsid w:val="00826CD8"/>
    <w:rsid w:val="00830427"/>
    <w:rsid w:val="008305F1"/>
    <w:rsid w:val="0083083E"/>
    <w:rsid w:val="00830A6A"/>
    <w:rsid w:val="0083140A"/>
    <w:rsid w:val="00832046"/>
    <w:rsid w:val="008367EC"/>
    <w:rsid w:val="008403F8"/>
    <w:rsid w:val="00844325"/>
    <w:rsid w:val="008463EA"/>
    <w:rsid w:val="0084659B"/>
    <w:rsid w:val="0084751F"/>
    <w:rsid w:val="008503E5"/>
    <w:rsid w:val="008509F2"/>
    <w:rsid w:val="00851422"/>
    <w:rsid w:val="00853272"/>
    <w:rsid w:val="0085422D"/>
    <w:rsid w:val="008608E8"/>
    <w:rsid w:val="00860C64"/>
    <w:rsid w:val="00861633"/>
    <w:rsid w:val="00862043"/>
    <w:rsid w:val="0086443E"/>
    <w:rsid w:val="00864D16"/>
    <w:rsid w:val="00865A5B"/>
    <w:rsid w:val="00865DE1"/>
    <w:rsid w:val="0087051A"/>
    <w:rsid w:val="008725E7"/>
    <w:rsid w:val="008741C4"/>
    <w:rsid w:val="008747D6"/>
    <w:rsid w:val="0087544C"/>
    <w:rsid w:val="00875D32"/>
    <w:rsid w:val="00875D5B"/>
    <w:rsid w:val="00880061"/>
    <w:rsid w:val="008801D4"/>
    <w:rsid w:val="0088119E"/>
    <w:rsid w:val="0088192C"/>
    <w:rsid w:val="00882C2B"/>
    <w:rsid w:val="00884393"/>
    <w:rsid w:val="0088468C"/>
    <w:rsid w:val="00885B4D"/>
    <w:rsid w:val="00886ADA"/>
    <w:rsid w:val="0089120B"/>
    <w:rsid w:val="00892D6D"/>
    <w:rsid w:val="008931AE"/>
    <w:rsid w:val="008933AE"/>
    <w:rsid w:val="00893BAF"/>
    <w:rsid w:val="008942A8"/>
    <w:rsid w:val="00895677"/>
    <w:rsid w:val="00896B60"/>
    <w:rsid w:val="00897BCB"/>
    <w:rsid w:val="008A0FC8"/>
    <w:rsid w:val="008A1627"/>
    <w:rsid w:val="008A3838"/>
    <w:rsid w:val="008A3960"/>
    <w:rsid w:val="008A45BE"/>
    <w:rsid w:val="008A48BA"/>
    <w:rsid w:val="008A4AEE"/>
    <w:rsid w:val="008A6C5F"/>
    <w:rsid w:val="008A6FDE"/>
    <w:rsid w:val="008A7D71"/>
    <w:rsid w:val="008B0D75"/>
    <w:rsid w:val="008B1703"/>
    <w:rsid w:val="008B2D5C"/>
    <w:rsid w:val="008B2D68"/>
    <w:rsid w:val="008B3B30"/>
    <w:rsid w:val="008B5CCF"/>
    <w:rsid w:val="008B74BE"/>
    <w:rsid w:val="008B7B34"/>
    <w:rsid w:val="008C0B50"/>
    <w:rsid w:val="008C26E8"/>
    <w:rsid w:val="008C43AD"/>
    <w:rsid w:val="008C55AF"/>
    <w:rsid w:val="008C6012"/>
    <w:rsid w:val="008C7F0B"/>
    <w:rsid w:val="008D012A"/>
    <w:rsid w:val="008D05EE"/>
    <w:rsid w:val="008D0D8C"/>
    <w:rsid w:val="008D1B6D"/>
    <w:rsid w:val="008D1E64"/>
    <w:rsid w:val="008D2464"/>
    <w:rsid w:val="008D32FC"/>
    <w:rsid w:val="008D4ED4"/>
    <w:rsid w:val="008D6CC8"/>
    <w:rsid w:val="008D7C74"/>
    <w:rsid w:val="008E3103"/>
    <w:rsid w:val="008E47E6"/>
    <w:rsid w:val="008E4B46"/>
    <w:rsid w:val="008E5F2B"/>
    <w:rsid w:val="008E5F66"/>
    <w:rsid w:val="008E71BA"/>
    <w:rsid w:val="008F0639"/>
    <w:rsid w:val="008F11BC"/>
    <w:rsid w:val="008F13A0"/>
    <w:rsid w:val="008F6450"/>
    <w:rsid w:val="00901039"/>
    <w:rsid w:val="00901A8D"/>
    <w:rsid w:val="00901FBF"/>
    <w:rsid w:val="00902277"/>
    <w:rsid w:val="00903042"/>
    <w:rsid w:val="0090330C"/>
    <w:rsid w:val="00903F18"/>
    <w:rsid w:val="009049B9"/>
    <w:rsid w:val="00906E0A"/>
    <w:rsid w:val="009074A2"/>
    <w:rsid w:val="00910137"/>
    <w:rsid w:val="00910B0B"/>
    <w:rsid w:val="00912873"/>
    <w:rsid w:val="009150EC"/>
    <w:rsid w:val="009166D6"/>
    <w:rsid w:val="00916EAC"/>
    <w:rsid w:val="009173B0"/>
    <w:rsid w:val="009176B0"/>
    <w:rsid w:val="00917997"/>
    <w:rsid w:val="00920EB5"/>
    <w:rsid w:val="009222E7"/>
    <w:rsid w:val="00923515"/>
    <w:rsid w:val="00923CB9"/>
    <w:rsid w:val="00926180"/>
    <w:rsid w:val="00930225"/>
    <w:rsid w:val="00930620"/>
    <w:rsid w:val="00931A9D"/>
    <w:rsid w:val="00932A2F"/>
    <w:rsid w:val="0093412F"/>
    <w:rsid w:val="009341D1"/>
    <w:rsid w:val="009342A9"/>
    <w:rsid w:val="0094207C"/>
    <w:rsid w:val="009425E4"/>
    <w:rsid w:val="00950A08"/>
    <w:rsid w:val="00951CCD"/>
    <w:rsid w:val="00952A00"/>
    <w:rsid w:val="00952D3E"/>
    <w:rsid w:val="009535CA"/>
    <w:rsid w:val="0095476E"/>
    <w:rsid w:val="009550DA"/>
    <w:rsid w:val="00961EA0"/>
    <w:rsid w:val="009634B6"/>
    <w:rsid w:val="0096443F"/>
    <w:rsid w:val="00965334"/>
    <w:rsid w:val="009664E0"/>
    <w:rsid w:val="00966816"/>
    <w:rsid w:val="00966A89"/>
    <w:rsid w:val="00967F3C"/>
    <w:rsid w:val="00970763"/>
    <w:rsid w:val="00970C31"/>
    <w:rsid w:val="009710BB"/>
    <w:rsid w:val="00971426"/>
    <w:rsid w:val="009739C6"/>
    <w:rsid w:val="009742DC"/>
    <w:rsid w:val="009751CE"/>
    <w:rsid w:val="00981CD5"/>
    <w:rsid w:val="00982DA7"/>
    <w:rsid w:val="00985CCD"/>
    <w:rsid w:val="009873BF"/>
    <w:rsid w:val="00990E3E"/>
    <w:rsid w:val="00992EAA"/>
    <w:rsid w:val="0099744E"/>
    <w:rsid w:val="009979F2"/>
    <w:rsid w:val="009A19B0"/>
    <w:rsid w:val="009A2A26"/>
    <w:rsid w:val="009A3514"/>
    <w:rsid w:val="009A47A6"/>
    <w:rsid w:val="009A5BF6"/>
    <w:rsid w:val="009A63CB"/>
    <w:rsid w:val="009A6B9F"/>
    <w:rsid w:val="009A746A"/>
    <w:rsid w:val="009B066D"/>
    <w:rsid w:val="009B0BA8"/>
    <w:rsid w:val="009B0F1B"/>
    <w:rsid w:val="009B12FA"/>
    <w:rsid w:val="009B2C94"/>
    <w:rsid w:val="009B2D68"/>
    <w:rsid w:val="009B3985"/>
    <w:rsid w:val="009B3C25"/>
    <w:rsid w:val="009B3FBB"/>
    <w:rsid w:val="009B4E0D"/>
    <w:rsid w:val="009B4FA2"/>
    <w:rsid w:val="009B57C2"/>
    <w:rsid w:val="009B6746"/>
    <w:rsid w:val="009B6A4B"/>
    <w:rsid w:val="009C5210"/>
    <w:rsid w:val="009C5ACF"/>
    <w:rsid w:val="009C6190"/>
    <w:rsid w:val="009D05CE"/>
    <w:rsid w:val="009D1924"/>
    <w:rsid w:val="009D21C0"/>
    <w:rsid w:val="009D3D29"/>
    <w:rsid w:val="009D4EA8"/>
    <w:rsid w:val="009D5129"/>
    <w:rsid w:val="009D672D"/>
    <w:rsid w:val="009D6997"/>
    <w:rsid w:val="009D69D4"/>
    <w:rsid w:val="009D6E3F"/>
    <w:rsid w:val="009E08F9"/>
    <w:rsid w:val="009E1A33"/>
    <w:rsid w:val="009E1EE4"/>
    <w:rsid w:val="009E2630"/>
    <w:rsid w:val="009E3A9C"/>
    <w:rsid w:val="009E3F3E"/>
    <w:rsid w:val="009E5888"/>
    <w:rsid w:val="009F1CCF"/>
    <w:rsid w:val="009F2036"/>
    <w:rsid w:val="009F305E"/>
    <w:rsid w:val="009F446E"/>
    <w:rsid w:val="009F5051"/>
    <w:rsid w:val="009F505D"/>
    <w:rsid w:val="009F5542"/>
    <w:rsid w:val="009F5A54"/>
    <w:rsid w:val="009F76FC"/>
    <w:rsid w:val="00A01839"/>
    <w:rsid w:val="00A02FF3"/>
    <w:rsid w:val="00A05A0E"/>
    <w:rsid w:val="00A06CDF"/>
    <w:rsid w:val="00A1036F"/>
    <w:rsid w:val="00A116D6"/>
    <w:rsid w:val="00A13A76"/>
    <w:rsid w:val="00A14095"/>
    <w:rsid w:val="00A16FFF"/>
    <w:rsid w:val="00A20AEB"/>
    <w:rsid w:val="00A22335"/>
    <w:rsid w:val="00A23444"/>
    <w:rsid w:val="00A23EE6"/>
    <w:rsid w:val="00A247BB"/>
    <w:rsid w:val="00A24EAC"/>
    <w:rsid w:val="00A271A9"/>
    <w:rsid w:val="00A27EF9"/>
    <w:rsid w:val="00A323D6"/>
    <w:rsid w:val="00A330A6"/>
    <w:rsid w:val="00A353B9"/>
    <w:rsid w:val="00A36D5A"/>
    <w:rsid w:val="00A40786"/>
    <w:rsid w:val="00A408DA"/>
    <w:rsid w:val="00A50588"/>
    <w:rsid w:val="00A50C7A"/>
    <w:rsid w:val="00A5429F"/>
    <w:rsid w:val="00A552B3"/>
    <w:rsid w:val="00A56209"/>
    <w:rsid w:val="00A56352"/>
    <w:rsid w:val="00A6007B"/>
    <w:rsid w:val="00A61EC8"/>
    <w:rsid w:val="00A64C38"/>
    <w:rsid w:val="00A64C85"/>
    <w:rsid w:val="00A651F2"/>
    <w:rsid w:val="00A6644D"/>
    <w:rsid w:val="00A667C0"/>
    <w:rsid w:val="00A715C1"/>
    <w:rsid w:val="00A71BF7"/>
    <w:rsid w:val="00A744A1"/>
    <w:rsid w:val="00A748EA"/>
    <w:rsid w:val="00A7490A"/>
    <w:rsid w:val="00A762A0"/>
    <w:rsid w:val="00A81383"/>
    <w:rsid w:val="00A851A1"/>
    <w:rsid w:val="00A85523"/>
    <w:rsid w:val="00A85BC7"/>
    <w:rsid w:val="00A85EE9"/>
    <w:rsid w:val="00A868FB"/>
    <w:rsid w:val="00A87946"/>
    <w:rsid w:val="00A9079A"/>
    <w:rsid w:val="00A94316"/>
    <w:rsid w:val="00A9664E"/>
    <w:rsid w:val="00A96B2E"/>
    <w:rsid w:val="00A97919"/>
    <w:rsid w:val="00A979FF"/>
    <w:rsid w:val="00AA02DA"/>
    <w:rsid w:val="00AA2BBE"/>
    <w:rsid w:val="00AA3D80"/>
    <w:rsid w:val="00AB0FB8"/>
    <w:rsid w:val="00AB1959"/>
    <w:rsid w:val="00AB1E35"/>
    <w:rsid w:val="00AB343C"/>
    <w:rsid w:val="00AB3FA5"/>
    <w:rsid w:val="00AB6651"/>
    <w:rsid w:val="00AB6655"/>
    <w:rsid w:val="00AB6D2C"/>
    <w:rsid w:val="00AC1570"/>
    <w:rsid w:val="00AC1C9E"/>
    <w:rsid w:val="00AC3542"/>
    <w:rsid w:val="00AD1C6F"/>
    <w:rsid w:val="00AD41D4"/>
    <w:rsid w:val="00AD4DAC"/>
    <w:rsid w:val="00AD5590"/>
    <w:rsid w:val="00AE0340"/>
    <w:rsid w:val="00AE16B8"/>
    <w:rsid w:val="00AE1793"/>
    <w:rsid w:val="00AE26A6"/>
    <w:rsid w:val="00AE47F9"/>
    <w:rsid w:val="00AE6361"/>
    <w:rsid w:val="00AE6F36"/>
    <w:rsid w:val="00AF0D3D"/>
    <w:rsid w:val="00AF5471"/>
    <w:rsid w:val="00AF5F80"/>
    <w:rsid w:val="00AF6719"/>
    <w:rsid w:val="00AF7134"/>
    <w:rsid w:val="00AF74FA"/>
    <w:rsid w:val="00B00A70"/>
    <w:rsid w:val="00B0140C"/>
    <w:rsid w:val="00B015BA"/>
    <w:rsid w:val="00B023CC"/>
    <w:rsid w:val="00B031E3"/>
    <w:rsid w:val="00B03A98"/>
    <w:rsid w:val="00B06103"/>
    <w:rsid w:val="00B0610F"/>
    <w:rsid w:val="00B0631F"/>
    <w:rsid w:val="00B1170A"/>
    <w:rsid w:val="00B11EB4"/>
    <w:rsid w:val="00B1292B"/>
    <w:rsid w:val="00B13A55"/>
    <w:rsid w:val="00B14397"/>
    <w:rsid w:val="00B15E83"/>
    <w:rsid w:val="00B1641B"/>
    <w:rsid w:val="00B177FD"/>
    <w:rsid w:val="00B17E1A"/>
    <w:rsid w:val="00B21E30"/>
    <w:rsid w:val="00B23156"/>
    <w:rsid w:val="00B248AB"/>
    <w:rsid w:val="00B24945"/>
    <w:rsid w:val="00B27551"/>
    <w:rsid w:val="00B3086D"/>
    <w:rsid w:val="00B32043"/>
    <w:rsid w:val="00B3334B"/>
    <w:rsid w:val="00B33DA6"/>
    <w:rsid w:val="00B33ED5"/>
    <w:rsid w:val="00B34ED7"/>
    <w:rsid w:val="00B358AA"/>
    <w:rsid w:val="00B36768"/>
    <w:rsid w:val="00B36FC0"/>
    <w:rsid w:val="00B40D55"/>
    <w:rsid w:val="00B4384D"/>
    <w:rsid w:val="00B4440F"/>
    <w:rsid w:val="00B45C7F"/>
    <w:rsid w:val="00B4788A"/>
    <w:rsid w:val="00B50BAB"/>
    <w:rsid w:val="00B514FA"/>
    <w:rsid w:val="00B51683"/>
    <w:rsid w:val="00B52CD7"/>
    <w:rsid w:val="00B53747"/>
    <w:rsid w:val="00B53830"/>
    <w:rsid w:val="00B54886"/>
    <w:rsid w:val="00B54915"/>
    <w:rsid w:val="00B54CE8"/>
    <w:rsid w:val="00B61C34"/>
    <w:rsid w:val="00B6495E"/>
    <w:rsid w:val="00B65A02"/>
    <w:rsid w:val="00B66596"/>
    <w:rsid w:val="00B668EA"/>
    <w:rsid w:val="00B67495"/>
    <w:rsid w:val="00B67D53"/>
    <w:rsid w:val="00B700C7"/>
    <w:rsid w:val="00B7028F"/>
    <w:rsid w:val="00B7049D"/>
    <w:rsid w:val="00B70671"/>
    <w:rsid w:val="00B723BB"/>
    <w:rsid w:val="00B72D7F"/>
    <w:rsid w:val="00B741BA"/>
    <w:rsid w:val="00B75CB6"/>
    <w:rsid w:val="00B75E54"/>
    <w:rsid w:val="00B76F5F"/>
    <w:rsid w:val="00B8255E"/>
    <w:rsid w:val="00B825FC"/>
    <w:rsid w:val="00B82F80"/>
    <w:rsid w:val="00B8508E"/>
    <w:rsid w:val="00B861E9"/>
    <w:rsid w:val="00B87936"/>
    <w:rsid w:val="00B87EC0"/>
    <w:rsid w:val="00B90C49"/>
    <w:rsid w:val="00B92837"/>
    <w:rsid w:val="00B949E6"/>
    <w:rsid w:val="00B94EC6"/>
    <w:rsid w:val="00B96E6B"/>
    <w:rsid w:val="00B96ED6"/>
    <w:rsid w:val="00BA07B1"/>
    <w:rsid w:val="00BA1FBF"/>
    <w:rsid w:val="00BA4CE7"/>
    <w:rsid w:val="00BA5273"/>
    <w:rsid w:val="00BA5420"/>
    <w:rsid w:val="00BA6160"/>
    <w:rsid w:val="00BA635C"/>
    <w:rsid w:val="00BA6A9F"/>
    <w:rsid w:val="00BA75D0"/>
    <w:rsid w:val="00BB0C7D"/>
    <w:rsid w:val="00BB2F7B"/>
    <w:rsid w:val="00BB2FE7"/>
    <w:rsid w:val="00BB3821"/>
    <w:rsid w:val="00BB4344"/>
    <w:rsid w:val="00BB4739"/>
    <w:rsid w:val="00BB4992"/>
    <w:rsid w:val="00BB4CAE"/>
    <w:rsid w:val="00BB57FB"/>
    <w:rsid w:val="00BB660A"/>
    <w:rsid w:val="00BB7E80"/>
    <w:rsid w:val="00BC07A0"/>
    <w:rsid w:val="00BC0AA6"/>
    <w:rsid w:val="00BC1296"/>
    <w:rsid w:val="00BC2D6F"/>
    <w:rsid w:val="00BC48B5"/>
    <w:rsid w:val="00BD08E1"/>
    <w:rsid w:val="00BD099E"/>
    <w:rsid w:val="00BD1B7E"/>
    <w:rsid w:val="00BD5614"/>
    <w:rsid w:val="00BD760A"/>
    <w:rsid w:val="00BD7C3C"/>
    <w:rsid w:val="00BE154B"/>
    <w:rsid w:val="00BE1FF7"/>
    <w:rsid w:val="00BE239C"/>
    <w:rsid w:val="00BE26BE"/>
    <w:rsid w:val="00BE3E0F"/>
    <w:rsid w:val="00BE4375"/>
    <w:rsid w:val="00BE4C0A"/>
    <w:rsid w:val="00BE69EE"/>
    <w:rsid w:val="00BF015D"/>
    <w:rsid w:val="00BF5141"/>
    <w:rsid w:val="00BF5464"/>
    <w:rsid w:val="00BF559C"/>
    <w:rsid w:val="00BF58EE"/>
    <w:rsid w:val="00C002F9"/>
    <w:rsid w:val="00C004F8"/>
    <w:rsid w:val="00C01F37"/>
    <w:rsid w:val="00C0200C"/>
    <w:rsid w:val="00C021A1"/>
    <w:rsid w:val="00C03CEA"/>
    <w:rsid w:val="00C0424D"/>
    <w:rsid w:val="00C046B1"/>
    <w:rsid w:val="00C07C90"/>
    <w:rsid w:val="00C12465"/>
    <w:rsid w:val="00C12580"/>
    <w:rsid w:val="00C12BF6"/>
    <w:rsid w:val="00C147AE"/>
    <w:rsid w:val="00C14F90"/>
    <w:rsid w:val="00C164F6"/>
    <w:rsid w:val="00C1796C"/>
    <w:rsid w:val="00C17C09"/>
    <w:rsid w:val="00C2116C"/>
    <w:rsid w:val="00C2138A"/>
    <w:rsid w:val="00C251C8"/>
    <w:rsid w:val="00C2529A"/>
    <w:rsid w:val="00C26768"/>
    <w:rsid w:val="00C30E9B"/>
    <w:rsid w:val="00C32AF5"/>
    <w:rsid w:val="00C3353C"/>
    <w:rsid w:val="00C3520E"/>
    <w:rsid w:val="00C35241"/>
    <w:rsid w:val="00C35D99"/>
    <w:rsid w:val="00C368F8"/>
    <w:rsid w:val="00C43496"/>
    <w:rsid w:val="00C47D17"/>
    <w:rsid w:val="00C5027C"/>
    <w:rsid w:val="00C50613"/>
    <w:rsid w:val="00C529B2"/>
    <w:rsid w:val="00C53C3A"/>
    <w:rsid w:val="00C60962"/>
    <w:rsid w:val="00C620CC"/>
    <w:rsid w:val="00C62FB3"/>
    <w:rsid w:val="00C63A6F"/>
    <w:rsid w:val="00C64E3F"/>
    <w:rsid w:val="00C653BF"/>
    <w:rsid w:val="00C661D0"/>
    <w:rsid w:val="00C66DE8"/>
    <w:rsid w:val="00C677F0"/>
    <w:rsid w:val="00C70784"/>
    <w:rsid w:val="00C709B8"/>
    <w:rsid w:val="00C70AC0"/>
    <w:rsid w:val="00C71537"/>
    <w:rsid w:val="00C7191F"/>
    <w:rsid w:val="00C72500"/>
    <w:rsid w:val="00C72582"/>
    <w:rsid w:val="00C76A9C"/>
    <w:rsid w:val="00C80F28"/>
    <w:rsid w:val="00C81F7D"/>
    <w:rsid w:val="00C84DF7"/>
    <w:rsid w:val="00C850D9"/>
    <w:rsid w:val="00C87DF3"/>
    <w:rsid w:val="00C91B6B"/>
    <w:rsid w:val="00C92DC5"/>
    <w:rsid w:val="00C93729"/>
    <w:rsid w:val="00C94EC6"/>
    <w:rsid w:val="00C9541A"/>
    <w:rsid w:val="00C97A54"/>
    <w:rsid w:val="00CA2781"/>
    <w:rsid w:val="00CA287E"/>
    <w:rsid w:val="00CA3FBA"/>
    <w:rsid w:val="00CA7836"/>
    <w:rsid w:val="00CB4151"/>
    <w:rsid w:val="00CB63E0"/>
    <w:rsid w:val="00CB7318"/>
    <w:rsid w:val="00CC134C"/>
    <w:rsid w:val="00CC2FEA"/>
    <w:rsid w:val="00CC501C"/>
    <w:rsid w:val="00CC5567"/>
    <w:rsid w:val="00CC602D"/>
    <w:rsid w:val="00CC7273"/>
    <w:rsid w:val="00CD467F"/>
    <w:rsid w:val="00CD4E7A"/>
    <w:rsid w:val="00CE0568"/>
    <w:rsid w:val="00CE2DD0"/>
    <w:rsid w:val="00CE3325"/>
    <w:rsid w:val="00CE42A0"/>
    <w:rsid w:val="00CE785C"/>
    <w:rsid w:val="00CF0A4E"/>
    <w:rsid w:val="00CF46B1"/>
    <w:rsid w:val="00CF4EF2"/>
    <w:rsid w:val="00CF53CE"/>
    <w:rsid w:val="00CF74DC"/>
    <w:rsid w:val="00CF7646"/>
    <w:rsid w:val="00D02C50"/>
    <w:rsid w:val="00D10B7E"/>
    <w:rsid w:val="00D12954"/>
    <w:rsid w:val="00D12FA0"/>
    <w:rsid w:val="00D14ACA"/>
    <w:rsid w:val="00D15D26"/>
    <w:rsid w:val="00D15FE6"/>
    <w:rsid w:val="00D16BBB"/>
    <w:rsid w:val="00D16E30"/>
    <w:rsid w:val="00D17A95"/>
    <w:rsid w:val="00D21035"/>
    <w:rsid w:val="00D2294F"/>
    <w:rsid w:val="00D22EF2"/>
    <w:rsid w:val="00D27ED3"/>
    <w:rsid w:val="00D30694"/>
    <w:rsid w:val="00D30AFC"/>
    <w:rsid w:val="00D3232B"/>
    <w:rsid w:val="00D328A1"/>
    <w:rsid w:val="00D32943"/>
    <w:rsid w:val="00D34D00"/>
    <w:rsid w:val="00D36A08"/>
    <w:rsid w:val="00D37C9A"/>
    <w:rsid w:val="00D407DF"/>
    <w:rsid w:val="00D4141C"/>
    <w:rsid w:val="00D417D3"/>
    <w:rsid w:val="00D42DAF"/>
    <w:rsid w:val="00D43802"/>
    <w:rsid w:val="00D44F35"/>
    <w:rsid w:val="00D46A0A"/>
    <w:rsid w:val="00D508ED"/>
    <w:rsid w:val="00D51552"/>
    <w:rsid w:val="00D527F4"/>
    <w:rsid w:val="00D54886"/>
    <w:rsid w:val="00D54D91"/>
    <w:rsid w:val="00D574B2"/>
    <w:rsid w:val="00D57F75"/>
    <w:rsid w:val="00D60EC5"/>
    <w:rsid w:val="00D61991"/>
    <w:rsid w:val="00D6256F"/>
    <w:rsid w:val="00D625F6"/>
    <w:rsid w:val="00D644A4"/>
    <w:rsid w:val="00D65681"/>
    <w:rsid w:val="00D669E6"/>
    <w:rsid w:val="00D67792"/>
    <w:rsid w:val="00D6789F"/>
    <w:rsid w:val="00D705D2"/>
    <w:rsid w:val="00D7369C"/>
    <w:rsid w:val="00D74EB5"/>
    <w:rsid w:val="00D76DAF"/>
    <w:rsid w:val="00D81307"/>
    <w:rsid w:val="00D81E48"/>
    <w:rsid w:val="00D83B69"/>
    <w:rsid w:val="00D869B1"/>
    <w:rsid w:val="00D879C7"/>
    <w:rsid w:val="00D91822"/>
    <w:rsid w:val="00D925C9"/>
    <w:rsid w:val="00D92AAB"/>
    <w:rsid w:val="00D93106"/>
    <w:rsid w:val="00D96200"/>
    <w:rsid w:val="00D968CD"/>
    <w:rsid w:val="00D9727F"/>
    <w:rsid w:val="00D97770"/>
    <w:rsid w:val="00DA1FED"/>
    <w:rsid w:val="00DA4EB0"/>
    <w:rsid w:val="00DB09BF"/>
    <w:rsid w:val="00DB1C28"/>
    <w:rsid w:val="00DB2542"/>
    <w:rsid w:val="00DB2EC4"/>
    <w:rsid w:val="00DB3AEB"/>
    <w:rsid w:val="00DB6392"/>
    <w:rsid w:val="00DB72E6"/>
    <w:rsid w:val="00DC1509"/>
    <w:rsid w:val="00DC4562"/>
    <w:rsid w:val="00DC5BA4"/>
    <w:rsid w:val="00DC6A59"/>
    <w:rsid w:val="00DD087F"/>
    <w:rsid w:val="00DD0E1B"/>
    <w:rsid w:val="00DD14CA"/>
    <w:rsid w:val="00DD18BB"/>
    <w:rsid w:val="00DD1A42"/>
    <w:rsid w:val="00DD1C04"/>
    <w:rsid w:val="00DD480B"/>
    <w:rsid w:val="00DD4FA2"/>
    <w:rsid w:val="00DE0954"/>
    <w:rsid w:val="00DE0959"/>
    <w:rsid w:val="00DE3747"/>
    <w:rsid w:val="00DE47CC"/>
    <w:rsid w:val="00DE61B7"/>
    <w:rsid w:val="00DE76BC"/>
    <w:rsid w:val="00DF0718"/>
    <w:rsid w:val="00DF0E15"/>
    <w:rsid w:val="00DF1108"/>
    <w:rsid w:val="00DF179A"/>
    <w:rsid w:val="00DF186C"/>
    <w:rsid w:val="00DF1AF1"/>
    <w:rsid w:val="00DF1D01"/>
    <w:rsid w:val="00DF1E14"/>
    <w:rsid w:val="00DF38EA"/>
    <w:rsid w:val="00DF42B4"/>
    <w:rsid w:val="00DF44FD"/>
    <w:rsid w:val="00DF4C83"/>
    <w:rsid w:val="00DF6AFB"/>
    <w:rsid w:val="00DF71E7"/>
    <w:rsid w:val="00DF78DE"/>
    <w:rsid w:val="00E028AA"/>
    <w:rsid w:val="00E0691C"/>
    <w:rsid w:val="00E069AE"/>
    <w:rsid w:val="00E06C18"/>
    <w:rsid w:val="00E07A4D"/>
    <w:rsid w:val="00E07FB0"/>
    <w:rsid w:val="00E10F2C"/>
    <w:rsid w:val="00E11EF1"/>
    <w:rsid w:val="00E11FFA"/>
    <w:rsid w:val="00E12741"/>
    <w:rsid w:val="00E13817"/>
    <w:rsid w:val="00E205DD"/>
    <w:rsid w:val="00E22020"/>
    <w:rsid w:val="00E22C8C"/>
    <w:rsid w:val="00E23710"/>
    <w:rsid w:val="00E23F14"/>
    <w:rsid w:val="00E23F50"/>
    <w:rsid w:val="00E248D0"/>
    <w:rsid w:val="00E24EDC"/>
    <w:rsid w:val="00E257C2"/>
    <w:rsid w:val="00E25A3D"/>
    <w:rsid w:val="00E25D68"/>
    <w:rsid w:val="00E25F04"/>
    <w:rsid w:val="00E27138"/>
    <w:rsid w:val="00E3031D"/>
    <w:rsid w:val="00E31689"/>
    <w:rsid w:val="00E330DE"/>
    <w:rsid w:val="00E33731"/>
    <w:rsid w:val="00E3556D"/>
    <w:rsid w:val="00E3596E"/>
    <w:rsid w:val="00E36496"/>
    <w:rsid w:val="00E3677F"/>
    <w:rsid w:val="00E42784"/>
    <w:rsid w:val="00E44F08"/>
    <w:rsid w:val="00E4577A"/>
    <w:rsid w:val="00E46EB4"/>
    <w:rsid w:val="00E47336"/>
    <w:rsid w:val="00E47B97"/>
    <w:rsid w:val="00E50493"/>
    <w:rsid w:val="00E515E9"/>
    <w:rsid w:val="00E51AEA"/>
    <w:rsid w:val="00E52390"/>
    <w:rsid w:val="00E543E5"/>
    <w:rsid w:val="00E56461"/>
    <w:rsid w:val="00E567AA"/>
    <w:rsid w:val="00E61735"/>
    <w:rsid w:val="00E63382"/>
    <w:rsid w:val="00E6340D"/>
    <w:rsid w:val="00E6391D"/>
    <w:rsid w:val="00E6452F"/>
    <w:rsid w:val="00E64D25"/>
    <w:rsid w:val="00E6545A"/>
    <w:rsid w:val="00E65721"/>
    <w:rsid w:val="00E66AF6"/>
    <w:rsid w:val="00E66BF1"/>
    <w:rsid w:val="00E724F1"/>
    <w:rsid w:val="00E73155"/>
    <w:rsid w:val="00E74473"/>
    <w:rsid w:val="00E745D6"/>
    <w:rsid w:val="00E752C7"/>
    <w:rsid w:val="00E76FEA"/>
    <w:rsid w:val="00E803DC"/>
    <w:rsid w:val="00E81DF2"/>
    <w:rsid w:val="00E878DB"/>
    <w:rsid w:val="00E87B64"/>
    <w:rsid w:val="00E87DA5"/>
    <w:rsid w:val="00E91254"/>
    <w:rsid w:val="00E923FF"/>
    <w:rsid w:val="00E92DEC"/>
    <w:rsid w:val="00E952DD"/>
    <w:rsid w:val="00E95A26"/>
    <w:rsid w:val="00E96E2A"/>
    <w:rsid w:val="00EA0341"/>
    <w:rsid w:val="00EA04AE"/>
    <w:rsid w:val="00EA0A68"/>
    <w:rsid w:val="00EA0C4D"/>
    <w:rsid w:val="00EA11C6"/>
    <w:rsid w:val="00EA1243"/>
    <w:rsid w:val="00EA1E95"/>
    <w:rsid w:val="00EA4AE2"/>
    <w:rsid w:val="00EA5E9D"/>
    <w:rsid w:val="00EA6B47"/>
    <w:rsid w:val="00EB1C31"/>
    <w:rsid w:val="00EB200A"/>
    <w:rsid w:val="00EB35A0"/>
    <w:rsid w:val="00EB3E02"/>
    <w:rsid w:val="00EB41D2"/>
    <w:rsid w:val="00EB4325"/>
    <w:rsid w:val="00EB454E"/>
    <w:rsid w:val="00EB52D4"/>
    <w:rsid w:val="00EB53DF"/>
    <w:rsid w:val="00EB5591"/>
    <w:rsid w:val="00EB61E4"/>
    <w:rsid w:val="00EB740B"/>
    <w:rsid w:val="00EB765B"/>
    <w:rsid w:val="00EB7DC6"/>
    <w:rsid w:val="00EC0474"/>
    <w:rsid w:val="00EC2E8E"/>
    <w:rsid w:val="00EC2F60"/>
    <w:rsid w:val="00EC48FC"/>
    <w:rsid w:val="00EC6075"/>
    <w:rsid w:val="00EC62E2"/>
    <w:rsid w:val="00EC73EE"/>
    <w:rsid w:val="00ED059B"/>
    <w:rsid w:val="00ED08D3"/>
    <w:rsid w:val="00ED1AE2"/>
    <w:rsid w:val="00ED3082"/>
    <w:rsid w:val="00ED57DC"/>
    <w:rsid w:val="00ED7F9A"/>
    <w:rsid w:val="00EE04DF"/>
    <w:rsid w:val="00EE07AC"/>
    <w:rsid w:val="00EE0F12"/>
    <w:rsid w:val="00EE15BF"/>
    <w:rsid w:val="00EE1978"/>
    <w:rsid w:val="00EE26C0"/>
    <w:rsid w:val="00EE562F"/>
    <w:rsid w:val="00EE5918"/>
    <w:rsid w:val="00EE62B0"/>
    <w:rsid w:val="00EE65D4"/>
    <w:rsid w:val="00EE738F"/>
    <w:rsid w:val="00EF1DA0"/>
    <w:rsid w:val="00EF1DA6"/>
    <w:rsid w:val="00EF354C"/>
    <w:rsid w:val="00EF57CF"/>
    <w:rsid w:val="00EF6084"/>
    <w:rsid w:val="00EF659B"/>
    <w:rsid w:val="00EF7416"/>
    <w:rsid w:val="00F008E4"/>
    <w:rsid w:val="00F00C51"/>
    <w:rsid w:val="00F02778"/>
    <w:rsid w:val="00F03780"/>
    <w:rsid w:val="00F0570F"/>
    <w:rsid w:val="00F05B65"/>
    <w:rsid w:val="00F06514"/>
    <w:rsid w:val="00F06B68"/>
    <w:rsid w:val="00F070A3"/>
    <w:rsid w:val="00F1086F"/>
    <w:rsid w:val="00F1137E"/>
    <w:rsid w:val="00F1291A"/>
    <w:rsid w:val="00F12C1E"/>
    <w:rsid w:val="00F143CA"/>
    <w:rsid w:val="00F16C57"/>
    <w:rsid w:val="00F1702A"/>
    <w:rsid w:val="00F177D1"/>
    <w:rsid w:val="00F20025"/>
    <w:rsid w:val="00F21317"/>
    <w:rsid w:val="00F21A63"/>
    <w:rsid w:val="00F2290F"/>
    <w:rsid w:val="00F2397A"/>
    <w:rsid w:val="00F249F5"/>
    <w:rsid w:val="00F25786"/>
    <w:rsid w:val="00F26DC2"/>
    <w:rsid w:val="00F307F4"/>
    <w:rsid w:val="00F30E62"/>
    <w:rsid w:val="00F34B6C"/>
    <w:rsid w:val="00F34EC5"/>
    <w:rsid w:val="00F40721"/>
    <w:rsid w:val="00F41024"/>
    <w:rsid w:val="00F42E1C"/>
    <w:rsid w:val="00F43397"/>
    <w:rsid w:val="00F44896"/>
    <w:rsid w:val="00F44FEA"/>
    <w:rsid w:val="00F45515"/>
    <w:rsid w:val="00F45DA0"/>
    <w:rsid w:val="00F46A33"/>
    <w:rsid w:val="00F46DAC"/>
    <w:rsid w:val="00F50EE1"/>
    <w:rsid w:val="00F52055"/>
    <w:rsid w:val="00F52A59"/>
    <w:rsid w:val="00F54279"/>
    <w:rsid w:val="00F54C3B"/>
    <w:rsid w:val="00F608FF"/>
    <w:rsid w:val="00F61160"/>
    <w:rsid w:val="00F63107"/>
    <w:rsid w:val="00F6357E"/>
    <w:rsid w:val="00F65593"/>
    <w:rsid w:val="00F66832"/>
    <w:rsid w:val="00F668FC"/>
    <w:rsid w:val="00F67152"/>
    <w:rsid w:val="00F70B1C"/>
    <w:rsid w:val="00F70D1C"/>
    <w:rsid w:val="00F7220E"/>
    <w:rsid w:val="00F72276"/>
    <w:rsid w:val="00F736AF"/>
    <w:rsid w:val="00F74023"/>
    <w:rsid w:val="00F76A4E"/>
    <w:rsid w:val="00F80989"/>
    <w:rsid w:val="00F80DC7"/>
    <w:rsid w:val="00F83809"/>
    <w:rsid w:val="00F84B9B"/>
    <w:rsid w:val="00F84EB8"/>
    <w:rsid w:val="00F8521D"/>
    <w:rsid w:val="00F87BFE"/>
    <w:rsid w:val="00F919EF"/>
    <w:rsid w:val="00F9291D"/>
    <w:rsid w:val="00F94238"/>
    <w:rsid w:val="00F944AA"/>
    <w:rsid w:val="00F95AA7"/>
    <w:rsid w:val="00F97B64"/>
    <w:rsid w:val="00FA0F6D"/>
    <w:rsid w:val="00FA181A"/>
    <w:rsid w:val="00FA47F9"/>
    <w:rsid w:val="00FA490D"/>
    <w:rsid w:val="00FA5667"/>
    <w:rsid w:val="00FA7968"/>
    <w:rsid w:val="00FB0755"/>
    <w:rsid w:val="00FB3697"/>
    <w:rsid w:val="00FB41AF"/>
    <w:rsid w:val="00FB5AF1"/>
    <w:rsid w:val="00FB6467"/>
    <w:rsid w:val="00FB6E7A"/>
    <w:rsid w:val="00FB7E67"/>
    <w:rsid w:val="00FC04CB"/>
    <w:rsid w:val="00FC1553"/>
    <w:rsid w:val="00FC1CA1"/>
    <w:rsid w:val="00FC2C8B"/>
    <w:rsid w:val="00FC3406"/>
    <w:rsid w:val="00FC3B2B"/>
    <w:rsid w:val="00FC3C20"/>
    <w:rsid w:val="00FC71C2"/>
    <w:rsid w:val="00FC7B68"/>
    <w:rsid w:val="00FD17C2"/>
    <w:rsid w:val="00FD1C19"/>
    <w:rsid w:val="00FD20DA"/>
    <w:rsid w:val="00FD2490"/>
    <w:rsid w:val="00FD26AF"/>
    <w:rsid w:val="00FD31AD"/>
    <w:rsid w:val="00FD474D"/>
    <w:rsid w:val="00FD49C0"/>
    <w:rsid w:val="00FD4A36"/>
    <w:rsid w:val="00FD4EF4"/>
    <w:rsid w:val="00FE0790"/>
    <w:rsid w:val="00FE13E3"/>
    <w:rsid w:val="00FE35AE"/>
    <w:rsid w:val="00FE39E7"/>
    <w:rsid w:val="00FE4852"/>
    <w:rsid w:val="00FE5EF2"/>
    <w:rsid w:val="00FF00ED"/>
    <w:rsid w:val="00FF073D"/>
    <w:rsid w:val="00FF3D31"/>
    <w:rsid w:val="00FF615C"/>
    <w:rsid w:val="00FF6738"/>
    <w:rsid w:val="00FF6AB8"/>
    <w:rsid w:val="00FF7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6D884"/>
  <w15:chartTrackingRefBased/>
  <w15:docId w15:val="{0DF0A0E2-FEE9-4DA2-8A55-322006A7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pt-BR" w:eastAsia="en-US" w:bidi="ar-SA"/>
      </w:rPr>
    </w:rPrDefault>
    <w:pPrDefault>
      <w:pPr>
        <w:spacing w:after="24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42A9"/>
    <w:pPr>
      <w:spacing w:after="0" w:line="240" w:lineRule="auto"/>
    </w:pPr>
    <w:rPr>
      <w:rFonts w:eastAsia="Times New Roman" w:cs="Times New Roman"/>
      <w:lang w:eastAsia="pt-BR"/>
    </w:rPr>
  </w:style>
  <w:style w:type="paragraph" w:styleId="Ttulo1">
    <w:name w:val="heading 1"/>
    <w:basedOn w:val="Normal"/>
    <w:next w:val="Normal"/>
    <w:link w:val="Ttulo1Char"/>
    <w:autoRedefine/>
    <w:uiPriority w:val="9"/>
    <w:qFormat/>
    <w:rsid w:val="00421E69"/>
    <w:pPr>
      <w:numPr>
        <w:numId w:val="9"/>
      </w:numPr>
      <w:tabs>
        <w:tab w:val="left" w:pos="284"/>
      </w:tabs>
      <w:spacing w:before="240" w:after="240" w:line="360" w:lineRule="auto"/>
      <w:outlineLvl w:val="0"/>
    </w:pPr>
    <w:rPr>
      <w:rFonts w:eastAsiaTheme="majorEastAsia"/>
      <w:b/>
      <w:bCs/>
      <w:lang w:eastAsia="en-US"/>
    </w:rPr>
  </w:style>
  <w:style w:type="paragraph" w:styleId="Ttulo2">
    <w:name w:val="heading 2"/>
    <w:basedOn w:val="Normal"/>
    <w:next w:val="Normal"/>
    <w:link w:val="Ttulo2Char"/>
    <w:uiPriority w:val="9"/>
    <w:unhideWhenUsed/>
    <w:qFormat/>
    <w:rsid w:val="001847A4"/>
    <w:pPr>
      <w:spacing w:before="200" w:after="240" w:line="259" w:lineRule="auto"/>
      <w:outlineLvl w:val="1"/>
    </w:pPr>
    <w:rPr>
      <w:rFonts w:asciiTheme="majorHAnsi" w:eastAsiaTheme="majorEastAsia" w:hAnsiTheme="majorHAnsi" w:cstheme="majorBidi"/>
      <w:b/>
      <w:bCs/>
      <w:sz w:val="26"/>
      <w:szCs w:val="26"/>
      <w:lang w:eastAsia="en-US"/>
    </w:rPr>
  </w:style>
  <w:style w:type="paragraph" w:styleId="Ttulo3">
    <w:name w:val="heading 3"/>
    <w:basedOn w:val="Normal"/>
    <w:next w:val="Normal"/>
    <w:link w:val="Ttulo3Char"/>
    <w:uiPriority w:val="9"/>
    <w:unhideWhenUsed/>
    <w:qFormat/>
    <w:rsid w:val="001847A4"/>
    <w:pPr>
      <w:spacing w:before="200" w:after="240" w:line="271" w:lineRule="auto"/>
      <w:outlineLvl w:val="2"/>
    </w:pPr>
    <w:rPr>
      <w:rFonts w:asciiTheme="majorHAnsi" w:eastAsiaTheme="majorEastAsia" w:hAnsiTheme="majorHAnsi" w:cstheme="majorBidi"/>
      <w:b/>
      <w:bCs/>
      <w:lang w:eastAsia="en-US"/>
    </w:rPr>
  </w:style>
  <w:style w:type="paragraph" w:styleId="Ttulo4">
    <w:name w:val="heading 4"/>
    <w:basedOn w:val="Normal"/>
    <w:next w:val="Normal"/>
    <w:link w:val="Ttulo4Char"/>
    <w:uiPriority w:val="9"/>
    <w:unhideWhenUsed/>
    <w:qFormat/>
    <w:rsid w:val="001847A4"/>
    <w:pPr>
      <w:spacing w:before="200" w:after="240" w:line="259" w:lineRule="auto"/>
      <w:outlineLvl w:val="3"/>
    </w:pPr>
    <w:rPr>
      <w:rFonts w:asciiTheme="majorHAnsi" w:eastAsiaTheme="majorEastAsia" w:hAnsiTheme="majorHAnsi" w:cstheme="majorBidi"/>
      <w:b/>
      <w:bCs/>
      <w:i/>
      <w:iCs/>
      <w:lang w:eastAsia="en-US"/>
    </w:rPr>
  </w:style>
  <w:style w:type="paragraph" w:styleId="Ttulo5">
    <w:name w:val="heading 5"/>
    <w:basedOn w:val="Normal"/>
    <w:next w:val="Normal"/>
    <w:link w:val="Ttulo5Char"/>
    <w:uiPriority w:val="9"/>
    <w:semiHidden/>
    <w:unhideWhenUsed/>
    <w:qFormat/>
    <w:rsid w:val="001847A4"/>
    <w:pPr>
      <w:spacing w:before="200" w:after="240" w:line="259" w:lineRule="auto"/>
      <w:outlineLvl w:val="4"/>
    </w:pPr>
    <w:rPr>
      <w:rFonts w:asciiTheme="majorHAnsi" w:eastAsiaTheme="majorEastAsia" w:hAnsiTheme="majorHAnsi" w:cstheme="majorBidi"/>
      <w:b/>
      <w:bCs/>
      <w:color w:val="7F7F7F" w:themeColor="text1" w:themeTint="80"/>
      <w:lang w:eastAsia="en-US"/>
    </w:rPr>
  </w:style>
  <w:style w:type="paragraph" w:styleId="Ttulo6">
    <w:name w:val="heading 6"/>
    <w:basedOn w:val="Normal"/>
    <w:next w:val="Normal"/>
    <w:link w:val="Ttulo6Char"/>
    <w:uiPriority w:val="9"/>
    <w:semiHidden/>
    <w:unhideWhenUsed/>
    <w:qFormat/>
    <w:rsid w:val="001847A4"/>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1847A4"/>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1847A4"/>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1847A4"/>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1E69"/>
    <w:rPr>
      <w:rFonts w:eastAsiaTheme="majorEastAsia" w:cs="Times New Roman"/>
      <w:b/>
      <w:bCs/>
    </w:rPr>
  </w:style>
  <w:style w:type="character" w:customStyle="1" w:styleId="Ttulo2Char">
    <w:name w:val="Título 2 Char"/>
    <w:basedOn w:val="Fontepargpadro"/>
    <w:link w:val="Ttulo2"/>
    <w:uiPriority w:val="9"/>
    <w:rsid w:val="001847A4"/>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rsid w:val="001847A4"/>
    <w:rPr>
      <w:rFonts w:asciiTheme="majorHAnsi" w:eastAsiaTheme="majorEastAsia" w:hAnsiTheme="majorHAnsi" w:cstheme="majorBidi"/>
      <w:b/>
      <w:bCs/>
      <w:sz w:val="24"/>
      <w:szCs w:val="24"/>
    </w:rPr>
  </w:style>
  <w:style w:type="character" w:customStyle="1" w:styleId="Ttulo4Char">
    <w:name w:val="Título 4 Char"/>
    <w:basedOn w:val="Fontepargpadro"/>
    <w:link w:val="Ttulo4"/>
    <w:uiPriority w:val="9"/>
    <w:rsid w:val="001847A4"/>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1847A4"/>
    <w:rPr>
      <w:rFonts w:asciiTheme="majorHAnsi" w:eastAsiaTheme="majorEastAsia" w:hAnsiTheme="majorHAnsi" w:cstheme="majorBidi"/>
      <w:b/>
      <w:bCs/>
      <w:color w:val="7F7F7F" w:themeColor="text1" w:themeTint="80"/>
      <w:sz w:val="24"/>
      <w:szCs w:val="24"/>
    </w:rPr>
  </w:style>
  <w:style w:type="character" w:customStyle="1" w:styleId="Ttulo6Char">
    <w:name w:val="Título 6 Char"/>
    <w:basedOn w:val="Fontepargpadro"/>
    <w:link w:val="Ttulo6"/>
    <w:uiPriority w:val="9"/>
    <w:semiHidden/>
    <w:rsid w:val="001847A4"/>
    <w:rPr>
      <w:rFonts w:asciiTheme="majorHAnsi" w:eastAsiaTheme="majorEastAsia" w:hAnsiTheme="majorHAnsi" w:cstheme="majorBidi"/>
      <w:b/>
      <w:bCs/>
      <w:i/>
      <w:iCs/>
      <w:color w:val="7F7F7F" w:themeColor="text1" w:themeTint="80"/>
      <w:sz w:val="24"/>
      <w:szCs w:val="24"/>
    </w:rPr>
  </w:style>
  <w:style w:type="character" w:customStyle="1" w:styleId="Ttulo7Char">
    <w:name w:val="Título 7 Char"/>
    <w:basedOn w:val="Fontepargpadro"/>
    <w:link w:val="Ttulo7"/>
    <w:uiPriority w:val="9"/>
    <w:semiHidden/>
    <w:rsid w:val="001847A4"/>
    <w:rPr>
      <w:rFonts w:asciiTheme="majorHAnsi" w:eastAsiaTheme="majorEastAsia" w:hAnsiTheme="majorHAnsi" w:cstheme="majorBidi"/>
      <w:i/>
      <w:iCs/>
      <w:sz w:val="24"/>
      <w:szCs w:val="24"/>
    </w:rPr>
  </w:style>
  <w:style w:type="character" w:customStyle="1" w:styleId="Ttulo8Char">
    <w:name w:val="Título 8 Char"/>
    <w:basedOn w:val="Fontepargpadro"/>
    <w:link w:val="Ttulo8"/>
    <w:uiPriority w:val="9"/>
    <w:semiHidden/>
    <w:rsid w:val="001847A4"/>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1847A4"/>
    <w:rPr>
      <w:rFonts w:asciiTheme="majorHAnsi" w:eastAsiaTheme="majorEastAsia" w:hAnsiTheme="majorHAnsi" w:cstheme="majorBidi"/>
      <w:i/>
      <w:iCs/>
      <w:spacing w:val="5"/>
      <w:sz w:val="20"/>
      <w:szCs w:val="20"/>
    </w:rPr>
  </w:style>
  <w:style w:type="paragraph" w:styleId="Cabealho">
    <w:name w:val="header"/>
    <w:basedOn w:val="Normal"/>
    <w:link w:val="CabealhoChar"/>
    <w:uiPriority w:val="99"/>
    <w:unhideWhenUsed/>
    <w:rsid w:val="001847A4"/>
    <w:pPr>
      <w:tabs>
        <w:tab w:val="center" w:pos="4252"/>
        <w:tab w:val="right" w:pos="8504"/>
      </w:tabs>
      <w:spacing w:after="240" w:line="259" w:lineRule="auto"/>
    </w:pPr>
    <w:rPr>
      <w:rFonts w:eastAsiaTheme="minorHAnsi" w:cstheme="minorBidi"/>
      <w:lang w:eastAsia="en-US"/>
    </w:rPr>
  </w:style>
  <w:style w:type="character" w:customStyle="1" w:styleId="CabealhoChar">
    <w:name w:val="Cabeçalho Char"/>
    <w:basedOn w:val="Fontepargpadro"/>
    <w:link w:val="Cabealho"/>
    <w:uiPriority w:val="99"/>
    <w:rsid w:val="001847A4"/>
    <w:rPr>
      <w:rFonts w:eastAsiaTheme="minorEastAsia"/>
      <w:sz w:val="24"/>
      <w:szCs w:val="24"/>
    </w:rPr>
  </w:style>
  <w:style w:type="paragraph" w:styleId="Rodap">
    <w:name w:val="footer"/>
    <w:basedOn w:val="Normal"/>
    <w:link w:val="RodapChar"/>
    <w:uiPriority w:val="99"/>
    <w:unhideWhenUsed/>
    <w:rsid w:val="001847A4"/>
    <w:pPr>
      <w:tabs>
        <w:tab w:val="center" w:pos="4252"/>
        <w:tab w:val="right" w:pos="8504"/>
      </w:tabs>
      <w:spacing w:after="240" w:line="259" w:lineRule="auto"/>
    </w:pPr>
    <w:rPr>
      <w:rFonts w:eastAsiaTheme="minorHAnsi" w:cstheme="minorBidi"/>
      <w:lang w:eastAsia="en-US"/>
    </w:rPr>
  </w:style>
  <w:style w:type="character" w:customStyle="1" w:styleId="RodapChar">
    <w:name w:val="Rodapé Char"/>
    <w:basedOn w:val="Fontepargpadro"/>
    <w:link w:val="Rodap"/>
    <w:uiPriority w:val="99"/>
    <w:rsid w:val="001847A4"/>
    <w:rPr>
      <w:rFonts w:eastAsiaTheme="minorEastAsia"/>
      <w:sz w:val="24"/>
      <w:szCs w:val="24"/>
    </w:rPr>
  </w:style>
  <w:style w:type="paragraph" w:styleId="CabealhodoSumrio">
    <w:name w:val="TOC Heading"/>
    <w:basedOn w:val="Ttulo1"/>
    <w:next w:val="Normal"/>
    <w:uiPriority w:val="39"/>
    <w:unhideWhenUsed/>
    <w:qFormat/>
    <w:rsid w:val="001847A4"/>
    <w:pPr>
      <w:outlineLvl w:val="9"/>
    </w:pPr>
    <w:rPr>
      <w:lang w:bidi="en-US"/>
    </w:rPr>
  </w:style>
  <w:style w:type="paragraph" w:styleId="Textodebalo">
    <w:name w:val="Balloon Text"/>
    <w:basedOn w:val="Normal"/>
    <w:link w:val="TextodebaloChar"/>
    <w:uiPriority w:val="99"/>
    <w:semiHidden/>
    <w:unhideWhenUsed/>
    <w:rsid w:val="001847A4"/>
    <w:rPr>
      <w:rFonts w:ascii="Tahoma" w:hAnsi="Tahoma" w:cs="Tahoma"/>
      <w:sz w:val="16"/>
      <w:szCs w:val="16"/>
    </w:rPr>
  </w:style>
  <w:style w:type="character" w:customStyle="1" w:styleId="TextodebaloChar">
    <w:name w:val="Texto de balão Char"/>
    <w:basedOn w:val="Fontepargpadro"/>
    <w:link w:val="Textodebalo"/>
    <w:uiPriority w:val="99"/>
    <w:semiHidden/>
    <w:rsid w:val="001847A4"/>
    <w:rPr>
      <w:rFonts w:ascii="Tahoma" w:eastAsiaTheme="minorEastAsia" w:hAnsi="Tahoma" w:cs="Tahoma"/>
      <w:sz w:val="16"/>
      <w:szCs w:val="16"/>
    </w:rPr>
  </w:style>
  <w:style w:type="paragraph" w:styleId="Sumrio1">
    <w:name w:val="toc 1"/>
    <w:basedOn w:val="Normal"/>
    <w:next w:val="Normal"/>
    <w:autoRedefine/>
    <w:uiPriority w:val="39"/>
    <w:unhideWhenUsed/>
    <w:rsid w:val="001847A4"/>
    <w:pPr>
      <w:spacing w:after="100" w:line="259" w:lineRule="auto"/>
    </w:pPr>
    <w:rPr>
      <w:rFonts w:eastAsiaTheme="minorHAnsi" w:cstheme="minorBidi"/>
      <w:lang w:eastAsia="en-US"/>
    </w:rPr>
  </w:style>
  <w:style w:type="character" w:styleId="Hyperlink">
    <w:name w:val="Hyperlink"/>
    <w:basedOn w:val="Fontepargpadro"/>
    <w:uiPriority w:val="99"/>
    <w:unhideWhenUsed/>
    <w:rsid w:val="001847A4"/>
    <w:rPr>
      <w:color w:val="0563C1" w:themeColor="hyperlink"/>
      <w:u w:val="single"/>
    </w:rPr>
  </w:style>
  <w:style w:type="paragraph" w:styleId="SemEspaamento">
    <w:name w:val="No Spacing"/>
    <w:basedOn w:val="Normal"/>
    <w:uiPriority w:val="1"/>
    <w:qFormat/>
    <w:rsid w:val="001847A4"/>
    <w:pPr>
      <w:spacing w:after="240" w:line="259" w:lineRule="auto"/>
    </w:pPr>
    <w:rPr>
      <w:rFonts w:eastAsiaTheme="minorHAnsi" w:cstheme="minorBidi"/>
      <w:lang w:eastAsia="en-US"/>
    </w:rPr>
  </w:style>
  <w:style w:type="paragraph" w:styleId="Sumrio2">
    <w:name w:val="toc 2"/>
    <w:basedOn w:val="Normal"/>
    <w:next w:val="Normal"/>
    <w:autoRedefine/>
    <w:uiPriority w:val="39"/>
    <w:unhideWhenUsed/>
    <w:rsid w:val="001847A4"/>
    <w:pPr>
      <w:spacing w:after="100" w:line="259" w:lineRule="auto"/>
      <w:ind w:left="220"/>
    </w:pPr>
    <w:rPr>
      <w:rFonts w:eastAsiaTheme="minorHAnsi" w:cstheme="minorBidi"/>
      <w:lang w:eastAsia="en-US"/>
    </w:rPr>
  </w:style>
  <w:style w:type="paragraph" w:styleId="Sumrio3">
    <w:name w:val="toc 3"/>
    <w:basedOn w:val="Normal"/>
    <w:next w:val="Normal"/>
    <w:autoRedefine/>
    <w:uiPriority w:val="39"/>
    <w:unhideWhenUsed/>
    <w:rsid w:val="001847A4"/>
    <w:pPr>
      <w:spacing w:after="100" w:line="259" w:lineRule="auto"/>
      <w:ind w:left="440"/>
    </w:pPr>
    <w:rPr>
      <w:rFonts w:eastAsiaTheme="minorHAnsi" w:cstheme="minorBidi"/>
      <w:lang w:eastAsia="en-US"/>
    </w:rPr>
  </w:style>
  <w:style w:type="character" w:styleId="TextodoEspaoReservado">
    <w:name w:val="Placeholder Text"/>
    <w:basedOn w:val="Fontepargpadro"/>
    <w:uiPriority w:val="99"/>
    <w:semiHidden/>
    <w:rsid w:val="001847A4"/>
    <w:rPr>
      <w:color w:val="808080"/>
    </w:rPr>
  </w:style>
  <w:style w:type="character" w:customStyle="1" w:styleId="apple-converted-space">
    <w:name w:val="apple-converted-space"/>
    <w:basedOn w:val="Fontepargpadro"/>
    <w:rsid w:val="001847A4"/>
  </w:style>
  <w:style w:type="paragraph" w:styleId="Textodenotaderodap">
    <w:name w:val="footnote text"/>
    <w:basedOn w:val="Normal"/>
    <w:link w:val="TextodenotaderodapChar"/>
    <w:uiPriority w:val="99"/>
    <w:semiHidden/>
    <w:unhideWhenUsed/>
    <w:rsid w:val="001847A4"/>
    <w:pPr>
      <w:spacing w:after="240" w:line="259" w:lineRule="auto"/>
    </w:pPr>
    <w:rPr>
      <w:rFonts w:eastAsia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1847A4"/>
    <w:rPr>
      <w:rFonts w:eastAsiaTheme="minorEastAsia"/>
      <w:sz w:val="20"/>
      <w:szCs w:val="20"/>
    </w:rPr>
  </w:style>
  <w:style w:type="character" w:styleId="Refdenotaderodap">
    <w:name w:val="footnote reference"/>
    <w:basedOn w:val="Fontepargpadro"/>
    <w:uiPriority w:val="99"/>
    <w:semiHidden/>
    <w:unhideWhenUsed/>
    <w:rsid w:val="001847A4"/>
    <w:rPr>
      <w:vertAlign w:val="superscript"/>
    </w:rPr>
  </w:style>
  <w:style w:type="paragraph" w:styleId="Textodenotadefim">
    <w:name w:val="endnote text"/>
    <w:basedOn w:val="Normal"/>
    <w:link w:val="TextodenotadefimChar"/>
    <w:uiPriority w:val="99"/>
    <w:semiHidden/>
    <w:unhideWhenUsed/>
    <w:rsid w:val="001847A4"/>
    <w:rPr>
      <w:sz w:val="20"/>
      <w:szCs w:val="20"/>
    </w:rPr>
  </w:style>
  <w:style w:type="character" w:customStyle="1" w:styleId="TextodenotadefimChar">
    <w:name w:val="Texto de nota de fim Char"/>
    <w:basedOn w:val="Fontepargpadro"/>
    <w:link w:val="Textodenotadefim"/>
    <w:uiPriority w:val="99"/>
    <w:semiHidden/>
    <w:rsid w:val="001847A4"/>
    <w:rPr>
      <w:rFonts w:eastAsiaTheme="minorEastAsia"/>
      <w:sz w:val="20"/>
      <w:szCs w:val="20"/>
    </w:rPr>
  </w:style>
  <w:style w:type="character" w:styleId="Refdenotadefim">
    <w:name w:val="endnote reference"/>
    <w:basedOn w:val="Fontepargpadro"/>
    <w:uiPriority w:val="99"/>
    <w:semiHidden/>
    <w:unhideWhenUsed/>
    <w:rsid w:val="001847A4"/>
    <w:rPr>
      <w:vertAlign w:val="superscript"/>
    </w:rPr>
  </w:style>
  <w:style w:type="paragraph" w:styleId="PargrafodaLista">
    <w:name w:val="List Paragraph"/>
    <w:basedOn w:val="Normal"/>
    <w:uiPriority w:val="34"/>
    <w:qFormat/>
    <w:rsid w:val="001847A4"/>
    <w:pPr>
      <w:spacing w:after="240" w:line="259" w:lineRule="auto"/>
      <w:ind w:left="720"/>
      <w:contextualSpacing/>
    </w:pPr>
    <w:rPr>
      <w:rFonts w:eastAsiaTheme="minorHAnsi" w:cstheme="minorBidi"/>
      <w:lang w:eastAsia="en-US"/>
    </w:rPr>
  </w:style>
  <w:style w:type="character" w:styleId="RefernciaSutil">
    <w:name w:val="Subtle Reference"/>
    <w:uiPriority w:val="31"/>
    <w:qFormat/>
    <w:rsid w:val="001847A4"/>
    <w:rPr>
      <w:smallCaps/>
    </w:rPr>
  </w:style>
  <w:style w:type="paragraph" w:customStyle="1" w:styleId="Default">
    <w:name w:val="Default"/>
    <w:rsid w:val="001847A4"/>
    <w:pPr>
      <w:autoSpaceDE w:val="0"/>
      <w:autoSpaceDN w:val="0"/>
      <w:adjustRightInd w:val="0"/>
      <w:spacing w:after="0" w:line="240" w:lineRule="auto"/>
    </w:pPr>
    <w:rPr>
      <w:rFonts w:ascii="Tahoma" w:eastAsiaTheme="minorEastAsia" w:hAnsi="Tahoma" w:cs="Tahoma"/>
      <w:color w:val="000000"/>
    </w:rPr>
  </w:style>
  <w:style w:type="character" w:styleId="Forte">
    <w:name w:val="Strong"/>
    <w:uiPriority w:val="22"/>
    <w:qFormat/>
    <w:rsid w:val="001847A4"/>
    <w:rPr>
      <w:b/>
      <w:bCs/>
    </w:rPr>
  </w:style>
  <w:style w:type="paragraph" w:styleId="Legenda">
    <w:name w:val="caption"/>
    <w:basedOn w:val="Normal"/>
    <w:next w:val="Normal"/>
    <w:uiPriority w:val="35"/>
    <w:unhideWhenUsed/>
    <w:rsid w:val="001847A4"/>
    <w:pPr>
      <w:spacing w:after="240" w:line="259" w:lineRule="auto"/>
    </w:pPr>
    <w:rPr>
      <w:rFonts w:eastAsiaTheme="minorHAnsi" w:cstheme="minorBidi"/>
      <w:b/>
      <w:bCs/>
      <w:color w:val="5B9BD5" w:themeColor="accent1"/>
      <w:sz w:val="18"/>
      <w:szCs w:val="18"/>
      <w:lang w:eastAsia="en-US"/>
    </w:rPr>
  </w:style>
  <w:style w:type="paragraph" w:styleId="ndicedeilustraes">
    <w:name w:val="table of figures"/>
    <w:basedOn w:val="Normal"/>
    <w:next w:val="Normal"/>
    <w:uiPriority w:val="99"/>
    <w:unhideWhenUsed/>
    <w:rsid w:val="002F7566"/>
    <w:pPr>
      <w:spacing w:after="240" w:line="259" w:lineRule="auto"/>
      <w:jc w:val="both"/>
    </w:pPr>
    <w:rPr>
      <w:rFonts w:eastAsiaTheme="minorHAnsi" w:cstheme="minorBidi"/>
      <w:lang w:eastAsia="en-US"/>
    </w:rPr>
  </w:style>
  <w:style w:type="paragraph" w:styleId="Ttulo">
    <w:name w:val="Title"/>
    <w:basedOn w:val="Normal"/>
    <w:next w:val="Normal"/>
    <w:link w:val="TtuloChar"/>
    <w:uiPriority w:val="10"/>
    <w:qFormat/>
    <w:rsid w:val="001847A4"/>
    <w:pPr>
      <w:pBdr>
        <w:bottom w:val="single" w:sz="4" w:space="1" w:color="auto"/>
      </w:pBdr>
      <w:spacing w:after="240" w:line="259" w:lineRule="auto"/>
      <w:contextualSpacing/>
    </w:pPr>
    <w:rPr>
      <w:rFonts w:asciiTheme="majorHAnsi" w:eastAsiaTheme="majorEastAsia" w:hAnsiTheme="majorHAnsi" w:cstheme="majorBidi"/>
      <w:spacing w:val="5"/>
      <w:sz w:val="52"/>
      <w:szCs w:val="52"/>
      <w:lang w:eastAsia="en-US"/>
    </w:rPr>
  </w:style>
  <w:style w:type="character" w:customStyle="1" w:styleId="TtuloChar">
    <w:name w:val="Título Char"/>
    <w:basedOn w:val="Fontepargpadro"/>
    <w:link w:val="Ttulo"/>
    <w:uiPriority w:val="10"/>
    <w:rsid w:val="001847A4"/>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1847A4"/>
    <w:pPr>
      <w:spacing w:after="600" w:line="259" w:lineRule="auto"/>
    </w:pPr>
    <w:rPr>
      <w:rFonts w:asciiTheme="majorHAnsi" w:eastAsiaTheme="majorEastAsia" w:hAnsiTheme="majorHAnsi" w:cstheme="majorBidi"/>
      <w:i/>
      <w:iCs/>
      <w:spacing w:val="13"/>
      <w:lang w:eastAsia="en-US"/>
    </w:rPr>
  </w:style>
  <w:style w:type="character" w:customStyle="1" w:styleId="SubttuloChar">
    <w:name w:val="Subtítulo Char"/>
    <w:basedOn w:val="Fontepargpadro"/>
    <w:link w:val="Subttulo"/>
    <w:uiPriority w:val="11"/>
    <w:rsid w:val="001847A4"/>
    <w:rPr>
      <w:rFonts w:asciiTheme="majorHAnsi" w:eastAsiaTheme="majorEastAsia" w:hAnsiTheme="majorHAnsi" w:cstheme="majorBidi"/>
      <w:i/>
      <w:iCs/>
      <w:spacing w:val="13"/>
      <w:sz w:val="24"/>
      <w:szCs w:val="24"/>
    </w:rPr>
  </w:style>
  <w:style w:type="character" w:styleId="nfase">
    <w:name w:val="Emphasis"/>
    <w:uiPriority w:val="20"/>
    <w:qFormat/>
    <w:rsid w:val="001847A4"/>
    <w:rPr>
      <w:b/>
      <w:bCs/>
      <w:i/>
      <w:iCs/>
      <w:spacing w:val="10"/>
      <w:bdr w:val="none" w:sz="0" w:space="0" w:color="auto"/>
      <w:shd w:val="clear" w:color="auto" w:fill="auto"/>
    </w:rPr>
  </w:style>
  <w:style w:type="paragraph" w:styleId="Citao">
    <w:name w:val="Quote"/>
    <w:basedOn w:val="Normal"/>
    <w:next w:val="Normal"/>
    <w:link w:val="CitaoChar"/>
    <w:uiPriority w:val="29"/>
    <w:qFormat/>
    <w:rsid w:val="001847A4"/>
    <w:pPr>
      <w:spacing w:before="200" w:after="240" w:line="259" w:lineRule="auto"/>
      <w:ind w:left="360" w:right="360"/>
    </w:pPr>
    <w:rPr>
      <w:rFonts w:eastAsiaTheme="minorHAnsi" w:cstheme="minorBidi"/>
      <w:i/>
      <w:iCs/>
      <w:lang w:eastAsia="en-US"/>
    </w:rPr>
  </w:style>
  <w:style w:type="character" w:customStyle="1" w:styleId="CitaoChar">
    <w:name w:val="Citação Char"/>
    <w:basedOn w:val="Fontepargpadro"/>
    <w:link w:val="Citao"/>
    <w:uiPriority w:val="29"/>
    <w:rsid w:val="001847A4"/>
    <w:rPr>
      <w:rFonts w:eastAsiaTheme="minorEastAsia"/>
      <w:i/>
      <w:iCs/>
      <w:sz w:val="24"/>
      <w:szCs w:val="24"/>
    </w:rPr>
  </w:style>
  <w:style w:type="paragraph" w:styleId="CitaoIntensa">
    <w:name w:val="Intense Quote"/>
    <w:basedOn w:val="Normal"/>
    <w:next w:val="Normal"/>
    <w:link w:val="CitaoIntensaChar"/>
    <w:uiPriority w:val="30"/>
    <w:qFormat/>
    <w:rsid w:val="001847A4"/>
    <w:pPr>
      <w:pBdr>
        <w:bottom w:val="single" w:sz="4" w:space="1" w:color="auto"/>
      </w:pBdr>
      <w:spacing w:before="200" w:after="280" w:line="259" w:lineRule="auto"/>
      <w:ind w:left="1008" w:right="1152"/>
      <w:jc w:val="both"/>
    </w:pPr>
    <w:rPr>
      <w:rFonts w:eastAsiaTheme="minorHAnsi" w:cstheme="minorBidi"/>
      <w:b/>
      <w:bCs/>
      <w:i/>
      <w:iCs/>
      <w:lang w:eastAsia="en-US"/>
    </w:rPr>
  </w:style>
  <w:style w:type="character" w:customStyle="1" w:styleId="CitaoIntensaChar">
    <w:name w:val="Citação Intensa Char"/>
    <w:basedOn w:val="Fontepargpadro"/>
    <w:link w:val="CitaoIntensa"/>
    <w:uiPriority w:val="30"/>
    <w:rsid w:val="001847A4"/>
    <w:rPr>
      <w:rFonts w:eastAsiaTheme="minorEastAsia"/>
      <w:b/>
      <w:bCs/>
      <w:i/>
      <w:iCs/>
      <w:sz w:val="24"/>
      <w:szCs w:val="24"/>
    </w:rPr>
  </w:style>
  <w:style w:type="character" w:styleId="nfaseSutil">
    <w:name w:val="Subtle Emphasis"/>
    <w:uiPriority w:val="19"/>
    <w:qFormat/>
    <w:rsid w:val="001847A4"/>
    <w:rPr>
      <w:i/>
      <w:iCs/>
    </w:rPr>
  </w:style>
  <w:style w:type="character" w:styleId="nfaseIntensa">
    <w:name w:val="Intense Emphasis"/>
    <w:uiPriority w:val="21"/>
    <w:qFormat/>
    <w:rsid w:val="001847A4"/>
    <w:rPr>
      <w:b/>
      <w:bCs/>
    </w:rPr>
  </w:style>
  <w:style w:type="character" w:styleId="RefernciaIntensa">
    <w:name w:val="Intense Reference"/>
    <w:uiPriority w:val="32"/>
    <w:qFormat/>
    <w:rsid w:val="001847A4"/>
    <w:rPr>
      <w:smallCaps/>
      <w:spacing w:val="5"/>
      <w:u w:val="single"/>
    </w:rPr>
  </w:style>
  <w:style w:type="character" w:styleId="TtulodoLivro">
    <w:name w:val="Book Title"/>
    <w:uiPriority w:val="33"/>
    <w:qFormat/>
    <w:rsid w:val="001847A4"/>
    <w:rPr>
      <w:i/>
      <w:iCs/>
      <w:smallCaps/>
      <w:spacing w:val="5"/>
    </w:rPr>
  </w:style>
  <w:style w:type="paragraph" w:styleId="Sumrio4">
    <w:name w:val="toc 4"/>
    <w:basedOn w:val="Normal"/>
    <w:next w:val="Normal"/>
    <w:autoRedefine/>
    <w:uiPriority w:val="39"/>
    <w:semiHidden/>
    <w:unhideWhenUsed/>
    <w:rsid w:val="001847A4"/>
    <w:pPr>
      <w:spacing w:after="100"/>
      <w:ind w:left="660"/>
    </w:pPr>
  </w:style>
  <w:style w:type="paragraph" w:styleId="Sumrio5">
    <w:name w:val="toc 5"/>
    <w:basedOn w:val="Normal"/>
    <w:next w:val="Normal"/>
    <w:autoRedefine/>
    <w:uiPriority w:val="39"/>
    <w:semiHidden/>
    <w:unhideWhenUsed/>
    <w:rsid w:val="001847A4"/>
    <w:pPr>
      <w:spacing w:after="100"/>
      <w:ind w:left="880"/>
    </w:pPr>
  </w:style>
  <w:style w:type="paragraph" w:styleId="NormalWeb">
    <w:name w:val="Normal (Web)"/>
    <w:basedOn w:val="Normal"/>
    <w:uiPriority w:val="99"/>
    <w:unhideWhenUsed/>
    <w:rsid w:val="001847A4"/>
    <w:pPr>
      <w:spacing w:before="100" w:beforeAutospacing="1" w:after="100" w:afterAutospacing="1" w:line="259" w:lineRule="auto"/>
    </w:pPr>
  </w:style>
  <w:style w:type="paragraph" w:styleId="Corpodetexto">
    <w:name w:val="Body Text"/>
    <w:basedOn w:val="Normal"/>
    <w:link w:val="CorpodetextoChar"/>
    <w:rsid w:val="001847A4"/>
    <w:pPr>
      <w:spacing w:after="240" w:line="259" w:lineRule="auto"/>
      <w:jc w:val="both"/>
    </w:pPr>
    <w:rPr>
      <w:sz w:val="20"/>
      <w:szCs w:val="20"/>
    </w:rPr>
  </w:style>
  <w:style w:type="character" w:customStyle="1" w:styleId="CorpodetextoChar">
    <w:name w:val="Corpo de texto Char"/>
    <w:basedOn w:val="Fontepargpadro"/>
    <w:link w:val="Corpodetexto"/>
    <w:rsid w:val="001847A4"/>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1847A4"/>
    <w:pPr>
      <w:spacing w:after="120" w:line="480" w:lineRule="auto"/>
    </w:pPr>
    <w:rPr>
      <w:rFonts w:eastAsiaTheme="minorHAnsi" w:cstheme="minorBidi"/>
      <w:lang w:eastAsia="en-US"/>
    </w:rPr>
  </w:style>
  <w:style w:type="character" w:customStyle="1" w:styleId="Corpodetexto2Char">
    <w:name w:val="Corpo de texto 2 Char"/>
    <w:basedOn w:val="Fontepargpadro"/>
    <w:link w:val="Corpodetexto2"/>
    <w:uiPriority w:val="99"/>
    <w:rsid w:val="001847A4"/>
    <w:rPr>
      <w:rFonts w:eastAsiaTheme="minorEastAsia"/>
      <w:sz w:val="24"/>
      <w:szCs w:val="24"/>
    </w:rPr>
  </w:style>
  <w:style w:type="table" w:styleId="Tabelacomgrade">
    <w:name w:val="Table Grid"/>
    <w:basedOn w:val="Tabelanormal"/>
    <w:uiPriority w:val="39"/>
    <w:rsid w:val="001847A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link w:val="BibliografiaChar"/>
    <w:uiPriority w:val="37"/>
    <w:unhideWhenUsed/>
    <w:rsid w:val="001847A4"/>
    <w:pPr>
      <w:spacing w:after="240" w:line="259" w:lineRule="auto"/>
    </w:pPr>
    <w:rPr>
      <w:rFonts w:eastAsiaTheme="minorHAnsi" w:cstheme="minorBidi"/>
      <w:lang w:eastAsia="en-US"/>
    </w:rPr>
  </w:style>
  <w:style w:type="paragraph" w:customStyle="1" w:styleId="ReferencialTerico1">
    <w:name w:val="Referencial Teórico 1"/>
    <w:basedOn w:val="Bibliografia"/>
    <w:link w:val="ReferencialTerico1Char"/>
    <w:autoRedefine/>
    <w:qFormat/>
    <w:rsid w:val="001847A4"/>
    <w:rPr>
      <w:noProof/>
    </w:rPr>
  </w:style>
  <w:style w:type="character" w:customStyle="1" w:styleId="BibliografiaChar">
    <w:name w:val="Bibliografia Char"/>
    <w:basedOn w:val="Fontepargpadro"/>
    <w:link w:val="Bibliografia"/>
    <w:uiPriority w:val="37"/>
    <w:rsid w:val="001847A4"/>
    <w:rPr>
      <w:rFonts w:eastAsiaTheme="minorEastAsia"/>
      <w:sz w:val="24"/>
      <w:szCs w:val="24"/>
    </w:rPr>
  </w:style>
  <w:style w:type="character" w:customStyle="1" w:styleId="ReferencialTerico1Char">
    <w:name w:val="Referencial Teórico 1 Char"/>
    <w:basedOn w:val="BibliografiaChar"/>
    <w:link w:val="ReferencialTerico1"/>
    <w:rsid w:val="001847A4"/>
    <w:rPr>
      <w:rFonts w:eastAsiaTheme="minorEastAsia"/>
      <w:noProof/>
      <w:sz w:val="24"/>
      <w:szCs w:val="24"/>
    </w:rPr>
  </w:style>
  <w:style w:type="character" w:customStyle="1" w:styleId="hps">
    <w:name w:val="hps"/>
    <w:basedOn w:val="Fontepargpadro"/>
    <w:rsid w:val="001847A4"/>
  </w:style>
  <w:style w:type="character" w:customStyle="1" w:styleId="label">
    <w:name w:val="label"/>
    <w:basedOn w:val="Fontepargpadro"/>
    <w:rsid w:val="00F50EE1"/>
  </w:style>
  <w:style w:type="paragraph" w:customStyle="1" w:styleId="copyright">
    <w:name w:val="copyright"/>
    <w:basedOn w:val="Normal"/>
    <w:rsid w:val="00F50EE1"/>
    <w:pPr>
      <w:spacing w:before="100" w:beforeAutospacing="1" w:after="100" w:afterAutospacing="1" w:line="259" w:lineRule="auto"/>
    </w:pPr>
  </w:style>
  <w:style w:type="character" w:customStyle="1" w:styleId="st">
    <w:name w:val="st"/>
    <w:basedOn w:val="Fontepargpadro"/>
    <w:rsid w:val="00AB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170">
      <w:bodyDiv w:val="1"/>
      <w:marLeft w:val="0"/>
      <w:marRight w:val="0"/>
      <w:marTop w:val="0"/>
      <w:marBottom w:val="0"/>
      <w:divBdr>
        <w:top w:val="none" w:sz="0" w:space="0" w:color="auto"/>
        <w:left w:val="none" w:sz="0" w:space="0" w:color="auto"/>
        <w:bottom w:val="none" w:sz="0" w:space="0" w:color="auto"/>
        <w:right w:val="none" w:sz="0" w:space="0" w:color="auto"/>
      </w:divBdr>
    </w:div>
    <w:div w:id="18968329">
      <w:bodyDiv w:val="1"/>
      <w:marLeft w:val="0"/>
      <w:marRight w:val="0"/>
      <w:marTop w:val="0"/>
      <w:marBottom w:val="0"/>
      <w:divBdr>
        <w:top w:val="none" w:sz="0" w:space="0" w:color="auto"/>
        <w:left w:val="none" w:sz="0" w:space="0" w:color="auto"/>
        <w:bottom w:val="none" w:sz="0" w:space="0" w:color="auto"/>
        <w:right w:val="none" w:sz="0" w:space="0" w:color="auto"/>
      </w:divBdr>
    </w:div>
    <w:div w:id="27413532">
      <w:bodyDiv w:val="1"/>
      <w:marLeft w:val="0"/>
      <w:marRight w:val="0"/>
      <w:marTop w:val="0"/>
      <w:marBottom w:val="0"/>
      <w:divBdr>
        <w:top w:val="none" w:sz="0" w:space="0" w:color="auto"/>
        <w:left w:val="none" w:sz="0" w:space="0" w:color="auto"/>
        <w:bottom w:val="none" w:sz="0" w:space="0" w:color="auto"/>
        <w:right w:val="none" w:sz="0" w:space="0" w:color="auto"/>
      </w:divBdr>
    </w:div>
    <w:div w:id="28997129">
      <w:bodyDiv w:val="1"/>
      <w:marLeft w:val="0"/>
      <w:marRight w:val="0"/>
      <w:marTop w:val="0"/>
      <w:marBottom w:val="0"/>
      <w:divBdr>
        <w:top w:val="none" w:sz="0" w:space="0" w:color="auto"/>
        <w:left w:val="none" w:sz="0" w:space="0" w:color="auto"/>
        <w:bottom w:val="none" w:sz="0" w:space="0" w:color="auto"/>
        <w:right w:val="none" w:sz="0" w:space="0" w:color="auto"/>
      </w:divBdr>
    </w:div>
    <w:div w:id="30231270">
      <w:bodyDiv w:val="1"/>
      <w:marLeft w:val="0"/>
      <w:marRight w:val="0"/>
      <w:marTop w:val="0"/>
      <w:marBottom w:val="0"/>
      <w:divBdr>
        <w:top w:val="none" w:sz="0" w:space="0" w:color="auto"/>
        <w:left w:val="none" w:sz="0" w:space="0" w:color="auto"/>
        <w:bottom w:val="none" w:sz="0" w:space="0" w:color="auto"/>
        <w:right w:val="none" w:sz="0" w:space="0" w:color="auto"/>
      </w:divBdr>
    </w:div>
    <w:div w:id="49772580">
      <w:bodyDiv w:val="1"/>
      <w:marLeft w:val="0"/>
      <w:marRight w:val="0"/>
      <w:marTop w:val="0"/>
      <w:marBottom w:val="0"/>
      <w:divBdr>
        <w:top w:val="none" w:sz="0" w:space="0" w:color="auto"/>
        <w:left w:val="none" w:sz="0" w:space="0" w:color="auto"/>
        <w:bottom w:val="none" w:sz="0" w:space="0" w:color="auto"/>
        <w:right w:val="none" w:sz="0" w:space="0" w:color="auto"/>
      </w:divBdr>
    </w:div>
    <w:div w:id="52311040">
      <w:bodyDiv w:val="1"/>
      <w:marLeft w:val="0"/>
      <w:marRight w:val="0"/>
      <w:marTop w:val="0"/>
      <w:marBottom w:val="0"/>
      <w:divBdr>
        <w:top w:val="none" w:sz="0" w:space="0" w:color="auto"/>
        <w:left w:val="none" w:sz="0" w:space="0" w:color="auto"/>
        <w:bottom w:val="none" w:sz="0" w:space="0" w:color="auto"/>
        <w:right w:val="none" w:sz="0" w:space="0" w:color="auto"/>
      </w:divBdr>
    </w:div>
    <w:div w:id="75372443">
      <w:bodyDiv w:val="1"/>
      <w:marLeft w:val="0"/>
      <w:marRight w:val="0"/>
      <w:marTop w:val="0"/>
      <w:marBottom w:val="0"/>
      <w:divBdr>
        <w:top w:val="none" w:sz="0" w:space="0" w:color="auto"/>
        <w:left w:val="none" w:sz="0" w:space="0" w:color="auto"/>
        <w:bottom w:val="none" w:sz="0" w:space="0" w:color="auto"/>
        <w:right w:val="none" w:sz="0" w:space="0" w:color="auto"/>
      </w:divBdr>
    </w:div>
    <w:div w:id="86004307">
      <w:bodyDiv w:val="1"/>
      <w:marLeft w:val="0"/>
      <w:marRight w:val="0"/>
      <w:marTop w:val="0"/>
      <w:marBottom w:val="0"/>
      <w:divBdr>
        <w:top w:val="none" w:sz="0" w:space="0" w:color="auto"/>
        <w:left w:val="none" w:sz="0" w:space="0" w:color="auto"/>
        <w:bottom w:val="none" w:sz="0" w:space="0" w:color="auto"/>
        <w:right w:val="none" w:sz="0" w:space="0" w:color="auto"/>
      </w:divBdr>
    </w:div>
    <w:div w:id="105735345">
      <w:bodyDiv w:val="1"/>
      <w:marLeft w:val="0"/>
      <w:marRight w:val="0"/>
      <w:marTop w:val="0"/>
      <w:marBottom w:val="0"/>
      <w:divBdr>
        <w:top w:val="none" w:sz="0" w:space="0" w:color="auto"/>
        <w:left w:val="none" w:sz="0" w:space="0" w:color="auto"/>
        <w:bottom w:val="none" w:sz="0" w:space="0" w:color="auto"/>
        <w:right w:val="none" w:sz="0" w:space="0" w:color="auto"/>
      </w:divBdr>
    </w:div>
    <w:div w:id="110171309">
      <w:bodyDiv w:val="1"/>
      <w:marLeft w:val="0"/>
      <w:marRight w:val="0"/>
      <w:marTop w:val="0"/>
      <w:marBottom w:val="0"/>
      <w:divBdr>
        <w:top w:val="none" w:sz="0" w:space="0" w:color="auto"/>
        <w:left w:val="none" w:sz="0" w:space="0" w:color="auto"/>
        <w:bottom w:val="none" w:sz="0" w:space="0" w:color="auto"/>
        <w:right w:val="none" w:sz="0" w:space="0" w:color="auto"/>
      </w:divBdr>
    </w:div>
    <w:div w:id="111216213">
      <w:bodyDiv w:val="1"/>
      <w:marLeft w:val="0"/>
      <w:marRight w:val="0"/>
      <w:marTop w:val="0"/>
      <w:marBottom w:val="0"/>
      <w:divBdr>
        <w:top w:val="none" w:sz="0" w:space="0" w:color="auto"/>
        <w:left w:val="none" w:sz="0" w:space="0" w:color="auto"/>
        <w:bottom w:val="none" w:sz="0" w:space="0" w:color="auto"/>
        <w:right w:val="none" w:sz="0" w:space="0" w:color="auto"/>
      </w:divBdr>
      <w:divsChild>
        <w:div w:id="1263686812">
          <w:marLeft w:val="0"/>
          <w:marRight w:val="0"/>
          <w:marTop w:val="0"/>
          <w:marBottom w:val="0"/>
          <w:divBdr>
            <w:top w:val="none" w:sz="0" w:space="0" w:color="auto"/>
            <w:left w:val="none" w:sz="0" w:space="0" w:color="auto"/>
            <w:bottom w:val="none" w:sz="0" w:space="0" w:color="auto"/>
            <w:right w:val="none" w:sz="0" w:space="0" w:color="auto"/>
          </w:divBdr>
          <w:divsChild>
            <w:div w:id="707025828">
              <w:marLeft w:val="0"/>
              <w:marRight w:val="0"/>
              <w:marTop w:val="0"/>
              <w:marBottom w:val="0"/>
              <w:divBdr>
                <w:top w:val="none" w:sz="0" w:space="0" w:color="auto"/>
                <w:left w:val="none" w:sz="0" w:space="0" w:color="auto"/>
                <w:bottom w:val="none" w:sz="0" w:space="0" w:color="auto"/>
                <w:right w:val="none" w:sz="0" w:space="0" w:color="auto"/>
              </w:divBdr>
              <w:divsChild>
                <w:div w:id="1036809172">
                  <w:marLeft w:val="0"/>
                  <w:marRight w:val="0"/>
                  <w:marTop w:val="0"/>
                  <w:marBottom w:val="0"/>
                  <w:divBdr>
                    <w:top w:val="none" w:sz="0" w:space="0" w:color="auto"/>
                    <w:left w:val="none" w:sz="0" w:space="0" w:color="auto"/>
                    <w:bottom w:val="none" w:sz="0" w:space="0" w:color="auto"/>
                    <w:right w:val="none" w:sz="0" w:space="0" w:color="auto"/>
                  </w:divBdr>
                  <w:divsChild>
                    <w:div w:id="1877741924">
                      <w:marLeft w:val="0"/>
                      <w:marRight w:val="0"/>
                      <w:marTop w:val="0"/>
                      <w:marBottom w:val="0"/>
                      <w:divBdr>
                        <w:top w:val="none" w:sz="0" w:space="0" w:color="auto"/>
                        <w:left w:val="none" w:sz="0" w:space="0" w:color="auto"/>
                        <w:bottom w:val="none" w:sz="0" w:space="0" w:color="auto"/>
                        <w:right w:val="none" w:sz="0" w:space="0" w:color="auto"/>
                      </w:divBdr>
                      <w:divsChild>
                        <w:div w:id="2099986573">
                          <w:marLeft w:val="0"/>
                          <w:marRight w:val="0"/>
                          <w:marTop w:val="0"/>
                          <w:marBottom w:val="0"/>
                          <w:divBdr>
                            <w:top w:val="none" w:sz="0" w:space="0" w:color="auto"/>
                            <w:left w:val="none" w:sz="0" w:space="0" w:color="auto"/>
                            <w:bottom w:val="none" w:sz="0" w:space="0" w:color="auto"/>
                            <w:right w:val="none" w:sz="0" w:space="0" w:color="auto"/>
                          </w:divBdr>
                          <w:divsChild>
                            <w:div w:id="856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0458">
      <w:bodyDiv w:val="1"/>
      <w:marLeft w:val="0"/>
      <w:marRight w:val="0"/>
      <w:marTop w:val="0"/>
      <w:marBottom w:val="0"/>
      <w:divBdr>
        <w:top w:val="none" w:sz="0" w:space="0" w:color="auto"/>
        <w:left w:val="none" w:sz="0" w:space="0" w:color="auto"/>
        <w:bottom w:val="none" w:sz="0" w:space="0" w:color="auto"/>
        <w:right w:val="none" w:sz="0" w:space="0" w:color="auto"/>
      </w:divBdr>
    </w:div>
    <w:div w:id="130221443">
      <w:bodyDiv w:val="1"/>
      <w:marLeft w:val="0"/>
      <w:marRight w:val="0"/>
      <w:marTop w:val="0"/>
      <w:marBottom w:val="0"/>
      <w:divBdr>
        <w:top w:val="none" w:sz="0" w:space="0" w:color="auto"/>
        <w:left w:val="none" w:sz="0" w:space="0" w:color="auto"/>
        <w:bottom w:val="none" w:sz="0" w:space="0" w:color="auto"/>
        <w:right w:val="none" w:sz="0" w:space="0" w:color="auto"/>
      </w:divBdr>
    </w:div>
    <w:div w:id="160510575">
      <w:bodyDiv w:val="1"/>
      <w:marLeft w:val="0"/>
      <w:marRight w:val="0"/>
      <w:marTop w:val="0"/>
      <w:marBottom w:val="0"/>
      <w:divBdr>
        <w:top w:val="none" w:sz="0" w:space="0" w:color="auto"/>
        <w:left w:val="none" w:sz="0" w:space="0" w:color="auto"/>
        <w:bottom w:val="none" w:sz="0" w:space="0" w:color="auto"/>
        <w:right w:val="none" w:sz="0" w:space="0" w:color="auto"/>
      </w:divBdr>
    </w:div>
    <w:div w:id="161169973">
      <w:bodyDiv w:val="1"/>
      <w:marLeft w:val="0"/>
      <w:marRight w:val="0"/>
      <w:marTop w:val="0"/>
      <w:marBottom w:val="0"/>
      <w:divBdr>
        <w:top w:val="none" w:sz="0" w:space="0" w:color="auto"/>
        <w:left w:val="none" w:sz="0" w:space="0" w:color="auto"/>
        <w:bottom w:val="none" w:sz="0" w:space="0" w:color="auto"/>
        <w:right w:val="none" w:sz="0" w:space="0" w:color="auto"/>
      </w:divBdr>
    </w:div>
    <w:div w:id="164369975">
      <w:bodyDiv w:val="1"/>
      <w:marLeft w:val="0"/>
      <w:marRight w:val="0"/>
      <w:marTop w:val="0"/>
      <w:marBottom w:val="0"/>
      <w:divBdr>
        <w:top w:val="none" w:sz="0" w:space="0" w:color="auto"/>
        <w:left w:val="none" w:sz="0" w:space="0" w:color="auto"/>
        <w:bottom w:val="none" w:sz="0" w:space="0" w:color="auto"/>
        <w:right w:val="none" w:sz="0" w:space="0" w:color="auto"/>
      </w:divBdr>
    </w:div>
    <w:div w:id="180557216">
      <w:bodyDiv w:val="1"/>
      <w:marLeft w:val="0"/>
      <w:marRight w:val="0"/>
      <w:marTop w:val="0"/>
      <w:marBottom w:val="0"/>
      <w:divBdr>
        <w:top w:val="none" w:sz="0" w:space="0" w:color="auto"/>
        <w:left w:val="none" w:sz="0" w:space="0" w:color="auto"/>
        <w:bottom w:val="none" w:sz="0" w:space="0" w:color="auto"/>
        <w:right w:val="none" w:sz="0" w:space="0" w:color="auto"/>
      </w:divBdr>
    </w:div>
    <w:div w:id="183174740">
      <w:bodyDiv w:val="1"/>
      <w:marLeft w:val="0"/>
      <w:marRight w:val="0"/>
      <w:marTop w:val="0"/>
      <w:marBottom w:val="0"/>
      <w:divBdr>
        <w:top w:val="none" w:sz="0" w:space="0" w:color="auto"/>
        <w:left w:val="none" w:sz="0" w:space="0" w:color="auto"/>
        <w:bottom w:val="none" w:sz="0" w:space="0" w:color="auto"/>
        <w:right w:val="none" w:sz="0" w:space="0" w:color="auto"/>
      </w:divBdr>
    </w:div>
    <w:div w:id="195701298">
      <w:bodyDiv w:val="1"/>
      <w:marLeft w:val="0"/>
      <w:marRight w:val="0"/>
      <w:marTop w:val="0"/>
      <w:marBottom w:val="0"/>
      <w:divBdr>
        <w:top w:val="none" w:sz="0" w:space="0" w:color="auto"/>
        <w:left w:val="none" w:sz="0" w:space="0" w:color="auto"/>
        <w:bottom w:val="none" w:sz="0" w:space="0" w:color="auto"/>
        <w:right w:val="none" w:sz="0" w:space="0" w:color="auto"/>
      </w:divBdr>
    </w:div>
    <w:div w:id="198665366">
      <w:bodyDiv w:val="1"/>
      <w:marLeft w:val="0"/>
      <w:marRight w:val="0"/>
      <w:marTop w:val="0"/>
      <w:marBottom w:val="0"/>
      <w:divBdr>
        <w:top w:val="none" w:sz="0" w:space="0" w:color="auto"/>
        <w:left w:val="none" w:sz="0" w:space="0" w:color="auto"/>
        <w:bottom w:val="none" w:sz="0" w:space="0" w:color="auto"/>
        <w:right w:val="none" w:sz="0" w:space="0" w:color="auto"/>
      </w:divBdr>
    </w:div>
    <w:div w:id="227111436">
      <w:bodyDiv w:val="1"/>
      <w:marLeft w:val="0"/>
      <w:marRight w:val="0"/>
      <w:marTop w:val="0"/>
      <w:marBottom w:val="0"/>
      <w:divBdr>
        <w:top w:val="none" w:sz="0" w:space="0" w:color="auto"/>
        <w:left w:val="none" w:sz="0" w:space="0" w:color="auto"/>
        <w:bottom w:val="none" w:sz="0" w:space="0" w:color="auto"/>
        <w:right w:val="none" w:sz="0" w:space="0" w:color="auto"/>
      </w:divBdr>
    </w:div>
    <w:div w:id="245696461">
      <w:bodyDiv w:val="1"/>
      <w:marLeft w:val="0"/>
      <w:marRight w:val="0"/>
      <w:marTop w:val="0"/>
      <w:marBottom w:val="0"/>
      <w:divBdr>
        <w:top w:val="none" w:sz="0" w:space="0" w:color="auto"/>
        <w:left w:val="none" w:sz="0" w:space="0" w:color="auto"/>
        <w:bottom w:val="none" w:sz="0" w:space="0" w:color="auto"/>
        <w:right w:val="none" w:sz="0" w:space="0" w:color="auto"/>
      </w:divBdr>
    </w:div>
    <w:div w:id="259028298">
      <w:bodyDiv w:val="1"/>
      <w:marLeft w:val="0"/>
      <w:marRight w:val="0"/>
      <w:marTop w:val="0"/>
      <w:marBottom w:val="0"/>
      <w:divBdr>
        <w:top w:val="none" w:sz="0" w:space="0" w:color="auto"/>
        <w:left w:val="none" w:sz="0" w:space="0" w:color="auto"/>
        <w:bottom w:val="none" w:sz="0" w:space="0" w:color="auto"/>
        <w:right w:val="none" w:sz="0" w:space="0" w:color="auto"/>
      </w:divBdr>
    </w:div>
    <w:div w:id="275720853">
      <w:bodyDiv w:val="1"/>
      <w:marLeft w:val="0"/>
      <w:marRight w:val="0"/>
      <w:marTop w:val="0"/>
      <w:marBottom w:val="0"/>
      <w:divBdr>
        <w:top w:val="none" w:sz="0" w:space="0" w:color="auto"/>
        <w:left w:val="none" w:sz="0" w:space="0" w:color="auto"/>
        <w:bottom w:val="none" w:sz="0" w:space="0" w:color="auto"/>
        <w:right w:val="none" w:sz="0" w:space="0" w:color="auto"/>
      </w:divBdr>
    </w:div>
    <w:div w:id="279460257">
      <w:bodyDiv w:val="1"/>
      <w:marLeft w:val="0"/>
      <w:marRight w:val="0"/>
      <w:marTop w:val="0"/>
      <w:marBottom w:val="0"/>
      <w:divBdr>
        <w:top w:val="none" w:sz="0" w:space="0" w:color="auto"/>
        <w:left w:val="none" w:sz="0" w:space="0" w:color="auto"/>
        <w:bottom w:val="none" w:sz="0" w:space="0" w:color="auto"/>
        <w:right w:val="none" w:sz="0" w:space="0" w:color="auto"/>
      </w:divBdr>
    </w:div>
    <w:div w:id="290868104">
      <w:bodyDiv w:val="1"/>
      <w:marLeft w:val="0"/>
      <w:marRight w:val="0"/>
      <w:marTop w:val="0"/>
      <w:marBottom w:val="0"/>
      <w:divBdr>
        <w:top w:val="none" w:sz="0" w:space="0" w:color="auto"/>
        <w:left w:val="none" w:sz="0" w:space="0" w:color="auto"/>
        <w:bottom w:val="none" w:sz="0" w:space="0" w:color="auto"/>
        <w:right w:val="none" w:sz="0" w:space="0" w:color="auto"/>
      </w:divBdr>
    </w:div>
    <w:div w:id="295305782">
      <w:bodyDiv w:val="1"/>
      <w:marLeft w:val="0"/>
      <w:marRight w:val="0"/>
      <w:marTop w:val="0"/>
      <w:marBottom w:val="0"/>
      <w:divBdr>
        <w:top w:val="none" w:sz="0" w:space="0" w:color="auto"/>
        <w:left w:val="none" w:sz="0" w:space="0" w:color="auto"/>
        <w:bottom w:val="none" w:sz="0" w:space="0" w:color="auto"/>
        <w:right w:val="none" w:sz="0" w:space="0" w:color="auto"/>
      </w:divBdr>
    </w:div>
    <w:div w:id="307788247">
      <w:bodyDiv w:val="1"/>
      <w:marLeft w:val="0"/>
      <w:marRight w:val="0"/>
      <w:marTop w:val="0"/>
      <w:marBottom w:val="0"/>
      <w:divBdr>
        <w:top w:val="none" w:sz="0" w:space="0" w:color="auto"/>
        <w:left w:val="none" w:sz="0" w:space="0" w:color="auto"/>
        <w:bottom w:val="none" w:sz="0" w:space="0" w:color="auto"/>
        <w:right w:val="none" w:sz="0" w:space="0" w:color="auto"/>
      </w:divBdr>
    </w:div>
    <w:div w:id="312610094">
      <w:bodyDiv w:val="1"/>
      <w:marLeft w:val="0"/>
      <w:marRight w:val="0"/>
      <w:marTop w:val="0"/>
      <w:marBottom w:val="0"/>
      <w:divBdr>
        <w:top w:val="none" w:sz="0" w:space="0" w:color="auto"/>
        <w:left w:val="none" w:sz="0" w:space="0" w:color="auto"/>
        <w:bottom w:val="none" w:sz="0" w:space="0" w:color="auto"/>
        <w:right w:val="none" w:sz="0" w:space="0" w:color="auto"/>
      </w:divBdr>
    </w:div>
    <w:div w:id="312877899">
      <w:bodyDiv w:val="1"/>
      <w:marLeft w:val="0"/>
      <w:marRight w:val="0"/>
      <w:marTop w:val="0"/>
      <w:marBottom w:val="0"/>
      <w:divBdr>
        <w:top w:val="none" w:sz="0" w:space="0" w:color="auto"/>
        <w:left w:val="none" w:sz="0" w:space="0" w:color="auto"/>
        <w:bottom w:val="none" w:sz="0" w:space="0" w:color="auto"/>
        <w:right w:val="none" w:sz="0" w:space="0" w:color="auto"/>
      </w:divBdr>
    </w:div>
    <w:div w:id="313727697">
      <w:bodyDiv w:val="1"/>
      <w:marLeft w:val="0"/>
      <w:marRight w:val="0"/>
      <w:marTop w:val="0"/>
      <w:marBottom w:val="0"/>
      <w:divBdr>
        <w:top w:val="none" w:sz="0" w:space="0" w:color="auto"/>
        <w:left w:val="none" w:sz="0" w:space="0" w:color="auto"/>
        <w:bottom w:val="none" w:sz="0" w:space="0" w:color="auto"/>
        <w:right w:val="none" w:sz="0" w:space="0" w:color="auto"/>
      </w:divBdr>
    </w:div>
    <w:div w:id="315452521">
      <w:bodyDiv w:val="1"/>
      <w:marLeft w:val="0"/>
      <w:marRight w:val="0"/>
      <w:marTop w:val="0"/>
      <w:marBottom w:val="0"/>
      <w:divBdr>
        <w:top w:val="none" w:sz="0" w:space="0" w:color="auto"/>
        <w:left w:val="none" w:sz="0" w:space="0" w:color="auto"/>
        <w:bottom w:val="none" w:sz="0" w:space="0" w:color="auto"/>
        <w:right w:val="none" w:sz="0" w:space="0" w:color="auto"/>
      </w:divBdr>
    </w:div>
    <w:div w:id="316686233">
      <w:bodyDiv w:val="1"/>
      <w:marLeft w:val="0"/>
      <w:marRight w:val="0"/>
      <w:marTop w:val="0"/>
      <w:marBottom w:val="0"/>
      <w:divBdr>
        <w:top w:val="none" w:sz="0" w:space="0" w:color="auto"/>
        <w:left w:val="none" w:sz="0" w:space="0" w:color="auto"/>
        <w:bottom w:val="none" w:sz="0" w:space="0" w:color="auto"/>
        <w:right w:val="none" w:sz="0" w:space="0" w:color="auto"/>
      </w:divBdr>
    </w:div>
    <w:div w:id="317271397">
      <w:bodyDiv w:val="1"/>
      <w:marLeft w:val="0"/>
      <w:marRight w:val="0"/>
      <w:marTop w:val="0"/>
      <w:marBottom w:val="0"/>
      <w:divBdr>
        <w:top w:val="none" w:sz="0" w:space="0" w:color="auto"/>
        <w:left w:val="none" w:sz="0" w:space="0" w:color="auto"/>
        <w:bottom w:val="none" w:sz="0" w:space="0" w:color="auto"/>
        <w:right w:val="none" w:sz="0" w:space="0" w:color="auto"/>
      </w:divBdr>
    </w:div>
    <w:div w:id="339090515">
      <w:bodyDiv w:val="1"/>
      <w:marLeft w:val="0"/>
      <w:marRight w:val="0"/>
      <w:marTop w:val="0"/>
      <w:marBottom w:val="0"/>
      <w:divBdr>
        <w:top w:val="none" w:sz="0" w:space="0" w:color="auto"/>
        <w:left w:val="none" w:sz="0" w:space="0" w:color="auto"/>
        <w:bottom w:val="none" w:sz="0" w:space="0" w:color="auto"/>
        <w:right w:val="none" w:sz="0" w:space="0" w:color="auto"/>
      </w:divBdr>
    </w:div>
    <w:div w:id="341705524">
      <w:bodyDiv w:val="1"/>
      <w:marLeft w:val="0"/>
      <w:marRight w:val="0"/>
      <w:marTop w:val="0"/>
      <w:marBottom w:val="0"/>
      <w:divBdr>
        <w:top w:val="none" w:sz="0" w:space="0" w:color="auto"/>
        <w:left w:val="none" w:sz="0" w:space="0" w:color="auto"/>
        <w:bottom w:val="none" w:sz="0" w:space="0" w:color="auto"/>
        <w:right w:val="none" w:sz="0" w:space="0" w:color="auto"/>
      </w:divBdr>
    </w:div>
    <w:div w:id="341862584">
      <w:bodyDiv w:val="1"/>
      <w:marLeft w:val="0"/>
      <w:marRight w:val="0"/>
      <w:marTop w:val="0"/>
      <w:marBottom w:val="0"/>
      <w:divBdr>
        <w:top w:val="none" w:sz="0" w:space="0" w:color="auto"/>
        <w:left w:val="none" w:sz="0" w:space="0" w:color="auto"/>
        <w:bottom w:val="none" w:sz="0" w:space="0" w:color="auto"/>
        <w:right w:val="none" w:sz="0" w:space="0" w:color="auto"/>
      </w:divBdr>
      <w:divsChild>
        <w:div w:id="687564801">
          <w:marLeft w:val="0"/>
          <w:marRight w:val="0"/>
          <w:marTop w:val="0"/>
          <w:marBottom w:val="0"/>
          <w:divBdr>
            <w:top w:val="none" w:sz="0" w:space="0" w:color="auto"/>
            <w:left w:val="none" w:sz="0" w:space="0" w:color="auto"/>
            <w:bottom w:val="none" w:sz="0" w:space="0" w:color="auto"/>
            <w:right w:val="none" w:sz="0" w:space="0" w:color="auto"/>
          </w:divBdr>
          <w:divsChild>
            <w:div w:id="954671958">
              <w:marLeft w:val="0"/>
              <w:marRight w:val="0"/>
              <w:marTop w:val="0"/>
              <w:marBottom w:val="0"/>
              <w:divBdr>
                <w:top w:val="none" w:sz="0" w:space="0" w:color="auto"/>
                <w:left w:val="none" w:sz="0" w:space="0" w:color="auto"/>
                <w:bottom w:val="none" w:sz="0" w:space="0" w:color="auto"/>
                <w:right w:val="none" w:sz="0" w:space="0" w:color="auto"/>
              </w:divBdr>
              <w:divsChild>
                <w:div w:id="264073185">
                  <w:marLeft w:val="0"/>
                  <w:marRight w:val="0"/>
                  <w:marTop w:val="0"/>
                  <w:marBottom w:val="0"/>
                  <w:divBdr>
                    <w:top w:val="none" w:sz="0" w:space="0" w:color="auto"/>
                    <w:left w:val="none" w:sz="0" w:space="0" w:color="auto"/>
                    <w:bottom w:val="none" w:sz="0" w:space="0" w:color="auto"/>
                    <w:right w:val="none" w:sz="0" w:space="0" w:color="auto"/>
                  </w:divBdr>
                  <w:divsChild>
                    <w:div w:id="28378830">
                      <w:marLeft w:val="0"/>
                      <w:marRight w:val="0"/>
                      <w:marTop w:val="0"/>
                      <w:marBottom w:val="0"/>
                      <w:divBdr>
                        <w:top w:val="none" w:sz="0" w:space="0" w:color="auto"/>
                        <w:left w:val="none" w:sz="0" w:space="0" w:color="auto"/>
                        <w:bottom w:val="none" w:sz="0" w:space="0" w:color="auto"/>
                        <w:right w:val="none" w:sz="0" w:space="0" w:color="auto"/>
                      </w:divBdr>
                      <w:divsChild>
                        <w:div w:id="1641886517">
                          <w:marLeft w:val="0"/>
                          <w:marRight w:val="0"/>
                          <w:marTop w:val="0"/>
                          <w:marBottom w:val="0"/>
                          <w:divBdr>
                            <w:top w:val="none" w:sz="0" w:space="0" w:color="auto"/>
                            <w:left w:val="none" w:sz="0" w:space="0" w:color="auto"/>
                            <w:bottom w:val="none" w:sz="0" w:space="0" w:color="auto"/>
                            <w:right w:val="none" w:sz="0" w:space="0" w:color="auto"/>
                          </w:divBdr>
                          <w:divsChild>
                            <w:div w:id="1576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29774">
      <w:bodyDiv w:val="1"/>
      <w:marLeft w:val="0"/>
      <w:marRight w:val="0"/>
      <w:marTop w:val="0"/>
      <w:marBottom w:val="0"/>
      <w:divBdr>
        <w:top w:val="none" w:sz="0" w:space="0" w:color="auto"/>
        <w:left w:val="none" w:sz="0" w:space="0" w:color="auto"/>
        <w:bottom w:val="none" w:sz="0" w:space="0" w:color="auto"/>
        <w:right w:val="none" w:sz="0" w:space="0" w:color="auto"/>
      </w:divBdr>
    </w:div>
    <w:div w:id="360711292">
      <w:bodyDiv w:val="1"/>
      <w:marLeft w:val="0"/>
      <w:marRight w:val="0"/>
      <w:marTop w:val="0"/>
      <w:marBottom w:val="0"/>
      <w:divBdr>
        <w:top w:val="none" w:sz="0" w:space="0" w:color="auto"/>
        <w:left w:val="none" w:sz="0" w:space="0" w:color="auto"/>
        <w:bottom w:val="none" w:sz="0" w:space="0" w:color="auto"/>
        <w:right w:val="none" w:sz="0" w:space="0" w:color="auto"/>
      </w:divBdr>
    </w:div>
    <w:div w:id="365449216">
      <w:bodyDiv w:val="1"/>
      <w:marLeft w:val="0"/>
      <w:marRight w:val="0"/>
      <w:marTop w:val="0"/>
      <w:marBottom w:val="0"/>
      <w:divBdr>
        <w:top w:val="none" w:sz="0" w:space="0" w:color="auto"/>
        <w:left w:val="none" w:sz="0" w:space="0" w:color="auto"/>
        <w:bottom w:val="none" w:sz="0" w:space="0" w:color="auto"/>
        <w:right w:val="none" w:sz="0" w:space="0" w:color="auto"/>
      </w:divBdr>
    </w:div>
    <w:div w:id="377246934">
      <w:bodyDiv w:val="1"/>
      <w:marLeft w:val="0"/>
      <w:marRight w:val="0"/>
      <w:marTop w:val="0"/>
      <w:marBottom w:val="0"/>
      <w:divBdr>
        <w:top w:val="none" w:sz="0" w:space="0" w:color="auto"/>
        <w:left w:val="none" w:sz="0" w:space="0" w:color="auto"/>
        <w:bottom w:val="none" w:sz="0" w:space="0" w:color="auto"/>
        <w:right w:val="none" w:sz="0" w:space="0" w:color="auto"/>
      </w:divBdr>
    </w:div>
    <w:div w:id="379791587">
      <w:bodyDiv w:val="1"/>
      <w:marLeft w:val="0"/>
      <w:marRight w:val="0"/>
      <w:marTop w:val="0"/>
      <w:marBottom w:val="0"/>
      <w:divBdr>
        <w:top w:val="none" w:sz="0" w:space="0" w:color="auto"/>
        <w:left w:val="none" w:sz="0" w:space="0" w:color="auto"/>
        <w:bottom w:val="none" w:sz="0" w:space="0" w:color="auto"/>
        <w:right w:val="none" w:sz="0" w:space="0" w:color="auto"/>
      </w:divBdr>
    </w:div>
    <w:div w:id="383792950">
      <w:bodyDiv w:val="1"/>
      <w:marLeft w:val="0"/>
      <w:marRight w:val="0"/>
      <w:marTop w:val="0"/>
      <w:marBottom w:val="0"/>
      <w:divBdr>
        <w:top w:val="none" w:sz="0" w:space="0" w:color="auto"/>
        <w:left w:val="none" w:sz="0" w:space="0" w:color="auto"/>
        <w:bottom w:val="none" w:sz="0" w:space="0" w:color="auto"/>
        <w:right w:val="none" w:sz="0" w:space="0" w:color="auto"/>
      </w:divBdr>
    </w:div>
    <w:div w:id="391462791">
      <w:bodyDiv w:val="1"/>
      <w:marLeft w:val="0"/>
      <w:marRight w:val="0"/>
      <w:marTop w:val="0"/>
      <w:marBottom w:val="0"/>
      <w:divBdr>
        <w:top w:val="none" w:sz="0" w:space="0" w:color="auto"/>
        <w:left w:val="none" w:sz="0" w:space="0" w:color="auto"/>
        <w:bottom w:val="none" w:sz="0" w:space="0" w:color="auto"/>
        <w:right w:val="none" w:sz="0" w:space="0" w:color="auto"/>
      </w:divBdr>
    </w:div>
    <w:div w:id="407532513">
      <w:bodyDiv w:val="1"/>
      <w:marLeft w:val="0"/>
      <w:marRight w:val="0"/>
      <w:marTop w:val="0"/>
      <w:marBottom w:val="0"/>
      <w:divBdr>
        <w:top w:val="none" w:sz="0" w:space="0" w:color="auto"/>
        <w:left w:val="none" w:sz="0" w:space="0" w:color="auto"/>
        <w:bottom w:val="none" w:sz="0" w:space="0" w:color="auto"/>
        <w:right w:val="none" w:sz="0" w:space="0" w:color="auto"/>
      </w:divBdr>
    </w:div>
    <w:div w:id="418523487">
      <w:bodyDiv w:val="1"/>
      <w:marLeft w:val="0"/>
      <w:marRight w:val="0"/>
      <w:marTop w:val="0"/>
      <w:marBottom w:val="0"/>
      <w:divBdr>
        <w:top w:val="none" w:sz="0" w:space="0" w:color="auto"/>
        <w:left w:val="none" w:sz="0" w:space="0" w:color="auto"/>
        <w:bottom w:val="none" w:sz="0" w:space="0" w:color="auto"/>
        <w:right w:val="none" w:sz="0" w:space="0" w:color="auto"/>
      </w:divBdr>
    </w:div>
    <w:div w:id="420374979">
      <w:bodyDiv w:val="1"/>
      <w:marLeft w:val="0"/>
      <w:marRight w:val="0"/>
      <w:marTop w:val="0"/>
      <w:marBottom w:val="0"/>
      <w:divBdr>
        <w:top w:val="none" w:sz="0" w:space="0" w:color="auto"/>
        <w:left w:val="none" w:sz="0" w:space="0" w:color="auto"/>
        <w:bottom w:val="none" w:sz="0" w:space="0" w:color="auto"/>
        <w:right w:val="none" w:sz="0" w:space="0" w:color="auto"/>
      </w:divBdr>
    </w:div>
    <w:div w:id="422803905">
      <w:bodyDiv w:val="1"/>
      <w:marLeft w:val="0"/>
      <w:marRight w:val="0"/>
      <w:marTop w:val="0"/>
      <w:marBottom w:val="0"/>
      <w:divBdr>
        <w:top w:val="none" w:sz="0" w:space="0" w:color="auto"/>
        <w:left w:val="none" w:sz="0" w:space="0" w:color="auto"/>
        <w:bottom w:val="none" w:sz="0" w:space="0" w:color="auto"/>
        <w:right w:val="none" w:sz="0" w:space="0" w:color="auto"/>
      </w:divBdr>
    </w:div>
    <w:div w:id="429934167">
      <w:bodyDiv w:val="1"/>
      <w:marLeft w:val="0"/>
      <w:marRight w:val="0"/>
      <w:marTop w:val="0"/>
      <w:marBottom w:val="0"/>
      <w:divBdr>
        <w:top w:val="none" w:sz="0" w:space="0" w:color="auto"/>
        <w:left w:val="none" w:sz="0" w:space="0" w:color="auto"/>
        <w:bottom w:val="none" w:sz="0" w:space="0" w:color="auto"/>
        <w:right w:val="none" w:sz="0" w:space="0" w:color="auto"/>
      </w:divBdr>
    </w:div>
    <w:div w:id="430668318">
      <w:bodyDiv w:val="1"/>
      <w:marLeft w:val="0"/>
      <w:marRight w:val="0"/>
      <w:marTop w:val="0"/>
      <w:marBottom w:val="0"/>
      <w:divBdr>
        <w:top w:val="none" w:sz="0" w:space="0" w:color="auto"/>
        <w:left w:val="none" w:sz="0" w:space="0" w:color="auto"/>
        <w:bottom w:val="none" w:sz="0" w:space="0" w:color="auto"/>
        <w:right w:val="none" w:sz="0" w:space="0" w:color="auto"/>
      </w:divBdr>
    </w:div>
    <w:div w:id="444080911">
      <w:bodyDiv w:val="1"/>
      <w:marLeft w:val="0"/>
      <w:marRight w:val="0"/>
      <w:marTop w:val="0"/>
      <w:marBottom w:val="0"/>
      <w:divBdr>
        <w:top w:val="none" w:sz="0" w:space="0" w:color="auto"/>
        <w:left w:val="none" w:sz="0" w:space="0" w:color="auto"/>
        <w:bottom w:val="none" w:sz="0" w:space="0" w:color="auto"/>
        <w:right w:val="none" w:sz="0" w:space="0" w:color="auto"/>
      </w:divBdr>
    </w:div>
    <w:div w:id="451243828">
      <w:bodyDiv w:val="1"/>
      <w:marLeft w:val="0"/>
      <w:marRight w:val="0"/>
      <w:marTop w:val="0"/>
      <w:marBottom w:val="0"/>
      <w:divBdr>
        <w:top w:val="none" w:sz="0" w:space="0" w:color="auto"/>
        <w:left w:val="none" w:sz="0" w:space="0" w:color="auto"/>
        <w:bottom w:val="none" w:sz="0" w:space="0" w:color="auto"/>
        <w:right w:val="none" w:sz="0" w:space="0" w:color="auto"/>
      </w:divBdr>
    </w:div>
    <w:div w:id="455029753">
      <w:bodyDiv w:val="1"/>
      <w:marLeft w:val="0"/>
      <w:marRight w:val="0"/>
      <w:marTop w:val="0"/>
      <w:marBottom w:val="0"/>
      <w:divBdr>
        <w:top w:val="none" w:sz="0" w:space="0" w:color="auto"/>
        <w:left w:val="none" w:sz="0" w:space="0" w:color="auto"/>
        <w:bottom w:val="none" w:sz="0" w:space="0" w:color="auto"/>
        <w:right w:val="none" w:sz="0" w:space="0" w:color="auto"/>
      </w:divBdr>
    </w:div>
    <w:div w:id="467818830">
      <w:bodyDiv w:val="1"/>
      <w:marLeft w:val="0"/>
      <w:marRight w:val="0"/>
      <w:marTop w:val="0"/>
      <w:marBottom w:val="0"/>
      <w:divBdr>
        <w:top w:val="none" w:sz="0" w:space="0" w:color="auto"/>
        <w:left w:val="none" w:sz="0" w:space="0" w:color="auto"/>
        <w:bottom w:val="none" w:sz="0" w:space="0" w:color="auto"/>
        <w:right w:val="none" w:sz="0" w:space="0" w:color="auto"/>
      </w:divBdr>
    </w:div>
    <w:div w:id="468982122">
      <w:bodyDiv w:val="1"/>
      <w:marLeft w:val="0"/>
      <w:marRight w:val="0"/>
      <w:marTop w:val="0"/>
      <w:marBottom w:val="0"/>
      <w:divBdr>
        <w:top w:val="none" w:sz="0" w:space="0" w:color="auto"/>
        <w:left w:val="none" w:sz="0" w:space="0" w:color="auto"/>
        <w:bottom w:val="none" w:sz="0" w:space="0" w:color="auto"/>
        <w:right w:val="none" w:sz="0" w:space="0" w:color="auto"/>
      </w:divBdr>
    </w:div>
    <w:div w:id="469904574">
      <w:bodyDiv w:val="1"/>
      <w:marLeft w:val="0"/>
      <w:marRight w:val="0"/>
      <w:marTop w:val="0"/>
      <w:marBottom w:val="0"/>
      <w:divBdr>
        <w:top w:val="none" w:sz="0" w:space="0" w:color="auto"/>
        <w:left w:val="none" w:sz="0" w:space="0" w:color="auto"/>
        <w:bottom w:val="none" w:sz="0" w:space="0" w:color="auto"/>
        <w:right w:val="none" w:sz="0" w:space="0" w:color="auto"/>
      </w:divBdr>
    </w:div>
    <w:div w:id="496186507">
      <w:bodyDiv w:val="1"/>
      <w:marLeft w:val="0"/>
      <w:marRight w:val="0"/>
      <w:marTop w:val="0"/>
      <w:marBottom w:val="0"/>
      <w:divBdr>
        <w:top w:val="none" w:sz="0" w:space="0" w:color="auto"/>
        <w:left w:val="none" w:sz="0" w:space="0" w:color="auto"/>
        <w:bottom w:val="none" w:sz="0" w:space="0" w:color="auto"/>
        <w:right w:val="none" w:sz="0" w:space="0" w:color="auto"/>
      </w:divBdr>
    </w:div>
    <w:div w:id="505173586">
      <w:bodyDiv w:val="1"/>
      <w:marLeft w:val="0"/>
      <w:marRight w:val="0"/>
      <w:marTop w:val="0"/>
      <w:marBottom w:val="0"/>
      <w:divBdr>
        <w:top w:val="none" w:sz="0" w:space="0" w:color="auto"/>
        <w:left w:val="none" w:sz="0" w:space="0" w:color="auto"/>
        <w:bottom w:val="none" w:sz="0" w:space="0" w:color="auto"/>
        <w:right w:val="none" w:sz="0" w:space="0" w:color="auto"/>
      </w:divBdr>
    </w:div>
    <w:div w:id="512843732">
      <w:bodyDiv w:val="1"/>
      <w:marLeft w:val="0"/>
      <w:marRight w:val="0"/>
      <w:marTop w:val="0"/>
      <w:marBottom w:val="0"/>
      <w:divBdr>
        <w:top w:val="none" w:sz="0" w:space="0" w:color="auto"/>
        <w:left w:val="none" w:sz="0" w:space="0" w:color="auto"/>
        <w:bottom w:val="none" w:sz="0" w:space="0" w:color="auto"/>
        <w:right w:val="none" w:sz="0" w:space="0" w:color="auto"/>
      </w:divBdr>
      <w:divsChild>
        <w:div w:id="998383916">
          <w:marLeft w:val="0"/>
          <w:marRight w:val="0"/>
          <w:marTop w:val="0"/>
          <w:marBottom w:val="0"/>
          <w:divBdr>
            <w:top w:val="none" w:sz="0" w:space="0" w:color="auto"/>
            <w:left w:val="none" w:sz="0" w:space="0" w:color="auto"/>
            <w:bottom w:val="none" w:sz="0" w:space="0" w:color="auto"/>
            <w:right w:val="none" w:sz="0" w:space="0" w:color="auto"/>
          </w:divBdr>
          <w:divsChild>
            <w:div w:id="163516956">
              <w:marLeft w:val="0"/>
              <w:marRight w:val="0"/>
              <w:marTop w:val="0"/>
              <w:marBottom w:val="0"/>
              <w:divBdr>
                <w:top w:val="none" w:sz="0" w:space="0" w:color="auto"/>
                <w:left w:val="none" w:sz="0" w:space="0" w:color="auto"/>
                <w:bottom w:val="none" w:sz="0" w:space="0" w:color="auto"/>
                <w:right w:val="none" w:sz="0" w:space="0" w:color="auto"/>
              </w:divBdr>
              <w:divsChild>
                <w:div w:id="2006011129">
                  <w:marLeft w:val="0"/>
                  <w:marRight w:val="0"/>
                  <w:marTop w:val="0"/>
                  <w:marBottom w:val="0"/>
                  <w:divBdr>
                    <w:top w:val="none" w:sz="0" w:space="0" w:color="auto"/>
                    <w:left w:val="none" w:sz="0" w:space="0" w:color="auto"/>
                    <w:bottom w:val="none" w:sz="0" w:space="0" w:color="auto"/>
                    <w:right w:val="none" w:sz="0" w:space="0" w:color="auto"/>
                  </w:divBdr>
                  <w:divsChild>
                    <w:div w:id="427192798">
                      <w:marLeft w:val="0"/>
                      <w:marRight w:val="0"/>
                      <w:marTop w:val="0"/>
                      <w:marBottom w:val="0"/>
                      <w:divBdr>
                        <w:top w:val="none" w:sz="0" w:space="0" w:color="auto"/>
                        <w:left w:val="none" w:sz="0" w:space="0" w:color="auto"/>
                        <w:bottom w:val="none" w:sz="0" w:space="0" w:color="auto"/>
                        <w:right w:val="none" w:sz="0" w:space="0" w:color="auto"/>
                      </w:divBdr>
                      <w:divsChild>
                        <w:div w:id="1098677561">
                          <w:marLeft w:val="0"/>
                          <w:marRight w:val="0"/>
                          <w:marTop w:val="0"/>
                          <w:marBottom w:val="0"/>
                          <w:divBdr>
                            <w:top w:val="none" w:sz="0" w:space="0" w:color="auto"/>
                            <w:left w:val="none" w:sz="0" w:space="0" w:color="auto"/>
                            <w:bottom w:val="none" w:sz="0" w:space="0" w:color="auto"/>
                            <w:right w:val="none" w:sz="0" w:space="0" w:color="auto"/>
                          </w:divBdr>
                          <w:divsChild>
                            <w:div w:id="1794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916864">
      <w:bodyDiv w:val="1"/>
      <w:marLeft w:val="0"/>
      <w:marRight w:val="0"/>
      <w:marTop w:val="0"/>
      <w:marBottom w:val="0"/>
      <w:divBdr>
        <w:top w:val="none" w:sz="0" w:space="0" w:color="auto"/>
        <w:left w:val="none" w:sz="0" w:space="0" w:color="auto"/>
        <w:bottom w:val="none" w:sz="0" w:space="0" w:color="auto"/>
        <w:right w:val="none" w:sz="0" w:space="0" w:color="auto"/>
      </w:divBdr>
    </w:div>
    <w:div w:id="517155866">
      <w:bodyDiv w:val="1"/>
      <w:marLeft w:val="0"/>
      <w:marRight w:val="0"/>
      <w:marTop w:val="0"/>
      <w:marBottom w:val="0"/>
      <w:divBdr>
        <w:top w:val="none" w:sz="0" w:space="0" w:color="auto"/>
        <w:left w:val="none" w:sz="0" w:space="0" w:color="auto"/>
        <w:bottom w:val="none" w:sz="0" w:space="0" w:color="auto"/>
        <w:right w:val="none" w:sz="0" w:space="0" w:color="auto"/>
      </w:divBdr>
    </w:div>
    <w:div w:id="526873744">
      <w:bodyDiv w:val="1"/>
      <w:marLeft w:val="0"/>
      <w:marRight w:val="0"/>
      <w:marTop w:val="0"/>
      <w:marBottom w:val="0"/>
      <w:divBdr>
        <w:top w:val="none" w:sz="0" w:space="0" w:color="auto"/>
        <w:left w:val="none" w:sz="0" w:space="0" w:color="auto"/>
        <w:bottom w:val="none" w:sz="0" w:space="0" w:color="auto"/>
        <w:right w:val="none" w:sz="0" w:space="0" w:color="auto"/>
      </w:divBdr>
    </w:div>
    <w:div w:id="528640333">
      <w:bodyDiv w:val="1"/>
      <w:marLeft w:val="0"/>
      <w:marRight w:val="0"/>
      <w:marTop w:val="0"/>
      <w:marBottom w:val="0"/>
      <w:divBdr>
        <w:top w:val="none" w:sz="0" w:space="0" w:color="auto"/>
        <w:left w:val="none" w:sz="0" w:space="0" w:color="auto"/>
        <w:bottom w:val="none" w:sz="0" w:space="0" w:color="auto"/>
        <w:right w:val="none" w:sz="0" w:space="0" w:color="auto"/>
      </w:divBdr>
    </w:div>
    <w:div w:id="551776036">
      <w:bodyDiv w:val="1"/>
      <w:marLeft w:val="0"/>
      <w:marRight w:val="0"/>
      <w:marTop w:val="0"/>
      <w:marBottom w:val="0"/>
      <w:divBdr>
        <w:top w:val="none" w:sz="0" w:space="0" w:color="auto"/>
        <w:left w:val="none" w:sz="0" w:space="0" w:color="auto"/>
        <w:bottom w:val="none" w:sz="0" w:space="0" w:color="auto"/>
        <w:right w:val="none" w:sz="0" w:space="0" w:color="auto"/>
      </w:divBdr>
    </w:div>
    <w:div w:id="558902152">
      <w:bodyDiv w:val="1"/>
      <w:marLeft w:val="0"/>
      <w:marRight w:val="0"/>
      <w:marTop w:val="0"/>
      <w:marBottom w:val="0"/>
      <w:divBdr>
        <w:top w:val="none" w:sz="0" w:space="0" w:color="auto"/>
        <w:left w:val="none" w:sz="0" w:space="0" w:color="auto"/>
        <w:bottom w:val="none" w:sz="0" w:space="0" w:color="auto"/>
        <w:right w:val="none" w:sz="0" w:space="0" w:color="auto"/>
      </w:divBdr>
    </w:div>
    <w:div w:id="569078070">
      <w:bodyDiv w:val="1"/>
      <w:marLeft w:val="0"/>
      <w:marRight w:val="0"/>
      <w:marTop w:val="0"/>
      <w:marBottom w:val="0"/>
      <w:divBdr>
        <w:top w:val="none" w:sz="0" w:space="0" w:color="auto"/>
        <w:left w:val="none" w:sz="0" w:space="0" w:color="auto"/>
        <w:bottom w:val="none" w:sz="0" w:space="0" w:color="auto"/>
        <w:right w:val="none" w:sz="0" w:space="0" w:color="auto"/>
      </w:divBdr>
    </w:div>
    <w:div w:id="570969253">
      <w:bodyDiv w:val="1"/>
      <w:marLeft w:val="0"/>
      <w:marRight w:val="0"/>
      <w:marTop w:val="0"/>
      <w:marBottom w:val="0"/>
      <w:divBdr>
        <w:top w:val="none" w:sz="0" w:space="0" w:color="auto"/>
        <w:left w:val="none" w:sz="0" w:space="0" w:color="auto"/>
        <w:bottom w:val="none" w:sz="0" w:space="0" w:color="auto"/>
        <w:right w:val="none" w:sz="0" w:space="0" w:color="auto"/>
      </w:divBdr>
    </w:div>
    <w:div w:id="571888136">
      <w:bodyDiv w:val="1"/>
      <w:marLeft w:val="0"/>
      <w:marRight w:val="0"/>
      <w:marTop w:val="0"/>
      <w:marBottom w:val="0"/>
      <w:divBdr>
        <w:top w:val="none" w:sz="0" w:space="0" w:color="auto"/>
        <w:left w:val="none" w:sz="0" w:space="0" w:color="auto"/>
        <w:bottom w:val="none" w:sz="0" w:space="0" w:color="auto"/>
        <w:right w:val="none" w:sz="0" w:space="0" w:color="auto"/>
      </w:divBdr>
      <w:divsChild>
        <w:div w:id="732123379">
          <w:marLeft w:val="0"/>
          <w:marRight w:val="0"/>
          <w:marTop w:val="0"/>
          <w:marBottom w:val="0"/>
          <w:divBdr>
            <w:top w:val="none" w:sz="0" w:space="0" w:color="auto"/>
            <w:left w:val="none" w:sz="0" w:space="0" w:color="auto"/>
            <w:bottom w:val="none" w:sz="0" w:space="0" w:color="auto"/>
            <w:right w:val="none" w:sz="0" w:space="0" w:color="auto"/>
          </w:divBdr>
          <w:divsChild>
            <w:div w:id="307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619">
      <w:bodyDiv w:val="1"/>
      <w:marLeft w:val="0"/>
      <w:marRight w:val="0"/>
      <w:marTop w:val="0"/>
      <w:marBottom w:val="0"/>
      <w:divBdr>
        <w:top w:val="none" w:sz="0" w:space="0" w:color="auto"/>
        <w:left w:val="none" w:sz="0" w:space="0" w:color="auto"/>
        <w:bottom w:val="none" w:sz="0" w:space="0" w:color="auto"/>
        <w:right w:val="none" w:sz="0" w:space="0" w:color="auto"/>
      </w:divBdr>
    </w:div>
    <w:div w:id="578714872">
      <w:bodyDiv w:val="1"/>
      <w:marLeft w:val="0"/>
      <w:marRight w:val="0"/>
      <w:marTop w:val="0"/>
      <w:marBottom w:val="0"/>
      <w:divBdr>
        <w:top w:val="none" w:sz="0" w:space="0" w:color="auto"/>
        <w:left w:val="none" w:sz="0" w:space="0" w:color="auto"/>
        <w:bottom w:val="none" w:sz="0" w:space="0" w:color="auto"/>
        <w:right w:val="none" w:sz="0" w:space="0" w:color="auto"/>
      </w:divBdr>
    </w:div>
    <w:div w:id="580214946">
      <w:bodyDiv w:val="1"/>
      <w:marLeft w:val="0"/>
      <w:marRight w:val="0"/>
      <w:marTop w:val="0"/>
      <w:marBottom w:val="0"/>
      <w:divBdr>
        <w:top w:val="none" w:sz="0" w:space="0" w:color="auto"/>
        <w:left w:val="none" w:sz="0" w:space="0" w:color="auto"/>
        <w:bottom w:val="none" w:sz="0" w:space="0" w:color="auto"/>
        <w:right w:val="none" w:sz="0" w:space="0" w:color="auto"/>
      </w:divBdr>
      <w:divsChild>
        <w:div w:id="598296064">
          <w:marLeft w:val="0"/>
          <w:marRight w:val="0"/>
          <w:marTop w:val="0"/>
          <w:marBottom w:val="0"/>
          <w:divBdr>
            <w:top w:val="none" w:sz="0" w:space="0" w:color="auto"/>
            <w:left w:val="none" w:sz="0" w:space="0" w:color="auto"/>
            <w:bottom w:val="none" w:sz="0" w:space="0" w:color="auto"/>
            <w:right w:val="none" w:sz="0" w:space="0" w:color="auto"/>
          </w:divBdr>
          <w:divsChild>
            <w:div w:id="1758556536">
              <w:marLeft w:val="0"/>
              <w:marRight w:val="0"/>
              <w:marTop w:val="0"/>
              <w:marBottom w:val="0"/>
              <w:divBdr>
                <w:top w:val="none" w:sz="0" w:space="0" w:color="auto"/>
                <w:left w:val="none" w:sz="0" w:space="0" w:color="auto"/>
                <w:bottom w:val="none" w:sz="0" w:space="0" w:color="auto"/>
                <w:right w:val="none" w:sz="0" w:space="0" w:color="auto"/>
              </w:divBdr>
              <w:divsChild>
                <w:div w:id="201214974">
                  <w:marLeft w:val="0"/>
                  <w:marRight w:val="0"/>
                  <w:marTop w:val="0"/>
                  <w:marBottom w:val="0"/>
                  <w:divBdr>
                    <w:top w:val="none" w:sz="0" w:space="0" w:color="auto"/>
                    <w:left w:val="none" w:sz="0" w:space="0" w:color="auto"/>
                    <w:bottom w:val="none" w:sz="0" w:space="0" w:color="auto"/>
                    <w:right w:val="none" w:sz="0" w:space="0" w:color="auto"/>
                  </w:divBdr>
                  <w:divsChild>
                    <w:div w:id="14190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113">
          <w:marLeft w:val="0"/>
          <w:marRight w:val="0"/>
          <w:marTop w:val="0"/>
          <w:marBottom w:val="0"/>
          <w:divBdr>
            <w:top w:val="none" w:sz="0" w:space="0" w:color="auto"/>
            <w:left w:val="none" w:sz="0" w:space="0" w:color="auto"/>
            <w:bottom w:val="none" w:sz="0" w:space="0" w:color="auto"/>
            <w:right w:val="none" w:sz="0" w:space="0" w:color="auto"/>
          </w:divBdr>
          <w:divsChild>
            <w:div w:id="1927498193">
              <w:marLeft w:val="0"/>
              <w:marRight w:val="0"/>
              <w:marTop w:val="0"/>
              <w:marBottom w:val="0"/>
              <w:divBdr>
                <w:top w:val="none" w:sz="0" w:space="0" w:color="auto"/>
                <w:left w:val="none" w:sz="0" w:space="0" w:color="auto"/>
                <w:bottom w:val="none" w:sz="0" w:space="0" w:color="auto"/>
                <w:right w:val="none" w:sz="0" w:space="0" w:color="auto"/>
              </w:divBdr>
              <w:divsChild>
                <w:div w:id="903611615">
                  <w:marLeft w:val="0"/>
                  <w:marRight w:val="0"/>
                  <w:marTop w:val="0"/>
                  <w:marBottom w:val="0"/>
                  <w:divBdr>
                    <w:top w:val="none" w:sz="0" w:space="0" w:color="auto"/>
                    <w:left w:val="none" w:sz="0" w:space="0" w:color="auto"/>
                    <w:bottom w:val="none" w:sz="0" w:space="0" w:color="auto"/>
                    <w:right w:val="none" w:sz="0" w:space="0" w:color="auto"/>
                  </w:divBdr>
                  <w:divsChild>
                    <w:div w:id="309755110">
                      <w:marLeft w:val="0"/>
                      <w:marRight w:val="0"/>
                      <w:marTop w:val="0"/>
                      <w:marBottom w:val="0"/>
                      <w:divBdr>
                        <w:top w:val="none" w:sz="0" w:space="0" w:color="auto"/>
                        <w:left w:val="none" w:sz="0" w:space="0" w:color="auto"/>
                        <w:bottom w:val="none" w:sz="0" w:space="0" w:color="auto"/>
                        <w:right w:val="none" w:sz="0" w:space="0" w:color="auto"/>
                      </w:divBdr>
                      <w:divsChild>
                        <w:div w:id="2089033240">
                          <w:marLeft w:val="0"/>
                          <w:marRight w:val="0"/>
                          <w:marTop w:val="0"/>
                          <w:marBottom w:val="0"/>
                          <w:divBdr>
                            <w:top w:val="none" w:sz="0" w:space="0" w:color="auto"/>
                            <w:left w:val="none" w:sz="0" w:space="0" w:color="auto"/>
                            <w:bottom w:val="none" w:sz="0" w:space="0" w:color="auto"/>
                            <w:right w:val="none" w:sz="0" w:space="0" w:color="auto"/>
                          </w:divBdr>
                          <w:divsChild>
                            <w:div w:id="68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685976">
      <w:bodyDiv w:val="1"/>
      <w:marLeft w:val="0"/>
      <w:marRight w:val="0"/>
      <w:marTop w:val="0"/>
      <w:marBottom w:val="0"/>
      <w:divBdr>
        <w:top w:val="none" w:sz="0" w:space="0" w:color="auto"/>
        <w:left w:val="none" w:sz="0" w:space="0" w:color="auto"/>
        <w:bottom w:val="none" w:sz="0" w:space="0" w:color="auto"/>
        <w:right w:val="none" w:sz="0" w:space="0" w:color="auto"/>
      </w:divBdr>
    </w:div>
    <w:div w:id="608972885">
      <w:bodyDiv w:val="1"/>
      <w:marLeft w:val="0"/>
      <w:marRight w:val="0"/>
      <w:marTop w:val="0"/>
      <w:marBottom w:val="0"/>
      <w:divBdr>
        <w:top w:val="none" w:sz="0" w:space="0" w:color="auto"/>
        <w:left w:val="none" w:sz="0" w:space="0" w:color="auto"/>
        <w:bottom w:val="none" w:sz="0" w:space="0" w:color="auto"/>
        <w:right w:val="none" w:sz="0" w:space="0" w:color="auto"/>
      </w:divBdr>
      <w:divsChild>
        <w:div w:id="23211986">
          <w:marLeft w:val="0"/>
          <w:marRight w:val="0"/>
          <w:marTop w:val="0"/>
          <w:marBottom w:val="0"/>
          <w:divBdr>
            <w:top w:val="none" w:sz="0" w:space="0" w:color="auto"/>
            <w:left w:val="none" w:sz="0" w:space="0" w:color="auto"/>
            <w:bottom w:val="none" w:sz="0" w:space="0" w:color="auto"/>
            <w:right w:val="none" w:sz="0" w:space="0" w:color="auto"/>
          </w:divBdr>
          <w:divsChild>
            <w:div w:id="2033991774">
              <w:marLeft w:val="0"/>
              <w:marRight w:val="0"/>
              <w:marTop w:val="0"/>
              <w:marBottom w:val="0"/>
              <w:divBdr>
                <w:top w:val="none" w:sz="0" w:space="0" w:color="auto"/>
                <w:left w:val="none" w:sz="0" w:space="0" w:color="auto"/>
                <w:bottom w:val="none" w:sz="0" w:space="0" w:color="auto"/>
                <w:right w:val="none" w:sz="0" w:space="0" w:color="auto"/>
              </w:divBdr>
              <w:divsChild>
                <w:div w:id="485169961">
                  <w:marLeft w:val="0"/>
                  <w:marRight w:val="0"/>
                  <w:marTop w:val="0"/>
                  <w:marBottom w:val="0"/>
                  <w:divBdr>
                    <w:top w:val="none" w:sz="0" w:space="0" w:color="auto"/>
                    <w:left w:val="none" w:sz="0" w:space="0" w:color="auto"/>
                    <w:bottom w:val="none" w:sz="0" w:space="0" w:color="auto"/>
                    <w:right w:val="none" w:sz="0" w:space="0" w:color="auto"/>
                  </w:divBdr>
                  <w:divsChild>
                    <w:div w:id="1949652181">
                      <w:marLeft w:val="0"/>
                      <w:marRight w:val="0"/>
                      <w:marTop w:val="0"/>
                      <w:marBottom w:val="0"/>
                      <w:divBdr>
                        <w:top w:val="none" w:sz="0" w:space="0" w:color="auto"/>
                        <w:left w:val="none" w:sz="0" w:space="0" w:color="auto"/>
                        <w:bottom w:val="none" w:sz="0" w:space="0" w:color="auto"/>
                        <w:right w:val="none" w:sz="0" w:space="0" w:color="auto"/>
                      </w:divBdr>
                      <w:divsChild>
                        <w:div w:id="842359991">
                          <w:marLeft w:val="0"/>
                          <w:marRight w:val="0"/>
                          <w:marTop w:val="0"/>
                          <w:marBottom w:val="0"/>
                          <w:divBdr>
                            <w:top w:val="none" w:sz="0" w:space="0" w:color="auto"/>
                            <w:left w:val="none" w:sz="0" w:space="0" w:color="auto"/>
                            <w:bottom w:val="none" w:sz="0" w:space="0" w:color="auto"/>
                            <w:right w:val="none" w:sz="0" w:space="0" w:color="auto"/>
                          </w:divBdr>
                          <w:divsChild>
                            <w:div w:id="20965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542428">
      <w:bodyDiv w:val="1"/>
      <w:marLeft w:val="0"/>
      <w:marRight w:val="0"/>
      <w:marTop w:val="0"/>
      <w:marBottom w:val="0"/>
      <w:divBdr>
        <w:top w:val="none" w:sz="0" w:space="0" w:color="auto"/>
        <w:left w:val="none" w:sz="0" w:space="0" w:color="auto"/>
        <w:bottom w:val="none" w:sz="0" w:space="0" w:color="auto"/>
        <w:right w:val="none" w:sz="0" w:space="0" w:color="auto"/>
      </w:divBdr>
    </w:div>
    <w:div w:id="632642264">
      <w:bodyDiv w:val="1"/>
      <w:marLeft w:val="0"/>
      <w:marRight w:val="0"/>
      <w:marTop w:val="0"/>
      <w:marBottom w:val="0"/>
      <w:divBdr>
        <w:top w:val="none" w:sz="0" w:space="0" w:color="auto"/>
        <w:left w:val="none" w:sz="0" w:space="0" w:color="auto"/>
        <w:bottom w:val="none" w:sz="0" w:space="0" w:color="auto"/>
        <w:right w:val="none" w:sz="0" w:space="0" w:color="auto"/>
      </w:divBdr>
    </w:div>
    <w:div w:id="654145063">
      <w:bodyDiv w:val="1"/>
      <w:marLeft w:val="0"/>
      <w:marRight w:val="0"/>
      <w:marTop w:val="0"/>
      <w:marBottom w:val="0"/>
      <w:divBdr>
        <w:top w:val="none" w:sz="0" w:space="0" w:color="auto"/>
        <w:left w:val="none" w:sz="0" w:space="0" w:color="auto"/>
        <w:bottom w:val="none" w:sz="0" w:space="0" w:color="auto"/>
        <w:right w:val="none" w:sz="0" w:space="0" w:color="auto"/>
      </w:divBdr>
    </w:div>
    <w:div w:id="662315128">
      <w:bodyDiv w:val="1"/>
      <w:marLeft w:val="0"/>
      <w:marRight w:val="0"/>
      <w:marTop w:val="0"/>
      <w:marBottom w:val="0"/>
      <w:divBdr>
        <w:top w:val="none" w:sz="0" w:space="0" w:color="auto"/>
        <w:left w:val="none" w:sz="0" w:space="0" w:color="auto"/>
        <w:bottom w:val="none" w:sz="0" w:space="0" w:color="auto"/>
        <w:right w:val="none" w:sz="0" w:space="0" w:color="auto"/>
      </w:divBdr>
    </w:div>
    <w:div w:id="667907931">
      <w:bodyDiv w:val="1"/>
      <w:marLeft w:val="0"/>
      <w:marRight w:val="0"/>
      <w:marTop w:val="0"/>
      <w:marBottom w:val="0"/>
      <w:divBdr>
        <w:top w:val="none" w:sz="0" w:space="0" w:color="auto"/>
        <w:left w:val="none" w:sz="0" w:space="0" w:color="auto"/>
        <w:bottom w:val="none" w:sz="0" w:space="0" w:color="auto"/>
        <w:right w:val="none" w:sz="0" w:space="0" w:color="auto"/>
      </w:divBdr>
    </w:div>
    <w:div w:id="677149075">
      <w:bodyDiv w:val="1"/>
      <w:marLeft w:val="0"/>
      <w:marRight w:val="0"/>
      <w:marTop w:val="0"/>
      <w:marBottom w:val="0"/>
      <w:divBdr>
        <w:top w:val="none" w:sz="0" w:space="0" w:color="auto"/>
        <w:left w:val="none" w:sz="0" w:space="0" w:color="auto"/>
        <w:bottom w:val="none" w:sz="0" w:space="0" w:color="auto"/>
        <w:right w:val="none" w:sz="0" w:space="0" w:color="auto"/>
      </w:divBdr>
    </w:div>
    <w:div w:id="678852429">
      <w:bodyDiv w:val="1"/>
      <w:marLeft w:val="0"/>
      <w:marRight w:val="0"/>
      <w:marTop w:val="0"/>
      <w:marBottom w:val="0"/>
      <w:divBdr>
        <w:top w:val="none" w:sz="0" w:space="0" w:color="auto"/>
        <w:left w:val="none" w:sz="0" w:space="0" w:color="auto"/>
        <w:bottom w:val="none" w:sz="0" w:space="0" w:color="auto"/>
        <w:right w:val="none" w:sz="0" w:space="0" w:color="auto"/>
      </w:divBdr>
    </w:div>
    <w:div w:id="686172310">
      <w:bodyDiv w:val="1"/>
      <w:marLeft w:val="0"/>
      <w:marRight w:val="0"/>
      <w:marTop w:val="0"/>
      <w:marBottom w:val="0"/>
      <w:divBdr>
        <w:top w:val="none" w:sz="0" w:space="0" w:color="auto"/>
        <w:left w:val="none" w:sz="0" w:space="0" w:color="auto"/>
        <w:bottom w:val="none" w:sz="0" w:space="0" w:color="auto"/>
        <w:right w:val="none" w:sz="0" w:space="0" w:color="auto"/>
      </w:divBdr>
    </w:div>
    <w:div w:id="686567486">
      <w:bodyDiv w:val="1"/>
      <w:marLeft w:val="0"/>
      <w:marRight w:val="0"/>
      <w:marTop w:val="0"/>
      <w:marBottom w:val="0"/>
      <w:divBdr>
        <w:top w:val="none" w:sz="0" w:space="0" w:color="auto"/>
        <w:left w:val="none" w:sz="0" w:space="0" w:color="auto"/>
        <w:bottom w:val="none" w:sz="0" w:space="0" w:color="auto"/>
        <w:right w:val="none" w:sz="0" w:space="0" w:color="auto"/>
      </w:divBdr>
    </w:div>
    <w:div w:id="691228223">
      <w:bodyDiv w:val="1"/>
      <w:marLeft w:val="0"/>
      <w:marRight w:val="0"/>
      <w:marTop w:val="0"/>
      <w:marBottom w:val="0"/>
      <w:divBdr>
        <w:top w:val="none" w:sz="0" w:space="0" w:color="auto"/>
        <w:left w:val="none" w:sz="0" w:space="0" w:color="auto"/>
        <w:bottom w:val="none" w:sz="0" w:space="0" w:color="auto"/>
        <w:right w:val="none" w:sz="0" w:space="0" w:color="auto"/>
      </w:divBdr>
    </w:div>
    <w:div w:id="698361072">
      <w:bodyDiv w:val="1"/>
      <w:marLeft w:val="0"/>
      <w:marRight w:val="0"/>
      <w:marTop w:val="0"/>
      <w:marBottom w:val="0"/>
      <w:divBdr>
        <w:top w:val="none" w:sz="0" w:space="0" w:color="auto"/>
        <w:left w:val="none" w:sz="0" w:space="0" w:color="auto"/>
        <w:bottom w:val="none" w:sz="0" w:space="0" w:color="auto"/>
        <w:right w:val="none" w:sz="0" w:space="0" w:color="auto"/>
      </w:divBdr>
    </w:div>
    <w:div w:id="700279067">
      <w:bodyDiv w:val="1"/>
      <w:marLeft w:val="0"/>
      <w:marRight w:val="0"/>
      <w:marTop w:val="0"/>
      <w:marBottom w:val="0"/>
      <w:divBdr>
        <w:top w:val="none" w:sz="0" w:space="0" w:color="auto"/>
        <w:left w:val="none" w:sz="0" w:space="0" w:color="auto"/>
        <w:bottom w:val="none" w:sz="0" w:space="0" w:color="auto"/>
        <w:right w:val="none" w:sz="0" w:space="0" w:color="auto"/>
      </w:divBdr>
    </w:div>
    <w:div w:id="700595472">
      <w:bodyDiv w:val="1"/>
      <w:marLeft w:val="0"/>
      <w:marRight w:val="0"/>
      <w:marTop w:val="0"/>
      <w:marBottom w:val="0"/>
      <w:divBdr>
        <w:top w:val="none" w:sz="0" w:space="0" w:color="auto"/>
        <w:left w:val="none" w:sz="0" w:space="0" w:color="auto"/>
        <w:bottom w:val="none" w:sz="0" w:space="0" w:color="auto"/>
        <w:right w:val="none" w:sz="0" w:space="0" w:color="auto"/>
      </w:divBdr>
    </w:div>
    <w:div w:id="704721609">
      <w:bodyDiv w:val="1"/>
      <w:marLeft w:val="0"/>
      <w:marRight w:val="0"/>
      <w:marTop w:val="0"/>
      <w:marBottom w:val="0"/>
      <w:divBdr>
        <w:top w:val="none" w:sz="0" w:space="0" w:color="auto"/>
        <w:left w:val="none" w:sz="0" w:space="0" w:color="auto"/>
        <w:bottom w:val="none" w:sz="0" w:space="0" w:color="auto"/>
        <w:right w:val="none" w:sz="0" w:space="0" w:color="auto"/>
      </w:divBdr>
    </w:div>
    <w:div w:id="729890339">
      <w:bodyDiv w:val="1"/>
      <w:marLeft w:val="0"/>
      <w:marRight w:val="0"/>
      <w:marTop w:val="0"/>
      <w:marBottom w:val="0"/>
      <w:divBdr>
        <w:top w:val="none" w:sz="0" w:space="0" w:color="auto"/>
        <w:left w:val="none" w:sz="0" w:space="0" w:color="auto"/>
        <w:bottom w:val="none" w:sz="0" w:space="0" w:color="auto"/>
        <w:right w:val="none" w:sz="0" w:space="0" w:color="auto"/>
      </w:divBdr>
    </w:div>
    <w:div w:id="752160901">
      <w:bodyDiv w:val="1"/>
      <w:marLeft w:val="0"/>
      <w:marRight w:val="0"/>
      <w:marTop w:val="0"/>
      <w:marBottom w:val="0"/>
      <w:divBdr>
        <w:top w:val="none" w:sz="0" w:space="0" w:color="auto"/>
        <w:left w:val="none" w:sz="0" w:space="0" w:color="auto"/>
        <w:bottom w:val="none" w:sz="0" w:space="0" w:color="auto"/>
        <w:right w:val="none" w:sz="0" w:space="0" w:color="auto"/>
      </w:divBdr>
    </w:div>
    <w:div w:id="759066007">
      <w:bodyDiv w:val="1"/>
      <w:marLeft w:val="0"/>
      <w:marRight w:val="0"/>
      <w:marTop w:val="0"/>
      <w:marBottom w:val="0"/>
      <w:divBdr>
        <w:top w:val="none" w:sz="0" w:space="0" w:color="auto"/>
        <w:left w:val="none" w:sz="0" w:space="0" w:color="auto"/>
        <w:bottom w:val="none" w:sz="0" w:space="0" w:color="auto"/>
        <w:right w:val="none" w:sz="0" w:space="0" w:color="auto"/>
      </w:divBdr>
    </w:div>
    <w:div w:id="774519808">
      <w:bodyDiv w:val="1"/>
      <w:marLeft w:val="0"/>
      <w:marRight w:val="0"/>
      <w:marTop w:val="0"/>
      <w:marBottom w:val="0"/>
      <w:divBdr>
        <w:top w:val="none" w:sz="0" w:space="0" w:color="auto"/>
        <w:left w:val="none" w:sz="0" w:space="0" w:color="auto"/>
        <w:bottom w:val="none" w:sz="0" w:space="0" w:color="auto"/>
        <w:right w:val="none" w:sz="0" w:space="0" w:color="auto"/>
      </w:divBdr>
    </w:div>
    <w:div w:id="792865899">
      <w:bodyDiv w:val="1"/>
      <w:marLeft w:val="0"/>
      <w:marRight w:val="0"/>
      <w:marTop w:val="0"/>
      <w:marBottom w:val="0"/>
      <w:divBdr>
        <w:top w:val="none" w:sz="0" w:space="0" w:color="auto"/>
        <w:left w:val="none" w:sz="0" w:space="0" w:color="auto"/>
        <w:bottom w:val="none" w:sz="0" w:space="0" w:color="auto"/>
        <w:right w:val="none" w:sz="0" w:space="0" w:color="auto"/>
      </w:divBdr>
    </w:div>
    <w:div w:id="804203334">
      <w:bodyDiv w:val="1"/>
      <w:marLeft w:val="0"/>
      <w:marRight w:val="0"/>
      <w:marTop w:val="0"/>
      <w:marBottom w:val="0"/>
      <w:divBdr>
        <w:top w:val="none" w:sz="0" w:space="0" w:color="auto"/>
        <w:left w:val="none" w:sz="0" w:space="0" w:color="auto"/>
        <w:bottom w:val="none" w:sz="0" w:space="0" w:color="auto"/>
        <w:right w:val="none" w:sz="0" w:space="0" w:color="auto"/>
      </w:divBdr>
    </w:div>
    <w:div w:id="841430278">
      <w:bodyDiv w:val="1"/>
      <w:marLeft w:val="0"/>
      <w:marRight w:val="0"/>
      <w:marTop w:val="0"/>
      <w:marBottom w:val="0"/>
      <w:divBdr>
        <w:top w:val="none" w:sz="0" w:space="0" w:color="auto"/>
        <w:left w:val="none" w:sz="0" w:space="0" w:color="auto"/>
        <w:bottom w:val="none" w:sz="0" w:space="0" w:color="auto"/>
        <w:right w:val="none" w:sz="0" w:space="0" w:color="auto"/>
      </w:divBdr>
    </w:div>
    <w:div w:id="845288936">
      <w:bodyDiv w:val="1"/>
      <w:marLeft w:val="0"/>
      <w:marRight w:val="0"/>
      <w:marTop w:val="0"/>
      <w:marBottom w:val="0"/>
      <w:divBdr>
        <w:top w:val="none" w:sz="0" w:space="0" w:color="auto"/>
        <w:left w:val="none" w:sz="0" w:space="0" w:color="auto"/>
        <w:bottom w:val="none" w:sz="0" w:space="0" w:color="auto"/>
        <w:right w:val="none" w:sz="0" w:space="0" w:color="auto"/>
      </w:divBdr>
    </w:div>
    <w:div w:id="855004591">
      <w:bodyDiv w:val="1"/>
      <w:marLeft w:val="0"/>
      <w:marRight w:val="0"/>
      <w:marTop w:val="0"/>
      <w:marBottom w:val="0"/>
      <w:divBdr>
        <w:top w:val="none" w:sz="0" w:space="0" w:color="auto"/>
        <w:left w:val="none" w:sz="0" w:space="0" w:color="auto"/>
        <w:bottom w:val="none" w:sz="0" w:space="0" w:color="auto"/>
        <w:right w:val="none" w:sz="0" w:space="0" w:color="auto"/>
      </w:divBdr>
    </w:div>
    <w:div w:id="858467600">
      <w:bodyDiv w:val="1"/>
      <w:marLeft w:val="0"/>
      <w:marRight w:val="0"/>
      <w:marTop w:val="0"/>
      <w:marBottom w:val="0"/>
      <w:divBdr>
        <w:top w:val="none" w:sz="0" w:space="0" w:color="auto"/>
        <w:left w:val="none" w:sz="0" w:space="0" w:color="auto"/>
        <w:bottom w:val="none" w:sz="0" w:space="0" w:color="auto"/>
        <w:right w:val="none" w:sz="0" w:space="0" w:color="auto"/>
      </w:divBdr>
    </w:div>
    <w:div w:id="863831242">
      <w:bodyDiv w:val="1"/>
      <w:marLeft w:val="0"/>
      <w:marRight w:val="0"/>
      <w:marTop w:val="0"/>
      <w:marBottom w:val="0"/>
      <w:divBdr>
        <w:top w:val="none" w:sz="0" w:space="0" w:color="auto"/>
        <w:left w:val="none" w:sz="0" w:space="0" w:color="auto"/>
        <w:bottom w:val="none" w:sz="0" w:space="0" w:color="auto"/>
        <w:right w:val="none" w:sz="0" w:space="0" w:color="auto"/>
      </w:divBdr>
    </w:div>
    <w:div w:id="864826681">
      <w:bodyDiv w:val="1"/>
      <w:marLeft w:val="0"/>
      <w:marRight w:val="0"/>
      <w:marTop w:val="0"/>
      <w:marBottom w:val="0"/>
      <w:divBdr>
        <w:top w:val="none" w:sz="0" w:space="0" w:color="auto"/>
        <w:left w:val="none" w:sz="0" w:space="0" w:color="auto"/>
        <w:bottom w:val="none" w:sz="0" w:space="0" w:color="auto"/>
        <w:right w:val="none" w:sz="0" w:space="0" w:color="auto"/>
      </w:divBdr>
    </w:div>
    <w:div w:id="873273901">
      <w:bodyDiv w:val="1"/>
      <w:marLeft w:val="0"/>
      <w:marRight w:val="0"/>
      <w:marTop w:val="0"/>
      <w:marBottom w:val="0"/>
      <w:divBdr>
        <w:top w:val="none" w:sz="0" w:space="0" w:color="auto"/>
        <w:left w:val="none" w:sz="0" w:space="0" w:color="auto"/>
        <w:bottom w:val="none" w:sz="0" w:space="0" w:color="auto"/>
        <w:right w:val="none" w:sz="0" w:space="0" w:color="auto"/>
      </w:divBdr>
      <w:divsChild>
        <w:div w:id="1237666179">
          <w:marLeft w:val="0"/>
          <w:marRight w:val="0"/>
          <w:marTop w:val="0"/>
          <w:marBottom w:val="0"/>
          <w:divBdr>
            <w:top w:val="none" w:sz="0" w:space="0" w:color="auto"/>
            <w:left w:val="none" w:sz="0" w:space="0" w:color="auto"/>
            <w:bottom w:val="none" w:sz="0" w:space="0" w:color="auto"/>
            <w:right w:val="none" w:sz="0" w:space="0" w:color="auto"/>
          </w:divBdr>
          <w:divsChild>
            <w:div w:id="1983609536">
              <w:marLeft w:val="0"/>
              <w:marRight w:val="0"/>
              <w:marTop w:val="0"/>
              <w:marBottom w:val="0"/>
              <w:divBdr>
                <w:top w:val="none" w:sz="0" w:space="0" w:color="auto"/>
                <w:left w:val="none" w:sz="0" w:space="0" w:color="auto"/>
                <w:bottom w:val="none" w:sz="0" w:space="0" w:color="auto"/>
                <w:right w:val="none" w:sz="0" w:space="0" w:color="auto"/>
              </w:divBdr>
              <w:divsChild>
                <w:div w:id="1971933279">
                  <w:marLeft w:val="0"/>
                  <w:marRight w:val="0"/>
                  <w:marTop w:val="0"/>
                  <w:marBottom w:val="0"/>
                  <w:divBdr>
                    <w:top w:val="none" w:sz="0" w:space="0" w:color="auto"/>
                    <w:left w:val="none" w:sz="0" w:space="0" w:color="auto"/>
                    <w:bottom w:val="none" w:sz="0" w:space="0" w:color="auto"/>
                    <w:right w:val="none" w:sz="0" w:space="0" w:color="auto"/>
                  </w:divBdr>
                  <w:divsChild>
                    <w:div w:id="1867865338">
                      <w:marLeft w:val="0"/>
                      <w:marRight w:val="0"/>
                      <w:marTop w:val="0"/>
                      <w:marBottom w:val="0"/>
                      <w:divBdr>
                        <w:top w:val="none" w:sz="0" w:space="0" w:color="auto"/>
                        <w:left w:val="none" w:sz="0" w:space="0" w:color="auto"/>
                        <w:bottom w:val="none" w:sz="0" w:space="0" w:color="auto"/>
                        <w:right w:val="none" w:sz="0" w:space="0" w:color="auto"/>
                      </w:divBdr>
                      <w:divsChild>
                        <w:div w:id="1819346577">
                          <w:marLeft w:val="0"/>
                          <w:marRight w:val="0"/>
                          <w:marTop w:val="0"/>
                          <w:marBottom w:val="0"/>
                          <w:divBdr>
                            <w:top w:val="none" w:sz="0" w:space="0" w:color="auto"/>
                            <w:left w:val="none" w:sz="0" w:space="0" w:color="auto"/>
                            <w:bottom w:val="none" w:sz="0" w:space="0" w:color="auto"/>
                            <w:right w:val="none" w:sz="0" w:space="0" w:color="auto"/>
                          </w:divBdr>
                          <w:divsChild>
                            <w:div w:id="13578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06526">
      <w:bodyDiv w:val="1"/>
      <w:marLeft w:val="0"/>
      <w:marRight w:val="0"/>
      <w:marTop w:val="0"/>
      <w:marBottom w:val="0"/>
      <w:divBdr>
        <w:top w:val="none" w:sz="0" w:space="0" w:color="auto"/>
        <w:left w:val="none" w:sz="0" w:space="0" w:color="auto"/>
        <w:bottom w:val="none" w:sz="0" w:space="0" w:color="auto"/>
        <w:right w:val="none" w:sz="0" w:space="0" w:color="auto"/>
      </w:divBdr>
    </w:div>
    <w:div w:id="901408599">
      <w:bodyDiv w:val="1"/>
      <w:marLeft w:val="0"/>
      <w:marRight w:val="0"/>
      <w:marTop w:val="0"/>
      <w:marBottom w:val="0"/>
      <w:divBdr>
        <w:top w:val="none" w:sz="0" w:space="0" w:color="auto"/>
        <w:left w:val="none" w:sz="0" w:space="0" w:color="auto"/>
        <w:bottom w:val="none" w:sz="0" w:space="0" w:color="auto"/>
        <w:right w:val="none" w:sz="0" w:space="0" w:color="auto"/>
      </w:divBdr>
    </w:div>
    <w:div w:id="918517059">
      <w:bodyDiv w:val="1"/>
      <w:marLeft w:val="0"/>
      <w:marRight w:val="0"/>
      <w:marTop w:val="0"/>
      <w:marBottom w:val="0"/>
      <w:divBdr>
        <w:top w:val="none" w:sz="0" w:space="0" w:color="auto"/>
        <w:left w:val="none" w:sz="0" w:space="0" w:color="auto"/>
        <w:bottom w:val="none" w:sz="0" w:space="0" w:color="auto"/>
        <w:right w:val="none" w:sz="0" w:space="0" w:color="auto"/>
      </w:divBdr>
    </w:div>
    <w:div w:id="941913164">
      <w:bodyDiv w:val="1"/>
      <w:marLeft w:val="0"/>
      <w:marRight w:val="0"/>
      <w:marTop w:val="0"/>
      <w:marBottom w:val="0"/>
      <w:divBdr>
        <w:top w:val="none" w:sz="0" w:space="0" w:color="auto"/>
        <w:left w:val="none" w:sz="0" w:space="0" w:color="auto"/>
        <w:bottom w:val="none" w:sz="0" w:space="0" w:color="auto"/>
        <w:right w:val="none" w:sz="0" w:space="0" w:color="auto"/>
      </w:divBdr>
    </w:div>
    <w:div w:id="959334570">
      <w:bodyDiv w:val="1"/>
      <w:marLeft w:val="0"/>
      <w:marRight w:val="0"/>
      <w:marTop w:val="0"/>
      <w:marBottom w:val="0"/>
      <w:divBdr>
        <w:top w:val="none" w:sz="0" w:space="0" w:color="auto"/>
        <w:left w:val="none" w:sz="0" w:space="0" w:color="auto"/>
        <w:bottom w:val="none" w:sz="0" w:space="0" w:color="auto"/>
        <w:right w:val="none" w:sz="0" w:space="0" w:color="auto"/>
      </w:divBdr>
    </w:div>
    <w:div w:id="981155248">
      <w:bodyDiv w:val="1"/>
      <w:marLeft w:val="0"/>
      <w:marRight w:val="0"/>
      <w:marTop w:val="0"/>
      <w:marBottom w:val="0"/>
      <w:divBdr>
        <w:top w:val="none" w:sz="0" w:space="0" w:color="auto"/>
        <w:left w:val="none" w:sz="0" w:space="0" w:color="auto"/>
        <w:bottom w:val="none" w:sz="0" w:space="0" w:color="auto"/>
        <w:right w:val="none" w:sz="0" w:space="0" w:color="auto"/>
      </w:divBdr>
    </w:div>
    <w:div w:id="981890515">
      <w:bodyDiv w:val="1"/>
      <w:marLeft w:val="0"/>
      <w:marRight w:val="0"/>
      <w:marTop w:val="0"/>
      <w:marBottom w:val="0"/>
      <w:divBdr>
        <w:top w:val="none" w:sz="0" w:space="0" w:color="auto"/>
        <w:left w:val="none" w:sz="0" w:space="0" w:color="auto"/>
        <w:bottom w:val="none" w:sz="0" w:space="0" w:color="auto"/>
        <w:right w:val="none" w:sz="0" w:space="0" w:color="auto"/>
      </w:divBdr>
    </w:div>
    <w:div w:id="1005594257">
      <w:bodyDiv w:val="1"/>
      <w:marLeft w:val="0"/>
      <w:marRight w:val="0"/>
      <w:marTop w:val="0"/>
      <w:marBottom w:val="0"/>
      <w:divBdr>
        <w:top w:val="none" w:sz="0" w:space="0" w:color="auto"/>
        <w:left w:val="none" w:sz="0" w:space="0" w:color="auto"/>
        <w:bottom w:val="none" w:sz="0" w:space="0" w:color="auto"/>
        <w:right w:val="none" w:sz="0" w:space="0" w:color="auto"/>
      </w:divBdr>
    </w:div>
    <w:div w:id="1006059342">
      <w:bodyDiv w:val="1"/>
      <w:marLeft w:val="0"/>
      <w:marRight w:val="0"/>
      <w:marTop w:val="0"/>
      <w:marBottom w:val="0"/>
      <w:divBdr>
        <w:top w:val="none" w:sz="0" w:space="0" w:color="auto"/>
        <w:left w:val="none" w:sz="0" w:space="0" w:color="auto"/>
        <w:bottom w:val="none" w:sz="0" w:space="0" w:color="auto"/>
        <w:right w:val="none" w:sz="0" w:space="0" w:color="auto"/>
      </w:divBdr>
    </w:div>
    <w:div w:id="1011105203">
      <w:bodyDiv w:val="1"/>
      <w:marLeft w:val="0"/>
      <w:marRight w:val="0"/>
      <w:marTop w:val="0"/>
      <w:marBottom w:val="0"/>
      <w:divBdr>
        <w:top w:val="none" w:sz="0" w:space="0" w:color="auto"/>
        <w:left w:val="none" w:sz="0" w:space="0" w:color="auto"/>
        <w:bottom w:val="none" w:sz="0" w:space="0" w:color="auto"/>
        <w:right w:val="none" w:sz="0" w:space="0" w:color="auto"/>
      </w:divBdr>
    </w:div>
    <w:div w:id="1031539028">
      <w:bodyDiv w:val="1"/>
      <w:marLeft w:val="0"/>
      <w:marRight w:val="0"/>
      <w:marTop w:val="0"/>
      <w:marBottom w:val="0"/>
      <w:divBdr>
        <w:top w:val="none" w:sz="0" w:space="0" w:color="auto"/>
        <w:left w:val="none" w:sz="0" w:space="0" w:color="auto"/>
        <w:bottom w:val="none" w:sz="0" w:space="0" w:color="auto"/>
        <w:right w:val="none" w:sz="0" w:space="0" w:color="auto"/>
      </w:divBdr>
    </w:div>
    <w:div w:id="1035227712">
      <w:bodyDiv w:val="1"/>
      <w:marLeft w:val="0"/>
      <w:marRight w:val="0"/>
      <w:marTop w:val="0"/>
      <w:marBottom w:val="0"/>
      <w:divBdr>
        <w:top w:val="none" w:sz="0" w:space="0" w:color="auto"/>
        <w:left w:val="none" w:sz="0" w:space="0" w:color="auto"/>
        <w:bottom w:val="none" w:sz="0" w:space="0" w:color="auto"/>
        <w:right w:val="none" w:sz="0" w:space="0" w:color="auto"/>
      </w:divBdr>
    </w:div>
    <w:div w:id="1035815050">
      <w:bodyDiv w:val="1"/>
      <w:marLeft w:val="0"/>
      <w:marRight w:val="0"/>
      <w:marTop w:val="0"/>
      <w:marBottom w:val="0"/>
      <w:divBdr>
        <w:top w:val="none" w:sz="0" w:space="0" w:color="auto"/>
        <w:left w:val="none" w:sz="0" w:space="0" w:color="auto"/>
        <w:bottom w:val="none" w:sz="0" w:space="0" w:color="auto"/>
        <w:right w:val="none" w:sz="0" w:space="0" w:color="auto"/>
      </w:divBdr>
    </w:div>
    <w:div w:id="1043138826">
      <w:bodyDiv w:val="1"/>
      <w:marLeft w:val="0"/>
      <w:marRight w:val="0"/>
      <w:marTop w:val="0"/>
      <w:marBottom w:val="0"/>
      <w:divBdr>
        <w:top w:val="none" w:sz="0" w:space="0" w:color="auto"/>
        <w:left w:val="none" w:sz="0" w:space="0" w:color="auto"/>
        <w:bottom w:val="none" w:sz="0" w:space="0" w:color="auto"/>
        <w:right w:val="none" w:sz="0" w:space="0" w:color="auto"/>
      </w:divBdr>
    </w:div>
    <w:div w:id="1051802980">
      <w:bodyDiv w:val="1"/>
      <w:marLeft w:val="0"/>
      <w:marRight w:val="0"/>
      <w:marTop w:val="0"/>
      <w:marBottom w:val="0"/>
      <w:divBdr>
        <w:top w:val="none" w:sz="0" w:space="0" w:color="auto"/>
        <w:left w:val="none" w:sz="0" w:space="0" w:color="auto"/>
        <w:bottom w:val="none" w:sz="0" w:space="0" w:color="auto"/>
        <w:right w:val="none" w:sz="0" w:space="0" w:color="auto"/>
      </w:divBdr>
    </w:div>
    <w:div w:id="1059521147">
      <w:bodyDiv w:val="1"/>
      <w:marLeft w:val="0"/>
      <w:marRight w:val="0"/>
      <w:marTop w:val="0"/>
      <w:marBottom w:val="0"/>
      <w:divBdr>
        <w:top w:val="none" w:sz="0" w:space="0" w:color="auto"/>
        <w:left w:val="none" w:sz="0" w:space="0" w:color="auto"/>
        <w:bottom w:val="none" w:sz="0" w:space="0" w:color="auto"/>
        <w:right w:val="none" w:sz="0" w:space="0" w:color="auto"/>
      </w:divBdr>
    </w:div>
    <w:div w:id="1068958747">
      <w:bodyDiv w:val="1"/>
      <w:marLeft w:val="0"/>
      <w:marRight w:val="0"/>
      <w:marTop w:val="0"/>
      <w:marBottom w:val="0"/>
      <w:divBdr>
        <w:top w:val="none" w:sz="0" w:space="0" w:color="auto"/>
        <w:left w:val="none" w:sz="0" w:space="0" w:color="auto"/>
        <w:bottom w:val="none" w:sz="0" w:space="0" w:color="auto"/>
        <w:right w:val="none" w:sz="0" w:space="0" w:color="auto"/>
      </w:divBdr>
      <w:divsChild>
        <w:div w:id="2146968490">
          <w:marLeft w:val="0"/>
          <w:marRight w:val="0"/>
          <w:marTop w:val="0"/>
          <w:marBottom w:val="0"/>
          <w:divBdr>
            <w:top w:val="none" w:sz="0" w:space="0" w:color="auto"/>
            <w:left w:val="none" w:sz="0" w:space="0" w:color="auto"/>
            <w:bottom w:val="none" w:sz="0" w:space="0" w:color="auto"/>
            <w:right w:val="none" w:sz="0" w:space="0" w:color="auto"/>
          </w:divBdr>
          <w:divsChild>
            <w:div w:id="521556157">
              <w:marLeft w:val="0"/>
              <w:marRight w:val="0"/>
              <w:marTop w:val="0"/>
              <w:marBottom w:val="0"/>
              <w:divBdr>
                <w:top w:val="none" w:sz="0" w:space="0" w:color="auto"/>
                <w:left w:val="none" w:sz="0" w:space="0" w:color="auto"/>
                <w:bottom w:val="none" w:sz="0" w:space="0" w:color="auto"/>
                <w:right w:val="none" w:sz="0" w:space="0" w:color="auto"/>
              </w:divBdr>
              <w:divsChild>
                <w:div w:id="583799763">
                  <w:marLeft w:val="0"/>
                  <w:marRight w:val="0"/>
                  <w:marTop w:val="0"/>
                  <w:marBottom w:val="0"/>
                  <w:divBdr>
                    <w:top w:val="none" w:sz="0" w:space="0" w:color="auto"/>
                    <w:left w:val="none" w:sz="0" w:space="0" w:color="auto"/>
                    <w:bottom w:val="none" w:sz="0" w:space="0" w:color="auto"/>
                    <w:right w:val="none" w:sz="0" w:space="0" w:color="auto"/>
                  </w:divBdr>
                  <w:divsChild>
                    <w:div w:id="404231911">
                      <w:marLeft w:val="0"/>
                      <w:marRight w:val="0"/>
                      <w:marTop w:val="0"/>
                      <w:marBottom w:val="0"/>
                      <w:divBdr>
                        <w:top w:val="none" w:sz="0" w:space="0" w:color="auto"/>
                        <w:left w:val="none" w:sz="0" w:space="0" w:color="auto"/>
                        <w:bottom w:val="none" w:sz="0" w:space="0" w:color="auto"/>
                        <w:right w:val="none" w:sz="0" w:space="0" w:color="auto"/>
                      </w:divBdr>
                      <w:divsChild>
                        <w:div w:id="416828929">
                          <w:marLeft w:val="0"/>
                          <w:marRight w:val="0"/>
                          <w:marTop w:val="0"/>
                          <w:marBottom w:val="0"/>
                          <w:divBdr>
                            <w:top w:val="none" w:sz="0" w:space="0" w:color="auto"/>
                            <w:left w:val="none" w:sz="0" w:space="0" w:color="auto"/>
                            <w:bottom w:val="none" w:sz="0" w:space="0" w:color="auto"/>
                            <w:right w:val="none" w:sz="0" w:space="0" w:color="auto"/>
                          </w:divBdr>
                          <w:divsChild>
                            <w:div w:id="1549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04410">
      <w:bodyDiv w:val="1"/>
      <w:marLeft w:val="0"/>
      <w:marRight w:val="0"/>
      <w:marTop w:val="0"/>
      <w:marBottom w:val="0"/>
      <w:divBdr>
        <w:top w:val="none" w:sz="0" w:space="0" w:color="auto"/>
        <w:left w:val="none" w:sz="0" w:space="0" w:color="auto"/>
        <w:bottom w:val="none" w:sz="0" w:space="0" w:color="auto"/>
        <w:right w:val="none" w:sz="0" w:space="0" w:color="auto"/>
      </w:divBdr>
    </w:div>
    <w:div w:id="1089470838">
      <w:bodyDiv w:val="1"/>
      <w:marLeft w:val="0"/>
      <w:marRight w:val="0"/>
      <w:marTop w:val="0"/>
      <w:marBottom w:val="0"/>
      <w:divBdr>
        <w:top w:val="none" w:sz="0" w:space="0" w:color="auto"/>
        <w:left w:val="none" w:sz="0" w:space="0" w:color="auto"/>
        <w:bottom w:val="none" w:sz="0" w:space="0" w:color="auto"/>
        <w:right w:val="none" w:sz="0" w:space="0" w:color="auto"/>
      </w:divBdr>
    </w:div>
    <w:div w:id="1090734310">
      <w:bodyDiv w:val="1"/>
      <w:marLeft w:val="0"/>
      <w:marRight w:val="0"/>
      <w:marTop w:val="0"/>
      <w:marBottom w:val="0"/>
      <w:divBdr>
        <w:top w:val="none" w:sz="0" w:space="0" w:color="auto"/>
        <w:left w:val="none" w:sz="0" w:space="0" w:color="auto"/>
        <w:bottom w:val="none" w:sz="0" w:space="0" w:color="auto"/>
        <w:right w:val="none" w:sz="0" w:space="0" w:color="auto"/>
      </w:divBdr>
    </w:div>
    <w:div w:id="1098479187">
      <w:bodyDiv w:val="1"/>
      <w:marLeft w:val="0"/>
      <w:marRight w:val="0"/>
      <w:marTop w:val="0"/>
      <w:marBottom w:val="0"/>
      <w:divBdr>
        <w:top w:val="none" w:sz="0" w:space="0" w:color="auto"/>
        <w:left w:val="none" w:sz="0" w:space="0" w:color="auto"/>
        <w:bottom w:val="none" w:sz="0" w:space="0" w:color="auto"/>
        <w:right w:val="none" w:sz="0" w:space="0" w:color="auto"/>
      </w:divBdr>
    </w:div>
    <w:div w:id="1114859944">
      <w:bodyDiv w:val="1"/>
      <w:marLeft w:val="0"/>
      <w:marRight w:val="0"/>
      <w:marTop w:val="0"/>
      <w:marBottom w:val="0"/>
      <w:divBdr>
        <w:top w:val="none" w:sz="0" w:space="0" w:color="auto"/>
        <w:left w:val="none" w:sz="0" w:space="0" w:color="auto"/>
        <w:bottom w:val="none" w:sz="0" w:space="0" w:color="auto"/>
        <w:right w:val="none" w:sz="0" w:space="0" w:color="auto"/>
      </w:divBdr>
    </w:div>
    <w:div w:id="1123305436">
      <w:bodyDiv w:val="1"/>
      <w:marLeft w:val="0"/>
      <w:marRight w:val="0"/>
      <w:marTop w:val="0"/>
      <w:marBottom w:val="0"/>
      <w:divBdr>
        <w:top w:val="none" w:sz="0" w:space="0" w:color="auto"/>
        <w:left w:val="none" w:sz="0" w:space="0" w:color="auto"/>
        <w:bottom w:val="none" w:sz="0" w:space="0" w:color="auto"/>
        <w:right w:val="none" w:sz="0" w:space="0" w:color="auto"/>
      </w:divBdr>
    </w:div>
    <w:div w:id="1131437764">
      <w:bodyDiv w:val="1"/>
      <w:marLeft w:val="0"/>
      <w:marRight w:val="0"/>
      <w:marTop w:val="0"/>
      <w:marBottom w:val="0"/>
      <w:divBdr>
        <w:top w:val="none" w:sz="0" w:space="0" w:color="auto"/>
        <w:left w:val="none" w:sz="0" w:space="0" w:color="auto"/>
        <w:bottom w:val="none" w:sz="0" w:space="0" w:color="auto"/>
        <w:right w:val="none" w:sz="0" w:space="0" w:color="auto"/>
      </w:divBdr>
    </w:div>
    <w:div w:id="1144742013">
      <w:bodyDiv w:val="1"/>
      <w:marLeft w:val="0"/>
      <w:marRight w:val="0"/>
      <w:marTop w:val="0"/>
      <w:marBottom w:val="0"/>
      <w:divBdr>
        <w:top w:val="none" w:sz="0" w:space="0" w:color="auto"/>
        <w:left w:val="none" w:sz="0" w:space="0" w:color="auto"/>
        <w:bottom w:val="none" w:sz="0" w:space="0" w:color="auto"/>
        <w:right w:val="none" w:sz="0" w:space="0" w:color="auto"/>
      </w:divBdr>
    </w:div>
    <w:div w:id="1145780580">
      <w:bodyDiv w:val="1"/>
      <w:marLeft w:val="0"/>
      <w:marRight w:val="0"/>
      <w:marTop w:val="0"/>
      <w:marBottom w:val="0"/>
      <w:divBdr>
        <w:top w:val="none" w:sz="0" w:space="0" w:color="auto"/>
        <w:left w:val="none" w:sz="0" w:space="0" w:color="auto"/>
        <w:bottom w:val="none" w:sz="0" w:space="0" w:color="auto"/>
        <w:right w:val="none" w:sz="0" w:space="0" w:color="auto"/>
      </w:divBdr>
    </w:div>
    <w:div w:id="1160392321">
      <w:bodyDiv w:val="1"/>
      <w:marLeft w:val="0"/>
      <w:marRight w:val="0"/>
      <w:marTop w:val="0"/>
      <w:marBottom w:val="0"/>
      <w:divBdr>
        <w:top w:val="none" w:sz="0" w:space="0" w:color="auto"/>
        <w:left w:val="none" w:sz="0" w:space="0" w:color="auto"/>
        <w:bottom w:val="none" w:sz="0" w:space="0" w:color="auto"/>
        <w:right w:val="none" w:sz="0" w:space="0" w:color="auto"/>
      </w:divBdr>
    </w:div>
    <w:div w:id="1184783259">
      <w:bodyDiv w:val="1"/>
      <w:marLeft w:val="0"/>
      <w:marRight w:val="0"/>
      <w:marTop w:val="0"/>
      <w:marBottom w:val="0"/>
      <w:divBdr>
        <w:top w:val="none" w:sz="0" w:space="0" w:color="auto"/>
        <w:left w:val="none" w:sz="0" w:space="0" w:color="auto"/>
        <w:bottom w:val="none" w:sz="0" w:space="0" w:color="auto"/>
        <w:right w:val="none" w:sz="0" w:space="0" w:color="auto"/>
      </w:divBdr>
    </w:div>
    <w:div w:id="1198272403">
      <w:bodyDiv w:val="1"/>
      <w:marLeft w:val="0"/>
      <w:marRight w:val="0"/>
      <w:marTop w:val="0"/>
      <w:marBottom w:val="0"/>
      <w:divBdr>
        <w:top w:val="none" w:sz="0" w:space="0" w:color="auto"/>
        <w:left w:val="none" w:sz="0" w:space="0" w:color="auto"/>
        <w:bottom w:val="none" w:sz="0" w:space="0" w:color="auto"/>
        <w:right w:val="none" w:sz="0" w:space="0" w:color="auto"/>
      </w:divBdr>
    </w:div>
    <w:div w:id="1198809273">
      <w:bodyDiv w:val="1"/>
      <w:marLeft w:val="0"/>
      <w:marRight w:val="0"/>
      <w:marTop w:val="0"/>
      <w:marBottom w:val="0"/>
      <w:divBdr>
        <w:top w:val="none" w:sz="0" w:space="0" w:color="auto"/>
        <w:left w:val="none" w:sz="0" w:space="0" w:color="auto"/>
        <w:bottom w:val="none" w:sz="0" w:space="0" w:color="auto"/>
        <w:right w:val="none" w:sz="0" w:space="0" w:color="auto"/>
      </w:divBdr>
    </w:div>
    <w:div w:id="1199392591">
      <w:bodyDiv w:val="1"/>
      <w:marLeft w:val="0"/>
      <w:marRight w:val="0"/>
      <w:marTop w:val="0"/>
      <w:marBottom w:val="0"/>
      <w:divBdr>
        <w:top w:val="none" w:sz="0" w:space="0" w:color="auto"/>
        <w:left w:val="none" w:sz="0" w:space="0" w:color="auto"/>
        <w:bottom w:val="none" w:sz="0" w:space="0" w:color="auto"/>
        <w:right w:val="none" w:sz="0" w:space="0" w:color="auto"/>
      </w:divBdr>
    </w:div>
    <w:div w:id="1207332032">
      <w:bodyDiv w:val="1"/>
      <w:marLeft w:val="0"/>
      <w:marRight w:val="0"/>
      <w:marTop w:val="0"/>
      <w:marBottom w:val="0"/>
      <w:divBdr>
        <w:top w:val="none" w:sz="0" w:space="0" w:color="auto"/>
        <w:left w:val="none" w:sz="0" w:space="0" w:color="auto"/>
        <w:bottom w:val="none" w:sz="0" w:space="0" w:color="auto"/>
        <w:right w:val="none" w:sz="0" w:space="0" w:color="auto"/>
      </w:divBdr>
    </w:div>
    <w:div w:id="1218399207">
      <w:bodyDiv w:val="1"/>
      <w:marLeft w:val="0"/>
      <w:marRight w:val="0"/>
      <w:marTop w:val="0"/>
      <w:marBottom w:val="0"/>
      <w:divBdr>
        <w:top w:val="none" w:sz="0" w:space="0" w:color="auto"/>
        <w:left w:val="none" w:sz="0" w:space="0" w:color="auto"/>
        <w:bottom w:val="none" w:sz="0" w:space="0" w:color="auto"/>
        <w:right w:val="none" w:sz="0" w:space="0" w:color="auto"/>
      </w:divBdr>
    </w:div>
    <w:div w:id="1219321711">
      <w:bodyDiv w:val="1"/>
      <w:marLeft w:val="0"/>
      <w:marRight w:val="0"/>
      <w:marTop w:val="0"/>
      <w:marBottom w:val="0"/>
      <w:divBdr>
        <w:top w:val="none" w:sz="0" w:space="0" w:color="auto"/>
        <w:left w:val="none" w:sz="0" w:space="0" w:color="auto"/>
        <w:bottom w:val="none" w:sz="0" w:space="0" w:color="auto"/>
        <w:right w:val="none" w:sz="0" w:space="0" w:color="auto"/>
      </w:divBdr>
    </w:div>
    <w:div w:id="1221138952">
      <w:bodyDiv w:val="1"/>
      <w:marLeft w:val="0"/>
      <w:marRight w:val="0"/>
      <w:marTop w:val="0"/>
      <w:marBottom w:val="0"/>
      <w:divBdr>
        <w:top w:val="none" w:sz="0" w:space="0" w:color="auto"/>
        <w:left w:val="none" w:sz="0" w:space="0" w:color="auto"/>
        <w:bottom w:val="none" w:sz="0" w:space="0" w:color="auto"/>
        <w:right w:val="none" w:sz="0" w:space="0" w:color="auto"/>
      </w:divBdr>
    </w:div>
    <w:div w:id="1231042769">
      <w:bodyDiv w:val="1"/>
      <w:marLeft w:val="0"/>
      <w:marRight w:val="0"/>
      <w:marTop w:val="0"/>
      <w:marBottom w:val="0"/>
      <w:divBdr>
        <w:top w:val="none" w:sz="0" w:space="0" w:color="auto"/>
        <w:left w:val="none" w:sz="0" w:space="0" w:color="auto"/>
        <w:bottom w:val="none" w:sz="0" w:space="0" w:color="auto"/>
        <w:right w:val="none" w:sz="0" w:space="0" w:color="auto"/>
      </w:divBdr>
    </w:div>
    <w:div w:id="1234008107">
      <w:bodyDiv w:val="1"/>
      <w:marLeft w:val="0"/>
      <w:marRight w:val="0"/>
      <w:marTop w:val="0"/>
      <w:marBottom w:val="0"/>
      <w:divBdr>
        <w:top w:val="none" w:sz="0" w:space="0" w:color="auto"/>
        <w:left w:val="none" w:sz="0" w:space="0" w:color="auto"/>
        <w:bottom w:val="none" w:sz="0" w:space="0" w:color="auto"/>
        <w:right w:val="none" w:sz="0" w:space="0" w:color="auto"/>
      </w:divBdr>
    </w:div>
    <w:div w:id="1238980408">
      <w:bodyDiv w:val="1"/>
      <w:marLeft w:val="0"/>
      <w:marRight w:val="0"/>
      <w:marTop w:val="0"/>
      <w:marBottom w:val="0"/>
      <w:divBdr>
        <w:top w:val="none" w:sz="0" w:space="0" w:color="auto"/>
        <w:left w:val="none" w:sz="0" w:space="0" w:color="auto"/>
        <w:bottom w:val="none" w:sz="0" w:space="0" w:color="auto"/>
        <w:right w:val="none" w:sz="0" w:space="0" w:color="auto"/>
      </w:divBdr>
    </w:div>
    <w:div w:id="1242375971">
      <w:bodyDiv w:val="1"/>
      <w:marLeft w:val="0"/>
      <w:marRight w:val="0"/>
      <w:marTop w:val="0"/>
      <w:marBottom w:val="0"/>
      <w:divBdr>
        <w:top w:val="none" w:sz="0" w:space="0" w:color="auto"/>
        <w:left w:val="none" w:sz="0" w:space="0" w:color="auto"/>
        <w:bottom w:val="none" w:sz="0" w:space="0" w:color="auto"/>
        <w:right w:val="none" w:sz="0" w:space="0" w:color="auto"/>
      </w:divBdr>
    </w:div>
    <w:div w:id="1243178569">
      <w:bodyDiv w:val="1"/>
      <w:marLeft w:val="0"/>
      <w:marRight w:val="0"/>
      <w:marTop w:val="0"/>
      <w:marBottom w:val="0"/>
      <w:divBdr>
        <w:top w:val="none" w:sz="0" w:space="0" w:color="auto"/>
        <w:left w:val="none" w:sz="0" w:space="0" w:color="auto"/>
        <w:bottom w:val="none" w:sz="0" w:space="0" w:color="auto"/>
        <w:right w:val="none" w:sz="0" w:space="0" w:color="auto"/>
      </w:divBdr>
    </w:div>
    <w:div w:id="1251624693">
      <w:bodyDiv w:val="1"/>
      <w:marLeft w:val="0"/>
      <w:marRight w:val="0"/>
      <w:marTop w:val="0"/>
      <w:marBottom w:val="0"/>
      <w:divBdr>
        <w:top w:val="none" w:sz="0" w:space="0" w:color="auto"/>
        <w:left w:val="none" w:sz="0" w:space="0" w:color="auto"/>
        <w:bottom w:val="none" w:sz="0" w:space="0" w:color="auto"/>
        <w:right w:val="none" w:sz="0" w:space="0" w:color="auto"/>
      </w:divBdr>
    </w:div>
    <w:div w:id="1273633595">
      <w:bodyDiv w:val="1"/>
      <w:marLeft w:val="0"/>
      <w:marRight w:val="0"/>
      <w:marTop w:val="0"/>
      <w:marBottom w:val="0"/>
      <w:divBdr>
        <w:top w:val="none" w:sz="0" w:space="0" w:color="auto"/>
        <w:left w:val="none" w:sz="0" w:space="0" w:color="auto"/>
        <w:bottom w:val="none" w:sz="0" w:space="0" w:color="auto"/>
        <w:right w:val="none" w:sz="0" w:space="0" w:color="auto"/>
      </w:divBdr>
    </w:div>
    <w:div w:id="1273975926">
      <w:bodyDiv w:val="1"/>
      <w:marLeft w:val="0"/>
      <w:marRight w:val="0"/>
      <w:marTop w:val="0"/>
      <w:marBottom w:val="0"/>
      <w:divBdr>
        <w:top w:val="none" w:sz="0" w:space="0" w:color="auto"/>
        <w:left w:val="none" w:sz="0" w:space="0" w:color="auto"/>
        <w:bottom w:val="none" w:sz="0" w:space="0" w:color="auto"/>
        <w:right w:val="none" w:sz="0" w:space="0" w:color="auto"/>
      </w:divBdr>
    </w:div>
    <w:div w:id="1291133151">
      <w:bodyDiv w:val="1"/>
      <w:marLeft w:val="0"/>
      <w:marRight w:val="0"/>
      <w:marTop w:val="0"/>
      <w:marBottom w:val="0"/>
      <w:divBdr>
        <w:top w:val="none" w:sz="0" w:space="0" w:color="auto"/>
        <w:left w:val="none" w:sz="0" w:space="0" w:color="auto"/>
        <w:bottom w:val="none" w:sz="0" w:space="0" w:color="auto"/>
        <w:right w:val="none" w:sz="0" w:space="0" w:color="auto"/>
      </w:divBdr>
    </w:div>
    <w:div w:id="1292396624">
      <w:bodyDiv w:val="1"/>
      <w:marLeft w:val="0"/>
      <w:marRight w:val="0"/>
      <w:marTop w:val="0"/>
      <w:marBottom w:val="0"/>
      <w:divBdr>
        <w:top w:val="none" w:sz="0" w:space="0" w:color="auto"/>
        <w:left w:val="none" w:sz="0" w:space="0" w:color="auto"/>
        <w:bottom w:val="none" w:sz="0" w:space="0" w:color="auto"/>
        <w:right w:val="none" w:sz="0" w:space="0" w:color="auto"/>
      </w:divBdr>
    </w:div>
    <w:div w:id="1297368664">
      <w:bodyDiv w:val="1"/>
      <w:marLeft w:val="0"/>
      <w:marRight w:val="0"/>
      <w:marTop w:val="0"/>
      <w:marBottom w:val="0"/>
      <w:divBdr>
        <w:top w:val="none" w:sz="0" w:space="0" w:color="auto"/>
        <w:left w:val="none" w:sz="0" w:space="0" w:color="auto"/>
        <w:bottom w:val="none" w:sz="0" w:space="0" w:color="auto"/>
        <w:right w:val="none" w:sz="0" w:space="0" w:color="auto"/>
      </w:divBdr>
    </w:div>
    <w:div w:id="1300649049">
      <w:bodyDiv w:val="1"/>
      <w:marLeft w:val="0"/>
      <w:marRight w:val="0"/>
      <w:marTop w:val="0"/>
      <w:marBottom w:val="0"/>
      <w:divBdr>
        <w:top w:val="none" w:sz="0" w:space="0" w:color="auto"/>
        <w:left w:val="none" w:sz="0" w:space="0" w:color="auto"/>
        <w:bottom w:val="none" w:sz="0" w:space="0" w:color="auto"/>
        <w:right w:val="none" w:sz="0" w:space="0" w:color="auto"/>
      </w:divBdr>
    </w:div>
    <w:div w:id="1346402555">
      <w:bodyDiv w:val="1"/>
      <w:marLeft w:val="0"/>
      <w:marRight w:val="0"/>
      <w:marTop w:val="0"/>
      <w:marBottom w:val="0"/>
      <w:divBdr>
        <w:top w:val="none" w:sz="0" w:space="0" w:color="auto"/>
        <w:left w:val="none" w:sz="0" w:space="0" w:color="auto"/>
        <w:bottom w:val="none" w:sz="0" w:space="0" w:color="auto"/>
        <w:right w:val="none" w:sz="0" w:space="0" w:color="auto"/>
      </w:divBdr>
    </w:div>
    <w:div w:id="1353873399">
      <w:bodyDiv w:val="1"/>
      <w:marLeft w:val="0"/>
      <w:marRight w:val="0"/>
      <w:marTop w:val="0"/>
      <w:marBottom w:val="0"/>
      <w:divBdr>
        <w:top w:val="none" w:sz="0" w:space="0" w:color="auto"/>
        <w:left w:val="none" w:sz="0" w:space="0" w:color="auto"/>
        <w:bottom w:val="none" w:sz="0" w:space="0" w:color="auto"/>
        <w:right w:val="none" w:sz="0" w:space="0" w:color="auto"/>
      </w:divBdr>
    </w:div>
    <w:div w:id="1375933141">
      <w:bodyDiv w:val="1"/>
      <w:marLeft w:val="0"/>
      <w:marRight w:val="0"/>
      <w:marTop w:val="0"/>
      <w:marBottom w:val="0"/>
      <w:divBdr>
        <w:top w:val="none" w:sz="0" w:space="0" w:color="auto"/>
        <w:left w:val="none" w:sz="0" w:space="0" w:color="auto"/>
        <w:bottom w:val="none" w:sz="0" w:space="0" w:color="auto"/>
        <w:right w:val="none" w:sz="0" w:space="0" w:color="auto"/>
      </w:divBdr>
    </w:div>
    <w:div w:id="1381368419">
      <w:bodyDiv w:val="1"/>
      <w:marLeft w:val="0"/>
      <w:marRight w:val="0"/>
      <w:marTop w:val="0"/>
      <w:marBottom w:val="0"/>
      <w:divBdr>
        <w:top w:val="none" w:sz="0" w:space="0" w:color="auto"/>
        <w:left w:val="none" w:sz="0" w:space="0" w:color="auto"/>
        <w:bottom w:val="none" w:sz="0" w:space="0" w:color="auto"/>
        <w:right w:val="none" w:sz="0" w:space="0" w:color="auto"/>
      </w:divBdr>
    </w:div>
    <w:div w:id="1390229903">
      <w:bodyDiv w:val="1"/>
      <w:marLeft w:val="0"/>
      <w:marRight w:val="0"/>
      <w:marTop w:val="0"/>
      <w:marBottom w:val="0"/>
      <w:divBdr>
        <w:top w:val="none" w:sz="0" w:space="0" w:color="auto"/>
        <w:left w:val="none" w:sz="0" w:space="0" w:color="auto"/>
        <w:bottom w:val="none" w:sz="0" w:space="0" w:color="auto"/>
        <w:right w:val="none" w:sz="0" w:space="0" w:color="auto"/>
      </w:divBdr>
    </w:div>
    <w:div w:id="1402481986">
      <w:bodyDiv w:val="1"/>
      <w:marLeft w:val="0"/>
      <w:marRight w:val="0"/>
      <w:marTop w:val="0"/>
      <w:marBottom w:val="0"/>
      <w:divBdr>
        <w:top w:val="none" w:sz="0" w:space="0" w:color="auto"/>
        <w:left w:val="none" w:sz="0" w:space="0" w:color="auto"/>
        <w:bottom w:val="none" w:sz="0" w:space="0" w:color="auto"/>
        <w:right w:val="none" w:sz="0" w:space="0" w:color="auto"/>
      </w:divBdr>
    </w:div>
    <w:div w:id="1439983814">
      <w:bodyDiv w:val="1"/>
      <w:marLeft w:val="0"/>
      <w:marRight w:val="0"/>
      <w:marTop w:val="0"/>
      <w:marBottom w:val="0"/>
      <w:divBdr>
        <w:top w:val="none" w:sz="0" w:space="0" w:color="auto"/>
        <w:left w:val="none" w:sz="0" w:space="0" w:color="auto"/>
        <w:bottom w:val="none" w:sz="0" w:space="0" w:color="auto"/>
        <w:right w:val="none" w:sz="0" w:space="0" w:color="auto"/>
      </w:divBdr>
    </w:div>
    <w:div w:id="1443069818">
      <w:bodyDiv w:val="1"/>
      <w:marLeft w:val="0"/>
      <w:marRight w:val="0"/>
      <w:marTop w:val="0"/>
      <w:marBottom w:val="0"/>
      <w:divBdr>
        <w:top w:val="none" w:sz="0" w:space="0" w:color="auto"/>
        <w:left w:val="none" w:sz="0" w:space="0" w:color="auto"/>
        <w:bottom w:val="none" w:sz="0" w:space="0" w:color="auto"/>
        <w:right w:val="none" w:sz="0" w:space="0" w:color="auto"/>
      </w:divBdr>
    </w:div>
    <w:div w:id="1454448125">
      <w:bodyDiv w:val="1"/>
      <w:marLeft w:val="0"/>
      <w:marRight w:val="0"/>
      <w:marTop w:val="0"/>
      <w:marBottom w:val="0"/>
      <w:divBdr>
        <w:top w:val="none" w:sz="0" w:space="0" w:color="auto"/>
        <w:left w:val="none" w:sz="0" w:space="0" w:color="auto"/>
        <w:bottom w:val="none" w:sz="0" w:space="0" w:color="auto"/>
        <w:right w:val="none" w:sz="0" w:space="0" w:color="auto"/>
      </w:divBdr>
    </w:div>
    <w:div w:id="1467505153">
      <w:bodyDiv w:val="1"/>
      <w:marLeft w:val="0"/>
      <w:marRight w:val="0"/>
      <w:marTop w:val="0"/>
      <w:marBottom w:val="0"/>
      <w:divBdr>
        <w:top w:val="none" w:sz="0" w:space="0" w:color="auto"/>
        <w:left w:val="none" w:sz="0" w:space="0" w:color="auto"/>
        <w:bottom w:val="none" w:sz="0" w:space="0" w:color="auto"/>
        <w:right w:val="none" w:sz="0" w:space="0" w:color="auto"/>
      </w:divBdr>
    </w:div>
    <w:div w:id="1475297920">
      <w:bodyDiv w:val="1"/>
      <w:marLeft w:val="0"/>
      <w:marRight w:val="0"/>
      <w:marTop w:val="0"/>
      <w:marBottom w:val="0"/>
      <w:divBdr>
        <w:top w:val="none" w:sz="0" w:space="0" w:color="auto"/>
        <w:left w:val="none" w:sz="0" w:space="0" w:color="auto"/>
        <w:bottom w:val="none" w:sz="0" w:space="0" w:color="auto"/>
        <w:right w:val="none" w:sz="0" w:space="0" w:color="auto"/>
      </w:divBdr>
    </w:div>
    <w:div w:id="1482966776">
      <w:bodyDiv w:val="1"/>
      <w:marLeft w:val="0"/>
      <w:marRight w:val="0"/>
      <w:marTop w:val="0"/>
      <w:marBottom w:val="0"/>
      <w:divBdr>
        <w:top w:val="none" w:sz="0" w:space="0" w:color="auto"/>
        <w:left w:val="none" w:sz="0" w:space="0" w:color="auto"/>
        <w:bottom w:val="none" w:sz="0" w:space="0" w:color="auto"/>
        <w:right w:val="none" w:sz="0" w:space="0" w:color="auto"/>
      </w:divBdr>
    </w:div>
    <w:div w:id="1492408167">
      <w:bodyDiv w:val="1"/>
      <w:marLeft w:val="0"/>
      <w:marRight w:val="0"/>
      <w:marTop w:val="0"/>
      <w:marBottom w:val="0"/>
      <w:divBdr>
        <w:top w:val="none" w:sz="0" w:space="0" w:color="auto"/>
        <w:left w:val="none" w:sz="0" w:space="0" w:color="auto"/>
        <w:bottom w:val="none" w:sz="0" w:space="0" w:color="auto"/>
        <w:right w:val="none" w:sz="0" w:space="0" w:color="auto"/>
      </w:divBdr>
    </w:div>
    <w:div w:id="1496145324">
      <w:bodyDiv w:val="1"/>
      <w:marLeft w:val="0"/>
      <w:marRight w:val="0"/>
      <w:marTop w:val="0"/>
      <w:marBottom w:val="0"/>
      <w:divBdr>
        <w:top w:val="none" w:sz="0" w:space="0" w:color="auto"/>
        <w:left w:val="none" w:sz="0" w:space="0" w:color="auto"/>
        <w:bottom w:val="none" w:sz="0" w:space="0" w:color="auto"/>
        <w:right w:val="none" w:sz="0" w:space="0" w:color="auto"/>
      </w:divBdr>
    </w:div>
    <w:div w:id="1514302076">
      <w:bodyDiv w:val="1"/>
      <w:marLeft w:val="0"/>
      <w:marRight w:val="0"/>
      <w:marTop w:val="0"/>
      <w:marBottom w:val="0"/>
      <w:divBdr>
        <w:top w:val="none" w:sz="0" w:space="0" w:color="auto"/>
        <w:left w:val="none" w:sz="0" w:space="0" w:color="auto"/>
        <w:bottom w:val="none" w:sz="0" w:space="0" w:color="auto"/>
        <w:right w:val="none" w:sz="0" w:space="0" w:color="auto"/>
      </w:divBdr>
    </w:div>
    <w:div w:id="1520729684">
      <w:bodyDiv w:val="1"/>
      <w:marLeft w:val="0"/>
      <w:marRight w:val="0"/>
      <w:marTop w:val="0"/>
      <w:marBottom w:val="0"/>
      <w:divBdr>
        <w:top w:val="none" w:sz="0" w:space="0" w:color="auto"/>
        <w:left w:val="none" w:sz="0" w:space="0" w:color="auto"/>
        <w:bottom w:val="none" w:sz="0" w:space="0" w:color="auto"/>
        <w:right w:val="none" w:sz="0" w:space="0" w:color="auto"/>
      </w:divBdr>
    </w:div>
    <w:div w:id="1529367488">
      <w:bodyDiv w:val="1"/>
      <w:marLeft w:val="0"/>
      <w:marRight w:val="0"/>
      <w:marTop w:val="0"/>
      <w:marBottom w:val="0"/>
      <w:divBdr>
        <w:top w:val="none" w:sz="0" w:space="0" w:color="auto"/>
        <w:left w:val="none" w:sz="0" w:space="0" w:color="auto"/>
        <w:bottom w:val="none" w:sz="0" w:space="0" w:color="auto"/>
        <w:right w:val="none" w:sz="0" w:space="0" w:color="auto"/>
      </w:divBdr>
    </w:div>
    <w:div w:id="1551305252">
      <w:bodyDiv w:val="1"/>
      <w:marLeft w:val="0"/>
      <w:marRight w:val="0"/>
      <w:marTop w:val="0"/>
      <w:marBottom w:val="0"/>
      <w:divBdr>
        <w:top w:val="none" w:sz="0" w:space="0" w:color="auto"/>
        <w:left w:val="none" w:sz="0" w:space="0" w:color="auto"/>
        <w:bottom w:val="none" w:sz="0" w:space="0" w:color="auto"/>
        <w:right w:val="none" w:sz="0" w:space="0" w:color="auto"/>
      </w:divBdr>
    </w:div>
    <w:div w:id="1556239015">
      <w:bodyDiv w:val="1"/>
      <w:marLeft w:val="0"/>
      <w:marRight w:val="0"/>
      <w:marTop w:val="0"/>
      <w:marBottom w:val="0"/>
      <w:divBdr>
        <w:top w:val="none" w:sz="0" w:space="0" w:color="auto"/>
        <w:left w:val="none" w:sz="0" w:space="0" w:color="auto"/>
        <w:bottom w:val="none" w:sz="0" w:space="0" w:color="auto"/>
        <w:right w:val="none" w:sz="0" w:space="0" w:color="auto"/>
      </w:divBdr>
    </w:div>
    <w:div w:id="1559701838">
      <w:bodyDiv w:val="1"/>
      <w:marLeft w:val="0"/>
      <w:marRight w:val="0"/>
      <w:marTop w:val="0"/>
      <w:marBottom w:val="0"/>
      <w:divBdr>
        <w:top w:val="none" w:sz="0" w:space="0" w:color="auto"/>
        <w:left w:val="none" w:sz="0" w:space="0" w:color="auto"/>
        <w:bottom w:val="none" w:sz="0" w:space="0" w:color="auto"/>
        <w:right w:val="none" w:sz="0" w:space="0" w:color="auto"/>
      </w:divBdr>
    </w:div>
    <w:div w:id="1560626539">
      <w:bodyDiv w:val="1"/>
      <w:marLeft w:val="0"/>
      <w:marRight w:val="0"/>
      <w:marTop w:val="0"/>
      <w:marBottom w:val="0"/>
      <w:divBdr>
        <w:top w:val="none" w:sz="0" w:space="0" w:color="auto"/>
        <w:left w:val="none" w:sz="0" w:space="0" w:color="auto"/>
        <w:bottom w:val="none" w:sz="0" w:space="0" w:color="auto"/>
        <w:right w:val="none" w:sz="0" w:space="0" w:color="auto"/>
      </w:divBdr>
    </w:div>
    <w:div w:id="1574046305">
      <w:bodyDiv w:val="1"/>
      <w:marLeft w:val="0"/>
      <w:marRight w:val="0"/>
      <w:marTop w:val="0"/>
      <w:marBottom w:val="0"/>
      <w:divBdr>
        <w:top w:val="none" w:sz="0" w:space="0" w:color="auto"/>
        <w:left w:val="none" w:sz="0" w:space="0" w:color="auto"/>
        <w:bottom w:val="none" w:sz="0" w:space="0" w:color="auto"/>
        <w:right w:val="none" w:sz="0" w:space="0" w:color="auto"/>
      </w:divBdr>
    </w:div>
    <w:div w:id="1590503423">
      <w:bodyDiv w:val="1"/>
      <w:marLeft w:val="0"/>
      <w:marRight w:val="0"/>
      <w:marTop w:val="0"/>
      <w:marBottom w:val="0"/>
      <w:divBdr>
        <w:top w:val="none" w:sz="0" w:space="0" w:color="auto"/>
        <w:left w:val="none" w:sz="0" w:space="0" w:color="auto"/>
        <w:bottom w:val="none" w:sz="0" w:space="0" w:color="auto"/>
        <w:right w:val="none" w:sz="0" w:space="0" w:color="auto"/>
      </w:divBdr>
    </w:div>
    <w:div w:id="1591431462">
      <w:bodyDiv w:val="1"/>
      <w:marLeft w:val="0"/>
      <w:marRight w:val="0"/>
      <w:marTop w:val="0"/>
      <w:marBottom w:val="0"/>
      <w:divBdr>
        <w:top w:val="none" w:sz="0" w:space="0" w:color="auto"/>
        <w:left w:val="none" w:sz="0" w:space="0" w:color="auto"/>
        <w:bottom w:val="none" w:sz="0" w:space="0" w:color="auto"/>
        <w:right w:val="none" w:sz="0" w:space="0" w:color="auto"/>
      </w:divBdr>
    </w:div>
    <w:div w:id="1599561701">
      <w:bodyDiv w:val="1"/>
      <w:marLeft w:val="0"/>
      <w:marRight w:val="0"/>
      <w:marTop w:val="0"/>
      <w:marBottom w:val="0"/>
      <w:divBdr>
        <w:top w:val="none" w:sz="0" w:space="0" w:color="auto"/>
        <w:left w:val="none" w:sz="0" w:space="0" w:color="auto"/>
        <w:bottom w:val="none" w:sz="0" w:space="0" w:color="auto"/>
        <w:right w:val="none" w:sz="0" w:space="0" w:color="auto"/>
      </w:divBdr>
    </w:div>
    <w:div w:id="1611164793">
      <w:bodyDiv w:val="1"/>
      <w:marLeft w:val="0"/>
      <w:marRight w:val="0"/>
      <w:marTop w:val="0"/>
      <w:marBottom w:val="0"/>
      <w:divBdr>
        <w:top w:val="none" w:sz="0" w:space="0" w:color="auto"/>
        <w:left w:val="none" w:sz="0" w:space="0" w:color="auto"/>
        <w:bottom w:val="none" w:sz="0" w:space="0" w:color="auto"/>
        <w:right w:val="none" w:sz="0" w:space="0" w:color="auto"/>
      </w:divBdr>
    </w:div>
    <w:div w:id="1629628574">
      <w:bodyDiv w:val="1"/>
      <w:marLeft w:val="0"/>
      <w:marRight w:val="0"/>
      <w:marTop w:val="0"/>
      <w:marBottom w:val="0"/>
      <w:divBdr>
        <w:top w:val="none" w:sz="0" w:space="0" w:color="auto"/>
        <w:left w:val="none" w:sz="0" w:space="0" w:color="auto"/>
        <w:bottom w:val="none" w:sz="0" w:space="0" w:color="auto"/>
        <w:right w:val="none" w:sz="0" w:space="0" w:color="auto"/>
      </w:divBdr>
    </w:div>
    <w:div w:id="1644191691">
      <w:bodyDiv w:val="1"/>
      <w:marLeft w:val="0"/>
      <w:marRight w:val="0"/>
      <w:marTop w:val="0"/>
      <w:marBottom w:val="0"/>
      <w:divBdr>
        <w:top w:val="none" w:sz="0" w:space="0" w:color="auto"/>
        <w:left w:val="none" w:sz="0" w:space="0" w:color="auto"/>
        <w:bottom w:val="none" w:sz="0" w:space="0" w:color="auto"/>
        <w:right w:val="none" w:sz="0" w:space="0" w:color="auto"/>
      </w:divBdr>
    </w:div>
    <w:div w:id="1645620832">
      <w:bodyDiv w:val="1"/>
      <w:marLeft w:val="0"/>
      <w:marRight w:val="0"/>
      <w:marTop w:val="0"/>
      <w:marBottom w:val="0"/>
      <w:divBdr>
        <w:top w:val="none" w:sz="0" w:space="0" w:color="auto"/>
        <w:left w:val="none" w:sz="0" w:space="0" w:color="auto"/>
        <w:bottom w:val="none" w:sz="0" w:space="0" w:color="auto"/>
        <w:right w:val="none" w:sz="0" w:space="0" w:color="auto"/>
      </w:divBdr>
    </w:div>
    <w:div w:id="1657294741">
      <w:bodyDiv w:val="1"/>
      <w:marLeft w:val="0"/>
      <w:marRight w:val="0"/>
      <w:marTop w:val="0"/>
      <w:marBottom w:val="0"/>
      <w:divBdr>
        <w:top w:val="none" w:sz="0" w:space="0" w:color="auto"/>
        <w:left w:val="none" w:sz="0" w:space="0" w:color="auto"/>
        <w:bottom w:val="none" w:sz="0" w:space="0" w:color="auto"/>
        <w:right w:val="none" w:sz="0" w:space="0" w:color="auto"/>
      </w:divBdr>
    </w:div>
    <w:div w:id="1667127626">
      <w:bodyDiv w:val="1"/>
      <w:marLeft w:val="0"/>
      <w:marRight w:val="0"/>
      <w:marTop w:val="0"/>
      <w:marBottom w:val="0"/>
      <w:divBdr>
        <w:top w:val="none" w:sz="0" w:space="0" w:color="auto"/>
        <w:left w:val="none" w:sz="0" w:space="0" w:color="auto"/>
        <w:bottom w:val="none" w:sz="0" w:space="0" w:color="auto"/>
        <w:right w:val="none" w:sz="0" w:space="0" w:color="auto"/>
      </w:divBdr>
    </w:div>
    <w:div w:id="1687056066">
      <w:bodyDiv w:val="1"/>
      <w:marLeft w:val="0"/>
      <w:marRight w:val="0"/>
      <w:marTop w:val="0"/>
      <w:marBottom w:val="0"/>
      <w:divBdr>
        <w:top w:val="none" w:sz="0" w:space="0" w:color="auto"/>
        <w:left w:val="none" w:sz="0" w:space="0" w:color="auto"/>
        <w:bottom w:val="none" w:sz="0" w:space="0" w:color="auto"/>
        <w:right w:val="none" w:sz="0" w:space="0" w:color="auto"/>
      </w:divBdr>
    </w:div>
    <w:div w:id="1696737015">
      <w:bodyDiv w:val="1"/>
      <w:marLeft w:val="0"/>
      <w:marRight w:val="0"/>
      <w:marTop w:val="0"/>
      <w:marBottom w:val="0"/>
      <w:divBdr>
        <w:top w:val="none" w:sz="0" w:space="0" w:color="auto"/>
        <w:left w:val="none" w:sz="0" w:space="0" w:color="auto"/>
        <w:bottom w:val="none" w:sz="0" w:space="0" w:color="auto"/>
        <w:right w:val="none" w:sz="0" w:space="0" w:color="auto"/>
      </w:divBdr>
    </w:div>
    <w:div w:id="1714619409">
      <w:bodyDiv w:val="1"/>
      <w:marLeft w:val="0"/>
      <w:marRight w:val="0"/>
      <w:marTop w:val="0"/>
      <w:marBottom w:val="0"/>
      <w:divBdr>
        <w:top w:val="none" w:sz="0" w:space="0" w:color="auto"/>
        <w:left w:val="none" w:sz="0" w:space="0" w:color="auto"/>
        <w:bottom w:val="none" w:sz="0" w:space="0" w:color="auto"/>
        <w:right w:val="none" w:sz="0" w:space="0" w:color="auto"/>
      </w:divBdr>
    </w:div>
    <w:div w:id="1721435615">
      <w:bodyDiv w:val="1"/>
      <w:marLeft w:val="0"/>
      <w:marRight w:val="0"/>
      <w:marTop w:val="0"/>
      <w:marBottom w:val="0"/>
      <w:divBdr>
        <w:top w:val="none" w:sz="0" w:space="0" w:color="auto"/>
        <w:left w:val="none" w:sz="0" w:space="0" w:color="auto"/>
        <w:bottom w:val="none" w:sz="0" w:space="0" w:color="auto"/>
        <w:right w:val="none" w:sz="0" w:space="0" w:color="auto"/>
      </w:divBdr>
    </w:div>
    <w:div w:id="1736775754">
      <w:bodyDiv w:val="1"/>
      <w:marLeft w:val="0"/>
      <w:marRight w:val="0"/>
      <w:marTop w:val="0"/>
      <w:marBottom w:val="0"/>
      <w:divBdr>
        <w:top w:val="none" w:sz="0" w:space="0" w:color="auto"/>
        <w:left w:val="none" w:sz="0" w:space="0" w:color="auto"/>
        <w:bottom w:val="none" w:sz="0" w:space="0" w:color="auto"/>
        <w:right w:val="none" w:sz="0" w:space="0" w:color="auto"/>
      </w:divBdr>
    </w:div>
    <w:div w:id="1746146000">
      <w:bodyDiv w:val="1"/>
      <w:marLeft w:val="0"/>
      <w:marRight w:val="0"/>
      <w:marTop w:val="0"/>
      <w:marBottom w:val="0"/>
      <w:divBdr>
        <w:top w:val="none" w:sz="0" w:space="0" w:color="auto"/>
        <w:left w:val="none" w:sz="0" w:space="0" w:color="auto"/>
        <w:bottom w:val="none" w:sz="0" w:space="0" w:color="auto"/>
        <w:right w:val="none" w:sz="0" w:space="0" w:color="auto"/>
      </w:divBdr>
    </w:div>
    <w:div w:id="1759132438">
      <w:bodyDiv w:val="1"/>
      <w:marLeft w:val="0"/>
      <w:marRight w:val="0"/>
      <w:marTop w:val="0"/>
      <w:marBottom w:val="0"/>
      <w:divBdr>
        <w:top w:val="none" w:sz="0" w:space="0" w:color="auto"/>
        <w:left w:val="none" w:sz="0" w:space="0" w:color="auto"/>
        <w:bottom w:val="none" w:sz="0" w:space="0" w:color="auto"/>
        <w:right w:val="none" w:sz="0" w:space="0" w:color="auto"/>
      </w:divBdr>
    </w:div>
    <w:div w:id="1763254015">
      <w:bodyDiv w:val="1"/>
      <w:marLeft w:val="0"/>
      <w:marRight w:val="0"/>
      <w:marTop w:val="0"/>
      <w:marBottom w:val="0"/>
      <w:divBdr>
        <w:top w:val="none" w:sz="0" w:space="0" w:color="auto"/>
        <w:left w:val="none" w:sz="0" w:space="0" w:color="auto"/>
        <w:bottom w:val="none" w:sz="0" w:space="0" w:color="auto"/>
        <w:right w:val="none" w:sz="0" w:space="0" w:color="auto"/>
      </w:divBdr>
    </w:div>
    <w:div w:id="1774131994">
      <w:bodyDiv w:val="1"/>
      <w:marLeft w:val="0"/>
      <w:marRight w:val="0"/>
      <w:marTop w:val="0"/>
      <w:marBottom w:val="0"/>
      <w:divBdr>
        <w:top w:val="none" w:sz="0" w:space="0" w:color="auto"/>
        <w:left w:val="none" w:sz="0" w:space="0" w:color="auto"/>
        <w:bottom w:val="none" w:sz="0" w:space="0" w:color="auto"/>
        <w:right w:val="none" w:sz="0" w:space="0" w:color="auto"/>
      </w:divBdr>
    </w:div>
    <w:div w:id="1775124515">
      <w:bodyDiv w:val="1"/>
      <w:marLeft w:val="0"/>
      <w:marRight w:val="0"/>
      <w:marTop w:val="0"/>
      <w:marBottom w:val="0"/>
      <w:divBdr>
        <w:top w:val="none" w:sz="0" w:space="0" w:color="auto"/>
        <w:left w:val="none" w:sz="0" w:space="0" w:color="auto"/>
        <w:bottom w:val="none" w:sz="0" w:space="0" w:color="auto"/>
        <w:right w:val="none" w:sz="0" w:space="0" w:color="auto"/>
      </w:divBdr>
    </w:div>
    <w:div w:id="1783643008">
      <w:bodyDiv w:val="1"/>
      <w:marLeft w:val="0"/>
      <w:marRight w:val="0"/>
      <w:marTop w:val="0"/>
      <w:marBottom w:val="0"/>
      <w:divBdr>
        <w:top w:val="none" w:sz="0" w:space="0" w:color="auto"/>
        <w:left w:val="none" w:sz="0" w:space="0" w:color="auto"/>
        <w:bottom w:val="none" w:sz="0" w:space="0" w:color="auto"/>
        <w:right w:val="none" w:sz="0" w:space="0" w:color="auto"/>
      </w:divBdr>
    </w:div>
    <w:div w:id="1792746300">
      <w:bodyDiv w:val="1"/>
      <w:marLeft w:val="0"/>
      <w:marRight w:val="0"/>
      <w:marTop w:val="0"/>
      <w:marBottom w:val="0"/>
      <w:divBdr>
        <w:top w:val="none" w:sz="0" w:space="0" w:color="auto"/>
        <w:left w:val="none" w:sz="0" w:space="0" w:color="auto"/>
        <w:bottom w:val="none" w:sz="0" w:space="0" w:color="auto"/>
        <w:right w:val="none" w:sz="0" w:space="0" w:color="auto"/>
      </w:divBdr>
    </w:div>
    <w:div w:id="1792935925">
      <w:bodyDiv w:val="1"/>
      <w:marLeft w:val="0"/>
      <w:marRight w:val="0"/>
      <w:marTop w:val="0"/>
      <w:marBottom w:val="0"/>
      <w:divBdr>
        <w:top w:val="none" w:sz="0" w:space="0" w:color="auto"/>
        <w:left w:val="none" w:sz="0" w:space="0" w:color="auto"/>
        <w:bottom w:val="none" w:sz="0" w:space="0" w:color="auto"/>
        <w:right w:val="none" w:sz="0" w:space="0" w:color="auto"/>
      </w:divBdr>
    </w:div>
    <w:div w:id="1798982873">
      <w:bodyDiv w:val="1"/>
      <w:marLeft w:val="0"/>
      <w:marRight w:val="0"/>
      <w:marTop w:val="0"/>
      <w:marBottom w:val="0"/>
      <w:divBdr>
        <w:top w:val="none" w:sz="0" w:space="0" w:color="auto"/>
        <w:left w:val="none" w:sz="0" w:space="0" w:color="auto"/>
        <w:bottom w:val="none" w:sz="0" w:space="0" w:color="auto"/>
        <w:right w:val="none" w:sz="0" w:space="0" w:color="auto"/>
      </w:divBdr>
    </w:div>
    <w:div w:id="1804884521">
      <w:bodyDiv w:val="1"/>
      <w:marLeft w:val="0"/>
      <w:marRight w:val="0"/>
      <w:marTop w:val="0"/>
      <w:marBottom w:val="0"/>
      <w:divBdr>
        <w:top w:val="none" w:sz="0" w:space="0" w:color="auto"/>
        <w:left w:val="none" w:sz="0" w:space="0" w:color="auto"/>
        <w:bottom w:val="none" w:sz="0" w:space="0" w:color="auto"/>
        <w:right w:val="none" w:sz="0" w:space="0" w:color="auto"/>
      </w:divBdr>
    </w:div>
    <w:div w:id="1816796773">
      <w:bodyDiv w:val="1"/>
      <w:marLeft w:val="0"/>
      <w:marRight w:val="0"/>
      <w:marTop w:val="0"/>
      <w:marBottom w:val="0"/>
      <w:divBdr>
        <w:top w:val="none" w:sz="0" w:space="0" w:color="auto"/>
        <w:left w:val="none" w:sz="0" w:space="0" w:color="auto"/>
        <w:bottom w:val="none" w:sz="0" w:space="0" w:color="auto"/>
        <w:right w:val="none" w:sz="0" w:space="0" w:color="auto"/>
      </w:divBdr>
    </w:div>
    <w:div w:id="1821731698">
      <w:bodyDiv w:val="1"/>
      <w:marLeft w:val="0"/>
      <w:marRight w:val="0"/>
      <w:marTop w:val="0"/>
      <w:marBottom w:val="0"/>
      <w:divBdr>
        <w:top w:val="none" w:sz="0" w:space="0" w:color="auto"/>
        <w:left w:val="none" w:sz="0" w:space="0" w:color="auto"/>
        <w:bottom w:val="none" w:sz="0" w:space="0" w:color="auto"/>
        <w:right w:val="none" w:sz="0" w:space="0" w:color="auto"/>
      </w:divBdr>
    </w:div>
    <w:div w:id="1822504123">
      <w:bodyDiv w:val="1"/>
      <w:marLeft w:val="0"/>
      <w:marRight w:val="0"/>
      <w:marTop w:val="0"/>
      <w:marBottom w:val="0"/>
      <w:divBdr>
        <w:top w:val="none" w:sz="0" w:space="0" w:color="auto"/>
        <w:left w:val="none" w:sz="0" w:space="0" w:color="auto"/>
        <w:bottom w:val="none" w:sz="0" w:space="0" w:color="auto"/>
        <w:right w:val="none" w:sz="0" w:space="0" w:color="auto"/>
      </w:divBdr>
    </w:div>
    <w:div w:id="1825776307">
      <w:bodyDiv w:val="1"/>
      <w:marLeft w:val="0"/>
      <w:marRight w:val="0"/>
      <w:marTop w:val="0"/>
      <w:marBottom w:val="0"/>
      <w:divBdr>
        <w:top w:val="none" w:sz="0" w:space="0" w:color="auto"/>
        <w:left w:val="none" w:sz="0" w:space="0" w:color="auto"/>
        <w:bottom w:val="none" w:sz="0" w:space="0" w:color="auto"/>
        <w:right w:val="none" w:sz="0" w:space="0" w:color="auto"/>
      </w:divBdr>
    </w:div>
    <w:div w:id="1827434382">
      <w:bodyDiv w:val="1"/>
      <w:marLeft w:val="0"/>
      <w:marRight w:val="0"/>
      <w:marTop w:val="0"/>
      <w:marBottom w:val="0"/>
      <w:divBdr>
        <w:top w:val="none" w:sz="0" w:space="0" w:color="auto"/>
        <w:left w:val="none" w:sz="0" w:space="0" w:color="auto"/>
        <w:bottom w:val="none" w:sz="0" w:space="0" w:color="auto"/>
        <w:right w:val="none" w:sz="0" w:space="0" w:color="auto"/>
      </w:divBdr>
    </w:div>
    <w:div w:id="1834637529">
      <w:bodyDiv w:val="1"/>
      <w:marLeft w:val="0"/>
      <w:marRight w:val="0"/>
      <w:marTop w:val="0"/>
      <w:marBottom w:val="0"/>
      <w:divBdr>
        <w:top w:val="none" w:sz="0" w:space="0" w:color="auto"/>
        <w:left w:val="none" w:sz="0" w:space="0" w:color="auto"/>
        <w:bottom w:val="none" w:sz="0" w:space="0" w:color="auto"/>
        <w:right w:val="none" w:sz="0" w:space="0" w:color="auto"/>
      </w:divBdr>
    </w:div>
    <w:div w:id="1835605985">
      <w:bodyDiv w:val="1"/>
      <w:marLeft w:val="0"/>
      <w:marRight w:val="0"/>
      <w:marTop w:val="0"/>
      <w:marBottom w:val="0"/>
      <w:divBdr>
        <w:top w:val="none" w:sz="0" w:space="0" w:color="auto"/>
        <w:left w:val="none" w:sz="0" w:space="0" w:color="auto"/>
        <w:bottom w:val="none" w:sz="0" w:space="0" w:color="auto"/>
        <w:right w:val="none" w:sz="0" w:space="0" w:color="auto"/>
      </w:divBdr>
    </w:div>
    <w:div w:id="1836412074">
      <w:bodyDiv w:val="1"/>
      <w:marLeft w:val="0"/>
      <w:marRight w:val="0"/>
      <w:marTop w:val="0"/>
      <w:marBottom w:val="0"/>
      <w:divBdr>
        <w:top w:val="none" w:sz="0" w:space="0" w:color="auto"/>
        <w:left w:val="none" w:sz="0" w:space="0" w:color="auto"/>
        <w:bottom w:val="none" w:sz="0" w:space="0" w:color="auto"/>
        <w:right w:val="none" w:sz="0" w:space="0" w:color="auto"/>
      </w:divBdr>
    </w:div>
    <w:div w:id="1837726057">
      <w:bodyDiv w:val="1"/>
      <w:marLeft w:val="0"/>
      <w:marRight w:val="0"/>
      <w:marTop w:val="0"/>
      <w:marBottom w:val="0"/>
      <w:divBdr>
        <w:top w:val="none" w:sz="0" w:space="0" w:color="auto"/>
        <w:left w:val="none" w:sz="0" w:space="0" w:color="auto"/>
        <w:bottom w:val="none" w:sz="0" w:space="0" w:color="auto"/>
        <w:right w:val="none" w:sz="0" w:space="0" w:color="auto"/>
      </w:divBdr>
    </w:div>
    <w:div w:id="1845627105">
      <w:bodyDiv w:val="1"/>
      <w:marLeft w:val="0"/>
      <w:marRight w:val="0"/>
      <w:marTop w:val="0"/>
      <w:marBottom w:val="0"/>
      <w:divBdr>
        <w:top w:val="none" w:sz="0" w:space="0" w:color="auto"/>
        <w:left w:val="none" w:sz="0" w:space="0" w:color="auto"/>
        <w:bottom w:val="none" w:sz="0" w:space="0" w:color="auto"/>
        <w:right w:val="none" w:sz="0" w:space="0" w:color="auto"/>
      </w:divBdr>
    </w:div>
    <w:div w:id="1859854228">
      <w:bodyDiv w:val="1"/>
      <w:marLeft w:val="0"/>
      <w:marRight w:val="0"/>
      <w:marTop w:val="0"/>
      <w:marBottom w:val="0"/>
      <w:divBdr>
        <w:top w:val="none" w:sz="0" w:space="0" w:color="auto"/>
        <w:left w:val="none" w:sz="0" w:space="0" w:color="auto"/>
        <w:bottom w:val="none" w:sz="0" w:space="0" w:color="auto"/>
        <w:right w:val="none" w:sz="0" w:space="0" w:color="auto"/>
      </w:divBdr>
    </w:div>
    <w:div w:id="1860703515">
      <w:bodyDiv w:val="1"/>
      <w:marLeft w:val="0"/>
      <w:marRight w:val="0"/>
      <w:marTop w:val="0"/>
      <w:marBottom w:val="0"/>
      <w:divBdr>
        <w:top w:val="none" w:sz="0" w:space="0" w:color="auto"/>
        <w:left w:val="none" w:sz="0" w:space="0" w:color="auto"/>
        <w:bottom w:val="none" w:sz="0" w:space="0" w:color="auto"/>
        <w:right w:val="none" w:sz="0" w:space="0" w:color="auto"/>
      </w:divBdr>
    </w:div>
    <w:div w:id="1863080911">
      <w:bodyDiv w:val="1"/>
      <w:marLeft w:val="0"/>
      <w:marRight w:val="0"/>
      <w:marTop w:val="0"/>
      <w:marBottom w:val="0"/>
      <w:divBdr>
        <w:top w:val="none" w:sz="0" w:space="0" w:color="auto"/>
        <w:left w:val="none" w:sz="0" w:space="0" w:color="auto"/>
        <w:bottom w:val="none" w:sz="0" w:space="0" w:color="auto"/>
        <w:right w:val="none" w:sz="0" w:space="0" w:color="auto"/>
      </w:divBdr>
    </w:div>
    <w:div w:id="1863935095">
      <w:bodyDiv w:val="1"/>
      <w:marLeft w:val="0"/>
      <w:marRight w:val="0"/>
      <w:marTop w:val="0"/>
      <w:marBottom w:val="0"/>
      <w:divBdr>
        <w:top w:val="none" w:sz="0" w:space="0" w:color="auto"/>
        <w:left w:val="none" w:sz="0" w:space="0" w:color="auto"/>
        <w:bottom w:val="none" w:sz="0" w:space="0" w:color="auto"/>
        <w:right w:val="none" w:sz="0" w:space="0" w:color="auto"/>
      </w:divBdr>
    </w:div>
    <w:div w:id="1867208124">
      <w:bodyDiv w:val="1"/>
      <w:marLeft w:val="0"/>
      <w:marRight w:val="0"/>
      <w:marTop w:val="0"/>
      <w:marBottom w:val="0"/>
      <w:divBdr>
        <w:top w:val="none" w:sz="0" w:space="0" w:color="auto"/>
        <w:left w:val="none" w:sz="0" w:space="0" w:color="auto"/>
        <w:bottom w:val="none" w:sz="0" w:space="0" w:color="auto"/>
        <w:right w:val="none" w:sz="0" w:space="0" w:color="auto"/>
      </w:divBdr>
    </w:div>
    <w:div w:id="1868324644">
      <w:bodyDiv w:val="1"/>
      <w:marLeft w:val="0"/>
      <w:marRight w:val="0"/>
      <w:marTop w:val="0"/>
      <w:marBottom w:val="0"/>
      <w:divBdr>
        <w:top w:val="none" w:sz="0" w:space="0" w:color="auto"/>
        <w:left w:val="none" w:sz="0" w:space="0" w:color="auto"/>
        <w:bottom w:val="none" w:sz="0" w:space="0" w:color="auto"/>
        <w:right w:val="none" w:sz="0" w:space="0" w:color="auto"/>
      </w:divBdr>
    </w:div>
    <w:div w:id="1868761759">
      <w:bodyDiv w:val="1"/>
      <w:marLeft w:val="0"/>
      <w:marRight w:val="0"/>
      <w:marTop w:val="0"/>
      <w:marBottom w:val="0"/>
      <w:divBdr>
        <w:top w:val="none" w:sz="0" w:space="0" w:color="auto"/>
        <w:left w:val="none" w:sz="0" w:space="0" w:color="auto"/>
        <w:bottom w:val="none" w:sz="0" w:space="0" w:color="auto"/>
        <w:right w:val="none" w:sz="0" w:space="0" w:color="auto"/>
      </w:divBdr>
    </w:div>
    <w:div w:id="1881867397">
      <w:bodyDiv w:val="1"/>
      <w:marLeft w:val="0"/>
      <w:marRight w:val="0"/>
      <w:marTop w:val="0"/>
      <w:marBottom w:val="0"/>
      <w:divBdr>
        <w:top w:val="none" w:sz="0" w:space="0" w:color="auto"/>
        <w:left w:val="none" w:sz="0" w:space="0" w:color="auto"/>
        <w:bottom w:val="none" w:sz="0" w:space="0" w:color="auto"/>
        <w:right w:val="none" w:sz="0" w:space="0" w:color="auto"/>
      </w:divBdr>
    </w:div>
    <w:div w:id="1895507677">
      <w:bodyDiv w:val="1"/>
      <w:marLeft w:val="0"/>
      <w:marRight w:val="0"/>
      <w:marTop w:val="0"/>
      <w:marBottom w:val="0"/>
      <w:divBdr>
        <w:top w:val="none" w:sz="0" w:space="0" w:color="auto"/>
        <w:left w:val="none" w:sz="0" w:space="0" w:color="auto"/>
        <w:bottom w:val="none" w:sz="0" w:space="0" w:color="auto"/>
        <w:right w:val="none" w:sz="0" w:space="0" w:color="auto"/>
      </w:divBdr>
    </w:div>
    <w:div w:id="1904100140">
      <w:bodyDiv w:val="1"/>
      <w:marLeft w:val="0"/>
      <w:marRight w:val="0"/>
      <w:marTop w:val="0"/>
      <w:marBottom w:val="0"/>
      <w:divBdr>
        <w:top w:val="none" w:sz="0" w:space="0" w:color="auto"/>
        <w:left w:val="none" w:sz="0" w:space="0" w:color="auto"/>
        <w:bottom w:val="none" w:sz="0" w:space="0" w:color="auto"/>
        <w:right w:val="none" w:sz="0" w:space="0" w:color="auto"/>
      </w:divBdr>
    </w:div>
    <w:div w:id="1905795846">
      <w:bodyDiv w:val="1"/>
      <w:marLeft w:val="0"/>
      <w:marRight w:val="0"/>
      <w:marTop w:val="0"/>
      <w:marBottom w:val="0"/>
      <w:divBdr>
        <w:top w:val="none" w:sz="0" w:space="0" w:color="auto"/>
        <w:left w:val="none" w:sz="0" w:space="0" w:color="auto"/>
        <w:bottom w:val="none" w:sz="0" w:space="0" w:color="auto"/>
        <w:right w:val="none" w:sz="0" w:space="0" w:color="auto"/>
      </w:divBdr>
    </w:div>
    <w:div w:id="1924606362">
      <w:bodyDiv w:val="1"/>
      <w:marLeft w:val="0"/>
      <w:marRight w:val="0"/>
      <w:marTop w:val="0"/>
      <w:marBottom w:val="0"/>
      <w:divBdr>
        <w:top w:val="none" w:sz="0" w:space="0" w:color="auto"/>
        <w:left w:val="none" w:sz="0" w:space="0" w:color="auto"/>
        <w:bottom w:val="none" w:sz="0" w:space="0" w:color="auto"/>
        <w:right w:val="none" w:sz="0" w:space="0" w:color="auto"/>
      </w:divBdr>
    </w:div>
    <w:div w:id="1947229278">
      <w:bodyDiv w:val="1"/>
      <w:marLeft w:val="0"/>
      <w:marRight w:val="0"/>
      <w:marTop w:val="0"/>
      <w:marBottom w:val="0"/>
      <w:divBdr>
        <w:top w:val="none" w:sz="0" w:space="0" w:color="auto"/>
        <w:left w:val="none" w:sz="0" w:space="0" w:color="auto"/>
        <w:bottom w:val="none" w:sz="0" w:space="0" w:color="auto"/>
        <w:right w:val="none" w:sz="0" w:space="0" w:color="auto"/>
      </w:divBdr>
    </w:div>
    <w:div w:id="1948852502">
      <w:bodyDiv w:val="1"/>
      <w:marLeft w:val="0"/>
      <w:marRight w:val="0"/>
      <w:marTop w:val="0"/>
      <w:marBottom w:val="0"/>
      <w:divBdr>
        <w:top w:val="none" w:sz="0" w:space="0" w:color="auto"/>
        <w:left w:val="none" w:sz="0" w:space="0" w:color="auto"/>
        <w:bottom w:val="none" w:sz="0" w:space="0" w:color="auto"/>
        <w:right w:val="none" w:sz="0" w:space="0" w:color="auto"/>
      </w:divBdr>
    </w:div>
    <w:div w:id="1963219653">
      <w:bodyDiv w:val="1"/>
      <w:marLeft w:val="0"/>
      <w:marRight w:val="0"/>
      <w:marTop w:val="0"/>
      <w:marBottom w:val="0"/>
      <w:divBdr>
        <w:top w:val="none" w:sz="0" w:space="0" w:color="auto"/>
        <w:left w:val="none" w:sz="0" w:space="0" w:color="auto"/>
        <w:bottom w:val="none" w:sz="0" w:space="0" w:color="auto"/>
        <w:right w:val="none" w:sz="0" w:space="0" w:color="auto"/>
      </w:divBdr>
    </w:div>
    <w:div w:id="1968195907">
      <w:bodyDiv w:val="1"/>
      <w:marLeft w:val="0"/>
      <w:marRight w:val="0"/>
      <w:marTop w:val="0"/>
      <w:marBottom w:val="0"/>
      <w:divBdr>
        <w:top w:val="none" w:sz="0" w:space="0" w:color="auto"/>
        <w:left w:val="none" w:sz="0" w:space="0" w:color="auto"/>
        <w:bottom w:val="none" w:sz="0" w:space="0" w:color="auto"/>
        <w:right w:val="none" w:sz="0" w:space="0" w:color="auto"/>
      </w:divBdr>
    </w:div>
    <w:div w:id="1971544292">
      <w:bodyDiv w:val="1"/>
      <w:marLeft w:val="0"/>
      <w:marRight w:val="0"/>
      <w:marTop w:val="0"/>
      <w:marBottom w:val="0"/>
      <w:divBdr>
        <w:top w:val="none" w:sz="0" w:space="0" w:color="auto"/>
        <w:left w:val="none" w:sz="0" w:space="0" w:color="auto"/>
        <w:bottom w:val="none" w:sz="0" w:space="0" w:color="auto"/>
        <w:right w:val="none" w:sz="0" w:space="0" w:color="auto"/>
      </w:divBdr>
    </w:div>
    <w:div w:id="1980184696">
      <w:bodyDiv w:val="1"/>
      <w:marLeft w:val="0"/>
      <w:marRight w:val="0"/>
      <w:marTop w:val="0"/>
      <w:marBottom w:val="0"/>
      <w:divBdr>
        <w:top w:val="none" w:sz="0" w:space="0" w:color="auto"/>
        <w:left w:val="none" w:sz="0" w:space="0" w:color="auto"/>
        <w:bottom w:val="none" w:sz="0" w:space="0" w:color="auto"/>
        <w:right w:val="none" w:sz="0" w:space="0" w:color="auto"/>
      </w:divBdr>
    </w:div>
    <w:div w:id="1982735261">
      <w:bodyDiv w:val="1"/>
      <w:marLeft w:val="0"/>
      <w:marRight w:val="0"/>
      <w:marTop w:val="0"/>
      <w:marBottom w:val="0"/>
      <w:divBdr>
        <w:top w:val="none" w:sz="0" w:space="0" w:color="auto"/>
        <w:left w:val="none" w:sz="0" w:space="0" w:color="auto"/>
        <w:bottom w:val="none" w:sz="0" w:space="0" w:color="auto"/>
        <w:right w:val="none" w:sz="0" w:space="0" w:color="auto"/>
      </w:divBdr>
    </w:div>
    <w:div w:id="1998339071">
      <w:bodyDiv w:val="1"/>
      <w:marLeft w:val="0"/>
      <w:marRight w:val="0"/>
      <w:marTop w:val="0"/>
      <w:marBottom w:val="0"/>
      <w:divBdr>
        <w:top w:val="none" w:sz="0" w:space="0" w:color="auto"/>
        <w:left w:val="none" w:sz="0" w:space="0" w:color="auto"/>
        <w:bottom w:val="none" w:sz="0" w:space="0" w:color="auto"/>
        <w:right w:val="none" w:sz="0" w:space="0" w:color="auto"/>
      </w:divBdr>
    </w:div>
    <w:div w:id="2006004941">
      <w:bodyDiv w:val="1"/>
      <w:marLeft w:val="0"/>
      <w:marRight w:val="0"/>
      <w:marTop w:val="0"/>
      <w:marBottom w:val="0"/>
      <w:divBdr>
        <w:top w:val="none" w:sz="0" w:space="0" w:color="auto"/>
        <w:left w:val="none" w:sz="0" w:space="0" w:color="auto"/>
        <w:bottom w:val="none" w:sz="0" w:space="0" w:color="auto"/>
        <w:right w:val="none" w:sz="0" w:space="0" w:color="auto"/>
      </w:divBdr>
    </w:div>
    <w:div w:id="2018656270">
      <w:bodyDiv w:val="1"/>
      <w:marLeft w:val="0"/>
      <w:marRight w:val="0"/>
      <w:marTop w:val="0"/>
      <w:marBottom w:val="0"/>
      <w:divBdr>
        <w:top w:val="none" w:sz="0" w:space="0" w:color="auto"/>
        <w:left w:val="none" w:sz="0" w:space="0" w:color="auto"/>
        <w:bottom w:val="none" w:sz="0" w:space="0" w:color="auto"/>
        <w:right w:val="none" w:sz="0" w:space="0" w:color="auto"/>
      </w:divBdr>
    </w:div>
    <w:div w:id="2022734040">
      <w:bodyDiv w:val="1"/>
      <w:marLeft w:val="0"/>
      <w:marRight w:val="0"/>
      <w:marTop w:val="0"/>
      <w:marBottom w:val="0"/>
      <w:divBdr>
        <w:top w:val="none" w:sz="0" w:space="0" w:color="auto"/>
        <w:left w:val="none" w:sz="0" w:space="0" w:color="auto"/>
        <w:bottom w:val="none" w:sz="0" w:space="0" w:color="auto"/>
        <w:right w:val="none" w:sz="0" w:space="0" w:color="auto"/>
      </w:divBdr>
    </w:div>
    <w:div w:id="2039624863">
      <w:bodyDiv w:val="1"/>
      <w:marLeft w:val="0"/>
      <w:marRight w:val="0"/>
      <w:marTop w:val="0"/>
      <w:marBottom w:val="0"/>
      <w:divBdr>
        <w:top w:val="none" w:sz="0" w:space="0" w:color="auto"/>
        <w:left w:val="none" w:sz="0" w:space="0" w:color="auto"/>
        <w:bottom w:val="none" w:sz="0" w:space="0" w:color="auto"/>
        <w:right w:val="none" w:sz="0" w:space="0" w:color="auto"/>
      </w:divBdr>
    </w:div>
    <w:div w:id="2043509404">
      <w:bodyDiv w:val="1"/>
      <w:marLeft w:val="0"/>
      <w:marRight w:val="0"/>
      <w:marTop w:val="0"/>
      <w:marBottom w:val="0"/>
      <w:divBdr>
        <w:top w:val="none" w:sz="0" w:space="0" w:color="auto"/>
        <w:left w:val="none" w:sz="0" w:space="0" w:color="auto"/>
        <w:bottom w:val="none" w:sz="0" w:space="0" w:color="auto"/>
        <w:right w:val="none" w:sz="0" w:space="0" w:color="auto"/>
      </w:divBdr>
    </w:div>
    <w:div w:id="2055306349">
      <w:bodyDiv w:val="1"/>
      <w:marLeft w:val="0"/>
      <w:marRight w:val="0"/>
      <w:marTop w:val="0"/>
      <w:marBottom w:val="0"/>
      <w:divBdr>
        <w:top w:val="none" w:sz="0" w:space="0" w:color="auto"/>
        <w:left w:val="none" w:sz="0" w:space="0" w:color="auto"/>
        <w:bottom w:val="none" w:sz="0" w:space="0" w:color="auto"/>
        <w:right w:val="none" w:sz="0" w:space="0" w:color="auto"/>
      </w:divBdr>
    </w:div>
    <w:div w:id="2065131394">
      <w:bodyDiv w:val="1"/>
      <w:marLeft w:val="0"/>
      <w:marRight w:val="0"/>
      <w:marTop w:val="0"/>
      <w:marBottom w:val="0"/>
      <w:divBdr>
        <w:top w:val="none" w:sz="0" w:space="0" w:color="auto"/>
        <w:left w:val="none" w:sz="0" w:space="0" w:color="auto"/>
        <w:bottom w:val="none" w:sz="0" w:space="0" w:color="auto"/>
        <w:right w:val="none" w:sz="0" w:space="0" w:color="auto"/>
      </w:divBdr>
    </w:div>
    <w:div w:id="2066947499">
      <w:bodyDiv w:val="1"/>
      <w:marLeft w:val="0"/>
      <w:marRight w:val="0"/>
      <w:marTop w:val="0"/>
      <w:marBottom w:val="0"/>
      <w:divBdr>
        <w:top w:val="none" w:sz="0" w:space="0" w:color="auto"/>
        <w:left w:val="none" w:sz="0" w:space="0" w:color="auto"/>
        <w:bottom w:val="none" w:sz="0" w:space="0" w:color="auto"/>
        <w:right w:val="none" w:sz="0" w:space="0" w:color="auto"/>
      </w:divBdr>
    </w:div>
    <w:div w:id="2070806531">
      <w:bodyDiv w:val="1"/>
      <w:marLeft w:val="0"/>
      <w:marRight w:val="0"/>
      <w:marTop w:val="0"/>
      <w:marBottom w:val="0"/>
      <w:divBdr>
        <w:top w:val="none" w:sz="0" w:space="0" w:color="auto"/>
        <w:left w:val="none" w:sz="0" w:space="0" w:color="auto"/>
        <w:bottom w:val="none" w:sz="0" w:space="0" w:color="auto"/>
        <w:right w:val="none" w:sz="0" w:space="0" w:color="auto"/>
      </w:divBdr>
    </w:div>
    <w:div w:id="2081756765">
      <w:bodyDiv w:val="1"/>
      <w:marLeft w:val="0"/>
      <w:marRight w:val="0"/>
      <w:marTop w:val="0"/>
      <w:marBottom w:val="0"/>
      <w:divBdr>
        <w:top w:val="none" w:sz="0" w:space="0" w:color="auto"/>
        <w:left w:val="none" w:sz="0" w:space="0" w:color="auto"/>
        <w:bottom w:val="none" w:sz="0" w:space="0" w:color="auto"/>
        <w:right w:val="none" w:sz="0" w:space="0" w:color="auto"/>
      </w:divBdr>
    </w:div>
    <w:div w:id="2101247415">
      <w:bodyDiv w:val="1"/>
      <w:marLeft w:val="0"/>
      <w:marRight w:val="0"/>
      <w:marTop w:val="0"/>
      <w:marBottom w:val="0"/>
      <w:divBdr>
        <w:top w:val="none" w:sz="0" w:space="0" w:color="auto"/>
        <w:left w:val="none" w:sz="0" w:space="0" w:color="auto"/>
        <w:bottom w:val="none" w:sz="0" w:space="0" w:color="auto"/>
        <w:right w:val="none" w:sz="0" w:space="0" w:color="auto"/>
      </w:divBdr>
    </w:div>
    <w:div w:id="2101443543">
      <w:bodyDiv w:val="1"/>
      <w:marLeft w:val="0"/>
      <w:marRight w:val="0"/>
      <w:marTop w:val="0"/>
      <w:marBottom w:val="0"/>
      <w:divBdr>
        <w:top w:val="none" w:sz="0" w:space="0" w:color="auto"/>
        <w:left w:val="none" w:sz="0" w:space="0" w:color="auto"/>
        <w:bottom w:val="none" w:sz="0" w:space="0" w:color="auto"/>
        <w:right w:val="none" w:sz="0" w:space="0" w:color="auto"/>
      </w:divBdr>
    </w:div>
    <w:div w:id="2102985423">
      <w:bodyDiv w:val="1"/>
      <w:marLeft w:val="0"/>
      <w:marRight w:val="0"/>
      <w:marTop w:val="0"/>
      <w:marBottom w:val="0"/>
      <w:divBdr>
        <w:top w:val="none" w:sz="0" w:space="0" w:color="auto"/>
        <w:left w:val="none" w:sz="0" w:space="0" w:color="auto"/>
        <w:bottom w:val="none" w:sz="0" w:space="0" w:color="auto"/>
        <w:right w:val="none" w:sz="0" w:space="0" w:color="auto"/>
      </w:divBdr>
    </w:div>
    <w:div w:id="2105152575">
      <w:bodyDiv w:val="1"/>
      <w:marLeft w:val="0"/>
      <w:marRight w:val="0"/>
      <w:marTop w:val="0"/>
      <w:marBottom w:val="0"/>
      <w:divBdr>
        <w:top w:val="none" w:sz="0" w:space="0" w:color="auto"/>
        <w:left w:val="none" w:sz="0" w:space="0" w:color="auto"/>
        <w:bottom w:val="none" w:sz="0" w:space="0" w:color="auto"/>
        <w:right w:val="none" w:sz="0" w:space="0" w:color="auto"/>
      </w:divBdr>
    </w:div>
    <w:div w:id="2111118836">
      <w:bodyDiv w:val="1"/>
      <w:marLeft w:val="0"/>
      <w:marRight w:val="0"/>
      <w:marTop w:val="0"/>
      <w:marBottom w:val="0"/>
      <w:divBdr>
        <w:top w:val="none" w:sz="0" w:space="0" w:color="auto"/>
        <w:left w:val="none" w:sz="0" w:space="0" w:color="auto"/>
        <w:bottom w:val="none" w:sz="0" w:space="0" w:color="auto"/>
        <w:right w:val="none" w:sz="0" w:space="0" w:color="auto"/>
      </w:divBdr>
    </w:div>
    <w:div w:id="212607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ELL</b:Tag>
    <b:SourceType>ArticleInAPeriodical</b:SourceType>
    <b:Guid>{BC706AB7-6C11-4C3D-9310-8560F8B2F5C8}</b:Guid>
    <b:Title>Efficient Tests for an Autoregressive Unit Root</b:Title>
    <b:Volume>v. 64, n. 4, p. 813–836</b:Volume>
    <b:PeriodicalTitle>Econometrica</b:PeriodicalTitle>
    <b:Author>
      <b:Author>
        <b:NameList>
          <b:Person>
            <b:Last>ELLIOTT</b:Last>
            <b:First>Graham</b:First>
          </b:Person>
          <b:Person>
            <b:Last>ROTHENBERG</b:Last>
            <b:First>Thomas J.</b:First>
          </b:Person>
          <b:Person>
            <b:Last>STOCK</b:Last>
            <b:First>James H.</b:First>
          </b:Person>
        </b:NameList>
      </b:Author>
    </b:Author>
    <b:Year>1996</b:Year>
    <b:RefOrder>1</b:RefOrder>
  </b:Source>
  <b:Source>
    <b:Tag>NGS01</b:Tag>
    <b:SourceType>ArticleInAPeriodical</b:SourceType>
    <b:Guid>{E37F8A45-64E1-41D1-9624-F10B1BF5AA54}</b:Guid>
    <b:Title>Lag Length Selection and the Construction of Unit Root Tests with Good Size and Power</b:Title>
    <b:PeriodicalTitle>Econometrica</b:PeriodicalTitle>
    <b:Year>2001</b:Year>
    <b:Author>
      <b:Author>
        <b:NameList>
          <b:Person>
            <b:Last>NG</b:Last>
            <b:First>Serena</b:First>
          </b:Person>
          <b:Person>
            <b:Last>PERRON</b:Last>
            <b:First>Pierre</b:First>
          </b:Person>
        </b:NameList>
      </b:Author>
    </b:Author>
    <b:Volume>v. 69, n. 6, p. 1519–1554</b:Volume>
    <b:RefOrder>2</b:RefOrder>
  </b:Source>
  <b:Source>
    <b:Tag>Edu11</b:Tag>
    <b:SourceType>ConferenceProceedings</b:SourceType>
    <b:Guid>{2E7276A0-E3DE-430A-ADA4-A160CD9F8C13}</b:Guid>
    <b:Author>
      <b:Author>
        <b:NameList>
          <b:Person>
            <b:Last>Lundberg</b:Last>
            <b:First>Eduardo</b:First>
            <b:Middle>Luis</b:Middle>
          </b:Person>
        </b:NameList>
      </b:Author>
    </b:Author>
    <b:Title>Bancos Oficiais e Crédito Direcionado - o que diferencia o mercado de crédito brasileiro?</b:Title>
    <b:Year>2011</b:Year>
    <b:ConferenceName>Banco Central do Brasil - Trabalhos para Discussão n. 258. Disponível em,http://www.bcb.gov.br/pec/wps/port/td258.pdf&gt;. Acesso em: 10/10/14</b:ConferenceName>
    <b:RefOrder>3</b:RefOrder>
  </b:Source>
  <b:Source>
    <b:Tag>DeP01</b:Tag>
    <b:SourceType>ArticleInAPeriodical</b:SourceType>
    <b:Guid>{5E6988D6-75F5-432A-92F9-810695FC2689}</b:Guid>
    <b:Title>Ajuste Patrimonial e Padrão de Rentabilidade dos Bancos Privados no Brasil durante o Plano Real (1994/98)</b:Title>
    <b:PeriodicalTitle>Estudos Econômicos</b:PeriodicalTitle>
    <b:Pages>p. 285-319, 2001</b:Pages>
    <b:Author>
      <b:Author>
        <b:NameList>
          <b:Person>
            <b:Last>DE PAULA</b:Last>
            <b:First>Luiz</b:First>
            <b:Middle>Fernando Rodrigues</b:Middle>
          </b:Person>
          <b:Person>
            <b:Last>MARQUES</b:Last>
            <b:First>Maria</b:First>
            <b:Middle>Beatriz Leme</b:Middle>
          </b:Person>
          <b:Person>
            <b:Last>ALVES JR</b:Last>
            <b:First>Antônio</b:First>
            <b:Middle>José</b:Middle>
          </b:Person>
        </b:NameList>
      </b:Author>
    </b:Author>
    <b:Volume>v. 31</b:Volume>
    <b:StandardNumber>n. 2</b:StandardNumber>
    <b:RefOrder>4</b:RefOrder>
  </b:Source>
  <b:Source>
    <b:Tag>Are</b:Tag>
    <b:SourceType>ArticleInAPeriodical</b:SourceType>
    <b:Guid>{867C9102-4EA9-47C5-AB8B-9922C201CDC1}</b:Guid>
    <b:Title>Another look at instrumental variables estimation of error componente models</b:Title>
    <b:PeriodicalTitle>Journal of econometrics</b:PeriodicalTitle>
    <b:Pages>n. 115, p. 125-157, 1995</b:Pages>
    <b:Author>
      <b:Author>
        <b:NameList>
          <b:Person>
            <b:Last>Arellano</b:Last>
            <b:First>M</b:First>
          </b:Person>
          <b:Person>
            <b:Last>Bover</b:Last>
            <b:First>O</b:First>
          </b:Person>
        </b:NameList>
      </b:Author>
    </b:Author>
    <b:RefOrder>5</b:RefOrder>
  </b:Source>
  <b:Source>
    <b:Tag>Soa</b:Tag>
    <b:SourceType>ArticleInAPeriodical</b:SourceType>
    <b:Guid>{4220B3D2-CB5A-43F5-A0E3-E52420BA7F16}</b:Guid>
    <b:Title>Evolução do Crédito de 1994 a 1999: uma explicação</b:Title>
    <b:PeriodicalTitle>Revista Planejamento e Políticas Públicas</b:PeriodicalTitle>
    <b:Pages>n. 25, p. 43-87, 2002</b:Pages>
    <b:Author>
      <b:Author>
        <b:NameList>
          <b:Person>
            <b:Last>Soares</b:Last>
            <b:First>Ricardo Pereira</b:First>
          </b:Person>
        </b:NameList>
      </b:Author>
    </b:Author>
    <b:RefOrder>6</b:RefOrder>
  </b:Source>
  <b:Source>
    <b:Tag>Vas</b:Tag>
    <b:SourceType>ArticleInAPeriodical</b:SourceType>
    <b:Guid>{2E39959E-E0F3-420B-AAA7-A2291008D8C1}</b:Guid>
    <b:Title>O todo e as partes: uma análise da desigualdade de crédito entre os estados brasileiros e os determinantes do crédito bancário com a aplicação de dados em painel</b:Title>
    <b:Pages>v. 13, n.1, p. 123-149, 2004</b:Pages>
    <b:Author>
      <b:Author>
        <b:NameList>
          <b:Person>
            <b:Last>Vasconcelos</b:Last>
            <b:First>Marcos Roberto</b:First>
          </b:Person>
          <b:Person>
            <b:Last>Fucidji</b:Last>
            <b:First>José Ricardo</b:First>
          </b:Person>
          <b:Person>
            <b:Last>Scorzafave</b:Last>
            <b:First>Luiz Guilherme</b:First>
          </b:Person>
          <b:Person>
            <b:Last>Assis</b:Last>
            <b:First>Dannyel Lopes de</b:First>
          </b:Person>
        </b:NameList>
      </b:Author>
    </b:Author>
    <b:PeriodicalTitle>Economia e Sociedade</b:PeriodicalTitle>
    <b:RefOrder>7</b:RefOrder>
  </b:Source>
  <b:Source>
    <b:Tag>Blu05</b:Tag>
    <b:SourceType>ConferenceProceedings</b:SourceType>
    <b:Guid>{5B057D29-55CF-4CF1-8CC1-DE74FCCA4879}</b:Guid>
    <b:Author>
      <b:Author>
        <b:NameList>
          <b:Person>
            <b:Last>Blum</b:Last>
            <b:First>Denis</b:First>
          </b:Person>
          <b:Person>
            <b:Last>Nakane</b:Last>
            <b:First>Márcio I.</b:First>
          </b:Person>
        </b:NameList>
      </b:Author>
    </b:Author>
    <b:Title>O Impacto de Requerimentos de Capital na Oferta de Crédito Bancário no Brasil</b:Title>
    <b:City>Natal</b:City>
    <b:Year>2005</b:Year>
    <b:ConferenceName>Anais do XXXIII Encontro Nacional de Economia da ANPEC</b:ConferenceName>
    <b:RefOrder>8</b:RefOrder>
  </b:Source>
  <b:Source>
    <b:Tag>Imr</b:Tag>
    <b:SourceType>ArticleInAPeriodical</b:SourceType>
    <b:Guid>{55E6F738-B017-4F64-8558-385CFAEFA49E}</b:Guid>
    <b:Title>Determinants of bank credit in Pakistan: A supply side approach</b:Title>
    <b:Author>
      <b:Author>
        <b:NameList>
          <b:Person>
            <b:Last>Imran</b:Last>
            <b:First>Kashif</b:First>
          </b:Person>
          <b:Person>
            <b:Last>Nishat</b:Last>
            <b:First>Mohammed</b:First>
          </b:Person>
        </b:NameList>
      </b:Author>
    </b:Author>
    <b:PeriodicalTitle>Economic Modelling</b:PeriodicalTitle>
    <b:Volume>v. 35, p. 384-390, 2013</b:Volume>
    <b:RefOrder>9</b:RefOrder>
  </b:Source>
  <b:Source>
    <b:Tag>HUL</b:Tag>
    <b:SourceType>ArticleInAPeriodical</b:SourceType>
    <b:Guid>{68E42C4E-33A1-4482-8B35-538DA0189C69}</b:Guid>
    <b:Title>Bank loan supply and monetary policy transmission in Germany: An assessment based on matching impulse responses</b:Title>
    <b:PeriodicalTitle>Journal of Banking &amp; Finance</b:PeriodicalTitle>
    <b:Author>
      <b:Author>
        <b:NameList>
          <b:Person>
            <b:Last>HULSEWIG</b:Last>
            <b:First>Oliver</b:First>
          </b:Person>
          <b:Person>
            <b:Last>MAYER</b:Last>
            <b:First>Eric</b:First>
          </b:Person>
          <b:Person>
            <b:Last>WOLLMERSHAUSER</b:Last>
            <b:First>Timo</b:First>
          </b:Person>
        </b:NameList>
      </b:Author>
    </b:Author>
    <b:Volume>v. 30, p. 2893–2910. 2006</b:Volume>
    <b:RefOrder>10</b:RefOrder>
  </b:Source>
  <b:Source>
    <b:Tag>HSI03</b:Tag>
    <b:SourceType>Book</b:SourceType>
    <b:Guid>{D18E0DEB-2899-453A-86EC-4F1D672B3DA2}</b:Guid>
    <b:Title>Analysis of Panel Data</b:Title>
    <b:City>New York</b:City>
    <b:Year>2003</b:Year>
    <b:Publisher>Cambridge University Press</b:Publisher>
    <b:Edition>2</b:Edition>
    <b:Author>
      <b:Author>
        <b:NameList>
          <b:Person>
            <b:Last>HSIAO</b:Last>
            <b:First>Cheng</b:First>
          </b:Person>
        </b:NameList>
      </b:Author>
    </b:Author>
    <b:RefOrder>11</b:RefOrder>
  </b:Source>
  <b:Source>
    <b:Tag>PER89</b:Tag>
    <b:SourceType>ArticleInAPeriodical</b:SourceType>
    <b:Guid>{6F8DC9F4-BFE2-4160-B19D-77E1279C14FA}</b:Guid>
    <b:Author>
      <b:Author>
        <b:NameList>
          <b:Person>
            <b:Last>PERRON</b:Last>
            <b:First>Pierre</b:First>
          </b:Person>
        </b:NameList>
      </b:Author>
    </b:Author>
    <b:Title>The Great Crash, the Oil Price Shock, and the Unit Root Hypothesis</b:Title>
    <b:PeriodicalTitle>Econometrica</b:PeriodicalTitle>
    <b:Year>1989</b:Year>
    <b:Volume>v. 57, n. 6, p. 1361–1401</b:Volume>
    <b:RefOrder>12</b:RefOrder>
  </b:Source>
  <b:Source>
    <b:Tag>Cam09</b:Tag>
    <b:SourceType>Book</b:SourceType>
    <b:Guid>{62686C9A-BE04-421B-A9E5-54337DC8AE67}</b:Guid>
    <b:Title>Microeconomics Using Stata</b:Title>
    <b:Year>2009</b:Year>
    <b:City>Texas</b:City>
    <b:Publisher>Stata Press</b:Publisher>
    <b:Author>
      <b:Author>
        <b:NameList>
          <b:Person>
            <b:Last>Cameron</b:Last>
            <b:First>A. Colin</b:First>
          </b:Person>
          <b:Person>
            <b:Last>Trivedi</b:Last>
            <b:First>Pravin K.</b:First>
          </b:Person>
        </b:NameList>
      </b:Author>
    </b:Author>
    <b:RefOrder>13</b:RefOrder>
  </b:Source>
  <b:Source>
    <b:Tag>ARE91</b:Tag>
    <b:SourceType>ArticleInAPeriodical</b:SourceType>
    <b:Guid>{1E7298C5-1544-4A76-9FD1-CDF2E6DC19ED}</b:Guid>
    <b:Title>Some tests of specification for panel data: Monte Carlo evidence and an application to employment equations</b:Title>
    <b:Year>1991</b:Year>
    <b:Volume>n. 58, p. 277-297</b:Volume>
    <b:PeriodicalTitle>The Review of Economic</b:PeriodicalTitle>
    <b:Author>
      <b:Author>
        <b:NameList>
          <b:Person>
            <b:Last>ARELLANO</b:Last>
            <b:First>M.</b:First>
          </b:Person>
          <b:Person>
            <b:Last>BOND</b:Last>
            <b:First>S. R.</b:First>
          </b:Person>
        </b:NameList>
      </b:Author>
    </b:Author>
    <b:RefOrder>14</b:RefOrder>
  </b:Source>
  <b:Source>
    <b:Tag>BLU</b:Tag>
    <b:SourceType>ArticleInAPeriodical</b:SourceType>
    <b:Guid>{1F043A4E-2D90-4660-9B62-AA0C04696674}</b:Guid>
    <b:Title>Initial conditions and moment restrictions in dynamic panel data models</b:Title>
    <b:PeriodicalTitle>Journal of econometrics</b:PeriodicalTitle>
    <b:Pages>v. 87, 1998</b:Pages>
    <b:Author>
      <b:Author>
        <b:NameList>
          <b:Person>
            <b:Last>BLUNDELL</b:Last>
            <b:First>R.</b:First>
          </b:Person>
          <b:Person>
            <b:Last>BOND</b:Last>
            <b:First>S.</b:First>
          </b:Person>
        </b:NameList>
      </b:Author>
    </b:Author>
    <b:RefOrder>15</b:RefOrder>
  </b:Source>
  <b:Source>
    <b:Tag>Vic</b:Tag>
    <b:SourceType>ArticleInAPeriodical</b:SourceType>
    <b:Guid>{F2E56FA9-B839-4FC3-A56C-960D6166D9DB}</b:Guid>
    <b:Author>
      <b:Author>
        <b:NameList>
          <b:Person>
            <b:Last>Araujo</b:Last>
            <b:First>Victor</b:First>
            <b:Middle>Leonardo de</b:Middle>
          </b:Person>
        </b:NameList>
      </b:Author>
    </b:Author>
    <b:Title>Preferência pela Liquidez do Setor Bancário no Ciclo de Expansão do Crédito no Brasil: 2003-2010</b:Title>
    <b:PeriodicalTitle>Análise Econômica</b:PeriodicalTitle>
    <b:City>Porto Alegre</b:City>
    <b:Pages>n. 59, p. 47-75, 2013</b:Pages>
    <b:RefOrder>16</b:RefOrder>
  </b:Source>
  <b:Source>
    <b:Tag>Jef</b:Tag>
    <b:SourceType>Book</b:SourceType>
    <b:Guid>{8015DB60-589A-4B93-A6EA-880AD9C19C06}</b:Guid>
    <b:Title>Econometric Analysis of Cross Section and Panel Data</b:Title>
    <b:Author>
      <b:Author>
        <b:NameList>
          <b:Person>
            <b:Last>WOOLDRIDGE</b:Last>
            <b:First>Jeffrey</b:First>
            <b:Middle>M.</b:Middle>
          </b:Person>
        </b:NameList>
      </b:Author>
    </b:Author>
    <b:Edition>2</b:Edition>
    <b:Year>2001</b:Year>
    <b:City>Cambridge</b:City>
    <b:Publisher>The MIT Press</b:Publisher>
    <b:RefOrder>17</b:RefOrder>
  </b:Source>
  <b:Source>
    <b:Tag>Pau</b:Tag>
    <b:SourceType>JournalArticle</b:SourceType>
    <b:Guid>{900E3F41-275D-4AAD-8851-5576579F515E}</b:Guid>
    <b:Author>
      <b:Author>
        <b:NameList>
          <b:Person>
            <b:Last>De Paula</b:Last>
            <b:First>Luiz</b:First>
            <b:Middle>Fernando</b:Middle>
          </b:Person>
          <b:Person>
            <b:Last>Marques</b:Last>
            <b:First>Maria</b:First>
            <b:Middle>Beatriz L.</b:Middle>
          </b:Person>
        </b:NameList>
      </b:Author>
    </b:Author>
    <b:Title>Tendências Recentes da Consolidação Bancária no Brasil</b:Title>
    <b:Pages>n. 45, p. 235-263, 2006</b:Pages>
    <b:JournalName>Análise Econômica</b:JournalName>
    <b:RefOrder>18</b:RefOrder>
  </b:Source>
  <b:Source>
    <b:Tag>FUC09</b:Tag>
    <b:SourceType>ArticleInAPeriodical</b:SourceType>
    <b:Guid>{6DC698A9-9D21-48C2-B630-C25B865A9890}</b:Guid>
    <b:Author>
      <b:Author>
        <b:NameList>
          <b:Person>
            <b:Last>FUCIDJI</b:Last>
            <b:First>José Ricardo</b:First>
          </b:Person>
          <b:Person>
            <b:Last>Prince</b:Last>
            <b:First>Diogo de</b:First>
          </b:Person>
        </b:NameList>
      </b:Author>
    </b:Author>
    <b:Title>Determinantes do Crédito Bancário: uma Análise com Dados em Painel para as Maiores Instituições</b:Title>
    <b:PeriodicalTitle>Análise Econômica</b:PeriodicalTitle>
    <b:Pages>p. 233-251, 2009</b:Pages>
    <b:StandardNumber>52</b:StandardNumber>
    <b:RefOrder>19</b:RefOrder>
  </b:Source>
  <b:Source>
    <b:Tag>Dav09</b:Tag>
    <b:SourceType>ArticleInAPeriodical</b:SourceType>
    <b:Guid>{2F15140D-758B-46A1-9407-AED44D5B2F5E}</b:Guid>
    <b:Author>
      <b:Author>
        <b:NameList>
          <b:Person>
            <b:Last>Roodman</b:Last>
            <b:First>David</b:First>
          </b:Person>
        </b:NameList>
      </b:Author>
    </b:Author>
    <b:Title>How to do xtabond2: An introduction to diﬀerence and system GMM in Stata</b:Title>
    <b:PeriodicalTitle>The Stata Journal</b:PeriodicalTitle>
    <b:Pages>n. 1, p. 86–136. 2009.</b:Pages>
    <b:RefOrder>20</b:RefOrder>
  </b:Source>
  <b:Source>
    <b:Tag>Res</b:Tag>
    <b:SourceType>InternetSite</b:SourceType>
    <b:Guid>{96E3F44A-2B11-4ED9-807D-FFDA479CD1BB}</b:Guid>
    <b:Title>Resolução CMN n. 3454 de maio/2007</b:Title>
    <b:Author>
      <b:Author>
        <b:NameList>
          <b:Person>
            <b:Last>CONSELHO MONETÁRIO NACIONAL</b:Last>
          </b:Person>
        </b:NameList>
      </b:Author>
    </b:Author>
    <b:RefOrder>21</b:RefOrder>
  </b:Source>
  <b:Source>
    <b:Tag>Lui</b:Tag>
    <b:SourceType>ArticleInAPeriodical</b:SourceType>
    <b:Guid>{CDEC268A-176E-40F6-A988-A995A01D56D4}</b:Guid>
    <b:Author>
      <b:Author>
        <b:NameList>
          <b:Person>
            <b:Last>Araújo</b:Last>
            <b:First>Luiz</b:First>
            <b:Middle>Alberto D´Ávila de</b:Middle>
          </b:Person>
          <b:Person>
            <b:Last>Neto</b:Last>
            <b:First>Paulo</b:First>
            <b:Middle>de Melo Jorge</b:Middle>
          </b:Person>
          <b:Person>
            <b:Last>Linhares</b:Last>
            <b:First>Fabrício</b:First>
          </b:Person>
        </b:NameList>
      </b:Author>
    </b:Author>
    <b:Title>Capital, Risco e Regulação dos Bancos no Brasil</b:Title>
    <b:PeriodicalTitle>Pesquisa e Planejamento Econômico</b:PeriodicalTitle>
    <b:City>v. 38, n. 3, p. 459-486, 2008.</b:City>
    <b:RefOrder>22</b:RefOrder>
  </b:Source>
  <b:Source>
    <b:Tag>deP13</b:Tag>
    <b:SourceType>ArticleInAPeriodical</b:SourceType>
    <b:Guid>{63622126-D446-46A2-AB00-46C4772574C4}</b:Guid>
    <b:Title>Estrutura do setor bancário e o ciclo recente de expansão do crédito: O papel dos bancos públicos federais</b:Title>
    <b:Year>2013</b:Year>
    <b:PeriodicalTitle>Nova Economia </b:PeriodicalTitle>
    <b:Author>
      <b:Author>
        <b:NameList>
          <b:Person>
            <b:Last>de Paula</b:Last>
            <b:First>Luiz Fernando</b:First>
          </b:Person>
          <b:Person>
            <b:Last>Oreiro</b:Last>
            <b:First>José Luis</b:First>
          </b:Person>
          <b:Person>
            <b:Last>Basilio</b:Last>
            <b:First>Flavio A. C.</b:First>
          </b:Person>
        </b:NameList>
      </b:Author>
    </b:Author>
    <b:City>Belo Horizonte</b:City>
    <b:RefOrder>23</b:RefOrder>
  </b:Source>
  <b:Source>
    <b:Tag>Tak13</b:Tag>
    <b:SourceType>ConferenceProceedings</b:SourceType>
    <b:Guid>{239CF789-0A0F-4E21-A141-5AFF0AF0A890}</b:Guid>
    <b:Title>Um Estudo sobre Comportamento de Tomadores e Ofertantes no Mercado de Crédito</b:Title>
    <b:Year>2013</b:Year>
    <b:ConferenceName>Banco Central do Brasil - Trabalhos para Discussão n. 338. Disponível em,http://www.bcb.gov.br/pec/wps/port/TD338.pdf&gt;. Acesso em: 18/10/14</b:ConferenceName>
    <b:Author>
      <b:Author>
        <b:NameList>
          <b:Person>
            <b:Last>Takeda </b:Last>
            <b:First>Tony</b:First>
          </b:Person>
          <b:Person>
            <b:Last>Dawid</b:Last>
            <b:First>Paulo Evandro </b:First>
          </b:Person>
        </b:NameList>
      </b:Author>
    </b:Author>
    <b:RefOrder>24</b:RefOrder>
  </b:Source>
  <b:Source>
    <b:Tag>Men13</b:Tag>
    <b:SourceType>Report</b:SourceType>
    <b:Guid>{9687041D-932F-4B41-8050-B00D942BD479}</b:Guid>
    <b:Title>Identificando a Demanda e a Oferta de Crédito no Brasil</b:Title>
    <b:Year>2013.</b:Year>
    <b:Author>
      <b:Author>
        <b:NameList>
          <b:Person>
            <b:Last>Mendonça</b:Last>
            <b:First>Mário Jorge</b:First>
          </b:Person>
          <b:Person>
            <b:Last>Sachsida</b:Last>
            <b:First>Adolfo</b:First>
          </b:Person>
        </b:NameList>
      </b:Author>
    </b:Author>
    <b:Institution>Texto para Discussão IPEA n. 1837. Disponível em,http://repositorio.ipea.gov.br/bitstream/11058/1276/1/TD_1837.pdf&gt;. Acesso em: 09/08/14</b:Institution>
    <b:RefOrder>25</b:RefOrder>
  </b:Source>
  <b:Source>
    <b:Tag>GUS07</b:Tag>
    <b:SourceType>ConferenceProceedings</b:SourceType>
    <b:Guid>{1D83646E-AA7A-46E1-A2B1-4F930C925D36}</b:Guid>
    <b:Title>A Interação entre a Dinâmica Macroeconômica e os Bancos: uma Perspectiva acerca do Risco de Crédito</b:Title>
    <b:Year>2007</b:Year>
    <b:Medium>Dissertação de Mestrado pela Universidade Federal Fluminense</b:Medium>
    <b:Author>
      <b:Author>
        <b:NameList>
          <b:Person>
            <b:Last>SOUZA</b:Last>
            <b:First>GUSTAVO</b:First>
            <b:Middle>JOSÉ DE GUIMARÃES E</b:Middle>
          </b:Person>
        </b:NameList>
      </b:Author>
    </b:Author>
    <b:ConferenceName>Dissertação de Mestrado pela Universidade Federal Fluminense. Disponível em.http://www.cpgeconomia.uff.br//novosite/arquivos/tese/2007-gustavo_guimaraes.pdf&gt;. Acesso em: 20/08/14</b:ConferenceName>
    <b:RefOrder>26</b:RefOrder>
  </b:Source>
  <b:Source>
    <b:Tag>Kiy97</b:Tag>
    <b:SourceType>JournalArticle</b:SourceType>
    <b:Guid>{509222F5-1A53-4CD6-88F1-F1BB35E6D657}</b:Guid>
    <b:Title>Credit cycles</b:Title>
    <b:Year>1997</b:Year>
    <b:Pages>211-248</b:Pages>
    <b:Volume>105</b:Volume>
    <b:Author>
      <b:Author>
        <b:NameList>
          <b:Person>
            <b:Last>Kiyotaki</b:Last>
            <b:First>N.</b:First>
          </b:Person>
          <b:Person>
            <b:Last>Moore</b:Last>
            <b:First>J.</b:First>
          </b:Person>
        </b:NameList>
      </b:Author>
    </b:Author>
    <b:JournalName>Journal of Political Economy</b:JournalName>
    <b:RefOrder>27</b:RefOrder>
  </b:Source>
  <b:Source>
    <b:Tag>Cúr10</b:Tag>
    <b:SourceType>JournalArticle</b:SourceType>
    <b:Guid>{F05B0638-4001-4CBA-9B8E-64D68DEE3EA9}</b:Guid>
    <b:Author>
      <b:Author>
        <b:NameList>
          <b:Person>
            <b:Last>Cúrdia</b:Last>
            <b:First>V.</b:First>
          </b:Person>
          <b:Person>
            <b:Last>Woodford.</b:Last>
            <b:First>M.</b:First>
          </b:Person>
        </b:NameList>
      </b:Author>
    </b:Author>
    <b:Title>Credit Spreads and Monetary Policy</b:Title>
    <b:JournalName>Journal of Money Credit and Banking</b:JournalName>
    <b:Year>2010</b:Year>
    <b:Pages>3-35</b:Pages>
    <b:Volume>42</b:Volume>
    <b:RefOrder>28</b:RefOrder>
  </b:Source>
  <b:Source>
    <b:Tag>VAS12</b:Tag>
    <b:SourceType>ConferenceProceedings</b:SourceType>
    <b:Guid>{5D4098D0-D1EC-4787-AF9D-C00B7E57319B}</b:Guid>
    <b:Author>
      <b:Author>
        <b:NameList>
          <b:Person>
            <b:Last>VASCONCELOS</b:Last>
            <b:First>B.</b:First>
          </b:Person>
          <b:Person>
            <b:Last>DIVINO</b:Last>
            <b:First>J.</b:First>
            <b:Middle>A.</b:Middle>
          </b:Person>
        </b:NameList>
      </b:Author>
    </b:Author>
    <b:Title>O desempenho recente da política monetária brasileira sob a ótica da modelagem DSGE</b:Title>
    <b:Year>2012</b:Year>
    <b:ConferenceName>Banco Central do Brasil - Texto para discussão nº 291</b:ConferenceName>
    <b:RefOrder>29</b:RefOrder>
  </b:Source>
  <b:Source>
    <b:Tag>Ban</b:Tag>
    <b:SourceType>ConferenceProceedings</b:SourceType>
    <b:Guid>{2A45000A-6844-49F2-B1F7-397DD7DF1BA7}</b:Guid>
    <b:Title>Relatório de Inflação - Junho 1999</b:Title>
    <b:Author>
      <b:Author>
        <b:NameList>
          <b:Person>
            <b:Last>Banco Central do Brasil</b:Last>
          </b:Person>
        </b:NameList>
      </b:Author>
    </b:Author>
    <b:Year>1999</b:Year>
    <b:RefOrder>30</b:RefOrder>
  </b:Source>
  <b:Source>
    <b:Tag>Ara07</b:Tag>
    <b:SourceType>JournalArticle</b:SourceType>
    <b:Guid>{6AE26357-02B3-48D7-8585-177F298C60C1}</b:Guid>
    <b:Author>
      <b:Author>
        <b:NameList>
          <b:Person>
            <b:Last>Araújo</b:Last>
            <b:First>Luiz</b:First>
            <b:Middle>Alberto D’Ávila de</b:Middle>
          </b:Person>
          <b:Person>
            <b:Last>Jorge Neto</b:Last>
            <b:First>Paulo</b:First>
            <b:Middle>de Melo</b:Middle>
          </b:Person>
        </b:NameList>
      </b:Author>
    </b:Author>
    <b:Title>Risco e Competição Bancária no Brasil</b:Title>
    <b:JournalName>Revista Brasileira de Economia</b:JournalName>
    <b:Year>2007</b:Year>
    <b:Pages>p. 175–200</b:Pages>
    <b:Volume>61</b:Volume>
    <b:Issue>2</b:Issue>
    <b:RefOrder>31</b:RefOrder>
  </b:Source>
  <b:Source>
    <b:Tag>Cla10</b:Tag>
    <b:SourceType>JournalArticle</b:SourceType>
    <b:Guid>{F8AD5346-511D-44E8-82F7-10130A19E285}</b:Guid>
    <b:Author>
      <b:Author>
        <b:NameList>
          <b:Person>
            <b:Last>Lucinda</b:Last>
            <b:First>Claudio</b:First>
            <b:Middle>R.</b:Middle>
          </b:Person>
        </b:NameList>
      </b:Author>
    </b:Author>
    <b:Title>Competition in the Brazilian Loan Market: An Empirical Analysis</b:Title>
    <b:JournalName>Estudos Econômicos</b:JournalName>
    <b:Year>2010</b:Year>
    <b:Pages>p. 831 - 858</b:Pages>
    <b:Volume>40</b:Volume>
    <b:Issue>4</b:Issue>
    <b:RefOrder>32</b:RefOrder>
  </b:Source>
  <b:Source>
    <b:Tag>Nak01</b:Tag>
    <b:SourceType>ConferenceProceedings</b:SourceType>
    <b:Guid>{AB7A6547-2272-444B-AAA7-7FC91CA750AB}</b:Guid>
    <b:Author>
      <b:Author>
        <b:NameList>
          <b:Person>
            <b:Last>Nakane</b:Last>
            <b:First>Márcio</b:First>
            <b:Middle>I.</b:Middle>
          </b:Person>
        </b:NameList>
      </b:Author>
    </b:Author>
    <b:Title>A Test of Competition in Brazilian Banking</b:Title>
    <b:Year>2001</b:Year>
    <b:ConferenceName>Working Paper n. 12 - Banco Central do Brasil</b:ConferenceName>
    <b:RefOrder>33</b:RefOrder>
  </b:Source>
  <b:Source>
    <b:Tag>Ben15</b:Tag>
    <b:SourceType>JournalArticle</b:SourceType>
    <b:Guid>{25C6A8AF-7858-4B4A-8DE3-F834ABF680E6}</b:Guid>
    <b:Title>The impact of market power at bank level in risk-taking: The Brazilian case</b:Title>
    <b:Pages>154–165</b:Pages>
    <b:Year>2015</b:Year>
    <b:Author>
      <b:Author>
        <b:NameList>
          <b:Person>
            <b:Last>Tabak</b:Last>
            <b:First>Benjamin</b:First>
            <b:Middle>M.</b:Middle>
          </b:Person>
          <b:Person>
            <b:Last>Gomes</b:Last>
            <b:First>Guilherme</b:First>
            <b:Middle>M.R.</b:Middle>
          </b:Person>
          <b:Person>
            <b:Last>Medeiros Jr.</b:Last>
            <b:First>Maurício</b:First>
            <b:Middle>da Silva</b:Middle>
          </b:Person>
        </b:NameList>
      </b:Author>
    </b:Author>
    <b:JournalName>International Review of Financial Analysis</b:JournalName>
    <b:Volume>40</b:Volume>
    <b:RefOrder>34</b:RefOrder>
  </b:Source>
  <b:Source>
    <b:Tag>Edu03</b:Tag>
    <b:SourceType>ConferenceProceedings</b:SourceType>
    <b:Guid>{49C85CF7-7A61-4A05-A4AD-AF18A46E6FDD}</b:Guid>
    <b:Title>Taxa de Juros e Concentração Bancária no Brasil</b:Title>
    <b:Year>2003</b:Year>
    <b:Author>
      <b:Author>
        <b:NameList>
          <b:Person>
            <b:Last>Tonooka</b:Last>
            <b:First>Eduardo</b:First>
            <b:Middle>Kiyoshi</b:Middle>
          </b:Person>
          <b:Person>
            <b:Last>Koyama</b:Last>
            <b:First>Sérgio</b:First>
            <b:Middle>Mikio</b:Middle>
          </b:Person>
        </b:NameList>
      </b:Author>
    </b:Author>
    <b:ConferenceName>Trabalhos para Discussão n. 62 - Banco Central do Brasil</b:ConferenceName>
    <b:RefOrder>35</b:RefOrder>
  </b:Source>
  <b:Source>
    <b:Tag>Jaq13</b:Tag>
    <b:SourceType>ConferenceProceedings</b:SourceType>
    <b:Guid>{8824894E-BADF-4941-853E-A9B6E0F91CCE}</b:Guid>
    <b:Title>Credit Default and Business Cycles: an investigation of this relationship in the Brazilian corporate credit market</b:Title>
    <b:Year>2013</b:Year>
    <b:Author>
      <b:Author>
        <b:NameList>
          <b:Person>
            <b:Last>Marins</b:Last>
            <b:First>Jaqueline</b:First>
            <b:Middle>Terra Moura</b:Middle>
          </b:Person>
          <b:Person>
            <b:Last>Neves</b:Last>
            <b:First>Myrian</b:First>
            <b:Middle>Beatriz Eiras das</b:Middle>
          </b:Person>
        </b:NameList>
      </b:Author>
    </b:Author>
    <b:ConferenceName>Banco Central do Brasil Working Paper n. 304</b:ConferenceName>
    <b:RefOrder>36</b:RefOrder>
  </b:Source>
</b:Sources>
</file>

<file path=customXml/itemProps1.xml><?xml version="1.0" encoding="utf-8"?>
<ds:datastoreItem xmlns:ds="http://schemas.openxmlformats.org/officeDocument/2006/customXml" ds:itemID="{447FAB90-8F48-4EF4-BA2E-C90C2377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20</Pages>
  <Words>10479</Words>
  <Characters>56587</Characters>
  <Application>Microsoft Office Word</Application>
  <DocSecurity>0</DocSecurity>
  <Lines>471</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Dantas Almeida</dc:creator>
  <cp:keywords/>
  <dc:description/>
  <cp:lastModifiedBy>Fernanda Dantas</cp:lastModifiedBy>
  <cp:revision>136</cp:revision>
  <cp:lastPrinted>2016-05-21T14:52:00Z</cp:lastPrinted>
  <dcterms:created xsi:type="dcterms:W3CDTF">2016-05-14T21:49:00Z</dcterms:created>
  <dcterms:modified xsi:type="dcterms:W3CDTF">2016-07-21T02:48:00Z</dcterms:modified>
</cp:coreProperties>
</file>