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E0" w:rsidRPr="005D4236" w:rsidRDefault="004C20B5" w:rsidP="00C548FE">
      <w:pPr>
        <w:spacing w:after="0" w:line="240" w:lineRule="auto"/>
        <w:jc w:val="both"/>
        <w:rPr>
          <w:rFonts w:ascii="Times New Roman" w:hAnsi="Times New Roman"/>
          <w:sz w:val="24"/>
          <w:szCs w:val="24"/>
        </w:rPr>
      </w:pPr>
      <w:r w:rsidRPr="005D4236">
        <w:rPr>
          <w:rFonts w:ascii="Times New Roman" w:hAnsi="Times New Roman"/>
          <w:b/>
          <w:sz w:val="24"/>
          <w:szCs w:val="24"/>
        </w:rPr>
        <w:t xml:space="preserve">IMPACTOS </w:t>
      </w:r>
      <w:r w:rsidR="00AE24E9" w:rsidRPr="005D4236">
        <w:rPr>
          <w:rFonts w:ascii="Times New Roman" w:hAnsi="Times New Roman"/>
          <w:b/>
          <w:sz w:val="24"/>
          <w:szCs w:val="24"/>
        </w:rPr>
        <w:t>DO SANEAMENTO BÁSICO SOBRE</w:t>
      </w:r>
      <w:r w:rsidR="00E16D23">
        <w:rPr>
          <w:rFonts w:ascii="Times New Roman" w:hAnsi="Times New Roman"/>
          <w:b/>
          <w:sz w:val="24"/>
          <w:szCs w:val="24"/>
        </w:rPr>
        <w:t xml:space="preserve"> A</w:t>
      </w:r>
      <w:r w:rsidR="00AE24E9" w:rsidRPr="005D4236">
        <w:rPr>
          <w:rFonts w:ascii="Times New Roman" w:hAnsi="Times New Roman"/>
          <w:b/>
          <w:sz w:val="24"/>
          <w:szCs w:val="24"/>
        </w:rPr>
        <w:t xml:space="preserve"> SAÚDE: UMA ANÁLISE ESPACIAL</w:t>
      </w:r>
    </w:p>
    <w:p w:rsidR="002C7A3B" w:rsidRDefault="002C7A3B" w:rsidP="002C7A3B">
      <w:pPr>
        <w:spacing w:after="0" w:line="240" w:lineRule="auto"/>
        <w:jc w:val="center"/>
        <w:rPr>
          <w:rFonts w:ascii="Times New Roman" w:hAnsi="Times New Roman"/>
          <w:sz w:val="24"/>
          <w:szCs w:val="24"/>
        </w:rPr>
      </w:pPr>
    </w:p>
    <w:p w:rsidR="002C7A3B" w:rsidRPr="00AF7490" w:rsidRDefault="002C7A3B" w:rsidP="002C7A3B">
      <w:pPr>
        <w:spacing w:after="0" w:line="240" w:lineRule="auto"/>
        <w:jc w:val="center"/>
        <w:rPr>
          <w:rFonts w:ascii="Times New Roman" w:hAnsi="Times New Roman"/>
          <w:b/>
          <w:sz w:val="24"/>
          <w:szCs w:val="24"/>
        </w:rPr>
      </w:pPr>
      <w:r w:rsidRPr="00AF7490">
        <w:rPr>
          <w:rFonts w:ascii="Times New Roman" w:hAnsi="Times New Roman"/>
          <w:b/>
          <w:sz w:val="24"/>
          <w:szCs w:val="24"/>
        </w:rPr>
        <w:t xml:space="preserve">Juliana Souza Scriptore </w:t>
      </w:r>
    </w:p>
    <w:p w:rsidR="002C7A3B" w:rsidRDefault="002C7A3B" w:rsidP="002C7A3B">
      <w:pPr>
        <w:spacing w:after="0" w:line="240" w:lineRule="auto"/>
        <w:jc w:val="center"/>
        <w:rPr>
          <w:rFonts w:ascii="Times New Roman" w:hAnsi="Times New Roman"/>
          <w:sz w:val="24"/>
          <w:szCs w:val="24"/>
        </w:rPr>
      </w:pPr>
      <w:r>
        <w:rPr>
          <w:rFonts w:ascii="Times New Roman" w:hAnsi="Times New Roman"/>
          <w:sz w:val="24"/>
          <w:szCs w:val="24"/>
        </w:rPr>
        <w:t>Universidade de São Paulo</w:t>
      </w:r>
      <w:r w:rsidR="00734821">
        <w:rPr>
          <w:rFonts w:ascii="Times New Roman" w:hAnsi="Times New Roman"/>
          <w:sz w:val="24"/>
          <w:szCs w:val="24"/>
        </w:rPr>
        <w:t xml:space="preserve"> (FEA-USP)</w:t>
      </w:r>
      <w:r>
        <w:rPr>
          <w:rFonts w:ascii="Times New Roman" w:hAnsi="Times New Roman"/>
          <w:sz w:val="24"/>
          <w:szCs w:val="24"/>
        </w:rPr>
        <w:t xml:space="preserve"> e Universidade Federal de Alfenas</w:t>
      </w:r>
      <w:r w:rsidR="00734821">
        <w:rPr>
          <w:rFonts w:ascii="Times New Roman" w:hAnsi="Times New Roman"/>
          <w:sz w:val="24"/>
          <w:szCs w:val="24"/>
        </w:rPr>
        <w:t xml:space="preserve"> (UNIFAL-MG)</w:t>
      </w:r>
    </w:p>
    <w:p w:rsidR="002C7A3B" w:rsidRPr="00AF7490" w:rsidRDefault="002C7A3B" w:rsidP="002C7A3B">
      <w:pPr>
        <w:spacing w:after="0" w:line="240" w:lineRule="auto"/>
        <w:jc w:val="center"/>
        <w:rPr>
          <w:rFonts w:ascii="Times New Roman" w:hAnsi="Times New Roman"/>
          <w:b/>
          <w:sz w:val="24"/>
          <w:szCs w:val="24"/>
        </w:rPr>
      </w:pPr>
      <w:r w:rsidRPr="00AF7490">
        <w:rPr>
          <w:rFonts w:ascii="Times New Roman" w:hAnsi="Times New Roman"/>
          <w:b/>
          <w:sz w:val="24"/>
          <w:szCs w:val="24"/>
        </w:rPr>
        <w:t>Carlos Roberto Azzoni</w:t>
      </w:r>
    </w:p>
    <w:p w:rsidR="002C7A3B" w:rsidRPr="005D4236" w:rsidRDefault="002C7A3B" w:rsidP="002C7A3B">
      <w:pPr>
        <w:spacing w:after="0" w:line="240" w:lineRule="auto"/>
        <w:jc w:val="center"/>
        <w:rPr>
          <w:rFonts w:ascii="Times New Roman" w:hAnsi="Times New Roman"/>
          <w:sz w:val="24"/>
          <w:szCs w:val="24"/>
        </w:rPr>
      </w:pPr>
      <w:r>
        <w:rPr>
          <w:rFonts w:ascii="Times New Roman" w:hAnsi="Times New Roman"/>
          <w:sz w:val="24"/>
          <w:szCs w:val="24"/>
        </w:rPr>
        <w:t>Universidade de São Paulo</w:t>
      </w:r>
      <w:r w:rsidR="00734821">
        <w:rPr>
          <w:rFonts w:ascii="Times New Roman" w:hAnsi="Times New Roman"/>
          <w:sz w:val="24"/>
          <w:szCs w:val="24"/>
        </w:rPr>
        <w:t xml:space="preserve"> (FEA-USP)</w:t>
      </w:r>
      <w:bookmarkStart w:id="0" w:name="_GoBack"/>
      <w:bookmarkEnd w:id="0"/>
    </w:p>
    <w:p w:rsidR="00C93CE0" w:rsidRPr="005D4236" w:rsidRDefault="00C93CE0" w:rsidP="00C548FE">
      <w:pPr>
        <w:spacing w:after="0" w:line="240" w:lineRule="auto"/>
        <w:jc w:val="both"/>
        <w:rPr>
          <w:rFonts w:ascii="Times New Roman" w:hAnsi="Times New Roman"/>
          <w:b/>
          <w:sz w:val="24"/>
          <w:szCs w:val="24"/>
        </w:rPr>
      </w:pPr>
      <w:r w:rsidRPr="005D4236">
        <w:rPr>
          <w:rFonts w:ascii="Times New Roman" w:hAnsi="Times New Roman"/>
          <w:b/>
          <w:sz w:val="24"/>
          <w:szCs w:val="24"/>
        </w:rPr>
        <w:t>Resumo</w:t>
      </w:r>
    </w:p>
    <w:p w:rsidR="00C93CE0" w:rsidRPr="005D4236" w:rsidRDefault="00287253" w:rsidP="005A39F1">
      <w:pPr>
        <w:spacing w:after="0" w:line="240" w:lineRule="auto"/>
        <w:jc w:val="both"/>
        <w:rPr>
          <w:rFonts w:ascii="Times New Roman" w:hAnsi="Times New Roman"/>
          <w:sz w:val="24"/>
          <w:szCs w:val="24"/>
        </w:rPr>
      </w:pPr>
      <w:r w:rsidRPr="00287253">
        <w:rPr>
          <w:rFonts w:ascii="Times New Roman" w:hAnsi="Times New Roman"/>
          <w:sz w:val="24"/>
          <w:szCs w:val="24"/>
        </w:rPr>
        <w:t>N</w:t>
      </w:r>
      <w:r>
        <w:rPr>
          <w:rFonts w:ascii="Times New Roman" w:hAnsi="Times New Roman"/>
          <w:sz w:val="24"/>
          <w:szCs w:val="24"/>
        </w:rPr>
        <w:t>esse estudo foi investigado o efeito do</w:t>
      </w:r>
      <w:r w:rsidRPr="00287253">
        <w:rPr>
          <w:rFonts w:ascii="Times New Roman" w:hAnsi="Times New Roman"/>
          <w:sz w:val="24"/>
          <w:szCs w:val="24"/>
        </w:rPr>
        <w:t xml:space="preserve"> saneamento sobre a saúde</w:t>
      </w:r>
      <w:r>
        <w:rPr>
          <w:rFonts w:ascii="Times New Roman" w:hAnsi="Times New Roman"/>
          <w:sz w:val="24"/>
          <w:szCs w:val="24"/>
        </w:rPr>
        <w:t xml:space="preserve"> a partir de uma análise espacial</w:t>
      </w:r>
      <w:r w:rsidRPr="00287253">
        <w:rPr>
          <w:rFonts w:ascii="Times New Roman" w:hAnsi="Times New Roman"/>
          <w:sz w:val="24"/>
          <w:szCs w:val="24"/>
        </w:rPr>
        <w:t>. Essa investigação foi realizada por meio de dados por distrito construídos a partir do Censo Demográfico do Universo por setor censitário (IBGE</w:t>
      </w:r>
      <w:r>
        <w:rPr>
          <w:rFonts w:ascii="Times New Roman" w:hAnsi="Times New Roman"/>
          <w:sz w:val="24"/>
          <w:szCs w:val="24"/>
        </w:rPr>
        <w:t>, 2010</w:t>
      </w:r>
      <w:r w:rsidRPr="00287253">
        <w:rPr>
          <w:rFonts w:ascii="Times New Roman" w:hAnsi="Times New Roman"/>
          <w:sz w:val="24"/>
          <w:szCs w:val="24"/>
        </w:rPr>
        <w:t>), Cadastro Nacional de Endereços para Fins Estatísticos (CNEFE, 2011), Diretório Nacional de Endereços (DNE, 2015) e Departamento de Informática do Sistema Único de Saúde (DATASUS, 2010).</w:t>
      </w:r>
      <w:r>
        <w:rPr>
          <w:rFonts w:ascii="Times New Roman" w:hAnsi="Times New Roman"/>
          <w:sz w:val="24"/>
          <w:szCs w:val="24"/>
        </w:rPr>
        <w:t xml:space="preserve"> </w:t>
      </w:r>
      <w:r w:rsidRPr="00287253">
        <w:rPr>
          <w:rFonts w:ascii="Times New Roman" w:hAnsi="Times New Roman"/>
          <w:sz w:val="24"/>
          <w:szCs w:val="24"/>
        </w:rPr>
        <w:t>Os resultados indicam que, em geral, o acesso aos serviços de saneamento inadequados causa impacto positivo na taxa de incidência de internações por</w:t>
      </w:r>
      <w:r>
        <w:rPr>
          <w:rFonts w:ascii="Times New Roman" w:hAnsi="Times New Roman"/>
          <w:sz w:val="24"/>
          <w:szCs w:val="24"/>
        </w:rPr>
        <w:t xml:space="preserve"> Doenças Relacionadas ao Saneamento Ambiental Inadequado (D</w:t>
      </w:r>
      <w:r w:rsidRPr="00287253">
        <w:rPr>
          <w:rFonts w:ascii="Times New Roman" w:hAnsi="Times New Roman"/>
          <w:sz w:val="24"/>
          <w:szCs w:val="24"/>
        </w:rPr>
        <w:t>RSAI</w:t>
      </w:r>
      <w:r>
        <w:rPr>
          <w:rFonts w:ascii="Times New Roman" w:hAnsi="Times New Roman"/>
          <w:sz w:val="24"/>
          <w:szCs w:val="24"/>
        </w:rPr>
        <w:t>), por mil habitantes</w:t>
      </w:r>
      <w:r w:rsidRPr="00287253">
        <w:rPr>
          <w:rFonts w:ascii="Times New Roman" w:hAnsi="Times New Roman"/>
          <w:sz w:val="24"/>
          <w:szCs w:val="24"/>
        </w:rPr>
        <w:t>, a variável de saúde considerada nesse estudo. Para a população de todas as idades, o impacto total médio do aumento de 1% na parcela de domicílios servidos por água da chuva armazenada em cist</w:t>
      </w:r>
      <w:r>
        <w:rPr>
          <w:rFonts w:ascii="Times New Roman" w:hAnsi="Times New Roman"/>
          <w:sz w:val="24"/>
          <w:szCs w:val="24"/>
        </w:rPr>
        <w:t>erna ou caixa de cimento é 0,217</w:t>
      </w:r>
      <w:r w:rsidRPr="00287253">
        <w:rPr>
          <w:rFonts w:ascii="Times New Roman" w:hAnsi="Times New Roman"/>
          <w:sz w:val="24"/>
          <w:szCs w:val="24"/>
        </w:rPr>
        <w:t xml:space="preserve"> casos por mil habitantes. Quando se considera a porcentagem dos domicílios que tem banheiro conectado a uma fossa rudimentar, esse impacto é 0,035 casos por 1000 habitantes. Por outro lado, no que diz respeito à variável adequada de saneamento, </w:t>
      </w:r>
      <w:r>
        <w:rPr>
          <w:rFonts w:ascii="Times New Roman" w:hAnsi="Times New Roman"/>
          <w:sz w:val="24"/>
          <w:szCs w:val="24"/>
        </w:rPr>
        <w:t xml:space="preserve">domicílios </w:t>
      </w:r>
      <w:r w:rsidRPr="00287253">
        <w:rPr>
          <w:rFonts w:ascii="Times New Roman" w:hAnsi="Times New Roman"/>
          <w:sz w:val="24"/>
          <w:szCs w:val="24"/>
        </w:rPr>
        <w:t>conectados à rede de distribuição de água e que, além disso, na quadra onde estão localizados é inexistente condições de esgoto a céu aberto</w:t>
      </w:r>
      <w:r>
        <w:rPr>
          <w:rFonts w:ascii="Times New Roman" w:hAnsi="Times New Roman"/>
          <w:sz w:val="24"/>
          <w:szCs w:val="24"/>
        </w:rPr>
        <w:t>,</w:t>
      </w:r>
      <w:r w:rsidRPr="00287253">
        <w:rPr>
          <w:rFonts w:ascii="Times New Roman" w:hAnsi="Times New Roman"/>
          <w:sz w:val="24"/>
          <w:szCs w:val="24"/>
        </w:rPr>
        <w:t xml:space="preserve"> </w:t>
      </w:r>
      <w:r>
        <w:rPr>
          <w:rFonts w:ascii="Times New Roman" w:hAnsi="Times New Roman"/>
          <w:sz w:val="24"/>
          <w:szCs w:val="24"/>
        </w:rPr>
        <w:t xml:space="preserve">esse impacto gera uma queda de </w:t>
      </w:r>
      <w:r w:rsidR="00E16D23">
        <w:rPr>
          <w:rFonts w:ascii="Times New Roman" w:hAnsi="Times New Roman"/>
          <w:sz w:val="24"/>
          <w:szCs w:val="24"/>
        </w:rPr>
        <w:t xml:space="preserve">0,166 </w:t>
      </w:r>
      <w:r w:rsidRPr="00287253">
        <w:rPr>
          <w:rFonts w:ascii="Times New Roman" w:hAnsi="Times New Roman"/>
          <w:sz w:val="24"/>
          <w:szCs w:val="24"/>
        </w:rPr>
        <w:t>casos</w:t>
      </w:r>
      <w:r w:rsidR="00E16D23">
        <w:rPr>
          <w:rFonts w:ascii="Times New Roman" w:hAnsi="Times New Roman"/>
          <w:sz w:val="24"/>
          <w:szCs w:val="24"/>
        </w:rPr>
        <w:t>,</w:t>
      </w:r>
      <w:r w:rsidRPr="00287253">
        <w:rPr>
          <w:rFonts w:ascii="Times New Roman" w:hAnsi="Times New Roman"/>
          <w:sz w:val="24"/>
          <w:szCs w:val="24"/>
        </w:rPr>
        <w:t xml:space="preserve"> por mil habitantes</w:t>
      </w:r>
      <w:r w:rsidR="00E16D23">
        <w:rPr>
          <w:rFonts w:ascii="Times New Roman" w:hAnsi="Times New Roman"/>
          <w:sz w:val="24"/>
          <w:szCs w:val="24"/>
        </w:rPr>
        <w:t>,</w:t>
      </w:r>
      <w:r>
        <w:rPr>
          <w:rFonts w:ascii="Times New Roman" w:hAnsi="Times New Roman"/>
          <w:sz w:val="24"/>
          <w:szCs w:val="24"/>
        </w:rPr>
        <w:t xml:space="preserve"> nas internações por DRSAI</w:t>
      </w:r>
      <w:r w:rsidRPr="00287253">
        <w:rPr>
          <w:rFonts w:ascii="Times New Roman" w:hAnsi="Times New Roman"/>
          <w:sz w:val="24"/>
          <w:szCs w:val="24"/>
        </w:rPr>
        <w:t>. A variável de maior impacto total médio refere-se à porcentagem de domicílios que não tem banheiro e, além disso, possuem presença de esgoto a céu aber</w:t>
      </w:r>
      <w:r w:rsidR="00E16D23">
        <w:rPr>
          <w:rFonts w:ascii="Times New Roman" w:hAnsi="Times New Roman"/>
          <w:sz w:val="24"/>
          <w:szCs w:val="24"/>
        </w:rPr>
        <w:t xml:space="preserve">to em suas condições de entorno, pois acarreta aumento </w:t>
      </w:r>
      <w:r w:rsidRPr="00287253">
        <w:rPr>
          <w:rFonts w:ascii="Times New Roman" w:hAnsi="Times New Roman"/>
          <w:sz w:val="24"/>
          <w:szCs w:val="24"/>
        </w:rPr>
        <w:t>de 3,281 na taxa de incidência de internações por DRSAI. Outro resultado desse estudo é que a população mais jovem é a mais at</w:t>
      </w:r>
      <w:r w:rsidR="00AF7490">
        <w:rPr>
          <w:rFonts w:ascii="Times New Roman" w:hAnsi="Times New Roman"/>
          <w:sz w:val="24"/>
          <w:szCs w:val="24"/>
        </w:rPr>
        <w:t xml:space="preserve">ingida pelas </w:t>
      </w:r>
      <w:r w:rsidRPr="00287253">
        <w:rPr>
          <w:rFonts w:ascii="Times New Roman" w:hAnsi="Times New Roman"/>
          <w:sz w:val="24"/>
          <w:szCs w:val="24"/>
        </w:rPr>
        <w:t>condições inadequadas dos serviços de saneamento básico</w:t>
      </w:r>
      <w:r w:rsidR="005A39F1">
        <w:rPr>
          <w:rFonts w:ascii="Times New Roman" w:hAnsi="Times New Roman"/>
          <w:sz w:val="24"/>
          <w:szCs w:val="24"/>
        </w:rPr>
        <w:t>.</w:t>
      </w:r>
    </w:p>
    <w:p w:rsidR="00C93CE0" w:rsidRPr="005D4236" w:rsidRDefault="00C93CE0" w:rsidP="00C548FE">
      <w:pPr>
        <w:spacing w:after="0" w:line="240" w:lineRule="auto"/>
        <w:jc w:val="both"/>
        <w:rPr>
          <w:rFonts w:ascii="Times New Roman" w:hAnsi="Times New Roman"/>
          <w:sz w:val="24"/>
          <w:szCs w:val="24"/>
        </w:rPr>
      </w:pPr>
      <w:r w:rsidRPr="005D4236">
        <w:rPr>
          <w:rFonts w:ascii="Times New Roman" w:hAnsi="Times New Roman"/>
          <w:b/>
          <w:sz w:val="24"/>
          <w:szCs w:val="24"/>
        </w:rPr>
        <w:t>Palavras-chave:</w:t>
      </w:r>
      <w:r w:rsidR="00B624F3">
        <w:rPr>
          <w:rFonts w:ascii="Times New Roman" w:hAnsi="Times New Roman"/>
          <w:b/>
          <w:sz w:val="24"/>
          <w:szCs w:val="24"/>
        </w:rPr>
        <w:t xml:space="preserve"> </w:t>
      </w:r>
      <w:r w:rsidR="00B624F3" w:rsidRPr="00B624F3">
        <w:rPr>
          <w:rFonts w:ascii="Times New Roman" w:hAnsi="Times New Roman"/>
          <w:sz w:val="24"/>
          <w:szCs w:val="24"/>
        </w:rPr>
        <w:t>To</w:t>
      </w:r>
      <w:r w:rsidR="00B624F3">
        <w:rPr>
          <w:rFonts w:ascii="Times New Roman" w:hAnsi="Times New Roman"/>
          <w:sz w:val="24"/>
          <w:szCs w:val="24"/>
        </w:rPr>
        <w:t>bit Durbin Espacial</w:t>
      </w:r>
      <w:r w:rsidR="005A39F1">
        <w:rPr>
          <w:rFonts w:ascii="Times New Roman" w:hAnsi="Times New Roman"/>
          <w:sz w:val="24"/>
          <w:szCs w:val="24"/>
        </w:rPr>
        <w:t>, Econometria Espacial, Saneamento Básico, Saúde.</w:t>
      </w:r>
    </w:p>
    <w:p w:rsidR="00C93CE0" w:rsidRPr="005D4236" w:rsidRDefault="00802093" w:rsidP="00C548FE">
      <w:pPr>
        <w:spacing w:after="0" w:line="240" w:lineRule="auto"/>
        <w:jc w:val="both"/>
        <w:rPr>
          <w:rFonts w:ascii="Times New Roman" w:hAnsi="Times New Roman"/>
          <w:sz w:val="24"/>
          <w:szCs w:val="24"/>
        </w:rPr>
      </w:pPr>
      <w:r>
        <w:rPr>
          <w:rFonts w:ascii="Times New Roman" w:hAnsi="Times New Roman"/>
          <w:sz w:val="24"/>
          <w:szCs w:val="24"/>
        </w:rPr>
        <w:t>JEL: O18; I18; C21</w:t>
      </w:r>
      <w:r w:rsidR="002E7592" w:rsidRPr="005D4236">
        <w:rPr>
          <w:rFonts w:ascii="Times New Roman" w:hAnsi="Times New Roman"/>
          <w:sz w:val="24"/>
          <w:szCs w:val="24"/>
        </w:rPr>
        <w:t xml:space="preserve"> </w:t>
      </w:r>
    </w:p>
    <w:p w:rsidR="002C7A3B" w:rsidRDefault="002C7A3B" w:rsidP="00C548FE">
      <w:pPr>
        <w:spacing w:after="0" w:line="240" w:lineRule="auto"/>
        <w:jc w:val="both"/>
        <w:rPr>
          <w:rFonts w:ascii="Times New Roman" w:hAnsi="Times New Roman"/>
          <w:b/>
          <w:sz w:val="24"/>
          <w:szCs w:val="24"/>
          <w:lang w:val="en-US"/>
        </w:rPr>
      </w:pPr>
    </w:p>
    <w:p w:rsidR="00C93CE0" w:rsidRPr="005D4236" w:rsidRDefault="00C93CE0" w:rsidP="00C548FE">
      <w:pPr>
        <w:spacing w:after="0" w:line="240" w:lineRule="auto"/>
        <w:jc w:val="both"/>
        <w:rPr>
          <w:rFonts w:ascii="Times New Roman" w:hAnsi="Times New Roman"/>
          <w:b/>
          <w:sz w:val="24"/>
          <w:szCs w:val="24"/>
          <w:lang w:val="en-US"/>
        </w:rPr>
      </w:pPr>
      <w:r w:rsidRPr="005D4236">
        <w:rPr>
          <w:rFonts w:ascii="Times New Roman" w:hAnsi="Times New Roman"/>
          <w:b/>
          <w:sz w:val="24"/>
          <w:szCs w:val="24"/>
          <w:lang w:val="en-US"/>
        </w:rPr>
        <w:t>Abstract</w:t>
      </w:r>
    </w:p>
    <w:p w:rsidR="00C93CE0" w:rsidRPr="005D4236" w:rsidRDefault="00B624F3" w:rsidP="00C548FE">
      <w:pPr>
        <w:spacing w:after="0" w:line="240" w:lineRule="auto"/>
        <w:jc w:val="both"/>
        <w:rPr>
          <w:rFonts w:ascii="Times New Roman" w:hAnsi="Times New Roman"/>
          <w:sz w:val="24"/>
          <w:szCs w:val="24"/>
          <w:lang w:val="en-US"/>
        </w:rPr>
      </w:pPr>
      <w:r w:rsidRPr="00B624F3">
        <w:rPr>
          <w:rFonts w:ascii="Times New Roman" w:hAnsi="Times New Roman"/>
          <w:sz w:val="24"/>
          <w:szCs w:val="24"/>
          <w:lang w:val="en-US"/>
        </w:rPr>
        <w:t>This work studies the effect of sanitation on health made use of spatial econometrics techniques. This analysis was conducted applying data at district level, which was constructed from the results from the universe of the Population Census (IBGE) by census tract, the National Register of Addresses for Statistical Purposes (CNEFE, 2011), the National Address Directory (DNE, 2015) and the Department of Informatics of the Unified Health System (DATASUS, 2010). The results indicate that, in general, access to inadequate sanitation services has a positive impact on the incidence of hospitalizations because of Diseases Related to Inadequate Environmental Sanitation (DRIES), per thousand inhabitants, the health variable considered in this study. For the population of all ages, the average total impact of a 1% increase in the share of dwellings served by rain water (stored in cisterns or cement tanks) is 0.217 cases per thousand inhabitants. Considering the percentage of dwellings with toilets connected to rudimentary cesspools, this impact is 0.035 cases per thousand inhabitants. On the other hand, with regard to the appropriate sanitation variable, the average total impact of 1% increase in the share of permanent dwellings connected to the water distribution network and whose block does not present open sewage conditions is -0.166 cases per thousand inhabitants. The variable with highest average total impact refers to the percentage of dwellings that have no toilet and,</w:t>
      </w:r>
      <w:r w:rsidR="00AF7490">
        <w:rPr>
          <w:rFonts w:ascii="Times New Roman" w:hAnsi="Times New Roman"/>
          <w:sz w:val="24"/>
          <w:szCs w:val="24"/>
          <w:lang w:val="en-US"/>
        </w:rPr>
        <w:t xml:space="preserve"> </w:t>
      </w:r>
      <w:r w:rsidRPr="00B624F3">
        <w:rPr>
          <w:rFonts w:ascii="Times New Roman" w:hAnsi="Times New Roman"/>
          <w:sz w:val="24"/>
          <w:szCs w:val="24"/>
          <w:lang w:val="en-US"/>
        </w:rPr>
        <w:t>moreover, have the presence of open sewage in their surrounding conditions. The increase in a percentage unit in this variable generates an increase of 3.281 in the rate of incidence of hospitalizations because of DRIES. Another result of this study is that the younger population is the most affected by the poor conditions to basic sanitation services.</w:t>
      </w:r>
    </w:p>
    <w:p w:rsidR="00B624F3" w:rsidRPr="005D4236" w:rsidRDefault="00C93CE0" w:rsidP="00B624F3">
      <w:pPr>
        <w:spacing w:after="0" w:line="240" w:lineRule="auto"/>
        <w:jc w:val="both"/>
        <w:rPr>
          <w:rFonts w:ascii="Times New Roman" w:hAnsi="Times New Roman"/>
          <w:sz w:val="24"/>
          <w:szCs w:val="24"/>
        </w:rPr>
      </w:pPr>
      <w:r w:rsidRPr="005D4236">
        <w:rPr>
          <w:rFonts w:ascii="Times New Roman" w:hAnsi="Times New Roman"/>
          <w:b/>
          <w:sz w:val="24"/>
          <w:szCs w:val="24"/>
          <w:lang w:val="en-US"/>
        </w:rPr>
        <w:t>Key words:</w:t>
      </w:r>
      <w:r w:rsidR="00B624F3" w:rsidRPr="00B624F3">
        <w:rPr>
          <w:rFonts w:ascii="Times New Roman" w:hAnsi="Times New Roman"/>
          <w:sz w:val="24"/>
          <w:szCs w:val="24"/>
        </w:rPr>
        <w:t xml:space="preserve"> </w:t>
      </w:r>
      <w:r w:rsidR="00B624F3">
        <w:rPr>
          <w:rFonts w:ascii="Times New Roman" w:hAnsi="Times New Roman"/>
          <w:sz w:val="24"/>
          <w:szCs w:val="24"/>
        </w:rPr>
        <w:t xml:space="preserve">Spatial Durbin Tobit, </w:t>
      </w:r>
      <w:r w:rsidR="00B624F3">
        <w:rPr>
          <w:rFonts w:ascii="Times New Roman" w:hAnsi="Times New Roman"/>
          <w:sz w:val="24"/>
          <w:szCs w:val="24"/>
          <w:lang w:val="en-US"/>
        </w:rPr>
        <w:t>Spatial E</w:t>
      </w:r>
      <w:r w:rsidR="00B624F3" w:rsidRPr="00B624F3">
        <w:rPr>
          <w:rFonts w:ascii="Times New Roman" w:hAnsi="Times New Roman"/>
          <w:sz w:val="24"/>
          <w:szCs w:val="24"/>
          <w:lang w:val="en-US"/>
        </w:rPr>
        <w:t>conometrics</w:t>
      </w:r>
      <w:r w:rsidR="00B624F3">
        <w:rPr>
          <w:rFonts w:ascii="Times New Roman" w:hAnsi="Times New Roman"/>
          <w:sz w:val="24"/>
          <w:szCs w:val="24"/>
        </w:rPr>
        <w:t xml:space="preserve">, </w:t>
      </w:r>
      <w:r w:rsidR="00B624F3">
        <w:rPr>
          <w:rFonts w:ascii="Times New Roman" w:hAnsi="Times New Roman"/>
          <w:sz w:val="24"/>
          <w:szCs w:val="24"/>
          <w:lang w:val="en-US"/>
        </w:rPr>
        <w:t>S</w:t>
      </w:r>
      <w:r w:rsidR="00B624F3" w:rsidRPr="00B624F3">
        <w:rPr>
          <w:rFonts w:ascii="Times New Roman" w:hAnsi="Times New Roman"/>
          <w:sz w:val="24"/>
          <w:szCs w:val="24"/>
          <w:lang w:val="en-US"/>
        </w:rPr>
        <w:t>anitation</w:t>
      </w:r>
      <w:r w:rsidR="00B624F3">
        <w:rPr>
          <w:rFonts w:ascii="Times New Roman" w:hAnsi="Times New Roman"/>
          <w:sz w:val="24"/>
          <w:szCs w:val="24"/>
        </w:rPr>
        <w:t xml:space="preserve">, </w:t>
      </w:r>
      <w:r w:rsidR="00B624F3">
        <w:rPr>
          <w:rFonts w:ascii="Times New Roman" w:hAnsi="Times New Roman"/>
          <w:sz w:val="24"/>
          <w:szCs w:val="24"/>
          <w:lang w:val="en-US"/>
        </w:rPr>
        <w:t>H</w:t>
      </w:r>
      <w:r w:rsidR="00B624F3" w:rsidRPr="00B624F3">
        <w:rPr>
          <w:rFonts w:ascii="Times New Roman" w:hAnsi="Times New Roman"/>
          <w:sz w:val="24"/>
          <w:szCs w:val="24"/>
          <w:lang w:val="en-US"/>
        </w:rPr>
        <w:t>ealth</w:t>
      </w:r>
      <w:r w:rsidR="00B624F3">
        <w:rPr>
          <w:rFonts w:ascii="Times New Roman" w:hAnsi="Times New Roman"/>
          <w:sz w:val="24"/>
          <w:szCs w:val="24"/>
        </w:rPr>
        <w:t>.</w:t>
      </w:r>
    </w:p>
    <w:p w:rsidR="00C93CE0" w:rsidRPr="005D4236" w:rsidRDefault="00C93CE0" w:rsidP="00C548FE">
      <w:pPr>
        <w:spacing w:after="0" w:line="240" w:lineRule="auto"/>
        <w:jc w:val="both"/>
        <w:rPr>
          <w:rFonts w:ascii="Times New Roman" w:hAnsi="Times New Roman"/>
          <w:sz w:val="24"/>
          <w:szCs w:val="24"/>
        </w:rPr>
      </w:pPr>
      <w:r w:rsidRPr="005D4236">
        <w:rPr>
          <w:rFonts w:ascii="Times New Roman" w:hAnsi="Times New Roman"/>
          <w:sz w:val="24"/>
          <w:szCs w:val="24"/>
          <w:lang w:val="en-US"/>
        </w:rPr>
        <w:t xml:space="preserve">JEL: </w:t>
      </w:r>
      <w:r w:rsidR="00802093">
        <w:rPr>
          <w:rFonts w:ascii="Times New Roman" w:hAnsi="Times New Roman"/>
          <w:sz w:val="24"/>
          <w:szCs w:val="24"/>
        </w:rPr>
        <w:t>O18; I18; C21</w:t>
      </w:r>
    </w:p>
    <w:p w:rsidR="00C93CE0" w:rsidRPr="002C7A3B" w:rsidRDefault="00C93CE0" w:rsidP="00C548FE">
      <w:pPr>
        <w:spacing w:after="0" w:line="240" w:lineRule="auto"/>
        <w:jc w:val="both"/>
        <w:rPr>
          <w:rFonts w:ascii="Times New Roman" w:hAnsi="Times New Roman"/>
          <w:b/>
          <w:sz w:val="24"/>
          <w:szCs w:val="24"/>
        </w:rPr>
      </w:pPr>
      <w:r w:rsidRPr="002C7A3B">
        <w:rPr>
          <w:rFonts w:ascii="Times New Roman" w:hAnsi="Times New Roman"/>
          <w:b/>
          <w:sz w:val="24"/>
          <w:szCs w:val="24"/>
        </w:rPr>
        <w:t>Área</w:t>
      </w:r>
      <w:r w:rsidR="002C7A3B" w:rsidRPr="002C7A3B">
        <w:rPr>
          <w:rFonts w:ascii="Times New Roman" w:hAnsi="Times New Roman"/>
          <w:b/>
          <w:sz w:val="24"/>
          <w:szCs w:val="24"/>
        </w:rPr>
        <w:t xml:space="preserve"> 10 - Economia Regional e Urbana</w:t>
      </w:r>
    </w:p>
    <w:p w:rsidR="00AE24E9" w:rsidRPr="005D4236" w:rsidRDefault="00AE24E9" w:rsidP="00C548FE">
      <w:pPr>
        <w:pStyle w:val="PargrafodaLista"/>
        <w:numPr>
          <w:ilvl w:val="0"/>
          <w:numId w:val="2"/>
        </w:numPr>
        <w:spacing w:after="0" w:line="240" w:lineRule="auto"/>
        <w:ind w:left="0" w:firstLine="0"/>
        <w:jc w:val="both"/>
        <w:rPr>
          <w:rFonts w:ascii="Times New Roman" w:hAnsi="Times New Roman"/>
          <w:b/>
          <w:sz w:val="24"/>
          <w:szCs w:val="24"/>
        </w:rPr>
      </w:pPr>
      <w:r w:rsidRPr="005D4236">
        <w:rPr>
          <w:rFonts w:ascii="Times New Roman" w:hAnsi="Times New Roman"/>
          <w:b/>
          <w:sz w:val="24"/>
          <w:szCs w:val="24"/>
        </w:rPr>
        <w:lastRenderedPageBreak/>
        <w:t>Introdução</w:t>
      </w:r>
    </w:p>
    <w:p w:rsidR="00AE24E9" w:rsidRPr="003D7736" w:rsidRDefault="00AE24E9" w:rsidP="00C548FE">
      <w:pPr>
        <w:spacing w:after="0" w:line="240" w:lineRule="auto"/>
        <w:jc w:val="both"/>
        <w:rPr>
          <w:rFonts w:ascii="Times New Roman" w:hAnsi="Times New Roman"/>
          <w:sz w:val="24"/>
          <w:szCs w:val="24"/>
        </w:rPr>
      </w:pPr>
      <w:r w:rsidRPr="005D4236">
        <w:rPr>
          <w:rFonts w:ascii="Times New Roman" w:hAnsi="Times New Roman"/>
          <w:sz w:val="24"/>
          <w:szCs w:val="24"/>
        </w:rPr>
        <w:t>A importância do saneamento básico e da sua associação com a saúde remonta a tempos mais antigos. É reconhecida e consolidada a literatura que trata dos efeitos positivos do acesso aos serviços de abastecimento de água, tratamento e coleta de esgoto tanto em relação ao</w:t>
      </w:r>
      <w:r w:rsidR="00D24B68" w:rsidRPr="005D4236">
        <w:rPr>
          <w:rFonts w:ascii="Times New Roman" w:hAnsi="Times New Roman"/>
          <w:sz w:val="24"/>
          <w:szCs w:val="24"/>
        </w:rPr>
        <w:t>s</w:t>
      </w:r>
      <w:r w:rsidRPr="005D4236">
        <w:rPr>
          <w:rFonts w:ascii="Times New Roman" w:hAnsi="Times New Roman"/>
          <w:sz w:val="24"/>
          <w:szCs w:val="24"/>
        </w:rPr>
        <w:t xml:space="preserve"> impacto</w:t>
      </w:r>
      <w:r w:rsidR="00D24B68" w:rsidRPr="005D4236">
        <w:rPr>
          <w:rFonts w:ascii="Times New Roman" w:hAnsi="Times New Roman"/>
          <w:sz w:val="24"/>
          <w:szCs w:val="24"/>
        </w:rPr>
        <w:t>s</w:t>
      </w:r>
      <w:r w:rsidRPr="005D4236">
        <w:rPr>
          <w:rFonts w:ascii="Times New Roman" w:hAnsi="Times New Roman"/>
          <w:sz w:val="24"/>
          <w:szCs w:val="24"/>
        </w:rPr>
        <w:t xml:space="preserve"> sobre mortalidade infanti</w:t>
      </w:r>
      <w:r w:rsidR="00D24B68" w:rsidRPr="005D4236">
        <w:rPr>
          <w:rFonts w:ascii="Times New Roman" w:hAnsi="Times New Roman"/>
          <w:sz w:val="24"/>
          <w:szCs w:val="24"/>
        </w:rPr>
        <w:t>l</w:t>
      </w:r>
      <w:r w:rsidR="00857AA3" w:rsidRPr="005D4236">
        <w:rPr>
          <w:rFonts w:ascii="Times New Roman" w:hAnsi="Times New Roman"/>
          <w:sz w:val="24"/>
          <w:szCs w:val="24"/>
        </w:rPr>
        <w:t>,</w:t>
      </w:r>
      <w:r w:rsidR="00D24B68" w:rsidRPr="005D4236">
        <w:rPr>
          <w:rFonts w:ascii="Times New Roman" w:hAnsi="Times New Roman"/>
          <w:sz w:val="24"/>
          <w:szCs w:val="24"/>
        </w:rPr>
        <w:t xml:space="preserve"> evidenciados </w:t>
      </w:r>
      <w:r w:rsidR="00D24B68" w:rsidRPr="003D7736">
        <w:rPr>
          <w:rFonts w:ascii="Times New Roman" w:hAnsi="Times New Roman"/>
          <w:sz w:val="24"/>
          <w:szCs w:val="24"/>
        </w:rPr>
        <w:t xml:space="preserve">por </w:t>
      </w:r>
      <w:r w:rsidRPr="003D7736">
        <w:rPr>
          <w:rFonts w:ascii="Times New Roman" w:hAnsi="Times New Roman"/>
          <w:sz w:val="24"/>
          <w:szCs w:val="24"/>
        </w:rPr>
        <w:t>Cutler e Miler (2005), Watson (2006), Geruso e Spears (2015)</w:t>
      </w:r>
      <w:r w:rsidR="00857AA3" w:rsidRPr="003D7736">
        <w:rPr>
          <w:rFonts w:ascii="Times New Roman" w:hAnsi="Times New Roman"/>
          <w:sz w:val="24"/>
          <w:szCs w:val="24"/>
        </w:rPr>
        <w:t>,</w:t>
      </w:r>
      <w:r w:rsidRPr="003D7736">
        <w:rPr>
          <w:rFonts w:ascii="Times New Roman" w:hAnsi="Times New Roman"/>
          <w:sz w:val="24"/>
          <w:szCs w:val="24"/>
        </w:rPr>
        <w:t xml:space="preserve"> quanto no que diz respei</w:t>
      </w:r>
      <w:r w:rsidR="00D24B68" w:rsidRPr="003D7736">
        <w:rPr>
          <w:rFonts w:ascii="Times New Roman" w:hAnsi="Times New Roman"/>
          <w:sz w:val="24"/>
          <w:szCs w:val="24"/>
        </w:rPr>
        <w:t>to aos indicadores de morbidez retratados por</w:t>
      </w:r>
      <w:r w:rsidR="00AA3180" w:rsidRPr="003D7736">
        <w:rPr>
          <w:rFonts w:ascii="Times New Roman" w:hAnsi="Times New Roman"/>
          <w:sz w:val="24"/>
          <w:szCs w:val="24"/>
        </w:rPr>
        <w:t xml:space="preserve"> Bleakley</w:t>
      </w:r>
      <w:r w:rsidRPr="003D7736">
        <w:rPr>
          <w:rFonts w:ascii="Times New Roman" w:hAnsi="Times New Roman"/>
          <w:sz w:val="24"/>
          <w:szCs w:val="24"/>
        </w:rPr>
        <w:t xml:space="preserve"> (2007), Duflo et al. (2015), Fewtrell et al. (2005).</w:t>
      </w:r>
    </w:p>
    <w:p w:rsidR="00AE24E9" w:rsidRPr="003D7736" w:rsidRDefault="00AE24E9" w:rsidP="00C548FE">
      <w:pPr>
        <w:spacing w:after="0" w:line="240" w:lineRule="auto"/>
        <w:jc w:val="both"/>
        <w:rPr>
          <w:rFonts w:ascii="Times New Roman" w:hAnsi="Times New Roman"/>
          <w:sz w:val="24"/>
          <w:szCs w:val="24"/>
        </w:rPr>
      </w:pPr>
      <w:r w:rsidRPr="003D7736">
        <w:rPr>
          <w:rFonts w:ascii="Times New Roman" w:hAnsi="Times New Roman"/>
          <w:sz w:val="24"/>
          <w:szCs w:val="24"/>
        </w:rPr>
        <w:t>As precárias condições de saneamento básico propiciam a transmissão de bactérias, vírus e parasitas, que estão presentes nas fezes, urina ou vômito do doente ou portador, causadores de diversas doenças infectocontagiosas. A diarreia é a mais conhecida dentre elas, pelo</w:t>
      </w:r>
      <w:r w:rsidR="00D24B68" w:rsidRPr="003D7736">
        <w:rPr>
          <w:rFonts w:ascii="Times New Roman" w:hAnsi="Times New Roman"/>
          <w:sz w:val="24"/>
          <w:szCs w:val="24"/>
        </w:rPr>
        <w:t>s</w:t>
      </w:r>
      <w:r w:rsidRPr="003D7736">
        <w:rPr>
          <w:rFonts w:ascii="Times New Roman" w:hAnsi="Times New Roman"/>
          <w:sz w:val="24"/>
          <w:szCs w:val="24"/>
        </w:rPr>
        <w:t xml:space="preserve"> seus efeitos devastadores sobre a taxa de mortalidade infantil em diversos países do mundo. No entanto, existem diversas outras</w:t>
      </w:r>
      <w:r w:rsidR="00D24B68" w:rsidRPr="003D7736">
        <w:rPr>
          <w:rFonts w:ascii="Times New Roman" w:hAnsi="Times New Roman"/>
          <w:sz w:val="24"/>
          <w:szCs w:val="24"/>
        </w:rPr>
        <w:t xml:space="preserve"> doenças</w:t>
      </w:r>
      <w:r w:rsidRPr="003D7736">
        <w:rPr>
          <w:rFonts w:ascii="Times New Roman" w:hAnsi="Times New Roman"/>
          <w:sz w:val="24"/>
          <w:szCs w:val="24"/>
        </w:rPr>
        <w:t xml:space="preserve"> que também merecem preocupação quanto aos danos causados à população, em especial às crianças</w:t>
      </w:r>
      <w:r w:rsidR="00857AA3" w:rsidRPr="003D7736">
        <w:rPr>
          <w:rFonts w:ascii="Times New Roman" w:hAnsi="Times New Roman"/>
          <w:sz w:val="24"/>
          <w:szCs w:val="24"/>
        </w:rPr>
        <w:t xml:space="preserve">, tais como a </w:t>
      </w:r>
      <w:r w:rsidRPr="003D7736">
        <w:rPr>
          <w:rFonts w:ascii="Times New Roman" w:hAnsi="Times New Roman"/>
          <w:sz w:val="24"/>
          <w:szCs w:val="24"/>
        </w:rPr>
        <w:t>esquistossomose</w:t>
      </w:r>
      <w:r w:rsidR="00857AA3" w:rsidRPr="003D7736">
        <w:rPr>
          <w:rFonts w:ascii="Times New Roman" w:hAnsi="Times New Roman"/>
          <w:sz w:val="24"/>
          <w:szCs w:val="24"/>
        </w:rPr>
        <w:t xml:space="preserve">, </w:t>
      </w:r>
      <w:r w:rsidRPr="003D7736">
        <w:rPr>
          <w:rFonts w:ascii="Times New Roman" w:hAnsi="Times New Roman"/>
          <w:sz w:val="24"/>
          <w:szCs w:val="24"/>
        </w:rPr>
        <w:t>febre amarela</w:t>
      </w:r>
      <w:r w:rsidR="00857AA3" w:rsidRPr="003D7736">
        <w:rPr>
          <w:rFonts w:ascii="Times New Roman" w:hAnsi="Times New Roman"/>
          <w:sz w:val="24"/>
          <w:szCs w:val="24"/>
        </w:rPr>
        <w:t xml:space="preserve"> e</w:t>
      </w:r>
      <w:r w:rsidRPr="005D4236">
        <w:rPr>
          <w:rFonts w:ascii="Times New Roman" w:hAnsi="Times New Roman"/>
          <w:sz w:val="24"/>
          <w:szCs w:val="24"/>
        </w:rPr>
        <w:t xml:space="preserve"> malária.</w:t>
      </w:r>
      <w:r w:rsidR="00D24B68" w:rsidRPr="005D4236">
        <w:rPr>
          <w:rFonts w:ascii="Times New Roman" w:hAnsi="Times New Roman"/>
          <w:sz w:val="24"/>
          <w:szCs w:val="24"/>
        </w:rPr>
        <w:t xml:space="preserve"> </w:t>
      </w:r>
      <w:r w:rsidRPr="005D4236">
        <w:rPr>
          <w:rFonts w:ascii="Times New Roman" w:hAnsi="Times New Roman"/>
          <w:sz w:val="24"/>
          <w:szCs w:val="24"/>
        </w:rPr>
        <w:t>A grande importância em diminuir as taxas de incidência de tais doenças levou a Fundação Nacional da Saúde (Funasa, 2004) a classifica-las</w:t>
      </w:r>
      <w:r w:rsidR="00D24B68" w:rsidRPr="005D4236">
        <w:rPr>
          <w:rFonts w:ascii="Times New Roman" w:hAnsi="Times New Roman"/>
          <w:sz w:val="24"/>
          <w:szCs w:val="24"/>
        </w:rPr>
        <w:t xml:space="preserve"> como</w:t>
      </w:r>
      <w:r w:rsidRPr="005D4236">
        <w:rPr>
          <w:rFonts w:ascii="Times New Roman" w:hAnsi="Times New Roman"/>
          <w:sz w:val="24"/>
          <w:szCs w:val="24"/>
        </w:rPr>
        <w:t xml:space="preserve"> Doenças </w:t>
      </w:r>
      <w:r w:rsidRPr="003D7736">
        <w:rPr>
          <w:rFonts w:ascii="Times New Roman" w:hAnsi="Times New Roman"/>
          <w:sz w:val="24"/>
          <w:szCs w:val="24"/>
        </w:rPr>
        <w:t xml:space="preserve">Relacionadas ao Saneamento Ambiental Inadequado (DRSAI) </w:t>
      </w:r>
      <w:r w:rsidR="00AF7490">
        <w:rPr>
          <w:rFonts w:ascii="Times New Roman" w:hAnsi="Times New Roman"/>
          <w:sz w:val="24"/>
          <w:szCs w:val="24"/>
        </w:rPr>
        <w:t>baseada</w:t>
      </w:r>
      <w:r w:rsidRPr="003D7736">
        <w:rPr>
          <w:rFonts w:ascii="Times New Roman" w:hAnsi="Times New Roman"/>
          <w:sz w:val="24"/>
          <w:szCs w:val="24"/>
        </w:rPr>
        <w:t xml:space="preserve"> na proposta de classificação das doenças de Cairncross e Feachem (1990; 1993) e Mara e Feachem (1999).</w:t>
      </w:r>
    </w:p>
    <w:p w:rsidR="002E7592" w:rsidRPr="005D4236" w:rsidRDefault="00F25932" w:rsidP="00C548FE">
      <w:pPr>
        <w:spacing w:after="0" w:line="240" w:lineRule="auto"/>
        <w:jc w:val="both"/>
        <w:rPr>
          <w:rFonts w:ascii="Times New Roman" w:hAnsi="Times New Roman"/>
          <w:sz w:val="24"/>
          <w:szCs w:val="24"/>
        </w:rPr>
      </w:pPr>
      <w:r w:rsidRPr="003D7736">
        <w:rPr>
          <w:rFonts w:ascii="Times New Roman" w:hAnsi="Times New Roman"/>
          <w:sz w:val="24"/>
          <w:szCs w:val="24"/>
        </w:rPr>
        <w:t>A partir do reconhecimento milenar desta associação entre saneamento e saúde, o pre</w:t>
      </w:r>
      <w:r w:rsidR="00F874C1">
        <w:rPr>
          <w:rFonts w:ascii="Times New Roman" w:hAnsi="Times New Roman"/>
          <w:sz w:val="24"/>
          <w:szCs w:val="24"/>
        </w:rPr>
        <w:t>sente artigo investiga</w:t>
      </w:r>
      <w:r w:rsidR="00A652ED" w:rsidRPr="003D7736">
        <w:rPr>
          <w:rFonts w:ascii="Times New Roman" w:hAnsi="Times New Roman"/>
          <w:sz w:val="24"/>
          <w:szCs w:val="24"/>
        </w:rPr>
        <w:t>, a</w:t>
      </w:r>
      <w:r w:rsidR="00AF7490">
        <w:rPr>
          <w:rFonts w:ascii="Times New Roman" w:hAnsi="Times New Roman"/>
          <w:sz w:val="24"/>
          <w:szCs w:val="24"/>
        </w:rPr>
        <w:t xml:space="preserve"> partir de uma análise espacial que controla </w:t>
      </w:r>
      <w:r w:rsidR="00AF7490" w:rsidRPr="00AF7490">
        <w:rPr>
          <w:rFonts w:ascii="Times New Roman" w:hAnsi="Times New Roman"/>
          <w:sz w:val="24"/>
          <w:szCs w:val="24"/>
        </w:rPr>
        <w:t xml:space="preserve">a censura dos dados </w:t>
      </w:r>
      <w:r w:rsidR="00AF7490">
        <w:rPr>
          <w:rFonts w:ascii="Times New Roman" w:hAnsi="Times New Roman"/>
          <w:sz w:val="24"/>
          <w:szCs w:val="24"/>
        </w:rPr>
        <w:t xml:space="preserve">por meio de um </w:t>
      </w:r>
      <w:r w:rsidR="00AF7490" w:rsidRPr="00AF7490">
        <w:rPr>
          <w:rFonts w:ascii="Times New Roman" w:hAnsi="Times New Roman"/>
          <w:i/>
          <w:sz w:val="24"/>
          <w:szCs w:val="24"/>
        </w:rPr>
        <w:t>Spatial Durbin Model Tobit</w:t>
      </w:r>
      <w:r w:rsidR="00AF7490">
        <w:rPr>
          <w:rFonts w:ascii="Times New Roman" w:hAnsi="Times New Roman"/>
          <w:sz w:val="24"/>
          <w:szCs w:val="24"/>
        </w:rPr>
        <w:t>,</w:t>
      </w:r>
      <w:r w:rsidR="00F874C1">
        <w:rPr>
          <w:rFonts w:ascii="Times New Roman" w:hAnsi="Times New Roman"/>
          <w:sz w:val="24"/>
          <w:szCs w:val="24"/>
        </w:rPr>
        <w:t xml:space="preserve"> </w:t>
      </w:r>
      <w:r w:rsidRPr="003D7736">
        <w:rPr>
          <w:rFonts w:ascii="Times New Roman" w:hAnsi="Times New Roman"/>
          <w:sz w:val="24"/>
          <w:szCs w:val="24"/>
        </w:rPr>
        <w:t>as consequências</w:t>
      </w:r>
      <w:r w:rsidR="00CE50A8" w:rsidRPr="003D7736">
        <w:rPr>
          <w:rFonts w:ascii="Times New Roman" w:hAnsi="Times New Roman"/>
          <w:sz w:val="24"/>
          <w:szCs w:val="24"/>
        </w:rPr>
        <w:t xml:space="preserve"> das DRSAI</w:t>
      </w:r>
      <w:r w:rsidRPr="003D7736">
        <w:rPr>
          <w:rFonts w:ascii="Times New Roman" w:hAnsi="Times New Roman"/>
          <w:sz w:val="24"/>
          <w:szCs w:val="24"/>
        </w:rPr>
        <w:t xml:space="preserve"> sobre</w:t>
      </w:r>
      <w:r w:rsidR="005D656C" w:rsidRPr="003D7736">
        <w:rPr>
          <w:rFonts w:ascii="Times New Roman" w:hAnsi="Times New Roman"/>
          <w:sz w:val="24"/>
          <w:szCs w:val="24"/>
        </w:rPr>
        <w:t xml:space="preserve"> a saúde de toda população e das</w:t>
      </w:r>
      <w:r w:rsidR="00CE50A8" w:rsidRPr="003D7736">
        <w:rPr>
          <w:rFonts w:ascii="Times New Roman" w:hAnsi="Times New Roman"/>
          <w:sz w:val="24"/>
          <w:szCs w:val="24"/>
        </w:rPr>
        <w:t xml:space="preserve"> crianças</w:t>
      </w:r>
      <w:r w:rsidR="003D7736">
        <w:rPr>
          <w:rFonts w:ascii="Times New Roman" w:hAnsi="Times New Roman"/>
          <w:sz w:val="24"/>
          <w:szCs w:val="24"/>
        </w:rPr>
        <w:t xml:space="preserve"> de 0 a 14 anos</w:t>
      </w:r>
      <w:r w:rsidR="00F874C1">
        <w:rPr>
          <w:rFonts w:ascii="Times New Roman" w:hAnsi="Times New Roman"/>
          <w:sz w:val="24"/>
          <w:szCs w:val="24"/>
        </w:rPr>
        <w:t xml:space="preserve">. Os </w:t>
      </w:r>
      <w:r w:rsidR="00A652ED" w:rsidRPr="003D7736">
        <w:rPr>
          <w:rFonts w:ascii="Times New Roman" w:hAnsi="Times New Roman"/>
          <w:sz w:val="24"/>
          <w:szCs w:val="24"/>
        </w:rPr>
        <w:t>dados</w:t>
      </w:r>
      <w:r w:rsidR="00F874C1">
        <w:rPr>
          <w:rFonts w:ascii="Times New Roman" w:hAnsi="Times New Roman"/>
          <w:sz w:val="24"/>
          <w:szCs w:val="24"/>
        </w:rPr>
        <w:t xml:space="preserve"> utilizados,</w:t>
      </w:r>
      <w:r w:rsidRPr="003D7736">
        <w:rPr>
          <w:rFonts w:ascii="Times New Roman" w:hAnsi="Times New Roman"/>
          <w:sz w:val="24"/>
          <w:szCs w:val="24"/>
        </w:rPr>
        <w:t xml:space="preserve"> não disponíveis</w:t>
      </w:r>
      <w:r w:rsidRPr="005D4236">
        <w:rPr>
          <w:rFonts w:ascii="Times New Roman" w:hAnsi="Times New Roman"/>
          <w:sz w:val="24"/>
          <w:szCs w:val="24"/>
        </w:rPr>
        <w:t xml:space="preserve"> em domínio público</w:t>
      </w:r>
      <w:r w:rsidR="00F874C1">
        <w:rPr>
          <w:rFonts w:ascii="Times New Roman" w:hAnsi="Times New Roman"/>
          <w:sz w:val="24"/>
          <w:szCs w:val="24"/>
        </w:rPr>
        <w:t>, foram</w:t>
      </w:r>
      <w:r w:rsidRPr="005D4236">
        <w:rPr>
          <w:rFonts w:ascii="Times New Roman" w:hAnsi="Times New Roman"/>
          <w:sz w:val="24"/>
          <w:szCs w:val="24"/>
        </w:rPr>
        <w:t xml:space="preserve"> construídos</w:t>
      </w:r>
      <w:r w:rsidR="00A652ED" w:rsidRPr="005D4236">
        <w:rPr>
          <w:rFonts w:ascii="Times New Roman" w:hAnsi="Times New Roman"/>
          <w:sz w:val="24"/>
          <w:szCs w:val="24"/>
        </w:rPr>
        <w:t xml:space="preserve"> em</w:t>
      </w:r>
      <w:r w:rsidRPr="005D4236">
        <w:rPr>
          <w:rFonts w:ascii="Times New Roman" w:hAnsi="Times New Roman"/>
          <w:sz w:val="24"/>
          <w:szCs w:val="24"/>
        </w:rPr>
        <w:t xml:space="preserve"> nível </w:t>
      </w:r>
      <w:r w:rsidR="00A652ED" w:rsidRPr="005D4236">
        <w:rPr>
          <w:rFonts w:ascii="Times New Roman" w:hAnsi="Times New Roman"/>
          <w:sz w:val="24"/>
          <w:szCs w:val="24"/>
        </w:rPr>
        <w:t>distrital</w:t>
      </w:r>
      <w:r w:rsidR="005D656C" w:rsidRPr="005D4236">
        <w:rPr>
          <w:rFonts w:ascii="Times New Roman" w:hAnsi="Times New Roman"/>
          <w:sz w:val="24"/>
          <w:szCs w:val="24"/>
        </w:rPr>
        <w:t xml:space="preserve"> para o ano de 2010</w:t>
      </w:r>
      <w:r w:rsidR="00F874C1">
        <w:rPr>
          <w:rFonts w:ascii="Times New Roman" w:hAnsi="Times New Roman"/>
          <w:sz w:val="24"/>
          <w:szCs w:val="24"/>
        </w:rPr>
        <w:t xml:space="preserve"> com o objetivo de comprovar de forma mais realista as hipóteses dos efeitos espaciais estabelecidas neste trabalho</w:t>
      </w:r>
      <w:r w:rsidRPr="005D4236">
        <w:rPr>
          <w:rFonts w:ascii="Times New Roman" w:hAnsi="Times New Roman"/>
          <w:sz w:val="24"/>
          <w:szCs w:val="24"/>
        </w:rPr>
        <w:t>.</w:t>
      </w:r>
      <w:r w:rsidR="005D656C" w:rsidRPr="005D4236">
        <w:rPr>
          <w:rFonts w:ascii="Times New Roman" w:hAnsi="Times New Roman"/>
          <w:sz w:val="24"/>
          <w:szCs w:val="24"/>
        </w:rPr>
        <w:t xml:space="preserve"> </w:t>
      </w:r>
      <w:r w:rsidR="0023145E" w:rsidRPr="005D4236">
        <w:rPr>
          <w:rFonts w:ascii="Times New Roman" w:hAnsi="Times New Roman"/>
          <w:sz w:val="24"/>
          <w:szCs w:val="24"/>
        </w:rPr>
        <w:t>O artigo está dividido em seis seções incluindo essa introdução</w:t>
      </w:r>
      <w:r w:rsidR="003D7736">
        <w:rPr>
          <w:rFonts w:ascii="Times New Roman" w:hAnsi="Times New Roman"/>
          <w:sz w:val="24"/>
          <w:szCs w:val="24"/>
        </w:rPr>
        <w:t>. A próxima seção trata da revisão bibliográfica, a terceira da metodologia</w:t>
      </w:r>
      <w:r w:rsidR="003A214C">
        <w:rPr>
          <w:rFonts w:ascii="Times New Roman" w:hAnsi="Times New Roman"/>
          <w:sz w:val="24"/>
          <w:szCs w:val="24"/>
        </w:rPr>
        <w:t xml:space="preserve"> e dos dados utilizados</w:t>
      </w:r>
      <w:r w:rsidR="003D7736">
        <w:rPr>
          <w:rFonts w:ascii="Times New Roman" w:hAnsi="Times New Roman"/>
          <w:sz w:val="24"/>
          <w:szCs w:val="24"/>
        </w:rPr>
        <w:t xml:space="preserve">, a quarta apresenta os resultados e a última tece as conclusões. </w:t>
      </w:r>
    </w:p>
    <w:p w:rsidR="004C20B5" w:rsidRPr="005D4236" w:rsidRDefault="004C20B5" w:rsidP="00C548FE">
      <w:pPr>
        <w:pStyle w:val="PargrafodaLista"/>
        <w:spacing w:after="0" w:line="240" w:lineRule="auto"/>
        <w:ind w:left="714"/>
        <w:jc w:val="both"/>
        <w:rPr>
          <w:rFonts w:ascii="Times New Roman" w:hAnsi="Times New Roman"/>
          <w:b/>
          <w:sz w:val="24"/>
          <w:szCs w:val="24"/>
        </w:rPr>
      </w:pPr>
    </w:p>
    <w:p w:rsidR="0040081D" w:rsidRPr="005D4236" w:rsidRDefault="002E7592" w:rsidP="00C548FE">
      <w:pPr>
        <w:pStyle w:val="PargrafodaLista"/>
        <w:numPr>
          <w:ilvl w:val="0"/>
          <w:numId w:val="2"/>
        </w:numPr>
        <w:spacing w:after="0" w:line="240" w:lineRule="auto"/>
        <w:ind w:left="0" w:firstLine="0"/>
        <w:jc w:val="both"/>
        <w:rPr>
          <w:rFonts w:ascii="Times New Roman" w:hAnsi="Times New Roman"/>
          <w:b/>
          <w:sz w:val="24"/>
          <w:szCs w:val="24"/>
        </w:rPr>
      </w:pPr>
      <w:r w:rsidRPr="005D4236">
        <w:rPr>
          <w:rFonts w:ascii="Times New Roman" w:hAnsi="Times New Roman"/>
          <w:b/>
          <w:sz w:val="24"/>
          <w:szCs w:val="24"/>
        </w:rPr>
        <w:t>Revisão bibliográfica</w:t>
      </w:r>
    </w:p>
    <w:p w:rsidR="004D26F1" w:rsidRPr="005D4236" w:rsidRDefault="003A214C" w:rsidP="00C548FE">
      <w:pPr>
        <w:spacing w:after="0" w:line="240" w:lineRule="auto"/>
        <w:jc w:val="both"/>
        <w:rPr>
          <w:rFonts w:ascii="Times New Roman" w:hAnsi="Times New Roman"/>
          <w:sz w:val="24"/>
          <w:szCs w:val="24"/>
        </w:rPr>
      </w:pPr>
      <w:r>
        <w:rPr>
          <w:rFonts w:ascii="Times New Roman" w:hAnsi="Times New Roman"/>
          <w:sz w:val="24"/>
          <w:szCs w:val="24"/>
        </w:rPr>
        <w:t>O</w:t>
      </w:r>
      <w:r w:rsidR="002D26E5" w:rsidRPr="005D4236">
        <w:rPr>
          <w:rFonts w:ascii="Times New Roman" w:hAnsi="Times New Roman"/>
          <w:sz w:val="24"/>
          <w:szCs w:val="24"/>
        </w:rPr>
        <w:t xml:space="preserve"> objetivo desta seção é </w:t>
      </w:r>
      <w:r>
        <w:rPr>
          <w:rFonts w:ascii="Times New Roman" w:hAnsi="Times New Roman"/>
          <w:sz w:val="24"/>
          <w:szCs w:val="24"/>
        </w:rPr>
        <w:t>apresentar</w:t>
      </w:r>
      <w:r w:rsidR="002D26E5" w:rsidRPr="005D4236">
        <w:rPr>
          <w:rFonts w:ascii="Times New Roman" w:hAnsi="Times New Roman"/>
          <w:sz w:val="24"/>
          <w:szCs w:val="24"/>
        </w:rPr>
        <w:t xml:space="preserve"> a</w:t>
      </w:r>
      <w:r>
        <w:rPr>
          <w:rFonts w:ascii="Times New Roman" w:hAnsi="Times New Roman"/>
          <w:sz w:val="24"/>
          <w:szCs w:val="24"/>
        </w:rPr>
        <w:t xml:space="preserve"> literatura acerca da</w:t>
      </w:r>
      <w:r w:rsidR="002D26E5" w:rsidRPr="005D4236">
        <w:rPr>
          <w:rFonts w:ascii="Times New Roman" w:hAnsi="Times New Roman"/>
          <w:sz w:val="24"/>
          <w:szCs w:val="24"/>
        </w:rPr>
        <w:t xml:space="preserve"> relação entre</w:t>
      </w:r>
      <w:r>
        <w:rPr>
          <w:rFonts w:ascii="Times New Roman" w:hAnsi="Times New Roman"/>
          <w:sz w:val="24"/>
          <w:szCs w:val="24"/>
        </w:rPr>
        <w:t xml:space="preserve"> o acesso aos</w:t>
      </w:r>
      <w:r w:rsidR="002D26E5" w:rsidRPr="005D4236">
        <w:rPr>
          <w:rFonts w:ascii="Times New Roman" w:hAnsi="Times New Roman"/>
          <w:sz w:val="24"/>
          <w:szCs w:val="24"/>
        </w:rPr>
        <w:t xml:space="preserve"> serv</w:t>
      </w:r>
      <w:r w:rsidR="002A475D" w:rsidRPr="005D4236">
        <w:rPr>
          <w:rFonts w:ascii="Times New Roman" w:hAnsi="Times New Roman"/>
          <w:sz w:val="24"/>
          <w:szCs w:val="24"/>
        </w:rPr>
        <w:t xml:space="preserve">iços de saneamento básico e as DRSAI </w:t>
      </w:r>
      <w:r w:rsidR="002D26E5" w:rsidRPr="005D4236">
        <w:rPr>
          <w:rFonts w:ascii="Times New Roman" w:hAnsi="Times New Roman"/>
          <w:sz w:val="24"/>
          <w:szCs w:val="24"/>
        </w:rPr>
        <w:t>qu</w:t>
      </w:r>
      <w:r w:rsidR="002A475D" w:rsidRPr="005D4236">
        <w:rPr>
          <w:rFonts w:ascii="Times New Roman" w:hAnsi="Times New Roman"/>
          <w:sz w:val="24"/>
          <w:szCs w:val="24"/>
        </w:rPr>
        <w:t>e</w:t>
      </w:r>
      <w:r>
        <w:rPr>
          <w:rFonts w:ascii="Times New Roman" w:hAnsi="Times New Roman"/>
          <w:sz w:val="24"/>
          <w:szCs w:val="24"/>
        </w:rPr>
        <w:t>,</w:t>
      </w:r>
      <w:r w:rsidR="002A475D" w:rsidRPr="005D4236">
        <w:rPr>
          <w:rFonts w:ascii="Times New Roman" w:hAnsi="Times New Roman"/>
          <w:sz w:val="24"/>
          <w:szCs w:val="24"/>
        </w:rPr>
        <w:t xml:space="preserve"> não levam o indivíduo a óbito, mas que</w:t>
      </w:r>
      <w:r w:rsidR="00FA78DC" w:rsidRPr="005D4236">
        <w:rPr>
          <w:rFonts w:ascii="Times New Roman" w:hAnsi="Times New Roman"/>
          <w:sz w:val="24"/>
          <w:szCs w:val="24"/>
        </w:rPr>
        <w:t xml:space="preserve"> podem</w:t>
      </w:r>
      <w:r w:rsidR="004D26F1" w:rsidRPr="005D4236">
        <w:rPr>
          <w:rFonts w:ascii="Times New Roman" w:hAnsi="Times New Roman"/>
          <w:sz w:val="24"/>
          <w:szCs w:val="24"/>
        </w:rPr>
        <w:t xml:space="preserve"> gera</w:t>
      </w:r>
      <w:r w:rsidR="00FA78DC" w:rsidRPr="005D4236">
        <w:rPr>
          <w:rFonts w:ascii="Times New Roman" w:hAnsi="Times New Roman"/>
          <w:sz w:val="24"/>
          <w:szCs w:val="24"/>
        </w:rPr>
        <w:t>r</w:t>
      </w:r>
      <w:r w:rsidR="004D26F1" w:rsidRPr="005D4236">
        <w:rPr>
          <w:rFonts w:ascii="Times New Roman" w:hAnsi="Times New Roman"/>
          <w:sz w:val="24"/>
          <w:szCs w:val="24"/>
        </w:rPr>
        <w:t xml:space="preserve"> um estado de saúde debilitado e</w:t>
      </w:r>
      <w:r>
        <w:rPr>
          <w:rFonts w:ascii="Times New Roman" w:hAnsi="Times New Roman"/>
          <w:sz w:val="24"/>
          <w:szCs w:val="24"/>
        </w:rPr>
        <w:t xml:space="preserve"> gerar preocupantes impactos socioeconômicosno no longo prazo.</w:t>
      </w:r>
    </w:p>
    <w:p w:rsidR="004D26F1" w:rsidRPr="005D4236" w:rsidRDefault="00FA78DC" w:rsidP="00C548FE">
      <w:pPr>
        <w:spacing w:after="0" w:line="240" w:lineRule="auto"/>
        <w:jc w:val="both"/>
        <w:rPr>
          <w:rFonts w:ascii="Times New Roman" w:hAnsi="Times New Roman"/>
          <w:sz w:val="24"/>
          <w:szCs w:val="24"/>
        </w:rPr>
      </w:pPr>
      <w:r w:rsidRPr="003D7736">
        <w:rPr>
          <w:rFonts w:ascii="Times New Roman" w:hAnsi="Times New Roman"/>
          <w:sz w:val="24"/>
          <w:szCs w:val="24"/>
        </w:rPr>
        <w:t>Fewtrell et. al. (2005) concluíram que abastecimento de água, coleta de esgoto, práticas higiênicas e também a combinação destas ações foram efetivas na redução de doenças</w:t>
      </w:r>
      <w:r w:rsidR="000D35EF" w:rsidRPr="003D7736">
        <w:rPr>
          <w:rFonts w:ascii="Times New Roman" w:hAnsi="Times New Roman"/>
          <w:sz w:val="24"/>
          <w:szCs w:val="24"/>
        </w:rPr>
        <w:t xml:space="preserve"> diarreicas</w:t>
      </w:r>
      <w:r w:rsidRPr="003D7736">
        <w:rPr>
          <w:rFonts w:ascii="Times New Roman" w:hAnsi="Times New Roman"/>
          <w:sz w:val="24"/>
          <w:szCs w:val="24"/>
        </w:rPr>
        <w:t xml:space="preserve">, com destaque para as intervenções associadas à qualidade da água, que se mostraram ainda mais eficientes. Porém, estudo de Esrey (1991) destaca superioridade da intervenção de esgotamento sanitário comparativamente à oferta de água na queda de incidência de diversas doenças relacionadas à saneamento. </w:t>
      </w:r>
      <w:r w:rsidR="004D26F1" w:rsidRPr="003D7736">
        <w:rPr>
          <w:rFonts w:ascii="Times New Roman" w:hAnsi="Times New Roman"/>
          <w:sz w:val="24"/>
          <w:szCs w:val="24"/>
        </w:rPr>
        <w:t>Duflo et al (2015) estimaram o impacto de um programa integrado de oferta dos serviços de água encanada e fossas higiênicas, com custo</w:t>
      </w:r>
      <w:r w:rsidR="004D26F1" w:rsidRPr="005D4236">
        <w:rPr>
          <w:rFonts w:ascii="Times New Roman" w:hAnsi="Times New Roman"/>
          <w:sz w:val="24"/>
          <w:szCs w:val="24"/>
        </w:rPr>
        <w:t xml:space="preserve"> razoável, para cada residência de um conjunto de vilas na área rural da Índia. A complementariedade de tais serviços, juntamente com as externalidades que geram, mostrou-se efetiva para a redução de doenças transmitidas pela água. Os resultados encontrados pelos autores indicaram redução em torno de 30 a 50% dos episódios de diarreia aguda e, ainda que em menor magnitude e precisão, também houve diminuição da incidência de malária.</w:t>
      </w:r>
    </w:p>
    <w:p w:rsidR="002D26E5" w:rsidRPr="003D7736" w:rsidRDefault="004D26F1" w:rsidP="00C548FE">
      <w:pPr>
        <w:spacing w:after="0" w:line="240" w:lineRule="auto"/>
        <w:jc w:val="both"/>
        <w:rPr>
          <w:rFonts w:ascii="Times New Roman" w:hAnsi="Times New Roman"/>
          <w:sz w:val="24"/>
          <w:szCs w:val="24"/>
        </w:rPr>
      </w:pPr>
      <w:r w:rsidRPr="005D4236">
        <w:rPr>
          <w:rFonts w:ascii="Times New Roman" w:hAnsi="Times New Roman"/>
          <w:sz w:val="24"/>
          <w:szCs w:val="24"/>
        </w:rPr>
        <w:t xml:space="preserve"> </w:t>
      </w:r>
      <w:r w:rsidR="002D26E5" w:rsidRPr="005D4236">
        <w:rPr>
          <w:rFonts w:ascii="Times New Roman" w:hAnsi="Times New Roman"/>
          <w:sz w:val="24"/>
          <w:szCs w:val="24"/>
        </w:rPr>
        <w:t>Em relação à malária, dentre as principais causas dessa doença estão a má qualidade da água e as poças de água parada que afetam principalmente as crianças, que se tornam adultos menos produtivos (OMS, 2004</w:t>
      </w:r>
      <w:r w:rsidR="002D26E5" w:rsidRPr="003D7736">
        <w:rPr>
          <w:rFonts w:ascii="Times New Roman" w:hAnsi="Times New Roman"/>
          <w:sz w:val="24"/>
          <w:szCs w:val="24"/>
        </w:rPr>
        <w:t>). Gallup e Sachs (2001) mostraram que países como Costa do Marfim ou Zâmbia, em que 50% da população está exposta a essa doença, tem rendimentos per capita que são um terço daqueles países em que as pessoas estão livres da contaminação pela mesma. Bleakley (2010) encontrou evidências, em vários países da América Latina, de que uma criança que cresce livre da malária ganha 50% mais por ano durante toda sua vida adulta, em comparação com uma criança que tenha contraído a doença.</w:t>
      </w:r>
    </w:p>
    <w:p w:rsidR="004D26F1" w:rsidRPr="005D4236" w:rsidRDefault="004D26F1" w:rsidP="00C548FE">
      <w:pPr>
        <w:spacing w:after="0" w:line="240" w:lineRule="auto"/>
        <w:jc w:val="both"/>
        <w:rPr>
          <w:rFonts w:ascii="Times New Roman" w:hAnsi="Times New Roman"/>
          <w:sz w:val="24"/>
          <w:szCs w:val="24"/>
        </w:rPr>
      </w:pPr>
      <w:r w:rsidRPr="003D7736">
        <w:rPr>
          <w:rFonts w:ascii="Times New Roman" w:hAnsi="Times New Roman"/>
          <w:sz w:val="24"/>
          <w:szCs w:val="24"/>
        </w:rPr>
        <w:t>Bleakley (2007)</w:t>
      </w:r>
      <w:r w:rsidR="002D26E5" w:rsidRPr="003D7736">
        <w:rPr>
          <w:rFonts w:ascii="Times New Roman" w:hAnsi="Times New Roman"/>
          <w:sz w:val="24"/>
          <w:szCs w:val="24"/>
        </w:rPr>
        <w:t xml:space="preserve"> encontrou que crianças infectadas com o parasita</w:t>
      </w:r>
      <w:r w:rsidRPr="003D7736">
        <w:rPr>
          <w:rFonts w:ascii="Times New Roman" w:hAnsi="Times New Roman"/>
          <w:sz w:val="24"/>
          <w:szCs w:val="24"/>
        </w:rPr>
        <w:t xml:space="preserve"> da ancilostomose (“amarelão”) no Sul dos Estados Unidos, que se desenvolveu em condições sanitárias inadequadas,</w:t>
      </w:r>
      <w:r w:rsidR="002D26E5" w:rsidRPr="003D7736">
        <w:rPr>
          <w:rFonts w:ascii="Times New Roman" w:hAnsi="Times New Roman"/>
          <w:sz w:val="24"/>
          <w:szCs w:val="24"/>
        </w:rPr>
        <w:t xml:space="preserve"> tinham uma probabilidade 20 por cento menor de matricular-se na escola. Além disso, os efeitos de longo prazo </w:t>
      </w:r>
      <w:r w:rsidR="002D26E5" w:rsidRPr="003D7736">
        <w:rPr>
          <w:rFonts w:ascii="Times New Roman" w:hAnsi="Times New Roman"/>
          <w:sz w:val="24"/>
          <w:szCs w:val="24"/>
        </w:rPr>
        <w:lastRenderedPageBreak/>
        <w:t>mostraram que a população infectada durante a infância teve uma redução de 40% em seus salários após se tornarem adultos. Miguel e Kremer (2004) encontraram</w:t>
      </w:r>
      <w:r w:rsidR="002D26E5" w:rsidRPr="005D4236">
        <w:rPr>
          <w:rFonts w:ascii="Times New Roman" w:hAnsi="Times New Roman"/>
          <w:sz w:val="24"/>
          <w:szCs w:val="24"/>
        </w:rPr>
        <w:t xml:space="preserve"> um efeito positivo da medicação contra helmintos (“vermes”) intestinais sobre a frequência escolar de crianças quenianas. Os autores ressaltam a importância da adequada provisão de bens públicos de saneamento, uma vez que a transmissão de tais agentes patogênicos ocorreu pela matéria fecal não tratada ou não disposta corretamente pelos mesmos.</w:t>
      </w:r>
    </w:p>
    <w:p w:rsidR="002A74EF" w:rsidRPr="003D7736" w:rsidRDefault="002D26E5" w:rsidP="00C548FE">
      <w:pPr>
        <w:spacing w:after="0" w:line="240" w:lineRule="auto"/>
        <w:jc w:val="both"/>
        <w:rPr>
          <w:rFonts w:ascii="Times New Roman" w:hAnsi="Times New Roman"/>
          <w:sz w:val="24"/>
          <w:szCs w:val="24"/>
        </w:rPr>
      </w:pPr>
      <w:r w:rsidRPr="005D4236">
        <w:rPr>
          <w:rFonts w:ascii="Times New Roman" w:hAnsi="Times New Roman"/>
          <w:sz w:val="24"/>
          <w:szCs w:val="24"/>
        </w:rPr>
        <w:t xml:space="preserve">Para o caso </w:t>
      </w:r>
      <w:r w:rsidRPr="003D7736">
        <w:rPr>
          <w:rFonts w:ascii="Times New Roman" w:hAnsi="Times New Roman"/>
          <w:sz w:val="24"/>
          <w:szCs w:val="24"/>
        </w:rPr>
        <w:t>brasileiro,</w:t>
      </w:r>
      <w:r w:rsidR="006C5173" w:rsidRPr="003D7736">
        <w:rPr>
          <w:rFonts w:ascii="Times New Roman" w:hAnsi="Times New Roman"/>
          <w:sz w:val="24"/>
          <w:szCs w:val="24"/>
        </w:rPr>
        <w:t xml:space="preserve"> Heller (1997) mostrou que um número importante de estudos epidemiológicos aponta para a associação entre condições de saneamento e saúde. Andreazzi et al. (2007) encontraram em 15 estudos associação positiva entre a variável de acesso a saneamento e a melhora da variável de saúde investigada. </w:t>
      </w:r>
      <w:r w:rsidRPr="003D7736">
        <w:rPr>
          <w:rFonts w:ascii="Times New Roman" w:hAnsi="Times New Roman"/>
          <w:sz w:val="24"/>
          <w:szCs w:val="24"/>
        </w:rPr>
        <w:t xml:space="preserve">Kassouf (1994) destacou o papel da infraestrutura residencial sobre a saúde das crianças em idade escolar. A água encanada foi importante para a melhoria da saúde das crianças na região Nordeste e no setor urbano. Na região Sul e no setor rural, o sistema de esgoto afetou positivamente a saúde das crianças. </w:t>
      </w:r>
    </w:p>
    <w:p w:rsidR="0040081D" w:rsidRPr="005D4236" w:rsidRDefault="002D26E5" w:rsidP="00C548FE">
      <w:pPr>
        <w:spacing w:after="0" w:line="240" w:lineRule="auto"/>
        <w:jc w:val="both"/>
        <w:rPr>
          <w:rFonts w:ascii="Times New Roman" w:hAnsi="Times New Roman"/>
          <w:sz w:val="24"/>
          <w:szCs w:val="24"/>
        </w:rPr>
      </w:pPr>
      <w:r w:rsidRPr="003D7736">
        <w:rPr>
          <w:rFonts w:ascii="Times New Roman" w:hAnsi="Times New Roman"/>
          <w:sz w:val="24"/>
          <w:szCs w:val="24"/>
        </w:rPr>
        <w:t xml:space="preserve">Barreto et al. (2010) </w:t>
      </w:r>
      <w:r w:rsidR="002A74EF" w:rsidRPr="003D7736">
        <w:rPr>
          <w:rFonts w:ascii="Times New Roman" w:hAnsi="Times New Roman"/>
          <w:sz w:val="24"/>
          <w:szCs w:val="24"/>
        </w:rPr>
        <w:t>a</w:t>
      </w:r>
      <w:r w:rsidRPr="003D7736">
        <w:rPr>
          <w:rFonts w:ascii="Times New Roman" w:hAnsi="Times New Roman"/>
          <w:sz w:val="24"/>
          <w:szCs w:val="24"/>
        </w:rPr>
        <w:t>pontaram queda de 21% na prevalência de diarreia nas crianças com menos de 3 anos de idade entre o</w:t>
      </w:r>
      <w:r w:rsidR="002A74EF" w:rsidRPr="003D7736">
        <w:rPr>
          <w:rFonts w:ascii="Times New Roman" w:hAnsi="Times New Roman"/>
          <w:sz w:val="24"/>
          <w:szCs w:val="24"/>
        </w:rPr>
        <w:t xml:space="preserve"> período pré e pós introdução de um</w:t>
      </w:r>
      <w:r w:rsidRPr="003D7736">
        <w:rPr>
          <w:rFonts w:ascii="Times New Roman" w:hAnsi="Times New Roman"/>
          <w:sz w:val="24"/>
          <w:szCs w:val="24"/>
        </w:rPr>
        <w:t xml:space="preserve"> programa</w:t>
      </w:r>
      <w:r w:rsidR="002A74EF" w:rsidRPr="003D7736">
        <w:rPr>
          <w:rFonts w:ascii="Times New Roman" w:hAnsi="Times New Roman"/>
          <w:sz w:val="24"/>
          <w:szCs w:val="24"/>
        </w:rPr>
        <w:t xml:space="preserve"> de saneamento em Salvador no ano de 1997</w:t>
      </w:r>
      <w:r w:rsidRPr="003D7736">
        <w:rPr>
          <w:rFonts w:ascii="Times New Roman" w:hAnsi="Times New Roman"/>
          <w:sz w:val="24"/>
          <w:szCs w:val="24"/>
        </w:rPr>
        <w:t>. O estudo ainda ressaltou que essa queda ocorreu via aumento da cobertura na vizinhança, já que o programa conseguiu diminuir a poluição fecal dos vizinhos como um todo.</w:t>
      </w:r>
      <w:r w:rsidR="006C5173" w:rsidRPr="003D7736">
        <w:rPr>
          <w:rFonts w:ascii="Times New Roman" w:hAnsi="Times New Roman"/>
          <w:sz w:val="24"/>
          <w:szCs w:val="24"/>
        </w:rPr>
        <w:t xml:space="preserve"> A partir de três regiões pré-estabelecidas em Salvador, os resultados de </w:t>
      </w:r>
      <w:r w:rsidRPr="003D7736">
        <w:rPr>
          <w:rFonts w:ascii="Times New Roman" w:hAnsi="Times New Roman"/>
          <w:sz w:val="24"/>
          <w:szCs w:val="24"/>
        </w:rPr>
        <w:t xml:space="preserve">Moraes (2003) </w:t>
      </w:r>
      <w:r w:rsidRPr="003D7736">
        <w:rPr>
          <w:rFonts w:ascii="Times New Roman" w:hAnsi="Times New Roman"/>
          <w:i/>
          <w:sz w:val="24"/>
          <w:szCs w:val="24"/>
        </w:rPr>
        <w:t>et al</w:t>
      </w:r>
      <w:r w:rsidR="006C5173" w:rsidRPr="003D7736">
        <w:rPr>
          <w:rFonts w:ascii="Times New Roman" w:hAnsi="Times New Roman"/>
          <w:i/>
          <w:sz w:val="24"/>
          <w:szCs w:val="24"/>
        </w:rPr>
        <w:t>.</w:t>
      </w:r>
      <w:r w:rsidR="006C5173" w:rsidRPr="003D7736">
        <w:rPr>
          <w:rFonts w:ascii="Times New Roman" w:hAnsi="Times New Roman"/>
          <w:sz w:val="24"/>
          <w:szCs w:val="24"/>
        </w:rPr>
        <w:t xml:space="preserve"> apontaram</w:t>
      </w:r>
      <w:r w:rsidR="006C5173" w:rsidRPr="005D4236">
        <w:rPr>
          <w:rFonts w:ascii="Times New Roman" w:hAnsi="Times New Roman"/>
          <w:sz w:val="24"/>
          <w:szCs w:val="24"/>
        </w:rPr>
        <w:t xml:space="preserve"> que a</w:t>
      </w:r>
      <w:r w:rsidRPr="005D4236">
        <w:rPr>
          <w:rFonts w:ascii="Times New Roman" w:hAnsi="Times New Roman"/>
          <w:sz w:val="24"/>
          <w:szCs w:val="24"/>
        </w:rPr>
        <w:t xml:space="preserve"> incidência de diarreia nas crianças </w:t>
      </w:r>
      <w:r w:rsidR="006C5173" w:rsidRPr="005D4236">
        <w:rPr>
          <w:rFonts w:ascii="Times New Roman" w:hAnsi="Times New Roman"/>
          <w:sz w:val="24"/>
          <w:szCs w:val="24"/>
        </w:rPr>
        <w:t>de regiões</w:t>
      </w:r>
      <w:r w:rsidRPr="005D4236">
        <w:rPr>
          <w:rFonts w:ascii="Times New Roman" w:hAnsi="Times New Roman"/>
          <w:sz w:val="24"/>
          <w:szCs w:val="24"/>
        </w:rPr>
        <w:t xml:space="preserve"> que contavam</w:t>
      </w:r>
      <w:r w:rsidR="006C5173" w:rsidRPr="005D4236">
        <w:rPr>
          <w:rFonts w:ascii="Times New Roman" w:hAnsi="Times New Roman"/>
          <w:sz w:val="24"/>
          <w:szCs w:val="24"/>
        </w:rPr>
        <w:t xml:space="preserve"> apenas</w:t>
      </w:r>
      <w:r w:rsidRPr="005D4236">
        <w:rPr>
          <w:rFonts w:ascii="Times New Roman" w:hAnsi="Times New Roman"/>
          <w:sz w:val="24"/>
          <w:szCs w:val="24"/>
        </w:rPr>
        <w:t xml:space="preserve"> com os serviços de drenagem de águas pluviais foi de dois terços da</w:t>
      </w:r>
      <w:r w:rsidR="006C5173" w:rsidRPr="005D4236">
        <w:rPr>
          <w:rFonts w:ascii="Times New Roman" w:hAnsi="Times New Roman"/>
          <w:sz w:val="24"/>
          <w:szCs w:val="24"/>
        </w:rPr>
        <w:t xml:space="preserve"> incidência de diarreia nas crianças de </w:t>
      </w:r>
      <w:r w:rsidRPr="005D4236">
        <w:rPr>
          <w:rFonts w:ascii="Times New Roman" w:hAnsi="Times New Roman"/>
          <w:sz w:val="24"/>
          <w:szCs w:val="24"/>
        </w:rPr>
        <w:t>regiões que não tinham esse serviço.</w:t>
      </w:r>
      <w:r w:rsidR="00EB40AC" w:rsidRPr="005D4236">
        <w:rPr>
          <w:rFonts w:ascii="Times New Roman" w:hAnsi="Times New Roman"/>
          <w:sz w:val="24"/>
          <w:szCs w:val="24"/>
        </w:rPr>
        <w:t xml:space="preserve"> Esse valor para as regiões</w:t>
      </w:r>
      <w:r w:rsidRPr="005D4236">
        <w:rPr>
          <w:rFonts w:ascii="Times New Roman" w:hAnsi="Times New Roman"/>
          <w:sz w:val="24"/>
          <w:szCs w:val="24"/>
        </w:rPr>
        <w:t xml:space="preserve"> que tinham drenagem e esgotamento sanitári</w:t>
      </w:r>
      <w:r w:rsidR="00EB40AC" w:rsidRPr="005D4236">
        <w:rPr>
          <w:rFonts w:ascii="Times New Roman" w:hAnsi="Times New Roman"/>
          <w:sz w:val="24"/>
          <w:szCs w:val="24"/>
        </w:rPr>
        <w:t xml:space="preserve">o foi menos que um terço </w:t>
      </w:r>
      <w:r w:rsidRPr="005D4236">
        <w:rPr>
          <w:rFonts w:ascii="Times New Roman" w:hAnsi="Times New Roman"/>
          <w:sz w:val="24"/>
          <w:szCs w:val="24"/>
        </w:rPr>
        <w:t>em comparação a regiões que não tinham nenhum desses dois serviços. Rego et al. (2004) mostrou que crianças expostas ao lixo no ambiente em que vivem tiveram probabilidade 3,98 vezes maior de ter diarreia, quando comparadas a crianças que não são expostas. De forma geral, os estudos apontam o efeito positivo de ações de saneamento sobre a queda da incidência de DRSAI, com destaque para a diarreia.</w:t>
      </w:r>
    </w:p>
    <w:p w:rsidR="000D35EF" w:rsidRPr="005D4236" w:rsidRDefault="000D35EF" w:rsidP="00C548FE">
      <w:pPr>
        <w:spacing w:after="0" w:line="240" w:lineRule="auto"/>
        <w:jc w:val="both"/>
        <w:rPr>
          <w:rFonts w:ascii="Times New Roman" w:hAnsi="Times New Roman"/>
          <w:sz w:val="24"/>
          <w:szCs w:val="24"/>
        </w:rPr>
      </w:pPr>
    </w:p>
    <w:p w:rsidR="0040081D" w:rsidRPr="005D4236" w:rsidRDefault="002E7592" w:rsidP="00C548FE">
      <w:pPr>
        <w:pStyle w:val="PargrafodaLista"/>
        <w:numPr>
          <w:ilvl w:val="0"/>
          <w:numId w:val="2"/>
        </w:numPr>
        <w:spacing w:after="0" w:line="240" w:lineRule="auto"/>
        <w:ind w:left="0" w:firstLine="0"/>
        <w:jc w:val="both"/>
        <w:rPr>
          <w:rFonts w:ascii="Times New Roman" w:hAnsi="Times New Roman"/>
          <w:b/>
          <w:sz w:val="24"/>
          <w:szCs w:val="24"/>
        </w:rPr>
      </w:pPr>
      <w:r w:rsidRPr="005D4236">
        <w:rPr>
          <w:rFonts w:ascii="Times New Roman" w:hAnsi="Times New Roman"/>
          <w:b/>
          <w:sz w:val="24"/>
          <w:szCs w:val="24"/>
        </w:rPr>
        <w:t>Metodologia</w:t>
      </w:r>
    </w:p>
    <w:p w:rsidR="00357C35" w:rsidRPr="005D4236" w:rsidRDefault="001F1893" w:rsidP="00C548FE">
      <w:pPr>
        <w:pStyle w:val="PargrafodaLista"/>
        <w:spacing w:after="0" w:line="240" w:lineRule="auto"/>
        <w:ind w:left="714" w:hanging="357"/>
        <w:jc w:val="both"/>
        <w:rPr>
          <w:rFonts w:ascii="Times New Roman" w:hAnsi="Times New Roman"/>
          <w:b/>
          <w:sz w:val="24"/>
          <w:szCs w:val="24"/>
        </w:rPr>
      </w:pPr>
      <w:r>
        <w:rPr>
          <w:rFonts w:ascii="Times New Roman" w:hAnsi="Times New Roman"/>
          <w:b/>
          <w:sz w:val="24"/>
          <w:szCs w:val="24"/>
        </w:rPr>
        <w:t>3.1</w:t>
      </w:r>
      <w:r>
        <w:rPr>
          <w:rFonts w:ascii="Times New Roman" w:hAnsi="Times New Roman"/>
          <w:b/>
          <w:sz w:val="24"/>
          <w:szCs w:val="24"/>
        </w:rPr>
        <w:tab/>
      </w:r>
      <w:r w:rsidR="00357C35" w:rsidRPr="005D4236">
        <w:rPr>
          <w:rFonts w:ascii="Times New Roman" w:hAnsi="Times New Roman"/>
          <w:b/>
          <w:sz w:val="24"/>
          <w:szCs w:val="24"/>
        </w:rPr>
        <w:t>Dados</w:t>
      </w:r>
    </w:p>
    <w:p w:rsidR="004B0A05" w:rsidRPr="005D4236" w:rsidRDefault="004B0A05" w:rsidP="00C548FE">
      <w:pPr>
        <w:spacing w:after="0" w:line="240" w:lineRule="auto"/>
        <w:jc w:val="both"/>
        <w:rPr>
          <w:rFonts w:ascii="Times New Roman" w:hAnsi="Times New Roman"/>
          <w:sz w:val="24"/>
          <w:szCs w:val="24"/>
        </w:rPr>
      </w:pPr>
      <w:r w:rsidRPr="005D4236">
        <w:rPr>
          <w:rFonts w:ascii="Times New Roman" w:hAnsi="Times New Roman"/>
          <w:sz w:val="24"/>
          <w:szCs w:val="24"/>
        </w:rPr>
        <w:t>Os dados deste trabalho são provenientes do Censo Demográfico do Universo por setor censitário (IBGE, 2010), Cadastro Nacional de Endereços para Fins Estatísticos (CNEFE, 2011), Diretório Nacional de Endereços (DNE, 2015) e Departamento de Informática do Sistema Único de Saúde (DATASUS, 2010).</w:t>
      </w:r>
    </w:p>
    <w:p w:rsidR="004B0A05" w:rsidRPr="005D4236" w:rsidRDefault="004B0A05" w:rsidP="00C548FE">
      <w:pPr>
        <w:spacing w:after="0" w:line="240" w:lineRule="auto"/>
        <w:jc w:val="both"/>
        <w:rPr>
          <w:rFonts w:ascii="Times New Roman" w:hAnsi="Times New Roman"/>
          <w:sz w:val="24"/>
          <w:szCs w:val="24"/>
        </w:rPr>
      </w:pPr>
      <w:r w:rsidRPr="005D4236">
        <w:rPr>
          <w:rFonts w:ascii="Times New Roman" w:hAnsi="Times New Roman"/>
          <w:sz w:val="24"/>
          <w:szCs w:val="24"/>
        </w:rPr>
        <w:t>Os dados por setor censitário compreendem características dos domicílios particulares e das pessoas que foram investigadas para a totalidade da população e são denominados, por convenção, resultados do universo (IBGE, 2011). O setor censitário é a menor unidade territorial, formada por área contínua, integralmente contida em área urbana ou rural, com dimensão adequada à realização da coleta de dados por um pesquisador que vai a campo por ocasião do censo. O setor constitui um conjunto de quadras, no caso de área urbana, ou uma área do município, no caso de uma área não urbanizada.</w:t>
      </w:r>
    </w:p>
    <w:p w:rsidR="004B0A05" w:rsidRPr="005D4236" w:rsidRDefault="004B0A05" w:rsidP="00C548FE">
      <w:pPr>
        <w:spacing w:after="0" w:line="240" w:lineRule="auto"/>
        <w:jc w:val="both"/>
        <w:rPr>
          <w:rFonts w:ascii="Times New Roman" w:hAnsi="Times New Roman"/>
          <w:sz w:val="24"/>
          <w:szCs w:val="24"/>
        </w:rPr>
      </w:pPr>
      <w:r w:rsidRPr="005D4236">
        <w:rPr>
          <w:rFonts w:ascii="Times New Roman" w:hAnsi="Times New Roman"/>
          <w:sz w:val="24"/>
          <w:szCs w:val="24"/>
        </w:rPr>
        <w:t>Nesse estudo utilizaram-se dados por setor censitário, agregados por distritos</w:t>
      </w:r>
      <w:r w:rsidR="001669E0" w:rsidRPr="005D4236">
        <w:rPr>
          <w:rStyle w:val="Refdenotaderodap"/>
          <w:rFonts w:ascii="Times New Roman" w:hAnsi="Times New Roman"/>
          <w:sz w:val="24"/>
          <w:szCs w:val="24"/>
        </w:rPr>
        <w:footnoteReference w:id="1"/>
      </w:r>
      <w:r w:rsidRPr="005D4236">
        <w:rPr>
          <w:rFonts w:ascii="Times New Roman" w:hAnsi="Times New Roman"/>
          <w:sz w:val="24"/>
          <w:szCs w:val="24"/>
        </w:rPr>
        <w:t xml:space="preserve">, com o objetivo de se alcançar um nível de desagregação menor que o municipal. </w:t>
      </w:r>
    </w:p>
    <w:p w:rsidR="008D7B11" w:rsidRDefault="004B0A05" w:rsidP="00C548FE">
      <w:pPr>
        <w:spacing w:after="0" w:line="240" w:lineRule="auto"/>
        <w:jc w:val="both"/>
        <w:rPr>
          <w:rFonts w:ascii="Times New Roman" w:hAnsi="Times New Roman"/>
          <w:sz w:val="24"/>
          <w:szCs w:val="24"/>
        </w:rPr>
      </w:pPr>
      <w:r w:rsidRPr="005D4236">
        <w:rPr>
          <w:rFonts w:ascii="Times New Roman" w:hAnsi="Times New Roman"/>
          <w:sz w:val="24"/>
          <w:szCs w:val="24"/>
        </w:rPr>
        <w:t>O menor nível de desagregação é relevante para o problema em análise, pois o deslocamento dos agentes patogênicos pode ocorrer mais facilmente entre distritos, mas menos provavelmente ent</w:t>
      </w:r>
      <w:r w:rsidR="001669E0" w:rsidRPr="005D4236">
        <w:rPr>
          <w:rFonts w:ascii="Times New Roman" w:hAnsi="Times New Roman"/>
          <w:sz w:val="24"/>
          <w:szCs w:val="24"/>
        </w:rPr>
        <w:t xml:space="preserve">re municípios. Além disso, a justificativa dessa desagregação, além do menor raio de deslocamento dos agentes patogênicos, encontra-se na percepção de que as condições de saneamento básico de um município tendem a ser muito heterogêneas entre diferentes </w:t>
      </w:r>
      <w:r w:rsidR="00C87577" w:rsidRPr="005D4236">
        <w:rPr>
          <w:rFonts w:ascii="Times New Roman" w:hAnsi="Times New Roman"/>
          <w:sz w:val="24"/>
          <w:szCs w:val="24"/>
        </w:rPr>
        <w:t>distritos</w:t>
      </w:r>
      <w:r w:rsidR="001669E0" w:rsidRPr="005D4236">
        <w:rPr>
          <w:rFonts w:ascii="Times New Roman" w:hAnsi="Times New Roman"/>
          <w:sz w:val="24"/>
          <w:szCs w:val="24"/>
        </w:rPr>
        <w:t>, em especial nas grandes cidades</w:t>
      </w:r>
      <w:r w:rsidR="00E6445E">
        <w:rPr>
          <w:rStyle w:val="Refdenotaderodap"/>
          <w:rFonts w:ascii="Times New Roman" w:hAnsi="Times New Roman"/>
          <w:sz w:val="24"/>
          <w:szCs w:val="24"/>
        </w:rPr>
        <w:footnoteReference w:id="2"/>
      </w:r>
      <w:r w:rsidR="001669E0" w:rsidRPr="005D4236">
        <w:rPr>
          <w:rFonts w:ascii="Times New Roman" w:hAnsi="Times New Roman"/>
          <w:sz w:val="24"/>
          <w:szCs w:val="24"/>
        </w:rPr>
        <w:t xml:space="preserve">. </w:t>
      </w:r>
      <w:r w:rsidR="00285A08" w:rsidRPr="005D4236">
        <w:rPr>
          <w:rFonts w:ascii="Times New Roman" w:hAnsi="Times New Roman"/>
          <w:sz w:val="24"/>
          <w:szCs w:val="24"/>
        </w:rPr>
        <w:t xml:space="preserve">Logo, </w:t>
      </w:r>
      <w:r w:rsidR="00B05BB6" w:rsidRPr="005D4236">
        <w:rPr>
          <w:rFonts w:ascii="Times New Roman" w:hAnsi="Times New Roman"/>
          <w:sz w:val="24"/>
          <w:szCs w:val="24"/>
        </w:rPr>
        <w:t>nesse estudo</w:t>
      </w:r>
      <w:r w:rsidR="00285A08" w:rsidRPr="005D4236">
        <w:rPr>
          <w:rFonts w:ascii="Times New Roman" w:hAnsi="Times New Roman"/>
          <w:sz w:val="24"/>
          <w:szCs w:val="24"/>
        </w:rPr>
        <w:t xml:space="preserve"> foram </w:t>
      </w:r>
      <w:r w:rsidR="0095101B">
        <w:rPr>
          <w:rFonts w:ascii="Times New Roman" w:hAnsi="Times New Roman"/>
          <w:sz w:val="24"/>
          <w:szCs w:val="24"/>
        </w:rPr>
        <w:t>utilizados</w:t>
      </w:r>
      <w:r w:rsidR="00285A08" w:rsidRPr="005D4236">
        <w:rPr>
          <w:rFonts w:ascii="Times New Roman" w:hAnsi="Times New Roman"/>
          <w:sz w:val="24"/>
          <w:szCs w:val="24"/>
        </w:rPr>
        <w:t xml:space="preserve"> d</w:t>
      </w:r>
      <w:r w:rsidR="00B05BB6" w:rsidRPr="005D4236">
        <w:rPr>
          <w:rFonts w:ascii="Times New Roman" w:hAnsi="Times New Roman"/>
          <w:sz w:val="24"/>
          <w:szCs w:val="24"/>
        </w:rPr>
        <w:t>ados</w:t>
      </w:r>
      <w:r w:rsidR="0095101B">
        <w:rPr>
          <w:rFonts w:ascii="Times New Roman" w:hAnsi="Times New Roman"/>
          <w:sz w:val="24"/>
          <w:szCs w:val="24"/>
        </w:rPr>
        <w:t xml:space="preserve"> agregados</w:t>
      </w:r>
      <w:r w:rsidR="00B05BB6" w:rsidRPr="005D4236">
        <w:rPr>
          <w:rFonts w:ascii="Times New Roman" w:hAnsi="Times New Roman"/>
          <w:sz w:val="24"/>
          <w:szCs w:val="24"/>
        </w:rPr>
        <w:t xml:space="preserve"> em nível distrital</w:t>
      </w:r>
      <w:r w:rsidR="0040157C">
        <w:rPr>
          <w:rFonts w:ascii="Times New Roman" w:hAnsi="Times New Roman"/>
          <w:sz w:val="24"/>
          <w:szCs w:val="24"/>
        </w:rPr>
        <w:t xml:space="preserve"> que exigiu</w:t>
      </w:r>
      <w:r w:rsidR="0040157C" w:rsidRPr="0040157C">
        <w:rPr>
          <w:rFonts w:ascii="Times New Roman" w:hAnsi="Times New Roman"/>
          <w:sz w:val="24"/>
          <w:szCs w:val="24"/>
        </w:rPr>
        <w:t xml:space="preserve"> a construção de uma nova variável dependente, que não está disponível nas bases de dados comumente </w:t>
      </w:r>
      <w:r w:rsidR="0040157C" w:rsidRPr="0040157C">
        <w:rPr>
          <w:rFonts w:ascii="Times New Roman" w:hAnsi="Times New Roman"/>
          <w:sz w:val="24"/>
          <w:szCs w:val="24"/>
        </w:rPr>
        <w:lastRenderedPageBreak/>
        <w:t>utilizadas pelos pesquisadores. Esta variáv</w:t>
      </w:r>
      <w:r w:rsidR="0095101B">
        <w:rPr>
          <w:rFonts w:ascii="Times New Roman" w:hAnsi="Times New Roman"/>
          <w:sz w:val="24"/>
          <w:szCs w:val="24"/>
        </w:rPr>
        <w:t xml:space="preserve">el é proveniente </w:t>
      </w:r>
      <w:r w:rsidR="00347255" w:rsidRPr="005D4236">
        <w:rPr>
          <w:rFonts w:ascii="Times New Roman" w:hAnsi="Times New Roman"/>
          <w:sz w:val="24"/>
          <w:szCs w:val="24"/>
        </w:rPr>
        <w:t>dos registros de Autorização de Internação Hospitalar (AIH) extraídos do Sistema de Informações Hospitalares do Sistema Único de Saúde (SIHSUS</w:t>
      </w:r>
      <w:r w:rsidR="0095101B">
        <w:rPr>
          <w:rFonts w:ascii="Times New Roman" w:hAnsi="Times New Roman"/>
          <w:sz w:val="24"/>
          <w:szCs w:val="24"/>
        </w:rPr>
        <w:t>-DATASUS, 2010</w:t>
      </w:r>
      <w:r w:rsidR="00347255" w:rsidRPr="005D4236">
        <w:rPr>
          <w:rFonts w:ascii="Times New Roman" w:hAnsi="Times New Roman"/>
          <w:sz w:val="24"/>
          <w:szCs w:val="24"/>
        </w:rPr>
        <w:t>)</w:t>
      </w:r>
      <w:r w:rsidR="0040157C">
        <w:rPr>
          <w:rFonts w:ascii="Times New Roman" w:hAnsi="Times New Roman"/>
          <w:sz w:val="24"/>
          <w:szCs w:val="24"/>
        </w:rPr>
        <w:t>.</w:t>
      </w:r>
      <w:r w:rsidR="003D7736">
        <w:rPr>
          <w:rFonts w:ascii="Times New Roman" w:hAnsi="Times New Roman"/>
          <w:sz w:val="24"/>
          <w:szCs w:val="24"/>
        </w:rPr>
        <w:t xml:space="preserve"> </w:t>
      </w:r>
      <w:r w:rsidR="00347255" w:rsidRPr="005D4236">
        <w:rPr>
          <w:rFonts w:ascii="Times New Roman" w:hAnsi="Times New Roman"/>
          <w:sz w:val="24"/>
          <w:szCs w:val="24"/>
        </w:rPr>
        <w:t>Esses dados são informados mensalmente por todos os estabelecimentos públicos, conveniados e contratados, que realizam internações financiadas pelo SUS. Entre os diversos tipos de internações disponíveis, foram selecionadas as internações cujo diagnóstico principal fosse típico das DRSAIs, de acordo com classificação da FUNASA (2004)</w:t>
      </w:r>
      <w:r w:rsidR="00717AD0">
        <w:rPr>
          <w:rFonts w:ascii="Times New Roman" w:hAnsi="Times New Roman"/>
          <w:sz w:val="24"/>
          <w:szCs w:val="24"/>
        </w:rPr>
        <w:t xml:space="preserve">. Tais doenças foram identificadas pelo </w:t>
      </w:r>
      <w:r w:rsidR="00347255" w:rsidRPr="005D4236">
        <w:rPr>
          <w:rFonts w:ascii="Times New Roman" w:hAnsi="Times New Roman"/>
          <w:sz w:val="24"/>
          <w:szCs w:val="24"/>
        </w:rPr>
        <w:t>capítulo 10 da Classificação Inter</w:t>
      </w:r>
      <w:r w:rsidR="00717AD0">
        <w:rPr>
          <w:rFonts w:ascii="Times New Roman" w:hAnsi="Times New Roman"/>
          <w:sz w:val="24"/>
          <w:szCs w:val="24"/>
        </w:rPr>
        <w:t>nacional de Doenças, CID-10</w:t>
      </w:r>
      <w:r w:rsidR="00717AD0" w:rsidRPr="005D4236">
        <w:rPr>
          <w:rFonts w:ascii="Times New Roman" w:hAnsi="Times New Roman"/>
          <w:sz w:val="24"/>
          <w:szCs w:val="24"/>
        </w:rPr>
        <w:t xml:space="preserve"> </w:t>
      </w:r>
      <w:r w:rsidR="00717AD0">
        <w:rPr>
          <w:rFonts w:ascii="Times New Roman" w:hAnsi="Times New Roman"/>
          <w:sz w:val="24"/>
          <w:szCs w:val="24"/>
        </w:rPr>
        <w:t>(OMS, 1997)</w:t>
      </w:r>
      <w:r w:rsidR="0040157C">
        <w:rPr>
          <w:rFonts w:ascii="Times New Roman" w:hAnsi="Times New Roman"/>
          <w:sz w:val="24"/>
          <w:szCs w:val="24"/>
        </w:rPr>
        <w:t>.</w:t>
      </w:r>
      <w:r w:rsidR="003D7736">
        <w:rPr>
          <w:rFonts w:ascii="Times New Roman" w:hAnsi="Times New Roman"/>
          <w:sz w:val="24"/>
          <w:szCs w:val="24"/>
        </w:rPr>
        <w:t xml:space="preserve"> </w:t>
      </w:r>
      <w:r w:rsidR="0040157C" w:rsidRPr="0040157C">
        <w:rPr>
          <w:rFonts w:ascii="Times New Roman" w:hAnsi="Times New Roman"/>
          <w:sz w:val="24"/>
          <w:szCs w:val="24"/>
        </w:rPr>
        <w:t xml:space="preserve">Cada </w:t>
      </w:r>
      <w:r w:rsidR="0095101B">
        <w:rPr>
          <w:rFonts w:ascii="Times New Roman" w:hAnsi="Times New Roman"/>
          <w:sz w:val="24"/>
          <w:szCs w:val="24"/>
        </w:rPr>
        <w:t>registro de internação</w:t>
      </w:r>
      <w:r w:rsidR="0040157C" w:rsidRPr="0040157C">
        <w:rPr>
          <w:rFonts w:ascii="Times New Roman" w:hAnsi="Times New Roman"/>
          <w:sz w:val="24"/>
          <w:szCs w:val="24"/>
        </w:rPr>
        <w:t xml:space="preserve"> acompanha </w:t>
      </w:r>
      <w:r w:rsidR="0040157C">
        <w:rPr>
          <w:rFonts w:ascii="Times New Roman" w:hAnsi="Times New Roman"/>
          <w:sz w:val="24"/>
          <w:szCs w:val="24"/>
        </w:rPr>
        <w:t>o</w:t>
      </w:r>
      <w:r w:rsidR="0040157C" w:rsidRPr="0040157C">
        <w:rPr>
          <w:rFonts w:ascii="Times New Roman" w:hAnsi="Times New Roman"/>
          <w:sz w:val="24"/>
          <w:szCs w:val="24"/>
        </w:rPr>
        <w:t xml:space="preserve"> Código de Endereçamento Postal (CEP) do local da residência de cada paciente.</w:t>
      </w:r>
      <w:r w:rsidR="0095101B" w:rsidRPr="0095101B">
        <w:t xml:space="preserve"> </w:t>
      </w:r>
      <w:r w:rsidR="0095101B" w:rsidRPr="0095101B">
        <w:rPr>
          <w:rFonts w:ascii="Times New Roman" w:hAnsi="Times New Roman"/>
          <w:sz w:val="24"/>
          <w:szCs w:val="24"/>
        </w:rPr>
        <w:t xml:space="preserve">Para a construção da nova variável dependente foi necessário estabelecer uma lista de CEPs </w:t>
      </w:r>
      <w:r w:rsidR="0095101B">
        <w:rPr>
          <w:rFonts w:ascii="Times New Roman" w:hAnsi="Times New Roman"/>
          <w:sz w:val="24"/>
          <w:szCs w:val="24"/>
        </w:rPr>
        <w:t>para cada distrito</w:t>
      </w:r>
      <w:r w:rsidR="0095101B" w:rsidRPr="0095101B">
        <w:rPr>
          <w:rFonts w:ascii="Times New Roman" w:hAnsi="Times New Roman"/>
          <w:sz w:val="24"/>
          <w:szCs w:val="24"/>
        </w:rPr>
        <w:t xml:space="preserve"> com o objetivo de realizar um “</w:t>
      </w:r>
      <w:r w:rsidR="0095101B" w:rsidRPr="0095101B">
        <w:rPr>
          <w:rFonts w:ascii="Times New Roman" w:hAnsi="Times New Roman"/>
          <w:i/>
          <w:sz w:val="24"/>
          <w:szCs w:val="24"/>
        </w:rPr>
        <w:t>merge</w:t>
      </w:r>
      <w:r w:rsidR="0095101B" w:rsidRPr="0095101B">
        <w:rPr>
          <w:rFonts w:ascii="Times New Roman" w:hAnsi="Times New Roman"/>
          <w:sz w:val="24"/>
          <w:szCs w:val="24"/>
        </w:rPr>
        <w:t>” e identificar em quais distritos os casos de DRSAI ocorreram.</w:t>
      </w:r>
      <w:r w:rsidR="0095101B">
        <w:rPr>
          <w:rFonts w:ascii="Times New Roman" w:hAnsi="Times New Roman"/>
          <w:sz w:val="24"/>
          <w:szCs w:val="24"/>
        </w:rPr>
        <w:t xml:space="preserve"> </w:t>
      </w:r>
      <w:r w:rsidR="0095101B" w:rsidRPr="0095101B">
        <w:rPr>
          <w:rFonts w:ascii="Times New Roman" w:hAnsi="Times New Roman"/>
          <w:sz w:val="24"/>
          <w:szCs w:val="24"/>
        </w:rPr>
        <w:t>As faixas de CEP de cada distrito foram construídas utilizando-se duas bases de dados: o CNEFE e o DNE. O Cadastro Nacional de Endereços para fins Estatísticos (CNEFE) é uma base de dados disponibilizada também pelo IBGE, que contém aproximadamente 80 milhões de endereços urbanos e rurais distribuídos pelos 310 mil setores censitários. No entanto, os CEPs do CNEFE não cobr</w:t>
      </w:r>
      <w:r w:rsidR="0095101B">
        <w:rPr>
          <w:rFonts w:ascii="Times New Roman" w:hAnsi="Times New Roman"/>
          <w:sz w:val="24"/>
          <w:szCs w:val="24"/>
        </w:rPr>
        <w:t>em todo o território brasileiro</w:t>
      </w:r>
      <w:r w:rsidR="0095101B">
        <w:rPr>
          <w:rStyle w:val="Refdenotaderodap"/>
          <w:rFonts w:ascii="Times New Roman" w:hAnsi="Times New Roman"/>
          <w:sz w:val="24"/>
          <w:szCs w:val="24"/>
        </w:rPr>
        <w:footnoteReference w:id="3"/>
      </w:r>
      <w:r w:rsidR="0095101B" w:rsidRPr="0095101B">
        <w:rPr>
          <w:rFonts w:ascii="Times New Roman" w:hAnsi="Times New Roman"/>
          <w:sz w:val="24"/>
          <w:szCs w:val="24"/>
        </w:rPr>
        <w:t>. De forma a complementar e identificar os CEPs das regiões faltantes, utilizou-se a base de dados dos Correios, o Diretório Nacional de Endereços (DNE). O DNE é um banco de dados que contém mais d</w:t>
      </w:r>
      <w:r w:rsidR="00780DC8">
        <w:rPr>
          <w:rFonts w:ascii="Times New Roman" w:hAnsi="Times New Roman"/>
          <w:sz w:val="24"/>
          <w:szCs w:val="24"/>
        </w:rPr>
        <w:t>e 900 mil CEPs de todo o Brasil</w:t>
      </w:r>
      <w:r w:rsidR="0095101B" w:rsidRPr="0095101B">
        <w:rPr>
          <w:rFonts w:ascii="Times New Roman" w:hAnsi="Times New Roman"/>
          <w:sz w:val="24"/>
          <w:szCs w:val="24"/>
        </w:rPr>
        <w:t xml:space="preserve"> </w:t>
      </w:r>
      <w:r w:rsidR="00780DC8">
        <w:rPr>
          <w:rFonts w:ascii="Times New Roman" w:hAnsi="Times New Roman"/>
          <w:sz w:val="24"/>
          <w:szCs w:val="24"/>
        </w:rPr>
        <w:t xml:space="preserve">que contém os </w:t>
      </w:r>
      <w:r w:rsidR="0095101B" w:rsidRPr="0095101B">
        <w:rPr>
          <w:rFonts w:ascii="Times New Roman" w:hAnsi="Times New Roman"/>
          <w:sz w:val="24"/>
          <w:szCs w:val="24"/>
        </w:rPr>
        <w:t>Códigos de Endereçamento Postal (CEP).</w:t>
      </w:r>
      <w:r w:rsidR="00F6715F" w:rsidRPr="00F6715F">
        <w:rPr>
          <w:rFonts w:ascii="Times New Roman" w:hAnsi="Times New Roman"/>
          <w:sz w:val="24"/>
          <w:szCs w:val="24"/>
        </w:rPr>
        <w:t xml:space="preserve"> </w:t>
      </w:r>
      <w:r w:rsidR="00F6715F">
        <w:rPr>
          <w:rFonts w:ascii="Times New Roman" w:hAnsi="Times New Roman"/>
          <w:sz w:val="24"/>
          <w:szCs w:val="24"/>
        </w:rPr>
        <w:t>A tabela A.1 do Anexo apresenta o número de distritos por cada Unidade da Federação bem como o número de agregações realizadas utilizando essas duas bases de dados. Por fim, a tabela 3.1 contém a descrição de todas as variáveis utilizadas nesse estudo e</w:t>
      </w:r>
      <w:r w:rsidR="00E239AF">
        <w:rPr>
          <w:rFonts w:ascii="Times New Roman" w:hAnsi="Times New Roman"/>
          <w:sz w:val="24"/>
          <w:szCs w:val="24"/>
        </w:rPr>
        <w:t xml:space="preserve"> a Tabela A</w:t>
      </w:r>
      <w:r w:rsidR="008D7B11">
        <w:rPr>
          <w:rFonts w:ascii="Times New Roman" w:hAnsi="Times New Roman"/>
          <w:sz w:val="24"/>
          <w:szCs w:val="24"/>
        </w:rPr>
        <w:t>.2</w:t>
      </w:r>
      <w:r w:rsidR="00E239AF">
        <w:rPr>
          <w:rFonts w:ascii="Times New Roman" w:hAnsi="Times New Roman"/>
          <w:sz w:val="24"/>
          <w:szCs w:val="24"/>
        </w:rPr>
        <w:t xml:space="preserve"> do Anexo</w:t>
      </w:r>
      <w:r w:rsidR="008D7B11">
        <w:rPr>
          <w:rFonts w:ascii="Times New Roman" w:hAnsi="Times New Roman"/>
          <w:sz w:val="24"/>
          <w:szCs w:val="24"/>
        </w:rPr>
        <w:t xml:space="preserve"> as</w:t>
      </w:r>
      <w:r w:rsidR="00F6715F">
        <w:rPr>
          <w:rFonts w:ascii="Times New Roman" w:hAnsi="Times New Roman"/>
          <w:sz w:val="24"/>
          <w:szCs w:val="24"/>
        </w:rPr>
        <w:t xml:space="preserve"> suas estatísticas descritivas</w:t>
      </w:r>
      <w:r w:rsidR="008D7B11">
        <w:rPr>
          <w:rFonts w:ascii="Times New Roman" w:hAnsi="Times New Roman"/>
          <w:sz w:val="24"/>
          <w:szCs w:val="24"/>
        </w:rPr>
        <w:t>.</w:t>
      </w:r>
    </w:p>
    <w:p w:rsidR="003A214C" w:rsidRDefault="008D7B11" w:rsidP="003D7736">
      <w:pPr>
        <w:spacing w:after="0" w:line="240" w:lineRule="auto"/>
        <w:jc w:val="both"/>
        <w:rPr>
          <w:rFonts w:ascii="Times New Roman" w:hAnsi="Times New Roman"/>
          <w:sz w:val="24"/>
          <w:szCs w:val="24"/>
        </w:rPr>
      </w:pPr>
      <w:r>
        <w:rPr>
          <w:rFonts w:ascii="Times New Roman" w:hAnsi="Times New Roman"/>
          <w:sz w:val="24"/>
          <w:szCs w:val="24"/>
        </w:rPr>
        <w:t xml:space="preserve"> </w:t>
      </w:r>
    </w:p>
    <w:p w:rsidR="006E3EF5" w:rsidRPr="00DA64FE" w:rsidRDefault="00DA64FE" w:rsidP="003D7736">
      <w:pPr>
        <w:spacing w:after="0" w:line="240" w:lineRule="auto"/>
        <w:jc w:val="both"/>
        <w:rPr>
          <w:rFonts w:ascii="Times New Roman" w:hAnsi="Times New Roman"/>
          <w:b/>
          <w:sz w:val="24"/>
          <w:szCs w:val="24"/>
        </w:rPr>
      </w:pPr>
      <w:r w:rsidRPr="00DA64FE">
        <w:rPr>
          <w:rFonts w:ascii="Times New Roman" w:hAnsi="Times New Roman"/>
          <w:b/>
          <w:sz w:val="24"/>
          <w:szCs w:val="24"/>
        </w:rPr>
        <w:t>Tabela 3.1 –</w:t>
      </w:r>
      <w:r>
        <w:rPr>
          <w:rFonts w:ascii="Times New Roman" w:hAnsi="Times New Roman"/>
          <w:b/>
          <w:sz w:val="24"/>
          <w:szCs w:val="24"/>
        </w:rPr>
        <w:t xml:space="preserve"> Descrição </w:t>
      </w:r>
      <w:r w:rsidRPr="00DA64FE">
        <w:rPr>
          <w:rFonts w:ascii="Times New Roman" w:hAnsi="Times New Roman"/>
          <w:b/>
          <w:sz w:val="24"/>
          <w:szCs w:val="24"/>
        </w:rPr>
        <w:t>variáveis dependentes e das variáveis independentes</w:t>
      </w:r>
      <w:r w:rsidR="000B3CC6">
        <w:rPr>
          <w:rFonts w:ascii="Times New Roman" w:hAnsi="Times New Roman"/>
          <w:b/>
          <w:sz w:val="24"/>
          <w:szCs w:val="24"/>
        </w:rPr>
        <w:t xml:space="preserve"> (Modelo 1 e 2)</w:t>
      </w:r>
      <w:r w:rsidRPr="00DA64FE">
        <w:rPr>
          <w:rFonts w:ascii="Times New Roman" w:hAnsi="Times New Roman"/>
          <w:b/>
          <w:sz w:val="24"/>
          <w:szCs w:val="24"/>
        </w:rPr>
        <w:t>.</w:t>
      </w:r>
    </w:p>
    <w:p w:rsidR="00C520F7" w:rsidRPr="005D4236" w:rsidRDefault="000B3CC6" w:rsidP="006E3EF5">
      <w:pPr>
        <w:spacing w:after="0" w:line="240" w:lineRule="auto"/>
        <w:jc w:val="center"/>
        <w:rPr>
          <w:rFonts w:ascii="Times New Roman" w:hAnsi="Times New Roman"/>
          <w:sz w:val="24"/>
          <w:szCs w:val="24"/>
        </w:rPr>
      </w:pPr>
      <w:r w:rsidRPr="000B3CC6">
        <w:rPr>
          <w:noProof/>
          <w:lang w:eastAsia="pt-BR"/>
        </w:rPr>
        <w:drawing>
          <wp:inline distT="0" distB="0" distL="0" distR="0">
            <wp:extent cx="6120130" cy="373788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737886"/>
                    </a:xfrm>
                    <a:prstGeom prst="rect">
                      <a:avLst/>
                    </a:prstGeom>
                    <a:noFill/>
                    <a:ln>
                      <a:noFill/>
                    </a:ln>
                  </pic:spPr>
                </pic:pic>
              </a:graphicData>
            </a:graphic>
          </wp:inline>
        </w:drawing>
      </w:r>
    </w:p>
    <w:p w:rsidR="00452EAE" w:rsidRPr="00452EAE" w:rsidRDefault="00452EAE" w:rsidP="00C548FE">
      <w:pPr>
        <w:spacing w:after="0" w:line="240" w:lineRule="auto"/>
        <w:jc w:val="both"/>
        <w:rPr>
          <w:rFonts w:ascii="Times New Roman" w:hAnsi="Times New Roman"/>
          <w:sz w:val="20"/>
          <w:szCs w:val="20"/>
        </w:rPr>
      </w:pPr>
      <w:r w:rsidRPr="00452EAE">
        <w:rPr>
          <w:rFonts w:ascii="Times New Roman" w:hAnsi="Times New Roman"/>
          <w:sz w:val="20"/>
          <w:szCs w:val="20"/>
        </w:rPr>
        <w:t>Fonte: Elaboração própria</w:t>
      </w:r>
    </w:p>
    <w:p w:rsidR="00D324BF" w:rsidRDefault="00D324BF" w:rsidP="00C548FE">
      <w:pPr>
        <w:spacing w:after="0" w:line="240" w:lineRule="auto"/>
        <w:jc w:val="both"/>
        <w:rPr>
          <w:rFonts w:ascii="Times New Roman" w:hAnsi="Times New Roman"/>
          <w:sz w:val="24"/>
          <w:szCs w:val="24"/>
        </w:rPr>
      </w:pPr>
    </w:p>
    <w:p w:rsidR="0040081D" w:rsidRPr="005D4236" w:rsidRDefault="002E7592" w:rsidP="00C548FE">
      <w:pPr>
        <w:pStyle w:val="PargrafodaLista"/>
        <w:numPr>
          <w:ilvl w:val="1"/>
          <w:numId w:val="5"/>
        </w:numPr>
        <w:spacing w:after="0" w:line="240" w:lineRule="auto"/>
        <w:ind w:left="714" w:hanging="357"/>
        <w:contextualSpacing w:val="0"/>
        <w:jc w:val="both"/>
        <w:rPr>
          <w:rFonts w:ascii="Times New Roman" w:hAnsi="Times New Roman"/>
          <w:b/>
          <w:sz w:val="24"/>
          <w:szCs w:val="24"/>
        </w:rPr>
      </w:pPr>
      <w:r w:rsidRPr="005D4236">
        <w:rPr>
          <w:rFonts w:ascii="Times New Roman" w:hAnsi="Times New Roman"/>
          <w:b/>
          <w:sz w:val="24"/>
          <w:szCs w:val="24"/>
        </w:rPr>
        <w:t>O modelo teórico</w:t>
      </w:r>
    </w:p>
    <w:p w:rsidR="005D4236" w:rsidRPr="003A214C" w:rsidRDefault="005D4236" w:rsidP="00C548FE">
      <w:pPr>
        <w:spacing w:after="0" w:line="240" w:lineRule="auto"/>
        <w:jc w:val="both"/>
        <w:rPr>
          <w:rFonts w:ascii="Times New Roman" w:hAnsi="Times New Roman"/>
          <w:sz w:val="24"/>
          <w:szCs w:val="24"/>
        </w:rPr>
      </w:pPr>
      <w:r w:rsidRPr="005D4236">
        <w:rPr>
          <w:rFonts w:ascii="Times New Roman" w:hAnsi="Times New Roman"/>
          <w:sz w:val="24"/>
          <w:szCs w:val="24"/>
        </w:rPr>
        <w:t>A grande questão que permeou os estudos da economia da saúde desde a segunda metade do século passado refere-se a como os cuidados com a saúde diferem entre os indivíduos</w:t>
      </w:r>
      <w:r w:rsidR="009A2956">
        <w:rPr>
          <w:rFonts w:ascii="Times New Roman" w:hAnsi="Times New Roman"/>
          <w:sz w:val="24"/>
          <w:szCs w:val="24"/>
        </w:rPr>
        <w:t>.</w:t>
      </w:r>
      <w:r w:rsidR="00607E76">
        <w:rPr>
          <w:rFonts w:ascii="Times New Roman" w:hAnsi="Times New Roman"/>
          <w:sz w:val="24"/>
          <w:szCs w:val="24"/>
        </w:rPr>
        <w:t xml:space="preserve"> Uma das </w:t>
      </w:r>
      <w:r w:rsidR="009A2956" w:rsidRPr="009A2956">
        <w:rPr>
          <w:rFonts w:ascii="Times New Roman" w:hAnsi="Times New Roman"/>
          <w:sz w:val="24"/>
          <w:szCs w:val="24"/>
        </w:rPr>
        <w:lastRenderedPageBreak/>
        <w:t xml:space="preserve">características dos </w:t>
      </w:r>
      <w:r w:rsidR="009A2956" w:rsidRPr="003A214C">
        <w:rPr>
          <w:rFonts w:ascii="Times New Roman" w:hAnsi="Times New Roman"/>
          <w:sz w:val="24"/>
          <w:szCs w:val="24"/>
        </w:rPr>
        <w:t>cuidados de saúde, de acordo com Grossman (1972), é que a procura por cuidados médicos é derivada da demanda por saúde, que é fundamental para os indivíduos participarem do mercado de trabalho e auferirem rendimentos no futuro</w:t>
      </w:r>
      <w:r w:rsidR="00607E76" w:rsidRPr="003A214C">
        <w:rPr>
          <w:rFonts w:ascii="Times New Roman" w:hAnsi="Times New Roman"/>
          <w:sz w:val="24"/>
          <w:szCs w:val="24"/>
        </w:rPr>
        <w:t>.</w:t>
      </w:r>
    </w:p>
    <w:p w:rsidR="00DC03DD" w:rsidRDefault="00D75434" w:rsidP="00C548FE">
      <w:pPr>
        <w:spacing w:after="0" w:line="240" w:lineRule="auto"/>
        <w:jc w:val="both"/>
        <w:rPr>
          <w:rFonts w:ascii="Times New Roman" w:hAnsi="Times New Roman"/>
          <w:sz w:val="24"/>
          <w:szCs w:val="24"/>
        </w:rPr>
      </w:pPr>
      <w:r w:rsidRPr="003A214C">
        <w:rPr>
          <w:rFonts w:ascii="Times New Roman" w:hAnsi="Times New Roman"/>
          <w:sz w:val="24"/>
          <w:szCs w:val="24"/>
        </w:rPr>
        <w:t>O e</w:t>
      </w:r>
      <w:r w:rsidR="009A2956" w:rsidRPr="003A214C">
        <w:rPr>
          <w:rFonts w:ascii="Times New Roman" w:hAnsi="Times New Roman"/>
          <w:sz w:val="24"/>
          <w:szCs w:val="24"/>
        </w:rPr>
        <w:t xml:space="preserve">studo de </w:t>
      </w:r>
      <w:r w:rsidRPr="003A214C">
        <w:rPr>
          <w:rFonts w:ascii="Times New Roman" w:hAnsi="Times New Roman"/>
          <w:sz w:val="24"/>
          <w:szCs w:val="24"/>
        </w:rPr>
        <w:t xml:space="preserve">Sousa e Leite Filho (2008) </w:t>
      </w:r>
      <w:r w:rsidR="009A2956" w:rsidRPr="003A214C">
        <w:rPr>
          <w:rFonts w:ascii="Times New Roman" w:hAnsi="Times New Roman"/>
          <w:sz w:val="24"/>
          <w:szCs w:val="24"/>
        </w:rPr>
        <w:t>introduziram variáveis relativas aos serviço</w:t>
      </w:r>
      <w:r w:rsidRPr="003A214C">
        <w:rPr>
          <w:rFonts w:ascii="Times New Roman" w:hAnsi="Times New Roman"/>
          <w:sz w:val="24"/>
          <w:szCs w:val="24"/>
        </w:rPr>
        <w:t xml:space="preserve">s de saneamento </w:t>
      </w:r>
      <w:r w:rsidR="009A2956" w:rsidRPr="003A214C">
        <w:rPr>
          <w:rFonts w:ascii="Times New Roman" w:hAnsi="Times New Roman"/>
          <w:sz w:val="24"/>
          <w:szCs w:val="24"/>
        </w:rPr>
        <w:t xml:space="preserve">para explicar o </w:t>
      </w:r>
      <w:r w:rsidR="009A2956" w:rsidRPr="003A214C">
        <w:rPr>
          <w:rFonts w:ascii="Times New Roman" w:hAnsi="Times New Roman"/>
          <w:i/>
          <w:sz w:val="24"/>
          <w:szCs w:val="24"/>
        </w:rPr>
        <w:t>status</w:t>
      </w:r>
      <w:r w:rsidR="009A2956" w:rsidRPr="003A214C">
        <w:rPr>
          <w:rFonts w:ascii="Times New Roman" w:hAnsi="Times New Roman"/>
          <w:sz w:val="24"/>
          <w:szCs w:val="24"/>
        </w:rPr>
        <w:t xml:space="preserve"> de saúde de uma população</w:t>
      </w:r>
      <w:r w:rsidRPr="003A214C">
        <w:rPr>
          <w:rFonts w:ascii="Times New Roman" w:hAnsi="Times New Roman"/>
          <w:sz w:val="24"/>
          <w:szCs w:val="24"/>
        </w:rPr>
        <w:t xml:space="preserve">. No presente </w:t>
      </w:r>
      <w:r w:rsidR="009A2956" w:rsidRPr="003A214C">
        <w:rPr>
          <w:rFonts w:ascii="Times New Roman" w:hAnsi="Times New Roman"/>
          <w:sz w:val="24"/>
          <w:szCs w:val="24"/>
        </w:rPr>
        <w:t>trabalho</w:t>
      </w:r>
      <w:r w:rsidRPr="003A214C">
        <w:rPr>
          <w:rFonts w:ascii="Times New Roman" w:hAnsi="Times New Roman"/>
          <w:sz w:val="24"/>
          <w:szCs w:val="24"/>
        </w:rPr>
        <w:t xml:space="preserve">, a variável explicada de saúde será medida pela taxa de incidência de internações por Doenças Relacionadas ao Saneamento Ambiental Inadequado (DRSAI) e, em consonância com os autores, </w:t>
      </w:r>
      <w:r w:rsidR="009A2956" w:rsidRPr="003A214C">
        <w:rPr>
          <w:rFonts w:ascii="Times New Roman" w:hAnsi="Times New Roman"/>
          <w:sz w:val="24"/>
          <w:szCs w:val="24"/>
        </w:rPr>
        <w:t>serão introduzidas variáveis de saneamento</w:t>
      </w:r>
      <w:r w:rsidR="00607E76" w:rsidRPr="003A214C">
        <w:rPr>
          <w:rFonts w:ascii="Times New Roman" w:hAnsi="Times New Roman"/>
          <w:sz w:val="24"/>
          <w:szCs w:val="24"/>
        </w:rPr>
        <w:t xml:space="preserve"> na função de produção de </w:t>
      </w:r>
      <w:r w:rsidR="005457E8" w:rsidRPr="003A214C">
        <w:rPr>
          <w:rFonts w:ascii="Times New Roman" w:hAnsi="Times New Roman"/>
          <w:sz w:val="24"/>
          <w:szCs w:val="24"/>
        </w:rPr>
        <w:t>dias saudáveis</w:t>
      </w:r>
      <w:r w:rsidRPr="003A214C">
        <w:rPr>
          <w:rFonts w:ascii="Times New Roman" w:hAnsi="Times New Roman"/>
          <w:sz w:val="24"/>
          <w:szCs w:val="24"/>
        </w:rPr>
        <w:t xml:space="preserve"> também denominada de </w:t>
      </w:r>
      <w:r w:rsidR="005457E8" w:rsidRPr="003A214C">
        <w:rPr>
          <w:rFonts w:ascii="Times New Roman" w:hAnsi="Times New Roman"/>
          <w:sz w:val="24"/>
          <w:szCs w:val="24"/>
        </w:rPr>
        <w:t>função de produção de saúde</w:t>
      </w:r>
      <w:r w:rsidR="0025058E" w:rsidRPr="003A214C">
        <w:rPr>
          <w:rFonts w:ascii="Times New Roman" w:hAnsi="Times New Roman"/>
          <w:sz w:val="24"/>
          <w:szCs w:val="24"/>
        </w:rPr>
        <w:t xml:space="preserve"> ou investimento bruto em saúde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oMath>
      <w:r w:rsidR="0025058E" w:rsidRPr="003A214C">
        <w:rPr>
          <w:rFonts w:ascii="Times New Roman" w:hAnsi="Times New Roman"/>
          <w:sz w:val="24"/>
          <w:szCs w:val="24"/>
        </w:rPr>
        <w:t>).</w:t>
      </w:r>
      <w:r w:rsidRPr="003A214C">
        <w:rPr>
          <w:rFonts w:ascii="Times New Roman" w:hAnsi="Times New Roman"/>
          <w:sz w:val="24"/>
          <w:szCs w:val="24"/>
        </w:rPr>
        <w:t xml:space="preserve"> </w:t>
      </w:r>
      <w:r w:rsidR="00DC03DD" w:rsidRPr="003A214C">
        <w:rPr>
          <w:rFonts w:ascii="Times New Roman" w:hAnsi="Times New Roman"/>
          <w:sz w:val="24"/>
          <w:szCs w:val="24"/>
        </w:rPr>
        <w:t xml:space="preserve">Em sua forma original, Grosman (1972) considera </w:t>
      </w:r>
      <w:r w:rsidR="00607E76" w:rsidRPr="003A214C">
        <w:rPr>
          <w:rFonts w:ascii="Times New Roman" w:hAnsi="Times New Roman"/>
          <w:sz w:val="24"/>
          <w:szCs w:val="24"/>
        </w:rPr>
        <w:t>quatro</w:t>
      </w:r>
      <w:r w:rsidR="00DC03DD" w:rsidRPr="003A214C">
        <w:rPr>
          <w:rFonts w:ascii="Times New Roman" w:hAnsi="Times New Roman"/>
          <w:sz w:val="24"/>
          <w:szCs w:val="24"/>
        </w:rPr>
        <w:t xml:space="preserve"> variáveis na função de produção de saúde: a primeira delas diz respeito ao consumo de bens e serviços médicos apropriados, denominados cuidados médicos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00DC03DD" w:rsidRPr="003A214C">
        <w:rPr>
          <w:rFonts w:ascii="Times New Roman" w:hAnsi="Times New Roman"/>
          <w:sz w:val="24"/>
          <w:szCs w:val="24"/>
        </w:rPr>
        <w:t>), a segunda é referente ao tempo e ao esforço que cada pessoa empreende para melhorar a saúde (</w:t>
      </w:r>
      <m:oMath>
        <m:sSub>
          <m:sSubPr>
            <m:ctrlPr>
              <w:rPr>
                <w:rFonts w:ascii="Cambria Math" w:hAnsi="Cambria Math"/>
                <w:i/>
                <w:sz w:val="24"/>
                <w:szCs w:val="24"/>
              </w:rPr>
            </m:ctrlPr>
          </m:sSubPr>
          <m:e>
            <m:r>
              <w:rPr>
                <w:rFonts w:ascii="Cambria Math" w:hAnsi="Cambria Math"/>
                <w:sz w:val="24"/>
                <w:szCs w:val="24"/>
              </w:rPr>
              <m:t>TH</m:t>
            </m:r>
          </m:e>
          <m:sub>
            <m:r>
              <w:rPr>
                <w:rFonts w:ascii="Cambria Math" w:hAnsi="Cambria Math"/>
                <w:sz w:val="24"/>
                <w:szCs w:val="24"/>
              </w:rPr>
              <m:t>i</m:t>
            </m:r>
          </m:sub>
        </m:sSub>
      </m:oMath>
      <w:r w:rsidR="00DC03DD" w:rsidRPr="003A214C">
        <w:rPr>
          <w:rFonts w:ascii="Times New Roman" w:hAnsi="Times New Roman"/>
          <w:sz w:val="24"/>
          <w:szCs w:val="24"/>
        </w:rPr>
        <w:t xml:space="preserve">), a terceira </w:t>
      </w:r>
      <w:r w:rsidR="00DC03DD" w:rsidRPr="003A214C">
        <w:rPr>
          <w:rFonts w:ascii="Times New Roman" w:eastAsiaTheme="minorEastAsia" w:hAnsi="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r w:rsidR="00DC03DD" w:rsidRPr="003A214C">
        <w:rPr>
          <w:rFonts w:ascii="Times New Roman" w:eastAsiaTheme="minorEastAsia" w:hAnsi="Times New Roman"/>
          <w:sz w:val="24"/>
          <w:szCs w:val="24"/>
        </w:rPr>
        <w:t>)</w:t>
      </w:r>
      <w:r w:rsidR="00DC03DD" w:rsidRPr="003A214C">
        <w:rPr>
          <w:rFonts w:ascii="Times New Roman" w:hAnsi="Times New Roman"/>
          <w:sz w:val="24"/>
          <w:szCs w:val="24"/>
        </w:rPr>
        <w:t xml:space="preserve"> </w:t>
      </w:r>
      <w:r w:rsidR="00DC03DD" w:rsidRPr="003A214C">
        <w:rPr>
          <w:rFonts w:ascii="Times New Roman" w:eastAsiaTheme="minorEastAsia" w:hAnsi="Times New Roman"/>
          <w:sz w:val="24"/>
          <w:szCs w:val="24"/>
        </w:rPr>
        <w:t xml:space="preserve">demonstra que a idade do indivíduo pode afetar a </w:t>
      </w:r>
      <w:r w:rsidRPr="003A214C">
        <w:rPr>
          <w:rFonts w:ascii="Times New Roman" w:eastAsiaTheme="minorEastAsia" w:hAnsi="Times New Roman"/>
          <w:sz w:val="24"/>
          <w:szCs w:val="24"/>
        </w:rPr>
        <w:t>capacidade de produção de saúde e, p</w:t>
      </w:r>
      <w:r w:rsidR="00607E76" w:rsidRPr="003A214C">
        <w:rPr>
          <w:rFonts w:ascii="Times New Roman" w:eastAsiaTheme="minorEastAsia" w:hAnsi="Times New Roman"/>
          <w:sz w:val="24"/>
          <w:szCs w:val="24"/>
        </w:rPr>
        <w:t xml:space="preserve">or fim, </w:t>
      </w:r>
      <w:r w:rsidR="00DC03DD" w:rsidRPr="003A214C">
        <w:rPr>
          <w:rFonts w:ascii="Times New Roman" w:hAnsi="Times New Roman"/>
          <w:sz w:val="24"/>
          <w:szCs w:val="24"/>
        </w:rPr>
        <w:t>a última</w:t>
      </w:r>
      <w:r w:rsidR="00607E76" w:rsidRPr="003A214C">
        <w:rPr>
          <w:rFonts w:ascii="Times New Roman" w:hAnsi="Times New Roman"/>
          <w:sz w:val="24"/>
          <w:szCs w:val="24"/>
        </w:rPr>
        <w:t xml:space="preserve"> variável</w:t>
      </w:r>
      <w:r w:rsidR="00DC03DD" w:rsidRPr="003A214C">
        <w:rPr>
          <w:rFonts w:ascii="Times New Roman" w:hAnsi="Times New Roman"/>
          <w:sz w:val="24"/>
          <w:szCs w:val="24"/>
        </w:rPr>
        <w:t xml:space="preserve"> </w:t>
      </w:r>
      <w:r w:rsidR="00DC03DD" w:rsidRPr="003A214C">
        <w:rPr>
          <w:rFonts w:ascii="Times New Roman" w:eastAsiaTheme="minorEastAsia" w:hAnsi="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w:r w:rsidR="00DC03DD" w:rsidRPr="003A214C">
        <w:rPr>
          <w:rFonts w:ascii="Times New Roman" w:eastAsiaTheme="minorEastAsia" w:hAnsi="Times New Roman"/>
          <w:sz w:val="24"/>
          <w:szCs w:val="24"/>
        </w:rPr>
        <w:t>) evidencia que pessoas educadas produzem investimento em saúde de forma mais eficiente</w:t>
      </w:r>
      <w:r w:rsidRPr="003A214C">
        <w:rPr>
          <w:rFonts w:ascii="Times New Roman" w:eastAsiaTheme="minorEastAsia" w:hAnsi="Times New Roman"/>
          <w:sz w:val="24"/>
          <w:szCs w:val="24"/>
        </w:rPr>
        <w:t xml:space="preserve"> e, portanto, cuidam-se mais</w:t>
      </w:r>
      <w:r w:rsidR="00DC03DD" w:rsidRPr="003A214C">
        <w:rPr>
          <w:rFonts w:ascii="Times New Roman" w:eastAsiaTheme="minorEastAsia" w:hAnsi="Times New Roman"/>
          <w:sz w:val="24"/>
          <w:szCs w:val="24"/>
        </w:rPr>
        <w:t>.</w:t>
      </w:r>
      <w:r w:rsidRPr="003A214C">
        <w:rPr>
          <w:rFonts w:ascii="Times New Roman" w:eastAsiaTheme="minorEastAsia" w:hAnsi="Times New Roman"/>
          <w:sz w:val="24"/>
          <w:szCs w:val="24"/>
        </w:rPr>
        <w:t xml:space="preserve"> </w:t>
      </w:r>
      <w:r w:rsidR="000042DD" w:rsidRPr="003A214C">
        <w:rPr>
          <w:rFonts w:ascii="Times New Roman" w:hAnsi="Times New Roman"/>
          <w:sz w:val="24"/>
          <w:szCs w:val="24"/>
        </w:rPr>
        <w:t>No entanto, outras variáveis exógen</w:t>
      </w:r>
      <w:r w:rsidRPr="003A214C">
        <w:rPr>
          <w:rFonts w:ascii="Times New Roman" w:hAnsi="Times New Roman"/>
          <w:sz w:val="24"/>
          <w:szCs w:val="24"/>
        </w:rPr>
        <w:t>as também podem ser consideradas nessa função de produção</w:t>
      </w:r>
      <w:r w:rsidR="000042DD" w:rsidRPr="003A214C">
        <w:rPr>
          <w:rFonts w:ascii="Times New Roman" w:hAnsi="Times New Roman"/>
          <w:sz w:val="24"/>
          <w:szCs w:val="24"/>
        </w:rPr>
        <w:t>.</w:t>
      </w:r>
      <w:r w:rsidR="000F527B" w:rsidRPr="003A214C">
        <w:rPr>
          <w:rFonts w:ascii="Times New Roman" w:hAnsi="Times New Roman"/>
          <w:sz w:val="24"/>
          <w:szCs w:val="24"/>
        </w:rPr>
        <w:t xml:space="preserve"> Berndt </w:t>
      </w:r>
      <w:r w:rsidR="000F527B" w:rsidRPr="003A214C">
        <w:rPr>
          <w:rFonts w:ascii="Times New Roman" w:hAnsi="Times New Roman"/>
          <w:i/>
          <w:sz w:val="24"/>
          <w:szCs w:val="24"/>
        </w:rPr>
        <w:t>et al.</w:t>
      </w:r>
      <w:r w:rsidR="000F527B" w:rsidRPr="003A214C">
        <w:rPr>
          <w:rFonts w:ascii="Times New Roman" w:hAnsi="Times New Roman"/>
          <w:sz w:val="24"/>
          <w:szCs w:val="24"/>
        </w:rPr>
        <w:t xml:space="preserve"> (2000) ressaltam que a função de produção de saúde apresenta uma série de argumentos que podem ser interdependentes entre</w:t>
      </w:r>
      <w:r w:rsidR="000F527B" w:rsidRPr="000F527B">
        <w:rPr>
          <w:rFonts w:ascii="Times New Roman" w:hAnsi="Times New Roman"/>
          <w:sz w:val="24"/>
          <w:szCs w:val="24"/>
        </w:rPr>
        <w:t xml:space="preserve"> si. Um dos elementos que os autores relatam afetar a saúde refere-se ao ambiente. As mudanças ambientais (poluição do ar, água, clima, entre outros) podem melhorar ou retardar a saúde e, portanto, devem ser contempladas nesta função.  </w:t>
      </w:r>
      <w:r w:rsidR="000042DD">
        <w:rPr>
          <w:rFonts w:ascii="Times New Roman" w:hAnsi="Times New Roman"/>
          <w:sz w:val="24"/>
          <w:szCs w:val="24"/>
        </w:rPr>
        <w:t xml:space="preserve">  </w:t>
      </w:r>
      <w:r w:rsidR="00DC03DD">
        <w:rPr>
          <w:rFonts w:ascii="Times New Roman" w:hAnsi="Times New Roman"/>
          <w:sz w:val="24"/>
          <w:szCs w:val="24"/>
        </w:rPr>
        <w:t xml:space="preserve">  </w:t>
      </w:r>
    </w:p>
    <w:p w:rsidR="00DC03DD" w:rsidRDefault="009A2956" w:rsidP="00175DA8">
      <w:pPr>
        <w:spacing w:after="0" w:line="240" w:lineRule="auto"/>
        <w:jc w:val="both"/>
        <w:rPr>
          <w:rFonts w:ascii="Times New Roman" w:hAnsi="Times New Roman"/>
          <w:sz w:val="24"/>
          <w:szCs w:val="24"/>
        </w:rPr>
      </w:pPr>
      <w:r w:rsidRPr="009A2956">
        <w:rPr>
          <w:rFonts w:ascii="Times New Roman" w:hAnsi="Times New Roman"/>
          <w:sz w:val="24"/>
          <w:szCs w:val="24"/>
        </w:rPr>
        <w:t>O acesso aos diversos tipos de serviços de saneamento (água, esgoto, lixo e drenagem de águas pluviais) será considerado variável exógena importante na função de produção de saúde</w:t>
      </w:r>
      <w:r w:rsidR="00D75434">
        <w:rPr>
          <w:rFonts w:ascii="Times New Roman" w:hAnsi="Times New Roman"/>
          <w:sz w:val="24"/>
          <w:szCs w:val="24"/>
        </w:rPr>
        <w:t>.</w:t>
      </w:r>
      <w:r w:rsidRPr="009A2956">
        <w:rPr>
          <w:rFonts w:ascii="Times New Roman" w:hAnsi="Times New Roman"/>
          <w:sz w:val="24"/>
          <w:szCs w:val="24"/>
        </w:rPr>
        <w:t xml:space="preserve"> Dessa forma, a variável que será adicionada na </w:t>
      </w:r>
      <w:r w:rsidR="00E6445E">
        <w:rPr>
          <w:rFonts w:ascii="Times New Roman" w:hAnsi="Times New Roman"/>
          <w:sz w:val="24"/>
          <w:szCs w:val="24"/>
        </w:rPr>
        <w:t>mesma</w:t>
      </w:r>
      <w:r w:rsidRPr="009A2956">
        <w:rPr>
          <w:rFonts w:ascii="Times New Roman" w:hAnsi="Times New Roman"/>
          <w:sz w:val="24"/>
          <w:szCs w:val="24"/>
        </w:rPr>
        <w:t xml:space="preserve"> é denominada “tipo do serviço de saneamento básico (</w:t>
      </w:r>
      <m:oMath>
        <m:sSub>
          <m:sSubPr>
            <m:ctrlPr>
              <w:rPr>
                <w:rFonts w:ascii="Cambria Math" w:hAnsi="Cambria Math"/>
                <w:i/>
                <w:szCs w:val="24"/>
              </w:rPr>
            </m:ctrlPr>
          </m:sSubPr>
          <m:e>
            <m:r>
              <w:rPr>
                <w:rFonts w:ascii="Cambria Math" w:hAnsi="Cambria Math"/>
                <w:szCs w:val="24"/>
              </w:rPr>
              <m:t>ST</m:t>
            </m:r>
          </m:e>
          <m:sub>
            <m:r>
              <w:rPr>
                <w:rFonts w:ascii="Cambria Math" w:hAnsi="Cambria Math"/>
                <w:szCs w:val="24"/>
              </w:rPr>
              <m:t>i</m:t>
            </m:r>
          </m:sub>
        </m:sSub>
      </m:oMath>
      <w:r w:rsidRPr="009A2956">
        <w:rPr>
          <w:rFonts w:ascii="Times New Roman" w:hAnsi="Times New Roman"/>
          <w:sz w:val="24"/>
          <w:szCs w:val="24"/>
        </w:rPr>
        <w:t>)” no período de tempo i. A outra variável adicionada diz respeito ao vetor de características socioeconômicas (</w:t>
      </w:r>
      <m:oMath>
        <m:sSub>
          <m:sSubPr>
            <m:ctrlPr>
              <w:rPr>
                <w:rFonts w:ascii="Cambria Math" w:eastAsiaTheme="minorEastAsia" w:hAnsi="Cambria Math"/>
                <w:i/>
                <w:szCs w:val="24"/>
              </w:rPr>
            </m:ctrlPr>
          </m:sSubPr>
          <m:e>
            <m:r>
              <w:rPr>
                <w:rFonts w:ascii="Cambria Math" w:eastAsiaTheme="minorEastAsia" w:hAnsi="Cambria Math"/>
                <w:szCs w:val="24"/>
              </w:rPr>
              <m:t>SOC</m:t>
            </m:r>
          </m:e>
          <m:sub>
            <m:r>
              <w:rPr>
                <w:rFonts w:ascii="Cambria Math" w:eastAsiaTheme="minorEastAsia" w:hAnsi="Cambria Math"/>
                <w:szCs w:val="24"/>
              </w:rPr>
              <m:t>i</m:t>
            </m:r>
          </m:sub>
        </m:sSub>
      </m:oMath>
      <w:r w:rsidR="00175DA8">
        <w:rPr>
          <w:rFonts w:ascii="Times New Roman" w:hAnsi="Times New Roman"/>
          <w:sz w:val="24"/>
          <w:szCs w:val="24"/>
        </w:rPr>
        <w:t>) dos distritos</w:t>
      </w:r>
      <w:r w:rsidR="00E6445E">
        <w:rPr>
          <w:rFonts w:ascii="Times New Roman" w:hAnsi="Times New Roman"/>
          <w:sz w:val="24"/>
          <w:szCs w:val="24"/>
        </w:rPr>
        <w:t>.</w:t>
      </w:r>
      <w:r w:rsidR="0094274C">
        <w:rPr>
          <w:rFonts w:ascii="Times New Roman" w:hAnsi="Times New Roman"/>
          <w:sz w:val="24"/>
          <w:szCs w:val="24"/>
        </w:rPr>
        <w:t xml:space="preserve"> A partir dessas variáveis, a função de produção de saúde assume a esp</w:t>
      </w:r>
      <w:r w:rsidR="00EE278C">
        <w:rPr>
          <w:rFonts w:ascii="Times New Roman" w:hAnsi="Times New Roman"/>
          <w:sz w:val="24"/>
          <w:szCs w:val="24"/>
        </w:rPr>
        <w:t>ecificação expressa na equação abaixo:</w:t>
      </w:r>
    </w:p>
    <w:p w:rsidR="00175DA8" w:rsidRPr="00EE278C" w:rsidRDefault="00EE278C" w:rsidP="00EE278C">
      <w:pPr>
        <w:spacing w:after="0" w:line="240" w:lineRule="auto"/>
        <w:jc w:val="both"/>
        <w:rPr>
          <w:rFonts w:ascii="Times New Roman" w:hAnsi="Times New Roman"/>
          <w:sz w:val="24"/>
          <w:szCs w:val="24"/>
        </w:rPr>
      </w:pPr>
      <w:r>
        <w:rPr>
          <w:rFonts w:ascii="Times New Roman" w:hAnsi="Times New Roman"/>
          <w:szCs w:val="24"/>
        </w:rPr>
        <w:t>(3.1)</w:t>
      </w:r>
      <w:r>
        <w:rPr>
          <w:rFonts w:ascii="Times New Roman" w:hAnsi="Times New Roman"/>
          <w:szCs w:val="24"/>
        </w:rPr>
        <w:tab/>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TH</m:t>
            </m:r>
          </m:e>
          <m:sub>
            <m:r>
              <w:rPr>
                <w:rFonts w:ascii="Cambria Math" w:hAnsi="Cambria Math"/>
                <w:szCs w:val="24"/>
              </w:rPr>
              <m:t>i</m:t>
            </m:r>
          </m:sub>
        </m:sSub>
        <m:r>
          <w:rPr>
            <w:rFonts w:ascii="Cambria Math"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E</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ST</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SOC</m:t>
            </m:r>
          </m:e>
          <m:sub>
            <m:r>
              <w:rPr>
                <w:rFonts w:ascii="Cambria Math" w:eastAsiaTheme="minorEastAsia" w:hAnsi="Cambria Math"/>
                <w:szCs w:val="24"/>
              </w:rPr>
              <m:t>i</m:t>
            </m:r>
          </m:sub>
        </m:sSub>
        <m:r>
          <w:rPr>
            <w:rFonts w:ascii="Cambria Math" w:eastAsiaTheme="minorEastAsia" w:hAnsi="Cambria Math"/>
            <w:szCs w:val="24"/>
          </w:rPr>
          <m:t>)</m:t>
        </m:r>
      </m:oMath>
    </w:p>
    <w:p w:rsidR="009A2956" w:rsidRPr="00413686" w:rsidRDefault="00413686" w:rsidP="00413686">
      <w:pPr>
        <w:spacing w:after="0" w:line="240" w:lineRule="auto"/>
        <w:jc w:val="both"/>
        <w:rPr>
          <w:rFonts w:ascii="Times New Roman" w:hAnsi="Times New Roman"/>
          <w:sz w:val="24"/>
          <w:szCs w:val="24"/>
        </w:rPr>
      </w:pPr>
      <w:r w:rsidRPr="00413686">
        <w:rPr>
          <w:rFonts w:ascii="Times New Roman" w:eastAsiaTheme="minorEastAsia" w:hAnsi="Times New Roman"/>
          <w:sz w:val="24"/>
          <w:szCs w:val="24"/>
        </w:rPr>
        <w:t xml:space="preserve">A quantidade de equilíbrio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oMath>
      <w:r w:rsidRPr="00413686">
        <w:rPr>
          <w:rFonts w:ascii="Times New Roman" w:eastAsiaTheme="minorEastAsia" w:hAnsi="Times New Roman"/>
          <w:sz w:val="24"/>
          <w:szCs w:val="24"/>
        </w:rPr>
        <w:t xml:space="preserve"> é encontrada pela maximização da utilidade familiar</w:t>
      </w:r>
      <w:r w:rsidR="00D65471">
        <w:rPr>
          <w:rStyle w:val="Refdenotaderodap"/>
          <w:rFonts w:ascii="Times New Roman" w:eastAsiaTheme="minorEastAsia" w:hAnsi="Times New Roman"/>
          <w:sz w:val="24"/>
          <w:szCs w:val="24"/>
        </w:rPr>
        <w:footnoteReference w:id="4"/>
      </w:r>
      <w:r w:rsidRPr="00413686">
        <w:rPr>
          <w:rFonts w:ascii="Times New Roman" w:eastAsiaTheme="minorEastAsia" w:hAnsi="Times New Roman"/>
          <w:sz w:val="24"/>
          <w:szCs w:val="24"/>
        </w:rPr>
        <w:t xml:space="preserve"> sujeit</w:t>
      </w:r>
      <w:r w:rsidR="00436779">
        <w:rPr>
          <w:rFonts w:ascii="Times New Roman" w:eastAsiaTheme="minorEastAsia" w:hAnsi="Times New Roman"/>
          <w:sz w:val="24"/>
          <w:szCs w:val="24"/>
        </w:rPr>
        <w:t>a</w:t>
      </w:r>
      <w:r w:rsidRPr="00413686">
        <w:rPr>
          <w:rFonts w:ascii="Times New Roman" w:eastAsiaTheme="minorEastAsia" w:hAnsi="Times New Roman"/>
          <w:sz w:val="24"/>
          <w:szCs w:val="24"/>
        </w:rPr>
        <w:t xml:space="preserve"> a um conjunto de restrições. </w:t>
      </w:r>
      <w:r w:rsidR="00264F1B" w:rsidRPr="00413686">
        <w:rPr>
          <w:rFonts w:ascii="Times New Roman" w:hAnsi="Times New Roman"/>
          <w:sz w:val="24"/>
          <w:szCs w:val="24"/>
        </w:rPr>
        <w:t>A saúde é considerada por Grosman (1972) como um bem de consumo, pois entra diretamente na função utilidade e proporciona, por si só, bem-estar aos indivíduos. Al</w:t>
      </w:r>
      <w:r w:rsidRPr="00413686">
        <w:rPr>
          <w:rFonts w:ascii="Times New Roman" w:hAnsi="Times New Roman"/>
          <w:sz w:val="24"/>
          <w:szCs w:val="24"/>
        </w:rPr>
        <w:t xml:space="preserve">ém disso, pode ser vista </w:t>
      </w:r>
      <w:r w:rsidR="00264F1B" w:rsidRPr="00413686">
        <w:rPr>
          <w:rFonts w:ascii="Times New Roman" w:hAnsi="Times New Roman"/>
          <w:sz w:val="24"/>
          <w:szCs w:val="24"/>
        </w:rPr>
        <w:t>como um bem de investimento, porque as pessoas demandam saúde com o intuito de ganhar renda no futuro ao participarem do mercado de trabalho. Por último, a saúde é também bem de capital, pelo fato da mesma durar mais que um período de tempo e constituir-se em estoque acumulado, que se deprecia com o aumento da idade</w:t>
      </w:r>
      <w:r w:rsidRPr="00413686">
        <w:rPr>
          <w:rFonts w:ascii="Times New Roman" w:hAnsi="Times New Roman"/>
          <w:sz w:val="24"/>
          <w:szCs w:val="24"/>
        </w:rPr>
        <w:t>.</w:t>
      </w:r>
    </w:p>
    <w:p w:rsidR="00413686" w:rsidRPr="00413686" w:rsidRDefault="00413686" w:rsidP="00413686">
      <w:pPr>
        <w:spacing w:after="0" w:line="240" w:lineRule="auto"/>
        <w:jc w:val="both"/>
        <w:rPr>
          <w:rFonts w:ascii="Times New Roman" w:eastAsiaTheme="minorEastAsia" w:hAnsi="Times New Roman"/>
          <w:sz w:val="24"/>
          <w:szCs w:val="24"/>
        </w:rPr>
      </w:pPr>
      <w:r w:rsidRPr="00413686">
        <w:rPr>
          <w:rFonts w:ascii="Times New Roman" w:eastAsiaTheme="minorEastAsia" w:hAnsi="Times New Roman"/>
          <w:sz w:val="24"/>
          <w:szCs w:val="24"/>
        </w:rPr>
        <w:t>Quando a aquisição de saúde é considerada como um bem</w:t>
      </w:r>
      <w:r w:rsidR="005457E8">
        <w:rPr>
          <w:rFonts w:ascii="Times New Roman" w:eastAsiaTheme="minorEastAsia" w:hAnsi="Times New Roman"/>
          <w:sz w:val="24"/>
          <w:szCs w:val="24"/>
        </w:rPr>
        <w:t xml:space="preserve"> puro de investimento</w:t>
      </w:r>
      <w:r w:rsidRPr="00413686">
        <w:rPr>
          <w:rFonts w:ascii="Times New Roman" w:eastAsiaTheme="minorEastAsia" w:hAnsi="Times New Roman"/>
          <w:sz w:val="24"/>
          <w:szCs w:val="24"/>
        </w:rPr>
        <w:t xml:space="preserve">, os custos de capital de saúde são os custos de se abdicar de tempo e dinheiro para se obter saúde. Desde que o estoque de saúde inicial herdado pelo indivíduo e as taxas de depreciação são dadas, a quantidade ótima </w:t>
      </w:r>
      <w:r w:rsidR="005457E8">
        <w:rPr>
          <w:rFonts w:ascii="Times New Roman" w:eastAsiaTheme="minorEastAsia" w:hAnsi="Times New Roman"/>
          <w:sz w:val="24"/>
          <w:szCs w:val="24"/>
        </w:rPr>
        <w:t xml:space="preserve">de investimento bruto em saúde </w:t>
      </w:r>
      <w:r w:rsidRPr="00413686">
        <w:rPr>
          <w:rFonts w:ascii="Times New Roman" w:eastAsiaTheme="minorEastAsia" w:hAnsi="Times New Roman"/>
          <w:sz w:val="24"/>
          <w:szCs w:val="24"/>
        </w:rPr>
        <w:t>determina a quantidade ótima de capital de saúde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m:t>
            </m:r>
          </m:sup>
        </m:sSup>
      </m:oMath>
      <w:r w:rsidRPr="00413686">
        <w:rPr>
          <w:rFonts w:ascii="Times New Roman" w:eastAsiaTheme="minorEastAsia" w:hAnsi="Times New Roman"/>
          <w:sz w:val="24"/>
          <w:szCs w:val="24"/>
        </w:rPr>
        <w:t>).</w:t>
      </w:r>
      <w:r w:rsidR="00E6445E">
        <w:rPr>
          <w:rFonts w:ascii="Times New Roman" w:eastAsiaTheme="minorEastAsia" w:hAnsi="Times New Roman"/>
          <w:sz w:val="24"/>
          <w:szCs w:val="24"/>
        </w:rPr>
        <w:t xml:space="preserve"> </w:t>
      </w:r>
      <w:r w:rsidRPr="00413686">
        <w:rPr>
          <w:rFonts w:ascii="Times New Roman" w:eastAsiaTheme="minorEastAsia" w:hAnsi="Times New Roman"/>
          <w:sz w:val="24"/>
          <w:szCs w:val="24"/>
        </w:rPr>
        <w:t xml:space="preserve"> </w:t>
      </w:r>
    </w:p>
    <w:p w:rsidR="00413686" w:rsidRDefault="00413686" w:rsidP="00413686">
      <w:pPr>
        <w:spacing w:after="0" w:line="240" w:lineRule="auto"/>
        <w:jc w:val="both"/>
        <w:rPr>
          <w:rFonts w:ascii="Times New Roman" w:eastAsiaTheme="minorEastAsia" w:hAnsi="Times New Roman"/>
          <w:sz w:val="24"/>
          <w:szCs w:val="24"/>
        </w:rPr>
      </w:pPr>
      <w:r w:rsidRPr="00413686">
        <w:rPr>
          <w:rFonts w:ascii="Times New Roman" w:eastAsiaTheme="minorEastAsia" w:hAnsi="Times New Roman"/>
          <w:sz w:val="24"/>
          <w:szCs w:val="24"/>
        </w:rPr>
        <w:t>A relação desse custo com o estoque de saúde do indivíduo descreve o padrão das taxas de retorno do investimento em saúde, ou seja, a eficiência marginal do investimento em saúde (EMH), que exibe retornos marginais decrescentes para a função de produçã</w:t>
      </w:r>
      <w:r w:rsidR="005457E8">
        <w:rPr>
          <w:rFonts w:ascii="Times New Roman" w:eastAsiaTheme="minorEastAsia" w:hAnsi="Times New Roman"/>
          <w:sz w:val="24"/>
          <w:szCs w:val="24"/>
        </w:rPr>
        <w:t xml:space="preserve">o de dias saudáveis. A curva </w:t>
      </w:r>
      <w:r w:rsidRPr="00413686">
        <w:rPr>
          <w:rFonts w:ascii="Times New Roman" w:eastAsiaTheme="minorEastAsia" w:hAnsi="Times New Roman"/>
          <w:sz w:val="24"/>
          <w:szCs w:val="24"/>
        </w:rPr>
        <w:t xml:space="preserve">que mostra a relação entre o estoque de </w:t>
      </w:r>
      <w:r w:rsidR="005457E8">
        <w:rPr>
          <w:rFonts w:ascii="Times New Roman" w:eastAsiaTheme="minorEastAsia" w:hAnsi="Times New Roman"/>
          <w:sz w:val="24"/>
          <w:szCs w:val="24"/>
        </w:rPr>
        <w:t>saúde e o custo de capital</w:t>
      </w:r>
      <w:r w:rsidRPr="00413686">
        <w:rPr>
          <w:rFonts w:ascii="Times New Roman" w:eastAsiaTheme="minorEastAsia" w:hAnsi="Times New Roman"/>
          <w:sz w:val="24"/>
          <w:szCs w:val="24"/>
        </w:rPr>
        <w:t xml:space="preserve"> é infinitamente elástica. O ponto ótimo de demanda de saúde é obtido pela inter</w:t>
      </w:r>
      <w:r w:rsidR="005457E8">
        <w:rPr>
          <w:rFonts w:ascii="Times New Roman" w:eastAsiaTheme="minorEastAsia" w:hAnsi="Times New Roman"/>
          <w:sz w:val="24"/>
          <w:szCs w:val="24"/>
        </w:rPr>
        <w:t>seção da curva EMH com a curva acima</w:t>
      </w:r>
      <w:r w:rsidRPr="00413686">
        <w:rPr>
          <w:rFonts w:ascii="Times New Roman" w:eastAsiaTheme="minorEastAsia" w:hAnsi="Times New Roman"/>
          <w:sz w:val="24"/>
          <w:szCs w:val="24"/>
        </w:rPr>
        <w:t>.</w:t>
      </w:r>
    </w:p>
    <w:p w:rsidR="008F2653" w:rsidRPr="00413686" w:rsidRDefault="008F2653" w:rsidP="00413686">
      <w:pPr>
        <w:spacing w:after="0" w:line="240" w:lineRule="auto"/>
        <w:jc w:val="both"/>
        <w:rPr>
          <w:rFonts w:ascii="Times New Roman" w:eastAsiaTheme="minorEastAsia" w:hAnsi="Times New Roman"/>
          <w:sz w:val="24"/>
          <w:szCs w:val="24"/>
        </w:rPr>
      </w:pPr>
      <w:r w:rsidRPr="008F2653">
        <w:rPr>
          <w:rFonts w:ascii="Times New Roman" w:eastAsiaTheme="minorEastAsia" w:hAnsi="Times New Roman"/>
          <w:sz w:val="24"/>
          <w:szCs w:val="24"/>
        </w:rPr>
        <w:t xml:space="preserve">À medida em que a educação, o acesso aos serviços adequados de saneamento básico e as variáveis socioeconômicas </w:t>
      </w:r>
      <w:r w:rsidR="000E3EBE">
        <w:rPr>
          <w:rFonts w:ascii="Times New Roman" w:eastAsiaTheme="minorEastAsia" w:hAnsi="Times New Roman"/>
          <w:sz w:val="24"/>
          <w:szCs w:val="24"/>
        </w:rPr>
        <w:t>(tal como a renda</w:t>
      </w:r>
      <w:r w:rsidRPr="008F2653">
        <w:rPr>
          <w:rFonts w:ascii="Times New Roman" w:eastAsiaTheme="minorEastAsia" w:hAnsi="Times New Roman"/>
          <w:sz w:val="24"/>
          <w:szCs w:val="24"/>
        </w:rPr>
        <w:t>) aumentam</w:t>
      </w:r>
      <w:r w:rsidR="00E6445E">
        <w:rPr>
          <w:rFonts w:ascii="Times New Roman" w:eastAsiaTheme="minorEastAsia" w:hAnsi="Times New Roman"/>
          <w:sz w:val="24"/>
          <w:szCs w:val="24"/>
        </w:rPr>
        <w:t xml:space="preserve"> </w:t>
      </w:r>
      <w:r w:rsidRPr="008F2653">
        <w:rPr>
          <w:rFonts w:ascii="Times New Roman" w:eastAsiaTheme="minorEastAsia" w:hAnsi="Times New Roman"/>
          <w:sz w:val="24"/>
          <w:szCs w:val="24"/>
        </w:rPr>
        <w:t>o capital de saúde do indivíduo</w:t>
      </w:r>
      <w:r w:rsidR="00E6445E">
        <w:rPr>
          <w:rFonts w:ascii="Times New Roman" w:eastAsiaTheme="minorEastAsia" w:hAnsi="Times New Roman"/>
          <w:sz w:val="24"/>
          <w:szCs w:val="24"/>
        </w:rPr>
        <w:t xml:space="preserve"> é afetado</w:t>
      </w:r>
      <w:r w:rsidRPr="008F2653">
        <w:rPr>
          <w:rFonts w:ascii="Times New Roman" w:eastAsiaTheme="minorEastAsia" w:hAnsi="Times New Roman"/>
          <w:sz w:val="24"/>
          <w:szCs w:val="24"/>
        </w:rPr>
        <w:t xml:space="preserve">. </w:t>
      </w:r>
      <w:r w:rsidR="00E6445E">
        <w:rPr>
          <w:rFonts w:ascii="Times New Roman" w:eastAsiaTheme="minorEastAsia" w:hAnsi="Times New Roman"/>
          <w:sz w:val="24"/>
          <w:szCs w:val="24"/>
        </w:rPr>
        <w:t>Isso ocorre</w:t>
      </w:r>
      <w:r w:rsidRPr="008F2653">
        <w:rPr>
          <w:rFonts w:ascii="Times New Roman" w:eastAsiaTheme="minorEastAsia" w:hAnsi="Times New Roman"/>
          <w:sz w:val="24"/>
          <w:szCs w:val="24"/>
        </w:rPr>
        <w:t xml:space="preserve"> pelo fato das pessoas utilizarem os insumos de produção de forma mais eficiente (educação), devido à presença de externalidades ambientas que reforçam os retornos obtidos dos dias saudáveis (saneamento) ou em decorrência do investimento em novos insumos de saúde (variáveis socioeconômicas). No caso da renda, duas situações podem ocorrer: o maior valor da hora do </w:t>
      </w:r>
      <w:r w:rsidRPr="008F2653">
        <w:rPr>
          <w:rFonts w:ascii="Times New Roman" w:eastAsiaTheme="minorEastAsia" w:hAnsi="Times New Roman"/>
          <w:sz w:val="24"/>
          <w:szCs w:val="24"/>
        </w:rPr>
        <w:lastRenderedPageBreak/>
        <w:t>indivíduo no mercado de trabalho o leva a desejar não perder tempo com a falta de saúde e, portanto, investe na mesma. De forma alternativa, por trocar um pouco do seu rendimento por lazer terá mais tempo para investir em saúde que, consequentemente, reforça o primeiro efeito e ainda lhe causa bem-estar.</w:t>
      </w:r>
    </w:p>
    <w:p w:rsidR="00175DA8" w:rsidRPr="00264F1B" w:rsidRDefault="00175DA8" w:rsidP="00264F1B">
      <w:pPr>
        <w:spacing w:after="0" w:line="240" w:lineRule="auto"/>
        <w:jc w:val="both"/>
        <w:rPr>
          <w:rFonts w:ascii="Times New Roman" w:hAnsi="Times New Roman"/>
          <w:sz w:val="24"/>
          <w:szCs w:val="24"/>
        </w:rPr>
      </w:pPr>
    </w:p>
    <w:p w:rsidR="00DF27E5" w:rsidRPr="00366B45" w:rsidRDefault="002E7592" w:rsidP="00366B45">
      <w:pPr>
        <w:pStyle w:val="PargrafodaLista"/>
        <w:numPr>
          <w:ilvl w:val="1"/>
          <w:numId w:val="5"/>
        </w:numPr>
        <w:spacing w:after="0" w:line="240" w:lineRule="auto"/>
        <w:ind w:left="714" w:hanging="357"/>
        <w:contextualSpacing w:val="0"/>
        <w:jc w:val="both"/>
        <w:rPr>
          <w:rFonts w:ascii="Times New Roman" w:hAnsi="Times New Roman"/>
          <w:b/>
          <w:sz w:val="24"/>
          <w:szCs w:val="24"/>
        </w:rPr>
      </w:pPr>
      <w:r w:rsidRPr="005D4236">
        <w:rPr>
          <w:rFonts w:ascii="Times New Roman" w:hAnsi="Times New Roman"/>
          <w:b/>
          <w:sz w:val="24"/>
          <w:szCs w:val="24"/>
        </w:rPr>
        <w:t>Estratégia empírica</w:t>
      </w:r>
    </w:p>
    <w:p w:rsidR="00DF27E5" w:rsidRDefault="00357C35" w:rsidP="00DF27E5">
      <w:pPr>
        <w:pStyle w:val="PargrafodaLista"/>
        <w:numPr>
          <w:ilvl w:val="2"/>
          <w:numId w:val="5"/>
        </w:numPr>
        <w:spacing w:after="0" w:line="240" w:lineRule="auto"/>
        <w:jc w:val="both"/>
        <w:rPr>
          <w:rFonts w:ascii="Times New Roman" w:hAnsi="Times New Roman"/>
          <w:b/>
          <w:sz w:val="24"/>
          <w:szCs w:val="24"/>
        </w:rPr>
      </w:pPr>
      <w:r w:rsidRPr="00DF27E5">
        <w:rPr>
          <w:rFonts w:ascii="Times New Roman" w:hAnsi="Times New Roman"/>
          <w:b/>
          <w:sz w:val="24"/>
          <w:szCs w:val="24"/>
        </w:rPr>
        <w:t xml:space="preserve">Os modelos </w:t>
      </w:r>
      <w:r w:rsidR="00DF27E5" w:rsidRPr="00DF27E5">
        <w:rPr>
          <w:rFonts w:ascii="Times New Roman" w:hAnsi="Times New Roman"/>
          <w:b/>
          <w:sz w:val="24"/>
          <w:szCs w:val="24"/>
        </w:rPr>
        <w:t xml:space="preserve">e testes </w:t>
      </w:r>
      <w:r w:rsidRPr="00DF27E5">
        <w:rPr>
          <w:rFonts w:ascii="Times New Roman" w:hAnsi="Times New Roman"/>
          <w:b/>
          <w:sz w:val="24"/>
          <w:szCs w:val="24"/>
        </w:rPr>
        <w:t>espaciais</w:t>
      </w:r>
    </w:p>
    <w:p w:rsidR="001C2874" w:rsidRPr="00A9328E" w:rsidRDefault="00467ADD" w:rsidP="00A9328E">
      <w:pPr>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O</w:t>
      </w:r>
      <w:r w:rsidR="00312088">
        <w:rPr>
          <w:rFonts w:ascii="Times New Roman" w:eastAsiaTheme="minorEastAsia" w:hAnsi="Times New Roman"/>
          <w:sz w:val="24"/>
          <w:szCs w:val="24"/>
        </w:rPr>
        <w:t xml:space="preserve"> modelo geral para a relação</w:t>
      </w:r>
      <w:r w:rsidR="001C2874" w:rsidRPr="00A9328E">
        <w:rPr>
          <w:rFonts w:ascii="Times New Roman" w:eastAsiaTheme="minorEastAsia" w:hAnsi="Times New Roman"/>
          <w:sz w:val="24"/>
          <w:szCs w:val="24"/>
        </w:rPr>
        <w:t xml:space="preserve"> entre a</w:t>
      </w:r>
      <w:r>
        <w:rPr>
          <w:rFonts w:ascii="Times New Roman" w:eastAsiaTheme="minorEastAsia" w:hAnsi="Times New Roman"/>
          <w:sz w:val="24"/>
          <w:szCs w:val="24"/>
        </w:rPr>
        <w:t xml:space="preserve"> taxa de</w:t>
      </w:r>
      <w:r w:rsidR="001C2874" w:rsidRPr="00A9328E">
        <w:rPr>
          <w:rFonts w:ascii="Times New Roman" w:eastAsiaTheme="minorEastAsia" w:hAnsi="Times New Roman"/>
          <w:sz w:val="24"/>
          <w:szCs w:val="24"/>
        </w:rPr>
        <w:t xml:space="preserve"> incidência de DRSAI</w:t>
      </w:r>
      <w:r w:rsidR="00A9328E" w:rsidRPr="00A9328E">
        <w:rPr>
          <w:rFonts w:ascii="Times New Roman" w:eastAsiaTheme="minorEastAsia" w:hAnsi="Times New Roman"/>
          <w:sz w:val="24"/>
          <w:szCs w:val="24"/>
        </w:rPr>
        <w:t xml:space="preserve"> (</w:t>
      </w:r>
      <m:oMath>
        <m:r>
          <w:rPr>
            <w:rFonts w:ascii="Cambria Math" w:eastAsiaTheme="minorEastAsia" w:hAnsi="Cambria Math"/>
            <w:sz w:val="24"/>
            <w:szCs w:val="24"/>
          </w:rPr>
          <m:t>IncDrsai</m:t>
        </m:r>
      </m:oMath>
      <w:r w:rsidR="00A9328E" w:rsidRPr="00A9328E">
        <w:rPr>
          <w:rFonts w:ascii="Times New Roman" w:eastAsiaTheme="minorEastAsia" w:hAnsi="Times New Roman"/>
          <w:sz w:val="24"/>
          <w:szCs w:val="24"/>
        </w:rPr>
        <w:t>)</w:t>
      </w:r>
      <w:r>
        <w:rPr>
          <w:rFonts w:ascii="Times New Roman" w:eastAsiaTheme="minorEastAsia" w:hAnsi="Times New Roman"/>
          <w:sz w:val="24"/>
          <w:szCs w:val="24"/>
        </w:rPr>
        <w:t xml:space="preserve"> e</w:t>
      </w:r>
      <w:r w:rsidR="001C2874" w:rsidRPr="00A9328E">
        <w:rPr>
          <w:rFonts w:ascii="Times New Roman" w:eastAsiaTheme="minorEastAsia" w:hAnsi="Times New Roman"/>
          <w:sz w:val="24"/>
          <w:szCs w:val="24"/>
        </w:rPr>
        <w:t xml:space="preserve"> as variáveis de saneamento</w:t>
      </w:r>
      <w:r w:rsidR="00A9328E" w:rsidRPr="00A9328E">
        <w:rPr>
          <w:rFonts w:ascii="Times New Roman" w:eastAsiaTheme="minorEastAsia" w:hAnsi="Times New Roman"/>
          <w:sz w:val="24"/>
          <w:szCs w:val="24"/>
        </w:rPr>
        <w:t xml:space="preserve"> (</w:t>
      </w:r>
      <m:oMath>
        <m:r>
          <w:rPr>
            <w:rFonts w:ascii="Cambria Math" w:eastAsiaTheme="minorEastAsia" w:hAnsi="Cambria Math"/>
            <w:sz w:val="24"/>
            <w:szCs w:val="24"/>
          </w:rPr>
          <m:t>San</m:t>
        </m:r>
      </m:oMath>
      <w:r w:rsidR="00A9328E" w:rsidRPr="00A9328E">
        <w:rPr>
          <w:rFonts w:ascii="Times New Roman" w:eastAsiaTheme="minorEastAsia" w:hAnsi="Times New Roman"/>
          <w:sz w:val="24"/>
          <w:szCs w:val="24"/>
        </w:rPr>
        <w:t>)</w:t>
      </w:r>
      <w:r w:rsidR="007179DA">
        <w:rPr>
          <w:rFonts w:ascii="Times New Roman" w:eastAsiaTheme="minorEastAsia" w:hAnsi="Times New Roman"/>
          <w:sz w:val="24"/>
          <w:szCs w:val="24"/>
        </w:rPr>
        <w:t xml:space="preserve"> </w:t>
      </w:r>
      <w:r>
        <w:rPr>
          <w:rFonts w:ascii="Times New Roman" w:eastAsiaTheme="minorEastAsia" w:hAnsi="Times New Roman"/>
          <w:sz w:val="24"/>
          <w:szCs w:val="24"/>
        </w:rPr>
        <w:t>é expresso por</w:t>
      </w:r>
      <w:r w:rsidR="001C2874" w:rsidRPr="00A9328E">
        <w:rPr>
          <w:rFonts w:ascii="Times New Roman" w:eastAsiaTheme="minorEastAsia" w:hAnsi="Times New Roman"/>
          <w:sz w:val="24"/>
          <w:szCs w:val="24"/>
        </w:rPr>
        <w:t>:</w:t>
      </w:r>
    </w:p>
    <w:p w:rsidR="00A9328E" w:rsidRPr="00A9328E" w:rsidRDefault="00EE278C" w:rsidP="00A9328E">
      <w:pPr>
        <w:spacing w:after="0" w:line="240" w:lineRule="auto"/>
        <w:jc w:val="both"/>
        <w:rPr>
          <w:rFonts w:ascii="Times New Roman" w:hAnsi="Times New Roman"/>
          <w:sz w:val="24"/>
          <w:szCs w:val="24"/>
        </w:rPr>
      </w:pPr>
      <w:r>
        <w:rPr>
          <w:rFonts w:ascii="Times New Roman" w:hAnsi="Times New Roman"/>
          <w:sz w:val="24"/>
          <w:szCs w:val="24"/>
        </w:rPr>
        <w:t>(3.2)</w:t>
      </w:r>
      <m:oMath>
        <m:r>
          <w:rPr>
            <w:rFonts w:ascii="Cambria Math" w:hAnsi="Cambria Math"/>
            <w:sz w:val="24"/>
            <w:szCs w:val="24"/>
          </w:rPr>
          <m:t xml:space="preserve">  IncDrsai= Sanβ+ ε</m:t>
        </m:r>
      </m:oMath>
    </w:p>
    <w:p w:rsidR="00EE278C" w:rsidRDefault="00307E3E" w:rsidP="00A9328E">
      <w:pPr>
        <w:spacing w:after="0" w:line="240" w:lineRule="auto"/>
        <w:jc w:val="both"/>
        <w:rPr>
          <w:rFonts w:ascii="Times New Roman" w:hAnsi="Times New Roman"/>
          <w:sz w:val="24"/>
          <w:szCs w:val="24"/>
        </w:rPr>
      </w:pPr>
      <w:r>
        <w:rPr>
          <w:rFonts w:ascii="Times New Roman" w:hAnsi="Times New Roman"/>
          <w:sz w:val="24"/>
          <w:szCs w:val="24"/>
        </w:rPr>
        <w:t>Em que</w:t>
      </w:r>
      <w:r w:rsidR="00EE278C">
        <w:rPr>
          <w:rFonts w:ascii="Times New Roman" w:hAnsi="Times New Roman"/>
          <w:sz w:val="24"/>
          <w:szCs w:val="24"/>
        </w:rPr>
        <w:t xml:space="preserve"> </w:t>
      </w:r>
      <m:oMath>
        <m:r>
          <w:rPr>
            <w:rFonts w:ascii="Cambria Math" w:hAnsi="Cambria Math"/>
            <w:sz w:val="24"/>
            <w:szCs w:val="24"/>
          </w:rPr>
          <m:t>IncDrsai</m:t>
        </m:r>
      </m:oMath>
      <w:r w:rsidR="008A2C96">
        <w:rPr>
          <w:rFonts w:ascii="Times New Roman" w:hAnsi="Times New Roman"/>
          <w:sz w:val="24"/>
          <w:szCs w:val="24"/>
        </w:rPr>
        <w:t xml:space="preserve"> </w:t>
      </w:r>
      <w:r w:rsidR="003D29B3">
        <w:rPr>
          <w:rFonts w:ascii="Times New Roman" w:hAnsi="Times New Roman"/>
          <w:sz w:val="24"/>
          <w:szCs w:val="24"/>
        </w:rPr>
        <w:t xml:space="preserve">é um vetor </w:t>
      </w:r>
      <m:oMath>
        <m:r>
          <w:rPr>
            <w:rFonts w:ascii="Cambria Math" w:hAnsi="Cambria Math"/>
            <w:sz w:val="24"/>
            <w:szCs w:val="24"/>
          </w:rPr>
          <m:t>n ×1</m:t>
        </m:r>
      </m:oMath>
      <w:r w:rsidR="003D29B3">
        <w:rPr>
          <w:rFonts w:ascii="Times New Roman" w:hAnsi="Times New Roman"/>
          <w:sz w:val="24"/>
          <w:szCs w:val="24"/>
        </w:rPr>
        <w:t xml:space="preserve">, </w:t>
      </w:r>
      <m:oMath>
        <m:r>
          <w:rPr>
            <w:rFonts w:ascii="Cambria Math" w:hAnsi="Cambria Math"/>
            <w:sz w:val="24"/>
            <w:szCs w:val="24"/>
          </w:rPr>
          <m:t>San</m:t>
        </m:r>
      </m:oMath>
      <w:r w:rsidR="003D29B3">
        <w:rPr>
          <w:rFonts w:ascii="Times New Roman" w:hAnsi="Times New Roman"/>
          <w:sz w:val="24"/>
          <w:szCs w:val="24"/>
        </w:rPr>
        <w:t xml:space="preserve"> é uma matriz </w:t>
      </w:r>
      <m:oMath>
        <m:r>
          <w:rPr>
            <w:rFonts w:ascii="Cambria Math" w:hAnsi="Cambria Math"/>
            <w:sz w:val="24"/>
            <w:szCs w:val="24"/>
          </w:rPr>
          <m:t>n ×n</m:t>
        </m:r>
      </m:oMath>
      <w:r w:rsidR="003D29B3">
        <w:rPr>
          <w:rFonts w:ascii="Times New Roman" w:hAnsi="Times New Roman"/>
          <w:sz w:val="24"/>
          <w:szCs w:val="24"/>
        </w:rPr>
        <w:t xml:space="preserve"> de observações das variáveis de </w:t>
      </w:r>
      <w:r w:rsidR="007179DA">
        <w:rPr>
          <w:rFonts w:ascii="Times New Roman" w:hAnsi="Times New Roman"/>
          <w:sz w:val="24"/>
          <w:szCs w:val="24"/>
        </w:rPr>
        <w:t xml:space="preserve">interesse de </w:t>
      </w:r>
      <w:r w:rsidR="003D29B3">
        <w:rPr>
          <w:rFonts w:ascii="Times New Roman" w:hAnsi="Times New Roman"/>
          <w:sz w:val="24"/>
          <w:szCs w:val="24"/>
        </w:rPr>
        <w:t>saneamento</w:t>
      </w:r>
      <w:r w:rsidR="007179DA">
        <w:rPr>
          <w:rFonts w:ascii="Times New Roman" w:hAnsi="Times New Roman"/>
          <w:sz w:val="24"/>
          <w:szCs w:val="24"/>
        </w:rPr>
        <w:t xml:space="preserve"> e outras variáveis independentes de controle,</w:t>
      </w:r>
      <w:r w:rsidR="008A2C96">
        <w:rPr>
          <w:rFonts w:ascii="Times New Roman" w:hAnsi="Times New Roman"/>
          <w:sz w:val="24"/>
          <w:szCs w:val="24"/>
        </w:rPr>
        <w:t xml:space="preserve"> </w:t>
      </w:r>
      <m:oMath>
        <m:r>
          <w:rPr>
            <w:rFonts w:ascii="Cambria Math" w:hAnsi="Cambria Math"/>
            <w:sz w:val="24"/>
            <w:szCs w:val="24"/>
          </w:rPr>
          <m:t>β</m:t>
        </m:r>
      </m:oMath>
      <w:r w:rsidR="008A2C96">
        <w:rPr>
          <w:rFonts w:ascii="Times New Roman" w:hAnsi="Times New Roman"/>
          <w:sz w:val="24"/>
          <w:szCs w:val="24"/>
        </w:rPr>
        <w:t xml:space="preserve"> é o vetor </w:t>
      </w:r>
      <m:oMath>
        <m:r>
          <w:rPr>
            <w:rFonts w:ascii="Cambria Math" w:hAnsi="Cambria Math"/>
            <w:sz w:val="24"/>
            <w:szCs w:val="24"/>
          </w:rPr>
          <m:t>k ×1</m:t>
        </m:r>
      </m:oMath>
      <w:r w:rsidR="008A2C96">
        <w:rPr>
          <w:rFonts w:ascii="Times New Roman" w:hAnsi="Times New Roman"/>
          <w:sz w:val="24"/>
          <w:szCs w:val="24"/>
        </w:rPr>
        <w:t xml:space="preserve"> de parâmetros e </w:t>
      </w:r>
      <m:oMath>
        <m:r>
          <w:rPr>
            <w:rFonts w:ascii="Cambria Math" w:hAnsi="Cambria Math"/>
            <w:sz w:val="24"/>
            <w:szCs w:val="24"/>
          </w:rPr>
          <m:t>ε</m:t>
        </m:r>
      </m:oMath>
      <w:r w:rsidR="008A2C96">
        <w:rPr>
          <w:rFonts w:ascii="Times New Roman" w:hAnsi="Times New Roman"/>
          <w:sz w:val="24"/>
          <w:szCs w:val="24"/>
        </w:rPr>
        <w:t xml:space="preserve"> é um vetor de erros aleatórios independent</w:t>
      </w:r>
      <w:r w:rsidR="00467ADD">
        <w:rPr>
          <w:rFonts w:ascii="Times New Roman" w:hAnsi="Times New Roman"/>
          <w:sz w:val="24"/>
          <w:szCs w:val="24"/>
        </w:rPr>
        <w:t>e e identicamente distribuídos.</w:t>
      </w:r>
    </w:p>
    <w:p w:rsidR="001C2874" w:rsidRPr="003A214C" w:rsidRDefault="00A9328E" w:rsidP="00A9328E">
      <w:pPr>
        <w:spacing w:after="0" w:line="240" w:lineRule="auto"/>
        <w:jc w:val="both"/>
        <w:rPr>
          <w:rFonts w:ascii="Times New Roman" w:hAnsi="Times New Roman"/>
          <w:sz w:val="24"/>
          <w:szCs w:val="24"/>
        </w:rPr>
      </w:pPr>
      <w:r w:rsidRPr="00A9328E">
        <w:rPr>
          <w:rFonts w:ascii="Times New Roman" w:hAnsi="Times New Roman"/>
          <w:sz w:val="24"/>
          <w:szCs w:val="24"/>
        </w:rPr>
        <w:t>E</w:t>
      </w:r>
      <w:r w:rsidR="001C2874" w:rsidRPr="00A9328E">
        <w:rPr>
          <w:rFonts w:ascii="Times New Roman" w:eastAsiaTheme="minorEastAsia" w:hAnsi="Times New Roman"/>
          <w:sz w:val="24"/>
          <w:szCs w:val="24"/>
        </w:rPr>
        <w:t xml:space="preserve">sse estudo </w:t>
      </w:r>
      <w:r w:rsidRPr="00A9328E">
        <w:rPr>
          <w:rFonts w:ascii="Times New Roman" w:eastAsiaTheme="minorEastAsia" w:hAnsi="Times New Roman"/>
          <w:sz w:val="24"/>
          <w:szCs w:val="24"/>
        </w:rPr>
        <w:t>tratará do</w:t>
      </w:r>
      <w:r>
        <w:rPr>
          <w:rFonts w:ascii="Times New Roman" w:eastAsiaTheme="minorEastAsia" w:hAnsi="Times New Roman"/>
          <w:sz w:val="24"/>
          <w:szCs w:val="24"/>
        </w:rPr>
        <w:t>s</w:t>
      </w:r>
      <w:r w:rsidR="001C2874" w:rsidRPr="00A9328E">
        <w:rPr>
          <w:rFonts w:ascii="Times New Roman" w:eastAsiaTheme="minorEastAsia" w:hAnsi="Times New Roman"/>
          <w:sz w:val="24"/>
          <w:szCs w:val="24"/>
        </w:rPr>
        <w:t xml:space="preserve"> efeitos espaciais presentes nos dados sobre saneamento básico. Há três tipos deles. O primeiro efeito espacial ocorre quando </w:t>
      </w:r>
      <w:r w:rsidR="001C2874" w:rsidRPr="00A9328E">
        <w:rPr>
          <w:rFonts w:ascii="Times New Roman" w:hAnsi="Times New Roman"/>
          <w:sz w:val="24"/>
          <w:szCs w:val="24"/>
        </w:rPr>
        <w:t>alterações em uma observação da variável</w:t>
      </w:r>
      <w:r w:rsidR="00312088">
        <w:rPr>
          <w:rFonts w:ascii="Times New Roman" w:hAnsi="Times New Roman"/>
          <w:sz w:val="24"/>
          <w:szCs w:val="24"/>
        </w:rPr>
        <w:t xml:space="preserve"> </w:t>
      </w:r>
      <w:r w:rsidR="00312088" w:rsidRPr="00A9328E">
        <w:rPr>
          <w:rFonts w:ascii="Times New Roman" w:eastAsiaTheme="minorEastAsia" w:hAnsi="Times New Roman"/>
          <w:sz w:val="24"/>
          <w:szCs w:val="24"/>
        </w:rPr>
        <w:t>incidência de DRSAI</w:t>
      </w:r>
      <w:r w:rsidR="001C2874" w:rsidRPr="00A9328E">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IncDrsai</m:t>
            </m:r>
          </m:e>
          <m:sub>
            <m:r>
              <w:rPr>
                <w:rFonts w:ascii="Cambria Math" w:hAnsi="Cambria Math"/>
                <w:sz w:val="24"/>
                <w:szCs w:val="24"/>
              </w:rPr>
              <m:t>i</m:t>
            </m:r>
          </m:sub>
        </m:sSub>
      </m:oMath>
      <w:r w:rsidR="001C2874" w:rsidRPr="00A9328E">
        <w:rPr>
          <w:rFonts w:ascii="Times New Roman" w:hAnsi="Times New Roman"/>
          <w:sz w:val="24"/>
          <w:szCs w:val="24"/>
        </w:rPr>
        <w:t xml:space="preserve">), causadas por choques endógenos e/ou exógenos ao modelo, extravasam para os vizinhos, causando </w:t>
      </w:r>
      <w:r w:rsidR="001C2874" w:rsidRPr="003A214C">
        <w:rPr>
          <w:rFonts w:ascii="Times New Roman" w:hAnsi="Times New Roman"/>
          <w:sz w:val="24"/>
          <w:szCs w:val="24"/>
        </w:rPr>
        <w:t>alterações nas observações dos mesmos (</w:t>
      </w:r>
      <m:oMath>
        <m:sSub>
          <m:sSubPr>
            <m:ctrlPr>
              <w:rPr>
                <w:rFonts w:ascii="Cambria Math" w:hAnsi="Cambria Math"/>
                <w:i/>
                <w:sz w:val="24"/>
                <w:szCs w:val="24"/>
              </w:rPr>
            </m:ctrlPr>
          </m:sSubPr>
          <m:e>
            <m:r>
              <w:rPr>
                <w:rFonts w:ascii="Cambria Math" w:hAnsi="Cambria Math"/>
                <w:sz w:val="24"/>
                <w:szCs w:val="24"/>
              </w:rPr>
              <m:t>IncDrsai</m:t>
            </m:r>
          </m:e>
          <m:sub>
            <m:r>
              <w:rPr>
                <w:rFonts w:ascii="Cambria Math" w:hAnsi="Cambria Math"/>
                <w:sz w:val="24"/>
                <w:szCs w:val="24"/>
              </w:rPr>
              <m:t>j</m:t>
            </m:r>
          </m:sub>
        </m:sSub>
      </m:oMath>
      <w:r w:rsidR="001C2874" w:rsidRPr="003A214C">
        <w:rPr>
          <w:rFonts w:ascii="Times New Roman" w:hAnsi="Times New Roman"/>
          <w:sz w:val="24"/>
          <w:szCs w:val="24"/>
        </w:rPr>
        <w:t>).</w:t>
      </w:r>
      <w:r w:rsidR="00097433" w:rsidRPr="003A214C">
        <w:rPr>
          <w:rFonts w:ascii="Times New Roman" w:hAnsi="Times New Roman"/>
          <w:sz w:val="24"/>
          <w:szCs w:val="24"/>
        </w:rPr>
        <w:t xml:space="preserve"> </w:t>
      </w:r>
      <w:r w:rsidR="00111535" w:rsidRPr="003A214C">
        <w:rPr>
          <w:rFonts w:ascii="Times New Roman" w:hAnsi="Times New Roman"/>
          <w:sz w:val="24"/>
          <w:szCs w:val="24"/>
        </w:rPr>
        <w:t xml:space="preserve">Este modelo pode ser representado </w:t>
      </w:r>
      <w:r w:rsidR="001C2874" w:rsidRPr="003A214C">
        <w:rPr>
          <w:rFonts w:ascii="Times New Roman" w:hAnsi="Times New Roman"/>
          <w:sz w:val="24"/>
          <w:szCs w:val="24"/>
        </w:rPr>
        <w:t>em termos ma</w:t>
      </w:r>
      <w:r w:rsidRPr="003A214C">
        <w:rPr>
          <w:rFonts w:ascii="Times New Roman" w:hAnsi="Times New Roman"/>
          <w:sz w:val="24"/>
          <w:szCs w:val="24"/>
        </w:rPr>
        <w:t xml:space="preserve">triciais, por </w:t>
      </w:r>
      <w:r w:rsidR="001C2874" w:rsidRPr="003A214C">
        <w:rPr>
          <w:rFonts w:ascii="Times New Roman" w:hAnsi="Times New Roman"/>
          <w:sz w:val="24"/>
          <w:szCs w:val="24"/>
        </w:rPr>
        <w:t>(Anselin, 1988):</w:t>
      </w:r>
    </w:p>
    <w:p w:rsidR="001C2874" w:rsidRPr="003A214C" w:rsidRDefault="000E2ACF" w:rsidP="00A9328E">
      <w:pPr>
        <w:spacing w:after="0" w:line="240" w:lineRule="auto"/>
        <w:jc w:val="both"/>
        <w:rPr>
          <w:rFonts w:ascii="Times New Roman" w:hAnsi="Times New Roman"/>
          <w:sz w:val="24"/>
          <w:szCs w:val="24"/>
        </w:rPr>
      </w:pPr>
      <w:r w:rsidRPr="003A214C">
        <w:rPr>
          <w:rFonts w:ascii="Times New Roman" w:eastAsiaTheme="minorEastAsia" w:hAnsi="Times New Roman"/>
          <w:sz w:val="24"/>
          <w:szCs w:val="24"/>
        </w:rPr>
        <w:t>(3.3</w:t>
      </w:r>
      <w:r w:rsidR="001C2874" w:rsidRPr="003A214C">
        <w:rPr>
          <w:rFonts w:ascii="Times New Roman" w:eastAsiaTheme="minorEastAsia" w:hAnsi="Times New Roman"/>
          <w:sz w:val="24"/>
          <w:szCs w:val="24"/>
        </w:rPr>
        <w:t>)</w:t>
      </w:r>
      <w:r w:rsidR="001C2874" w:rsidRPr="003A214C">
        <w:rPr>
          <w:rFonts w:ascii="Times New Roman" w:eastAsiaTheme="minorEastAsia" w:hAnsi="Times New Roman"/>
          <w:sz w:val="24"/>
          <w:szCs w:val="24"/>
        </w:rPr>
        <w:tab/>
      </w:r>
      <m:oMath>
        <m:r>
          <w:rPr>
            <w:rFonts w:ascii="Cambria Math" w:hAnsi="Cambria Math"/>
            <w:sz w:val="24"/>
            <w:szCs w:val="24"/>
          </w:rPr>
          <m:t>IncDrsai=ρWIncDrsai+Sanβ+ ε</m:t>
        </m:r>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hAnsi="Cambria Math"/>
                <w:sz w:val="24"/>
                <w:szCs w:val="24"/>
              </w:rPr>
              <m:t>ρ</m:t>
            </m:r>
          </m:e>
        </m:d>
        <m:r>
          <w:rPr>
            <w:rFonts w:ascii="Cambria Math" w:eastAsiaTheme="minorEastAsia" w:hAnsi="Cambria Math"/>
            <w:sz w:val="24"/>
            <w:szCs w:val="24"/>
          </w:rPr>
          <m:t xml:space="preserve">&lt;1    </m:t>
        </m:r>
      </m:oMath>
      <w:r w:rsidR="001C2874" w:rsidRPr="003A214C">
        <w:rPr>
          <w:rFonts w:ascii="Times New Roman" w:hAnsi="Times New Roman"/>
          <w:sz w:val="24"/>
          <w:szCs w:val="24"/>
        </w:rPr>
        <w:t xml:space="preserve">  </w:t>
      </w:r>
    </w:p>
    <w:p w:rsidR="001C2874" w:rsidRPr="003A214C" w:rsidRDefault="00EB5627" w:rsidP="00A9328E">
      <w:pPr>
        <w:spacing w:after="0" w:line="240" w:lineRule="auto"/>
        <w:jc w:val="both"/>
        <w:rPr>
          <w:rFonts w:ascii="Times New Roman" w:hAnsi="Times New Roman"/>
          <w:sz w:val="24"/>
          <w:szCs w:val="24"/>
        </w:rPr>
      </w:pPr>
      <w:r w:rsidRPr="003A214C">
        <w:rPr>
          <w:rFonts w:ascii="Times New Roman" w:hAnsi="Times New Roman"/>
          <w:sz w:val="24"/>
          <w:szCs w:val="24"/>
        </w:rPr>
        <w:t>(3.4</w:t>
      </w:r>
      <w:r w:rsidR="001C2874" w:rsidRPr="003A214C">
        <w:rPr>
          <w:rFonts w:ascii="Times New Roman" w:hAnsi="Times New Roman"/>
          <w:sz w:val="24"/>
          <w:szCs w:val="24"/>
        </w:rPr>
        <w:t>)</w:t>
      </w:r>
      <w:r w:rsidR="001C2874" w:rsidRPr="003A214C">
        <w:rPr>
          <w:rFonts w:ascii="Times New Roman" w:hAnsi="Times New Roman"/>
          <w:sz w:val="24"/>
          <w:szCs w:val="24"/>
        </w:rPr>
        <w:tab/>
      </w:r>
      <m:oMath>
        <m:f>
          <m:fPr>
            <m:type m:val="lin"/>
            <m:ctrlPr>
              <w:rPr>
                <w:rFonts w:ascii="Cambria Math" w:hAnsi="Cambria Math"/>
                <w:i/>
                <w:sz w:val="24"/>
                <w:szCs w:val="24"/>
              </w:rPr>
            </m:ctrlPr>
          </m:fPr>
          <m:num>
            <m:r>
              <w:rPr>
                <w:rFonts w:ascii="Cambria Math" w:hAnsi="Cambria Math"/>
                <w:sz w:val="24"/>
                <w:szCs w:val="24"/>
              </w:rPr>
              <m:t>ε</m:t>
            </m:r>
          </m:num>
          <m:den>
            <m:r>
              <w:rPr>
                <w:rFonts w:ascii="Cambria Math" w:hAnsi="Cambria Math"/>
                <w:sz w:val="24"/>
                <w:szCs w:val="24"/>
              </w:rPr>
              <m:t>X</m:t>
            </m:r>
          </m:den>
        </m:f>
        <m:r>
          <w:rPr>
            <w:rFonts w:ascii="Cambria Math" w:hAnsi="Cambria Math"/>
            <w:sz w:val="24"/>
            <w:szCs w:val="24"/>
          </w:rPr>
          <m:t>≈i.i.d.N(0,</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un</m:t>
            </m:r>
          </m:sub>
          <m:sup>
            <m:r>
              <w:rPr>
                <w:rFonts w:ascii="Cambria Math"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n</m:t>
            </m:r>
          </m:sub>
        </m:sSub>
        <m:r>
          <w:rPr>
            <w:rFonts w:ascii="Cambria Math" w:eastAsiaTheme="minorEastAsia" w:hAnsi="Cambria Math"/>
            <w:sz w:val="24"/>
            <w:szCs w:val="24"/>
          </w:rPr>
          <m:t>)</m:t>
        </m:r>
      </m:oMath>
    </w:p>
    <w:p w:rsidR="00A9328E" w:rsidRPr="003A214C" w:rsidRDefault="00A9328E" w:rsidP="00A9328E">
      <w:pPr>
        <w:spacing w:after="0" w:line="240" w:lineRule="auto"/>
        <w:jc w:val="both"/>
        <w:rPr>
          <w:rFonts w:ascii="Times New Roman" w:hAnsi="Times New Roman"/>
          <w:sz w:val="24"/>
          <w:szCs w:val="24"/>
        </w:rPr>
      </w:pPr>
      <w:r w:rsidRPr="003A214C">
        <w:rPr>
          <w:rFonts w:ascii="Times New Roman" w:hAnsi="Times New Roman"/>
          <w:sz w:val="24"/>
          <w:szCs w:val="24"/>
        </w:rPr>
        <w:t>Em que,</w:t>
      </w:r>
      <w:r w:rsidR="000E2ACF" w:rsidRPr="003A214C">
        <w:rPr>
          <w:rFonts w:ascii="Times New Roman" w:hAnsi="Times New Roman"/>
          <w:sz w:val="24"/>
          <w:szCs w:val="24"/>
        </w:rPr>
        <w:t xml:space="preserve"> </w:t>
      </w:r>
      <m:oMath>
        <m:r>
          <w:rPr>
            <w:rFonts w:ascii="Cambria Math" w:hAnsi="Cambria Math"/>
            <w:sz w:val="24"/>
            <w:szCs w:val="24"/>
          </w:rPr>
          <m:t>ρ</m:t>
        </m:r>
      </m:oMath>
      <w:r w:rsidR="00097433" w:rsidRPr="003A214C">
        <w:rPr>
          <w:rFonts w:ascii="Times New Roman" w:hAnsi="Times New Roman"/>
          <w:sz w:val="24"/>
          <w:szCs w:val="24"/>
        </w:rPr>
        <w:t xml:space="preserve"> </w:t>
      </w:r>
      <w:r w:rsidRPr="003A214C">
        <w:rPr>
          <w:rFonts w:ascii="Times New Roman" w:hAnsi="Times New Roman"/>
          <w:sz w:val="24"/>
          <w:szCs w:val="24"/>
        </w:rPr>
        <w:t xml:space="preserve">é o parâmetro autoregressivo espacial, que mede a influência média dos vizinhos sobre observações no vetor </w:t>
      </w:r>
      <m:oMath>
        <m:r>
          <w:rPr>
            <w:rFonts w:ascii="Cambria Math" w:hAnsi="Cambria Math"/>
            <w:sz w:val="24"/>
            <w:szCs w:val="24"/>
          </w:rPr>
          <m:t>IncDrsai</m:t>
        </m:r>
      </m:oMath>
      <w:r w:rsidR="000E2ACF" w:rsidRPr="003A214C">
        <w:rPr>
          <w:rFonts w:ascii="Times New Roman" w:hAnsi="Times New Roman"/>
          <w:sz w:val="24"/>
          <w:szCs w:val="24"/>
        </w:rPr>
        <w:t xml:space="preserve">, </w:t>
      </w:r>
      <m:oMath>
        <m:r>
          <w:rPr>
            <w:rFonts w:ascii="Cambria Math" w:hAnsi="Cambria Math"/>
            <w:sz w:val="24"/>
            <w:szCs w:val="24"/>
          </w:rPr>
          <m:t>W</m:t>
        </m:r>
      </m:oMath>
      <w:r w:rsidR="000E2ACF" w:rsidRPr="003A214C">
        <w:rPr>
          <w:rFonts w:ascii="Times New Roman" w:hAnsi="Times New Roman"/>
          <w:sz w:val="24"/>
          <w:szCs w:val="24"/>
        </w:rPr>
        <w:t xml:space="preserve"> é a matriz</w:t>
      </w:r>
      <w:r w:rsidR="00172585" w:rsidRPr="003A214C">
        <w:rPr>
          <w:rFonts w:ascii="Times New Roman" w:hAnsi="Times New Roman"/>
          <w:sz w:val="24"/>
          <w:szCs w:val="24"/>
        </w:rPr>
        <w:t xml:space="preserve"> </w:t>
      </w:r>
      <m:oMath>
        <m:r>
          <w:rPr>
            <w:rFonts w:ascii="Cambria Math" w:hAnsi="Cambria Math"/>
            <w:sz w:val="24"/>
            <w:szCs w:val="24"/>
          </w:rPr>
          <m:t>n ×n</m:t>
        </m:r>
      </m:oMath>
      <w:r w:rsidR="00172585" w:rsidRPr="003A214C">
        <w:rPr>
          <w:rFonts w:ascii="Times New Roman" w:hAnsi="Times New Roman"/>
          <w:sz w:val="24"/>
          <w:szCs w:val="24"/>
        </w:rPr>
        <w:t xml:space="preserve"> de pesos espaciais exógenos e</w:t>
      </w:r>
      <w:r w:rsidR="000E2ACF" w:rsidRPr="003A214C">
        <w:rPr>
          <w:rFonts w:ascii="Times New Roman" w:hAnsi="Times New Roman"/>
          <w:sz w:val="24"/>
          <w:szCs w:val="24"/>
        </w:rPr>
        <w:t xml:space="preserve"> </w:t>
      </w:r>
      <m:oMath>
        <m:r>
          <w:rPr>
            <w:rFonts w:ascii="Cambria Math" w:hAnsi="Cambria Math"/>
            <w:sz w:val="24"/>
            <w:szCs w:val="24"/>
          </w:rPr>
          <m:t>WIncDrsai</m:t>
        </m:r>
      </m:oMath>
      <w:r w:rsidRPr="003A214C">
        <w:rPr>
          <w:rFonts w:ascii="Times New Roman" w:hAnsi="Times New Roman"/>
          <w:sz w:val="24"/>
          <w:szCs w:val="24"/>
        </w:rPr>
        <w:t xml:space="preserve">  é o termo de defasagem espacial, que representa, para cada distrito, a taxa de incidência de internações por DRSAI dos distritos vizinhos. </w:t>
      </w:r>
    </w:p>
    <w:p w:rsidR="00A9328E" w:rsidRPr="003A214C" w:rsidRDefault="00A9328E" w:rsidP="00A9328E">
      <w:pPr>
        <w:spacing w:after="0" w:line="240" w:lineRule="auto"/>
        <w:jc w:val="both"/>
        <w:rPr>
          <w:rFonts w:ascii="Times New Roman" w:hAnsi="Times New Roman"/>
          <w:sz w:val="24"/>
          <w:szCs w:val="24"/>
        </w:rPr>
      </w:pPr>
      <w:r w:rsidRPr="003A214C">
        <w:rPr>
          <w:rFonts w:ascii="Times New Roman" w:hAnsi="Times New Roman"/>
          <w:sz w:val="24"/>
          <w:szCs w:val="24"/>
        </w:rPr>
        <w:t>O segundo efeito espacial é a heterogeneidade espacial, que significa que podem existir respostas distintas decorrentes de um estímulo do fenômeno em estudo, dependendo da região onde ocorrem. Neste caso, ainda de acordo com Anselin e Bera (1998), a especificação mais comum desse efeito assume a seguinte forma:</w:t>
      </w:r>
    </w:p>
    <w:p w:rsidR="00A9328E" w:rsidRPr="003A214C" w:rsidRDefault="00EB5627" w:rsidP="00A9328E">
      <w:pPr>
        <w:spacing w:after="0" w:line="240" w:lineRule="auto"/>
        <w:jc w:val="both"/>
        <w:rPr>
          <w:rFonts w:ascii="Times New Roman" w:hAnsi="Times New Roman"/>
          <w:sz w:val="24"/>
          <w:szCs w:val="24"/>
        </w:rPr>
      </w:pPr>
      <w:r w:rsidRPr="003A214C">
        <w:rPr>
          <w:rFonts w:ascii="Times New Roman" w:eastAsiaTheme="minorEastAsia" w:hAnsi="Times New Roman"/>
          <w:sz w:val="24"/>
          <w:szCs w:val="24"/>
        </w:rPr>
        <w:t>(3.</w:t>
      </w:r>
      <w:r w:rsidR="00A9328E" w:rsidRPr="003A214C">
        <w:rPr>
          <w:rFonts w:ascii="Times New Roman" w:eastAsiaTheme="minorEastAsia" w:hAnsi="Times New Roman"/>
          <w:sz w:val="24"/>
          <w:szCs w:val="24"/>
        </w:rPr>
        <w:t>5)</w:t>
      </w:r>
      <w:r w:rsidR="00A9328E" w:rsidRPr="003A214C">
        <w:rPr>
          <w:rFonts w:ascii="Times New Roman" w:eastAsiaTheme="minorEastAsia" w:hAnsi="Times New Roman"/>
          <w:sz w:val="24"/>
          <w:szCs w:val="24"/>
        </w:rPr>
        <w:tab/>
      </w:r>
      <m:oMath>
        <m:r>
          <w:rPr>
            <w:rFonts w:ascii="Cambria Math" w:hAnsi="Cambria Math"/>
            <w:sz w:val="24"/>
            <w:szCs w:val="24"/>
          </w:rPr>
          <m:t>IncDrsai=Sanβ+ ε</m:t>
        </m:r>
      </m:oMath>
      <w:r w:rsidR="00A9328E" w:rsidRPr="003A214C">
        <w:rPr>
          <w:rFonts w:ascii="Times New Roman" w:eastAsiaTheme="minorEastAsia" w:hAnsi="Times New Roman"/>
          <w:sz w:val="24"/>
          <w:szCs w:val="24"/>
        </w:rPr>
        <w:t xml:space="preserve">;   </w:t>
      </w:r>
      <m:oMath>
        <m:r>
          <w:rPr>
            <w:rFonts w:ascii="Cambria Math" w:hAnsi="Cambria Math"/>
            <w:sz w:val="24"/>
            <w:szCs w:val="24"/>
          </w:rPr>
          <m:t>ε=λWε+ξ</m:t>
        </m:r>
      </m:oMath>
    </w:p>
    <w:p w:rsidR="00A9328E" w:rsidRPr="00A9328E" w:rsidRDefault="00A9328E" w:rsidP="00A9328E">
      <w:pPr>
        <w:spacing w:after="0" w:line="240" w:lineRule="auto"/>
        <w:jc w:val="both"/>
        <w:rPr>
          <w:rFonts w:ascii="Times New Roman" w:hAnsi="Times New Roman"/>
          <w:sz w:val="24"/>
          <w:szCs w:val="24"/>
        </w:rPr>
      </w:pPr>
      <w:r w:rsidRPr="003A214C">
        <w:rPr>
          <w:rFonts w:ascii="Times New Roman" w:hAnsi="Times New Roman"/>
          <w:sz w:val="24"/>
          <w:szCs w:val="24"/>
        </w:rPr>
        <w:t>Em que,</w:t>
      </w:r>
      <w:r w:rsidR="00B25C68" w:rsidRPr="003A214C">
        <w:rPr>
          <w:rFonts w:ascii="Times New Roman" w:hAnsi="Times New Roman"/>
          <w:sz w:val="24"/>
          <w:szCs w:val="24"/>
        </w:rPr>
        <w:t xml:space="preserve"> </w:t>
      </w:r>
      <m:oMath>
        <m:r>
          <w:rPr>
            <w:rFonts w:ascii="Cambria Math" w:hAnsi="Cambria Math"/>
            <w:sz w:val="24"/>
            <w:szCs w:val="24"/>
          </w:rPr>
          <m:t>λ</m:t>
        </m:r>
      </m:oMath>
      <w:r w:rsidRPr="003A214C">
        <w:rPr>
          <w:rFonts w:ascii="Times New Roman" w:hAnsi="Times New Roman"/>
          <w:sz w:val="24"/>
          <w:szCs w:val="24"/>
        </w:rPr>
        <w:t xml:space="preserve">  é o coeficie</w:t>
      </w:r>
      <w:r w:rsidR="00EB5627" w:rsidRPr="003A214C">
        <w:rPr>
          <w:rFonts w:ascii="Times New Roman" w:hAnsi="Times New Roman"/>
          <w:sz w:val="24"/>
          <w:szCs w:val="24"/>
        </w:rPr>
        <w:t>nte auto</w:t>
      </w:r>
      <w:r w:rsidRPr="003A214C">
        <w:rPr>
          <w:rFonts w:ascii="Times New Roman" w:hAnsi="Times New Roman"/>
          <w:sz w:val="24"/>
          <w:szCs w:val="24"/>
        </w:rPr>
        <w:t>regressivo espacial pa</w:t>
      </w:r>
      <w:r w:rsidR="00B25C68" w:rsidRPr="003A214C">
        <w:rPr>
          <w:rFonts w:ascii="Times New Roman" w:hAnsi="Times New Roman"/>
          <w:sz w:val="24"/>
          <w:szCs w:val="24"/>
        </w:rPr>
        <w:t>ra a defasagem</w:t>
      </w:r>
      <w:r w:rsidR="00B25C68">
        <w:rPr>
          <w:rFonts w:ascii="Times New Roman" w:hAnsi="Times New Roman"/>
          <w:sz w:val="24"/>
          <w:szCs w:val="24"/>
        </w:rPr>
        <w:t xml:space="preserve"> do termo de erro e </w:t>
      </w:r>
      <m:oMath>
        <m:r>
          <w:rPr>
            <w:rFonts w:ascii="Cambria Math" w:hAnsi="Cambria Math"/>
            <w:sz w:val="24"/>
            <w:szCs w:val="24"/>
          </w:rPr>
          <m:t>ξ</m:t>
        </m:r>
      </m:oMath>
      <w:r w:rsidR="00EB5627">
        <w:rPr>
          <w:rFonts w:ascii="Times New Roman" w:hAnsi="Times New Roman"/>
          <w:sz w:val="24"/>
          <w:szCs w:val="24"/>
        </w:rPr>
        <w:t xml:space="preserve">  é o termo de erro não </w:t>
      </w:r>
      <w:r w:rsidRPr="00A9328E">
        <w:rPr>
          <w:rFonts w:ascii="Times New Roman" w:hAnsi="Times New Roman"/>
          <w:sz w:val="24"/>
          <w:szCs w:val="24"/>
        </w:rPr>
        <w:t>correlacionado e homocedástico.</w:t>
      </w:r>
    </w:p>
    <w:p w:rsidR="00A9328E" w:rsidRPr="00A9328E" w:rsidRDefault="00A9328E" w:rsidP="00A9328E">
      <w:pPr>
        <w:spacing w:after="0" w:line="240" w:lineRule="auto"/>
        <w:jc w:val="both"/>
        <w:rPr>
          <w:rFonts w:ascii="Times New Roman" w:eastAsiaTheme="minorEastAsia" w:hAnsi="Times New Roman"/>
          <w:sz w:val="24"/>
          <w:szCs w:val="24"/>
        </w:rPr>
      </w:pPr>
      <w:r w:rsidRPr="00A9328E">
        <w:rPr>
          <w:rFonts w:ascii="Times New Roman" w:hAnsi="Times New Roman"/>
          <w:sz w:val="24"/>
          <w:szCs w:val="24"/>
        </w:rPr>
        <w:t>Por fim, o último componente espacial a ser apresentado trata da defasagem do vetor de variáveis exógenas (</w:t>
      </w:r>
      <m:oMath>
        <m:r>
          <w:rPr>
            <w:rFonts w:ascii="Cambria Math" w:hAnsi="Cambria Math"/>
            <w:sz w:val="24"/>
            <w:szCs w:val="24"/>
          </w:rPr>
          <m:t>San</m:t>
        </m:r>
      </m:oMath>
      <w:r w:rsidRPr="00A9328E">
        <w:rPr>
          <w:rFonts w:ascii="Times New Roman" w:eastAsiaTheme="minorEastAsia" w:hAnsi="Times New Roman"/>
          <w:sz w:val="24"/>
          <w:szCs w:val="24"/>
        </w:rPr>
        <w:t>)</w:t>
      </w:r>
      <w:r w:rsidR="00E0467A">
        <w:rPr>
          <w:rFonts w:ascii="Times New Roman" w:eastAsiaTheme="minorEastAsia" w:hAnsi="Times New Roman"/>
          <w:sz w:val="24"/>
          <w:szCs w:val="24"/>
        </w:rPr>
        <w:t xml:space="preserve"> que contém as variáveis de saneamento e de outras variáveis de controle</w:t>
      </w:r>
      <w:r w:rsidRPr="00A9328E">
        <w:rPr>
          <w:rFonts w:ascii="Times New Roman" w:eastAsiaTheme="minorEastAsia" w:hAnsi="Times New Roman"/>
          <w:sz w:val="24"/>
          <w:szCs w:val="24"/>
        </w:rPr>
        <w:t xml:space="preserve">. Em outras palavras, esse efeito ocorre quando as variáveis contidas na matriz </w:t>
      </w:r>
      <m:oMath>
        <m:r>
          <w:rPr>
            <w:rFonts w:ascii="Cambria Math" w:hAnsi="Cambria Math"/>
            <w:sz w:val="24"/>
            <w:szCs w:val="24"/>
          </w:rPr>
          <m:t>San</m:t>
        </m:r>
      </m:oMath>
      <w:r w:rsidRPr="00A9328E">
        <w:rPr>
          <w:rFonts w:ascii="Times New Roman" w:eastAsiaTheme="minorEastAsia" w:hAnsi="Times New Roman"/>
          <w:sz w:val="24"/>
          <w:szCs w:val="24"/>
        </w:rPr>
        <w:t xml:space="preserve"> transbordam espacialmente. </w:t>
      </w:r>
      <w:r w:rsidR="00983467">
        <w:rPr>
          <w:rFonts w:ascii="Times New Roman" w:eastAsiaTheme="minorEastAsia" w:hAnsi="Times New Roman"/>
          <w:sz w:val="24"/>
          <w:szCs w:val="24"/>
        </w:rPr>
        <w:t>(3.</w:t>
      </w:r>
      <w:r w:rsidRPr="00A9328E">
        <w:rPr>
          <w:rFonts w:ascii="Times New Roman" w:eastAsiaTheme="minorEastAsia" w:hAnsi="Times New Roman"/>
          <w:sz w:val="24"/>
          <w:szCs w:val="24"/>
        </w:rPr>
        <w:t>6)</w:t>
      </w:r>
      <w:r w:rsidRPr="00A9328E">
        <w:rPr>
          <w:rFonts w:ascii="Times New Roman" w:eastAsiaTheme="minorEastAsia" w:hAnsi="Times New Roman"/>
          <w:sz w:val="24"/>
          <w:szCs w:val="24"/>
        </w:rPr>
        <w:tab/>
      </w:r>
      <m:oMath>
        <m:r>
          <w:rPr>
            <w:rFonts w:ascii="Cambria Math" w:hAnsi="Cambria Math"/>
            <w:sz w:val="24"/>
            <w:szCs w:val="24"/>
          </w:rPr>
          <m:t>IncDrsai=WSanθ+Sanβ+ ε</m:t>
        </m:r>
      </m:oMath>
    </w:p>
    <w:p w:rsidR="00A9328E" w:rsidRPr="00A630D0" w:rsidRDefault="00A630D0" w:rsidP="00A9328E">
      <w:pPr>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Em que, </w:t>
      </w:r>
      <m:oMath>
        <m:r>
          <w:rPr>
            <w:rFonts w:ascii="Cambria Math" w:hAnsi="Cambria Math"/>
            <w:sz w:val="24"/>
            <w:szCs w:val="24"/>
          </w:rPr>
          <m:t>θ</m:t>
        </m:r>
      </m:oMath>
      <w:r>
        <w:rPr>
          <w:rFonts w:ascii="Times New Roman" w:eastAsiaTheme="minorEastAsia" w:hAnsi="Times New Roman"/>
          <w:sz w:val="24"/>
          <w:szCs w:val="24"/>
        </w:rPr>
        <w:t xml:space="preserve"> contém os parâmetros </w:t>
      </w:r>
      <w:r w:rsidR="00A9328E" w:rsidRPr="00A9328E">
        <w:rPr>
          <w:rFonts w:ascii="Times New Roman" w:eastAsiaTheme="minorEastAsia" w:hAnsi="Times New Roman"/>
          <w:sz w:val="24"/>
          <w:szCs w:val="24"/>
        </w:rPr>
        <w:t xml:space="preserve">das variáveis explicativas defasadas espacialmente.   </w:t>
      </w:r>
    </w:p>
    <w:p w:rsidR="001F3E57" w:rsidRDefault="00A9328E" w:rsidP="008E5A44">
      <w:pPr>
        <w:spacing w:after="0" w:line="240" w:lineRule="auto"/>
        <w:jc w:val="both"/>
        <w:rPr>
          <w:rFonts w:ascii="Times New Roman" w:eastAsiaTheme="minorEastAsia" w:hAnsi="Times New Roman"/>
          <w:sz w:val="24"/>
          <w:szCs w:val="24"/>
        </w:rPr>
      </w:pPr>
      <w:r w:rsidRPr="008E5A44">
        <w:rPr>
          <w:rFonts w:ascii="Times New Roman" w:hAnsi="Times New Roman"/>
          <w:sz w:val="24"/>
          <w:szCs w:val="24"/>
        </w:rPr>
        <w:t>Os três tipos de componentes espaciais mencionados acima dão origem, respectivamente, ao Modelo de Defasagem Espacial (SAR), ao Modelo de Erro Espacial (SEM) e ao Modelo Regressivo Cruzado Espacial (SLX).</w:t>
      </w:r>
      <w:r w:rsidR="008E5A44" w:rsidRPr="008E5A44">
        <w:rPr>
          <w:rFonts w:ascii="Times New Roman" w:hAnsi="Times New Roman"/>
          <w:sz w:val="24"/>
          <w:szCs w:val="24"/>
        </w:rPr>
        <w:t xml:space="preserve"> </w:t>
      </w:r>
      <w:r w:rsidRPr="008E5A44">
        <w:rPr>
          <w:rFonts w:ascii="Times New Roman" w:eastAsiaTheme="minorEastAsia" w:hAnsi="Times New Roman"/>
          <w:sz w:val="24"/>
          <w:szCs w:val="24"/>
        </w:rPr>
        <w:t>A combinação do modelo SAR (</w:t>
      </w:r>
      <m:oMath>
        <m:r>
          <w:rPr>
            <w:rFonts w:ascii="Cambria Math" w:hAnsi="Cambria Math"/>
            <w:sz w:val="24"/>
            <w:szCs w:val="24"/>
          </w:rPr>
          <m:t>ρ</m:t>
        </m:r>
        <m:r>
          <w:rPr>
            <w:rFonts w:ascii="Cambria Math" w:eastAsiaTheme="minorEastAsia" w:hAnsi="Cambria Math"/>
            <w:sz w:val="24"/>
            <w:szCs w:val="24"/>
          </w:rPr>
          <m:t>≠0)</m:t>
        </m:r>
      </m:oMath>
      <w:r w:rsidRPr="008E5A44">
        <w:rPr>
          <w:rFonts w:ascii="Times New Roman" w:eastAsiaTheme="minorEastAsia" w:hAnsi="Times New Roman"/>
          <w:sz w:val="24"/>
          <w:szCs w:val="24"/>
        </w:rPr>
        <w:t xml:space="preserve"> com o modelo SLX (</w:t>
      </w:r>
      <m:oMath>
        <m:r>
          <w:rPr>
            <w:rFonts w:ascii="Cambria Math" w:eastAsiaTheme="minorEastAsia" w:hAnsi="Cambria Math"/>
            <w:sz w:val="24"/>
            <w:szCs w:val="24"/>
          </w:rPr>
          <m:t>θ≠0)</m:t>
        </m:r>
      </m:oMath>
      <w:r w:rsidR="00B25C68">
        <w:rPr>
          <w:rFonts w:ascii="Times New Roman" w:eastAsiaTheme="minorEastAsia" w:hAnsi="Times New Roman"/>
          <w:sz w:val="24"/>
          <w:szCs w:val="24"/>
        </w:rPr>
        <w:t xml:space="preserve"> resulta no modelo</w:t>
      </w:r>
      <w:r w:rsidRPr="008E5A44">
        <w:rPr>
          <w:rFonts w:ascii="Times New Roman" w:eastAsiaTheme="minorEastAsia" w:hAnsi="Times New Roman"/>
          <w:sz w:val="24"/>
          <w:szCs w:val="24"/>
        </w:rPr>
        <w:t xml:space="preserve"> Durbin Espacial (SDM), que inclui dois tipos de defasagem espacial: da variável dependente e das variáveis independentes.</w:t>
      </w:r>
      <w:r w:rsidR="00B25C68">
        <w:rPr>
          <w:rFonts w:ascii="Times New Roman" w:eastAsiaTheme="minorEastAsia" w:hAnsi="Times New Roman"/>
          <w:sz w:val="24"/>
          <w:szCs w:val="24"/>
        </w:rPr>
        <w:t xml:space="preserve"> O modelo Durbin Espacial de Erro (SDEM), por sua vez, é a combinação do modelo SEM (</w:t>
      </w:r>
      <m:oMath>
        <m:r>
          <w:rPr>
            <w:rFonts w:ascii="Cambria Math" w:hAnsi="Cambria Math"/>
            <w:sz w:val="24"/>
            <w:szCs w:val="24"/>
          </w:rPr>
          <m:t>λ</m:t>
        </m:r>
        <m:r>
          <w:rPr>
            <w:rFonts w:ascii="Cambria Math" w:eastAsiaTheme="minorEastAsia" w:hAnsi="Cambria Math"/>
            <w:sz w:val="24"/>
            <w:szCs w:val="24"/>
          </w:rPr>
          <m:t>≠0</m:t>
        </m:r>
      </m:oMath>
      <w:r w:rsidR="00B25C68">
        <w:rPr>
          <w:rFonts w:ascii="Times New Roman" w:eastAsiaTheme="minorEastAsia" w:hAnsi="Times New Roman"/>
          <w:sz w:val="24"/>
          <w:szCs w:val="24"/>
        </w:rPr>
        <w:t xml:space="preserve">) </w:t>
      </w:r>
      <w:r w:rsidR="00B25C68" w:rsidRPr="008E5A44">
        <w:rPr>
          <w:rFonts w:ascii="Times New Roman" w:eastAsiaTheme="minorEastAsia" w:hAnsi="Times New Roman"/>
          <w:sz w:val="24"/>
          <w:szCs w:val="24"/>
        </w:rPr>
        <w:t>com o modelo SLX (</w:t>
      </w:r>
      <m:oMath>
        <m:r>
          <w:rPr>
            <w:rFonts w:ascii="Cambria Math" w:eastAsiaTheme="minorEastAsia" w:hAnsi="Cambria Math"/>
            <w:sz w:val="24"/>
            <w:szCs w:val="24"/>
          </w:rPr>
          <m:t>θ≠0)</m:t>
        </m:r>
      </m:oMath>
      <w:r w:rsidR="00B25C68">
        <w:rPr>
          <w:rFonts w:ascii="Times New Roman" w:eastAsiaTheme="minorEastAsia" w:hAnsi="Times New Roman"/>
          <w:sz w:val="24"/>
          <w:szCs w:val="24"/>
        </w:rPr>
        <w:t>.</w:t>
      </w:r>
    </w:p>
    <w:p w:rsidR="00E239AF" w:rsidRDefault="00E239AF" w:rsidP="00983467">
      <w:pPr>
        <w:spacing w:after="0" w:line="240" w:lineRule="auto"/>
        <w:jc w:val="both"/>
        <w:rPr>
          <w:rFonts w:ascii="Times New Roman" w:hAnsi="Times New Roman"/>
          <w:sz w:val="24"/>
          <w:szCs w:val="24"/>
        </w:rPr>
      </w:pPr>
      <w:r w:rsidRPr="00E239AF">
        <w:rPr>
          <w:rFonts w:ascii="Times New Roman" w:eastAsiaTheme="minorEastAsia" w:hAnsi="Times New Roman"/>
          <w:sz w:val="24"/>
          <w:szCs w:val="24"/>
        </w:rPr>
        <w:t>Segundo Anselin (1998), a análise exploratória dos dados espaciais (ESDA) descreve distribuições espaciais, identifica localidades atípicas, agrupamentos de observações semelhantes (</w:t>
      </w:r>
      <w:r w:rsidRPr="00E239AF">
        <w:rPr>
          <w:rFonts w:ascii="Times New Roman" w:eastAsiaTheme="minorEastAsia" w:hAnsi="Times New Roman"/>
          <w:i/>
          <w:sz w:val="24"/>
          <w:szCs w:val="24"/>
        </w:rPr>
        <w:t>clusters</w:t>
      </w:r>
      <w:r w:rsidRPr="00E239AF">
        <w:rPr>
          <w:rFonts w:ascii="Times New Roman" w:eastAsiaTheme="minorEastAsia" w:hAnsi="Times New Roman"/>
          <w:sz w:val="24"/>
          <w:szCs w:val="24"/>
        </w:rPr>
        <w:t>) e aponta formas de heterogeneidade espacial. Logo, antes de se estimar um modelo espacial deve-se fazer tal análise.</w:t>
      </w:r>
      <w:r>
        <w:rPr>
          <w:rFonts w:ascii="Times New Roman" w:eastAsiaTheme="minorEastAsia" w:hAnsi="Times New Roman"/>
          <w:sz w:val="24"/>
          <w:szCs w:val="24"/>
        </w:rPr>
        <w:t xml:space="preserve"> </w:t>
      </w:r>
      <w:r w:rsidRPr="00E239AF">
        <w:rPr>
          <w:rFonts w:ascii="Times New Roman" w:eastAsiaTheme="minorEastAsia" w:hAnsi="Times New Roman"/>
          <w:sz w:val="24"/>
          <w:szCs w:val="24"/>
        </w:rPr>
        <w:t xml:space="preserve">A primeira estatística de teste global elaborada para a análise em questão é o </w:t>
      </w:r>
      <w:r w:rsidRPr="00FF0552">
        <w:rPr>
          <w:rFonts w:ascii="Times New Roman" w:eastAsiaTheme="minorEastAsia" w:hAnsi="Times New Roman"/>
          <w:i/>
          <w:sz w:val="24"/>
          <w:szCs w:val="24"/>
        </w:rPr>
        <w:t>I</w:t>
      </w:r>
      <w:r w:rsidRPr="00E239AF">
        <w:rPr>
          <w:rFonts w:ascii="Times New Roman" w:eastAsiaTheme="minorEastAsia" w:hAnsi="Times New Roman"/>
          <w:sz w:val="24"/>
          <w:szCs w:val="24"/>
        </w:rPr>
        <w:t xml:space="preserve"> de Moran, coeficiente de autocorrelação espacial cuja hipótese nula é de aleatoriedade espacial</w:t>
      </w:r>
      <w:r>
        <w:rPr>
          <w:rStyle w:val="Refdenotaderodap"/>
          <w:rFonts w:ascii="Times New Roman" w:eastAsiaTheme="minorEastAsia" w:hAnsi="Times New Roman"/>
          <w:sz w:val="24"/>
          <w:szCs w:val="24"/>
        </w:rPr>
        <w:footnoteReference w:id="5"/>
      </w:r>
      <w:r>
        <w:rPr>
          <w:rFonts w:ascii="Times New Roman" w:eastAsiaTheme="minorEastAsia" w:hAnsi="Times New Roman"/>
          <w:sz w:val="24"/>
          <w:szCs w:val="24"/>
        </w:rPr>
        <w:t>.</w:t>
      </w:r>
      <w:r w:rsidRPr="00E239AF">
        <w:t xml:space="preserve"> </w:t>
      </w:r>
      <w:r w:rsidRPr="00E239AF">
        <w:rPr>
          <w:rFonts w:ascii="Times New Roman" w:eastAsiaTheme="minorEastAsia" w:hAnsi="Times New Roman"/>
          <w:sz w:val="24"/>
          <w:szCs w:val="24"/>
        </w:rPr>
        <w:t xml:space="preserve">O valor positivo e estatisticamente significativo da estatística I de Moran é global, pois leva em conta todas </w:t>
      </w:r>
      <w:r w:rsidRPr="00E239AF">
        <w:rPr>
          <w:rFonts w:ascii="Times New Roman" w:eastAsiaTheme="minorEastAsia" w:hAnsi="Times New Roman"/>
          <w:sz w:val="24"/>
          <w:szCs w:val="24"/>
        </w:rPr>
        <w:lastRenderedPageBreak/>
        <w:t xml:space="preserve">as regiões. No entanto, é possível encontrar alguns agrupamentos espaciais locais que apresentam autocorrelação espacial negativa. </w:t>
      </w:r>
      <w:r w:rsidRPr="003A214C">
        <w:rPr>
          <w:rFonts w:ascii="Times New Roman" w:eastAsiaTheme="minorEastAsia" w:hAnsi="Times New Roman"/>
          <w:sz w:val="24"/>
          <w:szCs w:val="24"/>
        </w:rPr>
        <w:t xml:space="preserve">Segundo Anselin (1995), um </w:t>
      </w:r>
      <w:r w:rsidRPr="003A214C">
        <w:rPr>
          <w:rFonts w:ascii="Times New Roman" w:eastAsiaTheme="minorEastAsia" w:hAnsi="Times New Roman"/>
          <w:i/>
          <w:sz w:val="24"/>
          <w:szCs w:val="24"/>
        </w:rPr>
        <w:t>Local Indicator of Spatial Association</w:t>
      </w:r>
      <w:r w:rsidRPr="003A214C">
        <w:rPr>
          <w:rFonts w:ascii="Times New Roman" w:eastAsiaTheme="minorEastAsia" w:hAnsi="Times New Roman"/>
          <w:sz w:val="24"/>
          <w:szCs w:val="24"/>
        </w:rPr>
        <w:t xml:space="preserve"> (LISA) tem o objetivo de detectar padrões locais de autoco</w:t>
      </w:r>
      <w:r w:rsidR="00FF0552" w:rsidRPr="003A214C">
        <w:rPr>
          <w:rFonts w:ascii="Times New Roman" w:eastAsiaTheme="minorEastAsia" w:hAnsi="Times New Roman"/>
          <w:sz w:val="24"/>
          <w:szCs w:val="24"/>
        </w:rPr>
        <w:t>rrelação</w:t>
      </w:r>
      <w:r w:rsidR="00FF0552">
        <w:rPr>
          <w:rFonts w:ascii="Times New Roman" w:eastAsiaTheme="minorEastAsia" w:hAnsi="Times New Roman"/>
          <w:sz w:val="24"/>
          <w:szCs w:val="24"/>
        </w:rPr>
        <w:t xml:space="preserve"> espacial nas variáveis. </w:t>
      </w:r>
      <w:r w:rsidR="00FF0552" w:rsidRPr="00FF0552">
        <w:rPr>
          <w:rFonts w:ascii="Times New Roman" w:eastAsiaTheme="minorEastAsia" w:hAnsi="Times New Roman"/>
          <w:sz w:val="24"/>
          <w:szCs w:val="24"/>
        </w:rPr>
        <w:t>Estas estatísticas identificam, para cada observação, os clusters espaciais significativos estatisticamente, em função da média dos vizinhos</w:t>
      </w:r>
      <w:r w:rsidR="00FF0552">
        <w:rPr>
          <w:rFonts w:ascii="Times New Roman" w:eastAsiaTheme="minorEastAsia" w:hAnsi="Times New Roman"/>
          <w:sz w:val="24"/>
          <w:szCs w:val="24"/>
        </w:rPr>
        <w:t xml:space="preserve">. </w:t>
      </w:r>
      <w:r w:rsidR="00FF0552" w:rsidRPr="00FF0552">
        <w:rPr>
          <w:rFonts w:ascii="Times New Roman" w:eastAsiaTheme="minorEastAsia" w:hAnsi="Times New Roman"/>
          <w:sz w:val="24"/>
          <w:szCs w:val="24"/>
        </w:rPr>
        <w:t>Neste estudo, calculou-se o indicador LISA para a taxa de incidência de DRSAI por mil habitantes para o ano de 2010</w:t>
      </w:r>
      <w:r w:rsidR="00FF0552">
        <w:rPr>
          <w:rStyle w:val="Refdenotaderodap"/>
          <w:rFonts w:ascii="Times New Roman" w:eastAsiaTheme="minorEastAsia" w:hAnsi="Times New Roman"/>
          <w:sz w:val="24"/>
          <w:szCs w:val="24"/>
        </w:rPr>
        <w:footnoteReference w:id="6"/>
      </w:r>
      <w:r w:rsidR="00FF0552" w:rsidRPr="00FF0552">
        <w:rPr>
          <w:rFonts w:ascii="Times New Roman" w:eastAsiaTheme="minorEastAsia" w:hAnsi="Times New Roman"/>
          <w:sz w:val="24"/>
          <w:szCs w:val="24"/>
        </w:rPr>
        <w:t>.</w:t>
      </w:r>
      <w:r w:rsidR="00FF0552">
        <w:rPr>
          <w:rFonts w:ascii="Times New Roman" w:eastAsiaTheme="minorEastAsia" w:hAnsi="Times New Roman"/>
          <w:sz w:val="24"/>
          <w:szCs w:val="24"/>
        </w:rPr>
        <w:t xml:space="preserve"> A Figura A.1 do Anexo identifica tais </w:t>
      </w:r>
      <w:r w:rsidR="00FF0552" w:rsidRPr="00FF0552">
        <w:rPr>
          <w:rFonts w:ascii="Times New Roman" w:eastAsiaTheme="minorEastAsia" w:hAnsi="Times New Roman"/>
          <w:i/>
          <w:sz w:val="24"/>
          <w:szCs w:val="24"/>
        </w:rPr>
        <w:t>clusters</w:t>
      </w:r>
      <w:r w:rsidR="00FF0552">
        <w:rPr>
          <w:rFonts w:ascii="Times New Roman" w:eastAsiaTheme="minorEastAsia" w:hAnsi="Times New Roman"/>
          <w:sz w:val="24"/>
          <w:szCs w:val="24"/>
        </w:rPr>
        <w:t>.</w:t>
      </w:r>
      <w:r w:rsidR="00FF0552" w:rsidRPr="00FF0552">
        <w:rPr>
          <w:rFonts w:ascii="Times New Roman" w:eastAsiaTheme="minorEastAsia" w:hAnsi="Times New Roman"/>
          <w:sz w:val="24"/>
          <w:szCs w:val="24"/>
        </w:rPr>
        <w:t xml:space="preserve">  </w:t>
      </w:r>
    </w:p>
    <w:p w:rsidR="00983467" w:rsidRPr="00983467" w:rsidRDefault="00983467" w:rsidP="00983467">
      <w:pPr>
        <w:spacing w:after="0" w:line="240" w:lineRule="auto"/>
        <w:jc w:val="both"/>
        <w:rPr>
          <w:rFonts w:ascii="Times New Roman" w:hAnsi="Times New Roman"/>
          <w:sz w:val="24"/>
          <w:szCs w:val="24"/>
        </w:rPr>
      </w:pPr>
      <w:r w:rsidRPr="00983467">
        <w:rPr>
          <w:rFonts w:ascii="Times New Roman" w:hAnsi="Times New Roman"/>
          <w:sz w:val="24"/>
          <w:szCs w:val="24"/>
        </w:rPr>
        <w:t>A decisão de escolha entre os modelos para especificação final envolve a análise dos testes de Multiplicador de Lagrange (LM), em suas versões tradicionais e robustas.</w:t>
      </w:r>
    </w:p>
    <w:p w:rsidR="00983467" w:rsidRPr="003A214C" w:rsidRDefault="00983467" w:rsidP="00983467">
      <w:pPr>
        <w:spacing w:after="0" w:line="240" w:lineRule="auto"/>
        <w:jc w:val="both"/>
        <w:rPr>
          <w:rFonts w:ascii="Times New Roman" w:eastAsiaTheme="minorEastAsia" w:hAnsi="Times New Roman"/>
          <w:sz w:val="24"/>
          <w:szCs w:val="24"/>
        </w:rPr>
      </w:pPr>
      <w:r w:rsidRPr="00983467">
        <w:rPr>
          <w:rFonts w:ascii="Times New Roman" w:hAnsi="Times New Roman"/>
          <w:sz w:val="24"/>
          <w:szCs w:val="24"/>
        </w:rPr>
        <w:t xml:space="preserve">O teste LM-erro assume que </w:t>
      </w:r>
      <m:oMath>
        <m:r>
          <w:rPr>
            <w:rFonts w:ascii="Cambria Math" w:hAnsi="Cambria Math"/>
            <w:sz w:val="24"/>
            <w:szCs w:val="24"/>
          </w:rPr>
          <m:t>ρ=0</m:t>
        </m:r>
      </m:oMath>
      <w:r w:rsidRPr="00983467">
        <w:rPr>
          <w:rFonts w:ascii="Times New Roman" w:hAnsi="Times New Roman"/>
          <w:sz w:val="24"/>
          <w:szCs w:val="24"/>
        </w:rPr>
        <w:t xml:space="preserve"> e testa a hipótese nula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λ=0</m:t>
        </m:r>
      </m:oMath>
      <w:r w:rsidRPr="00983467">
        <w:rPr>
          <w:rFonts w:ascii="Times New Roman" w:eastAsiaTheme="minorEastAsia" w:hAnsi="Times New Roman"/>
          <w:sz w:val="24"/>
          <w:szCs w:val="24"/>
        </w:rPr>
        <w:t xml:space="preserve">. Se esta hipótese nula for rejeitada, a escolha recai sobre o modelo SEM. Analogamente, o teste LM-lag assume que </w:t>
      </w:r>
      <m:oMath>
        <m:r>
          <w:rPr>
            <w:rFonts w:ascii="Cambria Math" w:hAnsi="Cambria Math"/>
            <w:sz w:val="24"/>
            <w:szCs w:val="24"/>
          </w:rPr>
          <m:t>λ=0</m:t>
        </m:r>
      </m:oMath>
      <w:r w:rsidRPr="00983467">
        <w:rPr>
          <w:rFonts w:ascii="Times New Roman" w:eastAsiaTheme="minorEastAsia" w:hAnsi="Times New Roman"/>
          <w:sz w:val="24"/>
          <w:szCs w:val="24"/>
        </w:rPr>
        <w:t xml:space="preserve"> e a hipótese nula a ser testada é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ρ=0</m:t>
        </m:r>
      </m:oMath>
      <w:r w:rsidRPr="00983467">
        <w:rPr>
          <w:rFonts w:ascii="Times New Roman" w:eastAsiaTheme="minorEastAsia" w:hAnsi="Times New Roman"/>
          <w:sz w:val="24"/>
          <w:szCs w:val="24"/>
        </w:rPr>
        <w:t>. Neste caso, se a hipótese nula for rejeitada, existem evidências de que se trata de u</w:t>
      </w:r>
      <w:r w:rsidR="00761C68">
        <w:rPr>
          <w:rFonts w:ascii="Times New Roman" w:eastAsiaTheme="minorEastAsia" w:hAnsi="Times New Roman"/>
          <w:sz w:val="24"/>
          <w:szCs w:val="24"/>
        </w:rPr>
        <w:t xml:space="preserve">m modelo de </w:t>
      </w:r>
      <w:r w:rsidR="00761C68" w:rsidRPr="003A214C">
        <w:rPr>
          <w:rFonts w:ascii="Times New Roman" w:eastAsiaTheme="minorEastAsia" w:hAnsi="Times New Roman"/>
          <w:sz w:val="24"/>
          <w:szCs w:val="24"/>
        </w:rPr>
        <w:t xml:space="preserve">defasagem espacial </w:t>
      </w:r>
      <w:r w:rsidRPr="003A214C">
        <w:rPr>
          <w:rFonts w:ascii="Times New Roman" w:hAnsi="Times New Roman"/>
          <w:sz w:val="24"/>
          <w:szCs w:val="24"/>
        </w:rPr>
        <w:t>(FLORAX et al., 2003)</w:t>
      </w:r>
      <w:r w:rsidRPr="003A214C">
        <w:rPr>
          <w:rFonts w:ascii="Times New Roman" w:eastAsiaTheme="minorEastAsia" w:hAnsi="Times New Roman"/>
          <w:sz w:val="24"/>
          <w:szCs w:val="24"/>
        </w:rPr>
        <w:t xml:space="preserve">. As versões robustas de ambos os testes estabelecem, no primeiro caso, a mesma hipótese nula, porém não assume </w:t>
      </w:r>
      <m:oMath>
        <m:r>
          <w:rPr>
            <w:rFonts w:ascii="Cambria Math" w:hAnsi="Cambria Math"/>
            <w:sz w:val="24"/>
            <w:szCs w:val="24"/>
          </w:rPr>
          <m:t>ρ=0</m:t>
        </m:r>
      </m:oMath>
      <w:r w:rsidRPr="003A214C">
        <w:rPr>
          <w:rFonts w:ascii="Times New Roman" w:eastAsiaTheme="minorEastAsia" w:hAnsi="Times New Roman"/>
          <w:sz w:val="24"/>
          <w:szCs w:val="24"/>
        </w:rPr>
        <w:t xml:space="preserve">. Ou seja, permite que esse parâmetro seja de qualquer valor e, portanto, admite a presença da defasagem espacial, ainda que o valor desta seja desconhecido. No segundo caso, não assume </w:t>
      </w:r>
      <m:oMath>
        <m:r>
          <w:rPr>
            <w:rFonts w:ascii="Cambria Math" w:hAnsi="Cambria Math"/>
            <w:sz w:val="24"/>
            <w:szCs w:val="24"/>
          </w:rPr>
          <m:t>λ=0</m:t>
        </m:r>
      </m:oMath>
      <w:r w:rsidRPr="003A214C">
        <w:rPr>
          <w:rFonts w:ascii="Times New Roman" w:eastAsiaTheme="minorEastAsia" w:hAnsi="Times New Roman"/>
          <w:sz w:val="24"/>
          <w:szCs w:val="24"/>
        </w:rPr>
        <w:t>.</w:t>
      </w:r>
      <w:r w:rsidR="000A12F4" w:rsidRPr="003A214C">
        <w:rPr>
          <w:rFonts w:ascii="Times New Roman" w:eastAsiaTheme="minorEastAsia" w:hAnsi="Times New Roman"/>
          <w:sz w:val="24"/>
          <w:szCs w:val="24"/>
        </w:rPr>
        <w:t xml:space="preserve"> </w:t>
      </w:r>
      <w:r w:rsidRPr="003A214C">
        <w:rPr>
          <w:rFonts w:ascii="Times New Roman" w:eastAsiaTheme="minorEastAsia" w:hAnsi="Times New Roman"/>
          <w:sz w:val="24"/>
          <w:szCs w:val="24"/>
        </w:rPr>
        <w:t>A interpretação dos coeficientes em um modelo espacial é diferente da forma usual, ou seja, não se interpreta mais como o impacto marginal da variável independente sobre a variável dependente. Quando os efeitos da interação entre os distritos são levados em consideração, o efeito marginal passa a con</w:t>
      </w:r>
      <w:r w:rsidR="00EC4458" w:rsidRPr="003A214C">
        <w:rPr>
          <w:rFonts w:ascii="Times New Roman" w:eastAsiaTheme="minorEastAsia" w:hAnsi="Times New Roman"/>
          <w:sz w:val="24"/>
          <w:szCs w:val="24"/>
        </w:rPr>
        <w:t>tar com a matriz da equação 3.7</w:t>
      </w:r>
      <w:r w:rsidRPr="003A214C">
        <w:rPr>
          <w:rFonts w:ascii="Times New Roman" w:eastAsiaTheme="minorEastAsia" w:hAnsi="Times New Roman"/>
          <w:sz w:val="24"/>
          <w:szCs w:val="24"/>
        </w:rPr>
        <w:t xml:space="preserve">, </w:t>
      </w:r>
      <w:r w:rsidR="00097433" w:rsidRPr="003A214C">
        <w:rPr>
          <w:rFonts w:ascii="Times New Roman" w:eastAsiaTheme="minorEastAsia" w:hAnsi="Times New Roman"/>
          <w:sz w:val="24"/>
          <w:szCs w:val="24"/>
        </w:rPr>
        <w:t xml:space="preserve">tomando como exemplo </w:t>
      </w:r>
      <w:r w:rsidRPr="003A214C">
        <w:rPr>
          <w:rFonts w:ascii="Times New Roman" w:eastAsiaTheme="minorEastAsia" w:hAnsi="Times New Roman"/>
          <w:sz w:val="24"/>
          <w:szCs w:val="24"/>
        </w:rPr>
        <w:t>o modelo SDM:</w:t>
      </w:r>
    </w:p>
    <w:p w:rsidR="00983467" w:rsidRPr="003A214C" w:rsidRDefault="00983467" w:rsidP="00983467">
      <w:pPr>
        <w:spacing w:after="0" w:line="240" w:lineRule="auto"/>
        <w:jc w:val="both"/>
        <w:rPr>
          <w:rFonts w:ascii="Times New Roman" w:eastAsiaTheme="minorEastAsia" w:hAnsi="Times New Roman"/>
          <w:sz w:val="24"/>
          <w:szCs w:val="24"/>
        </w:rPr>
      </w:pPr>
      <w:r w:rsidRPr="003A214C">
        <w:rPr>
          <w:rFonts w:ascii="Times New Roman" w:eastAsiaTheme="minorEastAsia" w:hAnsi="Times New Roman"/>
          <w:sz w:val="24"/>
          <w:szCs w:val="24"/>
        </w:rPr>
        <w:t>(3.7)</w:t>
      </w:r>
      <w:r w:rsidRPr="003A214C">
        <w:rPr>
          <w:rFonts w:ascii="Times New Roman" w:eastAsiaTheme="minorEastAsia" w:hAnsi="Times New Roman"/>
          <w:sz w:val="24"/>
          <w:szCs w:val="24"/>
        </w:rPr>
        <w:tab/>
        <w:t xml:space="preserve"> </w:t>
      </w:r>
      <m:oMath>
        <m:f>
          <m:fPr>
            <m:ctrlPr>
              <w:rPr>
                <w:rFonts w:ascii="Cambria Math" w:hAnsi="Cambria Math"/>
                <w:i/>
                <w:sz w:val="24"/>
                <w:szCs w:val="24"/>
              </w:rPr>
            </m:ctrlPr>
          </m:fPr>
          <m:num>
            <m:r>
              <w:rPr>
                <w:rFonts w:ascii="Cambria Math" w:hAnsi="Cambria Math"/>
                <w:sz w:val="24"/>
                <w:szCs w:val="24"/>
              </w:rPr>
              <m:t>∂IncDrsai</m:t>
            </m:r>
          </m:num>
          <m:den>
            <m:r>
              <w:rPr>
                <w:rFonts w:ascii="Cambria Math" w:hAnsi="Cambria Math"/>
                <w:sz w:val="24"/>
                <w:szCs w:val="24"/>
              </w:rPr>
              <m:t>∂San</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I-ρW</m:t>
                </m:r>
              </m:e>
            </m:d>
          </m:e>
          <m:sup>
            <m:r>
              <w:rPr>
                <w:rFonts w:ascii="Cambria Math" w:hAnsi="Cambria Math"/>
                <w:sz w:val="24"/>
                <w:szCs w:val="24"/>
              </w:rPr>
              <m:t>-1</m:t>
            </m:r>
          </m:sup>
        </m:sSup>
        <m:r>
          <w:rPr>
            <w:rFonts w:ascii="Cambria Math" w:hAnsi="Cambria Math"/>
            <w:sz w:val="24"/>
            <w:szCs w:val="24"/>
          </w:rPr>
          <m:t>[Wθ+γI]</m:t>
        </m:r>
      </m:oMath>
    </w:p>
    <w:p w:rsidR="00983467" w:rsidRPr="003A214C" w:rsidRDefault="00983467" w:rsidP="00983467">
      <w:pPr>
        <w:spacing w:after="0" w:line="240" w:lineRule="auto"/>
        <w:jc w:val="both"/>
        <w:rPr>
          <w:rFonts w:ascii="Times New Roman" w:eastAsiaTheme="minorEastAsia" w:hAnsi="Times New Roman"/>
          <w:sz w:val="24"/>
          <w:szCs w:val="24"/>
        </w:rPr>
      </w:pPr>
      <w:r w:rsidRPr="003A214C">
        <w:rPr>
          <w:rFonts w:ascii="Times New Roman" w:eastAsiaTheme="minorEastAsia" w:hAnsi="Times New Roman"/>
          <w:sz w:val="24"/>
          <w:szCs w:val="24"/>
        </w:rPr>
        <w:t xml:space="preserve">O cálculo das derivadas parciais desse modelo são feitos por uma matriz não diagonal, que é produto de duas outras, também não diagonais: </w:t>
      </w:r>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I-ρW</m:t>
                </m:r>
              </m:e>
            </m:d>
          </m:e>
          <m:sup>
            <m:r>
              <w:rPr>
                <w:rFonts w:ascii="Cambria Math" w:hAnsi="Cambria Math"/>
                <w:sz w:val="24"/>
                <w:szCs w:val="24"/>
              </w:rPr>
              <m:t>-1</m:t>
            </m:r>
          </m:sup>
        </m:sSup>
      </m:oMath>
      <w:r w:rsidRPr="003A214C">
        <w:rPr>
          <w:rFonts w:ascii="Times New Roman" w:eastAsiaTheme="minorEastAsia" w:hAnsi="Times New Roman"/>
          <w:sz w:val="24"/>
          <w:szCs w:val="24"/>
        </w:rPr>
        <w:t xml:space="preserve"> e </w:t>
      </w:r>
      <m:oMath>
        <m:r>
          <w:rPr>
            <w:rFonts w:ascii="Cambria Math" w:hAnsi="Cambria Math"/>
            <w:sz w:val="24"/>
            <w:szCs w:val="24"/>
          </w:rPr>
          <m:t>[Wθ+γI]</m:t>
        </m:r>
      </m:oMath>
      <w:r w:rsidRPr="003A214C">
        <w:rPr>
          <w:rFonts w:ascii="Times New Roman" w:eastAsiaTheme="minorEastAsia" w:hAnsi="Times New Roman"/>
          <w:sz w:val="24"/>
          <w:szCs w:val="24"/>
        </w:rPr>
        <w:t xml:space="preserve">. Quando há </w:t>
      </w:r>
      <w:r w:rsidRPr="003A214C">
        <w:rPr>
          <w:rFonts w:ascii="Times New Roman" w:eastAsiaTheme="minorEastAsia" w:hAnsi="Times New Roman"/>
          <w:i/>
          <w:sz w:val="24"/>
          <w:szCs w:val="24"/>
        </w:rPr>
        <w:t>spillovers</w:t>
      </w:r>
      <w:r w:rsidRPr="003A214C">
        <w:rPr>
          <w:rFonts w:ascii="Times New Roman" w:eastAsiaTheme="minorEastAsia" w:hAnsi="Times New Roman"/>
          <w:sz w:val="24"/>
          <w:szCs w:val="24"/>
        </w:rPr>
        <w:t xml:space="preserve"> no modelo (</w:t>
      </w:r>
      <m:oMath>
        <m:r>
          <w:rPr>
            <w:rFonts w:ascii="Cambria Math" w:hAnsi="Cambria Math"/>
            <w:sz w:val="24"/>
            <w:szCs w:val="24"/>
          </w:rPr>
          <m:t>ρ≠0),</m:t>
        </m:r>
      </m:oMath>
      <w:r w:rsidRPr="003A214C">
        <w:rPr>
          <w:rFonts w:ascii="Times New Roman" w:eastAsiaTheme="minorEastAsia" w:hAnsi="Times New Roman"/>
          <w:sz w:val="24"/>
          <w:szCs w:val="24"/>
        </w:rPr>
        <w:t xml:space="preserve"> os termos fora da diagonal principal  são diferentes de zero. Logo, quando a taxa de internações por DRSAI de um distrito varia, todas as observações do sistema são influenciadas. O diferencial do modelo SDM é que além dos efeitos associados à correlação espacial endógena há também os efeitos da correlação espacial exógena. Esses dois efeitos implicam em </w:t>
      </w:r>
      <w:r w:rsidRPr="003A214C">
        <w:rPr>
          <w:rFonts w:ascii="Times New Roman" w:eastAsiaTheme="minorEastAsia" w:hAnsi="Times New Roman"/>
          <w:i/>
          <w:sz w:val="24"/>
          <w:szCs w:val="24"/>
        </w:rPr>
        <w:t xml:space="preserve">spillovers </w:t>
      </w:r>
      <w:r w:rsidRPr="003A214C">
        <w:rPr>
          <w:rFonts w:ascii="Times New Roman" w:eastAsiaTheme="minorEastAsia" w:hAnsi="Times New Roman"/>
          <w:sz w:val="24"/>
          <w:szCs w:val="24"/>
        </w:rPr>
        <w:t>espaciais para os demais distritos, tanto via variável dependente diretamente como via variável independente.</w:t>
      </w:r>
    </w:p>
    <w:p w:rsidR="00983467" w:rsidRDefault="00983467" w:rsidP="00983467">
      <w:pPr>
        <w:spacing w:after="0" w:line="240" w:lineRule="auto"/>
        <w:jc w:val="both"/>
        <w:rPr>
          <w:rFonts w:ascii="Times New Roman" w:eastAsiaTheme="minorEastAsia" w:hAnsi="Times New Roman"/>
          <w:sz w:val="24"/>
          <w:szCs w:val="24"/>
        </w:rPr>
      </w:pPr>
      <w:r w:rsidRPr="003A214C">
        <w:rPr>
          <w:rFonts w:ascii="Times New Roman" w:eastAsiaTheme="minorEastAsia" w:hAnsi="Times New Roman"/>
          <w:sz w:val="24"/>
          <w:szCs w:val="24"/>
        </w:rPr>
        <w:t>LeSage e Pace (2009) definem</w:t>
      </w:r>
      <w:r w:rsidR="00802093">
        <w:rPr>
          <w:rFonts w:ascii="Times New Roman" w:eastAsiaTheme="minorEastAsia" w:hAnsi="Times New Roman"/>
          <w:sz w:val="24"/>
          <w:szCs w:val="24"/>
        </w:rPr>
        <w:t xml:space="preserve"> </w:t>
      </w:r>
      <w:r w:rsidRPr="003A214C">
        <w:rPr>
          <w:rFonts w:ascii="Times New Roman" w:eastAsiaTheme="minorEastAsia" w:hAnsi="Times New Roman"/>
          <w:sz w:val="24"/>
          <w:szCs w:val="24"/>
        </w:rPr>
        <w:t xml:space="preserve"> o efeito direto (ED) como a média dos elementos da diagonal principal da matriz de derivadas parciais (efeitos da variação de uma</w:t>
      </w:r>
      <w:r w:rsidRPr="00983467">
        <w:rPr>
          <w:rFonts w:ascii="Times New Roman" w:eastAsiaTheme="minorEastAsia" w:hAnsi="Times New Roman"/>
          <w:sz w:val="24"/>
          <w:szCs w:val="24"/>
        </w:rPr>
        <w:t xml:space="preserve"> variável explicativa na variável dependente da própria observação). Logo, é o impacto médio na taxa de incidência de internações por DRSAI (</w:t>
      </w:r>
      <m:oMath>
        <m:sSub>
          <m:sSubPr>
            <m:ctrlPr>
              <w:rPr>
                <w:rFonts w:ascii="Cambria Math" w:eastAsiaTheme="minorEastAsia" w:hAnsi="Cambria Math"/>
                <w:i/>
                <w:sz w:val="24"/>
                <w:szCs w:val="24"/>
              </w:rPr>
            </m:ctrlPr>
          </m:sSubPr>
          <m:e>
            <m:r>
              <w:rPr>
                <w:rFonts w:ascii="Cambria Math" w:hAnsi="Cambria Math"/>
                <w:sz w:val="24"/>
                <w:szCs w:val="24"/>
              </w:rPr>
              <m:t>IncDrsai</m:t>
            </m:r>
          </m:e>
          <m:sub>
            <m:r>
              <w:rPr>
                <w:rFonts w:ascii="Cambria Math" w:eastAsiaTheme="minorEastAsia" w:hAnsi="Cambria Math"/>
                <w:sz w:val="24"/>
                <w:szCs w:val="24"/>
              </w:rPr>
              <m:t>i</m:t>
            </m:r>
          </m:sub>
        </m:sSub>
      </m:oMath>
      <w:r w:rsidRPr="00983467">
        <w:rPr>
          <w:rFonts w:ascii="Times New Roman" w:eastAsiaTheme="minorEastAsia" w:hAnsi="Times New Roman"/>
          <w:sz w:val="24"/>
          <w:szCs w:val="24"/>
        </w:rPr>
        <w:t>) quando ocorre variação de 1% na variável de saneamento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San</m:t>
            </m:r>
          </m:e>
          <m:sub>
            <m:r>
              <w:rPr>
                <w:rFonts w:ascii="Cambria Math" w:eastAsiaTheme="minorEastAsia" w:hAnsi="Cambria Math"/>
                <w:sz w:val="24"/>
                <w:szCs w:val="24"/>
              </w:rPr>
              <m:t>i</m:t>
            </m:r>
          </m:sub>
        </m:sSub>
      </m:oMath>
      <w:r w:rsidRPr="00983467">
        <w:rPr>
          <w:rFonts w:ascii="Times New Roman" w:eastAsiaTheme="minorEastAsia" w:hAnsi="Times New Roman"/>
          <w:sz w:val="24"/>
          <w:szCs w:val="24"/>
        </w:rPr>
        <w:t>). O efeito indireto (EI) é a média das somas dos elementos não diagonais em cada uma das linhas (ou colunas) da matriz (efeitos da variação de uma variável explicativa na variável dependente de outras observações). Dessa forma, tem-se o impacto médio na taxa de incidência de internações por DRSAI (</w:t>
      </w:r>
      <m:oMath>
        <m:sSub>
          <m:sSubPr>
            <m:ctrlPr>
              <w:rPr>
                <w:rFonts w:ascii="Cambria Math" w:eastAsiaTheme="minorEastAsia" w:hAnsi="Cambria Math"/>
                <w:i/>
                <w:sz w:val="24"/>
                <w:szCs w:val="24"/>
              </w:rPr>
            </m:ctrlPr>
          </m:sSubPr>
          <m:e>
            <m:r>
              <w:rPr>
                <w:rFonts w:ascii="Cambria Math" w:hAnsi="Cambria Math"/>
                <w:sz w:val="24"/>
                <w:szCs w:val="24"/>
              </w:rPr>
              <m:t>IncDrsai</m:t>
            </m:r>
          </m:e>
          <m:sub>
            <m:r>
              <w:rPr>
                <w:rFonts w:ascii="Cambria Math" w:eastAsiaTheme="minorEastAsia" w:hAnsi="Cambria Math"/>
                <w:sz w:val="24"/>
                <w:szCs w:val="24"/>
              </w:rPr>
              <m:t>i</m:t>
            </m:r>
          </m:sub>
        </m:sSub>
      </m:oMath>
      <w:r w:rsidRPr="00983467">
        <w:rPr>
          <w:rFonts w:ascii="Times New Roman" w:eastAsiaTheme="minorEastAsia" w:hAnsi="Times New Roman"/>
          <w:sz w:val="24"/>
          <w:szCs w:val="24"/>
        </w:rPr>
        <w:t>) quando ocorre variação de 1% na variável de saneamento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San</m:t>
            </m:r>
          </m:e>
          <m:sub>
            <m:r>
              <w:rPr>
                <w:rFonts w:ascii="Cambria Math" w:eastAsiaTheme="minorEastAsia" w:hAnsi="Cambria Math"/>
                <w:sz w:val="24"/>
                <w:szCs w:val="24"/>
              </w:rPr>
              <m:t>j</m:t>
            </m:r>
          </m:sub>
        </m:sSub>
      </m:oMath>
      <w:r w:rsidRPr="00983467">
        <w:rPr>
          <w:rFonts w:ascii="Times New Roman" w:eastAsiaTheme="minorEastAsia" w:hAnsi="Times New Roman"/>
          <w:sz w:val="24"/>
          <w:szCs w:val="24"/>
        </w:rPr>
        <w:t>). O efeito total (ET) consiste na soma dos efeitos diretos e indiretos.</w:t>
      </w:r>
    </w:p>
    <w:p w:rsidR="00983467" w:rsidRDefault="00983467" w:rsidP="001F3E57">
      <w:pPr>
        <w:spacing w:after="0" w:line="240" w:lineRule="auto"/>
        <w:jc w:val="both"/>
        <w:rPr>
          <w:rFonts w:ascii="Times New Roman" w:eastAsiaTheme="minorEastAsia" w:hAnsi="Times New Roman"/>
          <w:sz w:val="24"/>
          <w:szCs w:val="24"/>
        </w:rPr>
      </w:pPr>
    </w:p>
    <w:p w:rsidR="003230DF" w:rsidRDefault="003230DF" w:rsidP="00DF27E5">
      <w:pPr>
        <w:pStyle w:val="PargrafodaLista"/>
        <w:numPr>
          <w:ilvl w:val="2"/>
          <w:numId w:val="5"/>
        </w:numPr>
        <w:spacing w:after="0" w:line="240" w:lineRule="auto"/>
        <w:jc w:val="both"/>
        <w:rPr>
          <w:rFonts w:ascii="Times New Roman" w:hAnsi="Times New Roman"/>
          <w:b/>
          <w:sz w:val="24"/>
          <w:szCs w:val="24"/>
        </w:rPr>
      </w:pPr>
      <w:r w:rsidRPr="00DF27E5">
        <w:rPr>
          <w:rFonts w:ascii="Times New Roman" w:hAnsi="Times New Roman"/>
          <w:b/>
          <w:sz w:val="24"/>
          <w:szCs w:val="24"/>
        </w:rPr>
        <w:t xml:space="preserve">O modelo </w:t>
      </w:r>
      <w:r w:rsidR="00A8392D">
        <w:rPr>
          <w:rFonts w:ascii="Times New Roman" w:hAnsi="Times New Roman"/>
          <w:b/>
          <w:sz w:val="24"/>
          <w:szCs w:val="24"/>
        </w:rPr>
        <w:t xml:space="preserve">Spatial Durbin Tobit </w:t>
      </w:r>
    </w:p>
    <w:p w:rsidR="00C548FE" w:rsidRPr="003A214C" w:rsidRDefault="00C548FE" w:rsidP="00C548FE">
      <w:pPr>
        <w:pStyle w:val="PargrafodaLista"/>
        <w:spacing w:after="0" w:line="240" w:lineRule="auto"/>
        <w:ind w:left="0"/>
        <w:jc w:val="both"/>
        <w:rPr>
          <w:rFonts w:ascii="Times New Roman" w:hAnsi="Times New Roman"/>
          <w:sz w:val="24"/>
          <w:szCs w:val="24"/>
        </w:rPr>
      </w:pPr>
      <w:r w:rsidRPr="00C548FE">
        <w:rPr>
          <w:rFonts w:ascii="Times New Roman" w:hAnsi="Times New Roman"/>
          <w:sz w:val="24"/>
          <w:szCs w:val="24"/>
        </w:rPr>
        <w:t xml:space="preserve">Em muitas análises empíricas, as informações da variável dependente não são observadas por causa de um determinando tipo de censura. Em relação ao fenômeno de estudo </w:t>
      </w:r>
      <w:r>
        <w:rPr>
          <w:rFonts w:ascii="Times New Roman" w:hAnsi="Times New Roman"/>
          <w:sz w:val="24"/>
          <w:szCs w:val="24"/>
        </w:rPr>
        <w:t>aqui apresentado</w:t>
      </w:r>
      <w:r w:rsidRPr="00C548FE">
        <w:rPr>
          <w:rFonts w:ascii="Times New Roman" w:hAnsi="Times New Roman"/>
          <w:sz w:val="24"/>
          <w:szCs w:val="24"/>
        </w:rPr>
        <w:t>, a censura dos dados deve-se à não ocorrência de casos de internações por DRSAI nos distritos. Nesse contexto, são distritos saudáveis</w:t>
      </w:r>
      <w:r w:rsidR="002D6959">
        <w:rPr>
          <w:rFonts w:ascii="Times New Roman" w:hAnsi="Times New Roman"/>
          <w:sz w:val="24"/>
          <w:szCs w:val="24"/>
        </w:rPr>
        <w:t xml:space="preserve"> os</w:t>
      </w:r>
      <w:r w:rsidRPr="00C548FE">
        <w:rPr>
          <w:rFonts w:ascii="Times New Roman" w:hAnsi="Times New Roman"/>
          <w:sz w:val="24"/>
          <w:szCs w:val="24"/>
        </w:rPr>
        <w:t xml:space="preserve"> que não registraram nenhuma internação por DRSAI para qualquer uma das </w:t>
      </w:r>
      <w:r w:rsidRPr="00C548FE">
        <w:rPr>
          <w:rFonts w:ascii="Times New Roman" w:hAnsi="Times New Roman"/>
          <w:sz w:val="24"/>
          <w:szCs w:val="24"/>
        </w:rPr>
        <w:lastRenderedPageBreak/>
        <w:t>duas populações analisadas. Conforme descrito anteriormente, a base de dados utilizada nesse estudo apresenta 3.703 observações (distritos), de um total de 10.225 observações, que apresentam valor igual a zero para a taxa de internações por DRSAI no ano de 2010 em relação à população de todas as idades. Quando se trata da população de 0 a 14 anos esse valor é de 4.174. Para tais situações, LeSage e Pace (</w:t>
      </w:r>
      <w:r w:rsidRPr="003A214C">
        <w:rPr>
          <w:rFonts w:ascii="Times New Roman" w:hAnsi="Times New Roman"/>
          <w:sz w:val="24"/>
          <w:szCs w:val="24"/>
        </w:rPr>
        <w:t>2009) sugerem o uso de um modelo Tobit Espacial.</w:t>
      </w:r>
    </w:p>
    <w:p w:rsidR="00C548FE" w:rsidRPr="003A214C" w:rsidRDefault="00C548FE" w:rsidP="00C548FE">
      <w:pPr>
        <w:pStyle w:val="PargrafodaLista"/>
        <w:spacing w:after="0" w:line="240" w:lineRule="auto"/>
        <w:ind w:left="0"/>
        <w:jc w:val="both"/>
        <w:rPr>
          <w:rFonts w:ascii="Times New Roman" w:hAnsi="Times New Roman"/>
          <w:sz w:val="24"/>
          <w:szCs w:val="24"/>
        </w:rPr>
      </w:pPr>
      <w:r w:rsidRPr="003A214C">
        <w:rPr>
          <w:rFonts w:ascii="Times New Roman" w:hAnsi="Times New Roman"/>
          <w:sz w:val="24"/>
          <w:szCs w:val="24"/>
        </w:rPr>
        <w:t>De acordo com Tobin (1958), a variável explicada neste caso é contínua ao longo dos valores positivos, mas parte da amostra é composta por observações que têm valores nulos para essa var</w:t>
      </w:r>
      <w:r w:rsidR="002D6959" w:rsidRPr="003A214C">
        <w:rPr>
          <w:rFonts w:ascii="Times New Roman" w:hAnsi="Times New Roman"/>
          <w:sz w:val="24"/>
          <w:szCs w:val="24"/>
        </w:rPr>
        <w:t>iável. Se a variável latente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oMath>
      <w:r w:rsidRPr="003A214C">
        <w:rPr>
          <w:rFonts w:ascii="Times New Roman" w:hAnsi="Times New Roman"/>
          <w:sz w:val="24"/>
          <w:szCs w:val="24"/>
        </w:rPr>
        <w:t>) supera um nível crítico (c) os valores da variável latente são observados</w:t>
      </w:r>
      <w:r w:rsidR="002D6959" w:rsidRPr="003A214C">
        <w:rPr>
          <w:rFonts w:ascii="Times New Roman" w:hAnsi="Times New Roman"/>
          <w:sz w:val="24"/>
          <w:szCs w:val="24"/>
        </w:rPr>
        <w:t>;</w:t>
      </w:r>
      <w:r w:rsidRPr="003A214C">
        <w:rPr>
          <w:rFonts w:ascii="Times New Roman" w:hAnsi="Times New Roman"/>
          <w:sz w:val="24"/>
          <w:szCs w:val="24"/>
        </w:rPr>
        <w:t xml:space="preserve"> caso contrário, observam-se valores nulos.</w:t>
      </w:r>
    </w:p>
    <w:p w:rsidR="00C548FE" w:rsidRPr="003A214C" w:rsidRDefault="004512C8" w:rsidP="00C548FE">
      <w:pPr>
        <w:pStyle w:val="PargrafodaLista"/>
        <w:spacing w:after="0" w:line="240" w:lineRule="auto"/>
        <w:ind w:left="0"/>
        <w:jc w:val="both"/>
        <w:rPr>
          <w:rFonts w:ascii="Times New Roman" w:hAnsi="Times New Roman"/>
          <w:sz w:val="24"/>
          <w:szCs w:val="24"/>
        </w:rPr>
      </w:pPr>
      <w:r w:rsidRPr="003A214C">
        <w:rPr>
          <w:rFonts w:ascii="Times New Roman" w:hAnsi="Times New Roman"/>
          <w:szCs w:val="24"/>
        </w:rPr>
        <w:t xml:space="preserve">(3.8) </w:t>
      </w:r>
      <m:oMath>
        <m:r>
          <w:rPr>
            <w:rFonts w:ascii="Cambria Math" w:hAnsi="Cambria Math"/>
            <w:szCs w:val="24"/>
          </w:rPr>
          <m:t>y=</m:t>
        </m:r>
        <m:d>
          <m:dPr>
            <m:begChr m:val="{"/>
            <m:endChr m:val=""/>
            <m:ctrlPr>
              <w:rPr>
                <w:rFonts w:ascii="Cambria Math" w:hAnsi="Cambria Math"/>
                <w:i/>
                <w:szCs w:val="24"/>
              </w:rPr>
            </m:ctrlPr>
          </m:dPr>
          <m:e>
            <m:eqArr>
              <m:eqArrPr>
                <m:ctrlPr>
                  <w:rPr>
                    <w:rFonts w:ascii="Cambria Math" w:hAnsi="Cambria Math"/>
                    <w:i/>
                    <w:szCs w:val="24"/>
                  </w:rPr>
                </m:ctrlPr>
              </m:eqArrPr>
              <m:e>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 xml:space="preserve"> se </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&gt;c</m:t>
                </m:r>
              </m:e>
              <m:e>
                <m:r>
                  <w:rPr>
                    <w:rFonts w:ascii="Cambria Math" w:hAnsi="Cambria Math"/>
                    <w:szCs w:val="24"/>
                  </w:rPr>
                  <m:t xml:space="preserve">0 se </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r>
                  <w:rPr>
                    <w:rFonts w:ascii="Cambria Math" w:hAnsi="Cambria Math"/>
                    <w:szCs w:val="24"/>
                  </w:rPr>
                  <m:t>≤c</m:t>
                </m:r>
              </m:e>
            </m:eqArr>
          </m:e>
        </m:d>
      </m:oMath>
    </w:p>
    <w:p w:rsidR="00C548FE" w:rsidRPr="00C548FE" w:rsidRDefault="00C548FE" w:rsidP="00C548FE">
      <w:pPr>
        <w:spacing w:after="0" w:line="240" w:lineRule="auto"/>
        <w:jc w:val="both"/>
        <w:rPr>
          <w:rFonts w:ascii="Times New Roman" w:hAnsi="Times New Roman"/>
          <w:sz w:val="24"/>
          <w:szCs w:val="24"/>
        </w:rPr>
      </w:pPr>
      <w:r w:rsidRPr="003A214C">
        <w:rPr>
          <w:rFonts w:ascii="Times New Roman" w:hAnsi="Times New Roman"/>
          <w:sz w:val="24"/>
          <w:szCs w:val="24"/>
        </w:rPr>
        <w:t>A estimação consistente do</w:t>
      </w:r>
      <w:r w:rsidR="00C33520" w:rsidRPr="003A214C">
        <w:rPr>
          <w:rFonts w:ascii="Times New Roman" w:hAnsi="Times New Roman"/>
          <w:sz w:val="24"/>
          <w:szCs w:val="24"/>
        </w:rPr>
        <w:t>s</w:t>
      </w:r>
      <w:r w:rsidRPr="003A214C">
        <w:rPr>
          <w:rFonts w:ascii="Times New Roman" w:hAnsi="Times New Roman"/>
          <w:sz w:val="24"/>
          <w:szCs w:val="24"/>
        </w:rPr>
        <w:t xml:space="preserve"> parâmetro</w:t>
      </w:r>
      <w:r w:rsidR="00C33520" w:rsidRPr="003A214C">
        <w:rPr>
          <w:rFonts w:ascii="Times New Roman" w:hAnsi="Times New Roman"/>
          <w:sz w:val="24"/>
          <w:szCs w:val="24"/>
        </w:rPr>
        <w:t>s</w:t>
      </w:r>
      <w:r w:rsidRPr="003A214C">
        <w:rPr>
          <w:rFonts w:ascii="Times New Roman" w:hAnsi="Times New Roman"/>
          <w:sz w:val="24"/>
          <w:szCs w:val="24"/>
        </w:rPr>
        <w:t xml:space="preserve"> </w:t>
      </w:r>
      <w:r w:rsidR="00C33520" w:rsidRPr="003A214C">
        <w:rPr>
          <w:rFonts w:ascii="Times New Roman" w:hAnsi="Times New Roman"/>
          <w:sz w:val="24"/>
          <w:szCs w:val="24"/>
        </w:rPr>
        <w:t>do modelo</w:t>
      </w:r>
      <w:r w:rsidRPr="003A214C">
        <w:rPr>
          <w:rFonts w:ascii="Times New Roman" w:hAnsi="Times New Roman"/>
          <w:sz w:val="24"/>
          <w:szCs w:val="24"/>
        </w:rPr>
        <w:t xml:space="preserve"> é realizada por meio do método de máxima verossimilhança (MV). Almeida (2012) ressalta que existem duas complicações para um modelo Tobit com dados espaciais: a primeira delas refere</w:t>
      </w:r>
      <w:r w:rsidRPr="00C548FE">
        <w:rPr>
          <w:rFonts w:ascii="Times New Roman" w:hAnsi="Times New Roman"/>
          <w:sz w:val="24"/>
          <w:szCs w:val="24"/>
        </w:rPr>
        <w:t>-se à dificuldade computacional de se utilizar o estimador de máxima verossimilhança num contexto de dependência espacial. A segunda complicação refere-se ao fato do modelo Tobit ser muito sensível a hipóteses sobre</w:t>
      </w:r>
      <w:r w:rsidR="00C33520">
        <w:rPr>
          <w:rFonts w:ascii="Times New Roman" w:hAnsi="Times New Roman"/>
          <w:sz w:val="24"/>
          <w:szCs w:val="24"/>
        </w:rPr>
        <w:t xml:space="preserve"> a</w:t>
      </w:r>
      <w:r w:rsidRPr="00C548FE">
        <w:rPr>
          <w:rFonts w:ascii="Times New Roman" w:hAnsi="Times New Roman"/>
          <w:sz w:val="24"/>
          <w:szCs w:val="24"/>
        </w:rPr>
        <w:t xml:space="preserve"> distribuição dos termos de erro. Se houver heterocedasticidade ou não normalidade dos erros, a estimação torna-se inconsistente.</w:t>
      </w:r>
    </w:p>
    <w:p w:rsidR="00C548FE" w:rsidRPr="003A214C" w:rsidRDefault="00C33520" w:rsidP="00C548FE">
      <w:pPr>
        <w:pStyle w:val="PargrafodaLista"/>
        <w:spacing w:after="0" w:line="240" w:lineRule="auto"/>
        <w:ind w:left="0"/>
        <w:jc w:val="both"/>
        <w:rPr>
          <w:rFonts w:ascii="Times New Roman" w:hAnsi="Times New Roman"/>
          <w:sz w:val="24"/>
          <w:szCs w:val="24"/>
        </w:rPr>
      </w:pPr>
      <w:r>
        <w:rPr>
          <w:rFonts w:ascii="Times New Roman" w:hAnsi="Times New Roman"/>
          <w:sz w:val="24"/>
          <w:szCs w:val="24"/>
        </w:rPr>
        <w:t>S</w:t>
      </w:r>
      <w:r w:rsidR="00C548FE" w:rsidRPr="00C548FE">
        <w:rPr>
          <w:rFonts w:ascii="Times New Roman" w:hAnsi="Times New Roman"/>
          <w:sz w:val="24"/>
          <w:szCs w:val="24"/>
        </w:rPr>
        <w:t xml:space="preserve">e existe incerteza acerca de um vetor de parâmetros de, por exemplo, um modelo Durbin Espacial (SDM), </w:t>
      </w:r>
      <m:oMath>
        <m:r>
          <w:rPr>
            <w:rFonts w:ascii="Cambria Math" w:hAnsi="Cambria Math"/>
            <w:szCs w:val="24"/>
          </w:rPr>
          <m:t>∅=(ρ, β,θ,</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r>
          <w:rPr>
            <w:rFonts w:ascii="Cambria Math" w:hAnsi="Cambria Math"/>
            <w:szCs w:val="24"/>
          </w:rPr>
          <m:t>)</m:t>
        </m:r>
      </m:oMath>
      <w:r w:rsidR="00C548FE" w:rsidRPr="00C548FE">
        <w:rPr>
          <w:rFonts w:ascii="Times New Roman" w:hAnsi="Times New Roman"/>
          <w:sz w:val="24"/>
          <w:szCs w:val="24"/>
        </w:rPr>
        <w:t xml:space="preserve">, </w:t>
      </w:r>
      <w:r w:rsidR="00C548FE" w:rsidRPr="00C548FE">
        <w:rPr>
          <w:rFonts w:ascii="Times New Roman" w:hAnsi="Times New Roman" w:cs="Calibri"/>
          <w:sz w:val="24"/>
          <w:szCs w:val="24"/>
        </w:rPr>
        <w:t>é</w:t>
      </w:r>
      <w:r w:rsidR="00C548FE" w:rsidRPr="00C548FE">
        <w:rPr>
          <w:rFonts w:ascii="Times New Roman" w:hAnsi="Times New Roman"/>
          <w:sz w:val="24"/>
          <w:szCs w:val="24"/>
        </w:rPr>
        <w:t xml:space="preserve"> poss</w:t>
      </w:r>
      <w:r w:rsidR="00C548FE" w:rsidRPr="00C548FE">
        <w:rPr>
          <w:rFonts w:ascii="Times New Roman" w:hAnsi="Times New Roman" w:cs="Calibri"/>
          <w:sz w:val="24"/>
          <w:szCs w:val="24"/>
        </w:rPr>
        <w:t>í</w:t>
      </w:r>
      <w:r w:rsidR="00C548FE" w:rsidRPr="00C548FE">
        <w:rPr>
          <w:rFonts w:ascii="Times New Roman" w:hAnsi="Times New Roman"/>
          <w:sz w:val="24"/>
          <w:szCs w:val="24"/>
        </w:rPr>
        <w:t>vel represent</w:t>
      </w:r>
      <w:r w:rsidR="00C548FE" w:rsidRPr="00C548FE">
        <w:rPr>
          <w:rFonts w:ascii="Times New Roman" w:hAnsi="Times New Roman" w:cs="Calibri"/>
          <w:sz w:val="24"/>
          <w:szCs w:val="24"/>
        </w:rPr>
        <w:t>á</w:t>
      </w:r>
      <w:r w:rsidR="00C548FE" w:rsidRPr="00C548FE">
        <w:rPr>
          <w:rFonts w:ascii="Times New Roman" w:hAnsi="Times New Roman"/>
          <w:sz w:val="24"/>
          <w:szCs w:val="24"/>
        </w:rPr>
        <w:t>-lo por uma distribui</w:t>
      </w:r>
      <w:r w:rsidR="00C548FE" w:rsidRPr="00C548FE">
        <w:rPr>
          <w:rFonts w:ascii="Times New Roman" w:hAnsi="Times New Roman" w:cs="Calibri"/>
          <w:sz w:val="24"/>
          <w:szCs w:val="24"/>
        </w:rPr>
        <w:t>çã</w:t>
      </w:r>
      <w:r w:rsidR="00C548FE" w:rsidRPr="00C548FE">
        <w:rPr>
          <w:rFonts w:ascii="Times New Roman" w:hAnsi="Times New Roman"/>
          <w:sz w:val="24"/>
          <w:szCs w:val="24"/>
        </w:rPr>
        <w:t xml:space="preserve">o de probabilidade, denominada </w:t>
      </w:r>
      <w:r w:rsidR="00C548FE" w:rsidRPr="00C33520">
        <w:rPr>
          <w:rFonts w:ascii="Times New Roman" w:hAnsi="Times New Roman"/>
          <w:b/>
          <w:sz w:val="24"/>
          <w:szCs w:val="24"/>
        </w:rPr>
        <w:t>distribuição de probabilidade a priori</w:t>
      </w:r>
      <w:r w:rsidR="00C548FE" w:rsidRPr="00C548FE">
        <w:rPr>
          <w:rFonts w:ascii="Times New Roman" w:hAnsi="Times New Roman"/>
          <w:sz w:val="24"/>
          <w:szCs w:val="24"/>
        </w:rPr>
        <w:t xml:space="preserve">, </w:t>
      </w:r>
      <m:oMath>
        <m:r>
          <w:rPr>
            <w:rFonts w:ascii="Cambria Math" w:eastAsiaTheme="minorEastAsia" w:hAnsi="Cambria Math"/>
            <w:szCs w:val="24"/>
          </w:rPr>
          <m:t>f(∅)</m:t>
        </m:r>
      </m:oMath>
      <w:r w:rsidR="00C548FE" w:rsidRPr="00C548FE">
        <w:rPr>
          <w:rFonts w:ascii="Times New Roman" w:hAnsi="Times New Roman"/>
          <w:sz w:val="24"/>
          <w:szCs w:val="24"/>
        </w:rPr>
        <w:t>. O principal objetivo da abordagem Bayesiana</w:t>
      </w:r>
      <w:r>
        <w:rPr>
          <w:rFonts w:ascii="Times New Roman" w:hAnsi="Times New Roman"/>
          <w:sz w:val="24"/>
          <w:szCs w:val="24"/>
        </w:rPr>
        <w:t xml:space="preserve"> </w:t>
      </w:r>
      <w:r w:rsidR="00C548FE" w:rsidRPr="00C548FE">
        <w:rPr>
          <w:rFonts w:ascii="Times New Roman" w:hAnsi="Times New Roman" w:cs="Calibri"/>
          <w:sz w:val="24"/>
          <w:szCs w:val="24"/>
        </w:rPr>
        <w:t>é</w:t>
      </w:r>
      <w:r w:rsidR="00C548FE" w:rsidRPr="00C548FE">
        <w:rPr>
          <w:rFonts w:ascii="Times New Roman" w:hAnsi="Times New Roman"/>
          <w:sz w:val="24"/>
          <w:szCs w:val="24"/>
        </w:rPr>
        <w:t xml:space="preserve"> atualizar essa incerteza inicial</w:t>
      </w:r>
      <w:r w:rsidR="00B21FC6">
        <w:rPr>
          <w:rFonts w:ascii="Times New Roman" w:hAnsi="Times New Roman"/>
          <w:sz w:val="24"/>
          <w:szCs w:val="24"/>
        </w:rPr>
        <w:t xml:space="preserve"> </w:t>
      </w:r>
      <w:r w:rsidR="00C548FE" w:rsidRPr="00C548FE">
        <w:rPr>
          <w:rFonts w:ascii="Times New Roman" w:hAnsi="Times New Roman"/>
          <w:sz w:val="24"/>
          <w:szCs w:val="24"/>
        </w:rPr>
        <w:t>por meio dos dados emp</w:t>
      </w:r>
      <w:r w:rsidR="00C548FE" w:rsidRPr="00C548FE">
        <w:rPr>
          <w:rFonts w:ascii="Times New Roman" w:hAnsi="Times New Roman" w:cs="Calibri"/>
          <w:sz w:val="24"/>
          <w:szCs w:val="24"/>
        </w:rPr>
        <w:t>í</w:t>
      </w:r>
      <w:r w:rsidR="00C548FE" w:rsidRPr="00C548FE">
        <w:rPr>
          <w:rFonts w:ascii="Times New Roman" w:hAnsi="Times New Roman"/>
          <w:sz w:val="24"/>
          <w:szCs w:val="24"/>
        </w:rPr>
        <w:t>ricos (</w:t>
      </w:r>
      <m:oMath>
        <m:r>
          <w:rPr>
            <w:rFonts w:ascii="Cambria Math" w:hAnsi="Cambria Math"/>
            <w:sz w:val="24"/>
            <w:szCs w:val="24"/>
          </w:rPr>
          <m:t>D</m:t>
        </m:r>
      </m:oMath>
      <w:r w:rsidR="00C548FE" w:rsidRPr="00C548FE">
        <w:rPr>
          <w:rFonts w:ascii="Times New Roman" w:hAnsi="Times New Roman"/>
          <w:sz w:val="24"/>
          <w:szCs w:val="24"/>
        </w:rPr>
        <w:t xml:space="preserve">) a fim de produzir uma </w:t>
      </w:r>
      <w:r w:rsidR="00C548FE" w:rsidRPr="00C33520">
        <w:rPr>
          <w:rFonts w:ascii="Times New Roman" w:hAnsi="Times New Roman"/>
          <w:b/>
          <w:sz w:val="24"/>
          <w:szCs w:val="24"/>
        </w:rPr>
        <w:t>distribuição de probabilidade a posteriori</w:t>
      </w:r>
      <w:r w:rsidR="00B21FC6">
        <w:rPr>
          <w:rFonts w:ascii="Times New Roman" w:hAnsi="Times New Roman"/>
          <w:sz w:val="24"/>
          <w:szCs w:val="24"/>
        </w:rPr>
        <w:t xml:space="preserve">, </w:t>
      </w:r>
      <m:oMath>
        <m:r>
          <w:rPr>
            <w:rFonts w:ascii="Cambria Math" w:eastAsiaTheme="minorEastAsia" w:hAnsi="Cambria Math"/>
            <w:szCs w:val="24"/>
          </w:rPr>
          <m:t>f(∅/D),</m:t>
        </m:r>
      </m:oMath>
      <w:r w:rsidR="00B21FC6">
        <w:rPr>
          <w:rFonts w:ascii="Times New Roman" w:hAnsi="Times New Roman"/>
          <w:szCs w:val="24"/>
        </w:rPr>
        <w:t xml:space="preserve"> </w:t>
      </w:r>
      <w:r w:rsidR="00C548FE" w:rsidRPr="00C548FE">
        <w:rPr>
          <w:rFonts w:ascii="Times New Roman" w:hAnsi="Times New Roman"/>
          <w:sz w:val="24"/>
          <w:szCs w:val="24"/>
        </w:rPr>
        <w:t xml:space="preserve">com menor </w:t>
      </w:r>
      <w:r w:rsidR="00C548FE" w:rsidRPr="003A214C">
        <w:rPr>
          <w:rFonts w:ascii="Times New Roman" w:hAnsi="Times New Roman"/>
          <w:sz w:val="24"/>
          <w:szCs w:val="24"/>
        </w:rPr>
        <w:t>incerteza</w:t>
      </w:r>
      <w:r w:rsidR="00B21FC6" w:rsidRPr="003A214C">
        <w:rPr>
          <w:rFonts w:ascii="Times New Roman" w:hAnsi="Times New Roman"/>
          <w:sz w:val="24"/>
          <w:szCs w:val="24"/>
        </w:rPr>
        <w:t xml:space="preserve"> (LYNCH, 2006). A partir do teorema de Bayes</w:t>
      </w:r>
      <w:r w:rsidR="00C548FE" w:rsidRPr="003A214C">
        <w:rPr>
          <w:rFonts w:ascii="Times New Roman" w:hAnsi="Times New Roman"/>
          <w:sz w:val="24"/>
          <w:szCs w:val="24"/>
        </w:rPr>
        <w:t>, a seguinte rela</w:t>
      </w:r>
      <w:r w:rsidR="00C548FE" w:rsidRPr="003A214C">
        <w:rPr>
          <w:rFonts w:ascii="Times New Roman" w:hAnsi="Times New Roman" w:cs="Calibri"/>
          <w:sz w:val="24"/>
          <w:szCs w:val="24"/>
        </w:rPr>
        <w:t>çã</w:t>
      </w:r>
      <w:r w:rsidR="00C548FE" w:rsidRPr="003A214C">
        <w:rPr>
          <w:rFonts w:ascii="Times New Roman" w:hAnsi="Times New Roman"/>
          <w:sz w:val="24"/>
          <w:szCs w:val="24"/>
        </w:rPr>
        <w:t>o pode ser obtida:</w:t>
      </w:r>
    </w:p>
    <w:p w:rsidR="00C548FE" w:rsidRPr="003A214C" w:rsidRDefault="004512C8" w:rsidP="00C548FE">
      <w:pPr>
        <w:pStyle w:val="PargrafodaLista"/>
        <w:spacing w:after="0" w:line="240" w:lineRule="auto"/>
        <w:ind w:left="0"/>
        <w:jc w:val="both"/>
        <w:rPr>
          <w:rFonts w:ascii="Times New Roman" w:hAnsi="Times New Roman"/>
          <w:szCs w:val="24"/>
        </w:rPr>
      </w:pPr>
      <w:r w:rsidRPr="003A214C">
        <w:rPr>
          <w:rFonts w:ascii="Times New Roman" w:hAnsi="Times New Roman"/>
          <w:szCs w:val="24"/>
        </w:rPr>
        <w:t xml:space="preserve">(3.9) </w:t>
      </w:r>
      <m:oMath>
        <m:r>
          <w:rPr>
            <w:rFonts w:ascii="Cambria Math" w:eastAsiaTheme="minorEastAsia" w:hAnsi="Cambria Math"/>
            <w:szCs w:val="24"/>
          </w:rPr>
          <m:t>f(∅/D)=</m:t>
        </m:r>
        <m:f>
          <m:fPr>
            <m:ctrlPr>
              <w:rPr>
                <w:rFonts w:ascii="Cambria Math" w:eastAsiaTheme="minorEastAsia" w:hAnsi="Cambria Math"/>
                <w:i/>
                <w:szCs w:val="24"/>
              </w:rPr>
            </m:ctrlPr>
          </m:fPr>
          <m:num>
            <m:r>
              <w:rPr>
                <w:rFonts w:ascii="Cambria Math" w:eastAsiaTheme="minorEastAsia" w:hAnsi="Cambria Math"/>
                <w:szCs w:val="24"/>
              </w:rPr>
              <m:t>f(D/∅)f(∅)</m:t>
            </m:r>
          </m:num>
          <m:den>
            <m:r>
              <w:rPr>
                <w:rFonts w:ascii="Cambria Math" w:eastAsiaTheme="minorEastAsia" w:hAnsi="Cambria Math"/>
                <w:szCs w:val="24"/>
              </w:rPr>
              <m:t>f(D)</m:t>
            </m:r>
          </m:den>
        </m:f>
      </m:oMath>
    </w:p>
    <w:p w:rsidR="00C548FE" w:rsidRPr="003A214C" w:rsidRDefault="00C548FE" w:rsidP="00C548FE">
      <w:pPr>
        <w:spacing w:after="0" w:line="240" w:lineRule="auto"/>
        <w:jc w:val="both"/>
        <w:rPr>
          <w:rFonts w:ascii="Times New Roman" w:hAnsi="Times New Roman"/>
          <w:sz w:val="24"/>
          <w:szCs w:val="24"/>
        </w:rPr>
      </w:pPr>
      <w:r w:rsidRPr="003A214C">
        <w:rPr>
          <w:rFonts w:ascii="Times New Roman" w:hAnsi="Times New Roman"/>
          <w:sz w:val="24"/>
          <w:szCs w:val="24"/>
        </w:rPr>
        <w:t>Em que,</w:t>
      </w:r>
      <w:r w:rsidR="00761C68" w:rsidRPr="003A214C">
        <w:rPr>
          <w:rFonts w:ascii="Times New Roman" w:hAnsi="Times New Roman"/>
          <w:sz w:val="24"/>
          <w:szCs w:val="24"/>
        </w:rPr>
        <w:t xml:space="preserve"> </w:t>
      </w:r>
      <m:oMath>
        <m:r>
          <w:rPr>
            <w:rFonts w:ascii="Cambria Math" w:eastAsiaTheme="minorEastAsia" w:hAnsi="Cambria Math"/>
            <w:szCs w:val="24"/>
          </w:rPr>
          <m:t>f(D/∅)</m:t>
        </m:r>
      </m:oMath>
      <w:r w:rsidR="00761C68" w:rsidRPr="003A214C">
        <w:rPr>
          <w:rFonts w:ascii="Times New Roman" w:hAnsi="Times New Roman"/>
          <w:szCs w:val="24"/>
        </w:rPr>
        <w:t xml:space="preserve"> é a </w:t>
      </w:r>
      <w:r w:rsidRPr="003A214C">
        <w:rPr>
          <w:rFonts w:ascii="Times New Roman" w:hAnsi="Times New Roman"/>
          <w:sz w:val="24"/>
          <w:szCs w:val="24"/>
        </w:rPr>
        <w:t>probabilidade de ocorr</w:t>
      </w:r>
      <w:r w:rsidRPr="003A214C">
        <w:rPr>
          <w:rFonts w:ascii="Times New Roman" w:hAnsi="Times New Roman" w:cs="Calibri"/>
          <w:sz w:val="24"/>
          <w:szCs w:val="24"/>
        </w:rPr>
        <w:t>ê</w:t>
      </w:r>
      <w:r w:rsidRPr="003A214C">
        <w:rPr>
          <w:rFonts w:ascii="Times New Roman" w:hAnsi="Times New Roman"/>
          <w:sz w:val="24"/>
          <w:szCs w:val="24"/>
        </w:rPr>
        <w:t>ncia dos dados condicionada nos par</w:t>
      </w:r>
      <w:r w:rsidRPr="003A214C">
        <w:rPr>
          <w:rFonts w:ascii="Times New Roman" w:hAnsi="Times New Roman" w:cs="Calibri"/>
          <w:sz w:val="24"/>
          <w:szCs w:val="24"/>
        </w:rPr>
        <w:t>â</w:t>
      </w:r>
      <w:r w:rsidR="00761C68" w:rsidRPr="003A214C">
        <w:rPr>
          <w:rFonts w:ascii="Times New Roman" w:hAnsi="Times New Roman"/>
          <w:sz w:val="24"/>
          <w:szCs w:val="24"/>
        </w:rPr>
        <w:t xml:space="preserve">metros e </w:t>
      </w:r>
      <m:oMath>
        <m:r>
          <w:rPr>
            <w:rFonts w:ascii="Cambria Math" w:hAnsi="Cambria Math"/>
            <w:szCs w:val="24"/>
          </w:rPr>
          <m:t>f</m:t>
        </m:r>
        <m:d>
          <m:dPr>
            <m:ctrlPr>
              <w:rPr>
                <w:rFonts w:ascii="Cambria Math" w:hAnsi="Cambria Math"/>
                <w:i/>
                <w:szCs w:val="24"/>
              </w:rPr>
            </m:ctrlPr>
          </m:dPr>
          <m:e>
            <m:r>
              <w:rPr>
                <w:rFonts w:ascii="Cambria Math" w:hAnsi="Cambria Math"/>
                <w:szCs w:val="24"/>
              </w:rPr>
              <m:t>D</m:t>
            </m:r>
          </m:e>
        </m:d>
      </m:oMath>
      <w:r w:rsidR="00761C68" w:rsidRPr="003A214C">
        <w:rPr>
          <w:rFonts w:ascii="Times New Roman" w:hAnsi="Times New Roman"/>
          <w:szCs w:val="24"/>
        </w:rPr>
        <w:t xml:space="preserve"> é a </w:t>
      </w:r>
      <w:r w:rsidRPr="003A214C">
        <w:rPr>
          <w:rFonts w:ascii="Times New Roman" w:hAnsi="Times New Roman"/>
          <w:sz w:val="24"/>
          <w:szCs w:val="24"/>
        </w:rPr>
        <w:t>probabilidade marginal (ou probabilidade simples) dos dados empíricos.</w:t>
      </w:r>
    </w:p>
    <w:p w:rsidR="00105719" w:rsidRPr="00105719" w:rsidRDefault="00B21FC6" w:rsidP="00C33520">
      <w:pPr>
        <w:pStyle w:val="PargrafodaLista"/>
        <w:spacing w:after="0" w:line="240" w:lineRule="auto"/>
        <w:ind w:left="0"/>
        <w:jc w:val="both"/>
        <w:rPr>
          <w:rFonts w:ascii="Times New Roman" w:hAnsi="Times New Roman"/>
          <w:sz w:val="24"/>
          <w:szCs w:val="24"/>
        </w:rPr>
      </w:pPr>
      <w:r w:rsidRPr="003A214C">
        <w:rPr>
          <w:rFonts w:ascii="Times New Roman" w:hAnsi="Times New Roman"/>
          <w:sz w:val="24"/>
          <w:szCs w:val="24"/>
        </w:rPr>
        <w:t>De acordo com Golgher (2015), se for possível</w:t>
      </w:r>
      <w:r w:rsidR="00C548FE" w:rsidRPr="003A214C">
        <w:rPr>
          <w:rFonts w:ascii="Times New Roman" w:hAnsi="Times New Roman"/>
          <w:sz w:val="24"/>
          <w:szCs w:val="24"/>
        </w:rPr>
        <w:t xml:space="preserve"> e</w:t>
      </w:r>
      <w:r w:rsidRPr="003A214C">
        <w:rPr>
          <w:rFonts w:ascii="Times New Roman" w:hAnsi="Times New Roman"/>
          <w:sz w:val="24"/>
          <w:szCs w:val="24"/>
        </w:rPr>
        <w:t>,</w:t>
      </w:r>
      <w:r w:rsidR="00C548FE" w:rsidRPr="003A214C">
        <w:rPr>
          <w:rFonts w:ascii="Times New Roman" w:hAnsi="Times New Roman"/>
          <w:sz w:val="24"/>
          <w:szCs w:val="24"/>
        </w:rPr>
        <w:t xml:space="preserve"> teoricamente plausível, deve-se escolher o formato da distribuição a priori de forma que a distribuição a posteriori resultante seja de</w:t>
      </w:r>
      <w:r w:rsidR="00C548FE" w:rsidRPr="00C548FE">
        <w:rPr>
          <w:rFonts w:ascii="Times New Roman" w:hAnsi="Times New Roman"/>
          <w:sz w:val="24"/>
          <w:szCs w:val="24"/>
        </w:rPr>
        <w:t xml:space="preserve"> um formato conhecido. No entanto, quando a distribuição a posteriori não pode ser obtida analiticamente ou se a utilização desta é</w:t>
      </w:r>
      <w:r>
        <w:rPr>
          <w:rFonts w:ascii="Times New Roman" w:hAnsi="Times New Roman"/>
          <w:sz w:val="24"/>
          <w:szCs w:val="24"/>
        </w:rPr>
        <w:t xml:space="preserve"> </w:t>
      </w:r>
      <w:r w:rsidRPr="00B21FC6">
        <w:rPr>
          <w:rFonts w:ascii="Times New Roman" w:hAnsi="Times New Roman"/>
          <w:sz w:val="24"/>
          <w:szCs w:val="24"/>
        </w:rPr>
        <w:t xml:space="preserve">complicada, em alguns casos </w:t>
      </w:r>
      <w:r>
        <w:rPr>
          <w:rFonts w:ascii="Times New Roman" w:hAnsi="Times New Roman"/>
          <w:sz w:val="24"/>
          <w:szCs w:val="24"/>
        </w:rPr>
        <w:t>utiliza-se o algoritmo de Gibbs</w:t>
      </w:r>
      <w:r>
        <w:rPr>
          <w:rStyle w:val="Refdenotaderodap"/>
          <w:rFonts w:ascii="Times New Roman" w:hAnsi="Times New Roman"/>
          <w:sz w:val="24"/>
          <w:szCs w:val="24"/>
        </w:rPr>
        <w:footnoteReference w:id="7"/>
      </w:r>
      <w:r w:rsidRPr="00B21FC6">
        <w:rPr>
          <w:rFonts w:ascii="Times New Roman" w:hAnsi="Times New Roman"/>
          <w:sz w:val="24"/>
          <w:szCs w:val="24"/>
        </w:rPr>
        <w:t>, o mais básico dentre os métodos bayesianos com Monte Carlo via cadeias de Markov (MCMC), para gerar as estimativas d</w:t>
      </w:r>
      <w:r w:rsidR="004B7B71">
        <w:rPr>
          <w:rFonts w:ascii="Times New Roman" w:hAnsi="Times New Roman"/>
          <w:sz w:val="24"/>
          <w:szCs w:val="24"/>
        </w:rPr>
        <w:t xml:space="preserve">e forma indireta. </w:t>
      </w:r>
      <w:r w:rsidR="00105719" w:rsidRPr="00105719">
        <w:rPr>
          <w:rFonts w:ascii="Times New Roman" w:hAnsi="Times New Roman"/>
          <w:sz w:val="24"/>
          <w:szCs w:val="24"/>
        </w:rPr>
        <w:t>A partir de uma distribuição conjunta, o algoritmo encontra as distribuições condicionais em formato fechado. A implementação desse algoritmo parte de um valor inicial de uma das variáveis e, por meio de um valor conhecido para ρ obtém-se um conjunto de valores de x e outro de y. Dado que ambos os valores de cada grupo dependem do valor inicial, deve-se descartar os primeiros valores de cada grupo.</w:t>
      </w:r>
    </w:p>
    <w:p w:rsidR="00B7692A" w:rsidRDefault="00105719" w:rsidP="00105719">
      <w:pPr>
        <w:pStyle w:val="PargrafodaLista"/>
        <w:spacing w:after="0" w:line="240" w:lineRule="auto"/>
        <w:ind w:left="0"/>
        <w:jc w:val="both"/>
        <w:rPr>
          <w:rFonts w:ascii="Times New Roman" w:hAnsi="Times New Roman"/>
          <w:sz w:val="24"/>
          <w:szCs w:val="24"/>
        </w:rPr>
      </w:pPr>
      <w:r w:rsidRPr="00105719">
        <w:rPr>
          <w:rFonts w:ascii="Times New Roman" w:hAnsi="Times New Roman"/>
          <w:sz w:val="24"/>
          <w:szCs w:val="24"/>
        </w:rPr>
        <w:t xml:space="preserve">A estimativas bayesianas do modelo heterocedástico Tobit Durbin Espacial (SDMT) foram obtidas a partir das funções disponibilizadas </w:t>
      </w:r>
      <w:r w:rsidR="007C10B5">
        <w:rPr>
          <w:rFonts w:ascii="Times New Roman" w:hAnsi="Times New Roman"/>
          <w:sz w:val="24"/>
          <w:szCs w:val="24"/>
        </w:rPr>
        <w:t>no site do LeSage e Pace (2009)</w:t>
      </w:r>
      <w:r w:rsidRPr="00105719">
        <w:rPr>
          <w:rFonts w:ascii="Times New Roman" w:hAnsi="Times New Roman"/>
          <w:sz w:val="24"/>
          <w:szCs w:val="24"/>
        </w:rPr>
        <w:t xml:space="preserve">. É importante destacar que a distribuição </w:t>
      </w:r>
      <m:oMath>
        <m:r>
          <w:rPr>
            <w:rFonts w:ascii="Cambria Math" w:eastAsiaTheme="minorEastAsia" w:hAnsi="Cambria Math"/>
            <w:szCs w:val="24"/>
          </w:rPr>
          <m:t>f(∅)</m:t>
        </m:r>
      </m:oMath>
      <w:r w:rsidR="007C10B5">
        <w:rPr>
          <w:rFonts w:ascii="Times New Roman" w:hAnsi="Times New Roman"/>
          <w:szCs w:val="24"/>
        </w:rPr>
        <w:t xml:space="preserve"> </w:t>
      </w:r>
      <w:r w:rsidRPr="00105719">
        <w:rPr>
          <w:rFonts w:ascii="Times New Roman" w:hAnsi="Times New Roman"/>
          <w:sz w:val="24"/>
          <w:szCs w:val="24"/>
        </w:rPr>
        <w:t>para o par</w:t>
      </w:r>
      <w:r w:rsidRPr="00105719">
        <w:rPr>
          <w:rFonts w:ascii="Times New Roman" w:hAnsi="Times New Roman" w:cs="Calibri"/>
          <w:sz w:val="24"/>
          <w:szCs w:val="24"/>
        </w:rPr>
        <w:t>â</w:t>
      </w:r>
      <w:r w:rsidRPr="00105719">
        <w:rPr>
          <w:rFonts w:ascii="Times New Roman" w:hAnsi="Times New Roman"/>
          <w:sz w:val="24"/>
          <w:szCs w:val="24"/>
        </w:rPr>
        <w:t>metro de lag espacial</w:t>
      </w:r>
      <w:r w:rsidR="00761C68">
        <w:rPr>
          <w:rFonts w:ascii="Times New Roman" w:hAnsi="Times New Roman"/>
          <w:sz w:val="24"/>
          <w:szCs w:val="24"/>
        </w:rPr>
        <w:t xml:space="preserve"> </w:t>
      </w:r>
      <w:r w:rsidRPr="00105719">
        <w:rPr>
          <w:rFonts w:ascii="Times New Roman" w:hAnsi="Times New Roman" w:cs="Calibri"/>
          <w:sz w:val="24"/>
          <w:szCs w:val="24"/>
        </w:rPr>
        <w:t>é</w:t>
      </w:r>
      <w:r w:rsidRPr="00105719">
        <w:rPr>
          <w:rFonts w:ascii="Times New Roman" w:hAnsi="Times New Roman"/>
          <w:sz w:val="24"/>
          <w:szCs w:val="24"/>
        </w:rPr>
        <w:t xml:space="preserve"> uniforme, definida no intervalo </w:t>
      </w:r>
      <m:oMath>
        <m:r>
          <w:rPr>
            <w:rFonts w:ascii="Cambria Math" w:eastAsiaTheme="minorEastAsia" w:hAnsi="Cambria Math"/>
            <w:szCs w:val="24"/>
          </w:rPr>
          <m:t>ρ ϵ (-1;1)</m:t>
        </m:r>
      </m:oMath>
      <w:r w:rsidRPr="00105719">
        <w:rPr>
          <w:rFonts w:ascii="Times New Roman" w:hAnsi="Times New Roman"/>
          <w:sz w:val="24"/>
          <w:szCs w:val="24"/>
        </w:rPr>
        <w:t xml:space="preserve"> e, portanto, todos os valores nesse intervalo têm a mesma probabilidade inicial, </w:t>
      </w: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ρ</m:t>
            </m:r>
          </m:e>
        </m:d>
        <m:r>
          <w:rPr>
            <w:rFonts w:ascii="Cambria Math" w:eastAsiaTheme="minorEastAsia" w:hAnsi="Cambria Math"/>
            <w:szCs w:val="24"/>
          </w:rPr>
          <m:t>=</m:t>
        </m:r>
        <m:f>
          <m:fPr>
            <m:type m:val="skw"/>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2</m:t>
            </m:r>
          </m:den>
        </m:f>
      </m:oMath>
      <w:r w:rsidRPr="00105719">
        <w:rPr>
          <w:rFonts w:ascii="Times New Roman" w:hAnsi="Times New Roman"/>
          <w:sz w:val="24"/>
          <w:szCs w:val="24"/>
        </w:rPr>
        <w:t xml:space="preserve">. O procedimento </w:t>
      </w:r>
      <w:r w:rsidR="007C10B5">
        <w:rPr>
          <w:rFonts w:ascii="Times New Roman" w:hAnsi="Times New Roman"/>
          <w:sz w:val="24"/>
          <w:szCs w:val="24"/>
        </w:rPr>
        <w:t>foi realizado 2.500 vezes,</w:t>
      </w:r>
      <w:r w:rsidRPr="00105719">
        <w:rPr>
          <w:rFonts w:ascii="Times New Roman" w:hAnsi="Times New Roman"/>
          <w:sz w:val="24"/>
          <w:szCs w:val="24"/>
        </w:rPr>
        <w:t xml:space="preserve"> mas, destas, as 500 primeiras foram </w:t>
      </w:r>
      <w:r w:rsidR="007C10B5" w:rsidRPr="00105719">
        <w:rPr>
          <w:rFonts w:ascii="Times New Roman" w:hAnsi="Times New Roman"/>
          <w:sz w:val="24"/>
          <w:szCs w:val="24"/>
        </w:rPr>
        <w:t>descartadas</w:t>
      </w:r>
      <w:r w:rsidRPr="00105719">
        <w:rPr>
          <w:rFonts w:ascii="Times New Roman" w:hAnsi="Times New Roman"/>
          <w:sz w:val="24"/>
          <w:szCs w:val="24"/>
        </w:rPr>
        <w:t>. Logo, o procedimento de obter um número aleatório de uma distribuição com média e variância conhecidas foi realizado 2000 vezes.</w:t>
      </w:r>
    </w:p>
    <w:p w:rsidR="00105719" w:rsidRDefault="00105719" w:rsidP="00105719">
      <w:pPr>
        <w:pStyle w:val="PargrafodaLista"/>
        <w:spacing w:after="0" w:line="240" w:lineRule="auto"/>
        <w:ind w:left="0"/>
        <w:jc w:val="both"/>
        <w:rPr>
          <w:rFonts w:ascii="Times New Roman" w:hAnsi="Times New Roman"/>
          <w:sz w:val="24"/>
          <w:szCs w:val="24"/>
        </w:rPr>
      </w:pPr>
      <w:r w:rsidRPr="00105719">
        <w:rPr>
          <w:rFonts w:ascii="Times New Roman" w:hAnsi="Times New Roman"/>
          <w:sz w:val="24"/>
          <w:szCs w:val="24"/>
        </w:rPr>
        <w:t xml:space="preserve"> </w:t>
      </w:r>
    </w:p>
    <w:p w:rsidR="009D5CB2" w:rsidRPr="00DF27E5" w:rsidRDefault="009D5CB2" w:rsidP="009D5CB2">
      <w:pPr>
        <w:pStyle w:val="PargrafodaLista"/>
        <w:numPr>
          <w:ilvl w:val="2"/>
          <w:numId w:val="5"/>
        </w:numPr>
        <w:spacing w:after="0" w:line="240" w:lineRule="auto"/>
        <w:jc w:val="both"/>
        <w:rPr>
          <w:rFonts w:ascii="Times New Roman" w:hAnsi="Times New Roman"/>
          <w:b/>
          <w:sz w:val="24"/>
          <w:szCs w:val="24"/>
        </w:rPr>
      </w:pPr>
      <w:r>
        <w:rPr>
          <w:rFonts w:ascii="Times New Roman" w:hAnsi="Times New Roman"/>
          <w:b/>
          <w:sz w:val="24"/>
          <w:szCs w:val="24"/>
        </w:rPr>
        <w:t>Hipóteses</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Nesse artigo, são estimados dois tipos de especificação</w:t>
      </w:r>
      <w:r w:rsidR="00761C68">
        <w:rPr>
          <w:rFonts w:ascii="Times New Roman" w:hAnsi="Times New Roman"/>
          <w:sz w:val="24"/>
          <w:szCs w:val="24"/>
        </w:rPr>
        <w:t>:</w:t>
      </w:r>
      <w:r w:rsidRPr="00DF0CD6">
        <w:rPr>
          <w:rFonts w:ascii="Times New Roman" w:hAnsi="Times New Roman"/>
          <w:sz w:val="24"/>
          <w:szCs w:val="24"/>
        </w:rPr>
        <w:t xml:space="preserve"> Modelo 1 e Modelo 2. Para cada um deles, haverá duas variáveis dependentes representativas de duas faixas etárias da população</w:t>
      </w:r>
      <w:r w:rsidR="00761C68">
        <w:rPr>
          <w:rFonts w:ascii="Times New Roman" w:hAnsi="Times New Roman"/>
          <w:sz w:val="24"/>
          <w:szCs w:val="24"/>
        </w:rPr>
        <w:t>:</w:t>
      </w:r>
      <w:r w:rsidRPr="00DF0CD6">
        <w:rPr>
          <w:rFonts w:ascii="Times New Roman" w:hAnsi="Times New Roman"/>
          <w:sz w:val="24"/>
          <w:szCs w:val="24"/>
        </w:rPr>
        <w:t xml:space="preserve"> a de todas as idades e a de 0 a 14 anos. Com exceção das variáveis de saneamento do vetor </w:t>
      </w:r>
      <m:oMath>
        <m:r>
          <w:rPr>
            <w:rFonts w:ascii="Cambria Math" w:hAnsi="Cambria Math"/>
            <w:sz w:val="24"/>
            <w:szCs w:val="24"/>
          </w:rPr>
          <m:t>San</m:t>
        </m:r>
      </m:oMath>
      <w:r w:rsidRPr="00DF0CD6">
        <w:rPr>
          <w:rFonts w:ascii="Times New Roman" w:hAnsi="Times New Roman"/>
          <w:sz w:val="24"/>
          <w:szCs w:val="24"/>
        </w:rPr>
        <w:t xml:space="preserve">, </w:t>
      </w:r>
      <w:r w:rsidR="00DF0CD6" w:rsidRPr="00DF0CD6">
        <w:rPr>
          <w:rFonts w:ascii="Times New Roman" w:hAnsi="Times New Roman"/>
          <w:sz w:val="24"/>
          <w:szCs w:val="24"/>
        </w:rPr>
        <w:t>as</w:t>
      </w:r>
      <w:r w:rsidRPr="00DF0CD6">
        <w:rPr>
          <w:rFonts w:ascii="Times New Roman" w:hAnsi="Times New Roman"/>
          <w:sz w:val="24"/>
          <w:szCs w:val="24"/>
        </w:rPr>
        <w:t xml:space="preserve"> outras variáveis de controle</w:t>
      </w:r>
      <w:r w:rsidR="00CF3D2D">
        <w:rPr>
          <w:rFonts w:ascii="Times New Roman" w:hAnsi="Times New Roman"/>
          <w:sz w:val="24"/>
          <w:szCs w:val="24"/>
        </w:rPr>
        <w:t xml:space="preserve"> (</w:t>
      </w:r>
      <m:oMath>
        <m:r>
          <w:rPr>
            <w:rFonts w:ascii="Cambria Math" w:hAnsi="Cambria Math"/>
            <w:sz w:val="24"/>
            <w:szCs w:val="24"/>
          </w:rPr>
          <m:t>X</m:t>
        </m:r>
      </m:oMath>
      <w:r w:rsidR="00CF3D2D">
        <w:rPr>
          <w:rFonts w:ascii="Times New Roman" w:hAnsi="Times New Roman"/>
          <w:sz w:val="24"/>
          <w:szCs w:val="24"/>
        </w:rPr>
        <w:t>)</w:t>
      </w:r>
      <w:r w:rsidR="00DF0CD6" w:rsidRPr="00DF0CD6">
        <w:rPr>
          <w:rFonts w:ascii="Times New Roman" w:hAnsi="Times New Roman"/>
          <w:sz w:val="24"/>
          <w:szCs w:val="24"/>
        </w:rPr>
        <w:t xml:space="preserve"> são as mesmas</w:t>
      </w:r>
      <w:r w:rsidRPr="00DF0CD6">
        <w:rPr>
          <w:rFonts w:ascii="Times New Roman" w:hAnsi="Times New Roman"/>
          <w:sz w:val="24"/>
          <w:szCs w:val="24"/>
        </w:rPr>
        <w:t xml:space="preserve"> para os dois modelos. No primeiro deles, o vetor relativo às variáveis </w:t>
      </w:r>
      <w:r w:rsidRPr="00DF0CD6">
        <w:rPr>
          <w:rFonts w:ascii="Times New Roman" w:hAnsi="Times New Roman"/>
          <w:sz w:val="24"/>
          <w:szCs w:val="24"/>
        </w:rPr>
        <w:lastRenderedPageBreak/>
        <w:t>que expressam o tipo de acesso aos serviços de saneamento básico contém três formas inadequadas de acesso à água e esgoto (“d_</w:t>
      </w:r>
      <w:r w:rsidR="00761C68">
        <w:rPr>
          <w:rFonts w:ascii="Times New Roman" w:hAnsi="Times New Roman"/>
          <w:sz w:val="24"/>
          <w:szCs w:val="24"/>
        </w:rPr>
        <w:t xml:space="preserve">cist”, </w:t>
      </w:r>
      <w:r w:rsidRPr="00DF0CD6">
        <w:rPr>
          <w:rFonts w:ascii="Times New Roman" w:hAnsi="Times New Roman"/>
          <w:sz w:val="24"/>
          <w:szCs w:val="24"/>
        </w:rPr>
        <w:t>“d_frud”</w:t>
      </w:r>
      <w:r w:rsidR="00761C68">
        <w:rPr>
          <w:rFonts w:ascii="Times New Roman" w:hAnsi="Times New Roman"/>
          <w:sz w:val="24"/>
          <w:szCs w:val="24"/>
        </w:rPr>
        <w:t xml:space="preserve"> e “sbceuab”</w:t>
      </w:r>
      <w:r w:rsidRPr="00DF0CD6">
        <w:rPr>
          <w:rFonts w:ascii="Times New Roman" w:hAnsi="Times New Roman"/>
          <w:sz w:val="24"/>
          <w:szCs w:val="24"/>
        </w:rPr>
        <w:t xml:space="preserve">) sendo que uma delas refere-se às piores condições em termos de serviços de esgotamento sanitário (“sbceuab”). O </w:t>
      </w:r>
      <w:r w:rsidRPr="00CF3D2D">
        <w:rPr>
          <w:rFonts w:ascii="Times New Roman" w:hAnsi="Times New Roman"/>
          <w:b/>
          <w:sz w:val="24"/>
          <w:szCs w:val="24"/>
        </w:rPr>
        <w:t>Modelo 1</w:t>
      </w:r>
      <w:r w:rsidRPr="00DF0CD6">
        <w:rPr>
          <w:rFonts w:ascii="Times New Roman" w:hAnsi="Times New Roman"/>
          <w:sz w:val="24"/>
          <w:szCs w:val="24"/>
        </w:rPr>
        <w:t xml:space="preserve"> é expresso conforme a</w:t>
      </w:r>
      <w:r w:rsidR="00DF0CD6" w:rsidRPr="00DF0CD6">
        <w:rPr>
          <w:rFonts w:ascii="Times New Roman" w:hAnsi="Times New Roman"/>
          <w:sz w:val="24"/>
          <w:szCs w:val="24"/>
        </w:rPr>
        <w:t xml:space="preserve"> equação 3.10</w:t>
      </w:r>
      <w:r w:rsidRPr="00DF0CD6">
        <w:rPr>
          <w:rFonts w:ascii="Times New Roman" w:hAnsi="Times New Roman"/>
          <w:sz w:val="24"/>
          <w:szCs w:val="24"/>
        </w:rPr>
        <w:t xml:space="preserve">: </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(3.10)</w:t>
      </w:r>
      <w:r w:rsidRPr="00DF0CD6">
        <w:rPr>
          <w:rFonts w:ascii="Times New Roman" w:hAnsi="Times New Roman"/>
          <w:sz w:val="24"/>
          <w:szCs w:val="24"/>
        </w:rPr>
        <w:tab/>
      </w:r>
      <m:oMath>
        <m:sSub>
          <m:sSubPr>
            <m:ctrlPr>
              <w:rPr>
                <w:rFonts w:ascii="Cambria Math" w:hAnsi="Cambria Math"/>
                <w:i/>
                <w:sz w:val="24"/>
                <w:szCs w:val="24"/>
              </w:rPr>
            </m:ctrlPr>
          </m:sSubPr>
          <m:e>
            <m:r>
              <w:rPr>
                <w:rFonts w:ascii="Cambria Math" w:hAnsi="Cambria Math"/>
                <w:sz w:val="24"/>
                <w:szCs w:val="24"/>
              </w:rPr>
              <m:t>IncDrsai</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D_cist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Sbceuab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D_frud</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β+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Pr="00DF0CD6">
        <w:rPr>
          <w:rFonts w:ascii="Times New Roman" w:eastAsiaTheme="minorEastAsia" w:hAnsi="Times New Roman"/>
          <w:sz w:val="24"/>
          <w:szCs w:val="24"/>
        </w:rPr>
        <w:t xml:space="preserve"> </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 xml:space="preserve">O segundo modelo contém duas variáveis representativas das melhores condições de acesso aos serviços de água e esgoto (“ag_nao_ceuab” e “esg_nao_ceuab”) e duas outras representativas das condições inadequadas de acesso à coleta de lixo e moradia inadequada e drenagem de águas pluviais (“lixo_mor_inad” e </w:t>
      </w:r>
      <w:r w:rsidR="00DF0CD6" w:rsidRPr="00DF0CD6">
        <w:rPr>
          <w:rFonts w:ascii="Times New Roman" w:hAnsi="Times New Roman"/>
          <w:sz w:val="24"/>
          <w:szCs w:val="24"/>
        </w:rPr>
        <w:t>“d_nao_bueiro”). A equação (3.11</w:t>
      </w:r>
      <w:r w:rsidRPr="00DF0CD6">
        <w:rPr>
          <w:rFonts w:ascii="Times New Roman" w:hAnsi="Times New Roman"/>
          <w:sz w:val="24"/>
          <w:szCs w:val="24"/>
        </w:rPr>
        <w:t xml:space="preserve">) expressa a especificação do </w:t>
      </w:r>
      <w:r w:rsidRPr="00761C68">
        <w:rPr>
          <w:rFonts w:ascii="Times New Roman" w:hAnsi="Times New Roman"/>
          <w:b/>
          <w:sz w:val="24"/>
          <w:szCs w:val="24"/>
        </w:rPr>
        <w:t>Modelo 2</w:t>
      </w:r>
      <w:r w:rsidRPr="00DF0CD6">
        <w:rPr>
          <w:rFonts w:ascii="Times New Roman" w:hAnsi="Times New Roman"/>
          <w:sz w:val="24"/>
          <w:szCs w:val="24"/>
        </w:rPr>
        <w:t>:</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eastAsiaTheme="minorEastAsia" w:hAnsi="Times New Roman"/>
          <w:sz w:val="24"/>
          <w:szCs w:val="24"/>
        </w:rPr>
        <w:t>(3.11)</w:t>
      </w:r>
      <m:oMath>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IncDrsai</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Ag_nao_ceuab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Esg_nao_ceuab</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Lixo_mor_inad</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++D_nao_bueiro</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oMath>
      <w:r w:rsidRPr="00DF0CD6">
        <w:rPr>
          <w:rFonts w:ascii="Times New Roman" w:eastAsiaTheme="minorEastAsia" w:hAnsi="Times New Roman"/>
          <w:sz w:val="24"/>
          <w:szCs w:val="24"/>
        </w:rPr>
        <w:t xml:space="preserve"> </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No primeiro modelo, a primeira e a terceira variáveis expressam formas alternativas de inadequada provisão dos serviços de abastecimento de água e coleta de esgoto, respectivamente. A segunda variável, por sua vez, reflete ausência total do serviço de esgotamento sanitário: além dos domicílios não terem banheiro, estão inseridos em condições adversas de esgoto a céu aberto</w:t>
      </w:r>
      <w:r w:rsidR="00761C68">
        <w:rPr>
          <w:rStyle w:val="Refdenotaderodap"/>
          <w:rFonts w:ascii="Times New Roman" w:hAnsi="Times New Roman"/>
          <w:sz w:val="24"/>
          <w:szCs w:val="24"/>
        </w:rPr>
        <w:footnoteReference w:id="8"/>
      </w:r>
      <w:r w:rsidRPr="00DF0CD6">
        <w:rPr>
          <w:rFonts w:ascii="Times New Roman" w:hAnsi="Times New Roman"/>
          <w:sz w:val="24"/>
          <w:szCs w:val="24"/>
        </w:rPr>
        <w:t xml:space="preserve">. </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O modelo teórico desenvolvido</w:t>
      </w:r>
      <w:r w:rsidR="00604159">
        <w:rPr>
          <w:rFonts w:ascii="Times New Roman" w:hAnsi="Times New Roman"/>
          <w:sz w:val="24"/>
          <w:szCs w:val="24"/>
        </w:rPr>
        <w:t xml:space="preserve"> na seção 3.1</w:t>
      </w:r>
      <w:r w:rsidRPr="00DF0CD6">
        <w:rPr>
          <w:rFonts w:ascii="Times New Roman" w:hAnsi="Times New Roman"/>
          <w:sz w:val="24"/>
          <w:szCs w:val="24"/>
        </w:rPr>
        <w:t xml:space="preserve"> t</w:t>
      </w:r>
      <w:r w:rsidR="004012D9">
        <w:rPr>
          <w:rFonts w:ascii="Times New Roman" w:hAnsi="Times New Roman"/>
          <w:sz w:val="24"/>
          <w:szCs w:val="24"/>
        </w:rPr>
        <w:t>ambém corrobora essa associação. Em relação à</w:t>
      </w:r>
      <w:r w:rsidRPr="00DF0CD6">
        <w:rPr>
          <w:rFonts w:ascii="Times New Roman" w:hAnsi="Times New Roman"/>
          <w:sz w:val="24"/>
          <w:szCs w:val="24"/>
        </w:rPr>
        <w:t xml:space="preserve"> variável</w:t>
      </w:r>
      <w:r w:rsidR="004012D9">
        <w:rPr>
          <w:rFonts w:ascii="Times New Roman" w:hAnsi="Times New Roman"/>
          <w:sz w:val="24"/>
          <w:szCs w:val="24"/>
        </w:rPr>
        <w:t xml:space="preserve"> de saneamento</w:t>
      </w:r>
      <w:r w:rsidRPr="00DF0CD6">
        <w:rPr>
          <w:rFonts w:ascii="Times New Roman" w:hAnsi="Times New Roman"/>
          <w:sz w:val="24"/>
          <w:szCs w:val="24"/>
        </w:rPr>
        <w:t xml:space="preserve"> a implicação do modelo é que, por ser uma variável exógena, pode melhorar ou retardar a saúde (BERNDT, 2000). Nessa situação, por se tratar de variáveis </w:t>
      </w:r>
      <w:r w:rsidR="004012D9">
        <w:rPr>
          <w:rFonts w:ascii="Times New Roman" w:hAnsi="Times New Roman"/>
          <w:sz w:val="24"/>
          <w:szCs w:val="24"/>
        </w:rPr>
        <w:t>“adversas” de infraestrutura</w:t>
      </w:r>
      <w:r w:rsidR="0025590A">
        <w:rPr>
          <w:rFonts w:ascii="Times New Roman" w:hAnsi="Times New Roman"/>
          <w:sz w:val="24"/>
          <w:szCs w:val="24"/>
        </w:rPr>
        <w:t>, a variável de saúde é negativamente impactada via</w:t>
      </w:r>
      <w:r w:rsidRPr="00DF0CD6">
        <w:rPr>
          <w:rFonts w:ascii="Times New Roman" w:hAnsi="Times New Roman"/>
          <w:sz w:val="24"/>
          <w:szCs w:val="24"/>
        </w:rPr>
        <w:t xml:space="preserve"> curva de eficiência marginal do investimento em saúde (EMH)</w:t>
      </w:r>
      <w:r w:rsidR="004012D9">
        <w:rPr>
          <w:rFonts w:ascii="Times New Roman" w:hAnsi="Times New Roman"/>
          <w:sz w:val="24"/>
          <w:szCs w:val="24"/>
        </w:rPr>
        <w:t xml:space="preserve">. </w:t>
      </w:r>
      <w:r w:rsidR="004012D9" w:rsidRPr="00DF0CD6">
        <w:rPr>
          <w:rFonts w:ascii="Times New Roman" w:hAnsi="Times New Roman"/>
          <w:sz w:val="24"/>
          <w:szCs w:val="24"/>
        </w:rPr>
        <w:t xml:space="preserve"> </w:t>
      </w:r>
      <w:r w:rsidRPr="00DF0CD6">
        <w:rPr>
          <w:rFonts w:ascii="Times New Roman" w:hAnsi="Times New Roman"/>
          <w:sz w:val="24"/>
          <w:szCs w:val="24"/>
        </w:rPr>
        <w:t xml:space="preserve">Logo, de acordo com os estudos mencionados e com o modelo teórico, é esperado que piores condições de acesso a tais serviços correspondam a uma maior propagação de DRSAIs e, consequentemente, maiores taxas de internação, </w:t>
      </w:r>
      <w:r w:rsidRPr="006F056E">
        <w:rPr>
          <w:rFonts w:ascii="Times New Roman" w:hAnsi="Times New Roman"/>
          <w:sz w:val="24"/>
          <w:szCs w:val="24"/>
        </w:rPr>
        <w:t>o que justifica o esperado sinal positivo para</w:t>
      </w:r>
      <w:r w:rsidR="006F056E">
        <w:rPr>
          <w:rFonts w:ascii="Times New Roman" w:hAnsi="Times New Roman"/>
          <w:sz w:val="24"/>
          <w:szCs w:val="24"/>
        </w:rPr>
        <w:t xml:space="preserve"> os coeficientes estimados para essas </w:t>
      </w:r>
      <w:r w:rsidRPr="006F056E">
        <w:rPr>
          <w:rFonts w:ascii="Times New Roman" w:hAnsi="Times New Roman"/>
          <w:sz w:val="24"/>
          <w:szCs w:val="24"/>
        </w:rPr>
        <w:t>variá</w:t>
      </w:r>
      <w:r w:rsidR="006F056E" w:rsidRPr="006F056E">
        <w:rPr>
          <w:rFonts w:ascii="Times New Roman" w:hAnsi="Times New Roman"/>
          <w:sz w:val="24"/>
          <w:szCs w:val="24"/>
        </w:rPr>
        <w:t>veis.</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No segundo modelo, há dois efeitos a serem analisados: o efeito das variáveis que refletem as melhores condições de saneamento (“ag_nao_ceuab” e “esg_nao_ceuab”) e o efeito daquelas que refletem ausência de políticas de manejo de resíduos sólidos e drenagem de águas pluviais. Em relação às duas primeiras variáveis, a análise é complementar à realizada para o primeiro modelo, porém com sinal contrário. Espera-se que os domicílios que tenham acesso a água e esgoto e não estejam circundados por esgoto a céu aberto apresentem menor taxa de internações por DRSAI.</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As duas últimas variáveis</w:t>
      </w:r>
      <w:r w:rsidR="00005633">
        <w:rPr>
          <w:rFonts w:ascii="Times New Roman" w:hAnsi="Times New Roman"/>
          <w:sz w:val="24"/>
          <w:szCs w:val="24"/>
        </w:rPr>
        <w:t xml:space="preserve">, </w:t>
      </w:r>
      <w:r w:rsidR="00005633" w:rsidRPr="00DF0CD6">
        <w:rPr>
          <w:rFonts w:ascii="Times New Roman" w:hAnsi="Times New Roman"/>
          <w:sz w:val="24"/>
          <w:szCs w:val="24"/>
        </w:rPr>
        <w:t>o acesso ao lixo e à drenagem de águas pluviais</w:t>
      </w:r>
      <w:r w:rsidR="00005633">
        <w:rPr>
          <w:rFonts w:ascii="Times New Roman" w:hAnsi="Times New Roman"/>
          <w:sz w:val="24"/>
          <w:szCs w:val="24"/>
        </w:rPr>
        <w:t>,</w:t>
      </w:r>
      <w:r w:rsidRPr="00DF0CD6">
        <w:rPr>
          <w:rFonts w:ascii="Times New Roman" w:hAnsi="Times New Roman"/>
          <w:sz w:val="24"/>
          <w:szCs w:val="24"/>
        </w:rPr>
        <w:t xml:space="preserve"> representam dois problemas pouco estudados na literatura que trata</w:t>
      </w:r>
      <w:r w:rsidR="00005633">
        <w:rPr>
          <w:rFonts w:ascii="Times New Roman" w:hAnsi="Times New Roman"/>
          <w:sz w:val="24"/>
          <w:szCs w:val="24"/>
        </w:rPr>
        <w:t>m</w:t>
      </w:r>
      <w:r w:rsidRPr="00DF0CD6">
        <w:rPr>
          <w:rFonts w:ascii="Times New Roman" w:hAnsi="Times New Roman"/>
          <w:sz w:val="24"/>
          <w:szCs w:val="24"/>
        </w:rPr>
        <w:t xml:space="preserve"> da associação</w:t>
      </w:r>
      <w:r w:rsidR="00005633">
        <w:rPr>
          <w:rFonts w:ascii="Times New Roman" w:hAnsi="Times New Roman"/>
          <w:sz w:val="24"/>
          <w:szCs w:val="24"/>
        </w:rPr>
        <w:t xml:space="preserve"> de tais</w:t>
      </w:r>
      <w:r w:rsidRPr="00DF0CD6">
        <w:rPr>
          <w:rFonts w:ascii="Times New Roman" w:hAnsi="Times New Roman"/>
          <w:sz w:val="24"/>
          <w:szCs w:val="24"/>
        </w:rPr>
        <w:t xml:space="preserve"> variáveis com</w:t>
      </w:r>
      <w:r w:rsidR="00005633">
        <w:rPr>
          <w:rFonts w:ascii="Times New Roman" w:hAnsi="Times New Roman"/>
          <w:sz w:val="24"/>
          <w:szCs w:val="24"/>
        </w:rPr>
        <w:t xml:space="preserve"> melhores</w:t>
      </w:r>
      <w:r w:rsidRPr="00DF0CD6">
        <w:rPr>
          <w:rFonts w:ascii="Times New Roman" w:hAnsi="Times New Roman"/>
          <w:sz w:val="24"/>
          <w:szCs w:val="24"/>
        </w:rPr>
        <w:t xml:space="preserve"> indicadores d</w:t>
      </w:r>
      <w:r w:rsidR="00C6307C">
        <w:rPr>
          <w:rFonts w:ascii="Times New Roman" w:hAnsi="Times New Roman"/>
          <w:sz w:val="24"/>
          <w:szCs w:val="24"/>
        </w:rPr>
        <w:t>e saúde</w:t>
      </w:r>
      <w:r w:rsidR="0025590A">
        <w:rPr>
          <w:rStyle w:val="Refdenotaderodap"/>
          <w:rFonts w:ascii="Times New Roman" w:hAnsi="Times New Roman"/>
          <w:sz w:val="24"/>
          <w:szCs w:val="24"/>
        </w:rPr>
        <w:footnoteReference w:id="9"/>
      </w:r>
      <w:r w:rsidRPr="00DF0CD6">
        <w:rPr>
          <w:rFonts w:ascii="Times New Roman" w:hAnsi="Times New Roman"/>
          <w:sz w:val="24"/>
          <w:szCs w:val="24"/>
        </w:rPr>
        <w:t>.</w:t>
      </w:r>
      <w:r w:rsidR="0025590A">
        <w:rPr>
          <w:rFonts w:ascii="Times New Roman" w:hAnsi="Times New Roman"/>
          <w:sz w:val="24"/>
          <w:szCs w:val="24"/>
        </w:rPr>
        <w:t xml:space="preserve"> </w:t>
      </w:r>
      <w:r w:rsidRPr="00DF0CD6">
        <w:rPr>
          <w:rFonts w:ascii="Times New Roman" w:hAnsi="Times New Roman"/>
          <w:sz w:val="24"/>
          <w:szCs w:val="24"/>
        </w:rPr>
        <w:t>Em relação aos efeitos espaciais, as hipóteses estabelecidas ness</w:t>
      </w:r>
      <w:r w:rsidR="00870F77">
        <w:rPr>
          <w:rFonts w:ascii="Times New Roman" w:hAnsi="Times New Roman"/>
          <w:sz w:val="24"/>
          <w:szCs w:val="24"/>
        </w:rPr>
        <w:t>e estudo</w:t>
      </w:r>
      <w:r w:rsidR="00005633">
        <w:rPr>
          <w:rFonts w:ascii="Times New Roman" w:hAnsi="Times New Roman"/>
          <w:sz w:val="24"/>
          <w:szCs w:val="24"/>
        </w:rPr>
        <w:t xml:space="preserve"> são</w:t>
      </w:r>
      <w:r w:rsidRPr="00DF0CD6">
        <w:rPr>
          <w:rFonts w:ascii="Times New Roman" w:hAnsi="Times New Roman"/>
          <w:sz w:val="24"/>
          <w:szCs w:val="24"/>
        </w:rPr>
        <w:t>:</w:t>
      </w:r>
    </w:p>
    <w:p w:rsidR="004512C8" w:rsidRPr="00DF0CD6" w:rsidRDefault="004512C8" w:rsidP="004512C8">
      <w:pPr>
        <w:spacing w:after="0" w:line="240" w:lineRule="auto"/>
        <w:jc w:val="both"/>
        <w:rPr>
          <w:rFonts w:ascii="Times New Roman" w:eastAsiaTheme="minorEastAsia" w:hAnsi="Times New Roman"/>
          <w:sz w:val="24"/>
          <w:szCs w:val="24"/>
        </w:rPr>
      </w:pPr>
      <w:r w:rsidRPr="00DF0CD6">
        <w:rPr>
          <w:rFonts w:ascii="Times New Roman" w:eastAsiaTheme="minorEastAsia" w:hAnsi="Times New Roman"/>
          <w:sz w:val="24"/>
          <w:szCs w:val="24"/>
        </w:rPr>
        <w:t xml:space="preserve">(3.12)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ρ≠0 e λ=0</m:t>
        </m:r>
      </m:oMath>
    </w:p>
    <w:p w:rsidR="004512C8" w:rsidRPr="00DF0CD6" w:rsidRDefault="004512C8" w:rsidP="004512C8">
      <w:pPr>
        <w:spacing w:after="0" w:line="240" w:lineRule="auto"/>
        <w:jc w:val="both"/>
        <w:rPr>
          <w:rFonts w:ascii="Times New Roman" w:eastAsiaTheme="minorEastAsia" w:hAnsi="Times New Roman"/>
          <w:sz w:val="24"/>
          <w:szCs w:val="24"/>
        </w:rPr>
      </w:pPr>
      <w:r w:rsidRPr="00DF0CD6">
        <w:rPr>
          <w:rFonts w:ascii="Times New Roman" w:eastAsiaTheme="minorEastAsia" w:hAnsi="Times New Roman"/>
          <w:sz w:val="24"/>
          <w:szCs w:val="24"/>
        </w:rPr>
        <w:t xml:space="preserve">(3.13)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θ≠0</m:t>
        </m:r>
        <m:r>
          <w:rPr>
            <w:rFonts w:ascii="Cambria Math" w:eastAsiaTheme="minorEastAsia" w:hAnsi="Cambria Math"/>
            <w:sz w:val="24"/>
            <w:szCs w:val="24"/>
          </w:rPr>
          <m:t xml:space="preserve"> </m:t>
        </m:r>
      </m:oMath>
    </w:p>
    <w:p w:rsidR="004512C8" w:rsidRPr="00DF0CD6" w:rsidRDefault="004512C8" w:rsidP="004512C8">
      <w:pPr>
        <w:spacing w:after="0" w:line="240" w:lineRule="auto"/>
        <w:jc w:val="both"/>
        <w:rPr>
          <w:rFonts w:ascii="Times New Roman" w:eastAsiaTheme="minorEastAsia" w:hAnsi="Times New Roman"/>
          <w:sz w:val="24"/>
          <w:szCs w:val="24"/>
        </w:rPr>
      </w:pPr>
      <w:r w:rsidRPr="00DF0CD6">
        <w:rPr>
          <w:rFonts w:ascii="Times New Roman" w:eastAsiaTheme="minorEastAsia" w:hAnsi="Times New Roman"/>
          <w:sz w:val="24"/>
          <w:szCs w:val="24"/>
        </w:rPr>
        <w:t xml:space="preserve">(3.14)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λ≠0</m:t>
        </m:r>
        <m:r>
          <w:rPr>
            <w:rFonts w:ascii="Cambria Math" w:eastAsiaTheme="minorEastAsia" w:hAnsi="Cambria Math"/>
            <w:sz w:val="24"/>
            <w:szCs w:val="24"/>
          </w:rPr>
          <m:t xml:space="preserve"> e </m:t>
        </m:r>
        <m:r>
          <w:rPr>
            <w:rFonts w:ascii="Cambria Math" w:hAnsi="Cambria Math"/>
            <w:sz w:val="24"/>
            <w:szCs w:val="24"/>
          </w:rPr>
          <m:t>ρ=0</m:t>
        </m:r>
      </m:oMath>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 xml:space="preserve">O primeiro deles, expresso na equação </w:t>
      </w:r>
      <w:r w:rsidR="00DF0CD6" w:rsidRPr="00DF0CD6">
        <w:rPr>
          <w:rFonts w:ascii="Times New Roman" w:hAnsi="Times New Roman"/>
          <w:sz w:val="24"/>
          <w:szCs w:val="24"/>
        </w:rPr>
        <w:t>3.12</w:t>
      </w:r>
      <w:r w:rsidRPr="00DF0CD6">
        <w:rPr>
          <w:rFonts w:ascii="Times New Roman" w:hAnsi="Times New Roman"/>
          <w:sz w:val="24"/>
          <w:szCs w:val="24"/>
        </w:rPr>
        <w:t xml:space="preserve">, refere-se ao efeito transbordamento, associado à taxa de incidência de internações por DRSAI de um distrito. A própria definição de tais doenças, infectocontagiosas, pressupõe a possibilidade de existir interações endógenas entre diferentes distritos. Uma dessas interações pode ocorrer por meio do deslocamento do inseto de um distrito a outro. Os insetos são considerados como vetores mecânicos que carregam uma diversidade de microrganismos transmissores e podem invadir áreas habitadas próximas e transmitir doenças. A outra forma de interação entre os distritos é via água contaminada dos rios e mares que atravessam diversas localidades. Em geral, a transmissão dos agentes patogênicos que causam as DRSAI ocorre pela ingestão de água contaminada por fezes, urina ou vômitos de doente ou portador. </w:t>
      </w:r>
    </w:p>
    <w:p w:rsidR="004512C8" w:rsidRPr="003A214C"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lastRenderedPageBreak/>
        <w:t>Outro feito espacial que será considera</w:t>
      </w:r>
      <w:r w:rsidR="00DF0CD6" w:rsidRPr="00DF0CD6">
        <w:rPr>
          <w:rFonts w:ascii="Times New Roman" w:hAnsi="Times New Roman"/>
          <w:sz w:val="24"/>
          <w:szCs w:val="24"/>
        </w:rPr>
        <w:t>do é o representado na equação 3.13</w:t>
      </w:r>
      <w:r w:rsidRPr="00DF0CD6">
        <w:rPr>
          <w:rFonts w:ascii="Times New Roman" w:hAnsi="Times New Roman"/>
          <w:sz w:val="24"/>
          <w:szCs w:val="24"/>
        </w:rPr>
        <w:t xml:space="preserve">. A contribuição para a incidência das internações por DRSAI </w:t>
      </w:r>
      <w:r w:rsidRPr="003A214C">
        <w:rPr>
          <w:rFonts w:ascii="Times New Roman" w:hAnsi="Times New Roman"/>
          <w:sz w:val="24"/>
          <w:szCs w:val="24"/>
        </w:rPr>
        <w:t xml:space="preserve">de um determinado distrito pode estar associada à infraestrutura de saneamento básico do distrito vizinho. Natal </w:t>
      </w:r>
      <w:r w:rsidRPr="003A214C">
        <w:rPr>
          <w:rFonts w:ascii="Times New Roman" w:hAnsi="Times New Roman"/>
          <w:i/>
          <w:sz w:val="24"/>
          <w:szCs w:val="24"/>
        </w:rPr>
        <w:t>et al.</w:t>
      </w:r>
      <w:r w:rsidRPr="003A214C">
        <w:rPr>
          <w:rFonts w:ascii="Times New Roman" w:hAnsi="Times New Roman"/>
          <w:sz w:val="24"/>
          <w:szCs w:val="24"/>
        </w:rPr>
        <w:t xml:space="preserve"> (2005) defendem que, do ponto de vista ecológico, a cidade não está isolada e tanto pode importar materiais e alimentos como pode devolver seus resíduos para as áreas vizinhas.</w:t>
      </w:r>
    </w:p>
    <w:p w:rsidR="004512C8" w:rsidRPr="00DF0CD6" w:rsidRDefault="004512C8" w:rsidP="004512C8">
      <w:pPr>
        <w:spacing w:after="0" w:line="240" w:lineRule="auto"/>
        <w:jc w:val="both"/>
        <w:rPr>
          <w:rFonts w:ascii="Times New Roman" w:hAnsi="Times New Roman"/>
          <w:sz w:val="24"/>
          <w:szCs w:val="24"/>
        </w:rPr>
      </w:pPr>
      <w:r w:rsidRPr="003A214C">
        <w:rPr>
          <w:rFonts w:ascii="Times New Roman" w:hAnsi="Times New Roman"/>
          <w:sz w:val="24"/>
          <w:szCs w:val="24"/>
        </w:rPr>
        <w:t>O terceiro efeito espacial possível, que também será testado neste estudo, é a presença da h</w:t>
      </w:r>
      <w:r w:rsidR="00C6307C" w:rsidRPr="003A214C">
        <w:rPr>
          <w:rFonts w:ascii="Times New Roman" w:hAnsi="Times New Roman"/>
          <w:sz w:val="24"/>
          <w:szCs w:val="24"/>
        </w:rPr>
        <w:t xml:space="preserve">eterogeneidade espacial, </w:t>
      </w:r>
      <w:r w:rsidRPr="003A214C">
        <w:rPr>
          <w:rFonts w:ascii="Times New Roman" w:hAnsi="Times New Roman"/>
          <w:sz w:val="24"/>
          <w:szCs w:val="24"/>
        </w:rPr>
        <w:t xml:space="preserve">equação </w:t>
      </w:r>
      <w:r w:rsidR="00DF0CD6" w:rsidRPr="003A214C">
        <w:rPr>
          <w:rFonts w:ascii="Times New Roman" w:hAnsi="Times New Roman"/>
          <w:sz w:val="24"/>
          <w:szCs w:val="24"/>
        </w:rPr>
        <w:t>3.14</w:t>
      </w:r>
      <w:r w:rsidRPr="003A214C">
        <w:rPr>
          <w:rFonts w:ascii="Times New Roman" w:hAnsi="Times New Roman"/>
          <w:sz w:val="24"/>
          <w:szCs w:val="24"/>
        </w:rPr>
        <w:t>. De acordo com Golgher (2015), regiões próximas tendem a ter características similares, o que pode ser causado por externalidades ou podem representar um equilíbrio de longo prazo devido a fatores históricos em comum ocorridos no desenvolvimento</w:t>
      </w:r>
      <w:r w:rsidRPr="00DF0CD6">
        <w:rPr>
          <w:rFonts w:ascii="Times New Roman" w:hAnsi="Times New Roman"/>
          <w:sz w:val="24"/>
          <w:szCs w:val="24"/>
        </w:rPr>
        <w:t xml:space="preserve"> das localidades. Ou seja, a heterogeneidade espacial é relacionada com a estabilidade observada no espaço com relação a variáveis que apresentam estrutura espacial desigual, fato observado em diversos dos indicadores socioeconômicos.</w:t>
      </w:r>
    </w:p>
    <w:p w:rsidR="004512C8" w:rsidRPr="00DF0CD6" w:rsidRDefault="004512C8" w:rsidP="004512C8">
      <w:pPr>
        <w:spacing w:after="0" w:line="240" w:lineRule="auto"/>
        <w:jc w:val="both"/>
        <w:rPr>
          <w:rFonts w:ascii="Times New Roman" w:hAnsi="Times New Roman"/>
          <w:sz w:val="24"/>
          <w:szCs w:val="24"/>
        </w:rPr>
      </w:pPr>
      <w:r w:rsidRPr="00DF0CD6">
        <w:rPr>
          <w:rFonts w:ascii="Times New Roman" w:hAnsi="Times New Roman"/>
          <w:sz w:val="24"/>
          <w:szCs w:val="24"/>
        </w:rPr>
        <w:t>A situação acima descrita pode se aplicar ao setor de saneamento, pois as empresas (públicas ou privadas) que oferecem os serviços à população atuam em diversos municípios, com diferentes níveis de eficiência</w:t>
      </w:r>
      <w:r w:rsidR="009D3728">
        <w:rPr>
          <w:rFonts w:ascii="Times New Roman" w:hAnsi="Times New Roman"/>
          <w:sz w:val="24"/>
          <w:szCs w:val="24"/>
        </w:rPr>
        <w:t xml:space="preserve"> e abrangências geográficas</w:t>
      </w:r>
      <w:r w:rsidRPr="00DF0CD6">
        <w:rPr>
          <w:rFonts w:ascii="Times New Roman" w:hAnsi="Times New Roman"/>
          <w:sz w:val="24"/>
          <w:szCs w:val="24"/>
        </w:rPr>
        <w:t>, o que pode fazer com que desigualdades estruturais se propaguem e afetem tanto os indicadores de acesso e, consequentemente, as taxas de internações por DRSAI.</w:t>
      </w:r>
    </w:p>
    <w:p w:rsidR="004512C8" w:rsidRDefault="004512C8" w:rsidP="004512C8">
      <w:pPr>
        <w:pStyle w:val="PargrafodaLista"/>
        <w:spacing w:after="0" w:line="240" w:lineRule="auto"/>
        <w:ind w:left="0"/>
        <w:jc w:val="both"/>
        <w:rPr>
          <w:rFonts w:ascii="Times New Roman" w:hAnsi="Times New Roman"/>
          <w:sz w:val="24"/>
          <w:szCs w:val="24"/>
        </w:rPr>
      </w:pPr>
    </w:p>
    <w:p w:rsidR="004B0A05" w:rsidRPr="005D4236" w:rsidRDefault="0036669E" w:rsidP="00C548FE">
      <w:pPr>
        <w:pStyle w:val="PargrafodaLista"/>
        <w:numPr>
          <w:ilvl w:val="0"/>
          <w:numId w:val="2"/>
        </w:numPr>
        <w:spacing w:after="0" w:line="240" w:lineRule="auto"/>
        <w:ind w:left="0" w:firstLine="0"/>
        <w:jc w:val="both"/>
        <w:rPr>
          <w:rFonts w:ascii="Times New Roman" w:hAnsi="Times New Roman"/>
          <w:b/>
          <w:sz w:val="24"/>
          <w:szCs w:val="24"/>
        </w:rPr>
      </w:pPr>
      <w:r w:rsidRPr="005D4236">
        <w:rPr>
          <w:rFonts w:ascii="Times New Roman" w:hAnsi="Times New Roman"/>
          <w:b/>
          <w:sz w:val="24"/>
          <w:szCs w:val="24"/>
        </w:rPr>
        <w:t>Resultados</w:t>
      </w:r>
    </w:p>
    <w:p w:rsidR="008D7B11" w:rsidRDefault="008D7B11" w:rsidP="009D5CB2">
      <w:pPr>
        <w:spacing w:after="0" w:line="240" w:lineRule="auto"/>
        <w:jc w:val="both"/>
        <w:rPr>
          <w:rFonts w:ascii="Times New Roman" w:hAnsi="Times New Roman"/>
          <w:sz w:val="24"/>
          <w:szCs w:val="24"/>
        </w:rPr>
      </w:pPr>
      <w:r>
        <w:rPr>
          <w:rFonts w:ascii="Times New Roman" w:hAnsi="Times New Roman"/>
          <w:sz w:val="24"/>
          <w:szCs w:val="24"/>
        </w:rPr>
        <w:t>Os testes LM foram</w:t>
      </w:r>
      <w:r w:rsidR="009D5CB2" w:rsidRPr="009D5CB2">
        <w:rPr>
          <w:rFonts w:ascii="Times New Roman" w:hAnsi="Times New Roman"/>
          <w:sz w:val="24"/>
          <w:szCs w:val="24"/>
        </w:rPr>
        <w:t xml:space="preserve"> importantes para nortear</w:t>
      </w:r>
      <w:r>
        <w:rPr>
          <w:rFonts w:ascii="Times New Roman" w:hAnsi="Times New Roman"/>
          <w:sz w:val="24"/>
          <w:szCs w:val="24"/>
        </w:rPr>
        <w:t xml:space="preserve"> a escolha do melhor modelo e para </w:t>
      </w:r>
      <w:r w:rsidR="009D5CB2" w:rsidRPr="009D5CB2">
        <w:rPr>
          <w:rFonts w:ascii="Times New Roman" w:hAnsi="Times New Roman"/>
          <w:sz w:val="24"/>
          <w:szCs w:val="24"/>
        </w:rPr>
        <w:t>verifica</w:t>
      </w:r>
      <w:r>
        <w:rPr>
          <w:rFonts w:ascii="Times New Roman" w:hAnsi="Times New Roman"/>
          <w:sz w:val="24"/>
          <w:szCs w:val="24"/>
        </w:rPr>
        <w:t>r</w:t>
      </w:r>
      <w:r w:rsidR="009D5CB2" w:rsidRPr="009D5CB2">
        <w:rPr>
          <w:rFonts w:ascii="Times New Roman" w:hAnsi="Times New Roman"/>
          <w:sz w:val="24"/>
          <w:szCs w:val="24"/>
        </w:rPr>
        <w:t xml:space="preserve"> se os resultados iriam variar ao se utilizar diferentes matrizes de ponderação. </w:t>
      </w:r>
      <w:r w:rsidR="005D4D5C">
        <w:rPr>
          <w:rFonts w:ascii="Times New Roman" w:hAnsi="Times New Roman"/>
          <w:sz w:val="24"/>
          <w:szCs w:val="24"/>
        </w:rPr>
        <w:t>O</w:t>
      </w:r>
      <w:r w:rsidR="009D5CB2" w:rsidRPr="009D5CB2">
        <w:rPr>
          <w:rFonts w:ascii="Times New Roman" w:hAnsi="Times New Roman"/>
          <w:sz w:val="24"/>
          <w:szCs w:val="24"/>
        </w:rPr>
        <w:t xml:space="preserve"> modelo SDM com a matriz de contiguidade se mostrou o mais adequado, na</w:t>
      </w:r>
      <w:r w:rsidR="005D4D5C">
        <w:rPr>
          <w:rFonts w:ascii="Times New Roman" w:hAnsi="Times New Roman"/>
          <w:sz w:val="24"/>
          <w:szCs w:val="24"/>
        </w:rPr>
        <w:t xml:space="preserve"> maior parte dos casos e foi escolhido</w:t>
      </w:r>
      <w:r w:rsidR="005D4D5C" w:rsidRPr="009D5CB2">
        <w:rPr>
          <w:rFonts w:ascii="Times New Roman" w:hAnsi="Times New Roman"/>
          <w:sz w:val="24"/>
          <w:szCs w:val="24"/>
        </w:rPr>
        <w:t xml:space="preserve"> para servir de comparação ao SDM Tobit.</w:t>
      </w:r>
      <w:r w:rsidR="005D4D5C">
        <w:rPr>
          <w:rFonts w:ascii="Times New Roman" w:hAnsi="Times New Roman"/>
          <w:sz w:val="24"/>
          <w:szCs w:val="24"/>
        </w:rPr>
        <w:t xml:space="preserve"> Além disso, as expectativas teóricas também justificam a escolha desse modelo.</w:t>
      </w:r>
    </w:p>
    <w:p w:rsidR="008D7B11" w:rsidRDefault="008D7B11" w:rsidP="009D5CB2">
      <w:pPr>
        <w:spacing w:after="0" w:line="240" w:lineRule="auto"/>
        <w:jc w:val="both"/>
        <w:rPr>
          <w:rFonts w:ascii="Times New Roman" w:hAnsi="Times New Roman"/>
          <w:sz w:val="24"/>
          <w:szCs w:val="24"/>
        </w:rPr>
      </w:pPr>
    </w:p>
    <w:p w:rsidR="008D7B11" w:rsidRPr="00505435" w:rsidRDefault="00505435" w:rsidP="00505435">
      <w:pPr>
        <w:spacing w:after="0" w:line="240" w:lineRule="auto"/>
        <w:jc w:val="center"/>
        <w:rPr>
          <w:rFonts w:ascii="Times New Roman" w:hAnsi="Times New Roman"/>
          <w:b/>
          <w:sz w:val="24"/>
          <w:szCs w:val="24"/>
        </w:rPr>
      </w:pPr>
      <w:r w:rsidRPr="00505435">
        <w:rPr>
          <w:rFonts w:ascii="Times New Roman" w:hAnsi="Times New Roman"/>
          <w:b/>
          <w:sz w:val="24"/>
          <w:szCs w:val="24"/>
        </w:rPr>
        <w:t>Tabela 4.1: Testes LM para o Modelo 1 e 2 – pop. de todas as idades e de 0 a 14 anos.</w:t>
      </w:r>
    </w:p>
    <w:p w:rsidR="008D7B11" w:rsidRDefault="008D7B11" w:rsidP="008D7B11">
      <w:pPr>
        <w:spacing w:after="0" w:line="240" w:lineRule="auto"/>
        <w:jc w:val="center"/>
        <w:rPr>
          <w:rFonts w:ascii="Times New Roman" w:hAnsi="Times New Roman"/>
          <w:sz w:val="24"/>
          <w:szCs w:val="24"/>
        </w:rPr>
      </w:pPr>
      <w:r w:rsidRPr="00B353BC">
        <w:rPr>
          <w:noProof/>
          <w:lang w:eastAsia="pt-BR"/>
        </w:rPr>
        <w:drawing>
          <wp:inline distT="0" distB="0" distL="0" distR="0" wp14:anchorId="104DB28D" wp14:editId="0FC787B1">
            <wp:extent cx="5609590" cy="22948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590" cy="2294890"/>
                    </a:xfrm>
                    <a:prstGeom prst="rect">
                      <a:avLst/>
                    </a:prstGeom>
                    <a:noFill/>
                    <a:ln>
                      <a:noFill/>
                    </a:ln>
                  </pic:spPr>
                </pic:pic>
              </a:graphicData>
            </a:graphic>
          </wp:inline>
        </w:drawing>
      </w:r>
    </w:p>
    <w:p w:rsidR="00505435" w:rsidRPr="00452EAE" w:rsidRDefault="00505435" w:rsidP="00505435">
      <w:pPr>
        <w:spacing w:after="0" w:line="240" w:lineRule="auto"/>
        <w:jc w:val="both"/>
        <w:rPr>
          <w:rFonts w:ascii="Times New Roman" w:hAnsi="Times New Roman"/>
          <w:sz w:val="20"/>
          <w:szCs w:val="20"/>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8D7B11" w:rsidRDefault="008D7B11" w:rsidP="009D5CB2">
      <w:pPr>
        <w:spacing w:after="0" w:line="240" w:lineRule="auto"/>
        <w:jc w:val="both"/>
        <w:rPr>
          <w:rFonts w:ascii="Times New Roman" w:hAnsi="Times New Roman"/>
          <w:sz w:val="24"/>
          <w:szCs w:val="24"/>
        </w:rPr>
      </w:pPr>
    </w:p>
    <w:p w:rsidR="005D4D5C" w:rsidRDefault="009D5CB2" w:rsidP="005D4D5C">
      <w:pPr>
        <w:pStyle w:val="PargrafodaLista"/>
        <w:spacing w:after="0" w:line="240" w:lineRule="auto"/>
        <w:ind w:left="0"/>
        <w:jc w:val="both"/>
        <w:rPr>
          <w:rFonts w:ascii="Times New Roman" w:hAnsi="Times New Roman"/>
          <w:sz w:val="24"/>
          <w:szCs w:val="24"/>
        </w:rPr>
      </w:pPr>
      <w:r w:rsidRPr="009D5CB2">
        <w:rPr>
          <w:rFonts w:ascii="Times New Roman" w:hAnsi="Times New Roman"/>
          <w:sz w:val="24"/>
          <w:szCs w:val="24"/>
        </w:rPr>
        <w:t>A estimação do S</w:t>
      </w:r>
      <w:r w:rsidR="0033125E">
        <w:rPr>
          <w:rFonts w:ascii="Times New Roman" w:hAnsi="Times New Roman"/>
          <w:sz w:val="24"/>
          <w:szCs w:val="24"/>
        </w:rPr>
        <w:t>DM Tobit foi realizada para os M</w:t>
      </w:r>
      <w:r w:rsidRPr="009D5CB2">
        <w:rPr>
          <w:rFonts w:ascii="Times New Roman" w:hAnsi="Times New Roman"/>
          <w:sz w:val="24"/>
          <w:szCs w:val="24"/>
        </w:rPr>
        <w:t>odelos 1 e 2</w:t>
      </w:r>
      <w:r w:rsidR="0033125E">
        <w:rPr>
          <w:rFonts w:ascii="Times New Roman" w:hAnsi="Times New Roman"/>
          <w:sz w:val="24"/>
          <w:szCs w:val="24"/>
        </w:rPr>
        <w:t xml:space="preserve"> e, cada um deles, considera</w:t>
      </w:r>
      <w:r w:rsidRPr="009D5CB2">
        <w:rPr>
          <w:rFonts w:ascii="Times New Roman" w:hAnsi="Times New Roman"/>
          <w:sz w:val="24"/>
          <w:szCs w:val="24"/>
        </w:rPr>
        <w:t xml:space="preserve"> as duas populações de interesse. Nas próximas tabelas, foram realizadas comparações entre o modelo MQO (sem qualquer dependência espacial), o modelo SDM (dependência espacial na forma de defasagem da variável dependente e das exógenas) e o modelo SDMT (SDM com controle dos dados censurados estimado por um Tobit Bayesiano).</w:t>
      </w:r>
      <w:r w:rsidR="0033125E">
        <w:rPr>
          <w:rFonts w:ascii="Times New Roman" w:hAnsi="Times New Roman"/>
          <w:sz w:val="24"/>
          <w:szCs w:val="24"/>
        </w:rPr>
        <w:t xml:space="preserve"> </w:t>
      </w:r>
      <w:r w:rsidR="00D324BF">
        <w:rPr>
          <w:rFonts w:ascii="Times New Roman" w:hAnsi="Times New Roman"/>
          <w:sz w:val="24"/>
          <w:szCs w:val="24"/>
        </w:rPr>
        <w:t>A Tabela 4.2</w:t>
      </w:r>
      <w:r w:rsidRPr="009D5CB2">
        <w:rPr>
          <w:rFonts w:ascii="Times New Roman" w:hAnsi="Times New Roman"/>
          <w:sz w:val="24"/>
          <w:szCs w:val="24"/>
        </w:rPr>
        <w:t xml:space="preserve"> apresenta e compara tais modelos </w:t>
      </w:r>
      <w:r>
        <w:rPr>
          <w:rFonts w:ascii="Times New Roman" w:hAnsi="Times New Roman"/>
          <w:sz w:val="24"/>
          <w:szCs w:val="24"/>
        </w:rPr>
        <w:t>para a primeira especificação (M</w:t>
      </w:r>
      <w:r w:rsidRPr="009D5CB2">
        <w:rPr>
          <w:rFonts w:ascii="Times New Roman" w:hAnsi="Times New Roman"/>
          <w:sz w:val="24"/>
          <w:szCs w:val="24"/>
        </w:rPr>
        <w:t>odelo 1), somente com variáveis inadequadas de saneamento, para a população de todas as idades.</w:t>
      </w:r>
      <w:bookmarkStart w:id="1" w:name="_Toc447147158"/>
    </w:p>
    <w:p w:rsidR="00D324BF" w:rsidRDefault="00D324BF" w:rsidP="005D4D5C">
      <w:pPr>
        <w:pStyle w:val="PargrafodaLista"/>
        <w:spacing w:after="0" w:line="240" w:lineRule="auto"/>
        <w:ind w:left="0"/>
        <w:jc w:val="both"/>
      </w:pPr>
    </w:p>
    <w:p w:rsidR="003A214C" w:rsidRDefault="003A214C" w:rsidP="005D4D5C">
      <w:pPr>
        <w:pStyle w:val="PargrafodaLista"/>
        <w:spacing w:after="0" w:line="240" w:lineRule="auto"/>
        <w:ind w:left="0"/>
        <w:jc w:val="both"/>
      </w:pPr>
    </w:p>
    <w:p w:rsidR="003A214C" w:rsidRDefault="003A214C" w:rsidP="005D4D5C">
      <w:pPr>
        <w:pStyle w:val="PargrafodaLista"/>
        <w:spacing w:after="0" w:line="240" w:lineRule="auto"/>
        <w:ind w:left="0"/>
        <w:jc w:val="both"/>
      </w:pPr>
    </w:p>
    <w:p w:rsidR="003A214C" w:rsidRDefault="003A214C" w:rsidP="005D4D5C">
      <w:pPr>
        <w:pStyle w:val="PargrafodaLista"/>
        <w:spacing w:after="0" w:line="240" w:lineRule="auto"/>
        <w:ind w:left="0"/>
        <w:jc w:val="both"/>
      </w:pPr>
    </w:p>
    <w:p w:rsidR="009D5CB2" w:rsidRPr="00E6445E" w:rsidRDefault="009D5CB2" w:rsidP="009D5CB2">
      <w:pPr>
        <w:pStyle w:val="Tabela"/>
      </w:pPr>
      <w:r>
        <w:lastRenderedPageBreak/>
        <w:t xml:space="preserve">Tabela </w:t>
      </w:r>
      <w:r w:rsidR="002B2542">
        <w:t>4</w:t>
      </w:r>
      <w:r w:rsidR="00D324BF">
        <w:t>.2</w:t>
      </w:r>
      <w:r w:rsidR="005623D1">
        <w:t xml:space="preserve">: </w:t>
      </w:r>
      <w:r w:rsidRPr="00F80CA5">
        <w:t>MQO, SDM e SDMT</w:t>
      </w:r>
      <w:r w:rsidR="005623D1">
        <w:t xml:space="preserve"> - </w:t>
      </w:r>
      <w:r w:rsidR="002B2542">
        <w:t>Pop. de t</w:t>
      </w:r>
      <w:r>
        <w:t>odas as idades</w:t>
      </w:r>
      <w:r w:rsidR="005623D1">
        <w:t xml:space="preserve"> e de 0 a 14 anos</w:t>
      </w:r>
      <w:bookmarkEnd w:id="1"/>
      <w:r w:rsidR="005623D1">
        <w:t xml:space="preserve"> do Modelo 1</w:t>
      </w:r>
    </w:p>
    <w:p w:rsidR="009D5CB2" w:rsidRDefault="005623D1" w:rsidP="0015233B">
      <w:pPr>
        <w:spacing w:after="0" w:line="240" w:lineRule="auto"/>
        <w:jc w:val="center"/>
        <w:rPr>
          <w:rFonts w:eastAsiaTheme="minorEastAsia"/>
          <w:szCs w:val="24"/>
        </w:rPr>
      </w:pPr>
      <w:r w:rsidRPr="005623D1">
        <w:rPr>
          <w:noProof/>
          <w:lang w:eastAsia="pt-BR"/>
        </w:rPr>
        <w:drawing>
          <wp:inline distT="0" distB="0" distL="0" distR="0">
            <wp:extent cx="5345430" cy="4958715"/>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5430" cy="4958715"/>
                    </a:xfrm>
                    <a:prstGeom prst="rect">
                      <a:avLst/>
                    </a:prstGeom>
                    <a:noFill/>
                    <a:ln>
                      <a:noFill/>
                    </a:ln>
                  </pic:spPr>
                </pic:pic>
              </a:graphicData>
            </a:graphic>
          </wp:inline>
        </w:drawing>
      </w:r>
    </w:p>
    <w:p w:rsidR="0015233B" w:rsidRPr="00452EAE" w:rsidRDefault="0015233B" w:rsidP="0015233B">
      <w:pPr>
        <w:spacing w:after="0" w:line="240" w:lineRule="auto"/>
        <w:rPr>
          <w:rFonts w:ascii="Times New Roman" w:eastAsiaTheme="minorEastAsia" w:hAnsi="Times New Roman"/>
          <w:sz w:val="20"/>
          <w:szCs w:val="20"/>
        </w:rPr>
      </w:pPr>
      <w:r w:rsidRPr="00452EAE">
        <w:rPr>
          <w:rFonts w:ascii="Times New Roman" w:eastAsiaTheme="minorEastAsia" w:hAnsi="Times New Roman"/>
          <w:sz w:val="20"/>
          <w:szCs w:val="20"/>
        </w:rPr>
        <w:t xml:space="preserve">            ***Significante a 1%; **Significante a 5%; *Significante a 10%. </w:t>
      </w:r>
    </w:p>
    <w:p w:rsidR="00452EAE" w:rsidRPr="00452EAE" w:rsidRDefault="00452EAE" w:rsidP="00452EAE">
      <w:pPr>
        <w:spacing w:after="0" w:line="240" w:lineRule="auto"/>
        <w:jc w:val="both"/>
        <w:rPr>
          <w:rFonts w:ascii="Times New Roman" w:hAnsi="Times New Roman"/>
          <w:sz w:val="20"/>
          <w:szCs w:val="20"/>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8D7B11" w:rsidRDefault="008D7B11" w:rsidP="005623D1">
      <w:pPr>
        <w:pStyle w:val="PargrafodaLista"/>
        <w:spacing w:after="0" w:line="240" w:lineRule="auto"/>
        <w:ind w:left="0"/>
        <w:jc w:val="both"/>
        <w:rPr>
          <w:rFonts w:ascii="Times New Roman" w:hAnsi="Times New Roman"/>
          <w:sz w:val="24"/>
          <w:szCs w:val="24"/>
        </w:rPr>
      </w:pPr>
    </w:p>
    <w:p w:rsidR="000D188C" w:rsidRDefault="009D5CB2" w:rsidP="005623D1">
      <w:pPr>
        <w:pStyle w:val="PargrafodaLista"/>
        <w:spacing w:after="0" w:line="240" w:lineRule="auto"/>
        <w:ind w:left="0"/>
        <w:jc w:val="both"/>
        <w:rPr>
          <w:rFonts w:eastAsiaTheme="minorEastAsia"/>
          <w:szCs w:val="24"/>
        </w:rPr>
      </w:pPr>
      <w:r w:rsidRPr="009D5CB2">
        <w:rPr>
          <w:rFonts w:ascii="Times New Roman" w:hAnsi="Times New Roman"/>
          <w:sz w:val="24"/>
          <w:szCs w:val="24"/>
        </w:rPr>
        <w:t>A análise da comparação entre modelos SDM e SDMT</w:t>
      </w:r>
      <w:r w:rsidR="005623D1">
        <w:rPr>
          <w:rFonts w:ascii="Times New Roman" w:hAnsi="Times New Roman"/>
          <w:sz w:val="24"/>
          <w:szCs w:val="24"/>
        </w:rPr>
        <w:t>, para a população de todas as idades,</w:t>
      </w:r>
      <w:r w:rsidRPr="009D5CB2">
        <w:rPr>
          <w:rFonts w:ascii="Times New Roman" w:hAnsi="Times New Roman"/>
          <w:sz w:val="24"/>
          <w:szCs w:val="24"/>
        </w:rPr>
        <w:t xml:space="preserve"> mostra que o sinal e a significância da maior parte dos coeficientes se mantiveram, com exceção da variável </w:t>
      </w:r>
      <w:r w:rsidRPr="0033125E">
        <w:rPr>
          <w:rFonts w:ascii="Times New Roman" w:hAnsi="Times New Roman"/>
          <w:i/>
          <w:sz w:val="24"/>
          <w:szCs w:val="24"/>
        </w:rPr>
        <w:t>dfrud</w:t>
      </w:r>
      <w:r w:rsidRPr="009D5CB2">
        <w:rPr>
          <w:rFonts w:ascii="Times New Roman" w:hAnsi="Times New Roman"/>
          <w:sz w:val="24"/>
          <w:szCs w:val="24"/>
        </w:rPr>
        <w:t xml:space="preserve">, que não foi significante no coeficiente representativo do efeito direto, mas o foi em relação à variável defasada. O contrário se evidencia no modelo SDM para essa variável: o coeficiente da variável não defasada foi significativo, mas o da defasada não. A magnitude dos coeficientes se alteraram em todos os casos. Ou seja, as primeiras estimações, sem o controle dos zeros, estão subestimando o efeito do saneamento sobre a saúde. Segundo LeSage e Pace (2009), as estimativas de um modelo com dependência espacial na forma de defasagem tendem a ter os coeficientes subestimados pela existência de um viés para baixo quando não se faz o controle da </w:t>
      </w:r>
      <w:r>
        <w:rPr>
          <w:rFonts w:ascii="Times New Roman" w:hAnsi="Times New Roman"/>
          <w:sz w:val="24"/>
          <w:szCs w:val="24"/>
        </w:rPr>
        <w:t>censura dos dados.</w:t>
      </w: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 xml:space="preserve">A mesma conclusão obtida anteriormente pode ser aplicada à análise dos dados </w:t>
      </w:r>
      <w:r w:rsidR="005623D1" w:rsidRPr="009D5CB2">
        <w:rPr>
          <w:rFonts w:ascii="Times New Roman" w:hAnsi="Times New Roman"/>
          <w:sz w:val="24"/>
          <w:szCs w:val="24"/>
        </w:rPr>
        <w:t>para a população de</w:t>
      </w:r>
      <w:r w:rsidR="005623D1">
        <w:rPr>
          <w:rFonts w:ascii="Times New Roman" w:hAnsi="Times New Roman"/>
          <w:sz w:val="24"/>
          <w:szCs w:val="24"/>
        </w:rPr>
        <w:t xml:space="preserve"> 0 a 14 anos</w:t>
      </w:r>
      <w:r w:rsidRPr="000D188C">
        <w:rPr>
          <w:rFonts w:ascii="Times New Roman" w:eastAsiaTheme="minorEastAsia" w:hAnsi="Times New Roman"/>
          <w:sz w:val="24"/>
          <w:szCs w:val="24"/>
        </w:rPr>
        <w:t>. Os sinais e significância da maior parte das estimativas são mantidos, mas a magnitude das mesmas é maior para o modelo SDMT. Em geral, a população de 0 a 14 anos é mais afetada pelos efeitos deletérios da inadequada provisão dos serviços de saneamento básico.</w:t>
      </w: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O efeito de transbordamento da taxa de incidência de internações por DRSAI</w:t>
      </w:r>
      <w:r w:rsidR="0033125E">
        <w:rPr>
          <w:rFonts w:ascii="Times New Roman" w:eastAsiaTheme="minorEastAsia" w:hAnsi="Times New Roman"/>
          <w:sz w:val="24"/>
          <w:szCs w:val="24"/>
        </w:rPr>
        <w:t xml:space="preserve"> (</w:t>
      </w:r>
      <m:oMath>
        <m:r>
          <w:rPr>
            <w:rFonts w:ascii="Cambria Math" w:eastAsiaTheme="minorEastAsia" w:hAnsi="Cambria Math"/>
            <w:sz w:val="24"/>
            <w:szCs w:val="24"/>
          </w:rPr>
          <m:t>ρ</m:t>
        </m:r>
      </m:oMath>
      <w:r w:rsidR="0033125E">
        <w:rPr>
          <w:rFonts w:ascii="Times New Roman" w:eastAsiaTheme="minorEastAsia" w:hAnsi="Times New Roman"/>
          <w:sz w:val="24"/>
          <w:szCs w:val="24"/>
        </w:rPr>
        <w:t>)</w:t>
      </w:r>
      <w:r w:rsidRPr="000D188C">
        <w:rPr>
          <w:rFonts w:ascii="Times New Roman" w:eastAsiaTheme="minorEastAsia" w:hAnsi="Times New Roman"/>
          <w:sz w:val="24"/>
          <w:szCs w:val="24"/>
        </w:rPr>
        <w:t xml:space="preserve"> foi positivo e significativo com maior magnitude para o modelo SDMT</w:t>
      </w:r>
      <w:r w:rsidR="005623D1">
        <w:rPr>
          <w:rFonts w:ascii="Times New Roman" w:eastAsiaTheme="minorEastAsia" w:hAnsi="Times New Roman"/>
          <w:sz w:val="24"/>
          <w:szCs w:val="24"/>
        </w:rPr>
        <w:t xml:space="preserve"> para ambas populações</w:t>
      </w:r>
      <w:r w:rsidRPr="000D188C">
        <w:rPr>
          <w:rFonts w:ascii="Times New Roman" w:eastAsiaTheme="minorEastAsia" w:hAnsi="Times New Roman"/>
          <w:sz w:val="24"/>
          <w:szCs w:val="24"/>
        </w:rPr>
        <w:t xml:space="preserve">. Esse resultado era esperado pela própria definição de doenças infectocontagiosas e, portanto, a hipótese estabelecida na </w:t>
      </w:r>
      <w:r w:rsidR="0033125E">
        <w:rPr>
          <w:rFonts w:ascii="Times New Roman" w:eastAsiaTheme="minorEastAsia" w:hAnsi="Times New Roman"/>
          <w:sz w:val="24"/>
          <w:szCs w:val="24"/>
        </w:rPr>
        <w:t xml:space="preserve">equação 3.12 </w:t>
      </w:r>
      <w:r w:rsidRPr="000D188C">
        <w:rPr>
          <w:rFonts w:ascii="Times New Roman" w:eastAsiaTheme="minorEastAsia" w:hAnsi="Times New Roman"/>
          <w:sz w:val="24"/>
          <w:szCs w:val="24"/>
        </w:rPr>
        <w:t xml:space="preserve">foi confirmada. A transmissão dos agentes patogênicos causadores das DRSAI que pode ocorrer tanto pelo deslocamento dos insetos de um distrito para o outro quanto pela água contaminada dos rios e mares que atravessam diversas localidades, gera o efeito de </w:t>
      </w:r>
      <w:r w:rsidRPr="000D188C">
        <w:rPr>
          <w:rFonts w:ascii="Times New Roman" w:eastAsiaTheme="minorEastAsia" w:hAnsi="Times New Roman"/>
          <w:i/>
          <w:sz w:val="24"/>
          <w:szCs w:val="24"/>
        </w:rPr>
        <w:t>spillover</w:t>
      </w:r>
      <w:r w:rsidRPr="000D188C">
        <w:rPr>
          <w:rFonts w:ascii="Times New Roman" w:eastAsiaTheme="minorEastAsia" w:hAnsi="Times New Roman"/>
          <w:sz w:val="24"/>
          <w:szCs w:val="24"/>
        </w:rPr>
        <w:t xml:space="preserve"> espacial de tal forma </w:t>
      </w:r>
      <w:r w:rsidRPr="000D188C">
        <w:rPr>
          <w:rFonts w:ascii="Times New Roman" w:eastAsiaTheme="minorEastAsia" w:hAnsi="Times New Roman"/>
          <w:sz w:val="24"/>
          <w:szCs w:val="24"/>
        </w:rPr>
        <w:lastRenderedPageBreak/>
        <w:t xml:space="preserve">que a incidência de DRSAI em um determinado distrito seja influenciada pela média da taxa de incidência de DRSAI dos distritos vizinhos. Além disso, a hipótese estabelecida nessa mesma seção, e expressa </w:t>
      </w:r>
      <w:r w:rsidRPr="0033125E">
        <w:rPr>
          <w:rFonts w:ascii="Times New Roman" w:eastAsiaTheme="minorEastAsia" w:hAnsi="Times New Roman"/>
          <w:sz w:val="24"/>
          <w:szCs w:val="24"/>
        </w:rPr>
        <w:t xml:space="preserve">na equação </w:t>
      </w:r>
      <w:r w:rsidR="0033125E" w:rsidRPr="0033125E">
        <w:rPr>
          <w:rFonts w:ascii="Times New Roman" w:eastAsiaTheme="minorEastAsia" w:hAnsi="Times New Roman"/>
          <w:sz w:val="24"/>
          <w:szCs w:val="24"/>
        </w:rPr>
        <w:t>3.</w:t>
      </w:r>
      <w:r w:rsidR="0033125E">
        <w:rPr>
          <w:rFonts w:ascii="Times New Roman" w:eastAsiaTheme="minorEastAsia" w:hAnsi="Times New Roman"/>
          <w:sz w:val="24"/>
          <w:szCs w:val="24"/>
        </w:rPr>
        <w:t>13</w:t>
      </w:r>
      <w:r w:rsidRPr="000D188C">
        <w:rPr>
          <w:rFonts w:ascii="Times New Roman" w:eastAsiaTheme="minorEastAsia" w:hAnsi="Times New Roman"/>
          <w:sz w:val="24"/>
          <w:szCs w:val="24"/>
        </w:rPr>
        <w:t xml:space="preserve">, de que a defasagem do vetor de variáveis explicativas pode importar para explicar a taxa de incidência de internações por DRSAI foi confirmada. As condições de infraestrutura de saneamento básico da vizinhança de um determinado distrito são capazes de afetar essa variável, conforme o modelo Durbin prevê. De acordo com Natal </w:t>
      </w:r>
      <w:r w:rsidRPr="000D188C">
        <w:rPr>
          <w:rFonts w:ascii="Times New Roman" w:eastAsiaTheme="minorEastAsia" w:hAnsi="Times New Roman"/>
          <w:i/>
          <w:sz w:val="24"/>
          <w:szCs w:val="24"/>
        </w:rPr>
        <w:t>et al.</w:t>
      </w:r>
      <w:r w:rsidRPr="000D188C">
        <w:rPr>
          <w:rFonts w:ascii="Times New Roman" w:eastAsiaTheme="minorEastAsia" w:hAnsi="Times New Roman"/>
          <w:sz w:val="24"/>
          <w:szCs w:val="24"/>
        </w:rPr>
        <w:t xml:space="preserve"> (2005), há diversos exemplos de distritos ou municípios que lançam águas servidas sem tratamento, dejetos e outros resíduos coletados em suas regiões para fora de seus limites territoriais e que, consequentemente, atingem seus vizinhos mais próximos.</w:t>
      </w:r>
    </w:p>
    <w:p w:rsidR="000D188C" w:rsidRPr="000D188C" w:rsidRDefault="00771A4A" w:rsidP="000D188C">
      <w:pPr>
        <w:spacing w:after="0" w:line="240" w:lineRule="auto"/>
        <w:jc w:val="both"/>
        <w:rPr>
          <w:rFonts w:ascii="Times New Roman" w:eastAsiaTheme="minorEastAsia" w:hAnsi="Times New Roman"/>
          <w:sz w:val="24"/>
          <w:szCs w:val="24"/>
        </w:rPr>
      </w:pPr>
      <w:r>
        <w:rPr>
          <w:rFonts w:ascii="Times New Roman" w:eastAsiaTheme="minorEastAsia" w:hAnsi="Times New Roman"/>
          <w:sz w:val="24"/>
          <w:szCs w:val="24"/>
        </w:rPr>
        <w:t>O</w:t>
      </w:r>
      <w:r w:rsidR="000D188C" w:rsidRPr="000D188C">
        <w:rPr>
          <w:rFonts w:ascii="Times New Roman" w:eastAsiaTheme="minorEastAsia" w:hAnsi="Times New Roman"/>
          <w:sz w:val="24"/>
          <w:szCs w:val="24"/>
        </w:rPr>
        <w:t>s coeficientes de um modelo espacial não são informativos em termos de anális</w:t>
      </w:r>
      <w:r>
        <w:rPr>
          <w:rFonts w:ascii="Times New Roman" w:eastAsiaTheme="minorEastAsia" w:hAnsi="Times New Roman"/>
          <w:sz w:val="24"/>
          <w:szCs w:val="24"/>
        </w:rPr>
        <w:t>e do impacto marginal</w:t>
      </w:r>
      <w:r w:rsidR="000D188C" w:rsidRPr="000D188C">
        <w:rPr>
          <w:rFonts w:ascii="Times New Roman" w:eastAsiaTheme="minorEastAsia" w:hAnsi="Times New Roman"/>
          <w:sz w:val="24"/>
          <w:szCs w:val="24"/>
        </w:rPr>
        <w:t>.</w:t>
      </w:r>
      <w:r>
        <w:rPr>
          <w:rFonts w:ascii="Times New Roman" w:eastAsiaTheme="minorEastAsia" w:hAnsi="Times New Roman"/>
          <w:sz w:val="24"/>
          <w:szCs w:val="24"/>
        </w:rPr>
        <w:t xml:space="preserve"> Nesse sentido, o</w:t>
      </w:r>
      <w:r w:rsidR="000D188C" w:rsidRPr="000D188C">
        <w:rPr>
          <w:rFonts w:ascii="Times New Roman" w:eastAsiaTheme="minorEastAsia" w:hAnsi="Times New Roman"/>
          <w:sz w:val="24"/>
          <w:szCs w:val="24"/>
        </w:rPr>
        <w:t>s efeitos marginais também são</w:t>
      </w:r>
      <w:r w:rsidR="0033125E">
        <w:rPr>
          <w:rFonts w:ascii="Times New Roman" w:eastAsiaTheme="minorEastAsia" w:hAnsi="Times New Roman"/>
          <w:sz w:val="24"/>
          <w:szCs w:val="24"/>
        </w:rPr>
        <w:t xml:space="preserve"> calculados para o SDM e SDMT </w:t>
      </w:r>
      <w:r w:rsidR="000D188C" w:rsidRPr="000D188C">
        <w:rPr>
          <w:rFonts w:ascii="Times New Roman" w:eastAsiaTheme="minorEastAsia" w:hAnsi="Times New Roman"/>
          <w:sz w:val="24"/>
          <w:szCs w:val="24"/>
        </w:rPr>
        <w:t xml:space="preserve">para os dois modelos e duas populações. A Tabela </w:t>
      </w:r>
      <w:r w:rsidR="000D188C">
        <w:rPr>
          <w:rFonts w:ascii="Times New Roman" w:eastAsiaTheme="minorEastAsia" w:hAnsi="Times New Roman"/>
          <w:sz w:val="24"/>
          <w:szCs w:val="24"/>
        </w:rPr>
        <w:t>4.3</w:t>
      </w:r>
      <w:r w:rsidR="000D188C" w:rsidRPr="000D188C">
        <w:rPr>
          <w:rFonts w:ascii="Times New Roman" w:eastAsiaTheme="minorEastAsia" w:hAnsi="Times New Roman"/>
          <w:sz w:val="24"/>
          <w:szCs w:val="24"/>
        </w:rPr>
        <w:t xml:space="preserve"> apresenta os resultados dos efeitos marginais da p</w:t>
      </w:r>
      <w:r w:rsidR="000D188C">
        <w:rPr>
          <w:rFonts w:ascii="Times New Roman" w:eastAsiaTheme="minorEastAsia" w:hAnsi="Times New Roman"/>
          <w:sz w:val="24"/>
          <w:szCs w:val="24"/>
        </w:rPr>
        <w:t>opulação de todas as idades do M</w:t>
      </w:r>
      <w:r w:rsidR="000D188C" w:rsidRPr="000D188C">
        <w:rPr>
          <w:rFonts w:ascii="Times New Roman" w:eastAsiaTheme="minorEastAsia" w:hAnsi="Times New Roman"/>
          <w:sz w:val="24"/>
          <w:szCs w:val="24"/>
        </w:rPr>
        <w:t>odelo 1.</w:t>
      </w:r>
    </w:p>
    <w:p w:rsidR="000D188C" w:rsidRPr="000D188C" w:rsidRDefault="000D188C" w:rsidP="000D188C">
      <w:pPr>
        <w:spacing w:after="0" w:line="240" w:lineRule="auto"/>
        <w:jc w:val="both"/>
        <w:rPr>
          <w:rFonts w:ascii="Times New Roman" w:eastAsiaTheme="minorEastAsia" w:hAnsi="Times New Roman"/>
          <w:sz w:val="24"/>
          <w:szCs w:val="24"/>
        </w:rPr>
      </w:pPr>
    </w:p>
    <w:p w:rsidR="000D188C" w:rsidRPr="000D188C" w:rsidRDefault="000D188C" w:rsidP="000D188C">
      <w:pPr>
        <w:pStyle w:val="Tabela"/>
        <w:rPr>
          <w:rFonts w:cs="Times New Roman"/>
        </w:rPr>
      </w:pPr>
      <w:bookmarkStart w:id="2" w:name="_Toc447147160"/>
      <w:r w:rsidRPr="000D188C">
        <w:rPr>
          <w:rFonts w:cs="Times New Roman"/>
        </w:rPr>
        <w:t>Tabela</w:t>
      </w:r>
      <w:r>
        <w:rPr>
          <w:rFonts w:cs="Times New Roman"/>
        </w:rPr>
        <w:t xml:space="preserve"> 4.3</w:t>
      </w:r>
      <w:r w:rsidRPr="000D188C">
        <w:rPr>
          <w:rFonts w:cs="Times New Roman"/>
        </w:rPr>
        <w:t>: Comparação entre efeitos marginais (SDM e SDMT)</w:t>
      </w:r>
      <w:bookmarkEnd w:id="2"/>
    </w:p>
    <w:p w:rsidR="000D188C" w:rsidRPr="000D188C" w:rsidRDefault="000D188C" w:rsidP="000D188C">
      <w:pPr>
        <w:spacing w:after="0" w:line="240" w:lineRule="auto"/>
        <w:jc w:val="center"/>
        <w:rPr>
          <w:rFonts w:ascii="Times New Roman" w:eastAsiaTheme="minorEastAsia" w:hAnsi="Times New Roman"/>
          <w:sz w:val="24"/>
          <w:szCs w:val="24"/>
        </w:rPr>
      </w:pPr>
      <w:r w:rsidRPr="000D188C">
        <w:rPr>
          <w:rFonts w:ascii="Times New Roman" w:hAnsi="Times New Roman"/>
          <w:noProof/>
          <w:sz w:val="24"/>
          <w:szCs w:val="24"/>
          <w:lang w:eastAsia="pt-BR"/>
        </w:rPr>
        <w:drawing>
          <wp:inline distT="0" distB="0" distL="0" distR="0" wp14:anchorId="22964891" wp14:editId="7A6AA489">
            <wp:extent cx="5019675" cy="2486025"/>
            <wp:effectExtent l="0" t="0" r="9525" b="9525"/>
            <wp:docPr id="224" name="Imagem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486025"/>
                    </a:xfrm>
                    <a:prstGeom prst="rect">
                      <a:avLst/>
                    </a:prstGeom>
                    <a:noFill/>
                    <a:ln>
                      <a:noFill/>
                    </a:ln>
                  </pic:spPr>
                </pic:pic>
              </a:graphicData>
            </a:graphic>
          </wp:inline>
        </w:drawing>
      </w:r>
    </w:p>
    <w:p w:rsidR="000D188C" w:rsidRPr="00452EAE" w:rsidRDefault="0015233B" w:rsidP="0015233B">
      <w:pPr>
        <w:spacing w:after="0" w:line="240" w:lineRule="auto"/>
        <w:ind w:firstLine="708"/>
        <w:jc w:val="both"/>
        <w:rPr>
          <w:rFonts w:ascii="Times New Roman" w:eastAsiaTheme="minorEastAsia" w:hAnsi="Times New Roman"/>
          <w:sz w:val="20"/>
          <w:szCs w:val="20"/>
        </w:rPr>
      </w:pPr>
      <w:r>
        <w:rPr>
          <w:rFonts w:eastAsiaTheme="minorEastAsia"/>
          <w:szCs w:val="24"/>
        </w:rPr>
        <w:t xml:space="preserve">   </w:t>
      </w:r>
      <w:r w:rsidRPr="00452EAE">
        <w:rPr>
          <w:rFonts w:ascii="Times New Roman" w:eastAsiaTheme="minorEastAsia" w:hAnsi="Times New Roman"/>
          <w:sz w:val="20"/>
          <w:szCs w:val="20"/>
        </w:rPr>
        <w:t>***Significante a 1%; **Significante a 5%; *Significante a 10%.</w:t>
      </w:r>
    </w:p>
    <w:p w:rsidR="0015233B" w:rsidRDefault="00452EAE" w:rsidP="00452EAE">
      <w:pPr>
        <w:spacing w:after="0" w:line="240" w:lineRule="auto"/>
        <w:ind w:firstLine="708"/>
        <w:jc w:val="both"/>
        <w:rPr>
          <w:rFonts w:ascii="Times New Roman" w:eastAsiaTheme="minorEastAsia" w:hAnsi="Times New Roman"/>
          <w:sz w:val="24"/>
          <w:szCs w:val="24"/>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8D7B11" w:rsidRDefault="008D7B11" w:rsidP="000D188C">
      <w:pPr>
        <w:spacing w:after="0" w:line="240" w:lineRule="auto"/>
        <w:jc w:val="both"/>
        <w:rPr>
          <w:rFonts w:ascii="Times New Roman" w:eastAsiaTheme="minorEastAsia" w:hAnsi="Times New Roman"/>
          <w:sz w:val="24"/>
          <w:szCs w:val="24"/>
        </w:rPr>
      </w:pP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 xml:space="preserve">Os efeitos marginais para a população de todas as idades do modelo SDMT também apresentaram magnitudes superiores em relação ao modelo SDM. Porém, na coluna dos efeitos diretos, comparando esses dois modelos, duas das variáveis de interesse perderam significância: </w:t>
      </w:r>
      <w:r w:rsidRPr="000D188C">
        <w:rPr>
          <w:rFonts w:ascii="Times New Roman" w:eastAsiaTheme="minorEastAsia" w:hAnsi="Times New Roman"/>
          <w:i/>
          <w:sz w:val="24"/>
          <w:szCs w:val="24"/>
        </w:rPr>
        <w:t>sbceuab</w:t>
      </w:r>
      <w:r w:rsidRPr="000D188C">
        <w:rPr>
          <w:rFonts w:ascii="Times New Roman" w:eastAsiaTheme="minorEastAsia" w:hAnsi="Times New Roman"/>
          <w:sz w:val="24"/>
          <w:szCs w:val="24"/>
        </w:rPr>
        <w:t xml:space="preserve"> e </w:t>
      </w:r>
      <w:r w:rsidRPr="000D188C">
        <w:rPr>
          <w:rFonts w:ascii="Times New Roman" w:eastAsiaTheme="minorEastAsia" w:hAnsi="Times New Roman"/>
          <w:i/>
          <w:sz w:val="24"/>
          <w:szCs w:val="24"/>
        </w:rPr>
        <w:t>dfrud</w:t>
      </w:r>
      <w:r w:rsidRPr="000D188C">
        <w:rPr>
          <w:rFonts w:ascii="Times New Roman" w:eastAsiaTheme="minorEastAsia" w:hAnsi="Times New Roman"/>
          <w:sz w:val="24"/>
          <w:szCs w:val="24"/>
        </w:rPr>
        <w:t xml:space="preserve">. Apesar disso, a variável </w:t>
      </w:r>
      <w:r w:rsidRPr="000D188C">
        <w:rPr>
          <w:rFonts w:ascii="Times New Roman" w:eastAsiaTheme="minorEastAsia" w:hAnsi="Times New Roman"/>
          <w:i/>
          <w:sz w:val="24"/>
          <w:szCs w:val="24"/>
        </w:rPr>
        <w:t>dfrud</w:t>
      </w:r>
      <w:r w:rsidRPr="000D188C">
        <w:rPr>
          <w:rFonts w:ascii="Times New Roman" w:eastAsiaTheme="minorEastAsia" w:hAnsi="Times New Roman"/>
          <w:sz w:val="24"/>
          <w:szCs w:val="24"/>
        </w:rPr>
        <w:t xml:space="preserve"> foi significativa para os efeitos indiretos e, para esses mesmos efeitos, a variável </w:t>
      </w:r>
      <w:r w:rsidRPr="000D188C">
        <w:rPr>
          <w:rFonts w:ascii="Times New Roman" w:eastAsiaTheme="minorEastAsia" w:hAnsi="Times New Roman"/>
          <w:i/>
          <w:sz w:val="24"/>
          <w:szCs w:val="24"/>
        </w:rPr>
        <w:t>sbceuab</w:t>
      </w:r>
      <w:r w:rsidRPr="000D188C">
        <w:rPr>
          <w:rFonts w:ascii="Times New Roman" w:eastAsiaTheme="minorEastAsia" w:hAnsi="Times New Roman"/>
          <w:sz w:val="24"/>
          <w:szCs w:val="24"/>
        </w:rPr>
        <w:t xml:space="preserve"> manteve-se significativa</w:t>
      </w:r>
      <w:r w:rsidR="005C26E0">
        <w:rPr>
          <w:rFonts w:ascii="Times New Roman" w:eastAsiaTheme="minorEastAsia" w:hAnsi="Times New Roman"/>
          <w:sz w:val="24"/>
          <w:szCs w:val="24"/>
        </w:rPr>
        <w:t xml:space="preserve"> e</w:t>
      </w:r>
      <w:r w:rsidRPr="000D188C">
        <w:rPr>
          <w:rFonts w:ascii="Times New Roman" w:eastAsiaTheme="minorEastAsia" w:hAnsi="Times New Roman"/>
          <w:sz w:val="24"/>
          <w:szCs w:val="24"/>
        </w:rPr>
        <w:t xml:space="preserve"> com maior magnitude. A variável </w:t>
      </w:r>
      <w:r w:rsidRPr="000D188C">
        <w:rPr>
          <w:rFonts w:ascii="Times New Roman" w:eastAsiaTheme="minorEastAsia" w:hAnsi="Times New Roman"/>
          <w:i/>
          <w:sz w:val="24"/>
          <w:szCs w:val="24"/>
        </w:rPr>
        <w:t>dcist</w:t>
      </w:r>
      <w:r w:rsidRPr="000D188C">
        <w:rPr>
          <w:rFonts w:ascii="Times New Roman" w:eastAsiaTheme="minorEastAsia" w:hAnsi="Times New Roman"/>
          <w:sz w:val="24"/>
          <w:szCs w:val="24"/>
        </w:rPr>
        <w:t xml:space="preserve"> tornou-se significante nos efeitos totais, dado que no SDM não era. </w:t>
      </w:r>
    </w:p>
    <w:p w:rsidR="008D7B11" w:rsidRDefault="000D188C" w:rsidP="000D188C">
      <w:pPr>
        <w:spacing w:after="0" w:line="240" w:lineRule="auto"/>
        <w:jc w:val="both"/>
        <w:rPr>
          <w:rFonts w:ascii="Times New Roman" w:hAnsi="Times New Roman"/>
          <w:sz w:val="24"/>
          <w:szCs w:val="24"/>
        </w:rPr>
      </w:pPr>
      <w:r w:rsidRPr="000D188C">
        <w:rPr>
          <w:rFonts w:ascii="Times New Roman" w:hAnsi="Times New Roman"/>
          <w:sz w:val="24"/>
          <w:szCs w:val="24"/>
        </w:rPr>
        <w:t xml:space="preserve">Os três efeitos (direto, indireto e total) para a variável </w:t>
      </w:r>
      <w:r w:rsidRPr="000D188C">
        <w:rPr>
          <w:rFonts w:ascii="Times New Roman" w:eastAsiaTheme="minorEastAsia" w:hAnsi="Times New Roman"/>
          <w:i/>
          <w:sz w:val="24"/>
          <w:szCs w:val="24"/>
        </w:rPr>
        <w:t>sbceuab</w:t>
      </w:r>
      <w:r w:rsidRPr="000D188C">
        <w:rPr>
          <w:rFonts w:ascii="Times New Roman" w:hAnsi="Times New Roman"/>
          <w:sz w:val="24"/>
          <w:szCs w:val="24"/>
        </w:rPr>
        <w:t xml:space="preserve"> vão ao encontro ao resultado de Barreto </w:t>
      </w:r>
      <w:r w:rsidRPr="000D188C">
        <w:rPr>
          <w:rFonts w:ascii="Times New Roman" w:hAnsi="Times New Roman"/>
          <w:i/>
          <w:sz w:val="24"/>
          <w:szCs w:val="24"/>
        </w:rPr>
        <w:t>et al</w:t>
      </w:r>
      <w:r w:rsidRPr="000D188C">
        <w:rPr>
          <w:rFonts w:ascii="Times New Roman" w:hAnsi="Times New Roman"/>
          <w:sz w:val="24"/>
          <w:szCs w:val="24"/>
        </w:rPr>
        <w:t xml:space="preserve"> (2007). Os autores apontam que ter banheiro no interior do domicílio (80% dos domicílios da cidade de Salvador possuem banheiro) não explica a redução da diarreia. O aumento da cobertura de esgotamento sanitário de toda a vizinhança foi capaz de reduzir a poluição fecal do domínio público e, portanto, explicar a queda nesse indicador de morbidade. Ou seja, segundo os autores, a prevenção da transmissão da diarreia se deu principalmente na vizinhança e não no ambiente doméstico dos domicílios cujos fatores de risco apresentaram pequena importância. As contribuições do estudo de tais autores e dos resultados apresentados acima encontram-se na amplitude espacial das externalidades geradas aos vizinhos pela ausência de esgotamento sanitário. Caso esse efeito espacial não seja considerado, o impacto positivo do saneamento inadequado sobre o indicador de morbidade será subestimado.</w:t>
      </w:r>
    </w:p>
    <w:p w:rsidR="000D188C" w:rsidRPr="000D188C" w:rsidRDefault="000D188C" w:rsidP="000D188C">
      <w:pPr>
        <w:spacing w:after="0" w:line="240" w:lineRule="auto"/>
        <w:jc w:val="both"/>
        <w:rPr>
          <w:rFonts w:ascii="Times New Roman" w:hAnsi="Times New Roman"/>
          <w:sz w:val="24"/>
          <w:szCs w:val="24"/>
        </w:rPr>
      </w:pPr>
      <w:r w:rsidRPr="000D188C">
        <w:rPr>
          <w:rFonts w:ascii="Times New Roman" w:hAnsi="Times New Roman"/>
          <w:sz w:val="24"/>
          <w:szCs w:val="24"/>
        </w:rPr>
        <w:t xml:space="preserve">Além destes, outros autores tais como Bleakley (2007), Miguel e Kremer (2004), Esrey (1991), Kassouf (1994), Moraes </w:t>
      </w:r>
      <w:r w:rsidRPr="000D188C">
        <w:rPr>
          <w:rFonts w:ascii="Times New Roman" w:hAnsi="Times New Roman"/>
          <w:i/>
          <w:sz w:val="24"/>
          <w:szCs w:val="24"/>
        </w:rPr>
        <w:t>et al.</w:t>
      </w:r>
      <w:r w:rsidRPr="000D188C">
        <w:rPr>
          <w:rFonts w:ascii="Times New Roman" w:hAnsi="Times New Roman"/>
          <w:sz w:val="24"/>
          <w:szCs w:val="24"/>
        </w:rPr>
        <w:t xml:space="preserve"> (2003), defendem a relação positiva entre variáveis de saúde (na maior </w:t>
      </w:r>
      <w:r w:rsidRPr="000D188C">
        <w:rPr>
          <w:rFonts w:ascii="Times New Roman" w:hAnsi="Times New Roman"/>
          <w:sz w:val="24"/>
          <w:szCs w:val="24"/>
        </w:rPr>
        <w:lastRenderedPageBreak/>
        <w:t>parte medida pela incidência de doenças diarreicas) e o acesso aos serviços de esgotamento sanitário</w:t>
      </w:r>
      <w:r w:rsidRPr="000D188C">
        <w:rPr>
          <w:rStyle w:val="Refdenotaderodap"/>
          <w:rFonts w:ascii="Times New Roman" w:hAnsi="Times New Roman"/>
          <w:sz w:val="24"/>
          <w:szCs w:val="24"/>
        </w:rPr>
        <w:footnoteReference w:id="10"/>
      </w:r>
      <w:r w:rsidRPr="000D188C">
        <w:rPr>
          <w:rFonts w:ascii="Times New Roman" w:hAnsi="Times New Roman"/>
          <w:sz w:val="24"/>
          <w:szCs w:val="24"/>
        </w:rPr>
        <w:t>.</w:t>
      </w:r>
    </w:p>
    <w:p w:rsidR="000D188C" w:rsidRPr="000D188C" w:rsidRDefault="000D188C" w:rsidP="000D188C">
      <w:pPr>
        <w:spacing w:after="0" w:line="240" w:lineRule="auto"/>
        <w:jc w:val="both"/>
        <w:rPr>
          <w:rFonts w:ascii="Times New Roman" w:hAnsi="Times New Roman"/>
          <w:sz w:val="24"/>
          <w:szCs w:val="24"/>
        </w:rPr>
      </w:pPr>
      <w:r w:rsidRPr="000D188C">
        <w:rPr>
          <w:rFonts w:ascii="Times New Roman" w:hAnsi="Times New Roman"/>
          <w:sz w:val="24"/>
          <w:szCs w:val="24"/>
        </w:rPr>
        <w:t xml:space="preserve">O modelo teórico </w:t>
      </w:r>
      <w:r w:rsidR="0082447F">
        <w:rPr>
          <w:rFonts w:ascii="Times New Roman" w:hAnsi="Times New Roman"/>
          <w:sz w:val="24"/>
          <w:szCs w:val="24"/>
        </w:rPr>
        <w:t xml:space="preserve">da </w:t>
      </w:r>
      <w:r w:rsidRPr="000D188C">
        <w:rPr>
          <w:rFonts w:ascii="Times New Roman" w:hAnsi="Times New Roman"/>
          <w:sz w:val="24"/>
          <w:szCs w:val="24"/>
        </w:rPr>
        <w:t>seção também corrobora essa associação. Uma das variáveis que pode determinar a produção de saúde dos indivíduos é aquela relacionada ao ambiente em que o mesmo reside, ou seja, as condições de infraestrutura de saneamento básico do domicílio (</w:t>
      </w:r>
      <w:r w:rsidR="005C26E0">
        <w:rPr>
          <w:rFonts w:ascii="Times New Roman" w:hAnsi="Times New Roman"/>
          <w:sz w:val="24"/>
          <w:szCs w:val="24"/>
        </w:rPr>
        <w:t xml:space="preserve">variável </w:t>
      </w:r>
      <w:r w:rsidRPr="000D188C">
        <w:rPr>
          <w:rFonts w:ascii="Times New Roman" w:hAnsi="Times New Roman"/>
          <w:sz w:val="24"/>
          <w:szCs w:val="24"/>
        </w:rPr>
        <w:t>“</w:t>
      </w:r>
      <w:r w:rsidRPr="000D188C">
        <w:rPr>
          <w:rFonts w:ascii="Times New Roman" w:hAnsi="Times New Roman"/>
          <w:i/>
          <w:sz w:val="24"/>
          <w:szCs w:val="24"/>
        </w:rPr>
        <w:t>ST</w:t>
      </w:r>
      <w:r w:rsidRPr="000D188C">
        <w:rPr>
          <w:rFonts w:ascii="Times New Roman" w:hAnsi="Times New Roman"/>
          <w:i/>
          <w:sz w:val="24"/>
          <w:szCs w:val="24"/>
          <w:vertAlign w:val="subscript"/>
        </w:rPr>
        <w:t>i</w:t>
      </w:r>
      <w:r w:rsidRPr="000D188C">
        <w:rPr>
          <w:rFonts w:ascii="Times New Roman" w:hAnsi="Times New Roman"/>
          <w:sz w:val="24"/>
          <w:szCs w:val="24"/>
        </w:rPr>
        <w:t xml:space="preserve">”). Em relação a essa variável, a implicação do modelo é que, por ser uma variável exógena, pode melhorar ou retardar a saúde (BERNDT, 2000). No contexto dos resultados apresentados, pelo fato das variáveis de condições de saneamento desse estudo se tratarem de variáveis “adversas” para a saúde humana, </w:t>
      </w:r>
      <w:r w:rsidR="005C26E0">
        <w:rPr>
          <w:rFonts w:ascii="Times New Roman" w:hAnsi="Times New Roman"/>
          <w:sz w:val="24"/>
          <w:szCs w:val="24"/>
        </w:rPr>
        <w:t>o impacto de mudanças na</w:t>
      </w:r>
      <w:r w:rsidRPr="000D188C">
        <w:rPr>
          <w:rFonts w:ascii="Times New Roman" w:hAnsi="Times New Roman"/>
          <w:sz w:val="24"/>
          <w:szCs w:val="24"/>
        </w:rPr>
        <w:t xml:space="preserve"> eficiência marginal do investimento em saúde (EMH), </w:t>
      </w:r>
      <w:r w:rsidR="005C26E0">
        <w:rPr>
          <w:rFonts w:ascii="Times New Roman" w:hAnsi="Times New Roman"/>
          <w:sz w:val="24"/>
          <w:szCs w:val="24"/>
        </w:rPr>
        <w:t>provoca</w:t>
      </w:r>
      <w:r w:rsidRPr="000D188C">
        <w:rPr>
          <w:rFonts w:ascii="Times New Roman" w:hAnsi="Times New Roman"/>
          <w:sz w:val="24"/>
          <w:szCs w:val="24"/>
        </w:rPr>
        <w:t xml:space="preserve"> queda da quantidade ótima de capital de saúde (</w:t>
      </w:r>
      <w:r w:rsidRPr="000D188C">
        <w:rPr>
          <w:rFonts w:ascii="Times New Roman" w:hAnsi="Times New Roman"/>
          <w:i/>
          <w:sz w:val="24"/>
          <w:szCs w:val="24"/>
        </w:rPr>
        <w:t>H</w:t>
      </w:r>
      <w:r w:rsidRPr="000D188C">
        <w:rPr>
          <w:rFonts w:ascii="Times New Roman" w:hAnsi="Times New Roman"/>
          <w:i/>
          <w:sz w:val="24"/>
          <w:szCs w:val="24"/>
          <w:vertAlign w:val="subscript"/>
        </w:rPr>
        <w:t>i</w:t>
      </w:r>
      <w:r w:rsidRPr="000D188C">
        <w:rPr>
          <w:rFonts w:ascii="Times New Roman" w:hAnsi="Times New Roman"/>
          <w:i/>
          <w:sz w:val="24"/>
          <w:szCs w:val="24"/>
          <w:vertAlign w:val="superscript"/>
        </w:rPr>
        <w:t>*</w:t>
      </w:r>
      <w:r w:rsidRPr="000D188C">
        <w:rPr>
          <w:rFonts w:ascii="Times New Roman" w:hAnsi="Times New Roman"/>
          <w:sz w:val="24"/>
          <w:szCs w:val="24"/>
        </w:rPr>
        <w:t>).</w:t>
      </w: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hAnsi="Times New Roman"/>
          <w:sz w:val="24"/>
          <w:szCs w:val="24"/>
        </w:rPr>
        <w:t xml:space="preserve"> Em relação ao efeito total, a</w:t>
      </w:r>
      <w:r w:rsidRPr="000D188C">
        <w:rPr>
          <w:rFonts w:ascii="Times New Roman" w:eastAsiaTheme="minorEastAsia" w:hAnsi="Times New Roman"/>
          <w:sz w:val="24"/>
          <w:szCs w:val="24"/>
        </w:rPr>
        <w:t xml:space="preserve">lgumas variáveis de controle tornaram-se importantes para explicar a taxa de incidência de internações por DRSAI: </w:t>
      </w:r>
      <w:r w:rsidRPr="000D188C">
        <w:rPr>
          <w:rFonts w:ascii="Times New Roman" w:eastAsiaTheme="minorEastAsia" w:hAnsi="Times New Roman"/>
          <w:i/>
          <w:sz w:val="24"/>
          <w:szCs w:val="24"/>
        </w:rPr>
        <w:t>gini</w:t>
      </w:r>
      <w:r w:rsidRPr="000D188C">
        <w:rPr>
          <w:rFonts w:ascii="Times New Roman" w:eastAsiaTheme="minorEastAsia" w:hAnsi="Times New Roman"/>
          <w:sz w:val="24"/>
          <w:szCs w:val="24"/>
        </w:rPr>
        <w:t xml:space="preserve">, </w:t>
      </w:r>
      <w:r w:rsidRPr="000D188C">
        <w:rPr>
          <w:rFonts w:ascii="Times New Roman" w:eastAsiaTheme="minorEastAsia" w:hAnsi="Times New Roman"/>
          <w:i/>
          <w:sz w:val="24"/>
          <w:szCs w:val="24"/>
        </w:rPr>
        <w:t>tpopurb</w:t>
      </w:r>
      <w:r w:rsidRPr="000D188C">
        <w:rPr>
          <w:rFonts w:ascii="Times New Roman" w:eastAsiaTheme="minorEastAsia" w:hAnsi="Times New Roman"/>
          <w:sz w:val="24"/>
          <w:szCs w:val="24"/>
        </w:rPr>
        <w:t xml:space="preserve"> e </w:t>
      </w:r>
      <w:r w:rsidRPr="000D188C">
        <w:rPr>
          <w:rFonts w:ascii="Times New Roman" w:eastAsiaTheme="minorEastAsia" w:hAnsi="Times New Roman"/>
          <w:i/>
          <w:sz w:val="24"/>
          <w:szCs w:val="24"/>
        </w:rPr>
        <w:t>dummy_rm</w:t>
      </w:r>
      <w:r w:rsidRPr="000D188C">
        <w:rPr>
          <w:rFonts w:ascii="Times New Roman" w:eastAsiaTheme="minorEastAsia" w:hAnsi="Times New Roman"/>
          <w:sz w:val="24"/>
          <w:szCs w:val="24"/>
        </w:rPr>
        <w:t xml:space="preserve">. As duas primeiras </w:t>
      </w:r>
      <w:r w:rsidRPr="000D188C">
        <w:rPr>
          <w:rFonts w:ascii="Times New Roman" w:hAnsi="Times New Roman"/>
          <w:sz w:val="24"/>
          <w:szCs w:val="24"/>
        </w:rPr>
        <w:t xml:space="preserve">apresentaram coeficientes positivos e significativos e, a última, coeficiente negativo e significativo. Quanto maior o grau de urbanização do distrito em questão e dos distritos vizinhos, maior a incidência de internações por DRSAI desse distrito. A maior concentração da renda, medida pelo coeficiente Gini, leva a maior incidência de DRSAI em valores significativos e de grande magnitude. Por fim, o efeito da </w:t>
      </w:r>
      <w:r w:rsidRPr="000D188C">
        <w:rPr>
          <w:rFonts w:ascii="Times New Roman" w:hAnsi="Times New Roman"/>
          <w:i/>
          <w:sz w:val="24"/>
          <w:szCs w:val="24"/>
        </w:rPr>
        <w:t>dummy</w:t>
      </w:r>
      <w:r w:rsidRPr="000D188C">
        <w:rPr>
          <w:rFonts w:ascii="Times New Roman" w:hAnsi="Times New Roman"/>
          <w:sz w:val="24"/>
          <w:szCs w:val="24"/>
        </w:rPr>
        <w:t xml:space="preserve"> de região metropolitana se mostrou significativo e negativo, como era esperado, dado que em tais regiões a provisão dos serviços de saneamento e saúde tende a ser melhor e mais homogênea. </w:t>
      </w:r>
      <w:r w:rsidRPr="000D188C">
        <w:rPr>
          <w:rFonts w:ascii="Times New Roman" w:eastAsiaTheme="minorEastAsia" w:hAnsi="Times New Roman"/>
          <w:sz w:val="24"/>
          <w:szCs w:val="24"/>
        </w:rPr>
        <w:t xml:space="preserve">Na Tabela </w:t>
      </w:r>
      <w:r w:rsidR="0082447F">
        <w:rPr>
          <w:rFonts w:ascii="Times New Roman" w:eastAsiaTheme="minorEastAsia" w:hAnsi="Times New Roman"/>
          <w:sz w:val="24"/>
          <w:szCs w:val="24"/>
        </w:rPr>
        <w:t>4.4</w:t>
      </w:r>
      <w:r w:rsidRPr="000D188C">
        <w:rPr>
          <w:rFonts w:ascii="Times New Roman" w:eastAsiaTheme="minorEastAsia" w:hAnsi="Times New Roman"/>
          <w:sz w:val="24"/>
          <w:szCs w:val="24"/>
        </w:rPr>
        <w:t>, a mesma comparação foi repetida para a população de 0 a 14 anos de idade par</w:t>
      </w:r>
      <w:r w:rsidR="005C26E0">
        <w:rPr>
          <w:rFonts w:ascii="Times New Roman" w:eastAsiaTheme="minorEastAsia" w:hAnsi="Times New Roman"/>
          <w:sz w:val="24"/>
          <w:szCs w:val="24"/>
        </w:rPr>
        <w:t>a o mesmo M</w:t>
      </w:r>
      <w:r w:rsidRPr="000D188C">
        <w:rPr>
          <w:rFonts w:ascii="Times New Roman" w:eastAsiaTheme="minorEastAsia" w:hAnsi="Times New Roman"/>
          <w:sz w:val="24"/>
          <w:szCs w:val="24"/>
        </w:rPr>
        <w:t>odelo 1.</w:t>
      </w:r>
    </w:p>
    <w:p w:rsidR="004753FF" w:rsidRPr="000D188C" w:rsidRDefault="004753FF" w:rsidP="000D188C">
      <w:pPr>
        <w:spacing w:after="0" w:line="240" w:lineRule="auto"/>
        <w:jc w:val="both"/>
        <w:rPr>
          <w:rFonts w:ascii="Times New Roman" w:eastAsiaTheme="minorEastAsia" w:hAnsi="Times New Roman"/>
          <w:sz w:val="24"/>
          <w:szCs w:val="24"/>
        </w:rPr>
      </w:pPr>
    </w:p>
    <w:p w:rsidR="000D188C" w:rsidRPr="000D188C" w:rsidRDefault="000D188C" w:rsidP="00B7692A">
      <w:pPr>
        <w:pStyle w:val="Tabela"/>
        <w:rPr>
          <w:rFonts w:cs="Times New Roman"/>
        </w:rPr>
      </w:pPr>
      <w:bookmarkStart w:id="3" w:name="_Toc447147161"/>
      <w:r w:rsidRPr="000D188C">
        <w:rPr>
          <w:rFonts w:cs="Times New Roman"/>
        </w:rPr>
        <w:t xml:space="preserve">Tabela </w:t>
      </w:r>
      <w:r w:rsidR="00B7692A">
        <w:rPr>
          <w:rFonts w:cs="Times New Roman"/>
        </w:rPr>
        <w:t>4</w:t>
      </w:r>
      <w:r w:rsidRPr="000D188C">
        <w:rPr>
          <w:rFonts w:cs="Times New Roman"/>
        </w:rPr>
        <w:t>.</w:t>
      </w:r>
      <w:r w:rsidR="00B7692A">
        <w:rPr>
          <w:rFonts w:cs="Times New Roman"/>
        </w:rPr>
        <w:t>4</w:t>
      </w:r>
      <w:r w:rsidRPr="000D188C">
        <w:rPr>
          <w:rFonts w:cs="Times New Roman"/>
        </w:rPr>
        <w:t>: Comparação entre efeitos marginais (SDM e SDMT)</w:t>
      </w:r>
      <w:bookmarkEnd w:id="3"/>
    </w:p>
    <w:p w:rsidR="000D188C" w:rsidRPr="000D188C" w:rsidRDefault="000D188C" w:rsidP="00B7692A">
      <w:pPr>
        <w:spacing w:after="0" w:line="240" w:lineRule="auto"/>
        <w:jc w:val="center"/>
        <w:rPr>
          <w:rFonts w:ascii="Times New Roman" w:eastAsiaTheme="minorEastAsia" w:hAnsi="Times New Roman"/>
          <w:sz w:val="24"/>
          <w:szCs w:val="24"/>
        </w:rPr>
      </w:pPr>
      <w:r w:rsidRPr="000D188C">
        <w:rPr>
          <w:rFonts w:ascii="Times New Roman" w:hAnsi="Times New Roman"/>
          <w:noProof/>
          <w:sz w:val="24"/>
          <w:szCs w:val="24"/>
          <w:lang w:eastAsia="pt-BR"/>
        </w:rPr>
        <w:drawing>
          <wp:inline distT="0" distB="0" distL="0" distR="0" wp14:anchorId="68370F02" wp14:editId="2347A7A7">
            <wp:extent cx="5019675" cy="2486025"/>
            <wp:effectExtent l="0" t="0" r="9525" b="9525"/>
            <wp:docPr id="225" name="Imagem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486025"/>
                    </a:xfrm>
                    <a:prstGeom prst="rect">
                      <a:avLst/>
                    </a:prstGeom>
                    <a:noFill/>
                    <a:ln>
                      <a:noFill/>
                    </a:ln>
                  </pic:spPr>
                </pic:pic>
              </a:graphicData>
            </a:graphic>
          </wp:inline>
        </w:drawing>
      </w:r>
    </w:p>
    <w:p w:rsidR="00452EAE" w:rsidRPr="00452EAE" w:rsidRDefault="00452EAE" w:rsidP="00452EAE">
      <w:pPr>
        <w:spacing w:after="0" w:line="240" w:lineRule="auto"/>
        <w:ind w:firstLine="708"/>
        <w:jc w:val="both"/>
        <w:rPr>
          <w:rFonts w:ascii="Times New Roman" w:eastAsiaTheme="minorEastAsia" w:hAnsi="Times New Roman"/>
          <w:sz w:val="20"/>
          <w:szCs w:val="20"/>
        </w:rPr>
      </w:pPr>
      <w:r>
        <w:rPr>
          <w:rFonts w:eastAsiaTheme="minorEastAsia"/>
          <w:szCs w:val="24"/>
        </w:rPr>
        <w:t xml:space="preserve">   </w:t>
      </w:r>
      <w:r w:rsidRPr="00452EAE">
        <w:rPr>
          <w:rFonts w:ascii="Times New Roman" w:eastAsiaTheme="minorEastAsia" w:hAnsi="Times New Roman"/>
          <w:sz w:val="20"/>
          <w:szCs w:val="20"/>
        </w:rPr>
        <w:t>***Significante a 1%; **Significante a 5%; *Significante a 10%.</w:t>
      </w:r>
    </w:p>
    <w:p w:rsidR="00452EAE" w:rsidRPr="000D188C" w:rsidRDefault="00452EAE" w:rsidP="00452EAE">
      <w:pPr>
        <w:spacing w:after="0" w:line="240" w:lineRule="auto"/>
        <w:ind w:firstLine="708"/>
        <w:jc w:val="both"/>
        <w:rPr>
          <w:rFonts w:ascii="Times New Roman" w:eastAsiaTheme="minorEastAsia" w:hAnsi="Times New Roman"/>
          <w:sz w:val="24"/>
          <w:szCs w:val="24"/>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452EAE" w:rsidRDefault="00452EAE" w:rsidP="000D188C">
      <w:pPr>
        <w:spacing w:after="0" w:line="240" w:lineRule="auto"/>
        <w:jc w:val="both"/>
        <w:rPr>
          <w:rFonts w:ascii="Times New Roman" w:eastAsiaTheme="minorEastAsia" w:hAnsi="Times New Roman"/>
          <w:sz w:val="24"/>
          <w:szCs w:val="24"/>
        </w:rPr>
      </w:pP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 xml:space="preserve">A comparação dos efeitos marginais dos dois modelos (SDM e SDMT) seguiu a mesma tendência da análise dos coeficientes realizada na tabela anterior com a população de todas as idades no tocante à magnitude e significância dos coeficientes. </w:t>
      </w:r>
      <w:r w:rsidRPr="000D188C">
        <w:rPr>
          <w:rFonts w:ascii="Times New Roman" w:hAnsi="Times New Roman"/>
          <w:sz w:val="24"/>
          <w:szCs w:val="24"/>
        </w:rPr>
        <w:t>Logo, a hipótese de que a população de zero a catorze anos é mais atingida por DRSAI por estar mais sujeita às doenças infecto-parasitarias transmitidas pela água, esgoto não tratado ou pelos insetos vetores foi verificada pela magnitude dos coeficientes apresentados.</w:t>
      </w:r>
    </w:p>
    <w:p w:rsidR="004753FF" w:rsidRDefault="000D188C" w:rsidP="000D188C">
      <w:pPr>
        <w:spacing w:after="0" w:line="240" w:lineRule="auto"/>
        <w:jc w:val="both"/>
        <w:rPr>
          <w:rFonts w:ascii="Times New Roman" w:eastAsiaTheme="minorEastAsia" w:hAnsi="Times New Roman"/>
          <w:sz w:val="24"/>
          <w:szCs w:val="24"/>
        </w:rPr>
      </w:pPr>
      <w:r w:rsidRPr="000D188C">
        <w:rPr>
          <w:rFonts w:ascii="Times New Roman" w:hAnsi="Times New Roman"/>
          <w:sz w:val="24"/>
          <w:szCs w:val="24"/>
        </w:rPr>
        <w:t xml:space="preserve">Esse resultado está em consonância com o estudo de Geruso e Spears (2015) que, apesar de ser aplicado para outro país (Índia) e a variável de análise se tratar da mortalidade infantil, investigam as externalidades do esgoto a céu aberto e mostram que é mais provável que crianças muçulmanas sobrevivam até seu primeiro aniversário em comparação às crianças hindus, pois a vizinhança das </w:t>
      </w:r>
      <w:r w:rsidRPr="000D188C">
        <w:rPr>
          <w:rFonts w:ascii="Times New Roman" w:hAnsi="Times New Roman"/>
          <w:sz w:val="24"/>
          <w:szCs w:val="24"/>
        </w:rPr>
        <w:lastRenderedPageBreak/>
        <w:t>crianças muçulmanas é formada em grande parte por vizinhos muçulmanos, que são menos propensos a defecar a céu aberto</w:t>
      </w:r>
      <w:r w:rsidRPr="000D188C">
        <w:rPr>
          <w:rStyle w:val="Refdenotaderodap"/>
          <w:rFonts w:ascii="Times New Roman" w:hAnsi="Times New Roman"/>
          <w:sz w:val="24"/>
          <w:szCs w:val="24"/>
        </w:rPr>
        <w:footnoteReference w:id="11"/>
      </w:r>
      <w:r w:rsidRPr="000D188C">
        <w:rPr>
          <w:rFonts w:ascii="Times New Roman" w:hAnsi="Times New Roman"/>
          <w:sz w:val="24"/>
          <w:szCs w:val="24"/>
        </w:rPr>
        <w:t>.</w:t>
      </w:r>
      <w:r w:rsidR="006A522C">
        <w:rPr>
          <w:rFonts w:ascii="Times New Roman" w:hAnsi="Times New Roman"/>
          <w:sz w:val="24"/>
          <w:szCs w:val="24"/>
        </w:rPr>
        <w:t xml:space="preserve"> </w:t>
      </w:r>
      <w:r w:rsidR="00C20E2A">
        <w:rPr>
          <w:rFonts w:ascii="Times New Roman" w:eastAsiaTheme="minorEastAsia" w:hAnsi="Times New Roman"/>
          <w:sz w:val="24"/>
          <w:szCs w:val="24"/>
        </w:rPr>
        <w:t xml:space="preserve">A comparação dos coeficientes para o </w:t>
      </w:r>
      <w:r w:rsidR="004753FF">
        <w:rPr>
          <w:rFonts w:ascii="Times New Roman" w:eastAsiaTheme="minorEastAsia" w:hAnsi="Times New Roman"/>
          <w:sz w:val="24"/>
          <w:szCs w:val="24"/>
        </w:rPr>
        <w:t>Modelo 2 foi realizada somente para a população de 0 a 14 anos</w:t>
      </w:r>
      <w:r w:rsidR="006A522C">
        <w:rPr>
          <w:rFonts w:ascii="Times New Roman" w:eastAsiaTheme="minorEastAsia" w:hAnsi="Times New Roman"/>
          <w:sz w:val="24"/>
          <w:szCs w:val="24"/>
        </w:rPr>
        <w:t xml:space="preserve">, de acordo com a </w:t>
      </w:r>
      <w:r w:rsidR="00C20E2A" w:rsidRPr="000D188C">
        <w:rPr>
          <w:rFonts w:ascii="Times New Roman" w:eastAsiaTheme="minorEastAsia" w:hAnsi="Times New Roman"/>
          <w:sz w:val="24"/>
          <w:szCs w:val="24"/>
        </w:rPr>
        <w:t>Tabela</w:t>
      </w:r>
      <w:r w:rsidR="00C20E2A">
        <w:rPr>
          <w:rFonts w:ascii="Times New Roman" w:eastAsiaTheme="minorEastAsia" w:hAnsi="Times New Roman"/>
          <w:sz w:val="24"/>
          <w:szCs w:val="24"/>
        </w:rPr>
        <w:t xml:space="preserve"> 4.5</w:t>
      </w:r>
      <w:r w:rsidR="006A522C">
        <w:rPr>
          <w:rStyle w:val="Refdenotaderodap"/>
          <w:rFonts w:ascii="Times New Roman" w:eastAsiaTheme="minorEastAsia" w:hAnsi="Times New Roman"/>
          <w:sz w:val="24"/>
          <w:szCs w:val="24"/>
        </w:rPr>
        <w:footnoteReference w:id="12"/>
      </w:r>
      <w:r w:rsidR="006A522C">
        <w:rPr>
          <w:rFonts w:ascii="Times New Roman" w:eastAsiaTheme="minorEastAsia" w:hAnsi="Times New Roman"/>
          <w:sz w:val="24"/>
          <w:szCs w:val="24"/>
        </w:rPr>
        <w:t>.</w:t>
      </w:r>
    </w:p>
    <w:p w:rsidR="006A522C" w:rsidRPr="000D188C" w:rsidRDefault="006A522C" w:rsidP="000D188C">
      <w:pPr>
        <w:spacing w:after="0" w:line="240" w:lineRule="auto"/>
        <w:jc w:val="both"/>
        <w:rPr>
          <w:rFonts w:ascii="Times New Roman" w:hAnsi="Times New Roman"/>
          <w:sz w:val="24"/>
          <w:szCs w:val="24"/>
        </w:rPr>
      </w:pPr>
    </w:p>
    <w:p w:rsidR="000D188C" w:rsidRPr="000D188C" w:rsidRDefault="000D188C" w:rsidP="00B7692A">
      <w:pPr>
        <w:pStyle w:val="Tabela"/>
        <w:rPr>
          <w:rFonts w:cs="Times New Roman"/>
        </w:rPr>
      </w:pPr>
      <w:bookmarkStart w:id="4" w:name="_Toc447147162"/>
      <w:r w:rsidRPr="000D188C">
        <w:rPr>
          <w:rFonts w:cs="Times New Roman"/>
        </w:rPr>
        <w:t>Tabela</w:t>
      </w:r>
      <w:r w:rsidR="00B7692A">
        <w:rPr>
          <w:rFonts w:cs="Times New Roman"/>
        </w:rPr>
        <w:t xml:space="preserve"> 4.5</w:t>
      </w:r>
      <w:r w:rsidRPr="000D188C">
        <w:rPr>
          <w:rFonts w:cs="Times New Roman"/>
        </w:rPr>
        <w:t xml:space="preserve">: </w:t>
      </w:r>
      <w:bookmarkEnd w:id="4"/>
      <w:r w:rsidR="00C20E2A" w:rsidRPr="00F80CA5">
        <w:t>MQO, SDM e SDMT</w:t>
      </w:r>
      <w:r w:rsidR="00C20E2A">
        <w:t xml:space="preserve"> - Pop. de 0 a 14 anos do Modelo 2</w:t>
      </w:r>
    </w:p>
    <w:p w:rsidR="000D188C" w:rsidRPr="000D188C" w:rsidRDefault="000D188C" w:rsidP="00B7692A">
      <w:pPr>
        <w:spacing w:after="0" w:line="240" w:lineRule="auto"/>
        <w:jc w:val="center"/>
        <w:rPr>
          <w:rFonts w:ascii="Times New Roman" w:eastAsiaTheme="minorEastAsia" w:hAnsi="Times New Roman"/>
          <w:sz w:val="24"/>
          <w:szCs w:val="24"/>
        </w:rPr>
      </w:pPr>
      <w:r w:rsidRPr="000D188C">
        <w:rPr>
          <w:rFonts w:ascii="Times New Roman" w:hAnsi="Times New Roman"/>
          <w:noProof/>
          <w:sz w:val="24"/>
          <w:szCs w:val="24"/>
          <w:lang w:eastAsia="pt-BR"/>
        </w:rPr>
        <w:drawing>
          <wp:inline distT="0" distB="0" distL="0" distR="0" wp14:anchorId="0EF7890A" wp14:editId="4950F02A">
            <wp:extent cx="3200400" cy="5153025"/>
            <wp:effectExtent l="0" t="0" r="0" b="9525"/>
            <wp:docPr id="223" name="Imagem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5153025"/>
                    </a:xfrm>
                    <a:prstGeom prst="rect">
                      <a:avLst/>
                    </a:prstGeom>
                    <a:noFill/>
                    <a:ln>
                      <a:noFill/>
                    </a:ln>
                  </pic:spPr>
                </pic:pic>
              </a:graphicData>
            </a:graphic>
          </wp:inline>
        </w:drawing>
      </w:r>
    </w:p>
    <w:p w:rsidR="00452EAE" w:rsidRPr="00452EAE" w:rsidRDefault="00452EAE" w:rsidP="00452EAE">
      <w:pPr>
        <w:spacing w:after="0" w:line="240" w:lineRule="auto"/>
        <w:ind w:firstLine="708"/>
        <w:jc w:val="both"/>
        <w:rPr>
          <w:rFonts w:ascii="Times New Roman" w:eastAsiaTheme="minorEastAsia" w:hAnsi="Times New Roman"/>
          <w:sz w:val="20"/>
          <w:szCs w:val="20"/>
        </w:rPr>
      </w:pPr>
      <w:r>
        <w:rPr>
          <w:rFonts w:eastAsiaTheme="minorEastAsia"/>
          <w:szCs w:val="24"/>
        </w:rPr>
        <w:t xml:space="preserve">   </w:t>
      </w:r>
      <w:r>
        <w:rPr>
          <w:rFonts w:eastAsiaTheme="minorEastAsia"/>
          <w:szCs w:val="24"/>
        </w:rPr>
        <w:tab/>
      </w:r>
      <w:r>
        <w:rPr>
          <w:rFonts w:eastAsiaTheme="minorEastAsia"/>
          <w:szCs w:val="24"/>
        </w:rPr>
        <w:tab/>
        <w:t xml:space="preserve">   </w:t>
      </w:r>
      <w:r w:rsidRPr="00452EAE">
        <w:rPr>
          <w:rFonts w:ascii="Times New Roman" w:eastAsiaTheme="minorEastAsia" w:hAnsi="Times New Roman"/>
          <w:sz w:val="20"/>
          <w:szCs w:val="20"/>
        </w:rPr>
        <w:t>***Significante a 1%; **Significante a 5%; *Significante a 10%.</w:t>
      </w:r>
    </w:p>
    <w:p w:rsidR="00452EAE" w:rsidRDefault="00452EAE" w:rsidP="00452EAE">
      <w:pPr>
        <w:spacing w:after="0" w:line="240" w:lineRule="auto"/>
        <w:ind w:left="1416" w:firstLine="708"/>
        <w:jc w:val="both"/>
        <w:rPr>
          <w:rFonts w:ascii="Times New Roman" w:eastAsiaTheme="minorEastAsia" w:hAnsi="Times New Roman"/>
          <w:sz w:val="24"/>
          <w:szCs w:val="24"/>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452EAE" w:rsidRDefault="00452EAE" w:rsidP="000D188C">
      <w:pPr>
        <w:spacing w:after="0" w:line="240" w:lineRule="auto"/>
        <w:jc w:val="both"/>
        <w:rPr>
          <w:rFonts w:ascii="Times New Roman" w:eastAsiaTheme="minorEastAsia" w:hAnsi="Times New Roman"/>
          <w:sz w:val="24"/>
          <w:szCs w:val="24"/>
        </w:rPr>
      </w:pP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Nesse caso, não há diferenças significativas, com exceção do coeficiente de “</w:t>
      </w:r>
      <w:r w:rsidRPr="000D188C">
        <w:rPr>
          <w:rFonts w:ascii="Times New Roman" w:eastAsiaTheme="minorEastAsia" w:hAnsi="Times New Roman"/>
          <w:i/>
          <w:sz w:val="24"/>
          <w:szCs w:val="24"/>
        </w:rPr>
        <w:t>Wd_nbueiro</w:t>
      </w:r>
      <w:r w:rsidRPr="000D188C">
        <w:rPr>
          <w:rFonts w:ascii="Times New Roman" w:eastAsiaTheme="minorEastAsia" w:hAnsi="Times New Roman"/>
          <w:sz w:val="24"/>
          <w:szCs w:val="24"/>
        </w:rPr>
        <w:t>” que perdeu significância no modelo SDMT. Os efeitos marginais para essa população de 0 a 14 anos do modelo 2</w:t>
      </w:r>
      <w:r w:rsidR="00C20E2A">
        <w:rPr>
          <w:rFonts w:ascii="Times New Roman" w:eastAsiaTheme="minorEastAsia" w:hAnsi="Times New Roman"/>
          <w:sz w:val="24"/>
          <w:szCs w:val="24"/>
        </w:rPr>
        <w:t xml:space="preserve"> são apresentados na T</w:t>
      </w:r>
      <w:r w:rsidR="00B7692A">
        <w:rPr>
          <w:rFonts w:ascii="Times New Roman" w:eastAsiaTheme="minorEastAsia" w:hAnsi="Times New Roman"/>
          <w:sz w:val="24"/>
          <w:szCs w:val="24"/>
        </w:rPr>
        <w:t>abela 4.6</w:t>
      </w:r>
      <w:r w:rsidRPr="000D188C">
        <w:rPr>
          <w:rFonts w:ascii="Times New Roman" w:eastAsiaTheme="minorEastAsia" w:hAnsi="Times New Roman"/>
          <w:sz w:val="24"/>
          <w:szCs w:val="24"/>
        </w:rPr>
        <w:t xml:space="preserve">. </w:t>
      </w:r>
    </w:p>
    <w:p w:rsidR="000D188C" w:rsidRDefault="000D188C" w:rsidP="000D188C">
      <w:pPr>
        <w:spacing w:after="0" w:line="240" w:lineRule="auto"/>
        <w:jc w:val="both"/>
        <w:rPr>
          <w:rFonts w:ascii="Times New Roman" w:eastAsiaTheme="minorEastAsia" w:hAnsi="Times New Roman"/>
          <w:sz w:val="24"/>
          <w:szCs w:val="24"/>
        </w:rPr>
      </w:pPr>
    </w:p>
    <w:p w:rsidR="003A214C" w:rsidRDefault="003A214C" w:rsidP="000D188C">
      <w:pPr>
        <w:spacing w:after="0" w:line="240" w:lineRule="auto"/>
        <w:jc w:val="both"/>
        <w:rPr>
          <w:rFonts w:ascii="Times New Roman" w:eastAsiaTheme="minorEastAsia" w:hAnsi="Times New Roman"/>
          <w:sz w:val="24"/>
          <w:szCs w:val="24"/>
        </w:rPr>
      </w:pPr>
    </w:p>
    <w:p w:rsidR="003A214C" w:rsidRDefault="003A214C" w:rsidP="000D188C">
      <w:pPr>
        <w:spacing w:after="0" w:line="240" w:lineRule="auto"/>
        <w:jc w:val="both"/>
        <w:rPr>
          <w:rFonts w:ascii="Times New Roman" w:eastAsiaTheme="minorEastAsia" w:hAnsi="Times New Roman"/>
          <w:sz w:val="24"/>
          <w:szCs w:val="24"/>
        </w:rPr>
      </w:pPr>
    </w:p>
    <w:p w:rsidR="008004B4" w:rsidRDefault="008004B4" w:rsidP="000D188C">
      <w:pPr>
        <w:spacing w:after="0" w:line="240" w:lineRule="auto"/>
        <w:jc w:val="both"/>
        <w:rPr>
          <w:rFonts w:ascii="Times New Roman" w:eastAsiaTheme="minorEastAsia" w:hAnsi="Times New Roman"/>
          <w:sz w:val="24"/>
          <w:szCs w:val="24"/>
        </w:rPr>
      </w:pPr>
    </w:p>
    <w:p w:rsidR="000D188C" w:rsidRPr="000D188C" w:rsidRDefault="000D188C" w:rsidP="00B7692A">
      <w:pPr>
        <w:pStyle w:val="Tabela"/>
        <w:rPr>
          <w:rFonts w:cs="Times New Roman"/>
        </w:rPr>
      </w:pPr>
      <w:bookmarkStart w:id="5" w:name="_Toc447147163"/>
      <w:r w:rsidRPr="000D188C">
        <w:rPr>
          <w:rFonts w:cs="Times New Roman"/>
        </w:rPr>
        <w:lastRenderedPageBreak/>
        <w:t>Tabela</w:t>
      </w:r>
      <w:r w:rsidR="00B7692A">
        <w:rPr>
          <w:rFonts w:cs="Times New Roman"/>
        </w:rPr>
        <w:t xml:space="preserve"> 4</w:t>
      </w:r>
      <w:r w:rsidRPr="000D188C">
        <w:rPr>
          <w:rFonts w:cs="Times New Roman"/>
        </w:rPr>
        <w:t>.</w:t>
      </w:r>
      <w:r w:rsidR="00B7692A">
        <w:rPr>
          <w:rFonts w:cs="Times New Roman"/>
        </w:rPr>
        <w:t>6</w:t>
      </w:r>
      <w:r w:rsidRPr="000D188C">
        <w:rPr>
          <w:rFonts w:cs="Times New Roman"/>
        </w:rPr>
        <w:t>: Comparação entre efeitos marginais (SDM e SDMT)</w:t>
      </w:r>
      <w:bookmarkEnd w:id="5"/>
      <w:r w:rsidR="00C20E2A">
        <w:rPr>
          <w:rFonts w:cs="Times New Roman"/>
        </w:rPr>
        <w:t xml:space="preserve"> – Modelo 2</w:t>
      </w:r>
    </w:p>
    <w:p w:rsidR="000D188C" w:rsidRPr="000D188C" w:rsidRDefault="000D188C" w:rsidP="00B7692A">
      <w:pPr>
        <w:spacing w:after="0" w:line="240" w:lineRule="auto"/>
        <w:jc w:val="center"/>
        <w:rPr>
          <w:rFonts w:ascii="Times New Roman" w:eastAsiaTheme="minorEastAsia" w:hAnsi="Times New Roman"/>
          <w:sz w:val="24"/>
          <w:szCs w:val="24"/>
        </w:rPr>
      </w:pPr>
      <w:r w:rsidRPr="000D188C">
        <w:rPr>
          <w:rFonts w:ascii="Times New Roman" w:hAnsi="Times New Roman"/>
          <w:noProof/>
          <w:sz w:val="24"/>
          <w:szCs w:val="24"/>
          <w:lang w:eastAsia="pt-BR"/>
        </w:rPr>
        <w:drawing>
          <wp:inline distT="0" distB="0" distL="0" distR="0" wp14:anchorId="411A698D" wp14:editId="2D502E73">
            <wp:extent cx="5286375" cy="2676525"/>
            <wp:effectExtent l="0" t="0" r="9525" b="9525"/>
            <wp:docPr id="226" name="Imagem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2676525"/>
                    </a:xfrm>
                    <a:prstGeom prst="rect">
                      <a:avLst/>
                    </a:prstGeom>
                    <a:noFill/>
                    <a:ln>
                      <a:noFill/>
                    </a:ln>
                  </pic:spPr>
                </pic:pic>
              </a:graphicData>
            </a:graphic>
          </wp:inline>
        </w:drawing>
      </w:r>
    </w:p>
    <w:p w:rsidR="008F24BC" w:rsidRPr="00452EAE" w:rsidRDefault="008F24BC" w:rsidP="008F24BC">
      <w:pPr>
        <w:spacing w:after="0" w:line="240" w:lineRule="auto"/>
        <w:jc w:val="both"/>
        <w:rPr>
          <w:rFonts w:ascii="Times New Roman" w:eastAsiaTheme="minorEastAsia" w:hAnsi="Times New Roman"/>
          <w:sz w:val="20"/>
          <w:szCs w:val="20"/>
        </w:rPr>
      </w:pPr>
      <w:r>
        <w:rPr>
          <w:rFonts w:ascii="Times New Roman" w:eastAsiaTheme="minorEastAsia" w:hAnsi="Times New Roman"/>
          <w:sz w:val="20"/>
          <w:szCs w:val="20"/>
        </w:rPr>
        <w:t xml:space="preserve">            </w:t>
      </w:r>
      <w:r w:rsidRPr="00452EAE">
        <w:rPr>
          <w:rFonts w:ascii="Times New Roman" w:eastAsiaTheme="minorEastAsia" w:hAnsi="Times New Roman"/>
          <w:sz w:val="20"/>
          <w:szCs w:val="20"/>
        </w:rPr>
        <w:t>***Significante a 1%; **Significante a 5%; *Significante a 10%.</w:t>
      </w:r>
    </w:p>
    <w:p w:rsidR="008F24BC" w:rsidRDefault="008F24BC" w:rsidP="008F24BC">
      <w:pPr>
        <w:spacing w:after="0" w:line="240" w:lineRule="auto"/>
        <w:ind w:firstLine="708"/>
        <w:jc w:val="both"/>
        <w:rPr>
          <w:rFonts w:ascii="Times New Roman" w:eastAsiaTheme="minorEastAsia" w:hAnsi="Times New Roman"/>
          <w:sz w:val="24"/>
          <w:szCs w:val="24"/>
        </w:rPr>
      </w:pP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8F24BC" w:rsidRPr="000D188C" w:rsidRDefault="008F24BC" w:rsidP="000D188C">
      <w:pPr>
        <w:spacing w:after="0" w:line="240" w:lineRule="auto"/>
        <w:jc w:val="both"/>
        <w:rPr>
          <w:rFonts w:ascii="Times New Roman" w:eastAsiaTheme="minorEastAsia" w:hAnsi="Times New Roman"/>
          <w:sz w:val="24"/>
          <w:szCs w:val="24"/>
        </w:rPr>
      </w:pPr>
    </w:p>
    <w:p w:rsidR="000D188C" w:rsidRPr="003A214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 xml:space="preserve">Os efeitos das variáveis relativas à lixo e drenagem de águas pluviais passaram a ser não significantes, na estimação do SDMT. Os resultados do modelo SDMT apontam que localidades que têm acesso à água por rede geral e não apresentam em suas condições de entorno esgoto a céu aberto têm menores taxas de </w:t>
      </w:r>
      <w:r w:rsidRPr="003A214C">
        <w:rPr>
          <w:rFonts w:ascii="Times New Roman" w:eastAsiaTheme="minorEastAsia" w:hAnsi="Times New Roman"/>
          <w:sz w:val="24"/>
          <w:szCs w:val="24"/>
        </w:rPr>
        <w:t xml:space="preserve">incidência de internações, considerando o efeito direto e total. </w:t>
      </w:r>
    </w:p>
    <w:p w:rsidR="000D188C" w:rsidRPr="000D188C" w:rsidRDefault="000D188C" w:rsidP="000D188C">
      <w:pPr>
        <w:spacing w:after="0" w:line="240" w:lineRule="auto"/>
        <w:jc w:val="both"/>
        <w:rPr>
          <w:rFonts w:ascii="Times New Roman" w:hAnsi="Times New Roman"/>
          <w:sz w:val="24"/>
          <w:szCs w:val="24"/>
        </w:rPr>
      </w:pPr>
      <w:r w:rsidRPr="003A214C">
        <w:rPr>
          <w:rFonts w:ascii="Times New Roman" w:hAnsi="Times New Roman"/>
          <w:sz w:val="24"/>
          <w:szCs w:val="24"/>
        </w:rPr>
        <w:t>Esse resultado pode estar relacionado ao fenômeno apontado por Phillippi Jr. e Mallheiros (2005). Segundo os autores, o abastecimento de água potável, quando não acompanhado da implantação conjunta e concomitante do esgotamento sanitário, pode vir a ter um saldo negativo para os vizinhos, em face do lançamento de efluentes sem tratamento ou com tratamento inadequado que poder ser devolvido ao meio ambiente em condições nocivas que ainda apresentem agentes patogênicos. A variável “ag_nao_ceuab” pode ser entendida como uma variável que integre essas duas características destacadas pelos autores. Duflo et al. (2015) também defendem a provisão integrada de tais serviços como a forma mais eficiente de afetar os indicadores de</w:t>
      </w:r>
      <w:r w:rsidRPr="000D188C">
        <w:rPr>
          <w:rFonts w:ascii="Times New Roman" w:hAnsi="Times New Roman"/>
          <w:sz w:val="24"/>
          <w:szCs w:val="24"/>
        </w:rPr>
        <w:t xml:space="preserve"> saúde.</w:t>
      </w: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 xml:space="preserve">Os resultados </w:t>
      </w:r>
      <w:r w:rsidR="00C20E2A">
        <w:rPr>
          <w:rFonts w:ascii="Times New Roman" w:eastAsiaTheme="minorEastAsia" w:hAnsi="Times New Roman"/>
          <w:sz w:val="24"/>
          <w:szCs w:val="24"/>
        </w:rPr>
        <w:t xml:space="preserve">dos efeitos marginais </w:t>
      </w:r>
      <w:r w:rsidRPr="000D188C">
        <w:rPr>
          <w:rFonts w:ascii="Times New Roman" w:eastAsiaTheme="minorEastAsia" w:hAnsi="Times New Roman"/>
          <w:sz w:val="24"/>
          <w:szCs w:val="24"/>
        </w:rPr>
        <w:t>da estimação para a população de todas as idades para o segundo modelo, na versão SDMT</w:t>
      </w:r>
      <w:r w:rsidR="00C20E2A">
        <w:rPr>
          <w:rFonts w:ascii="Times New Roman" w:eastAsiaTheme="minorEastAsia" w:hAnsi="Times New Roman"/>
          <w:sz w:val="24"/>
          <w:szCs w:val="24"/>
        </w:rPr>
        <w:t xml:space="preserve"> com a matriz de contiguidade</w:t>
      </w:r>
      <w:r w:rsidRPr="000D188C">
        <w:rPr>
          <w:rFonts w:ascii="Times New Roman" w:eastAsiaTheme="minorEastAsia" w:hAnsi="Times New Roman"/>
          <w:sz w:val="24"/>
          <w:szCs w:val="24"/>
        </w:rPr>
        <w:t xml:space="preserve">, encontram-se na Tabela </w:t>
      </w:r>
      <w:r w:rsidR="00B7692A">
        <w:rPr>
          <w:rFonts w:ascii="Times New Roman" w:eastAsiaTheme="minorEastAsia" w:hAnsi="Times New Roman"/>
          <w:sz w:val="24"/>
          <w:szCs w:val="24"/>
        </w:rPr>
        <w:t>4</w:t>
      </w:r>
      <w:r w:rsidRPr="000D188C">
        <w:rPr>
          <w:rFonts w:ascii="Times New Roman" w:eastAsiaTheme="minorEastAsia" w:hAnsi="Times New Roman"/>
          <w:sz w:val="24"/>
          <w:szCs w:val="24"/>
        </w:rPr>
        <w:t>.</w:t>
      </w:r>
      <w:r w:rsidR="00B7692A">
        <w:rPr>
          <w:rFonts w:ascii="Times New Roman" w:eastAsiaTheme="minorEastAsia" w:hAnsi="Times New Roman"/>
          <w:sz w:val="24"/>
          <w:szCs w:val="24"/>
        </w:rPr>
        <w:t>7</w:t>
      </w:r>
      <w:r w:rsidRPr="000D188C">
        <w:rPr>
          <w:rFonts w:ascii="Times New Roman" w:eastAsiaTheme="minorEastAsia" w:hAnsi="Times New Roman"/>
          <w:sz w:val="24"/>
          <w:szCs w:val="24"/>
        </w:rPr>
        <w:t>.</w:t>
      </w:r>
    </w:p>
    <w:p w:rsidR="000D188C" w:rsidRPr="000D188C" w:rsidRDefault="000D188C" w:rsidP="000D188C">
      <w:pPr>
        <w:spacing w:after="0" w:line="240" w:lineRule="auto"/>
        <w:jc w:val="both"/>
        <w:rPr>
          <w:rFonts w:ascii="Times New Roman" w:eastAsiaTheme="minorEastAsia" w:hAnsi="Times New Roman"/>
          <w:sz w:val="24"/>
          <w:szCs w:val="24"/>
        </w:rPr>
      </w:pPr>
    </w:p>
    <w:p w:rsidR="000D188C" w:rsidRPr="000D188C" w:rsidRDefault="000D188C" w:rsidP="00B7692A">
      <w:pPr>
        <w:pStyle w:val="Tabela"/>
        <w:rPr>
          <w:rFonts w:cs="Times New Roman"/>
        </w:rPr>
      </w:pPr>
      <w:bookmarkStart w:id="6" w:name="_Toc447147164"/>
      <w:r w:rsidRPr="000D188C">
        <w:rPr>
          <w:rFonts w:cs="Times New Roman"/>
        </w:rPr>
        <w:t>Tabela</w:t>
      </w:r>
      <w:r w:rsidR="00B7692A">
        <w:rPr>
          <w:rFonts w:cs="Times New Roman"/>
        </w:rPr>
        <w:t xml:space="preserve"> 4</w:t>
      </w:r>
      <w:r w:rsidRPr="000D188C">
        <w:rPr>
          <w:rFonts w:cs="Times New Roman"/>
        </w:rPr>
        <w:t>.</w:t>
      </w:r>
      <w:r w:rsidR="00B7692A">
        <w:rPr>
          <w:rFonts w:cs="Times New Roman"/>
        </w:rPr>
        <w:t>7</w:t>
      </w:r>
      <w:r w:rsidRPr="000D188C">
        <w:rPr>
          <w:rFonts w:cs="Times New Roman"/>
        </w:rPr>
        <w:t>: E</w:t>
      </w:r>
      <w:r w:rsidR="00C20E2A">
        <w:rPr>
          <w:rFonts w:cs="Times New Roman"/>
        </w:rPr>
        <w:t xml:space="preserve">feitos marginais do modelo SDMT </w:t>
      </w:r>
      <w:r w:rsidRPr="000D188C">
        <w:rPr>
          <w:rFonts w:cs="Times New Roman"/>
        </w:rPr>
        <w:t>com matriz W contígua</w:t>
      </w:r>
      <w:bookmarkEnd w:id="6"/>
      <w:r w:rsidR="00C20E2A">
        <w:rPr>
          <w:rFonts w:cs="Times New Roman"/>
        </w:rPr>
        <w:t xml:space="preserve"> – Modelo2</w:t>
      </w:r>
    </w:p>
    <w:p w:rsidR="000D188C" w:rsidRPr="000D188C" w:rsidRDefault="000D188C" w:rsidP="00B7692A">
      <w:pPr>
        <w:spacing w:after="0" w:line="240" w:lineRule="auto"/>
        <w:jc w:val="center"/>
        <w:rPr>
          <w:rFonts w:ascii="Times New Roman" w:eastAsiaTheme="minorEastAsia" w:hAnsi="Times New Roman"/>
          <w:sz w:val="24"/>
          <w:szCs w:val="24"/>
        </w:rPr>
      </w:pPr>
      <w:r w:rsidRPr="000D188C">
        <w:rPr>
          <w:rFonts w:ascii="Times New Roman" w:hAnsi="Times New Roman"/>
          <w:noProof/>
          <w:sz w:val="24"/>
          <w:szCs w:val="24"/>
          <w:lang w:eastAsia="pt-BR"/>
        </w:rPr>
        <w:drawing>
          <wp:inline distT="0" distB="0" distL="0" distR="0" wp14:anchorId="7812BEA7" wp14:editId="0228F473">
            <wp:extent cx="3857625" cy="2676525"/>
            <wp:effectExtent l="0" t="0" r="9525" b="9525"/>
            <wp:docPr id="230" name="Imagem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676525"/>
                    </a:xfrm>
                    <a:prstGeom prst="rect">
                      <a:avLst/>
                    </a:prstGeom>
                    <a:noFill/>
                    <a:ln>
                      <a:noFill/>
                    </a:ln>
                  </pic:spPr>
                </pic:pic>
              </a:graphicData>
            </a:graphic>
          </wp:inline>
        </w:drawing>
      </w:r>
    </w:p>
    <w:p w:rsidR="00452EAE" w:rsidRPr="00452EAE" w:rsidRDefault="00452EAE" w:rsidP="00452EAE">
      <w:pPr>
        <w:spacing w:after="0" w:line="240" w:lineRule="auto"/>
        <w:ind w:left="708" w:firstLine="708"/>
        <w:jc w:val="both"/>
        <w:rPr>
          <w:rFonts w:ascii="Times New Roman" w:eastAsiaTheme="minorEastAsia" w:hAnsi="Times New Roman"/>
          <w:sz w:val="20"/>
          <w:szCs w:val="20"/>
        </w:rPr>
      </w:pPr>
      <w:r>
        <w:rPr>
          <w:rFonts w:ascii="Times New Roman" w:eastAsiaTheme="minorEastAsia" w:hAnsi="Times New Roman"/>
          <w:sz w:val="20"/>
          <w:szCs w:val="20"/>
        </w:rPr>
        <w:t xml:space="preserve">       </w:t>
      </w:r>
      <w:r w:rsidRPr="00452EAE">
        <w:rPr>
          <w:rFonts w:ascii="Times New Roman" w:eastAsiaTheme="minorEastAsia" w:hAnsi="Times New Roman"/>
          <w:sz w:val="20"/>
          <w:szCs w:val="20"/>
        </w:rPr>
        <w:t>***Significante a 1%; **Significante a 5%; *Significante a 10%.</w:t>
      </w:r>
    </w:p>
    <w:p w:rsidR="00452EAE" w:rsidRDefault="00452EAE" w:rsidP="00452EAE">
      <w:pPr>
        <w:spacing w:after="0" w:line="240" w:lineRule="auto"/>
        <w:ind w:left="708" w:firstLine="708"/>
        <w:jc w:val="both"/>
        <w:rPr>
          <w:rFonts w:ascii="Times New Roman" w:eastAsiaTheme="minorEastAsia" w:hAnsi="Times New Roman"/>
          <w:sz w:val="24"/>
          <w:szCs w:val="24"/>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3D7736" w:rsidRDefault="003D7736" w:rsidP="000D188C">
      <w:pPr>
        <w:spacing w:after="0" w:line="240" w:lineRule="auto"/>
        <w:jc w:val="both"/>
        <w:rPr>
          <w:rFonts w:ascii="Times New Roman" w:eastAsiaTheme="minorEastAsia" w:hAnsi="Times New Roman"/>
          <w:sz w:val="24"/>
          <w:szCs w:val="24"/>
        </w:rPr>
      </w:pP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Ta</w:t>
      </w:r>
      <w:r w:rsidR="00C20E2A">
        <w:rPr>
          <w:rFonts w:ascii="Times New Roman" w:eastAsiaTheme="minorEastAsia" w:hAnsi="Times New Roman"/>
          <w:sz w:val="24"/>
          <w:szCs w:val="24"/>
        </w:rPr>
        <w:t>nto os resultados da Tabela 4.6 quanto os da Tabela 4.7</w:t>
      </w:r>
      <w:r w:rsidRPr="000D188C">
        <w:rPr>
          <w:rFonts w:ascii="Times New Roman" w:eastAsiaTheme="minorEastAsia" w:hAnsi="Times New Roman"/>
          <w:sz w:val="24"/>
          <w:szCs w:val="24"/>
        </w:rPr>
        <w:t xml:space="preserve"> apontam que localidades que têm acesso à água por rede geral e não apresentam em suas condições de entorno esgoto a céu aberto têm menores taxas de incidência de internações. Novamente, a magnitude do coeficiente para o efeito tot</w:t>
      </w:r>
      <w:r w:rsidR="00C20E2A">
        <w:rPr>
          <w:rFonts w:ascii="Times New Roman" w:eastAsiaTheme="minorEastAsia" w:hAnsi="Times New Roman"/>
          <w:sz w:val="24"/>
          <w:szCs w:val="24"/>
        </w:rPr>
        <w:t>al é maior para a população de 0</w:t>
      </w:r>
      <w:r w:rsidRPr="000D188C">
        <w:rPr>
          <w:rFonts w:ascii="Times New Roman" w:eastAsiaTheme="minorEastAsia" w:hAnsi="Times New Roman"/>
          <w:sz w:val="24"/>
          <w:szCs w:val="24"/>
        </w:rPr>
        <w:t xml:space="preserve"> a 14 anos.</w:t>
      </w: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Neste caso também, as variáveis relativas ao acesso inadequado à drenagem de águas pluviais e ao lixo não foram significativas ao se controlar a censura dos dados.</w:t>
      </w:r>
      <w:r w:rsidRPr="000D188C">
        <w:rPr>
          <w:rFonts w:ascii="Times New Roman" w:hAnsi="Times New Roman"/>
          <w:sz w:val="24"/>
          <w:szCs w:val="24"/>
        </w:rPr>
        <w:t xml:space="preserve"> De fato, a maior parte dos estudos que relatam queda da taxa de incidência de diarreia, por exemplo, no Brasil e em outros países do mundo, apontam ser o esgotamento sanitário ou o processo de distribuição e tratamento de água como as ações de saneamento mais eficientes na promoção da saúde.</w:t>
      </w:r>
    </w:p>
    <w:p w:rsidR="000D188C" w:rsidRPr="000D188C" w:rsidRDefault="000D188C" w:rsidP="000D188C">
      <w:pPr>
        <w:spacing w:after="0" w:line="240" w:lineRule="auto"/>
        <w:jc w:val="both"/>
        <w:rPr>
          <w:rFonts w:ascii="Times New Roman" w:eastAsiaTheme="minorEastAsia" w:hAnsi="Times New Roman"/>
          <w:sz w:val="24"/>
          <w:szCs w:val="24"/>
        </w:rPr>
      </w:pPr>
      <w:r w:rsidRPr="000D188C">
        <w:rPr>
          <w:rFonts w:ascii="Times New Roman" w:eastAsiaTheme="minorEastAsia" w:hAnsi="Times New Roman"/>
          <w:sz w:val="24"/>
          <w:szCs w:val="24"/>
        </w:rPr>
        <w:t>Por outro lado, a variável relativa à escolaridade das mulheres chefes de família (“mu_resp_alfab”) se mostrou relevante para diminuir a taxa de incidência de internações por DRSAI, como prevê a literatura. O coeficiente de Gini apresentou significância estatística na grande parte dos resultados apresentados nesse estudo. Ou seja, quanto maior a concentração de renda no distrito maior é a incidência de DRSAI no mesmo, indicando que variáveis relacionadas à distribuição de renda nos distritos pode ser uma política pública importante para a diminuição da incidência de DRSAI.</w:t>
      </w:r>
    </w:p>
    <w:p w:rsidR="005E1400" w:rsidRPr="000D188C" w:rsidRDefault="005E1400" w:rsidP="000D188C">
      <w:pPr>
        <w:pStyle w:val="PargrafodaLista"/>
        <w:spacing w:after="0" w:line="240" w:lineRule="auto"/>
        <w:ind w:left="0"/>
        <w:jc w:val="both"/>
        <w:rPr>
          <w:rFonts w:ascii="Times New Roman" w:hAnsi="Times New Roman"/>
          <w:sz w:val="24"/>
          <w:szCs w:val="24"/>
        </w:rPr>
      </w:pPr>
    </w:p>
    <w:p w:rsidR="002131B2" w:rsidRDefault="00357C35" w:rsidP="00C548FE">
      <w:pPr>
        <w:pStyle w:val="PargrafodaLista"/>
        <w:numPr>
          <w:ilvl w:val="0"/>
          <w:numId w:val="2"/>
        </w:numPr>
        <w:spacing w:after="0" w:line="240" w:lineRule="auto"/>
        <w:ind w:left="0" w:firstLine="0"/>
        <w:jc w:val="both"/>
        <w:rPr>
          <w:rFonts w:ascii="Times New Roman" w:hAnsi="Times New Roman"/>
          <w:b/>
          <w:sz w:val="24"/>
          <w:szCs w:val="24"/>
        </w:rPr>
      </w:pPr>
      <w:r w:rsidRPr="005D4236">
        <w:rPr>
          <w:rFonts w:ascii="Times New Roman" w:hAnsi="Times New Roman"/>
          <w:b/>
          <w:sz w:val="24"/>
          <w:szCs w:val="24"/>
        </w:rPr>
        <w:t>Conclusão</w:t>
      </w:r>
    </w:p>
    <w:p w:rsidR="00802093" w:rsidRDefault="00802093" w:rsidP="00E062C1">
      <w:pPr>
        <w:spacing w:after="0" w:line="240" w:lineRule="auto"/>
        <w:jc w:val="both"/>
        <w:rPr>
          <w:rFonts w:ascii="Times New Roman" w:hAnsi="Times New Roman"/>
          <w:sz w:val="24"/>
          <w:szCs w:val="24"/>
        </w:rPr>
      </w:pPr>
    </w:p>
    <w:p w:rsidR="00E062C1" w:rsidRPr="00F0468C" w:rsidRDefault="00E062C1" w:rsidP="00E062C1">
      <w:pPr>
        <w:spacing w:after="0" w:line="240" w:lineRule="auto"/>
        <w:jc w:val="both"/>
        <w:rPr>
          <w:rFonts w:ascii="Times New Roman" w:hAnsi="Times New Roman"/>
          <w:sz w:val="24"/>
          <w:szCs w:val="24"/>
        </w:rPr>
      </w:pPr>
      <w:r>
        <w:rPr>
          <w:rFonts w:ascii="Times New Roman" w:hAnsi="Times New Roman"/>
          <w:sz w:val="24"/>
          <w:szCs w:val="24"/>
        </w:rPr>
        <w:t>Ne</w:t>
      </w:r>
      <w:r w:rsidR="000A30C4">
        <w:rPr>
          <w:rFonts w:ascii="Times New Roman" w:hAnsi="Times New Roman"/>
          <w:sz w:val="24"/>
          <w:szCs w:val="24"/>
        </w:rPr>
        <w:t xml:space="preserve">sse estudo </w:t>
      </w:r>
      <w:r w:rsidR="005E1400" w:rsidRPr="002131B2">
        <w:rPr>
          <w:rFonts w:ascii="Times New Roman" w:hAnsi="Times New Roman"/>
          <w:sz w:val="24"/>
          <w:szCs w:val="24"/>
        </w:rPr>
        <w:t>a estimação do efeito do saneamento sobre a saúde foi realizada para o ano de 2010 e se valeu de análise espacial com o</w:t>
      </w:r>
      <w:r w:rsidR="001A7FEF">
        <w:rPr>
          <w:rFonts w:ascii="Times New Roman" w:hAnsi="Times New Roman"/>
          <w:sz w:val="24"/>
          <w:szCs w:val="24"/>
        </w:rPr>
        <w:t xml:space="preserve"> controle da censura dos dados que ocorre quando</w:t>
      </w:r>
      <w:r w:rsidRPr="002131B2">
        <w:rPr>
          <w:rFonts w:ascii="Times New Roman" w:hAnsi="Times New Roman"/>
          <w:sz w:val="24"/>
          <w:szCs w:val="24"/>
        </w:rPr>
        <w:t xml:space="preserve"> as informações da variável dependente não são observadas por causa </w:t>
      </w:r>
      <w:r w:rsidR="001A7FEF">
        <w:rPr>
          <w:rFonts w:ascii="Times New Roman" w:hAnsi="Times New Roman"/>
          <w:sz w:val="24"/>
          <w:szCs w:val="24"/>
        </w:rPr>
        <w:t>d</w:t>
      </w:r>
      <w:r w:rsidRPr="002131B2">
        <w:rPr>
          <w:rFonts w:ascii="Times New Roman" w:hAnsi="Times New Roman"/>
          <w:sz w:val="24"/>
          <w:szCs w:val="24"/>
        </w:rPr>
        <w:t>a não ocorrência de casos de internações por DRSAI e</w:t>
      </w:r>
      <w:r w:rsidR="001A7FEF">
        <w:rPr>
          <w:rFonts w:ascii="Times New Roman" w:hAnsi="Times New Roman"/>
          <w:sz w:val="24"/>
          <w:szCs w:val="24"/>
        </w:rPr>
        <w:t>m alguns distritos. Ou seja,</w:t>
      </w:r>
      <w:r w:rsidRPr="002131B2">
        <w:rPr>
          <w:rFonts w:ascii="Times New Roman" w:hAnsi="Times New Roman"/>
          <w:sz w:val="24"/>
          <w:szCs w:val="24"/>
        </w:rPr>
        <w:t xml:space="preserve"> distritos saudáveis que não registraram nenhuma internação por DRSAI. A obtenção dos resultados relatados acima envolveu, inicialmente, a estimação de vários modelos espaciais, sem que fossem controlados os zeros da amostra, para nortear a escolha do melhor modelo e para verificar se os resultados iriam mudar ao se utilizar </w:t>
      </w:r>
      <w:r w:rsidR="001A7FEF">
        <w:rPr>
          <w:rFonts w:ascii="Times New Roman" w:hAnsi="Times New Roman"/>
          <w:sz w:val="24"/>
          <w:szCs w:val="24"/>
        </w:rPr>
        <w:t xml:space="preserve">duas </w:t>
      </w:r>
      <w:r w:rsidRPr="002131B2">
        <w:rPr>
          <w:rFonts w:ascii="Times New Roman" w:hAnsi="Times New Roman"/>
          <w:sz w:val="24"/>
          <w:szCs w:val="24"/>
        </w:rPr>
        <w:t>diferentes matrizes de ponderação. Nestas estimações, o modelo Spatial Durbin (SDM) com a matriz de contiguidade se mostrou o mais adequado, na maior parte dos casos.</w:t>
      </w:r>
      <w:r w:rsidR="001A7FEF">
        <w:rPr>
          <w:rFonts w:ascii="Times New Roman" w:hAnsi="Times New Roman"/>
          <w:sz w:val="24"/>
          <w:szCs w:val="24"/>
        </w:rPr>
        <w:t xml:space="preserve"> Além disso, as justificativas teóricas e hipóteses mencionadas também serviram de suporte para a escolha deste modelo. </w:t>
      </w:r>
      <w:r w:rsidRPr="002131B2">
        <w:rPr>
          <w:rFonts w:ascii="Times New Roman" w:hAnsi="Times New Roman"/>
          <w:sz w:val="24"/>
          <w:szCs w:val="24"/>
        </w:rPr>
        <w:t>Para controlar os zeros</w:t>
      </w:r>
      <w:r w:rsidR="001A7FEF">
        <w:rPr>
          <w:rFonts w:ascii="Times New Roman" w:hAnsi="Times New Roman"/>
          <w:sz w:val="24"/>
          <w:szCs w:val="24"/>
        </w:rPr>
        <w:t xml:space="preserve"> da amostra</w:t>
      </w:r>
      <w:r w:rsidRPr="002131B2">
        <w:rPr>
          <w:rFonts w:ascii="Times New Roman" w:hAnsi="Times New Roman"/>
          <w:sz w:val="24"/>
          <w:szCs w:val="24"/>
        </w:rPr>
        <w:t xml:space="preserve">, foi estimado um modelo Spatial Durbin Tobit Espacial (SDMT) por meio da abordagem Bayesiana.  </w:t>
      </w:r>
    </w:p>
    <w:p w:rsidR="004C20B5" w:rsidRPr="002131B2" w:rsidRDefault="005E1400" w:rsidP="002131B2">
      <w:pPr>
        <w:pStyle w:val="PargrafodaLista"/>
        <w:spacing w:after="0" w:line="240" w:lineRule="auto"/>
        <w:ind w:left="0"/>
        <w:jc w:val="both"/>
        <w:rPr>
          <w:rFonts w:ascii="Times New Roman" w:hAnsi="Times New Roman"/>
          <w:b/>
          <w:sz w:val="24"/>
          <w:szCs w:val="24"/>
        </w:rPr>
      </w:pPr>
      <w:r w:rsidRPr="002131B2">
        <w:rPr>
          <w:rFonts w:ascii="Times New Roman" w:hAnsi="Times New Roman"/>
          <w:sz w:val="24"/>
          <w:szCs w:val="24"/>
        </w:rPr>
        <w:t>A utilização de dados distritais</w:t>
      </w:r>
      <w:r w:rsidR="001A7FEF">
        <w:rPr>
          <w:rFonts w:ascii="Times New Roman" w:hAnsi="Times New Roman"/>
          <w:sz w:val="24"/>
          <w:szCs w:val="24"/>
        </w:rPr>
        <w:t>, não disponível em domínio público e que foram construídos para melhor caracterizar a distribuição espacial das informações foi necessária para justificar de forma mais realista a hipótese acerca d</w:t>
      </w:r>
      <w:r w:rsidRPr="002131B2">
        <w:rPr>
          <w:rFonts w:ascii="Times New Roman" w:hAnsi="Times New Roman"/>
          <w:sz w:val="24"/>
          <w:szCs w:val="24"/>
        </w:rPr>
        <w:t>o efeito espacial de transbordamento d</w:t>
      </w:r>
      <w:r w:rsidR="001A7FEF">
        <w:rPr>
          <w:rFonts w:ascii="Times New Roman" w:hAnsi="Times New Roman"/>
          <w:sz w:val="24"/>
          <w:szCs w:val="24"/>
        </w:rPr>
        <w:t>os</w:t>
      </w:r>
      <w:r w:rsidRPr="002131B2">
        <w:rPr>
          <w:rFonts w:ascii="Times New Roman" w:hAnsi="Times New Roman"/>
          <w:sz w:val="24"/>
          <w:szCs w:val="24"/>
        </w:rPr>
        <w:t xml:space="preserve"> agentes patogênicos</w:t>
      </w:r>
      <w:r w:rsidR="001A7FEF">
        <w:rPr>
          <w:rFonts w:ascii="Times New Roman" w:hAnsi="Times New Roman"/>
          <w:sz w:val="24"/>
          <w:szCs w:val="24"/>
        </w:rPr>
        <w:t xml:space="preserve"> das DRSAIs</w:t>
      </w:r>
      <w:r w:rsidRPr="002131B2">
        <w:rPr>
          <w:rFonts w:ascii="Times New Roman" w:hAnsi="Times New Roman"/>
          <w:sz w:val="24"/>
          <w:szCs w:val="24"/>
        </w:rPr>
        <w:t xml:space="preserve"> entre as regiões.</w:t>
      </w:r>
    </w:p>
    <w:p w:rsidR="002131B2" w:rsidRPr="002131B2" w:rsidRDefault="000A30C4" w:rsidP="002131B2">
      <w:pPr>
        <w:spacing w:after="0" w:line="240" w:lineRule="auto"/>
        <w:jc w:val="both"/>
        <w:rPr>
          <w:rFonts w:ascii="Times New Roman" w:hAnsi="Times New Roman"/>
          <w:sz w:val="24"/>
          <w:szCs w:val="24"/>
        </w:rPr>
      </w:pPr>
      <w:r>
        <w:rPr>
          <w:rFonts w:ascii="Times New Roman" w:hAnsi="Times New Roman"/>
          <w:sz w:val="24"/>
          <w:szCs w:val="24"/>
        </w:rPr>
        <w:t>A</w:t>
      </w:r>
      <w:r w:rsidR="002131B2" w:rsidRPr="002131B2">
        <w:rPr>
          <w:rFonts w:ascii="Times New Roman" w:hAnsi="Times New Roman"/>
          <w:sz w:val="24"/>
          <w:szCs w:val="24"/>
        </w:rPr>
        <w:t>s variáveis de saneamento utilizadas representam o acesso inadequado aos serviços de água e esgoto e a variável de saúde é representada pela taxa de incidência de internações por DRSAI por mil habitantes. O modelo de Grosman (1972) foi utilizado como arcabouço teórico para a escolha das variáveis dos modelos que foram estimados para populações de duas faixas etárias diferente</w:t>
      </w:r>
      <w:r>
        <w:rPr>
          <w:rFonts w:ascii="Times New Roman" w:hAnsi="Times New Roman"/>
          <w:sz w:val="24"/>
          <w:szCs w:val="24"/>
        </w:rPr>
        <w:t>s: a de todas as idades e a de 0</w:t>
      </w:r>
      <w:r w:rsidR="002131B2" w:rsidRPr="002131B2">
        <w:rPr>
          <w:rFonts w:ascii="Times New Roman" w:hAnsi="Times New Roman"/>
          <w:sz w:val="24"/>
          <w:szCs w:val="24"/>
        </w:rPr>
        <w:t xml:space="preserve"> a 14 anos. </w:t>
      </w:r>
    </w:p>
    <w:p w:rsidR="002131B2" w:rsidRPr="002131B2" w:rsidRDefault="002131B2" w:rsidP="002131B2">
      <w:pPr>
        <w:spacing w:after="0" w:line="240" w:lineRule="auto"/>
        <w:jc w:val="both"/>
        <w:rPr>
          <w:rFonts w:ascii="Times New Roman" w:hAnsi="Times New Roman"/>
          <w:sz w:val="24"/>
          <w:szCs w:val="24"/>
        </w:rPr>
      </w:pPr>
      <w:r w:rsidRPr="002131B2">
        <w:rPr>
          <w:rFonts w:ascii="Times New Roman" w:hAnsi="Times New Roman"/>
          <w:sz w:val="24"/>
          <w:szCs w:val="24"/>
        </w:rPr>
        <w:t>Os resultados indicam, para a população de todas as idades, que o impacto total médio do aumento de 1% na parcela de domicílios servidos por água da chuva armazenada em cisterna o</w:t>
      </w:r>
      <w:r w:rsidR="000A30C4">
        <w:rPr>
          <w:rFonts w:ascii="Times New Roman" w:hAnsi="Times New Roman"/>
          <w:sz w:val="24"/>
          <w:szCs w:val="24"/>
        </w:rPr>
        <w:t>u caixa de cimento é de 0,217</w:t>
      </w:r>
      <w:r w:rsidRPr="002131B2">
        <w:rPr>
          <w:rFonts w:ascii="Times New Roman" w:hAnsi="Times New Roman"/>
          <w:sz w:val="24"/>
          <w:szCs w:val="24"/>
        </w:rPr>
        <w:t xml:space="preserve"> casos por mil habitantes. Quando se considera a porcentagem dos domicílios que têm banheiro conectado a uma fossa rudimentar, esse impacto é de 0,035 casos por 1000 habitantes. Por outro lado, o impacto total médio de 1% na porcentagem de domicílios particulares permanentes conectados à rede de distribuição de água e que, além disso, na quadra onde estão localizados é inexistente condições de esgoto a céu aberto é de -0,</w:t>
      </w:r>
      <w:r w:rsidR="000A30C4">
        <w:rPr>
          <w:rFonts w:ascii="Times New Roman" w:hAnsi="Times New Roman"/>
          <w:sz w:val="24"/>
          <w:szCs w:val="24"/>
        </w:rPr>
        <w:t>166</w:t>
      </w:r>
      <w:r w:rsidRPr="002131B2">
        <w:rPr>
          <w:rFonts w:ascii="Times New Roman" w:hAnsi="Times New Roman"/>
          <w:sz w:val="24"/>
          <w:szCs w:val="24"/>
        </w:rPr>
        <w:t xml:space="preserve"> casos por mil habitantes. Por fim, a variável de maior impacto total médio refere-se à porcentagem de domicílios que não têm banheiro e, além disso, possuem presença de esgoto a céu aberto em suas condições de entorno. O aumento em uma unidade percentual nessa variável gera aumento de 3,281 na variável de saúde, a taxa de incidência de internações por DRSAI.</w:t>
      </w:r>
    </w:p>
    <w:p w:rsidR="002131B2" w:rsidRPr="002131B2" w:rsidRDefault="002131B2" w:rsidP="002131B2">
      <w:pPr>
        <w:spacing w:after="0" w:line="240" w:lineRule="auto"/>
        <w:jc w:val="both"/>
        <w:rPr>
          <w:rFonts w:ascii="Times New Roman" w:hAnsi="Times New Roman"/>
          <w:sz w:val="24"/>
          <w:szCs w:val="24"/>
        </w:rPr>
      </w:pPr>
      <w:r w:rsidRPr="002131B2">
        <w:rPr>
          <w:rFonts w:ascii="Times New Roman" w:hAnsi="Times New Roman"/>
          <w:sz w:val="24"/>
          <w:szCs w:val="24"/>
        </w:rPr>
        <w:lastRenderedPageBreak/>
        <w:t xml:space="preserve">O efeito de transbordamento espacial da taxa de incidência de internações por DRSAI foi positivo e significativo, com maior magnitude para o modelo SDMT (0,2) em comparação ao modelo SDM (0,14). Esse resultado era esperado pela própria definição de doenças infectocontagiosas das DRSAI. A transmissão dos agentes patogênicos causadores de tais doenças pode ocorrer tanto pelo deslocamento dos insetos de um distrito para o outro quanto pela água contaminada dos rios e mares que atravessam diversas localidades, gerando o efeito de </w:t>
      </w:r>
      <w:r w:rsidRPr="009C020C">
        <w:rPr>
          <w:rFonts w:ascii="Times New Roman" w:hAnsi="Times New Roman"/>
          <w:i/>
          <w:sz w:val="24"/>
          <w:szCs w:val="24"/>
        </w:rPr>
        <w:t>spillover</w:t>
      </w:r>
      <w:r w:rsidRPr="002131B2">
        <w:rPr>
          <w:rFonts w:ascii="Times New Roman" w:hAnsi="Times New Roman"/>
          <w:sz w:val="24"/>
          <w:szCs w:val="24"/>
        </w:rPr>
        <w:t xml:space="preserve"> espacial, de tal forma que a incidência de DRSAI em um determinado distrito seja influenciada pela média dessa taxa nos distritos vizinhos. Além disso, as condições de infraestrutura de saneamento básico da vizinhança de um determinado distrito também são capazes de afetar essa variável de saúde, devido à importância de algumas variáveis explicativas defasadas espacialmente, conforme o modelo Durbin prevê. É o caso de distritos que lançam águas servidas sem tratamento, dejetos e outros resíduos coletados em suas regiões para fora de seus limites territoriais.</w:t>
      </w:r>
    </w:p>
    <w:p w:rsidR="002131B2" w:rsidRDefault="002131B2" w:rsidP="002131B2">
      <w:pPr>
        <w:pStyle w:val="PargrafodaLista"/>
        <w:spacing w:after="0" w:line="240" w:lineRule="auto"/>
        <w:ind w:left="0"/>
        <w:jc w:val="both"/>
        <w:rPr>
          <w:rFonts w:ascii="Times New Roman" w:hAnsi="Times New Roman"/>
          <w:sz w:val="24"/>
          <w:szCs w:val="24"/>
        </w:rPr>
      </w:pPr>
      <w:r w:rsidRPr="002131B2">
        <w:rPr>
          <w:rFonts w:ascii="Times New Roman" w:hAnsi="Times New Roman"/>
          <w:sz w:val="24"/>
          <w:szCs w:val="24"/>
        </w:rPr>
        <w:t xml:space="preserve">Em relação à sensibilidade dos efeitos para as populações das duas diferentes faixas etárias, pela magnitude das estimativas dos parâmetros dos efeitos marginais, a população de zero a 14 anos é a mais atingida pelo acesso a condições inadequadas dos serviços de saneamento básico, o que confirma uma das hipóteses estabelecidas nesse estudo, de que </w:t>
      </w:r>
      <w:r w:rsidR="0015233B">
        <w:rPr>
          <w:rFonts w:ascii="Times New Roman" w:hAnsi="Times New Roman"/>
          <w:sz w:val="24"/>
          <w:szCs w:val="24"/>
        </w:rPr>
        <w:t xml:space="preserve">a </w:t>
      </w:r>
      <w:r w:rsidRPr="002131B2">
        <w:rPr>
          <w:rFonts w:ascii="Times New Roman" w:hAnsi="Times New Roman"/>
          <w:sz w:val="24"/>
          <w:szCs w:val="24"/>
        </w:rPr>
        <w:t>população</w:t>
      </w:r>
      <w:r w:rsidR="0015233B">
        <w:rPr>
          <w:rFonts w:ascii="Times New Roman" w:hAnsi="Times New Roman"/>
          <w:sz w:val="24"/>
          <w:szCs w:val="24"/>
        </w:rPr>
        <w:t xml:space="preserve"> mais jovem</w:t>
      </w:r>
      <w:r w:rsidRPr="002131B2">
        <w:rPr>
          <w:rFonts w:ascii="Times New Roman" w:hAnsi="Times New Roman"/>
          <w:sz w:val="24"/>
          <w:szCs w:val="24"/>
        </w:rPr>
        <w:t xml:space="preserve"> é a mais frágil e a mais suscetível a contrair as DRSAI</w:t>
      </w:r>
      <w:r w:rsidR="0015233B">
        <w:rPr>
          <w:rFonts w:ascii="Times New Roman" w:hAnsi="Times New Roman"/>
          <w:sz w:val="24"/>
          <w:szCs w:val="24"/>
        </w:rPr>
        <w:t>s</w:t>
      </w:r>
      <w:r w:rsidRPr="002131B2">
        <w:rPr>
          <w:rFonts w:ascii="Times New Roman" w:hAnsi="Times New Roman"/>
          <w:sz w:val="24"/>
          <w:szCs w:val="24"/>
        </w:rPr>
        <w:t>.</w:t>
      </w:r>
    </w:p>
    <w:p w:rsidR="002131B2" w:rsidRPr="005E1400" w:rsidRDefault="002131B2" w:rsidP="00C548FE">
      <w:pPr>
        <w:pStyle w:val="PargrafodaLista"/>
        <w:spacing w:after="0" w:line="240" w:lineRule="auto"/>
        <w:ind w:left="0"/>
        <w:jc w:val="both"/>
        <w:rPr>
          <w:rFonts w:ascii="Times New Roman" w:hAnsi="Times New Roman"/>
          <w:sz w:val="24"/>
          <w:szCs w:val="24"/>
        </w:rPr>
      </w:pPr>
    </w:p>
    <w:p w:rsidR="00357C35" w:rsidRPr="005D4236" w:rsidRDefault="00357C35" w:rsidP="00C548FE">
      <w:pPr>
        <w:pStyle w:val="PargrafodaLista"/>
        <w:numPr>
          <w:ilvl w:val="0"/>
          <w:numId w:val="2"/>
        </w:numPr>
        <w:spacing w:after="0" w:line="240" w:lineRule="auto"/>
        <w:ind w:left="0" w:firstLine="0"/>
        <w:jc w:val="both"/>
        <w:rPr>
          <w:rFonts w:ascii="Times New Roman" w:hAnsi="Times New Roman"/>
          <w:b/>
          <w:sz w:val="24"/>
          <w:szCs w:val="24"/>
        </w:rPr>
      </w:pPr>
      <w:r w:rsidRPr="005D4236">
        <w:rPr>
          <w:rFonts w:ascii="Times New Roman" w:hAnsi="Times New Roman"/>
          <w:b/>
          <w:sz w:val="24"/>
          <w:szCs w:val="24"/>
        </w:rPr>
        <w:t>Referências bibliográficas</w:t>
      </w:r>
    </w:p>
    <w:p w:rsidR="003D7736" w:rsidRDefault="003D7736" w:rsidP="003D7736">
      <w:pPr>
        <w:pStyle w:val="Corpodetexto2"/>
        <w:spacing w:after="0" w:line="240" w:lineRule="auto"/>
        <w:ind w:left="0"/>
        <w:jc w:val="both"/>
        <w:rPr>
          <w:rFonts w:ascii="Times New Roman" w:hAnsi="Times New Roman" w:cs="Times New Roman"/>
          <w:spacing w:val="-6"/>
          <w:sz w:val="24"/>
          <w:szCs w:val="24"/>
        </w:rPr>
      </w:pPr>
    </w:p>
    <w:p w:rsidR="003D7736" w:rsidRDefault="003D7736" w:rsidP="003D7736">
      <w:pPr>
        <w:pStyle w:val="Corpodetexto2"/>
        <w:spacing w:after="0" w:line="240" w:lineRule="auto"/>
        <w:ind w:left="0"/>
        <w:jc w:val="both"/>
        <w:rPr>
          <w:rFonts w:ascii="Times New Roman" w:hAnsi="Times New Roman" w:cs="Times New Roman"/>
          <w:spacing w:val="-6"/>
          <w:sz w:val="24"/>
          <w:szCs w:val="24"/>
        </w:rPr>
      </w:pPr>
      <w:r w:rsidRPr="003D7736">
        <w:rPr>
          <w:rFonts w:ascii="Times New Roman" w:hAnsi="Times New Roman" w:cs="Times New Roman"/>
          <w:spacing w:val="-6"/>
          <w:sz w:val="24"/>
          <w:szCs w:val="24"/>
        </w:rPr>
        <w:t>ANSELIN, L. Local indicators os spatial association – LISA. Geographical Analysis, v.27, n.2, p. 93-115, 1995.</w:t>
      </w:r>
    </w:p>
    <w:p w:rsidR="000F3C73" w:rsidRPr="000F3C73" w:rsidRDefault="000F3C73" w:rsidP="003D7736">
      <w:pPr>
        <w:pStyle w:val="Corpodetexto2"/>
        <w:spacing w:after="0" w:line="240" w:lineRule="auto"/>
        <w:ind w:left="0"/>
        <w:jc w:val="both"/>
        <w:rPr>
          <w:rFonts w:ascii="Times New Roman" w:hAnsi="Times New Roman" w:cs="Times New Roman"/>
          <w:spacing w:val="-6"/>
          <w:sz w:val="24"/>
          <w:szCs w:val="24"/>
        </w:rPr>
      </w:pPr>
      <w:r w:rsidRPr="000F3C73">
        <w:rPr>
          <w:rFonts w:ascii="Times New Roman" w:hAnsi="Times New Roman" w:cs="Times New Roman"/>
          <w:spacing w:val="-6"/>
          <w:sz w:val="24"/>
          <w:szCs w:val="24"/>
        </w:rPr>
        <w:t xml:space="preserve">ALBERNAZ, A; FERREIRA, F.H.G.; FRANCO, C. </w:t>
      </w:r>
      <w:r w:rsidRPr="000F3C73">
        <w:rPr>
          <w:rFonts w:ascii="Times New Roman" w:hAnsi="Times New Roman" w:cs="Times New Roman"/>
          <w:i/>
          <w:spacing w:val="-6"/>
          <w:sz w:val="24"/>
          <w:szCs w:val="24"/>
        </w:rPr>
        <w:t>Qualidade e equidade no ensino fundamental brasileiro</w:t>
      </w:r>
      <w:r w:rsidRPr="000F3C73">
        <w:rPr>
          <w:rFonts w:ascii="Times New Roman" w:hAnsi="Times New Roman" w:cs="Times New Roman"/>
          <w:spacing w:val="-6"/>
          <w:sz w:val="24"/>
          <w:szCs w:val="24"/>
        </w:rPr>
        <w:t xml:space="preserve">. </w:t>
      </w:r>
      <w:r w:rsidRPr="000F3C73">
        <w:rPr>
          <w:rFonts w:ascii="Times New Roman" w:hAnsi="Times New Roman" w:cs="Times New Roman"/>
          <w:b/>
          <w:spacing w:val="-6"/>
          <w:sz w:val="24"/>
          <w:szCs w:val="24"/>
        </w:rPr>
        <w:t>Pesquisa e Planejamento Econômico</w:t>
      </w:r>
      <w:r w:rsidRPr="000F3C73">
        <w:rPr>
          <w:rFonts w:ascii="Times New Roman" w:hAnsi="Times New Roman" w:cs="Times New Roman"/>
          <w:spacing w:val="-6"/>
          <w:sz w:val="24"/>
          <w:szCs w:val="24"/>
        </w:rPr>
        <w:t>, v.32, n.3, p.453-476, 2002.</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rPr>
        <w:t xml:space="preserve">ALMEIDA, E. </w:t>
      </w:r>
      <w:r w:rsidRPr="000F3C73">
        <w:rPr>
          <w:rFonts w:ascii="Times New Roman" w:hAnsi="Times New Roman" w:cs="Times New Roman"/>
          <w:i/>
          <w:sz w:val="24"/>
          <w:szCs w:val="24"/>
        </w:rPr>
        <w:t>Econometria Espacial Aplicada</w:t>
      </w:r>
      <w:r w:rsidRPr="000F3C73">
        <w:rPr>
          <w:rFonts w:ascii="Times New Roman" w:hAnsi="Times New Roman" w:cs="Times New Roman"/>
          <w:sz w:val="24"/>
          <w:szCs w:val="24"/>
        </w:rPr>
        <w:t>, Campinas, SP: Editora Alínea, 2012.</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lang w:val="en-US"/>
        </w:rPr>
        <w:t xml:space="preserve">ALVES, D.; BELLUZZO, W. </w:t>
      </w:r>
      <w:r w:rsidRPr="000F3C73">
        <w:rPr>
          <w:rFonts w:ascii="Times New Roman" w:hAnsi="Times New Roman" w:cs="Times New Roman"/>
          <w:i/>
          <w:sz w:val="24"/>
          <w:szCs w:val="24"/>
          <w:lang w:val="en-US"/>
        </w:rPr>
        <w:t>Infant mortality and child health in Brazil</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rPr>
        <w:t>Econ Hum Biol</w:t>
      </w:r>
      <w:r w:rsidRPr="000F3C73">
        <w:rPr>
          <w:rFonts w:ascii="Times New Roman" w:hAnsi="Times New Roman" w:cs="Times New Roman"/>
          <w:sz w:val="24"/>
          <w:szCs w:val="24"/>
        </w:rPr>
        <w:t>, 2(3): 391-410, 2004.</w:t>
      </w:r>
    </w:p>
    <w:p w:rsidR="000F3C73" w:rsidRPr="000F3C73" w:rsidRDefault="000F3C73" w:rsidP="003D7736">
      <w:pPr>
        <w:spacing w:after="0" w:line="240" w:lineRule="auto"/>
        <w:jc w:val="both"/>
        <w:rPr>
          <w:rFonts w:ascii="Times New Roman" w:hAnsi="Times New Roman"/>
          <w:sz w:val="24"/>
          <w:szCs w:val="24"/>
        </w:rPr>
      </w:pPr>
      <w:r w:rsidRPr="000F3C73">
        <w:rPr>
          <w:rFonts w:ascii="Times New Roman" w:hAnsi="Times New Roman"/>
          <w:sz w:val="24"/>
          <w:szCs w:val="24"/>
        </w:rPr>
        <w:t xml:space="preserve">ANSELIN, L. </w:t>
      </w:r>
      <w:r w:rsidRPr="000F3C73">
        <w:rPr>
          <w:rFonts w:ascii="Times New Roman" w:hAnsi="Times New Roman"/>
          <w:i/>
          <w:sz w:val="24"/>
          <w:szCs w:val="24"/>
        </w:rPr>
        <w:t>Spatial econometrics: methods and models</w:t>
      </w:r>
      <w:r w:rsidRPr="000F3C73">
        <w:rPr>
          <w:rFonts w:ascii="Times New Roman" w:hAnsi="Times New Roman"/>
          <w:sz w:val="24"/>
          <w:szCs w:val="24"/>
        </w:rPr>
        <w:t xml:space="preserve">. Boston: </w:t>
      </w:r>
      <w:r w:rsidRPr="000F3C73">
        <w:rPr>
          <w:rFonts w:ascii="Times New Roman" w:hAnsi="Times New Roman"/>
          <w:b/>
          <w:sz w:val="24"/>
          <w:szCs w:val="24"/>
        </w:rPr>
        <w:t>Kluwer Academic</w:t>
      </w:r>
      <w:r w:rsidRPr="000F3C73">
        <w:rPr>
          <w:rFonts w:ascii="Times New Roman" w:hAnsi="Times New Roman"/>
          <w:sz w:val="24"/>
          <w:szCs w:val="24"/>
        </w:rPr>
        <w:t>, 1988.</w:t>
      </w:r>
    </w:p>
    <w:p w:rsidR="000F3C73" w:rsidRPr="000F3C73" w:rsidRDefault="000F3C73" w:rsidP="003D7736">
      <w:pPr>
        <w:spacing w:after="0" w:line="240" w:lineRule="auto"/>
        <w:jc w:val="both"/>
        <w:rPr>
          <w:rFonts w:ascii="Times New Roman" w:hAnsi="Times New Roman"/>
          <w:sz w:val="24"/>
          <w:szCs w:val="24"/>
        </w:rPr>
      </w:pPr>
      <w:r w:rsidRPr="000F3C73">
        <w:rPr>
          <w:rFonts w:ascii="Times New Roman" w:hAnsi="Times New Roman"/>
          <w:sz w:val="24"/>
          <w:szCs w:val="24"/>
        </w:rPr>
        <w:t>ANSELIN, L.; BERA, A.</w:t>
      </w:r>
      <w:r w:rsidRPr="000F3C73">
        <w:rPr>
          <w:rFonts w:ascii="Times New Roman" w:hAnsi="Times New Roman"/>
          <w:i/>
          <w:sz w:val="24"/>
          <w:szCs w:val="24"/>
        </w:rPr>
        <w:t xml:space="preserve"> Spatial dependence in linear regression models with an introduction to spatial econometrics</w:t>
      </w:r>
      <w:r w:rsidRPr="000F3C73">
        <w:rPr>
          <w:rFonts w:ascii="Times New Roman" w:hAnsi="Times New Roman"/>
          <w:sz w:val="24"/>
          <w:szCs w:val="24"/>
        </w:rPr>
        <w:t xml:space="preserve">. In: ULLAH A.; GILES D. E. (eds). </w:t>
      </w:r>
      <w:r w:rsidRPr="000F3C73">
        <w:rPr>
          <w:rFonts w:ascii="Times New Roman" w:hAnsi="Times New Roman"/>
          <w:b/>
          <w:sz w:val="24"/>
          <w:szCs w:val="24"/>
        </w:rPr>
        <w:t>Handbook of applied economic statistics</w:t>
      </w:r>
      <w:r w:rsidRPr="000F3C73">
        <w:rPr>
          <w:rFonts w:ascii="Times New Roman" w:hAnsi="Times New Roman"/>
          <w:sz w:val="24"/>
          <w:szCs w:val="24"/>
        </w:rPr>
        <w:t>, Nova York: Marcel Dekker, p. 237-289, 1998.</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rPr>
        <w:t>ANDREAZZI, M. A. R.; BARCELLOS, C.; HACON, S.</w:t>
      </w:r>
      <w:r w:rsidRPr="000F3C73">
        <w:rPr>
          <w:rFonts w:ascii="Times New Roman" w:hAnsi="Times New Roman" w:cs="Times New Roman"/>
          <w:i/>
          <w:sz w:val="24"/>
          <w:szCs w:val="24"/>
        </w:rPr>
        <w:t xml:space="preserve"> Velhos indicadores para novos problemas: a relação entre saneamento e saúde</w:t>
      </w:r>
      <w:r w:rsidRPr="000F3C73">
        <w:rPr>
          <w:rFonts w:ascii="Times New Roman" w:hAnsi="Times New Roman" w:cs="Times New Roman"/>
          <w:sz w:val="24"/>
          <w:szCs w:val="24"/>
        </w:rPr>
        <w:t xml:space="preserve">. </w:t>
      </w:r>
      <w:r w:rsidRPr="000F3C73">
        <w:rPr>
          <w:rFonts w:ascii="Times New Roman" w:hAnsi="Times New Roman" w:cs="Times New Roman"/>
          <w:b/>
          <w:sz w:val="24"/>
          <w:szCs w:val="24"/>
        </w:rPr>
        <w:t>Revista Panam Salud Publica</w:t>
      </w:r>
      <w:r w:rsidRPr="000F3C73">
        <w:rPr>
          <w:rFonts w:ascii="Times New Roman" w:hAnsi="Times New Roman" w:cs="Times New Roman"/>
          <w:sz w:val="24"/>
          <w:szCs w:val="24"/>
        </w:rPr>
        <w:t>, n. 22, 2007.</w:t>
      </w:r>
    </w:p>
    <w:p w:rsidR="000F3C73" w:rsidRPr="000F3C73" w:rsidRDefault="000F3C73" w:rsidP="003D7736">
      <w:pPr>
        <w:autoSpaceDE w:val="0"/>
        <w:autoSpaceDN w:val="0"/>
        <w:adjustRightInd w:val="0"/>
        <w:spacing w:after="0" w:line="240" w:lineRule="auto"/>
        <w:jc w:val="both"/>
        <w:rPr>
          <w:rFonts w:ascii="Times New Roman" w:eastAsiaTheme="minorEastAsia" w:hAnsi="Times New Roman"/>
          <w:sz w:val="24"/>
          <w:szCs w:val="24"/>
        </w:rPr>
      </w:pPr>
      <w:r w:rsidRPr="000F3C73">
        <w:rPr>
          <w:rFonts w:ascii="Times New Roman" w:eastAsiaTheme="minorEastAsia" w:hAnsi="Times New Roman"/>
          <w:sz w:val="24"/>
          <w:szCs w:val="24"/>
        </w:rPr>
        <w:t xml:space="preserve">BARRETO, M. L. et al. </w:t>
      </w:r>
      <w:r w:rsidRPr="000F3C73">
        <w:rPr>
          <w:rFonts w:ascii="Times New Roman" w:eastAsiaTheme="minorEastAsia" w:hAnsi="Times New Roman"/>
          <w:i/>
          <w:sz w:val="24"/>
          <w:szCs w:val="24"/>
        </w:rPr>
        <w:t>Impact of a Citywide Sanitation Program in Northeast Brazil on Intestinal Parasites Infection in Young Children</w:t>
      </w:r>
      <w:r w:rsidRPr="000F3C73">
        <w:rPr>
          <w:rFonts w:ascii="Times New Roman" w:eastAsiaTheme="minorEastAsia" w:hAnsi="Times New Roman"/>
          <w:sz w:val="24"/>
          <w:szCs w:val="24"/>
        </w:rPr>
        <w:t xml:space="preserve">, </w:t>
      </w:r>
      <w:r w:rsidRPr="000F3C73">
        <w:rPr>
          <w:rFonts w:ascii="Times New Roman" w:eastAsiaTheme="minorEastAsia" w:hAnsi="Times New Roman"/>
          <w:b/>
          <w:sz w:val="24"/>
          <w:szCs w:val="24"/>
        </w:rPr>
        <w:t>Environ Health Perspect</w:t>
      </w:r>
      <w:r w:rsidRPr="000F3C73">
        <w:rPr>
          <w:rFonts w:ascii="Times New Roman" w:eastAsiaTheme="minorEastAsia" w:hAnsi="Times New Roman"/>
          <w:sz w:val="24"/>
          <w:szCs w:val="24"/>
        </w:rPr>
        <w:t>, Nov; 118(11): 1637–1642, 2010.</w:t>
      </w:r>
    </w:p>
    <w:p w:rsidR="000F3C73" w:rsidRPr="000F3C73" w:rsidRDefault="000F3C73" w:rsidP="003D7736">
      <w:pPr>
        <w:pStyle w:val="Corpodetexto2"/>
        <w:spacing w:after="0" w:line="240" w:lineRule="auto"/>
        <w:ind w:left="0"/>
        <w:jc w:val="both"/>
        <w:rPr>
          <w:rFonts w:ascii="Times New Roman" w:eastAsiaTheme="minorEastAsia" w:hAnsi="Times New Roman" w:cs="Times New Roman"/>
          <w:sz w:val="24"/>
          <w:szCs w:val="24"/>
        </w:rPr>
      </w:pPr>
      <w:r w:rsidRPr="000F3C73">
        <w:rPr>
          <w:rFonts w:ascii="Times New Roman" w:eastAsiaTheme="minorEastAsia" w:hAnsi="Times New Roman" w:cs="Times New Roman"/>
          <w:sz w:val="24"/>
          <w:szCs w:val="24"/>
        </w:rPr>
        <w:t xml:space="preserve">BERNDT, E.R.; Cutler, D.; Frank, R.G.; Griliches, Z.; Newhouse, J.; Triplett, J.E. </w:t>
      </w:r>
      <w:r w:rsidRPr="000F3C73">
        <w:rPr>
          <w:rFonts w:ascii="Times New Roman" w:eastAsiaTheme="minorEastAsia" w:hAnsi="Times New Roman" w:cs="Times New Roman"/>
          <w:i/>
          <w:sz w:val="24"/>
          <w:szCs w:val="24"/>
        </w:rPr>
        <w:t>Medical care prices and output</w:t>
      </w:r>
      <w:r w:rsidRPr="000F3C73">
        <w:rPr>
          <w:rFonts w:ascii="Times New Roman" w:eastAsiaTheme="minorEastAsia" w:hAnsi="Times New Roman" w:cs="Times New Roman"/>
          <w:sz w:val="24"/>
          <w:szCs w:val="24"/>
        </w:rPr>
        <w:t xml:space="preserve">. In: </w:t>
      </w:r>
      <w:r w:rsidRPr="000F3C73">
        <w:rPr>
          <w:rFonts w:ascii="Times New Roman" w:eastAsiaTheme="minorEastAsia" w:hAnsi="Times New Roman" w:cs="Times New Roman"/>
          <w:b/>
          <w:sz w:val="24"/>
          <w:szCs w:val="24"/>
        </w:rPr>
        <w:t>Handbook of Health Economics</w:t>
      </w:r>
      <w:r w:rsidRPr="000F3C73">
        <w:rPr>
          <w:rFonts w:ascii="Times New Roman" w:eastAsiaTheme="minorEastAsia" w:hAnsi="Times New Roman" w:cs="Times New Roman"/>
          <w:sz w:val="24"/>
          <w:szCs w:val="24"/>
        </w:rPr>
        <w:t>, vol. 1. Amsterdam: Elsevier, Cap. 03, p. 119-180, 2000.</w:t>
      </w:r>
    </w:p>
    <w:p w:rsidR="000F3C73" w:rsidRPr="000F3C73" w:rsidRDefault="000F3C73" w:rsidP="003D7736">
      <w:pPr>
        <w:pStyle w:val="Corpodetexto2"/>
        <w:spacing w:after="0" w:line="240" w:lineRule="auto"/>
        <w:ind w:left="0"/>
        <w:jc w:val="both"/>
        <w:rPr>
          <w:rFonts w:ascii="Times New Roman" w:hAnsi="Times New Roman" w:cs="Times New Roman"/>
          <w:bCs/>
          <w:sz w:val="24"/>
          <w:szCs w:val="24"/>
          <w:lang w:val="en-US"/>
        </w:rPr>
      </w:pPr>
      <w:r w:rsidRPr="000F3C73">
        <w:rPr>
          <w:rFonts w:ascii="Times New Roman" w:hAnsi="Times New Roman" w:cs="Times New Roman"/>
          <w:bCs/>
          <w:sz w:val="24"/>
          <w:szCs w:val="24"/>
          <w:lang w:val="en-US"/>
        </w:rPr>
        <w:t xml:space="preserve">BLEAKLEY, H. </w:t>
      </w:r>
      <w:r w:rsidRPr="000F3C73">
        <w:rPr>
          <w:rFonts w:ascii="Times New Roman" w:hAnsi="Times New Roman" w:cs="Times New Roman"/>
          <w:bCs/>
          <w:i/>
          <w:sz w:val="24"/>
          <w:szCs w:val="24"/>
          <w:lang w:val="en-US"/>
        </w:rPr>
        <w:t>Disease and Development: Evidence from Hookworm Eradication in the American South</w:t>
      </w:r>
      <w:r w:rsidRPr="000F3C73">
        <w:rPr>
          <w:rFonts w:ascii="Times New Roman" w:hAnsi="Times New Roman" w:cs="Times New Roman"/>
          <w:bCs/>
          <w:sz w:val="24"/>
          <w:szCs w:val="24"/>
          <w:lang w:val="en-US"/>
        </w:rPr>
        <w:t xml:space="preserve">, </w:t>
      </w:r>
      <w:r w:rsidRPr="000F3C73">
        <w:rPr>
          <w:rFonts w:ascii="Times New Roman" w:hAnsi="Times New Roman" w:cs="Times New Roman"/>
          <w:b/>
          <w:bCs/>
          <w:sz w:val="24"/>
          <w:szCs w:val="24"/>
          <w:lang w:val="en-US"/>
        </w:rPr>
        <w:t>The Quarterly Journal of Economics</w:t>
      </w:r>
      <w:r w:rsidRPr="000F3C73">
        <w:rPr>
          <w:rFonts w:ascii="Times New Roman" w:hAnsi="Times New Roman" w:cs="Times New Roman"/>
          <w:bCs/>
          <w:sz w:val="24"/>
          <w:szCs w:val="24"/>
          <w:lang w:val="en-US"/>
        </w:rPr>
        <w:t>, 122 (1): 73-117, 2007.</w:t>
      </w:r>
    </w:p>
    <w:p w:rsidR="000F3C73" w:rsidRPr="000F3C73" w:rsidRDefault="000F3C73" w:rsidP="003D7736">
      <w:pPr>
        <w:pStyle w:val="Corpodetexto2"/>
        <w:spacing w:after="0" w:line="240" w:lineRule="auto"/>
        <w:ind w:left="0"/>
        <w:jc w:val="both"/>
        <w:rPr>
          <w:rFonts w:ascii="Times New Roman" w:hAnsi="Times New Roman" w:cs="Times New Roman"/>
          <w:spacing w:val="6"/>
          <w:sz w:val="24"/>
          <w:szCs w:val="24"/>
          <w:lang w:val="en-US"/>
        </w:rPr>
      </w:pPr>
      <w:r w:rsidRPr="000F3C73">
        <w:rPr>
          <w:rFonts w:ascii="Times New Roman" w:hAnsi="Times New Roman" w:cs="Times New Roman"/>
          <w:spacing w:val="6"/>
          <w:sz w:val="24"/>
          <w:szCs w:val="24"/>
          <w:lang w:val="en-US"/>
        </w:rPr>
        <w:t xml:space="preserve">BLEAKLEY, H. </w:t>
      </w:r>
      <w:r w:rsidRPr="000F3C73">
        <w:rPr>
          <w:rFonts w:ascii="Times New Roman" w:hAnsi="Times New Roman" w:cs="Times New Roman"/>
          <w:i/>
          <w:spacing w:val="6"/>
          <w:sz w:val="24"/>
          <w:szCs w:val="24"/>
          <w:lang w:val="en-US"/>
        </w:rPr>
        <w:t>Malaria Eradication in the Americas: A Retrospective Analysis of Childhood Exposure</w:t>
      </w:r>
      <w:r w:rsidRPr="000F3C73">
        <w:rPr>
          <w:rFonts w:ascii="Times New Roman" w:hAnsi="Times New Roman" w:cs="Times New Roman"/>
          <w:spacing w:val="6"/>
          <w:sz w:val="24"/>
          <w:szCs w:val="24"/>
          <w:lang w:val="en-US"/>
        </w:rPr>
        <w:t xml:space="preserve">, </w:t>
      </w:r>
      <w:r w:rsidRPr="000F3C73">
        <w:rPr>
          <w:rFonts w:ascii="Times New Roman" w:hAnsi="Times New Roman" w:cs="Times New Roman"/>
          <w:b/>
          <w:iCs/>
          <w:spacing w:val="6"/>
          <w:sz w:val="24"/>
          <w:szCs w:val="24"/>
          <w:lang w:val="en-US"/>
        </w:rPr>
        <w:t>American Economic Journal: Applied Economics</w:t>
      </w:r>
      <w:r w:rsidRPr="000F3C73">
        <w:rPr>
          <w:rFonts w:ascii="Times New Roman" w:hAnsi="Times New Roman" w:cs="Times New Roman"/>
          <w:spacing w:val="6"/>
          <w:sz w:val="24"/>
          <w:szCs w:val="24"/>
          <w:lang w:val="en-US"/>
        </w:rPr>
        <w:t xml:space="preserve"> v.2 (2), 1-45, 2010.</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lang w:val="en-US"/>
        </w:rPr>
        <w:t xml:space="preserve">CAIRNCROSS, S.; FEACHEM, R. G. </w:t>
      </w:r>
      <w:r w:rsidRPr="000F3C73">
        <w:rPr>
          <w:rFonts w:ascii="Times New Roman" w:hAnsi="Times New Roman" w:cs="Times New Roman"/>
          <w:i/>
          <w:sz w:val="24"/>
          <w:szCs w:val="24"/>
          <w:lang w:val="en-US"/>
        </w:rPr>
        <w:t>Environmental health engineering in the tropics: an introductory text</w:t>
      </w:r>
      <w:r w:rsidRPr="000F3C73">
        <w:rPr>
          <w:rFonts w:ascii="Times New Roman" w:hAnsi="Times New Roman" w:cs="Times New Roman"/>
          <w:sz w:val="24"/>
          <w:szCs w:val="24"/>
          <w:lang w:val="en-US"/>
        </w:rPr>
        <w:t xml:space="preserve">. </w:t>
      </w:r>
      <w:r w:rsidRPr="000F3C73">
        <w:rPr>
          <w:rFonts w:ascii="Times New Roman" w:hAnsi="Times New Roman" w:cs="Times New Roman"/>
          <w:sz w:val="24"/>
          <w:szCs w:val="24"/>
        </w:rPr>
        <w:t>John Wiley &amp; Sons, Chichester, 1990.</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CAIRNCROSS, S.; R. FEACHEM. </w:t>
      </w:r>
      <w:r w:rsidRPr="000F3C73">
        <w:rPr>
          <w:rFonts w:ascii="Times New Roman" w:hAnsi="Times New Roman" w:cs="Times New Roman"/>
          <w:i/>
          <w:sz w:val="24"/>
          <w:szCs w:val="24"/>
          <w:lang w:val="en-US"/>
        </w:rPr>
        <w:t>Environmental Health Engineering in the Tropics</w:t>
      </w:r>
      <w:r w:rsidRPr="000F3C73">
        <w:rPr>
          <w:rFonts w:ascii="Times New Roman" w:hAnsi="Times New Roman" w:cs="Times New Roman"/>
          <w:sz w:val="24"/>
          <w:szCs w:val="24"/>
          <w:lang w:val="en-US"/>
        </w:rPr>
        <w:t>. 2. ed. Chichester, U.K.: John Wiley &amp; Sons, 1993.</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CUTLER, D., &amp; MILLER, G. </w:t>
      </w:r>
      <w:r w:rsidRPr="000F3C73">
        <w:rPr>
          <w:rFonts w:ascii="Times New Roman" w:hAnsi="Times New Roman" w:cs="Times New Roman"/>
          <w:i/>
          <w:sz w:val="24"/>
          <w:szCs w:val="24"/>
          <w:lang w:val="en-US"/>
        </w:rPr>
        <w:t>The Role of Public Health Improvements in Health Advances: The Twentieth-Century United States</w:t>
      </w:r>
      <w:r w:rsidRPr="000F3C73">
        <w:rPr>
          <w:rFonts w:ascii="Times New Roman" w:hAnsi="Times New Roman" w:cs="Times New Roman"/>
          <w:sz w:val="24"/>
          <w:szCs w:val="24"/>
          <w:lang w:val="en-US"/>
        </w:rPr>
        <w:t>.</w:t>
      </w:r>
      <w:r w:rsidRPr="000F3C73">
        <w:rPr>
          <w:rFonts w:ascii="Times New Roman" w:hAnsi="Times New Roman" w:cs="Times New Roman"/>
          <w:b/>
          <w:sz w:val="24"/>
          <w:szCs w:val="24"/>
          <w:lang w:val="en-US"/>
        </w:rPr>
        <w:t xml:space="preserve"> Demography</w:t>
      </w:r>
      <w:r w:rsidRPr="000F3C73">
        <w:rPr>
          <w:rFonts w:ascii="Times New Roman" w:hAnsi="Times New Roman" w:cs="Times New Roman"/>
          <w:sz w:val="24"/>
          <w:szCs w:val="24"/>
          <w:lang w:val="en-US"/>
        </w:rPr>
        <w:t>, 42 (1), 1-22, 2005.</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DUFLO, E.; MICHAEL GREENSTONE, RAYMOND GUITERAS, AND THOMAS CLASEN. </w:t>
      </w:r>
      <w:r w:rsidRPr="000F3C73">
        <w:rPr>
          <w:rFonts w:ascii="Times New Roman" w:hAnsi="Times New Roman" w:cs="Times New Roman"/>
          <w:i/>
          <w:sz w:val="24"/>
          <w:szCs w:val="24"/>
          <w:lang w:val="en-US"/>
        </w:rPr>
        <w:t>Toilets Can Work: Short and Medium Run Health Impacts of Addressing Complementarities and Externalities in Water and Sanitation</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lang w:val="en-US"/>
        </w:rPr>
        <w:t>NBER Working Paper,</w:t>
      </w:r>
      <w:r w:rsidRPr="000F3C73">
        <w:rPr>
          <w:rFonts w:ascii="Times New Roman" w:hAnsi="Times New Roman" w:cs="Times New Roman"/>
          <w:sz w:val="24"/>
          <w:szCs w:val="24"/>
          <w:lang w:val="en-US"/>
        </w:rPr>
        <w:t xml:space="preserve"> No. 21521, 2015.</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lastRenderedPageBreak/>
        <w:t xml:space="preserve">ESREY, S.; POTASH, J., ROBERTS, L.; SHIFF, C. </w:t>
      </w:r>
      <w:r w:rsidRPr="000F3C73">
        <w:rPr>
          <w:rFonts w:ascii="Times New Roman" w:hAnsi="Times New Roman" w:cs="Times New Roman"/>
          <w:i/>
          <w:sz w:val="24"/>
          <w:szCs w:val="24"/>
          <w:lang w:val="en-US"/>
        </w:rPr>
        <w:t>Effects of Improved Water Supply and Sanitation on Ascariasis, Diarrhoea, Dracunculiasis, Hookworm Infection, Schistosomiasis, and Trachoma</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lang w:val="en-US"/>
        </w:rPr>
        <w:t>Bulletin of the World Health Organization</w:t>
      </w:r>
      <w:r w:rsidRPr="000F3C73">
        <w:rPr>
          <w:rFonts w:ascii="Times New Roman" w:hAnsi="Times New Roman" w:cs="Times New Roman"/>
          <w:sz w:val="24"/>
          <w:szCs w:val="24"/>
          <w:lang w:val="en-US"/>
        </w:rPr>
        <w:t>, 69 (5), 1991</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FEWTRELL, L., KAUFMANN, R. </w:t>
      </w:r>
      <w:r w:rsidRPr="000F3C73">
        <w:rPr>
          <w:rFonts w:ascii="Times New Roman" w:hAnsi="Times New Roman" w:cs="Times New Roman"/>
          <w:i/>
          <w:sz w:val="24"/>
          <w:szCs w:val="24"/>
          <w:lang w:val="en-US"/>
        </w:rPr>
        <w:t>Water Sanitation and Hygiene Interventions to Reduce Diarrhoea in Developed Countries: A Systematic Review and Meta-Analysis</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lang w:val="en-US"/>
        </w:rPr>
        <w:t>Lancet Infectious Diseases</w:t>
      </w:r>
      <w:r w:rsidRPr="000F3C73">
        <w:rPr>
          <w:rFonts w:ascii="Times New Roman" w:hAnsi="Times New Roman" w:cs="Times New Roman"/>
          <w:sz w:val="24"/>
          <w:szCs w:val="24"/>
          <w:lang w:val="en-US"/>
        </w:rPr>
        <w:t>, 5, 2005.</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FLORAX.; FOLMER, H.; REY,S.</w:t>
      </w:r>
      <w:r w:rsidRPr="000F3C73">
        <w:rPr>
          <w:rFonts w:ascii="Times New Roman" w:hAnsi="Times New Roman" w:cs="Times New Roman"/>
          <w:i/>
          <w:sz w:val="24"/>
          <w:szCs w:val="24"/>
          <w:lang w:val="en-US"/>
        </w:rPr>
        <w:t xml:space="preserve"> Specification searches in spatial econometrics: the relevance of Hendry’s methodology</w:t>
      </w:r>
      <w:r w:rsidRPr="000F3C73">
        <w:rPr>
          <w:rFonts w:ascii="Times New Roman" w:hAnsi="Times New Roman" w:cs="Times New Roman"/>
          <w:sz w:val="24"/>
          <w:szCs w:val="24"/>
          <w:lang w:val="en-US"/>
        </w:rPr>
        <w:t>.</w:t>
      </w:r>
      <w:r w:rsidRPr="000F3C73">
        <w:rPr>
          <w:rFonts w:ascii="Times New Roman" w:hAnsi="Times New Roman" w:cs="Times New Roman"/>
          <w:b/>
          <w:sz w:val="24"/>
          <w:szCs w:val="24"/>
          <w:lang w:val="en-US"/>
        </w:rPr>
        <w:t xml:space="preserve"> Regional Science Urban Economics</w:t>
      </w:r>
      <w:r w:rsidRPr="000F3C73">
        <w:rPr>
          <w:rFonts w:ascii="Times New Roman" w:hAnsi="Times New Roman" w:cs="Times New Roman"/>
          <w:sz w:val="24"/>
          <w:szCs w:val="24"/>
          <w:lang w:val="en-US"/>
        </w:rPr>
        <w:t>, v.22, n.5, p. 557-579, 2003.</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GALLUP, J.; SACHS, J. </w:t>
      </w:r>
      <w:r w:rsidRPr="000F3C73">
        <w:rPr>
          <w:rFonts w:ascii="Times New Roman" w:hAnsi="Times New Roman" w:cs="Times New Roman"/>
          <w:i/>
          <w:sz w:val="24"/>
          <w:szCs w:val="24"/>
          <w:lang w:val="en-US"/>
        </w:rPr>
        <w:t>The Economic Burden of Malaria</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lang w:val="en-US"/>
        </w:rPr>
        <w:t>American Journal of Tropical Medicine and Hygiene</w:t>
      </w:r>
      <w:r w:rsidRPr="000F3C73">
        <w:rPr>
          <w:rFonts w:ascii="Times New Roman" w:hAnsi="Times New Roman" w:cs="Times New Roman"/>
          <w:sz w:val="24"/>
          <w:szCs w:val="24"/>
          <w:lang w:val="en-US"/>
        </w:rPr>
        <w:t>, 64, 1, 85-96, 2001.</w:t>
      </w:r>
    </w:p>
    <w:p w:rsidR="000F3C73" w:rsidRPr="000F3C73" w:rsidRDefault="000F3C73" w:rsidP="003D7736">
      <w:pPr>
        <w:autoSpaceDE w:val="0"/>
        <w:autoSpaceDN w:val="0"/>
        <w:adjustRightInd w:val="0"/>
        <w:spacing w:after="0" w:line="240" w:lineRule="auto"/>
        <w:jc w:val="both"/>
        <w:rPr>
          <w:rFonts w:ascii="Times New Roman" w:eastAsiaTheme="minorEastAsia" w:hAnsi="Times New Roman"/>
          <w:sz w:val="24"/>
          <w:szCs w:val="24"/>
        </w:rPr>
      </w:pPr>
      <w:r w:rsidRPr="000F3C73">
        <w:rPr>
          <w:rFonts w:ascii="Times New Roman" w:eastAsiaTheme="minorEastAsia" w:hAnsi="Times New Roman"/>
          <w:sz w:val="24"/>
          <w:szCs w:val="24"/>
        </w:rPr>
        <w:t xml:space="preserve">GERUSO, M.; SPEARS, D. </w:t>
      </w:r>
      <w:r w:rsidRPr="000F3C73">
        <w:rPr>
          <w:rFonts w:ascii="Times New Roman" w:eastAsiaTheme="minorEastAsia" w:hAnsi="Times New Roman"/>
          <w:i/>
          <w:sz w:val="24"/>
          <w:szCs w:val="24"/>
        </w:rPr>
        <w:t>Neighborhood Sanitation and Infant Mortality</w:t>
      </w:r>
      <w:r w:rsidRPr="000F3C73">
        <w:rPr>
          <w:rFonts w:ascii="Times New Roman" w:eastAsiaTheme="minorEastAsia" w:hAnsi="Times New Roman"/>
          <w:sz w:val="24"/>
          <w:szCs w:val="24"/>
        </w:rPr>
        <w:t xml:space="preserve">, </w:t>
      </w:r>
      <w:r w:rsidRPr="000F3C73">
        <w:rPr>
          <w:rFonts w:ascii="Times New Roman" w:eastAsiaTheme="minorEastAsia" w:hAnsi="Times New Roman"/>
          <w:b/>
          <w:sz w:val="24"/>
          <w:szCs w:val="24"/>
        </w:rPr>
        <w:t>National Bureau of Economic Research Working Paper Series</w:t>
      </w:r>
      <w:r w:rsidRPr="000F3C73">
        <w:rPr>
          <w:rFonts w:ascii="Times New Roman" w:eastAsiaTheme="minorEastAsia" w:hAnsi="Times New Roman"/>
          <w:sz w:val="24"/>
          <w:szCs w:val="24"/>
        </w:rPr>
        <w:t>, n. 21184, 2015.</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rPr>
        <w:t xml:space="preserve">GOLGHER, A. B. </w:t>
      </w:r>
      <w:r w:rsidRPr="000F3C73">
        <w:rPr>
          <w:rFonts w:ascii="Times New Roman" w:hAnsi="Times New Roman" w:cs="Times New Roman"/>
          <w:i/>
          <w:sz w:val="24"/>
          <w:szCs w:val="24"/>
        </w:rPr>
        <w:t>Introdução à Econometria Espacial</w:t>
      </w:r>
      <w:r w:rsidRPr="000F3C73">
        <w:rPr>
          <w:rFonts w:ascii="Times New Roman" w:hAnsi="Times New Roman" w:cs="Times New Roman"/>
          <w:sz w:val="24"/>
          <w:szCs w:val="24"/>
        </w:rPr>
        <w:t>, Jundiaí, Paco Editorial: 2015.</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GROSSMAN, M. </w:t>
      </w:r>
      <w:r w:rsidRPr="000F3C73">
        <w:rPr>
          <w:rFonts w:ascii="Times New Roman" w:hAnsi="Times New Roman" w:cs="Times New Roman"/>
          <w:i/>
          <w:sz w:val="24"/>
          <w:szCs w:val="24"/>
          <w:lang w:val="en-US"/>
        </w:rPr>
        <w:t>On the concept of health capital and the demand for health</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lang w:val="en-US"/>
        </w:rPr>
        <w:t>Journal of Political Economy</w:t>
      </w:r>
      <w:r w:rsidRPr="000F3C73">
        <w:rPr>
          <w:rFonts w:ascii="Times New Roman" w:hAnsi="Times New Roman" w:cs="Times New Roman"/>
          <w:sz w:val="24"/>
          <w:szCs w:val="24"/>
          <w:lang w:val="en-US"/>
        </w:rPr>
        <w:t>, 80: 2, 223-255, 1972.</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rPr>
        <w:t xml:space="preserve">HELLER L. </w:t>
      </w:r>
      <w:r w:rsidRPr="000F3C73">
        <w:rPr>
          <w:rFonts w:ascii="Times New Roman" w:hAnsi="Times New Roman" w:cs="Times New Roman"/>
          <w:i/>
          <w:sz w:val="24"/>
          <w:szCs w:val="24"/>
        </w:rPr>
        <w:t>Saneamento e Saúde</w:t>
      </w:r>
      <w:r w:rsidRPr="000F3C73">
        <w:rPr>
          <w:rFonts w:ascii="Times New Roman" w:hAnsi="Times New Roman" w:cs="Times New Roman"/>
          <w:sz w:val="24"/>
          <w:szCs w:val="24"/>
        </w:rPr>
        <w:t xml:space="preserve">. Brasília: </w:t>
      </w:r>
      <w:r w:rsidRPr="000F3C73">
        <w:rPr>
          <w:rFonts w:ascii="Times New Roman" w:hAnsi="Times New Roman" w:cs="Times New Roman"/>
          <w:b/>
          <w:sz w:val="24"/>
          <w:szCs w:val="24"/>
        </w:rPr>
        <w:t>OPAS</w:t>
      </w:r>
      <w:r w:rsidRPr="000F3C73">
        <w:rPr>
          <w:rFonts w:ascii="Times New Roman" w:hAnsi="Times New Roman" w:cs="Times New Roman"/>
          <w:sz w:val="24"/>
          <w:szCs w:val="24"/>
        </w:rPr>
        <w:t>; 1997.</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rPr>
        <w:t xml:space="preserve">KASSOUF, A. </w:t>
      </w:r>
      <w:r w:rsidRPr="000F3C73">
        <w:rPr>
          <w:rFonts w:ascii="Times New Roman" w:hAnsi="Times New Roman" w:cs="Times New Roman"/>
          <w:i/>
          <w:sz w:val="24"/>
          <w:szCs w:val="24"/>
        </w:rPr>
        <w:t>A demanda de saúde infantil no Brasil por região e setor</w:t>
      </w:r>
      <w:r w:rsidRPr="000F3C73">
        <w:rPr>
          <w:rFonts w:ascii="Times New Roman" w:hAnsi="Times New Roman" w:cs="Times New Roman"/>
          <w:sz w:val="24"/>
          <w:szCs w:val="24"/>
        </w:rPr>
        <w:t xml:space="preserve">. </w:t>
      </w:r>
      <w:r w:rsidRPr="000F3C73">
        <w:rPr>
          <w:rFonts w:ascii="Times New Roman" w:hAnsi="Times New Roman" w:cs="Times New Roman"/>
          <w:b/>
          <w:sz w:val="24"/>
          <w:szCs w:val="24"/>
          <w:lang w:val="en-US"/>
        </w:rPr>
        <w:t>Pesquisa e Planejamento Econômico</w:t>
      </w:r>
      <w:r w:rsidRPr="000F3C73">
        <w:rPr>
          <w:rFonts w:ascii="Times New Roman" w:hAnsi="Times New Roman" w:cs="Times New Roman"/>
          <w:sz w:val="24"/>
          <w:szCs w:val="24"/>
          <w:lang w:val="en-US"/>
        </w:rPr>
        <w:t>, n. 24, 235-260, 1994.</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LESAGE, J.; PACE, R. K. </w:t>
      </w:r>
      <w:r w:rsidRPr="000F3C73">
        <w:rPr>
          <w:rFonts w:ascii="Times New Roman" w:hAnsi="Times New Roman" w:cs="Times New Roman"/>
          <w:i/>
          <w:sz w:val="24"/>
          <w:szCs w:val="24"/>
          <w:lang w:val="en-US"/>
        </w:rPr>
        <w:t>Introduction to spatial econometrics</w:t>
      </w:r>
      <w:r w:rsidRPr="000F3C73">
        <w:rPr>
          <w:rFonts w:ascii="Times New Roman" w:hAnsi="Times New Roman" w:cs="Times New Roman"/>
          <w:sz w:val="24"/>
          <w:szCs w:val="24"/>
          <w:lang w:val="en-US"/>
        </w:rPr>
        <w:t>. Boca Raton: Taylor &amp; Francis Group, 2009.</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MARA, D. D.; FEACHEM, R. G. A. </w:t>
      </w:r>
      <w:r w:rsidRPr="000F3C73">
        <w:rPr>
          <w:rFonts w:ascii="Times New Roman" w:hAnsi="Times New Roman" w:cs="Times New Roman"/>
          <w:i/>
          <w:sz w:val="24"/>
          <w:szCs w:val="24"/>
          <w:lang w:val="en-US"/>
        </w:rPr>
        <w:t>Water and excreta related diseases: unitary environmental classification</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lang w:val="en-US"/>
        </w:rPr>
        <w:t>Journal of Environmental Engineering</w:t>
      </w:r>
      <w:r w:rsidRPr="000F3C73">
        <w:rPr>
          <w:rFonts w:ascii="Times New Roman" w:hAnsi="Times New Roman" w:cs="Times New Roman"/>
          <w:sz w:val="24"/>
          <w:szCs w:val="24"/>
          <w:lang w:val="en-US"/>
        </w:rPr>
        <w:t>, n.125, 1999.</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MIGUEL, E; KREMER, M. </w:t>
      </w:r>
      <w:r w:rsidRPr="000F3C73">
        <w:rPr>
          <w:rFonts w:ascii="Times New Roman" w:hAnsi="Times New Roman" w:cs="Times New Roman"/>
          <w:i/>
          <w:sz w:val="24"/>
          <w:szCs w:val="24"/>
          <w:lang w:val="en-US"/>
        </w:rPr>
        <w:t>Worms: identifying impacts on education and health in the presence of treatment externalities</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lang w:val="en-US"/>
        </w:rPr>
        <w:t>Econometrica</w:t>
      </w:r>
      <w:r w:rsidRPr="000F3C73">
        <w:rPr>
          <w:rFonts w:ascii="Times New Roman" w:hAnsi="Times New Roman" w:cs="Times New Roman"/>
          <w:sz w:val="24"/>
          <w:szCs w:val="24"/>
          <w:lang w:val="en-US"/>
        </w:rPr>
        <w:t>, 72 (1), 159-217, jan 2004.</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MORAES et al, L. R. S., CANCIO, J. A., CAIRNCROSS, S.; HUTTLY, S.,</w:t>
      </w:r>
      <w:r w:rsidRPr="000F3C73">
        <w:rPr>
          <w:rFonts w:ascii="Times New Roman" w:hAnsi="Times New Roman" w:cs="Times New Roman"/>
          <w:i/>
          <w:sz w:val="24"/>
          <w:szCs w:val="24"/>
          <w:lang w:val="en-US"/>
        </w:rPr>
        <w:t xml:space="preserve"> Impact of drainage and sewerage on diarrhoea in poor urban areas in Salvador</w:t>
      </w:r>
      <w:r w:rsidRPr="000F3C73">
        <w:rPr>
          <w:rFonts w:ascii="Times New Roman" w:hAnsi="Times New Roman" w:cs="Times New Roman"/>
          <w:sz w:val="24"/>
          <w:szCs w:val="24"/>
          <w:lang w:val="en-US"/>
        </w:rPr>
        <w:t xml:space="preserve">, Brazil, </w:t>
      </w:r>
      <w:r w:rsidRPr="000F3C73">
        <w:rPr>
          <w:rFonts w:ascii="Times New Roman" w:hAnsi="Times New Roman" w:cs="Times New Roman"/>
          <w:b/>
          <w:sz w:val="24"/>
          <w:szCs w:val="24"/>
          <w:lang w:val="en-US"/>
        </w:rPr>
        <w:t>Transactions of the Royal Society of Tropical Medicine and Hygiene</w:t>
      </w:r>
      <w:r w:rsidRPr="000F3C73">
        <w:rPr>
          <w:rFonts w:ascii="Times New Roman" w:hAnsi="Times New Roman" w:cs="Times New Roman"/>
          <w:sz w:val="24"/>
          <w:szCs w:val="24"/>
          <w:lang w:val="en-US"/>
        </w:rPr>
        <w:t>, v. 97, 153- 158, 2003.</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rPr>
        <w:t xml:space="preserve">SOUSA, T. R. V.; LEITE FILHO, P. A. M. </w:t>
      </w:r>
      <w:r w:rsidRPr="000F3C73">
        <w:rPr>
          <w:rFonts w:ascii="Times New Roman" w:hAnsi="Times New Roman" w:cs="Times New Roman"/>
          <w:i/>
          <w:sz w:val="24"/>
          <w:szCs w:val="24"/>
        </w:rPr>
        <w:t>Análise por Dados em painel do status de saúde no Nordeste brasileiro</w:t>
      </w:r>
      <w:r w:rsidRPr="000F3C73">
        <w:rPr>
          <w:rFonts w:ascii="Times New Roman" w:hAnsi="Times New Roman" w:cs="Times New Roman"/>
          <w:sz w:val="24"/>
          <w:szCs w:val="24"/>
        </w:rPr>
        <w:t xml:space="preserve">, </w:t>
      </w:r>
      <w:r w:rsidRPr="000F3C73">
        <w:rPr>
          <w:rFonts w:ascii="Times New Roman" w:hAnsi="Times New Roman" w:cs="Times New Roman"/>
          <w:b/>
          <w:sz w:val="24"/>
          <w:szCs w:val="24"/>
        </w:rPr>
        <w:t>Revista Saúde Pública</w:t>
      </w:r>
      <w:r w:rsidRPr="000F3C73">
        <w:rPr>
          <w:rFonts w:ascii="Times New Roman" w:hAnsi="Times New Roman" w:cs="Times New Roman"/>
          <w:sz w:val="24"/>
          <w:szCs w:val="24"/>
        </w:rPr>
        <w:t xml:space="preserve">, v.45(2), 796-804, 2008. </w:t>
      </w:r>
    </w:p>
    <w:p w:rsidR="000F3C73" w:rsidRPr="000F3C73" w:rsidRDefault="000F3C73" w:rsidP="003D7736">
      <w:pPr>
        <w:pStyle w:val="Corpodetexto2"/>
        <w:spacing w:after="0" w:line="240" w:lineRule="auto"/>
        <w:ind w:left="0"/>
        <w:jc w:val="both"/>
        <w:rPr>
          <w:rFonts w:ascii="Times New Roman" w:hAnsi="Times New Roman" w:cs="Times New Roman"/>
          <w:sz w:val="24"/>
          <w:szCs w:val="24"/>
          <w:lang w:val="en-US"/>
        </w:rPr>
      </w:pPr>
      <w:r w:rsidRPr="000F3C73">
        <w:rPr>
          <w:rFonts w:ascii="Times New Roman" w:hAnsi="Times New Roman" w:cs="Times New Roman"/>
          <w:sz w:val="24"/>
          <w:szCs w:val="24"/>
          <w:lang w:val="en-US"/>
        </w:rPr>
        <w:t xml:space="preserve">PHILIPPI JR; MALHEIROS, T. F. </w:t>
      </w:r>
      <w:r w:rsidRPr="000F3C73">
        <w:rPr>
          <w:rFonts w:ascii="Times New Roman" w:hAnsi="Times New Roman" w:cs="Times New Roman"/>
          <w:i/>
          <w:sz w:val="24"/>
          <w:szCs w:val="24"/>
          <w:lang w:val="en-US"/>
        </w:rPr>
        <w:t>Saneamento e Saúde Pública: integrando homem e ambiente</w:t>
      </w:r>
      <w:r w:rsidRPr="000F3C73">
        <w:rPr>
          <w:rFonts w:ascii="Times New Roman" w:hAnsi="Times New Roman" w:cs="Times New Roman"/>
          <w:sz w:val="24"/>
          <w:szCs w:val="24"/>
          <w:lang w:val="en-US"/>
        </w:rPr>
        <w:t>, p.3-31 in: PHILIPPI JR. A (ed). Saneamento, Saúde e Ambiente: fundamentos para um Desenvolvimento Sustentável, Barueri, SP: Manole, 2005.</w:t>
      </w:r>
    </w:p>
    <w:p w:rsidR="000F3C73" w:rsidRPr="000F3C73" w:rsidRDefault="000F3C73" w:rsidP="003D7736">
      <w:pPr>
        <w:pStyle w:val="Corpodetexto2"/>
        <w:spacing w:after="0" w:line="240" w:lineRule="auto"/>
        <w:ind w:left="0"/>
        <w:jc w:val="both"/>
        <w:rPr>
          <w:rFonts w:ascii="Times New Roman" w:hAnsi="Times New Roman" w:cs="Times New Roman"/>
          <w:sz w:val="24"/>
          <w:szCs w:val="24"/>
        </w:rPr>
      </w:pPr>
      <w:r w:rsidRPr="000F3C73">
        <w:rPr>
          <w:rFonts w:ascii="Times New Roman" w:hAnsi="Times New Roman" w:cs="Times New Roman"/>
          <w:sz w:val="24"/>
          <w:szCs w:val="24"/>
          <w:lang w:val="en-US"/>
        </w:rPr>
        <w:t xml:space="preserve">TOBIN, J. </w:t>
      </w:r>
      <w:r w:rsidRPr="000F3C73">
        <w:rPr>
          <w:rFonts w:ascii="Times New Roman" w:hAnsi="Times New Roman" w:cs="Times New Roman"/>
          <w:i/>
          <w:sz w:val="24"/>
          <w:szCs w:val="24"/>
          <w:lang w:val="en-US"/>
        </w:rPr>
        <w:t>Estimation of Relationships for Limited Dependent Variables</w:t>
      </w:r>
      <w:r w:rsidRPr="000F3C73">
        <w:rPr>
          <w:rFonts w:ascii="Times New Roman" w:hAnsi="Times New Roman" w:cs="Times New Roman"/>
          <w:sz w:val="24"/>
          <w:szCs w:val="24"/>
          <w:lang w:val="en-US"/>
        </w:rPr>
        <w:t xml:space="preserve">, </w:t>
      </w:r>
      <w:r w:rsidRPr="000F3C73">
        <w:rPr>
          <w:rFonts w:ascii="Times New Roman" w:hAnsi="Times New Roman" w:cs="Times New Roman"/>
          <w:b/>
          <w:sz w:val="24"/>
          <w:szCs w:val="24"/>
        </w:rPr>
        <w:t>Econometrica</w:t>
      </w:r>
      <w:r w:rsidRPr="000F3C73">
        <w:rPr>
          <w:rFonts w:ascii="Times New Roman" w:hAnsi="Times New Roman" w:cs="Times New Roman"/>
          <w:sz w:val="24"/>
          <w:szCs w:val="24"/>
        </w:rPr>
        <w:t xml:space="preserve">, 26 (1): 24–36, </w:t>
      </w:r>
      <w:r w:rsidRPr="000F3C73">
        <w:rPr>
          <w:rFonts w:ascii="Times New Roman" w:hAnsi="Times New Roman" w:cs="Times New Roman"/>
          <w:sz w:val="24"/>
          <w:szCs w:val="24"/>
          <w:lang w:val="en-US"/>
        </w:rPr>
        <w:t>1958</w:t>
      </w:r>
      <w:r w:rsidRPr="000F3C73">
        <w:rPr>
          <w:rFonts w:ascii="Times New Roman" w:hAnsi="Times New Roman" w:cs="Times New Roman"/>
          <w:sz w:val="24"/>
          <w:szCs w:val="24"/>
        </w:rPr>
        <w:t xml:space="preserve">. </w:t>
      </w:r>
    </w:p>
    <w:p w:rsidR="000F3C73" w:rsidRPr="000F3C73" w:rsidRDefault="000F3C73" w:rsidP="003D7736">
      <w:pPr>
        <w:autoSpaceDE w:val="0"/>
        <w:autoSpaceDN w:val="0"/>
        <w:adjustRightInd w:val="0"/>
        <w:spacing w:after="0" w:line="240" w:lineRule="auto"/>
        <w:jc w:val="both"/>
        <w:rPr>
          <w:rFonts w:ascii="Times New Roman" w:eastAsiaTheme="minorEastAsia" w:hAnsi="Times New Roman"/>
          <w:sz w:val="24"/>
          <w:szCs w:val="24"/>
        </w:rPr>
      </w:pPr>
      <w:r w:rsidRPr="000F3C73">
        <w:rPr>
          <w:rFonts w:ascii="Times New Roman" w:eastAsiaTheme="minorEastAsia" w:hAnsi="Times New Roman"/>
          <w:sz w:val="24"/>
          <w:szCs w:val="24"/>
        </w:rPr>
        <w:t xml:space="preserve">WATSON, T. </w:t>
      </w:r>
      <w:r w:rsidRPr="000F3C73">
        <w:rPr>
          <w:rFonts w:ascii="Times New Roman" w:eastAsiaTheme="minorEastAsia" w:hAnsi="Times New Roman"/>
          <w:i/>
          <w:sz w:val="24"/>
          <w:szCs w:val="24"/>
        </w:rPr>
        <w:t>Public Health Investments and the Infant Mortality Gap: Evidence from Federal Sanitation Interventions on U.S. Indian Reservations</w:t>
      </w:r>
      <w:r w:rsidRPr="000F3C73">
        <w:rPr>
          <w:rFonts w:ascii="Times New Roman" w:eastAsiaTheme="minorEastAsia" w:hAnsi="Times New Roman"/>
          <w:sz w:val="24"/>
          <w:szCs w:val="24"/>
        </w:rPr>
        <w:t xml:space="preserve">, </w:t>
      </w:r>
      <w:r w:rsidRPr="000F3C73">
        <w:rPr>
          <w:rFonts w:ascii="Times New Roman" w:eastAsiaTheme="minorEastAsia" w:hAnsi="Times New Roman"/>
          <w:b/>
          <w:sz w:val="24"/>
          <w:szCs w:val="24"/>
        </w:rPr>
        <w:t>Journal of Public Economics</w:t>
      </w:r>
      <w:r w:rsidRPr="000F3C73">
        <w:rPr>
          <w:rFonts w:ascii="Times New Roman" w:eastAsiaTheme="minorEastAsia" w:hAnsi="Times New Roman"/>
          <w:sz w:val="24"/>
          <w:szCs w:val="24"/>
        </w:rPr>
        <w:t>, 90: 1537-1560, 2006.</w:t>
      </w:r>
    </w:p>
    <w:p w:rsidR="008004B4" w:rsidRDefault="008004B4"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3D7736" w:rsidRDefault="003D7736"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5623D1" w:rsidRDefault="005623D1" w:rsidP="00C548FE">
      <w:pPr>
        <w:spacing w:after="0" w:line="240" w:lineRule="auto"/>
        <w:jc w:val="both"/>
        <w:rPr>
          <w:rFonts w:ascii="Times New Roman" w:hAnsi="Times New Roman"/>
          <w:b/>
          <w:sz w:val="24"/>
          <w:szCs w:val="24"/>
        </w:rPr>
      </w:pPr>
    </w:p>
    <w:p w:rsidR="00FF0552" w:rsidRDefault="00FF0552" w:rsidP="00C548FE">
      <w:pPr>
        <w:spacing w:after="0" w:line="240" w:lineRule="auto"/>
        <w:jc w:val="both"/>
        <w:rPr>
          <w:rFonts w:ascii="Times New Roman" w:hAnsi="Times New Roman"/>
          <w:b/>
          <w:sz w:val="24"/>
          <w:szCs w:val="24"/>
        </w:rPr>
      </w:pPr>
    </w:p>
    <w:p w:rsidR="003D7736" w:rsidRDefault="003D7736" w:rsidP="00C548FE">
      <w:pPr>
        <w:spacing w:after="0" w:line="240" w:lineRule="auto"/>
        <w:jc w:val="both"/>
        <w:rPr>
          <w:rFonts w:ascii="Times New Roman" w:hAnsi="Times New Roman"/>
          <w:b/>
          <w:sz w:val="24"/>
          <w:szCs w:val="24"/>
        </w:rPr>
      </w:pPr>
    </w:p>
    <w:p w:rsidR="004B0A05" w:rsidRPr="005D4236" w:rsidRDefault="004B0A05" w:rsidP="00C548FE">
      <w:pPr>
        <w:spacing w:after="0" w:line="240" w:lineRule="auto"/>
        <w:jc w:val="both"/>
        <w:rPr>
          <w:rFonts w:ascii="Times New Roman" w:hAnsi="Times New Roman"/>
          <w:b/>
          <w:sz w:val="24"/>
          <w:szCs w:val="24"/>
        </w:rPr>
      </w:pPr>
      <w:r w:rsidRPr="005D4236">
        <w:rPr>
          <w:rFonts w:ascii="Times New Roman" w:hAnsi="Times New Roman"/>
          <w:b/>
          <w:sz w:val="24"/>
          <w:szCs w:val="24"/>
        </w:rPr>
        <w:lastRenderedPageBreak/>
        <w:t>ANEXOS</w:t>
      </w:r>
    </w:p>
    <w:p w:rsidR="005623D1" w:rsidRPr="005D4236" w:rsidRDefault="005623D1" w:rsidP="00C548FE">
      <w:pPr>
        <w:spacing w:after="0" w:line="240" w:lineRule="auto"/>
        <w:jc w:val="both"/>
        <w:rPr>
          <w:rFonts w:ascii="Times New Roman" w:hAnsi="Times New Roman"/>
          <w:b/>
          <w:sz w:val="24"/>
          <w:szCs w:val="24"/>
        </w:rPr>
      </w:pPr>
    </w:p>
    <w:p w:rsidR="004B0A05" w:rsidRPr="005D4236" w:rsidRDefault="004B0A05" w:rsidP="00DA64FE">
      <w:pPr>
        <w:pStyle w:val="Tabela"/>
        <w:rPr>
          <w:rFonts w:cs="Times New Roman"/>
        </w:rPr>
      </w:pPr>
      <w:bookmarkStart w:id="7" w:name="_Toc447147126"/>
      <w:r w:rsidRPr="005D4236">
        <w:rPr>
          <w:rFonts w:cs="Times New Roman"/>
        </w:rPr>
        <w:t>Tabela A.1: Número de CEPs encontrados pelo CNEFE, Correios e agregações.</w:t>
      </w:r>
      <w:bookmarkEnd w:id="7"/>
    </w:p>
    <w:p w:rsidR="004B0A05" w:rsidRPr="005D4236" w:rsidRDefault="004B0A05" w:rsidP="00DA64FE">
      <w:pPr>
        <w:spacing w:after="0" w:line="240" w:lineRule="auto"/>
        <w:jc w:val="center"/>
        <w:rPr>
          <w:rFonts w:ascii="Times New Roman" w:hAnsi="Times New Roman"/>
          <w:b/>
          <w:sz w:val="24"/>
          <w:szCs w:val="24"/>
        </w:rPr>
      </w:pPr>
      <w:r w:rsidRPr="005D4236">
        <w:rPr>
          <w:rFonts w:ascii="Times New Roman" w:hAnsi="Times New Roman"/>
          <w:b/>
          <w:noProof/>
          <w:sz w:val="24"/>
          <w:szCs w:val="24"/>
          <w:lang w:eastAsia="pt-BR"/>
        </w:rPr>
        <w:drawing>
          <wp:inline distT="0" distB="0" distL="0" distR="0" wp14:anchorId="7CA54FE1" wp14:editId="6CF66C36">
            <wp:extent cx="5400040" cy="6571924"/>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6571924"/>
                    </a:xfrm>
                    <a:prstGeom prst="rect">
                      <a:avLst/>
                    </a:prstGeom>
                    <a:noFill/>
                    <a:ln>
                      <a:noFill/>
                    </a:ln>
                  </pic:spPr>
                </pic:pic>
              </a:graphicData>
            </a:graphic>
          </wp:inline>
        </w:drawing>
      </w:r>
    </w:p>
    <w:p w:rsidR="004B0A05" w:rsidRDefault="007B04DD" w:rsidP="007B04DD">
      <w:pPr>
        <w:spacing w:after="0" w:line="240" w:lineRule="auto"/>
        <w:jc w:val="both"/>
        <w:rPr>
          <w:rFonts w:ascii="Times New Roman" w:hAnsi="Times New Roman"/>
          <w:b/>
          <w:sz w:val="24"/>
          <w:szCs w:val="24"/>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752EA9" w:rsidRDefault="00752EA9"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9572D1" w:rsidRDefault="009572D1" w:rsidP="00C548FE">
      <w:pPr>
        <w:spacing w:after="0" w:line="240" w:lineRule="auto"/>
        <w:jc w:val="both"/>
        <w:rPr>
          <w:rFonts w:ascii="Times New Roman" w:hAnsi="Times New Roman"/>
          <w:b/>
          <w:sz w:val="24"/>
          <w:szCs w:val="24"/>
        </w:rPr>
      </w:pPr>
    </w:p>
    <w:p w:rsidR="000A12F4" w:rsidRPr="000A12F4" w:rsidRDefault="000A12F4" w:rsidP="000A12F4">
      <w:pPr>
        <w:spacing w:after="0" w:line="240" w:lineRule="auto"/>
        <w:jc w:val="center"/>
        <w:rPr>
          <w:rFonts w:ascii="Times New Roman" w:hAnsi="Times New Roman"/>
          <w:b/>
          <w:sz w:val="24"/>
          <w:szCs w:val="24"/>
        </w:rPr>
      </w:pPr>
      <w:r w:rsidRPr="000A12F4">
        <w:rPr>
          <w:rFonts w:ascii="Times New Roman" w:hAnsi="Times New Roman"/>
          <w:b/>
          <w:sz w:val="24"/>
          <w:szCs w:val="24"/>
        </w:rPr>
        <w:lastRenderedPageBreak/>
        <w:t>Tabela A.2: Estatísticas descritivas das variáveis explicativas e explicadas</w:t>
      </w:r>
    </w:p>
    <w:p w:rsidR="009572D1" w:rsidRDefault="009572D1" w:rsidP="009572D1">
      <w:pPr>
        <w:spacing w:after="0" w:line="240" w:lineRule="auto"/>
        <w:jc w:val="center"/>
        <w:rPr>
          <w:rFonts w:ascii="Times New Roman" w:hAnsi="Times New Roman"/>
          <w:b/>
          <w:sz w:val="24"/>
          <w:szCs w:val="24"/>
        </w:rPr>
      </w:pPr>
      <w:r w:rsidRPr="00292395">
        <w:rPr>
          <w:noProof/>
          <w:lang w:eastAsia="pt-BR"/>
        </w:rPr>
        <w:drawing>
          <wp:inline distT="0" distB="0" distL="0" distR="0" wp14:anchorId="0070B5E3" wp14:editId="7EFE721E">
            <wp:extent cx="4219575" cy="34385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3438525"/>
                    </a:xfrm>
                    <a:prstGeom prst="rect">
                      <a:avLst/>
                    </a:prstGeom>
                    <a:noFill/>
                    <a:ln>
                      <a:noFill/>
                    </a:ln>
                  </pic:spPr>
                </pic:pic>
              </a:graphicData>
            </a:graphic>
          </wp:inline>
        </w:drawing>
      </w:r>
    </w:p>
    <w:p w:rsidR="000A12F4" w:rsidRDefault="000A12F4" w:rsidP="000A12F4">
      <w:pPr>
        <w:spacing w:after="0" w:line="240" w:lineRule="auto"/>
        <w:ind w:left="708" w:firstLine="708"/>
        <w:rPr>
          <w:rFonts w:ascii="Times New Roman" w:hAnsi="Times New Roman"/>
          <w:sz w:val="24"/>
          <w:szCs w:val="24"/>
        </w:rPr>
      </w:pPr>
      <w:r>
        <w:rPr>
          <w:rFonts w:ascii="Times New Roman" w:hAnsi="Times New Roman"/>
          <w:sz w:val="20"/>
          <w:szCs w:val="20"/>
        </w:rPr>
        <w:t xml:space="preserve"> </w:t>
      </w:r>
      <w:r w:rsidRPr="00452EAE">
        <w:rPr>
          <w:rFonts w:ascii="Times New Roman" w:hAnsi="Times New Roman"/>
          <w:sz w:val="20"/>
          <w:szCs w:val="20"/>
        </w:rPr>
        <w:t>Fonte: Elaboração própria</w:t>
      </w:r>
      <w:r>
        <w:rPr>
          <w:rFonts w:ascii="Times New Roman" w:hAnsi="Times New Roman"/>
          <w:sz w:val="20"/>
          <w:szCs w:val="20"/>
        </w:rPr>
        <w:t xml:space="preserve"> a partir de dados da pesquisa.</w:t>
      </w:r>
    </w:p>
    <w:p w:rsidR="000A12F4" w:rsidRDefault="000A12F4" w:rsidP="009572D1">
      <w:pPr>
        <w:spacing w:after="0" w:line="240" w:lineRule="auto"/>
        <w:jc w:val="center"/>
        <w:rPr>
          <w:rFonts w:ascii="Times New Roman" w:hAnsi="Times New Roman"/>
          <w:b/>
          <w:sz w:val="24"/>
          <w:szCs w:val="24"/>
        </w:rPr>
      </w:pPr>
    </w:p>
    <w:p w:rsidR="009572D1" w:rsidRDefault="009572D1" w:rsidP="009572D1">
      <w:pPr>
        <w:spacing w:after="0" w:line="240" w:lineRule="auto"/>
        <w:jc w:val="center"/>
      </w:pPr>
      <w:r w:rsidRPr="00AA6480">
        <w:rPr>
          <w:noProof/>
          <w:lang w:eastAsia="pt-BR"/>
        </w:rPr>
        <w:drawing>
          <wp:inline distT="0" distB="0" distL="0" distR="0" wp14:anchorId="79453A76" wp14:editId="6FE0B53A">
            <wp:extent cx="4457700" cy="4552950"/>
            <wp:effectExtent l="57150" t="57150" r="57150" b="57150"/>
            <wp:docPr id="86" name="Imagem 86" descr="C:\Users\Juliana\Dropbox\Base_AP\certos\teste\Bras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na\Dropbox\Base_AP\certos\teste\Brasi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4552950"/>
                    </a:xfrm>
                    <a:prstGeom prst="rect">
                      <a:avLst/>
                    </a:prstGeom>
                    <a:noFill/>
                    <a:ln>
                      <a:noFill/>
                    </a:ln>
                    <a:scene3d>
                      <a:camera prst="orthographicFront"/>
                      <a:lightRig rig="threePt" dir="t"/>
                    </a:scene3d>
                    <a:sp3d contourW="6350"/>
                  </pic:spPr>
                </pic:pic>
              </a:graphicData>
            </a:graphic>
          </wp:inline>
        </w:drawing>
      </w:r>
    </w:p>
    <w:p w:rsidR="009572D1" w:rsidRPr="00C5559A" w:rsidRDefault="009572D1" w:rsidP="009572D1">
      <w:pPr>
        <w:pStyle w:val="Figura"/>
      </w:pPr>
      <w:bookmarkStart w:id="8" w:name="_Toc446981933"/>
      <w:r>
        <w:t xml:space="preserve">Figura </w:t>
      </w:r>
      <w:r w:rsidR="000A12F4">
        <w:t>A</w:t>
      </w:r>
      <w:r>
        <w:t>.</w:t>
      </w:r>
      <w:r w:rsidR="000A12F4">
        <w:t>1</w:t>
      </w:r>
      <w:r w:rsidRPr="00C5559A">
        <w:t>: Distribuição espacial das aglomerações das taxas de incidência de internações por DRSAI para</w:t>
      </w:r>
      <w:r>
        <w:t xml:space="preserve"> a população de todas as idades (</w:t>
      </w:r>
      <w:r w:rsidRPr="00C5559A">
        <w:t>2010</w:t>
      </w:r>
      <w:r>
        <w:t>)</w:t>
      </w:r>
      <w:r w:rsidRPr="00C5559A">
        <w:t>.</w:t>
      </w:r>
      <w:bookmarkEnd w:id="8"/>
    </w:p>
    <w:p w:rsidR="00292395" w:rsidRPr="000A12F4" w:rsidRDefault="00292395" w:rsidP="00C548FE">
      <w:pPr>
        <w:spacing w:after="0" w:line="240" w:lineRule="auto"/>
        <w:jc w:val="both"/>
        <w:rPr>
          <w:rFonts w:ascii="Times New Roman" w:hAnsi="Times New Roman"/>
          <w:sz w:val="24"/>
          <w:szCs w:val="24"/>
        </w:rPr>
      </w:pPr>
    </w:p>
    <w:sectPr w:rsidR="00292395" w:rsidRPr="000A12F4" w:rsidSect="0040081D">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020" w:rsidRDefault="00381020" w:rsidP="001669E0">
      <w:pPr>
        <w:spacing w:after="0" w:line="240" w:lineRule="auto"/>
      </w:pPr>
      <w:r>
        <w:separator/>
      </w:r>
    </w:p>
  </w:endnote>
  <w:endnote w:type="continuationSeparator" w:id="0">
    <w:p w:rsidR="00381020" w:rsidRDefault="00381020" w:rsidP="0016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020" w:rsidRDefault="00381020" w:rsidP="001669E0">
      <w:pPr>
        <w:spacing w:after="0" w:line="240" w:lineRule="auto"/>
      </w:pPr>
      <w:r>
        <w:separator/>
      </w:r>
    </w:p>
  </w:footnote>
  <w:footnote w:type="continuationSeparator" w:id="0">
    <w:p w:rsidR="00381020" w:rsidRDefault="00381020" w:rsidP="001669E0">
      <w:pPr>
        <w:spacing w:after="0" w:line="240" w:lineRule="auto"/>
      </w:pPr>
      <w:r>
        <w:continuationSeparator/>
      </w:r>
    </w:p>
  </w:footnote>
  <w:footnote w:id="1">
    <w:p w:rsidR="006A522C" w:rsidRPr="004012D9" w:rsidRDefault="006A522C" w:rsidP="00B05BB6">
      <w:pPr>
        <w:pStyle w:val="Textodenotaderodap"/>
        <w:jc w:val="both"/>
        <w:rPr>
          <w:rFonts w:asciiTheme="minorHAnsi" w:hAnsiTheme="minorHAnsi"/>
        </w:rPr>
      </w:pPr>
      <w:r w:rsidRPr="004012D9">
        <w:rPr>
          <w:rStyle w:val="Refdenotaderodap"/>
          <w:rFonts w:asciiTheme="minorHAnsi" w:hAnsiTheme="minorHAnsi"/>
        </w:rPr>
        <w:footnoteRef/>
      </w:r>
      <w:r w:rsidRPr="004012D9">
        <w:rPr>
          <w:rFonts w:asciiTheme="minorHAnsi" w:hAnsiTheme="minorHAnsi"/>
        </w:rPr>
        <w:t>Os distritos são unidades administrativas dos municípios e criados por legislação municipal, devendo observar a continuidade territorial e os requisitos previstos em lei complementar estadual (IBGE, 2011).</w:t>
      </w:r>
    </w:p>
  </w:footnote>
  <w:footnote w:id="2">
    <w:p w:rsidR="006A522C" w:rsidRPr="004012D9" w:rsidRDefault="006A522C" w:rsidP="00E6445E">
      <w:pPr>
        <w:spacing w:after="0" w:line="240" w:lineRule="auto"/>
        <w:jc w:val="both"/>
        <w:rPr>
          <w:rFonts w:asciiTheme="minorHAnsi" w:hAnsiTheme="minorHAnsi"/>
          <w:sz w:val="20"/>
          <w:szCs w:val="20"/>
        </w:rPr>
      </w:pPr>
      <w:r w:rsidRPr="004012D9">
        <w:rPr>
          <w:rStyle w:val="Refdenotaderodap"/>
          <w:rFonts w:asciiTheme="minorHAnsi" w:hAnsiTheme="minorHAnsi"/>
          <w:sz w:val="20"/>
          <w:szCs w:val="20"/>
        </w:rPr>
        <w:footnoteRef/>
      </w:r>
      <w:r w:rsidRPr="004012D9">
        <w:rPr>
          <w:rFonts w:asciiTheme="minorHAnsi" w:hAnsiTheme="minorHAnsi"/>
          <w:sz w:val="20"/>
          <w:szCs w:val="20"/>
        </w:rPr>
        <w:t xml:space="preserve"> Por exemplo, São Paulo, o maior município brasileiro em população, possui 96 distritos, que apresentam distintas taxas de acesso a saneamento básico.</w:t>
      </w:r>
    </w:p>
  </w:footnote>
  <w:footnote w:id="3">
    <w:p w:rsidR="006A522C" w:rsidRPr="00761C68" w:rsidRDefault="006A522C" w:rsidP="0095101B">
      <w:pPr>
        <w:pStyle w:val="Textodenotaderodap"/>
        <w:jc w:val="both"/>
        <w:rPr>
          <w:rFonts w:asciiTheme="minorHAnsi" w:hAnsiTheme="minorHAnsi"/>
        </w:rPr>
      </w:pPr>
      <w:r w:rsidRPr="00761C68">
        <w:rPr>
          <w:rStyle w:val="Refdenotaderodap"/>
          <w:rFonts w:asciiTheme="minorHAnsi" w:hAnsiTheme="minorHAnsi"/>
        </w:rPr>
        <w:footnoteRef/>
      </w:r>
      <w:r w:rsidRPr="00761C68">
        <w:rPr>
          <w:rFonts w:asciiTheme="minorHAnsi" w:hAnsiTheme="minorHAnsi"/>
        </w:rPr>
        <w:t xml:space="preserve"> Há uma grande quantidade de CEPs iguais para distritos diferentes e outros com códigos errados e inexistentes. Isso ocorre, pois, os mesmos foram obtidos a partir de declaração dos próprios moradores. A verificação da validade de tais informações por parte do IBGE foi realizada apenas para os municípios pequenos de CEP único</w:t>
      </w:r>
      <w:r>
        <w:rPr>
          <w:rFonts w:asciiTheme="minorHAnsi" w:hAnsiTheme="minorHAnsi"/>
        </w:rPr>
        <w:t>.</w:t>
      </w:r>
    </w:p>
  </w:footnote>
  <w:footnote w:id="4">
    <w:p w:rsidR="006A522C" w:rsidRPr="00761C68" w:rsidRDefault="006A522C" w:rsidP="00D65471">
      <w:pPr>
        <w:pStyle w:val="Textodenotaderodap"/>
        <w:jc w:val="both"/>
        <w:rPr>
          <w:rFonts w:asciiTheme="minorHAnsi" w:hAnsiTheme="minorHAnsi"/>
        </w:rPr>
      </w:pPr>
      <w:r w:rsidRPr="00761C68">
        <w:rPr>
          <w:rStyle w:val="Refdenotaderodap"/>
          <w:rFonts w:asciiTheme="minorHAnsi" w:hAnsiTheme="minorHAnsi"/>
        </w:rPr>
        <w:footnoteRef/>
      </w:r>
      <w:r w:rsidRPr="00761C68">
        <w:rPr>
          <w:rFonts w:asciiTheme="minorHAnsi" w:hAnsiTheme="minorHAnsi"/>
        </w:rPr>
        <w:t xml:space="preserve"> Nesse caso, na função utilidade intertemporal de um consumidor típico, </w:t>
      </w:r>
      <m:oMath>
        <m:r>
          <w:rPr>
            <w:rFonts w:ascii="Cambria Math" w:hAnsi="Cambria Math"/>
          </w:rPr>
          <m:t>U=U</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m:t>
                </m:r>
              </m:e>
              <m:sub>
                <m:r>
                  <w:rPr>
                    <w:rFonts w:ascii="Cambria Math" w:hAnsi="Cambria Math"/>
                  </w:rPr>
                  <m:t>n</m:t>
                </m:r>
              </m:sub>
            </m:sSub>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761C68">
        <w:rPr>
          <w:rFonts w:asciiTheme="minorHAnsi" w:hAnsiTheme="minorHAnsi"/>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761C68">
        <w:rPr>
          <w:rFonts w:asciiTheme="minorHAnsi" w:hAnsiTheme="minorHAnsi"/>
        </w:rPr>
        <w:t xml:space="preserve"> é o estoque de saúde inicial herdado pelo indivíduo,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761C68">
        <w:rPr>
          <w:rFonts w:asciiTheme="minorHAnsi" w:hAnsiTheme="minorHAnsi"/>
        </w:rPr>
        <w:t xml:space="preserve"> é o estoque de saúde em qualquer período de tempo,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Pr="00761C68">
        <w:rPr>
          <w:rFonts w:asciiTheme="minorHAnsi" w:hAnsiTheme="minorHAnsi"/>
        </w:rPr>
        <w:t xml:space="preserve"> é o fluxo de serviços de saúde por unidade de estoque de saúde, em qualquer período de tempo, </w:t>
      </w:r>
      <m:oMath>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oMath>
      <w:r w:rsidRPr="00761C68">
        <w:rPr>
          <w:rFonts w:asciiTheme="minorHAnsi" w:hAnsiTheme="minorHAnsi"/>
        </w:rPr>
        <w:t xml:space="preserve"> é o consumo total de serviços de saúde 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61C68">
        <w:rPr>
          <w:rFonts w:asciiTheme="minorHAnsi" w:hAnsiTheme="minorHAnsi"/>
        </w:rPr>
        <w:t xml:space="preserve"> é consumo total de outras mercadorias não relacionadas com a saúde.</w:t>
      </w:r>
    </w:p>
  </w:footnote>
  <w:footnote w:id="5">
    <w:p w:rsidR="006A522C" w:rsidRPr="00FF0552" w:rsidRDefault="006A522C" w:rsidP="00E239AF">
      <w:pPr>
        <w:spacing w:after="0" w:line="240" w:lineRule="auto"/>
        <w:jc w:val="both"/>
        <w:rPr>
          <w:rFonts w:asciiTheme="minorHAnsi" w:hAnsiTheme="minorHAnsi"/>
          <w:sz w:val="20"/>
          <w:szCs w:val="20"/>
        </w:rPr>
      </w:pPr>
      <w:r w:rsidRPr="003A214C">
        <w:rPr>
          <w:rStyle w:val="Refdenotaderodap"/>
          <w:rFonts w:asciiTheme="minorHAnsi" w:hAnsiTheme="minorHAnsi"/>
          <w:sz w:val="20"/>
          <w:szCs w:val="20"/>
        </w:rPr>
        <w:footnoteRef/>
      </w:r>
      <w:r w:rsidRPr="003A214C">
        <w:rPr>
          <w:rFonts w:asciiTheme="minorHAnsi" w:hAnsiTheme="minorHAnsi"/>
          <w:sz w:val="20"/>
          <w:szCs w:val="20"/>
        </w:rPr>
        <w:t xml:space="preserve"> Moran (1948) propôs</w:t>
      </w:r>
      <w:r w:rsidRPr="00FF0552">
        <w:rPr>
          <w:rFonts w:asciiTheme="minorHAnsi" w:hAnsiTheme="minorHAnsi"/>
          <w:sz w:val="20"/>
          <w:szCs w:val="20"/>
        </w:rPr>
        <w:t xml:space="preserve"> esta estatística de teste utilizando uma medida de autocovariância na forma de produto cruzado da seguinte forma: </w:t>
      </w:r>
      <m:oMath>
        <m:r>
          <w:rPr>
            <w:rFonts w:ascii="Cambria Math" w:hAnsi="Cambria Math"/>
            <w:sz w:val="20"/>
            <w:szCs w:val="20"/>
          </w:rPr>
          <m:t xml:space="preserve">I= </m:t>
        </m:r>
        <m:f>
          <m:fPr>
            <m:ctrlPr>
              <w:rPr>
                <w:rFonts w:ascii="Cambria Math" w:hAnsi="Cambria Math"/>
                <w:i/>
                <w:sz w:val="20"/>
                <w:szCs w:val="20"/>
              </w:rPr>
            </m:ctrlPr>
          </m:fPr>
          <m:num>
            <m:r>
              <w:rPr>
                <w:rFonts w:ascii="Cambria Math" w:hAnsi="Cambria Math"/>
                <w:sz w:val="20"/>
                <w:szCs w:val="20"/>
              </w:rPr>
              <m:t>n</m:t>
            </m:r>
          </m:num>
          <m:den>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ij</m:t>
                        </m:r>
                      </m:sub>
                    </m:sSub>
                  </m:e>
                </m:nary>
              </m:e>
            </m:nary>
            <m:r>
              <w:rPr>
                <w:rFonts w:ascii="Cambria Math" w:hAnsi="Cambria Math"/>
                <w:sz w:val="20"/>
                <w:szCs w:val="20"/>
              </w:rPr>
              <m:t xml:space="preserve"> </m:t>
            </m:r>
          </m:den>
        </m:f>
        <m:f>
          <m:fPr>
            <m:ctrlPr>
              <w:rPr>
                <w:rFonts w:ascii="Cambria Math" w:eastAsiaTheme="minorEastAsia" w:hAnsi="Cambria Math"/>
                <w:i/>
                <w:sz w:val="20"/>
                <w:szCs w:val="20"/>
              </w:rPr>
            </m:ctrlPr>
          </m:fPr>
          <m:num>
            <m:nary>
              <m:naryPr>
                <m:chr m:val="∑"/>
                <m:limLoc m:val="subSup"/>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ij</m:t>
                        </m:r>
                      </m:sub>
                    </m:sSub>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nary>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j</m:t>
                        </m:r>
                      </m:sub>
                    </m:sSub>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nary>
          </m:num>
          <m:den>
            <m:sSup>
              <m:sSupPr>
                <m:ctrlPr>
                  <w:rPr>
                    <w:rFonts w:ascii="Cambria Math" w:eastAsiaTheme="minorEastAsia" w:hAnsi="Cambria Math"/>
                    <w:i/>
                    <w:sz w:val="20"/>
                    <w:szCs w:val="20"/>
                  </w:rPr>
                </m:ctrlPr>
              </m:sSup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e>
                </m:nary>
              </m:e>
              <m:sup>
                <m:r>
                  <w:rPr>
                    <w:rFonts w:ascii="Cambria Math" w:eastAsiaTheme="minorEastAsia" w:hAnsi="Cambria Math"/>
                    <w:sz w:val="20"/>
                    <w:szCs w:val="20"/>
                  </w:rPr>
                  <m:t>2</m:t>
                </m:r>
              </m:sup>
            </m:sSup>
          </m:den>
        </m:f>
      </m:oMath>
      <w:r>
        <w:rPr>
          <w:rFonts w:asciiTheme="minorHAnsi" w:hAnsiTheme="minorHAnsi"/>
          <w:sz w:val="20"/>
          <w:szCs w:val="20"/>
        </w:rPr>
        <w:t>.</w:t>
      </w:r>
      <w:r w:rsidRPr="00FF0552">
        <w:rPr>
          <w:rFonts w:asciiTheme="minorHAnsi" w:eastAsiaTheme="minorEastAsia" w:hAnsiTheme="minorHAnsi"/>
          <w:sz w:val="20"/>
          <w:szCs w:val="20"/>
        </w:rPr>
        <w:tab/>
      </w:r>
      <w:r w:rsidRPr="00FF0552">
        <w:rPr>
          <w:rFonts w:asciiTheme="minorHAnsi" w:eastAsiaTheme="minorEastAsia" w:hAnsiTheme="minorHAnsi"/>
          <w:sz w:val="20"/>
          <w:szCs w:val="20"/>
        </w:rPr>
        <w:tab/>
      </w:r>
      <w:r w:rsidRPr="00FF0552">
        <w:rPr>
          <w:rFonts w:asciiTheme="minorHAnsi" w:eastAsiaTheme="minorEastAsia" w:hAnsiTheme="minorHAnsi"/>
          <w:sz w:val="20"/>
          <w:szCs w:val="20"/>
        </w:rPr>
        <w:tab/>
      </w:r>
    </w:p>
  </w:footnote>
  <w:footnote w:id="6">
    <w:p w:rsidR="006A522C" w:rsidRDefault="006A522C" w:rsidP="00FF0552">
      <w:pPr>
        <w:pStyle w:val="Textodenotaderodap"/>
        <w:jc w:val="both"/>
      </w:pPr>
      <w:r>
        <w:rPr>
          <w:rStyle w:val="Refdenotaderodap"/>
        </w:rPr>
        <w:footnoteRef/>
      </w:r>
      <w:r>
        <w:t xml:space="preserve"> </w:t>
      </w:r>
      <w:r w:rsidRPr="00FF0552">
        <w:t>Os distritos que possuem altas taxas de incidência de DRSAI e que são cercados por distritos cuja média das taxas de incidência de DRSAI também é alta fazem parte da aglomeração ou cluster denominado Alto-Alto. O cluster Baixo-Baixo indica que os distritos pertencentes as estas aglomerações têm baixas taxas de incidência de DRSAI e possuem vizinhos cuja média também é baixa. Logo, nesses dois casos, há autocorrelação espacial positiva. Ao contrário, a autocorrelação espacial negativa ocorre quando um determinado distrito possui alta (baixa) taxa de incidência e é cercado por vizinhos que, conjuntamente, apresentam um valor baixo (alto) para a média das taxas de incidência de DRSAI. Ou seja, trata-se do cluster Alto-Baixo (Baixo-Alto).</w:t>
      </w:r>
    </w:p>
  </w:footnote>
  <w:footnote w:id="7">
    <w:p w:rsidR="006A522C" w:rsidRPr="00761C68" w:rsidRDefault="006A522C" w:rsidP="00E6445E">
      <w:pPr>
        <w:pStyle w:val="Textodenotaderodap"/>
        <w:jc w:val="both"/>
        <w:rPr>
          <w:rFonts w:asciiTheme="minorHAnsi" w:hAnsiTheme="minorHAnsi"/>
        </w:rPr>
      </w:pPr>
      <w:r w:rsidRPr="00761C68">
        <w:rPr>
          <w:rStyle w:val="Refdenotaderodap"/>
          <w:rFonts w:asciiTheme="minorHAnsi" w:hAnsiTheme="minorHAnsi"/>
        </w:rPr>
        <w:footnoteRef/>
      </w:r>
      <w:r w:rsidRPr="00761C68">
        <w:rPr>
          <w:rFonts w:asciiTheme="minorHAnsi" w:hAnsiTheme="minorHAnsi"/>
        </w:rPr>
        <w:t xml:space="preserve"> Para maiores </w:t>
      </w:r>
      <w:r w:rsidRPr="003A214C">
        <w:rPr>
          <w:rFonts w:asciiTheme="minorHAnsi" w:hAnsiTheme="minorHAnsi"/>
        </w:rPr>
        <w:t>detalhes ver Lacombe (2008).</w:t>
      </w:r>
      <w:r w:rsidRPr="00761C68">
        <w:rPr>
          <w:rFonts w:asciiTheme="minorHAnsi" w:hAnsiTheme="minorHAnsi"/>
        </w:rPr>
        <w:t xml:space="preserve">  </w:t>
      </w:r>
      <w:r w:rsidRPr="00761C68">
        <w:rPr>
          <w:rFonts w:asciiTheme="minorHAnsi" w:hAnsiTheme="minorHAnsi"/>
        </w:rPr>
        <w:tab/>
      </w:r>
    </w:p>
  </w:footnote>
  <w:footnote w:id="8">
    <w:p w:rsidR="006A522C" w:rsidRDefault="006A522C" w:rsidP="0025590A">
      <w:pPr>
        <w:pStyle w:val="Textodenotaderodap"/>
        <w:jc w:val="both"/>
      </w:pPr>
      <w:r>
        <w:rPr>
          <w:rStyle w:val="Refdenotaderodap"/>
        </w:rPr>
        <w:footnoteRef/>
      </w:r>
      <w:r>
        <w:t xml:space="preserve"> </w:t>
      </w:r>
      <w:r w:rsidRPr="004012D9">
        <w:t>Em relação aos serviços de abastecimento de água (via quantidade ou qualidade), resultados nessa direção também foram encontrados para outros países por Snow (1990) e Fewtrell et al. (2005) e, para o caso brasileiro, por Kassouf (1994) e Andreazzi et al. (2007). Além disso, Duflo et al. (2015), Fewtrell et al. (2005), Phillillippi e Malheiros (2005) e Heller (1997), este último para o Brasil, apontam que as duas formas principais de intervenção em saneamento (água e esgoto) devem ser combinadas em ação conjunta e efetiva para a redução de incidência de DRSAIs.</w:t>
      </w:r>
    </w:p>
  </w:footnote>
  <w:footnote w:id="9">
    <w:p w:rsidR="006A522C" w:rsidRDefault="006A522C" w:rsidP="0025590A">
      <w:pPr>
        <w:pStyle w:val="Textodenotaderodap"/>
        <w:jc w:val="both"/>
      </w:pPr>
      <w:r>
        <w:rPr>
          <w:rStyle w:val="Refdenotaderodap"/>
        </w:rPr>
        <w:footnoteRef/>
      </w:r>
      <w:r w:rsidRPr="0025590A">
        <w:t xml:space="preserve">  Segundo Rego et al. (2004) e Moraes et al. (2003), acredita-se que a falta ou inadequado fornecimento desses dois serviços gere maiores taxas de internações por DRSAI, dado que também são serviços inseridos na concepção abrangente de saneamento básico.</w:t>
      </w:r>
    </w:p>
  </w:footnote>
  <w:footnote w:id="10">
    <w:p w:rsidR="006A522C" w:rsidRDefault="006A522C" w:rsidP="000D188C">
      <w:pPr>
        <w:pStyle w:val="Textodenotaderodap"/>
        <w:jc w:val="both"/>
      </w:pPr>
      <w:r>
        <w:rPr>
          <w:rStyle w:val="Refdenotaderodap"/>
        </w:rPr>
        <w:footnoteRef/>
      </w:r>
      <w:r>
        <w:t xml:space="preserve"> Alguns desses estudos, tais como </w:t>
      </w:r>
      <w:r>
        <w:rPr>
          <w:szCs w:val="24"/>
        </w:rPr>
        <w:t>Bleakley (2007), Miguel e Kremer (2004) e Kassouf (1994),</w:t>
      </w:r>
      <w:r>
        <w:t xml:space="preserve"> indicaram o impacto de saneamento em educação, mas por meio do estado de saúde do indivíduo que deteriora o perfil de morbidade do mesmo.</w:t>
      </w:r>
    </w:p>
  </w:footnote>
  <w:footnote w:id="11">
    <w:p w:rsidR="006A522C" w:rsidRDefault="006A522C" w:rsidP="000D188C">
      <w:pPr>
        <w:pStyle w:val="Textodenotaderodap"/>
        <w:jc w:val="both"/>
      </w:pPr>
      <w:r>
        <w:rPr>
          <w:rStyle w:val="Refdenotaderodap"/>
        </w:rPr>
        <w:footnoteRef/>
      </w:r>
      <w:r>
        <w:t xml:space="preserve"> Os autores solucionam </w:t>
      </w:r>
      <w:r w:rsidRPr="00304E28">
        <w:t>um "puzzle"</w:t>
      </w:r>
      <w:r>
        <w:t xml:space="preserve"> dos dados indianos: </w:t>
      </w:r>
      <w:r w:rsidRPr="00304E28">
        <w:t>é mais provável que crianças muçulmanas sobrevivam até seu primeiro aniversário</w:t>
      </w:r>
      <w:r>
        <w:t xml:space="preserve"> do</w:t>
      </w:r>
      <w:r w:rsidRPr="00304E28">
        <w:t xml:space="preserve"> que crianças hindus, mesmo que as primeiras tenham menor riqueza, consumo, frequência escolar e pior acesso aos serviços públicos em comparação à maioria</w:t>
      </w:r>
      <w:r>
        <w:t xml:space="preserve"> </w:t>
      </w:r>
      <w:r w:rsidRPr="00304E28">
        <w:t>hindu.</w:t>
      </w:r>
      <w:r>
        <w:t xml:space="preserve"> Isso ocorre por dois motivos. Um deles deve-se ao fato da</w:t>
      </w:r>
      <w:r w:rsidRPr="00304E28">
        <w:t xml:space="preserve"> população hindu considera</w:t>
      </w:r>
      <w:r>
        <w:t>r</w:t>
      </w:r>
      <w:r w:rsidRPr="00304E28">
        <w:t xml:space="preserve"> "impuro</w:t>
      </w:r>
      <w:r>
        <w:t xml:space="preserve">" o uso de banheiros e fossas, </w:t>
      </w:r>
      <w:r w:rsidRPr="00304E28">
        <w:t>defende</w:t>
      </w:r>
      <w:r>
        <w:t>ndo</w:t>
      </w:r>
      <w:r w:rsidRPr="00304E28">
        <w:t xml:space="preserve"> que defecar a céu aberto faz parte de um estilo de vida: mais da metade da população </w:t>
      </w:r>
      <w:r>
        <w:t>indiana, 600 milhões de pessoas,</w:t>
      </w:r>
      <w:r w:rsidRPr="00304E28">
        <w:t xml:space="preserve"> tem essa prática.</w:t>
      </w:r>
      <w:r>
        <w:t xml:space="preserve"> O segundo motivo deve-se ao efeito vizinhança já relatado.</w:t>
      </w:r>
    </w:p>
  </w:footnote>
  <w:footnote w:id="12">
    <w:p w:rsidR="006A522C" w:rsidRDefault="006A522C">
      <w:pPr>
        <w:pStyle w:val="Textodenotaderodap"/>
      </w:pPr>
      <w:r>
        <w:rPr>
          <w:rStyle w:val="Refdenotaderodap"/>
        </w:rPr>
        <w:footnoteRef/>
      </w:r>
      <w:r>
        <w:t xml:space="preserve">  Na análise da escolha entre</w:t>
      </w:r>
      <w:r w:rsidRPr="006A522C">
        <w:t xml:space="preserve"> modelo</w:t>
      </w:r>
      <w:r>
        <w:t>s, o SDM</w:t>
      </w:r>
      <w:r w:rsidRPr="006A522C">
        <w:t xml:space="preserve"> para a população de todas as idades foi estimado com a matriz inversa da distância.</w:t>
      </w:r>
      <w:r>
        <w:t xml:space="preserve"> Dessa forma, não foi possível compará-lo com o SDMT estimado com a matriz de contiguidade.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C29"/>
    <w:multiLevelType w:val="hybridMultilevel"/>
    <w:tmpl w:val="B57E42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7F3546"/>
    <w:multiLevelType w:val="multilevel"/>
    <w:tmpl w:val="014296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F01371"/>
    <w:multiLevelType w:val="multilevel"/>
    <w:tmpl w:val="EFA662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860A5D"/>
    <w:multiLevelType w:val="multilevel"/>
    <w:tmpl w:val="C0FABB8A"/>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DD14D9C"/>
    <w:multiLevelType w:val="hybridMultilevel"/>
    <w:tmpl w:val="874AC570"/>
    <w:lvl w:ilvl="0" w:tplc="84AA09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76F25C0"/>
    <w:multiLevelType w:val="hybridMultilevel"/>
    <w:tmpl w:val="F42609BA"/>
    <w:lvl w:ilvl="0" w:tplc="3272AB52">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89944F1"/>
    <w:multiLevelType w:val="multilevel"/>
    <w:tmpl w:val="32E621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E0"/>
    <w:rsid w:val="000042DD"/>
    <w:rsid w:val="00005633"/>
    <w:rsid w:val="00014C8C"/>
    <w:rsid w:val="00017F73"/>
    <w:rsid w:val="00020419"/>
    <w:rsid w:val="00097433"/>
    <w:rsid w:val="000A12F4"/>
    <w:rsid w:val="000A30C4"/>
    <w:rsid w:val="000B308F"/>
    <w:rsid w:val="000B3CC6"/>
    <w:rsid w:val="000D188C"/>
    <w:rsid w:val="000D35EF"/>
    <w:rsid w:val="000E2ACF"/>
    <w:rsid w:val="000E3EBE"/>
    <w:rsid w:val="000F3C73"/>
    <w:rsid w:val="000F527B"/>
    <w:rsid w:val="00105719"/>
    <w:rsid w:val="00111535"/>
    <w:rsid w:val="00150D40"/>
    <w:rsid w:val="0015233B"/>
    <w:rsid w:val="001669E0"/>
    <w:rsid w:val="00172585"/>
    <w:rsid w:val="00175DA8"/>
    <w:rsid w:val="001818AE"/>
    <w:rsid w:val="0019717E"/>
    <w:rsid w:val="001A7FEF"/>
    <w:rsid w:val="001B0F2C"/>
    <w:rsid w:val="001C2874"/>
    <w:rsid w:val="001F1893"/>
    <w:rsid w:val="001F3D1E"/>
    <w:rsid w:val="001F3E57"/>
    <w:rsid w:val="002131B2"/>
    <w:rsid w:val="0023145E"/>
    <w:rsid w:val="0025058E"/>
    <w:rsid w:val="0025590A"/>
    <w:rsid w:val="00264F1B"/>
    <w:rsid w:val="002772DA"/>
    <w:rsid w:val="00281496"/>
    <w:rsid w:val="00285A08"/>
    <w:rsid w:val="00287253"/>
    <w:rsid w:val="00292395"/>
    <w:rsid w:val="002A475D"/>
    <w:rsid w:val="002A74EF"/>
    <w:rsid w:val="002B2542"/>
    <w:rsid w:val="002C7A3B"/>
    <w:rsid w:val="002D104B"/>
    <w:rsid w:val="002D26E5"/>
    <w:rsid w:val="002D6959"/>
    <w:rsid w:val="002E7592"/>
    <w:rsid w:val="00307DF3"/>
    <w:rsid w:val="00307E3E"/>
    <w:rsid w:val="00312088"/>
    <w:rsid w:val="003230DF"/>
    <w:rsid w:val="0033125E"/>
    <w:rsid w:val="00347255"/>
    <w:rsid w:val="00357C35"/>
    <w:rsid w:val="0036669E"/>
    <w:rsid w:val="00366B45"/>
    <w:rsid w:val="00381020"/>
    <w:rsid w:val="003A2102"/>
    <w:rsid w:val="003A214C"/>
    <w:rsid w:val="003D29B3"/>
    <w:rsid w:val="003D3405"/>
    <w:rsid w:val="003D7736"/>
    <w:rsid w:val="003E4FA9"/>
    <w:rsid w:val="0040081D"/>
    <w:rsid w:val="004012D9"/>
    <w:rsid w:val="0040157C"/>
    <w:rsid w:val="004078FB"/>
    <w:rsid w:val="00413686"/>
    <w:rsid w:val="00436779"/>
    <w:rsid w:val="004512C8"/>
    <w:rsid w:val="00452EAE"/>
    <w:rsid w:val="00467ADD"/>
    <w:rsid w:val="004753FF"/>
    <w:rsid w:val="00487F28"/>
    <w:rsid w:val="004B0A05"/>
    <w:rsid w:val="004B7B71"/>
    <w:rsid w:val="004C20B5"/>
    <w:rsid w:val="004D26F1"/>
    <w:rsid w:val="00505435"/>
    <w:rsid w:val="00533350"/>
    <w:rsid w:val="005457E8"/>
    <w:rsid w:val="005623D1"/>
    <w:rsid w:val="0056484E"/>
    <w:rsid w:val="005A39F1"/>
    <w:rsid w:val="005B141C"/>
    <w:rsid w:val="005C26E0"/>
    <w:rsid w:val="005D4236"/>
    <w:rsid w:val="005D4D5C"/>
    <w:rsid w:val="005D656C"/>
    <w:rsid w:val="005E1400"/>
    <w:rsid w:val="00604159"/>
    <w:rsid w:val="00607E76"/>
    <w:rsid w:val="00633860"/>
    <w:rsid w:val="006424A9"/>
    <w:rsid w:val="00666598"/>
    <w:rsid w:val="00666C22"/>
    <w:rsid w:val="006A522C"/>
    <w:rsid w:val="006C5173"/>
    <w:rsid w:val="006D0BF0"/>
    <w:rsid w:val="006E249A"/>
    <w:rsid w:val="006E3EF5"/>
    <w:rsid w:val="006F056E"/>
    <w:rsid w:val="007179DA"/>
    <w:rsid w:val="00717AD0"/>
    <w:rsid w:val="00734821"/>
    <w:rsid w:val="00752EA9"/>
    <w:rsid w:val="0076098E"/>
    <w:rsid w:val="00761C68"/>
    <w:rsid w:val="00765F6A"/>
    <w:rsid w:val="00771A4A"/>
    <w:rsid w:val="00780DC8"/>
    <w:rsid w:val="007A4EA2"/>
    <w:rsid w:val="007B04DD"/>
    <w:rsid w:val="007C10B5"/>
    <w:rsid w:val="007D45CC"/>
    <w:rsid w:val="008004B4"/>
    <w:rsid w:val="00802093"/>
    <w:rsid w:val="0082447F"/>
    <w:rsid w:val="00837A0C"/>
    <w:rsid w:val="00840C9B"/>
    <w:rsid w:val="00857AA3"/>
    <w:rsid w:val="00863BBE"/>
    <w:rsid w:val="00870F77"/>
    <w:rsid w:val="00895067"/>
    <w:rsid w:val="008A2C96"/>
    <w:rsid w:val="008D7B11"/>
    <w:rsid w:val="008E5A44"/>
    <w:rsid w:val="008F24BC"/>
    <w:rsid w:val="008F2653"/>
    <w:rsid w:val="0090564A"/>
    <w:rsid w:val="00930D40"/>
    <w:rsid w:val="0094274C"/>
    <w:rsid w:val="00946A1E"/>
    <w:rsid w:val="0095101B"/>
    <w:rsid w:val="009572D1"/>
    <w:rsid w:val="00963528"/>
    <w:rsid w:val="00983467"/>
    <w:rsid w:val="009A2956"/>
    <w:rsid w:val="009C020C"/>
    <w:rsid w:val="009D3728"/>
    <w:rsid w:val="009D5CB2"/>
    <w:rsid w:val="009E299A"/>
    <w:rsid w:val="009F5791"/>
    <w:rsid w:val="00A121BE"/>
    <w:rsid w:val="00A630D0"/>
    <w:rsid w:val="00A652ED"/>
    <w:rsid w:val="00A8392D"/>
    <w:rsid w:val="00A9328E"/>
    <w:rsid w:val="00AA3180"/>
    <w:rsid w:val="00AD12A7"/>
    <w:rsid w:val="00AE24E9"/>
    <w:rsid w:val="00AF7490"/>
    <w:rsid w:val="00B05BB6"/>
    <w:rsid w:val="00B21FC6"/>
    <w:rsid w:val="00B25C68"/>
    <w:rsid w:val="00B33B56"/>
    <w:rsid w:val="00B353BC"/>
    <w:rsid w:val="00B43BD8"/>
    <w:rsid w:val="00B624F3"/>
    <w:rsid w:val="00B7692A"/>
    <w:rsid w:val="00C20E2A"/>
    <w:rsid w:val="00C33520"/>
    <w:rsid w:val="00C520F7"/>
    <w:rsid w:val="00C548FE"/>
    <w:rsid w:val="00C6307C"/>
    <w:rsid w:val="00C83E82"/>
    <w:rsid w:val="00C87577"/>
    <w:rsid w:val="00C93CE0"/>
    <w:rsid w:val="00CB078A"/>
    <w:rsid w:val="00CD5CFE"/>
    <w:rsid w:val="00CE1DF6"/>
    <w:rsid w:val="00CE50A8"/>
    <w:rsid w:val="00CF3D2D"/>
    <w:rsid w:val="00D03734"/>
    <w:rsid w:val="00D0441B"/>
    <w:rsid w:val="00D24B68"/>
    <w:rsid w:val="00D324BF"/>
    <w:rsid w:val="00D65471"/>
    <w:rsid w:val="00D75434"/>
    <w:rsid w:val="00D911BC"/>
    <w:rsid w:val="00DA64FE"/>
    <w:rsid w:val="00DC03DD"/>
    <w:rsid w:val="00DF0CD6"/>
    <w:rsid w:val="00DF27E5"/>
    <w:rsid w:val="00E0467A"/>
    <w:rsid w:val="00E062C1"/>
    <w:rsid w:val="00E16D23"/>
    <w:rsid w:val="00E21210"/>
    <w:rsid w:val="00E239AF"/>
    <w:rsid w:val="00E6445E"/>
    <w:rsid w:val="00E85288"/>
    <w:rsid w:val="00EB40AC"/>
    <w:rsid w:val="00EB5627"/>
    <w:rsid w:val="00EC4458"/>
    <w:rsid w:val="00ED1783"/>
    <w:rsid w:val="00EE278C"/>
    <w:rsid w:val="00EF5CBD"/>
    <w:rsid w:val="00F0468C"/>
    <w:rsid w:val="00F25932"/>
    <w:rsid w:val="00F41491"/>
    <w:rsid w:val="00F6715F"/>
    <w:rsid w:val="00F874C1"/>
    <w:rsid w:val="00FA78DC"/>
    <w:rsid w:val="00FD1A8F"/>
    <w:rsid w:val="00FD49B9"/>
    <w:rsid w:val="00FF05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65BAC-6EFD-4D94-9A44-AA239E14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CE0"/>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7592"/>
    <w:pPr>
      <w:ind w:left="720"/>
      <w:contextualSpacing/>
    </w:pPr>
  </w:style>
  <w:style w:type="paragraph" w:customStyle="1" w:styleId="Tabela">
    <w:name w:val="Tabela"/>
    <w:basedOn w:val="Normal"/>
    <w:link w:val="TabelaChar"/>
    <w:qFormat/>
    <w:rsid w:val="004B0A05"/>
    <w:pPr>
      <w:spacing w:after="0" w:line="240" w:lineRule="auto"/>
      <w:jc w:val="center"/>
    </w:pPr>
    <w:rPr>
      <w:rFonts w:ascii="Times New Roman" w:eastAsiaTheme="minorHAnsi" w:hAnsi="Times New Roman" w:cstheme="minorBidi"/>
      <w:b/>
      <w:sz w:val="24"/>
      <w:szCs w:val="24"/>
    </w:rPr>
  </w:style>
  <w:style w:type="character" w:customStyle="1" w:styleId="TabelaChar">
    <w:name w:val="Tabela Char"/>
    <w:basedOn w:val="Fontepargpadro"/>
    <w:link w:val="Tabela"/>
    <w:rsid w:val="004B0A05"/>
    <w:rPr>
      <w:rFonts w:ascii="Times New Roman" w:hAnsi="Times New Roman"/>
      <w:b/>
      <w:sz w:val="24"/>
      <w:szCs w:val="24"/>
    </w:rPr>
  </w:style>
  <w:style w:type="paragraph" w:styleId="Textodenotaderodap">
    <w:name w:val="footnote text"/>
    <w:basedOn w:val="Normal"/>
    <w:link w:val="TextodenotaderodapChar"/>
    <w:uiPriority w:val="99"/>
    <w:unhideWhenUsed/>
    <w:rsid w:val="001669E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1669E0"/>
    <w:rPr>
      <w:rFonts w:ascii="Calibri" w:eastAsia="Calibri" w:hAnsi="Calibri" w:cs="Times New Roman"/>
      <w:sz w:val="20"/>
      <w:szCs w:val="20"/>
    </w:rPr>
  </w:style>
  <w:style w:type="character" w:styleId="Refdenotaderodap">
    <w:name w:val="footnote reference"/>
    <w:basedOn w:val="Fontepargpadro"/>
    <w:uiPriority w:val="99"/>
    <w:semiHidden/>
    <w:unhideWhenUsed/>
    <w:rsid w:val="001669E0"/>
    <w:rPr>
      <w:vertAlign w:val="superscript"/>
    </w:rPr>
  </w:style>
  <w:style w:type="character" w:styleId="Hyperlink">
    <w:name w:val="Hyperlink"/>
    <w:basedOn w:val="Fontepargpadro"/>
    <w:uiPriority w:val="99"/>
    <w:unhideWhenUsed/>
    <w:rsid w:val="00B05BB6"/>
    <w:rPr>
      <w:color w:val="0563C1" w:themeColor="hyperlink"/>
      <w:u w:val="single"/>
    </w:rPr>
  </w:style>
  <w:style w:type="character" w:styleId="TextodoEspaoReservado">
    <w:name w:val="Placeholder Text"/>
    <w:basedOn w:val="Fontepargpadro"/>
    <w:uiPriority w:val="99"/>
    <w:semiHidden/>
    <w:rsid w:val="002D6959"/>
    <w:rPr>
      <w:color w:val="808080"/>
    </w:rPr>
  </w:style>
  <w:style w:type="paragraph" w:styleId="Corpodetexto2">
    <w:name w:val="Body Text 2"/>
    <w:basedOn w:val="Normal"/>
    <w:link w:val="Corpodetexto2Char"/>
    <w:uiPriority w:val="99"/>
    <w:unhideWhenUsed/>
    <w:rsid w:val="000F3C73"/>
    <w:pPr>
      <w:spacing w:after="120" w:line="256" w:lineRule="auto"/>
      <w:ind w:left="283"/>
    </w:pPr>
    <w:rPr>
      <w:rFonts w:cs="Calibri"/>
    </w:rPr>
  </w:style>
  <w:style w:type="character" w:customStyle="1" w:styleId="Corpodetexto2Char">
    <w:name w:val="Corpo de texto 2 Char"/>
    <w:basedOn w:val="Fontepargpadro"/>
    <w:link w:val="Corpodetexto2"/>
    <w:uiPriority w:val="99"/>
    <w:rsid w:val="000F3C73"/>
    <w:rPr>
      <w:rFonts w:ascii="Calibri" w:eastAsia="Calibri" w:hAnsi="Calibri" w:cs="Calibri"/>
    </w:rPr>
  </w:style>
  <w:style w:type="paragraph" w:customStyle="1" w:styleId="Figura">
    <w:name w:val="Figura"/>
    <w:basedOn w:val="Normal"/>
    <w:link w:val="FiguraChar"/>
    <w:qFormat/>
    <w:rsid w:val="009572D1"/>
    <w:pPr>
      <w:spacing w:after="0" w:line="240" w:lineRule="auto"/>
      <w:jc w:val="center"/>
    </w:pPr>
    <w:rPr>
      <w:rFonts w:ascii="Times New Roman" w:eastAsiaTheme="minorHAnsi" w:hAnsi="Times New Roman"/>
      <w:b/>
      <w:sz w:val="24"/>
    </w:rPr>
  </w:style>
  <w:style w:type="character" w:customStyle="1" w:styleId="FiguraChar">
    <w:name w:val="Figura Char"/>
    <w:basedOn w:val="Fontepargpadro"/>
    <w:link w:val="Figura"/>
    <w:rsid w:val="009572D1"/>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7588">
      <w:bodyDiv w:val="1"/>
      <w:marLeft w:val="0"/>
      <w:marRight w:val="0"/>
      <w:marTop w:val="0"/>
      <w:marBottom w:val="0"/>
      <w:divBdr>
        <w:top w:val="none" w:sz="0" w:space="0" w:color="auto"/>
        <w:left w:val="none" w:sz="0" w:space="0" w:color="auto"/>
        <w:bottom w:val="none" w:sz="0" w:space="0" w:color="auto"/>
        <w:right w:val="none" w:sz="0" w:space="0" w:color="auto"/>
      </w:divBdr>
    </w:div>
    <w:div w:id="20178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E4F6E-F57D-4A28-9CDC-D375DAD1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9251</Words>
  <Characters>49959</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Scriptore</dc:creator>
  <cp:keywords/>
  <dc:description/>
  <cp:lastModifiedBy>Juliana Scriptore</cp:lastModifiedBy>
  <cp:revision>5</cp:revision>
  <dcterms:created xsi:type="dcterms:W3CDTF">2016-07-20T17:46:00Z</dcterms:created>
  <dcterms:modified xsi:type="dcterms:W3CDTF">2016-07-20T18:18:00Z</dcterms:modified>
</cp:coreProperties>
</file>