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968" w:rsidRPr="00DB5965" w:rsidRDefault="00452968" w:rsidP="00452968">
      <w:pPr>
        <w:spacing w:after="100" w:afterAutospacing="1" w:line="240" w:lineRule="auto"/>
        <w:contextualSpacing/>
        <w:jc w:val="center"/>
        <w:rPr>
          <w:rFonts w:ascii="Times New Roman" w:hAnsi="Times New Roman" w:cs="Times New Roman"/>
          <w:b/>
          <w:bCs/>
          <w:sz w:val="24"/>
          <w:szCs w:val="24"/>
        </w:rPr>
      </w:pPr>
      <w:r w:rsidRPr="00DB5965">
        <w:rPr>
          <w:rFonts w:ascii="Times New Roman" w:hAnsi="Times New Roman" w:cs="Times New Roman"/>
          <w:b/>
          <w:bCs/>
          <w:sz w:val="24"/>
          <w:szCs w:val="24"/>
        </w:rPr>
        <w:t>SIMULAÇÃO DOS IMPACTOS ECONÔMICOS DA PROPOSTA BRASILEIRA NA COP21: UMA ABORDAGEM DE EQUILÍBRIO GERAL COMPUTÁVEL</w:t>
      </w:r>
    </w:p>
    <w:p w:rsidR="00452968" w:rsidRDefault="00452968" w:rsidP="00452968">
      <w:pPr>
        <w:spacing w:after="0" w:line="360" w:lineRule="auto"/>
        <w:contextualSpacing/>
        <w:jc w:val="both"/>
        <w:rPr>
          <w:rFonts w:ascii="Times New Roman" w:hAnsi="Times New Roman" w:cs="Times New Roman"/>
          <w:b/>
          <w:bCs/>
          <w:sz w:val="24"/>
          <w:szCs w:val="24"/>
        </w:rPr>
      </w:pPr>
    </w:p>
    <w:p w:rsidR="002242DB" w:rsidRDefault="002242DB" w:rsidP="00452968">
      <w:pPr>
        <w:spacing w:after="0" w:line="360" w:lineRule="auto"/>
        <w:contextualSpacing/>
        <w:jc w:val="both"/>
        <w:rPr>
          <w:rFonts w:ascii="Times New Roman" w:hAnsi="Times New Roman" w:cs="Times New Roman"/>
          <w:b/>
          <w:bCs/>
          <w:sz w:val="24"/>
          <w:szCs w:val="24"/>
        </w:rPr>
      </w:pPr>
    </w:p>
    <w:p w:rsidR="00452968" w:rsidRPr="002242DB" w:rsidRDefault="002242DB" w:rsidP="002242DB">
      <w:pPr>
        <w:spacing w:after="0" w:line="360" w:lineRule="auto"/>
        <w:contextualSpacing/>
        <w:jc w:val="center"/>
        <w:rPr>
          <w:rFonts w:ascii="Times New Roman" w:hAnsi="Times New Roman" w:cs="Times New Roman"/>
          <w:b/>
          <w:bCs/>
          <w:sz w:val="32"/>
          <w:szCs w:val="24"/>
        </w:rPr>
      </w:pPr>
      <w:r w:rsidRPr="002242DB">
        <w:rPr>
          <w:rStyle w:val="Forte"/>
          <w:rFonts w:ascii="Times New Roman" w:hAnsi="Times New Roman" w:cs="Times New Roman"/>
          <w:color w:val="2B2B2B"/>
          <w:sz w:val="24"/>
          <w:szCs w:val="21"/>
          <w:shd w:val="clear" w:color="auto" w:fill="FFFFFF"/>
        </w:rPr>
        <w:t>Área 11 -</w:t>
      </w:r>
      <w:r w:rsidRPr="002242DB">
        <w:rPr>
          <w:rStyle w:val="apple-converted-space"/>
          <w:rFonts w:ascii="Times New Roman" w:hAnsi="Times New Roman" w:cs="Times New Roman"/>
          <w:color w:val="2B2B2B"/>
          <w:sz w:val="24"/>
          <w:szCs w:val="21"/>
          <w:shd w:val="clear" w:color="auto" w:fill="FFFFFF"/>
        </w:rPr>
        <w:t> </w:t>
      </w:r>
      <w:r w:rsidRPr="002242DB">
        <w:rPr>
          <w:rFonts w:ascii="Times New Roman" w:hAnsi="Times New Roman" w:cs="Times New Roman"/>
          <w:color w:val="2B2B2B"/>
          <w:sz w:val="24"/>
          <w:szCs w:val="21"/>
          <w:shd w:val="clear" w:color="auto" w:fill="FFFFFF"/>
        </w:rPr>
        <w:t>Economia Agrícola e do Meio Ambiente</w:t>
      </w:r>
    </w:p>
    <w:p w:rsidR="00452968" w:rsidRDefault="00452968" w:rsidP="00452968">
      <w:pPr>
        <w:spacing w:after="0" w:line="240" w:lineRule="auto"/>
        <w:contextualSpacing/>
        <w:jc w:val="center"/>
        <w:rPr>
          <w:rFonts w:ascii="Times New Roman" w:hAnsi="Times New Roman" w:cs="Times New Roman"/>
          <w:b/>
          <w:bCs/>
          <w:sz w:val="24"/>
          <w:szCs w:val="24"/>
        </w:rPr>
      </w:pPr>
    </w:p>
    <w:p w:rsidR="00405D4D" w:rsidRPr="00DB5965" w:rsidRDefault="00405D4D" w:rsidP="00452968">
      <w:pPr>
        <w:spacing w:after="0" w:line="240" w:lineRule="auto"/>
        <w:contextualSpacing/>
        <w:jc w:val="center"/>
        <w:rPr>
          <w:rFonts w:ascii="Times New Roman" w:hAnsi="Times New Roman" w:cs="Times New Roman"/>
          <w:b/>
          <w:bCs/>
          <w:sz w:val="24"/>
          <w:szCs w:val="24"/>
        </w:rPr>
      </w:pPr>
    </w:p>
    <w:p w:rsidR="00452968" w:rsidRPr="00DB5965" w:rsidRDefault="00452968" w:rsidP="00452968">
      <w:pPr>
        <w:spacing w:after="0" w:line="240" w:lineRule="auto"/>
        <w:contextualSpacing/>
        <w:jc w:val="center"/>
        <w:rPr>
          <w:rFonts w:ascii="Times New Roman" w:hAnsi="Times New Roman" w:cs="Times New Roman"/>
          <w:b/>
          <w:bCs/>
          <w:sz w:val="24"/>
          <w:szCs w:val="24"/>
        </w:rPr>
      </w:pPr>
    </w:p>
    <w:p w:rsidR="00405D4D" w:rsidRPr="00DB5965" w:rsidRDefault="00405D4D" w:rsidP="00405D4D">
      <w:pPr>
        <w:spacing w:after="0" w:line="240" w:lineRule="auto"/>
        <w:contextualSpacing/>
        <w:jc w:val="center"/>
        <w:rPr>
          <w:rFonts w:ascii="Times New Roman" w:hAnsi="Times New Roman" w:cs="Times New Roman"/>
          <w:b/>
          <w:bCs/>
          <w:sz w:val="24"/>
          <w:szCs w:val="24"/>
        </w:rPr>
      </w:pPr>
      <w:proofErr w:type="spellStart"/>
      <w:r w:rsidRPr="00DB5965">
        <w:rPr>
          <w:rFonts w:ascii="Times New Roman" w:hAnsi="Times New Roman" w:cs="Times New Roman"/>
          <w:b/>
          <w:bCs/>
          <w:sz w:val="24"/>
          <w:szCs w:val="24"/>
        </w:rPr>
        <w:t>Micaele</w:t>
      </w:r>
      <w:proofErr w:type="spellEnd"/>
      <w:r w:rsidRPr="00DB5965">
        <w:rPr>
          <w:rFonts w:ascii="Times New Roman" w:hAnsi="Times New Roman" w:cs="Times New Roman"/>
          <w:b/>
          <w:bCs/>
          <w:sz w:val="24"/>
          <w:szCs w:val="24"/>
        </w:rPr>
        <w:t xml:space="preserve"> Martins de Carvalho</w:t>
      </w:r>
    </w:p>
    <w:p w:rsidR="00405D4D" w:rsidRPr="00DB5965" w:rsidRDefault="00405D4D" w:rsidP="00405D4D">
      <w:pPr>
        <w:spacing w:after="0" w:line="240" w:lineRule="auto"/>
        <w:contextualSpacing/>
        <w:jc w:val="center"/>
        <w:rPr>
          <w:rFonts w:ascii="Times New Roman" w:hAnsi="Times New Roman" w:cs="Times New Roman"/>
          <w:sz w:val="24"/>
          <w:szCs w:val="24"/>
        </w:rPr>
      </w:pPr>
      <w:r w:rsidRPr="00DB5965">
        <w:rPr>
          <w:rFonts w:ascii="Times New Roman" w:hAnsi="Times New Roman" w:cs="Times New Roman"/>
          <w:sz w:val="24"/>
          <w:szCs w:val="24"/>
        </w:rPr>
        <w:t>Mestranda em Economia pelo CEDEPLAR-UFMG</w:t>
      </w:r>
    </w:p>
    <w:p w:rsidR="00405D4D" w:rsidRPr="00DB5965" w:rsidRDefault="00405D4D" w:rsidP="00405D4D">
      <w:pPr>
        <w:spacing w:after="0" w:line="240" w:lineRule="auto"/>
        <w:contextualSpacing/>
        <w:jc w:val="center"/>
        <w:rPr>
          <w:rFonts w:ascii="Times New Roman" w:hAnsi="Times New Roman" w:cs="Times New Roman"/>
          <w:sz w:val="24"/>
          <w:szCs w:val="24"/>
        </w:rPr>
      </w:pPr>
      <w:r w:rsidRPr="00DB5965">
        <w:rPr>
          <w:rFonts w:ascii="Times New Roman" w:hAnsi="Times New Roman" w:cs="Times New Roman"/>
          <w:sz w:val="24"/>
          <w:szCs w:val="24"/>
        </w:rPr>
        <w:t>Endereço: Av. Antônio Carlos, 6627 - Belo Horizonte, MG / CEP: 31270-901</w:t>
      </w:r>
    </w:p>
    <w:p w:rsidR="00405D4D" w:rsidRPr="00DB5965" w:rsidRDefault="00405D4D" w:rsidP="00405D4D">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Telefone: (31) 3409-</w:t>
      </w:r>
      <w:r w:rsidRPr="00DB5965">
        <w:rPr>
          <w:rFonts w:ascii="Times New Roman" w:hAnsi="Times New Roman" w:cs="Times New Roman"/>
          <w:sz w:val="24"/>
          <w:szCs w:val="24"/>
        </w:rPr>
        <w:t xml:space="preserve">7100 </w:t>
      </w:r>
    </w:p>
    <w:p w:rsidR="00405D4D" w:rsidRPr="00DB5965" w:rsidRDefault="00405D4D" w:rsidP="00405D4D">
      <w:pPr>
        <w:spacing w:after="0" w:line="240" w:lineRule="auto"/>
        <w:contextualSpacing/>
        <w:jc w:val="center"/>
        <w:rPr>
          <w:rStyle w:val="Hyperlink"/>
          <w:rFonts w:ascii="Times New Roman" w:hAnsi="Times New Roman" w:cs="Times New Roman"/>
          <w:sz w:val="24"/>
          <w:szCs w:val="24"/>
        </w:rPr>
      </w:pPr>
      <w:hyperlink r:id="rId8" w:history="1">
        <w:r w:rsidRPr="00DB5965">
          <w:rPr>
            <w:rStyle w:val="Hyperlink"/>
            <w:rFonts w:ascii="Times New Roman" w:hAnsi="Times New Roman" w:cs="Times New Roman"/>
            <w:sz w:val="24"/>
            <w:szCs w:val="24"/>
          </w:rPr>
          <w:t>micaele.mcarvalho@gmail.com</w:t>
        </w:r>
      </w:hyperlink>
    </w:p>
    <w:p w:rsidR="00405D4D" w:rsidRPr="00DB5965" w:rsidRDefault="00405D4D" w:rsidP="00405D4D">
      <w:pPr>
        <w:spacing w:after="0" w:line="240" w:lineRule="auto"/>
        <w:contextualSpacing/>
        <w:jc w:val="center"/>
        <w:rPr>
          <w:rStyle w:val="Hyperlink"/>
          <w:rFonts w:ascii="Times New Roman" w:hAnsi="Times New Roman" w:cs="Times New Roman"/>
          <w:sz w:val="24"/>
          <w:szCs w:val="24"/>
        </w:rPr>
      </w:pPr>
    </w:p>
    <w:p w:rsidR="00405D4D" w:rsidRPr="00DB5965" w:rsidRDefault="00405D4D" w:rsidP="00405D4D">
      <w:pPr>
        <w:spacing w:after="0" w:line="240" w:lineRule="auto"/>
        <w:contextualSpacing/>
        <w:jc w:val="center"/>
        <w:rPr>
          <w:rFonts w:ascii="Times New Roman" w:hAnsi="Times New Roman" w:cs="Times New Roman"/>
          <w:b/>
          <w:bCs/>
          <w:sz w:val="24"/>
          <w:szCs w:val="24"/>
        </w:rPr>
      </w:pPr>
    </w:p>
    <w:p w:rsidR="00452968" w:rsidRPr="00DB5965" w:rsidRDefault="00452968" w:rsidP="00452968">
      <w:pPr>
        <w:spacing w:after="0" w:line="240" w:lineRule="auto"/>
        <w:contextualSpacing/>
        <w:jc w:val="center"/>
        <w:rPr>
          <w:rFonts w:ascii="Times New Roman" w:hAnsi="Times New Roman" w:cs="Times New Roman"/>
          <w:b/>
          <w:bCs/>
          <w:sz w:val="24"/>
          <w:szCs w:val="24"/>
        </w:rPr>
      </w:pPr>
    </w:p>
    <w:p w:rsidR="00452968" w:rsidRPr="00DB5965" w:rsidRDefault="00452968" w:rsidP="00452968">
      <w:pPr>
        <w:spacing w:after="0" w:line="240" w:lineRule="auto"/>
        <w:contextualSpacing/>
        <w:jc w:val="center"/>
        <w:rPr>
          <w:rFonts w:ascii="Times New Roman" w:hAnsi="Times New Roman" w:cs="Times New Roman"/>
          <w:b/>
          <w:bCs/>
          <w:sz w:val="24"/>
          <w:szCs w:val="24"/>
        </w:rPr>
      </w:pPr>
      <w:r w:rsidRPr="00DB5965">
        <w:rPr>
          <w:rFonts w:ascii="Times New Roman" w:hAnsi="Times New Roman" w:cs="Times New Roman"/>
          <w:b/>
          <w:bCs/>
          <w:sz w:val="24"/>
          <w:szCs w:val="24"/>
        </w:rPr>
        <w:t>Marco Paulo Vianna Franco</w:t>
      </w:r>
    </w:p>
    <w:p w:rsidR="00452968" w:rsidRPr="00DB5965" w:rsidRDefault="00452968" w:rsidP="00452968">
      <w:pPr>
        <w:spacing w:after="0" w:line="240" w:lineRule="auto"/>
        <w:contextualSpacing/>
        <w:jc w:val="center"/>
        <w:rPr>
          <w:rFonts w:ascii="Times New Roman" w:hAnsi="Times New Roman" w:cs="Times New Roman"/>
          <w:sz w:val="24"/>
          <w:szCs w:val="24"/>
        </w:rPr>
      </w:pPr>
      <w:r w:rsidRPr="00DB5965">
        <w:rPr>
          <w:rFonts w:ascii="Times New Roman" w:hAnsi="Times New Roman" w:cs="Times New Roman"/>
          <w:sz w:val="24"/>
          <w:szCs w:val="24"/>
        </w:rPr>
        <w:t>Doutorando em Economia pelo CEDEPLAR-UFMG</w:t>
      </w:r>
    </w:p>
    <w:p w:rsidR="00452968" w:rsidRPr="00DB5965" w:rsidRDefault="00452968" w:rsidP="00452968">
      <w:pPr>
        <w:spacing w:after="0" w:line="240" w:lineRule="auto"/>
        <w:contextualSpacing/>
        <w:jc w:val="center"/>
        <w:rPr>
          <w:rFonts w:ascii="Times New Roman" w:hAnsi="Times New Roman" w:cs="Times New Roman"/>
          <w:sz w:val="24"/>
          <w:szCs w:val="24"/>
        </w:rPr>
      </w:pPr>
      <w:r w:rsidRPr="00DB5965">
        <w:rPr>
          <w:rFonts w:ascii="Times New Roman" w:hAnsi="Times New Roman" w:cs="Times New Roman"/>
          <w:sz w:val="24"/>
          <w:szCs w:val="24"/>
        </w:rPr>
        <w:t>Endereço: Av. Antônio Carlos, 6627 - Belo Horizonte, MG / CEP: 31270-901</w:t>
      </w:r>
    </w:p>
    <w:p w:rsidR="00452968" w:rsidRPr="00DB5965" w:rsidRDefault="00452968" w:rsidP="00452968">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Telefone: (31) 3409-</w:t>
      </w:r>
      <w:r w:rsidRPr="00DB5965">
        <w:rPr>
          <w:rFonts w:ascii="Times New Roman" w:hAnsi="Times New Roman" w:cs="Times New Roman"/>
          <w:sz w:val="24"/>
          <w:szCs w:val="24"/>
        </w:rPr>
        <w:t xml:space="preserve">7100 </w:t>
      </w:r>
    </w:p>
    <w:p w:rsidR="00452968" w:rsidRPr="00DB5965" w:rsidRDefault="00E77DED" w:rsidP="00452968">
      <w:pPr>
        <w:spacing w:after="0" w:line="240" w:lineRule="auto"/>
        <w:contextualSpacing/>
        <w:jc w:val="center"/>
        <w:rPr>
          <w:rFonts w:ascii="Times New Roman" w:hAnsi="Times New Roman" w:cs="Times New Roman"/>
          <w:sz w:val="24"/>
          <w:szCs w:val="24"/>
        </w:rPr>
      </w:pPr>
      <w:hyperlink r:id="rId9" w:history="1">
        <w:r w:rsidR="00452968" w:rsidRPr="00DB5965">
          <w:rPr>
            <w:rStyle w:val="Hyperlink"/>
            <w:rFonts w:ascii="Times New Roman" w:hAnsi="Times New Roman" w:cs="Times New Roman"/>
            <w:sz w:val="24"/>
            <w:szCs w:val="24"/>
          </w:rPr>
          <w:t>mpvianna@gmail.com</w:t>
        </w:r>
      </w:hyperlink>
    </w:p>
    <w:p w:rsidR="00405D4D" w:rsidRPr="00DB5965" w:rsidRDefault="00405D4D" w:rsidP="00405D4D">
      <w:pPr>
        <w:spacing w:after="0" w:line="240" w:lineRule="auto"/>
        <w:contextualSpacing/>
        <w:jc w:val="center"/>
        <w:rPr>
          <w:rStyle w:val="Hyperlink"/>
          <w:rFonts w:ascii="Times New Roman" w:hAnsi="Times New Roman" w:cs="Times New Roman"/>
          <w:sz w:val="24"/>
          <w:szCs w:val="24"/>
        </w:rPr>
      </w:pPr>
    </w:p>
    <w:p w:rsidR="00405D4D" w:rsidRPr="00DB5965" w:rsidRDefault="00405D4D" w:rsidP="00405D4D">
      <w:pPr>
        <w:spacing w:after="0" w:line="240" w:lineRule="auto"/>
        <w:contextualSpacing/>
        <w:jc w:val="center"/>
        <w:rPr>
          <w:rStyle w:val="Hyperlink"/>
          <w:rFonts w:ascii="Times New Roman" w:hAnsi="Times New Roman" w:cs="Times New Roman"/>
          <w:sz w:val="24"/>
          <w:szCs w:val="24"/>
        </w:rPr>
      </w:pPr>
    </w:p>
    <w:p w:rsidR="00405D4D" w:rsidRPr="00DB5965" w:rsidRDefault="00405D4D" w:rsidP="00405D4D">
      <w:pPr>
        <w:spacing w:after="0" w:line="240" w:lineRule="auto"/>
        <w:contextualSpacing/>
        <w:jc w:val="center"/>
        <w:rPr>
          <w:rFonts w:ascii="Times New Roman" w:hAnsi="Times New Roman" w:cs="Times New Roman"/>
          <w:b/>
          <w:bCs/>
          <w:sz w:val="24"/>
          <w:szCs w:val="24"/>
        </w:rPr>
      </w:pPr>
    </w:p>
    <w:p w:rsidR="00452968" w:rsidRPr="00DB5965" w:rsidRDefault="00452968" w:rsidP="00452968">
      <w:pPr>
        <w:spacing w:after="0" w:line="240" w:lineRule="auto"/>
        <w:contextualSpacing/>
        <w:jc w:val="center"/>
        <w:rPr>
          <w:rFonts w:ascii="Times New Roman" w:hAnsi="Times New Roman" w:cs="Times New Roman"/>
          <w:b/>
          <w:bCs/>
          <w:sz w:val="24"/>
          <w:szCs w:val="24"/>
        </w:rPr>
      </w:pPr>
      <w:r w:rsidRPr="00DB5965">
        <w:rPr>
          <w:rFonts w:ascii="Times New Roman" w:hAnsi="Times New Roman" w:cs="Times New Roman"/>
          <w:b/>
          <w:bCs/>
          <w:sz w:val="24"/>
          <w:szCs w:val="24"/>
        </w:rPr>
        <w:t>Stélio Coêlho Lombardi Filho</w:t>
      </w:r>
    </w:p>
    <w:p w:rsidR="00452968" w:rsidRPr="00DB5965" w:rsidRDefault="00452968" w:rsidP="00452968">
      <w:pPr>
        <w:spacing w:after="0" w:line="240" w:lineRule="auto"/>
        <w:contextualSpacing/>
        <w:jc w:val="center"/>
        <w:rPr>
          <w:rFonts w:ascii="Times New Roman" w:hAnsi="Times New Roman" w:cs="Times New Roman"/>
          <w:sz w:val="24"/>
          <w:szCs w:val="24"/>
        </w:rPr>
      </w:pPr>
      <w:r w:rsidRPr="00DB5965">
        <w:rPr>
          <w:rFonts w:ascii="Times New Roman" w:hAnsi="Times New Roman" w:cs="Times New Roman"/>
          <w:sz w:val="24"/>
          <w:szCs w:val="24"/>
        </w:rPr>
        <w:t>Doutorando em Economia pelo CEDEPLAR-UFMG</w:t>
      </w:r>
    </w:p>
    <w:p w:rsidR="00452968" w:rsidRPr="00DB5965" w:rsidRDefault="00452968" w:rsidP="00452968">
      <w:pPr>
        <w:spacing w:after="0" w:line="240" w:lineRule="auto"/>
        <w:contextualSpacing/>
        <w:jc w:val="center"/>
        <w:rPr>
          <w:rFonts w:ascii="Times New Roman" w:hAnsi="Times New Roman" w:cs="Times New Roman"/>
          <w:sz w:val="24"/>
          <w:szCs w:val="24"/>
        </w:rPr>
      </w:pPr>
      <w:r w:rsidRPr="00DB5965">
        <w:rPr>
          <w:rFonts w:ascii="Times New Roman" w:hAnsi="Times New Roman" w:cs="Times New Roman"/>
          <w:sz w:val="24"/>
          <w:szCs w:val="24"/>
        </w:rPr>
        <w:t>Endereço: Av. Antônio Carlos, 6627 - Belo Horizonte, MG / CEP: 31270-901</w:t>
      </w:r>
    </w:p>
    <w:p w:rsidR="00452968" w:rsidRPr="00DB5965" w:rsidRDefault="00452968" w:rsidP="00452968">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Telefone: (31) 3409-</w:t>
      </w:r>
      <w:r w:rsidRPr="00DB5965">
        <w:rPr>
          <w:rFonts w:ascii="Times New Roman" w:hAnsi="Times New Roman" w:cs="Times New Roman"/>
          <w:sz w:val="24"/>
          <w:szCs w:val="24"/>
        </w:rPr>
        <w:t xml:space="preserve">7100 </w:t>
      </w:r>
    </w:p>
    <w:p w:rsidR="00452968" w:rsidRPr="00DB5965" w:rsidRDefault="00E77DED" w:rsidP="00452968">
      <w:pPr>
        <w:spacing w:after="0" w:line="240" w:lineRule="auto"/>
        <w:contextualSpacing/>
        <w:jc w:val="center"/>
        <w:rPr>
          <w:rStyle w:val="Hyperlink"/>
          <w:rFonts w:ascii="Times New Roman" w:hAnsi="Times New Roman" w:cs="Times New Roman"/>
          <w:sz w:val="24"/>
          <w:szCs w:val="24"/>
        </w:rPr>
      </w:pPr>
      <w:hyperlink r:id="rId10" w:history="1">
        <w:r w:rsidR="00452968" w:rsidRPr="00DB5965">
          <w:rPr>
            <w:rStyle w:val="Hyperlink"/>
            <w:rFonts w:ascii="Times New Roman" w:hAnsi="Times New Roman" w:cs="Times New Roman"/>
            <w:sz w:val="24"/>
            <w:szCs w:val="24"/>
          </w:rPr>
          <w:t>stelio.filho@hotmail.com</w:t>
        </w:r>
      </w:hyperlink>
    </w:p>
    <w:p w:rsidR="00452968" w:rsidRPr="00DB5965" w:rsidRDefault="00452968" w:rsidP="00452968">
      <w:pPr>
        <w:spacing w:after="0" w:line="240" w:lineRule="auto"/>
        <w:contextualSpacing/>
        <w:jc w:val="center"/>
        <w:rPr>
          <w:rStyle w:val="Hyperlink"/>
          <w:rFonts w:ascii="Times New Roman" w:hAnsi="Times New Roman" w:cs="Times New Roman"/>
          <w:sz w:val="24"/>
          <w:szCs w:val="24"/>
        </w:rPr>
      </w:pPr>
    </w:p>
    <w:p w:rsidR="00452968" w:rsidRPr="00DB5965" w:rsidRDefault="00452968" w:rsidP="00452968">
      <w:pPr>
        <w:spacing w:after="0" w:line="240" w:lineRule="auto"/>
        <w:contextualSpacing/>
        <w:jc w:val="center"/>
        <w:rPr>
          <w:rStyle w:val="Hyperlink"/>
          <w:rFonts w:ascii="Times New Roman" w:hAnsi="Times New Roman" w:cs="Times New Roman"/>
          <w:sz w:val="24"/>
          <w:szCs w:val="24"/>
        </w:rPr>
      </w:pPr>
    </w:p>
    <w:p w:rsidR="00452968" w:rsidRPr="00DB5965" w:rsidRDefault="00452968" w:rsidP="00452968">
      <w:pPr>
        <w:spacing w:after="0" w:line="240" w:lineRule="auto"/>
        <w:contextualSpacing/>
        <w:jc w:val="center"/>
        <w:rPr>
          <w:rFonts w:ascii="Times New Roman" w:hAnsi="Times New Roman" w:cs="Times New Roman"/>
          <w:b/>
          <w:bCs/>
          <w:sz w:val="24"/>
          <w:szCs w:val="24"/>
        </w:rPr>
      </w:pPr>
    </w:p>
    <w:p w:rsidR="00452968" w:rsidRPr="00DB5965" w:rsidRDefault="00452968" w:rsidP="00452968">
      <w:pPr>
        <w:spacing w:after="0" w:line="240" w:lineRule="auto"/>
        <w:contextualSpacing/>
        <w:jc w:val="center"/>
        <w:rPr>
          <w:rFonts w:ascii="Times New Roman" w:hAnsi="Times New Roman" w:cs="Times New Roman"/>
          <w:b/>
          <w:bCs/>
          <w:sz w:val="24"/>
          <w:szCs w:val="24"/>
        </w:rPr>
      </w:pPr>
      <w:r w:rsidRPr="00DB5965">
        <w:rPr>
          <w:rFonts w:ascii="Times New Roman" w:hAnsi="Times New Roman" w:cs="Times New Roman"/>
          <w:b/>
          <w:bCs/>
          <w:sz w:val="24"/>
          <w:szCs w:val="24"/>
        </w:rPr>
        <w:t>Aline Souza Magalhães</w:t>
      </w:r>
    </w:p>
    <w:p w:rsidR="00452968" w:rsidRPr="00DB5965" w:rsidRDefault="00452968" w:rsidP="00452968">
      <w:pPr>
        <w:spacing w:after="0" w:line="240" w:lineRule="auto"/>
        <w:contextualSpacing/>
        <w:jc w:val="center"/>
        <w:rPr>
          <w:rFonts w:ascii="Times New Roman" w:hAnsi="Times New Roman" w:cs="Times New Roman"/>
          <w:sz w:val="24"/>
          <w:szCs w:val="24"/>
        </w:rPr>
      </w:pPr>
      <w:r w:rsidRPr="00DB5965">
        <w:rPr>
          <w:rFonts w:ascii="Times New Roman" w:hAnsi="Times New Roman" w:cs="Times New Roman"/>
          <w:sz w:val="24"/>
          <w:szCs w:val="24"/>
        </w:rPr>
        <w:t>Doutora em Economia pelo CEDEPLAR-UFMG</w:t>
      </w:r>
    </w:p>
    <w:p w:rsidR="00452968" w:rsidRPr="00DB5965" w:rsidRDefault="00452968" w:rsidP="00452968">
      <w:pPr>
        <w:spacing w:after="0" w:line="240" w:lineRule="auto"/>
        <w:contextualSpacing/>
        <w:jc w:val="center"/>
        <w:rPr>
          <w:rFonts w:ascii="Times New Roman" w:hAnsi="Times New Roman" w:cs="Times New Roman"/>
          <w:sz w:val="24"/>
          <w:szCs w:val="24"/>
        </w:rPr>
      </w:pPr>
      <w:r w:rsidRPr="00DB5965">
        <w:rPr>
          <w:rFonts w:ascii="Times New Roman" w:hAnsi="Times New Roman" w:cs="Times New Roman"/>
          <w:sz w:val="24"/>
          <w:szCs w:val="24"/>
        </w:rPr>
        <w:t>Professora Adjunta do CEDEPLAR-UFMG</w:t>
      </w:r>
    </w:p>
    <w:p w:rsidR="00452968" w:rsidRPr="00DB5965" w:rsidRDefault="00452968" w:rsidP="00452968">
      <w:pPr>
        <w:spacing w:after="0" w:line="240" w:lineRule="auto"/>
        <w:contextualSpacing/>
        <w:jc w:val="center"/>
        <w:rPr>
          <w:rFonts w:ascii="Times New Roman" w:hAnsi="Times New Roman" w:cs="Times New Roman"/>
          <w:sz w:val="24"/>
          <w:szCs w:val="24"/>
        </w:rPr>
      </w:pPr>
      <w:r w:rsidRPr="00DB5965">
        <w:rPr>
          <w:rFonts w:ascii="Times New Roman" w:hAnsi="Times New Roman" w:cs="Times New Roman"/>
          <w:sz w:val="24"/>
          <w:szCs w:val="24"/>
        </w:rPr>
        <w:t>Endereço: Av. Antônio Carlos, 6627 - Belo Horizonte, MG / CEP: 31270-901</w:t>
      </w:r>
    </w:p>
    <w:p w:rsidR="00452968" w:rsidRPr="00DB5965" w:rsidRDefault="00452968" w:rsidP="00452968">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Telefone: (31) 3409-</w:t>
      </w:r>
      <w:r w:rsidRPr="00DB5965">
        <w:rPr>
          <w:rFonts w:ascii="Times New Roman" w:hAnsi="Times New Roman" w:cs="Times New Roman"/>
          <w:sz w:val="24"/>
          <w:szCs w:val="24"/>
        </w:rPr>
        <w:t xml:space="preserve">7100 </w:t>
      </w:r>
    </w:p>
    <w:p w:rsidR="00452968" w:rsidRPr="00DB5965" w:rsidRDefault="00E77DED" w:rsidP="00452968">
      <w:pPr>
        <w:spacing w:after="0" w:line="240" w:lineRule="auto"/>
        <w:contextualSpacing/>
        <w:jc w:val="center"/>
        <w:rPr>
          <w:rFonts w:ascii="Times New Roman" w:hAnsi="Times New Roman" w:cs="Times New Roman"/>
          <w:sz w:val="24"/>
          <w:szCs w:val="24"/>
        </w:rPr>
      </w:pPr>
      <w:hyperlink r:id="rId11" w:history="1">
        <w:r w:rsidR="00452968" w:rsidRPr="00DB5965">
          <w:rPr>
            <w:rStyle w:val="Hyperlink"/>
            <w:rFonts w:ascii="Times New Roman" w:hAnsi="Times New Roman" w:cs="Times New Roman"/>
            <w:sz w:val="24"/>
            <w:szCs w:val="24"/>
          </w:rPr>
          <w:t>alinesm@cedeplar.ufmg.br</w:t>
        </w:r>
      </w:hyperlink>
    </w:p>
    <w:p w:rsidR="00452968" w:rsidRDefault="00452968" w:rsidP="00452968">
      <w:pPr>
        <w:spacing w:after="0" w:line="240" w:lineRule="auto"/>
        <w:contextualSpacing/>
        <w:jc w:val="center"/>
        <w:rPr>
          <w:rFonts w:ascii="Times New Roman" w:hAnsi="Times New Roman" w:cs="Times New Roman"/>
          <w:sz w:val="24"/>
          <w:szCs w:val="24"/>
        </w:rPr>
      </w:pPr>
    </w:p>
    <w:p w:rsidR="00452968" w:rsidRDefault="00452968" w:rsidP="00452968">
      <w:pPr>
        <w:spacing w:after="0" w:line="240" w:lineRule="auto"/>
        <w:contextualSpacing/>
        <w:jc w:val="center"/>
        <w:rPr>
          <w:rFonts w:ascii="Times New Roman" w:hAnsi="Times New Roman" w:cs="Times New Roman"/>
          <w:sz w:val="24"/>
          <w:szCs w:val="24"/>
        </w:rPr>
      </w:pPr>
    </w:p>
    <w:p w:rsidR="00452968" w:rsidRPr="00DB5965" w:rsidRDefault="00452968" w:rsidP="00452968">
      <w:pPr>
        <w:spacing w:after="0" w:line="240" w:lineRule="auto"/>
        <w:contextualSpacing/>
        <w:jc w:val="center"/>
        <w:rPr>
          <w:rFonts w:ascii="Times New Roman" w:hAnsi="Times New Roman" w:cs="Times New Roman"/>
          <w:sz w:val="24"/>
          <w:szCs w:val="24"/>
        </w:rPr>
      </w:pPr>
    </w:p>
    <w:p w:rsidR="00452968" w:rsidRPr="00DB5965" w:rsidRDefault="00452968" w:rsidP="00452968">
      <w:pPr>
        <w:spacing w:after="0" w:line="240" w:lineRule="auto"/>
        <w:contextualSpacing/>
        <w:jc w:val="center"/>
        <w:rPr>
          <w:rFonts w:ascii="Times New Roman" w:hAnsi="Times New Roman" w:cs="Times New Roman"/>
          <w:b/>
          <w:bCs/>
          <w:sz w:val="24"/>
          <w:szCs w:val="24"/>
        </w:rPr>
      </w:pPr>
      <w:r w:rsidRPr="00DB5965">
        <w:rPr>
          <w:rFonts w:ascii="Times New Roman" w:hAnsi="Times New Roman" w:cs="Times New Roman"/>
          <w:b/>
          <w:bCs/>
          <w:sz w:val="24"/>
          <w:szCs w:val="24"/>
        </w:rPr>
        <w:t>Edson Paulo Domingues</w:t>
      </w:r>
    </w:p>
    <w:p w:rsidR="00452968" w:rsidRPr="00DB5965" w:rsidRDefault="00452968" w:rsidP="00452968">
      <w:pPr>
        <w:spacing w:after="0" w:line="240" w:lineRule="auto"/>
        <w:contextualSpacing/>
        <w:jc w:val="center"/>
        <w:rPr>
          <w:rFonts w:ascii="Times New Roman" w:hAnsi="Times New Roman" w:cs="Times New Roman"/>
          <w:sz w:val="24"/>
          <w:szCs w:val="24"/>
        </w:rPr>
      </w:pPr>
      <w:r w:rsidRPr="00DB5965">
        <w:rPr>
          <w:rFonts w:ascii="Times New Roman" w:hAnsi="Times New Roman" w:cs="Times New Roman"/>
          <w:sz w:val="24"/>
          <w:szCs w:val="24"/>
        </w:rPr>
        <w:t>Doutor em Economia pela USP</w:t>
      </w:r>
    </w:p>
    <w:p w:rsidR="00452968" w:rsidRPr="00DB5965" w:rsidRDefault="00452968" w:rsidP="00452968">
      <w:pPr>
        <w:spacing w:after="0" w:line="240" w:lineRule="auto"/>
        <w:contextualSpacing/>
        <w:jc w:val="center"/>
        <w:rPr>
          <w:rFonts w:ascii="Times New Roman" w:hAnsi="Times New Roman" w:cs="Times New Roman"/>
          <w:sz w:val="24"/>
          <w:szCs w:val="24"/>
        </w:rPr>
      </w:pPr>
      <w:r w:rsidRPr="00DB5965">
        <w:rPr>
          <w:rFonts w:ascii="Times New Roman" w:hAnsi="Times New Roman" w:cs="Times New Roman"/>
          <w:sz w:val="24"/>
          <w:szCs w:val="24"/>
        </w:rPr>
        <w:t>Professor Associado do CEDEPLAR-UFMG</w:t>
      </w:r>
    </w:p>
    <w:p w:rsidR="00452968" w:rsidRPr="00DB5965" w:rsidRDefault="00452968" w:rsidP="00452968">
      <w:pPr>
        <w:spacing w:after="0" w:line="240" w:lineRule="auto"/>
        <w:contextualSpacing/>
        <w:jc w:val="center"/>
        <w:rPr>
          <w:rFonts w:ascii="Times New Roman" w:hAnsi="Times New Roman" w:cs="Times New Roman"/>
          <w:sz w:val="24"/>
          <w:szCs w:val="24"/>
        </w:rPr>
      </w:pPr>
      <w:r w:rsidRPr="00DB5965">
        <w:rPr>
          <w:rFonts w:ascii="Times New Roman" w:hAnsi="Times New Roman" w:cs="Times New Roman"/>
          <w:sz w:val="24"/>
          <w:szCs w:val="24"/>
        </w:rPr>
        <w:t>Endereço: Av. Antônio Carlos, 6627 - Belo Horizonte, MG / CEP: 31270-901</w:t>
      </w:r>
    </w:p>
    <w:p w:rsidR="00452968" w:rsidRPr="00DB5965" w:rsidRDefault="00452968" w:rsidP="00452968">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t>Telefone: (31) 3409-</w:t>
      </w:r>
      <w:r w:rsidRPr="00DB5965">
        <w:rPr>
          <w:rFonts w:ascii="Times New Roman" w:hAnsi="Times New Roman" w:cs="Times New Roman"/>
          <w:sz w:val="24"/>
          <w:szCs w:val="24"/>
        </w:rPr>
        <w:t xml:space="preserve">7100 </w:t>
      </w:r>
    </w:p>
    <w:p w:rsidR="00452968" w:rsidRPr="00DB5965" w:rsidRDefault="00E77DED" w:rsidP="00452968">
      <w:pPr>
        <w:spacing w:after="0" w:line="240" w:lineRule="auto"/>
        <w:contextualSpacing/>
        <w:jc w:val="center"/>
        <w:rPr>
          <w:rFonts w:ascii="Times New Roman" w:hAnsi="Times New Roman" w:cs="Times New Roman"/>
          <w:sz w:val="24"/>
          <w:szCs w:val="24"/>
        </w:rPr>
      </w:pPr>
      <w:hyperlink r:id="rId12" w:history="1">
        <w:r w:rsidR="00452968" w:rsidRPr="00DB5965">
          <w:rPr>
            <w:rStyle w:val="Hyperlink"/>
            <w:rFonts w:ascii="Times New Roman" w:hAnsi="Times New Roman" w:cs="Times New Roman"/>
            <w:sz w:val="24"/>
            <w:szCs w:val="24"/>
          </w:rPr>
          <w:t>domingues.edson@gmail.com</w:t>
        </w:r>
      </w:hyperlink>
    </w:p>
    <w:p w:rsidR="00452968" w:rsidRPr="00DB5965" w:rsidRDefault="00452968" w:rsidP="00452968">
      <w:pPr>
        <w:spacing w:after="0" w:line="240" w:lineRule="auto"/>
        <w:contextualSpacing/>
        <w:jc w:val="center"/>
        <w:rPr>
          <w:rFonts w:ascii="Times New Roman" w:hAnsi="Times New Roman" w:cs="Times New Roman"/>
          <w:sz w:val="24"/>
          <w:szCs w:val="24"/>
        </w:rPr>
      </w:pPr>
    </w:p>
    <w:p w:rsidR="0094311E" w:rsidRPr="00DB5965" w:rsidRDefault="00E21016" w:rsidP="00B0244A">
      <w:pPr>
        <w:spacing w:after="100" w:afterAutospacing="1"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S</w:t>
      </w:r>
      <w:r w:rsidR="0094311E" w:rsidRPr="00DB5965">
        <w:rPr>
          <w:rFonts w:ascii="Times New Roman" w:hAnsi="Times New Roman" w:cs="Times New Roman"/>
          <w:b/>
          <w:bCs/>
          <w:sz w:val="24"/>
          <w:szCs w:val="24"/>
        </w:rPr>
        <w:t>IMULAÇÃO DO</w:t>
      </w:r>
      <w:bookmarkStart w:id="0" w:name="_GoBack"/>
      <w:bookmarkEnd w:id="0"/>
      <w:r w:rsidR="0094311E" w:rsidRPr="00DB5965">
        <w:rPr>
          <w:rFonts w:ascii="Times New Roman" w:hAnsi="Times New Roman" w:cs="Times New Roman"/>
          <w:b/>
          <w:bCs/>
          <w:sz w:val="24"/>
          <w:szCs w:val="24"/>
        </w:rPr>
        <w:t>S IMPACTOS ECONÔMICOS DA PROPOSTA BRASILEIRA NA COP21: UMA ABORDAGEM DE EQUILÍBRIO GERAL COMPUTÁVEL</w:t>
      </w:r>
    </w:p>
    <w:p w:rsidR="00E21016" w:rsidRDefault="00E21016" w:rsidP="006806D7">
      <w:pPr>
        <w:spacing w:after="0" w:line="240" w:lineRule="auto"/>
        <w:contextualSpacing/>
        <w:jc w:val="both"/>
        <w:rPr>
          <w:rFonts w:ascii="Times New Roman" w:hAnsi="Times New Roman" w:cs="Times New Roman"/>
          <w:b/>
          <w:bCs/>
          <w:sz w:val="24"/>
          <w:szCs w:val="24"/>
        </w:rPr>
      </w:pPr>
    </w:p>
    <w:p w:rsidR="002242DB" w:rsidRDefault="002242DB" w:rsidP="006806D7">
      <w:pPr>
        <w:spacing w:after="0" w:line="240" w:lineRule="auto"/>
        <w:contextualSpacing/>
        <w:jc w:val="both"/>
        <w:rPr>
          <w:rFonts w:ascii="Times New Roman" w:hAnsi="Times New Roman" w:cs="Times New Roman"/>
          <w:b/>
          <w:bCs/>
          <w:sz w:val="24"/>
          <w:szCs w:val="24"/>
        </w:rPr>
      </w:pPr>
    </w:p>
    <w:p w:rsidR="00B0244A" w:rsidRDefault="002242DB" w:rsidP="002242DB">
      <w:pPr>
        <w:spacing w:after="0" w:line="360" w:lineRule="auto"/>
        <w:contextualSpacing/>
        <w:jc w:val="center"/>
        <w:rPr>
          <w:rFonts w:ascii="Times New Roman" w:hAnsi="Times New Roman" w:cs="Times New Roman"/>
          <w:b/>
          <w:bCs/>
          <w:sz w:val="24"/>
          <w:szCs w:val="24"/>
        </w:rPr>
      </w:pPr>
      <w:r w:rsidRPr="002242DB">
        <w:rPr>
          <w:rStyle w:val="Forte"/>
          <w:rFonts w:ascii="Times New Roman" w:hAnsi="Times New Roman" w:cs="Times New Roman"/>
          <w:color w:val="2B2B2B"/>
          <w:sz w:val="24"/>
          <w:szCs w:val="21"/>
          <w:shd w:val="clear" w:color="auto" w:fill="FFFFFF"/>
        </w:rPr>
        <w:t>Área 11 -</w:t>
      </w:r>
      <w:r w:rsidRPr="002242DB">
        <w:rPr>
          <w:rStyle w:val="apple-converted-space"/>
          <w:rFonts w:ascii="Times New Roman" w:hAnsi="Times New Roman" w:cs="Times New Roman"/>
          <w:color w:val="2B2B2B"/>
          <w:sz w:val="24"/>
          <w:szCs w:val="21"/>
          <w:shd w:val="clear" w:color="auto" w:fill="FFFFFF"/>
        </w:rPr>
        <w:t> </w:t>
      </w:r>
      <w:r w:rsidRPr="002242DB">
        <w:rPr>
          <w:rFonts w:ascii="Times New Roman" w:hAnsi="Times New Roman" w:cs="Times New Roman"/>
          <w:color w:val="2B2B2B"/>
          <w:sz w:val="24"/>
          <w:szCs w:val="21"/>
          <w:shd w:val="clear" w:color="auto" w:fill="FFFFFF"/>
        </w:rPr>
        <w:t>Economia Agrícola e do Meio Ambiente</w:t>
      </w:r>
    </w:p>
    <w:p w:rsidR="001F1ECA" w:rsidRDefault="001F1ECA" w:rsidP="00B0244A">
      <w:pPr>
        <w:spacing w:after="0" w:line="240" w:lineRule="auto"/>
        <w:contextualSpacing/>
        <w:jc w:val="center"/>
        <w:rPr>
          <w:rFonts w:ascii="Times New Roman" w:hAnsi="Times New Roman" w:cs="Times New Roman"/>
          <w:b/>
          <w:bCs/>
          <w:szCs w:val="24"/>
        </w:rPr>
      </w:pPr>
    </w:p>
    <w:p w:rsidR="0094311E" w:rsidRDefault="0094311E" w:rsidP="006806D7">
      <w:pPr>
        <w:spacing w:after="0" w:line="24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Resumo</w:t>
      </w:r>
    </w:p>
    <w:p w:rsidR="0094311E" w:rsidRDefault="0094311E" w:rsidP="003F1647">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 presente artigo tem por objetivo simular</w:t>
      </w:r>
      <w:r w:rsidRPr="00A27778">
        <w:rPr>
          <w:rFonts w:ascii="Times New Roman" w:hAnsi="Times New Roman" w:cs="Times New Roman"/>
          <w:sz w:val="24"/>
          <w:szCs w:val="24"/>
        </w:rPr>
        <w:t xml:space="preserve"> </w:t>
      </w:r>
      <w:r>
        <w:rPr>
          <w:rFonts w:ascii="Times New Roman" w:hAnsi="Times New Roman" w:cs="Times New Roman"/>
          <w:sz w:val="24"/>
          <w:szCs w:val="24"/>
        </w:rPr>
        <w:t>os prováveis impactos econômicos decorrentes da</w:t>
      </w:r>
      <w:r w:rsidRPr="00A27778">
        <w:rPr>
          <w:rFonts w:ascii="Times New Roman" w:hAnsi="Times New Roman" w:cs="Times New Roman"/>
          <w:sz w:val="24"/>
          <w:szCs w:val="24"/>
        </w:rPr>
        <w:t xml:space="preserve"> imposição de metas de redução de emissão de c</w:t>
      </w:r>
      <w:r>
        <w:rPr>
          <w:rFonts w:ascii="Times New Roman" w:hAnsi="Times New Roman" w:cs="Times New Roman"/>
          <w:sz w:val="24"/>
          <w:szCs w:val="24"/>
        </w:rPr>
        <w:t xml:space="preserve">arbono, oriundos da proposta brasileira na COP21. O Brasil se comprometeu em reduzir 37% das suas emissões de gases de efeito estufa (GEE), em relação aos níveis de 2005, até 2025. </w:t>
      </w:r>
      <w:r w:rsidRPr="00A27778">
        <w:rPr>
          <w:rFonts w:ascii="Times New Roman" w:hAnsi="Times New Roman" w:cs="Times New Roman"/>
          <w:sz w:val="24"/>
          <w:szCs w:val="24"/>
        </w:rPr>
        <w:t>A metodologia adotada par</w:t>
      </w:r>
      <w:r>
        <w:rPr>
          <w:rFonts w:ascii="Times New Roman" w:hAnsi="Times New Roman" w:cs="Times New Roman"/>
          <w:sz w:val="24"/>
          <w:szCs w:val="24"/>
        </w:rPr>
        <w:t>a este fim consiste em aplicar um</w:t>
      </w:r>
      <w:r w:rsidRPr="00A27778">
        <w:rPr>
          <w:rFonts w:ascii="Times New Roman" w:hAnsi="Times New Roman" w:cs="Times New Roman"/>
          <w:sz w:val="24"/>
          <w:szCs w:val="24"/>
        </w:rPr>
        <w:t xml:space="preserve"> modelo</w:t>
      </w:r>
      <w:r>
        <w:rPr>
          <w:rFonts w:ascii="Times New Roman" w:hAnsi="Times New Roman" w:cs="Times New Roman"/>
          <w:sz w:val="24"/>
          <w:szCs w:val="24"/>
        </w:rPr>
        <w:t xml:space="preserve"> de equilíbrio geral computável com </w:t>
      </w:r>
      <w:r w:rsidRPr="00DB5965">
        <w:rPr>
          <w:rFonts w:ascii="Times New Roman" w:hAnsi="Times New Roman" w:cs="Times New Roman"/>
          <w:sz w:val="24"/>
          <w:szCs w:val="24"/>
        </w:rPr>
        <w:t>estrutura dinâmico-recursiva</w:t>
      </w:r>
      <w:r>
        <w:rPr>
          <w:rFonts w:ascii="Times New Roman" w:hAnsi="Times New Roman" w:cs="Times New Roman"/>
          <w:sz w:val="24"/>
          <w:szCs w:val="24"/>
        </w:rPr>
        <w:t>, o</w:t>
      </w:r>
      <w:r w:rsidRPr="00A27778">
        <w:rPr>
          <w:rFonts w:ascii="Times New Roman" w:hAnsi="Times New Roman" w:cs="Times New Roman"/>
          <w:sz w:val="24"/>
          <w:szCs w:val="24"/>
        </w:rPr>
        <w:t xml:space="preserve"> </w:t>
      </w:r>
      <w:proofErr w:type="spellStart"/>
      <w:r w:rsidRPr="00A27778">
        <w:rPr>
          <w:rFonts w:ascii="Times New Roman" w:hAnsi="Times New Roman" w:cs="Times New Roman"/>
          <w:sz w:val="24"/>
          <w:szCs w:val="24"/>
        </w:rPr>
        <w:t>BeGreen</w:t>
      </w:r>
      <w:proofErr w:type="spellEnd"/>
      <w:r w:rsidRPr="00A27778">
        <w:rPr>
          <w:rFonts w:ascii="Times New Roman" w:hAnsi="Times New Roman" w:cs="Times New Roman"/>
          <w:sz w:val="24"/>
          <w:szCs w:val="24"/>
        </w:rPr>
        <w:t>, de</w:t>
      </w:r>
      <w:r>
        <w:rPr>
          <w:rFonts w:ascii="Times New Roman" w:hAnsi="Times New Roman" w:cs="Times New Roman"/>
          <w:sz w:val="24"/>
          <w:szCs w:val="24"/>
        </w:rPr>
        <w:t>senvolvido por Magalhães (2013). Foram modeladas as emissões derivadas do uso de combustíveis e de</w:t>
      </w:r>
      <w:r w:rsidRPr="00A27778">
        <w:rPr>
          <w:rFonts w:ascii="Times New Roman" w:hAnsi="Times New Roman" w:cs="Times New Roman"/>
          <w:sz w:val="24"/>
          <w:szCs w:val="24"/>
        </w:rPr>
        <w:t xml:space="preserve"> processos produtivos</w:t>
      </w:r>
      <w:r>
        <w:rPr>
          <w:rFonts w:ascii="Times New Roman" w:hAnsi="Times New Roman" w:cs="Times New Roman"/>
          <w:sz w:val="24"/>
          <w:szCs w:val="24"/>
        </w:rPr>
        <w:t xml:space="preserve">, que vêm apresentando participação crescente nas emissões totais brasileiras. Os </w:t>
      </w:r>
      <w:r w:rsidRPr="00DB5965">
        <w:rPr>
          <w:rFonts w:ascii="Times New Roman" w:hAnsi="Times New Roman" w:cs="Times New Roman"/>
          <w:sz w:val="24"/>
          <w:szCs w:val="24"/>
        </w:rPr>
        <w:t>módulo</w:t>
      </w:r>
      <w:r>
        <w:rPr>
          <w:rFonts w:ascii="Times New Roman" w:hAnsi="Times New Roman" w:cs="Times New Roman"/>
          <w:sz w:val="24"/>
          <w:szCs w:val="24"/>
        </w:rPr>
        <w:t>s</w:t>
      </w:r>
      <w:r w:rsidRPr="00DB5965">
        <w:rPr>
          <w:rFonts w:ascii="Times New Roman" w:hAnsi="Times New Roman" w:cs="Times New Roman"/>
          <w:sz w:val="24"/>
          <w:szCs w:val="24"/>
        </w:rPr>
        <w:t xml:space="preserve"> de espec</w:t>
      </w:r>
      <w:r>
        <w:rPr>
          <w:rFonts w:ascii="Times New Roman" w:hAnsi="Times New Roman" w:cs="Times New Roman"/>
          <w:sz w:val="24"/>
          <w:szCs w:val="24"/>
        </w:rPr>
        <w:t xml:space="preserve">ificação energética e </w:t>
      </w:r>
      <w:r w:rsidRPr="00DB5965">
        <w:rPr>
          <w:rFonts w:ascii="Times New Roman" w:hAnsi="Times New Roman" w:cs="Times New Roman"/>
          <w:sz w:val="24"/>
          <w:szCs w:val="24"/>
        </w:rPr>
        <w:t>ambiental</w:t>
      </w:r>
      <w:r w:rsidR="00C650B7">
        <w:rPr>
          <w:rFonts w:ascii="Times New Roman" w:hAnsi="Times New Roman" w:cs="Times New Roman"/>
          <w:sz w:val="24"/>
          <w:szCs w:val="24"/>
        </w:rPr>
        <w:t xml:space="preserve"> incorporados ao modelo</w:t>
      </w:r>
      <w:r>
        <w:rPr>
          <w:rFonts w:ascii="Times New Roman" w:hAnsi="Times New Roman" w:cs="Times New Roman"/>
          <w:sz w:val="24"/>
          <w:szCs w:val="24"/>
        </w:rPr>
        <w:t xml:space="preserve"> o tornam</w:t>
      </w:r>
      <w:r w:rsidRPr="00DB5965">
        <w:rPr>
          <w:rFonts w:ascii="Times New Roman" w:hAnsi="Times New Roman" w:cs="Times New Roman"/>
          <w:sz w:val="24"/>
          <w:szCs w:val="24"/>
        </w:rPr>
        <w:t xml:space="preserve"> adequado à análise de políticas de redução de</w:t>
      </w:r>
      <w:r>
        <w:rPr>
          <w:rFonts w:ascii="Times New Roman" w:hAnsi="Times New Roman" w:cs="Times New Roman"/>
          <w:sz w:val="24"/>
          <w:szCs w:val="24"/>
        </w:rPr>
        <w:t xml:space="preserve"> GEE, pois </w:t>
      </w:r>
      <w:r w:rsidRPr="00A27778">
        <w:rPr>
          <w:rFonts w:ascii="Times New Roman" w:hAnsi="Times New Roman" w:cs="Times New Roman"/>
          <w:sz w:val="24"/>
          <w:szCs w:val="24"/>
        </w:rPr>
        <w:t>permite</w:t>
      </w:r>
      <w:r>
        <w:rPr>
          <w:rFonts w:ascii="Times New Roman" w:hAnsi="Times New Roman" w:cs="Times New Roman"/>
          <w:sz w:val="24"/>
          <w:szCs w:val="24"/>
        </w:rPr>
        <w:t>m</w:t>
      </w:r>
      <w:r w:rsidRPr="00A27778">
        <w:rPr>
          <w:rFonts w:ascii="Times New Roman" w:hAnsi="Times New Roman" w:cs="Times New Roman"/>
          <w:sz w:val="24"/>
          <w:szCs w:val="24"/>
        </w:rPr>
        <w:t xml:space="preserve"> tratar as emissões de forma detalhada, separando-as por agente emissor (combustíveis, indústrias e famílias), e atividade emissora</w:t>
      </w:r>
      <w:r>
        <w:rPr>
          <w:rFonts w:ascii="Times New Roman" w:hAnsi="Times New Roman" w:cs="Times New Roman"/>
          <w:sz w:val="24"/>
          <w:szCs w:val="24"/>
        </w:rPr>
        <w:t>. De forma geral, o</w:t>
      </w:r>
      <w:r w:rsidRPr="00A27778">
        <w:rPr>
          <w:rFonts w:ascii="Times New Roman" w:hAnsi="Times New Roman" w:cs="Times New Roman"/>
          <w:sz w:val="24"/>
          <w:szCs w:val="24"/>
        </w:rPr>
        <w:t>s resultados indicam um decréscimo acumulado de -3,3% do PIB real, em 2025, em relação ao cenário base, associado a uma redução do consumo d</w:t>
      </w:r>
      <w:r>
        <w:rPr>
          <w:rFonts w:ascii="Times New Roman" w:hAnsi="Times New Roman" w:cs="Times New Roman"/>
          <w:sz w:val="24"/>
          <w:szCs w:val="24"/>
        </w:rPr>
        <w:t>as famílias e do investimento. Conforme</w:t>
      </w:r>
      <w:r w:rsidRPr="00A27778">
        <w:rPr>
          <w:rFonts w:ascii="Times New Roman" w:hAnsi="Times New Roman" w:cs="Times New Roman"/>
          <w:sz w:val="24"/>
          <w:szCs w:val="24"/>
        </w:rPr>
        <w:t xml:space="preserve"> esperado,</w:t>
      </w:r>
      <w:r>
        <w:rPr>
          <w:rFonts w:ascii="Times New Roman" w:hAnsi="Times New Roman" w:cs="Times New Roman"/>
          <w:sz w:val="24"/>
          <w:szCs w:val="24"/>
        </w:rPr>
        <w:t xml:space="preserve"> os</w:t>
      </w:r>
      <w:r w:rsidRPr="00A27778">
        <w:rPr>
          <w:rFonts w:ascii="Times New Roman" w:hAnsi="Times New Roman" w:cs="Times New Roman"/>
          <w:sz w:val="24"/>
          <w:szCs w:val="24"/>
        </w:rPr>
        <w:t xml:space="preserve"> setores com maior dependência em relação à queima de combustíveis</w:t>
      </w:r>
      <w:r>
        <w:rPr>
          <w:rFonts w:ascii="Times New Roman" w:hAnsi="Times New Roman" w:cs="Times New Roman"/>
          <w:sz w:val="24"/>
          <w:szCs w:val="24"/>
        </w:rPr>
        <w:t>,</w:t>
      </w:r>
      <w:r w:rsidRPr="00A27778">
        <w:rPr>
          <w:rFonts w:ascii="Times New Roman" w:hAnsi="Times New Roman" w:cs="Times New Roman"/>
          <w:sz w:val="24"/>
          <w:szCs w:val="24"/>
        </w:rPr>
        <w:t xml:space="preserve"> ou com elevada intensidade de emissões nos seus processos produtivos</w:t>
      </w:r>
      <w:r>
        <w:rPr>
          <w:rFonts w:ascii="Times New Roman" w:hAnsi="Times New Roman" w:cs="Times New Roman"/>
          <w:sz w:val="24"/>
          <w:szCs w:val="24"/>
        </w:rPr>
        <w:t>,</w:t>
      </w:r>
      <w:r w:rsidRPr="00A27778">
        <w:rPr>
          <w:rFonts w:ascii="Times New Roman" w:hAnsi="Times New Roman" w:cs="Times New Roman"/>
          <w:sz w:val="24"/>
          <w:szCs w:val="24"/>
        </w:rPr>
        <w:t xml:space="preserve"> foram os mais negativamente </w:t>
      </w:r>
      <w:r w:rsidR="00C650B7">
        <w:rPr>
          <w:rFonts w:ascii="Times New Roman" w:hAnsi="Times New Roman" w:cs="Times New Roman"/>
          <w:sz w:val="24"/>
          <w:szCs w:val="24"/>
        </w:rPr>
        <w:t>afetados</w:t>
      </w:r>
      <w:r w:rsidRPr="00A27778">
        <w:rPr>
          <w:rFonts w:ascii="Times New Roman" w:hAnsi="Times New Roman" w:cs="Times New Roman"/>
          <w:sz w:val="24"/>
          <w:szCs w:val="24"/>
        </w:rPr>
        <w:t xml:space="preserve">. </w:t>
      </w:r>
    </w:p>
    <w:p w:rsidR="0094311E" w:rsidRDefault="0094311E" w:rsidP="006806D7">
      <w:pPr>
        <w:spacing w:after="0" w:line="240" w:lineRule="auto"/>
        <w:contextualSpacing/>
        <w:jc w:val="both"/>
        <w:rPr>
          <w:rFonts w:ascii="Times New Roman" w:hAnsi="Times New Roman" w:cs="Times New Roman"/>
          <w:sz w:val="24"/>
          <w:szCs w:val="24"/>
        </w:rPr>
      </w:pPr>
    </w:p>
    <w:p w:rsidR="0094311E" w:rsidRDefault="0094311E" w:rsidP="006806D7">
      <w:pPr>
        <w:spacing w:after="0" w:line="24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Palavras-chave: </w:t>
      </w:r>
      <w:r w:rsidRPr="002B7541">
        <w:rPr>
          <w:rFonts w:ascii="Times New Roman" w:hAnsi="Times New Roman" w:cs="Times New Roman"/>
          <w:sz w:val="24"/>
          <w:szCs w:val="24"/>
        </w:rPr>
        <w:t>COP21</w:t>
      </w:r>
      <w:r>
        <w:rPr>
          <w:rFonts w:ascii="Times New Roman" w:hAnsi="Times New Roman" w:cs="Times New Roman"/>
          <w:sz w:val="24"/>
          <w:szCs w:val="24"/>
        </w:rPr>
        <w:t>; Emissões de gases de efeito estufa; Equilíbrio geral computável.</w:t>
      </w:r>
    </w:p>
    <w:p w:rsidR="0094311E" w:rsidRDefault="0094311E" w:rsidP="006806D7">
      <w:pPr>
        <w:spacing w:after="0" w:line="240" w:lineRule="auto"/>
        <w:contextualSpacing/>
        <w:jc w:val="both"/>
        <w:rPr>
          <w:rFonts w:ascii="Times New Roman" w:hAnsi="Times New Roman" w:cs="Times New Roman"/>
          <w:b/>
          <w:bCs/>
          <w:sz w:val="24"/>
          <w:szCs w:val="24"/>
        </w:rPr>
      </w:pPr>
    </w:p>
    <w:p w:rsidR="0094311E" w:rsidRDefault="0094311E" w:rsidP="006806D7">
      <w:pPr>
        <w:spacing w:after="0" w:line="240" w:lineRule="auto"/>
        <w:contextualSpacing/>
        <w:jc w:val="both"/>
        <w:rPr>
          <w:rFonts w:ascii="Times New Roman" w:hAnsi="Times New Roman" w:cs="Times New Roman"/>
          <w:b/>
          <w:bCs/>
          <w:sz w:val="24"/>
          <w:szCs w:val="24"/>
        </w:rPr>
      </w:pPr>
    </w:p>
    <w:p w:rsidR="0094311E" w:rsidRPr="00BD1F5A" w:rsidRDefault="0094311E" w:rsidP="005D500D">
      <w:pPr>
        <w:spacing w:after="100" w:afterAutospacing="1" w:line="240" w:lineRule="auto"/>
        <w:contextualSpacing/>
        <w:jc w:val="center"/>
        <w:rPr>
          <w:rFonts w:ascii="Times New Roman" w:hAnsi="Times New Roman" w:cs="Times New Roman"/>
          <w:b/>
          <w:bCs/>
          <w:sz w:val="24"/>
          <w:szCs w:val="24"/>
          <w:lang w:val="en-US"/>
        </w:rPr>
      </w:pPr>
      <w:r w:rsidRPr="00BD1F5A">
        <w:rPr>
          <w:rFonts w:ascii="Times New Roman" w:hAnsi="Times New Roman" w:cs="Times New Roman"/>
          <w:b/>
          <w:bCs/>
          <w:sz w:val="24"/>
          <w:szCs w:val="24"/>
          <w:lang w:val="en-US"/>
        </w:rPr>
        <w:t xml:space="preserve">SIMULATION OF THE ECONOMIC IMPACTS OF BRAZILIAN PROPOSAL IN COP21: A </w:t>
      </w:r>
      <w:r>
        <w:rPr>
          <w:rFonts w:ascii="Times New Roman" w:hAnsi="Times New Roman" w:cs="Times New Roman"/>
          <w:b/>
          <w:bCs/>
          <w:sz w:val="24"/>
          <w:szCs w:val="24"/>
          <w:lang w:val="en-US"/>
        </w:rPr>
        <w:t>COMPUTABLE GENERAL EQUILIBRIUM APPROACH</w:t>
      </w:r>
    </w:p>
    <w:p w:rsidR="0094311E" w:rsidRPr="00BD1F5A" w:rsidRDefault="0094311E" w:rsidP="006806D7">
      <w:pPr>
        <w:spacing w:after="0" w:line="240" w:lineRule="auto"/>
        <w:contextualSpacing/>
        <w:jc w:val="both"/>
        <w:rPr>
          <w:rFonts w:ascii="Times New Roman" w:hAnsi="Times New Roman" w:cs="Times New Roman"/>
          <w:b/>
          <w:bCs/>
          <w:sz w:val="24"/>
          <w:szCs w:val="24"/>
          <w:lang w:val="en-US"/>
        </w:rPr>
      </w:pPr>
    </w:p>
    <w:p w:rsidR="0094311E" w:rsidRPr="00BD1F5A" w:rsidRDefault="0094311E" w:rsidP="006806D7">
      <w:pPr>
        <w:spacing w:after="0" w:line="240" w:lineRule="auto"/>
        <w:contextualSpacing/>
        <w:jc w:val="both"/>
        <w:rPr>
          <w:rFonts w:ascii="Times New Roman" w:hAnsi="Times New Roman" w:cs="Times New Roman"/>
          <w:b/>
          <w:bCs/>
          <w:sz w:val="24"/>
          <w:szCs w:val="24"/>
          <w:lang w:val="en-US"/>
        </w:rPr>
      </w:pPr>
    </w:p>
    <w:p w:rsidR="0094311E" w:rsidRPr="002B7541" w:rsidRDefault="0094311E" w:rsidP="006806D7">
      <w:pPr>
        <w:spacing w:after="0" w:line="240" w:lineRule="auto"/>
        <w:contextualSpacing/>
        <w:jc w:val="both"/>
        <w:rPr>
          <w:rFonts w:ascii="Times New Roman" w:hAnsi="Times New Roman" w:cs="Times New Roman"/>
          <w:b/>
          <w:bCs/>
          <w:sz w:val="24"/>
          <w:szCs w:val="24"/>
          <w:lang w:val="en-US"/>
        </w:rPr>
      </w:pPr>
      <w:r w:rsidRPr="002B7541">
        <w:rPr>
          <w:rFonts w:ascii="Times New Roman" w:hAnsi="Times New Roman" w:cs="Times New Roman"/>
          <w:b/>
          <w:bCs/>
          <w:sz w:val="24"/>
          <w:szCs w:val="24"/>
          <w:lang w:val="en-US"/>
        </w:rPr>
        <w:t>Abstract</w:t>
      </w:r>
    </w:p>
    <w:p w:rsidR="0094311E" w:rsidRPr="002B7541" w:rsidRDefault="0094311E" w:rsidP="002B7541">
      <w:pPr>
        <w:spacing w:after="0" w:line="240" w:lineRule="auto"/>
        <w:contextualSpacing/>
        <w:jc w:val="both"/>
        <w:rPr>
          <w:rFonts w:ascii="Times New Roman" w:hAnsi="Times New Roman" w:cs="Times New Roman"/>
          <w:sz w:val="24"/>
          <w:szCs w:val="24"/>
          <w:lang w:val="en-US"/>
        </w:rPr>
      </w:pPr>
      <w:r w:rsidRPr="002B7541">
        <w:rPr>
          <w:rFonts w:ascii="Times New Roman" w:hAnsi="Times New Roman" w:cs="Times New Roman"/>
          <w:sz w:val="24"/>
          <w:szCs w:val="24"/>
          <w:lang w:val="en-US"/>
        </w:rPr>
        <w:t>This article aims to simulate the likely economic impacts of imposing ca</w:t>
      </w:r>
      <w:r>
        <w:rPr>
          <w:rFonts w:ascii="Times New Roman" w:hAnsi="Times New Roman" w:cs="Times New Roman"/>
          <w:sz w:val="24"/>
          <w:szCs w:val="24"/>
          <w:lang w:val="en-US"/>
        </w:rPr>
        <w:t>rbon emission reduction targets</w:t>
      </w:r>
      <w:r w:rsidRPr="002B7541">
        <w:rPr>
          <w:rFonts w:ascii="Times New Roman" w:hAnsi="Times New Roman" w:cs="Times New Roman"/>
          <w:sz w:val="24"/>
          <w:szCs w:val="24"/>
          <w:lang w:val="en-US"/>
        </w:rPr>
        <w:t xml:space="preserve"> derived fr</w:t>
      </w:r>
      <w:r>
        <w:rPr>
          <w:rFonts w:ascii="Times New Roman" w:hAnsi="Times New Roman" w:cs="Times New Roman"/>
          <w:sz w:val="24"/>
          <w:szCs w:val="24"/>
          <w:lang w:val="en-US"/>
        </w:rPr>
        <w:t>om the Brazilian proposal in COP</w:t>
      </w:r>
      <w:r w:rsidRPr="002B7541">
        <w:rPr>
          <w:rFonts w:ascii="Times New Roman" w:hAnsi="Times New Roman" w:cs="Times New Roman"/>
          <w:sz w:val="24"/>
          <w:szCs w:val="24"/>
          <w:lang w:val="en-US"/>
        </w:rPr>
        <w:t xml:space="preserve">21. Brazil has pledged to reduce </w:t>
      </w:r>
      <w:r>
        <w:rPr>
          <w:rFonts w:ascii="Times New Roman" w:hAnsi="Times New Roman" w:cs="Times New Roman"/>
          <w:sz w:val="24"/>
          <w:szCs w:val="24"/>
          <w:lang w:val="en-US"/>
        </w:rPr>
        <w:t xml:space="preserve">37% of its greenhouse gases </w:t>
      </w:r>
      <w:r w:rsidRPr="002B7541">
        <w:rPr>
          <w:rFonts w:ascii="Times New Roman" w:hAnsi="Times New Roman" w:cs="Times New Roman"/>
          <w:sz w:val="24"/>
          <w:szCs w:val="24"/>
          <w:lang w:val="en-US"/>
        </w:rPr>
        <w:t>emissions</w:t>
      </w:r>
      <w:r>
        <w:rPr>
          <w:rFonts w:ascii="Times New Roman" w:hAnsi="Times New Roman" w:cs="Times New Roman"/>
          <w:sz w:val="24"/>
          <w:szCs w:val="24"/>
          <w:lang w:val="en-US"/>
        </w:rPr>
        <w:t xml:space="preserve"> (GHG)</w:t>
      </w:r>
      <w:r w:rsidRPr="002B7541">
        <w:rPr>
          <w:rFonts w:ascii="Times New Roman" w:hAnsi="Times New Roman" w:cs="Times New Roman"/>
          <w:sz w:val="24"/>
          <w:szCs w:val="24"/>
          <w:lang w:val="en-US"/>
        </w:rPr>
        <w:t xml:space="preserve"> compared to </w:t>
      </w:r>
      <w:r>
        <w:rPr>
          <w:rFonts w:ascii="Times New Roman" w:hAnsi="Times New Roman" w:cs="Times New Roman"/>
          <w:sz w:val="24"/>
          <w:szCs w:val="24"/>
          <w:lang w:val="en-US"/>
        </w:rPr>
        <w:t xml:space="preserve">2005 levels, by 2025. </w:t>
      </w:r>
      <w:r w:rsidRPr="002B7541">
        <w:rPr>
          <w:rFonts w:ascii="Times New Roman" w:hAnsi="Times New Roman" w:cs="Times New Roman"/>
          <w:sz w:val="24"/>
          <w:szCs w:val="24"/>
          <w:lang w:val="en-US"/>
        </w:rPr>
        <w:t>The methodology adopted for this purpose consists of applying a computable general</w:t>
      </w:r>
      <w:r>
        <w:rPr>
          <w:rFonts w:ascii="Times New Roman" w:hAnsi="Times New Roman" w:cs="Times New Roman"/>
          <w:sz w:val="24"/>
          <w:szCs w:val="24"/>
          <w:lang w:val="en-US"/>
        </w:rPr>
        <w:t xml:space="preserve"> equilibrium model with </w:t>
      </w:r>
      <w:r w:rsidRPr="002B7541">
        <w:rPr>
          <w:rFonts w:ascii="Times New Roman" w:hAnsi="Times New Roman" w:cs="Times New Roman"/>
          <w:sz w:val="24"/>
          <w:szCs w:val="24"/>
          <w:lang w:val="en-US"/>
        </w:rPr>
        <w:t>recursive</w:t>
      </w:r>
      <w:r>
        <w:rPr>
          <w:rFonts w:ascii="Times New Roman" w:hAnsi="Times New Roman" w:cs="Times New Roman"/>
          <w:sz w:val="24"/>
          <w:szCs w:val="24"/>
          <w:lang w:val="en-US"/>
        </w:rPr>
        <w:t>-dynamic</w:t>
      </w:r>
      <w:r w:rsidRPr="002B7541">
        <w:rPr>
          <w:rFonts w:ascii="Times New Roman" w:hAnsi="Times New Roman" w:cs="Times New Roman"/>
          <w:sz w:val="24"/>
          <w:szCs w:val="24"/>
          <w:lang w:val="en-US"/>
        </w:rPr>
        <w:t xml:space="preserve"> structure</w:t>
      </w:r>
      <w:r>
        <w:rPr>
          <w:rFonts w:ascii="Times New Roman" w:hAnsi="Times New Roman" w:cs="Times New Roman"/>
          <w:sz w:val="24"/>
          <w:szCs w:val="24"/>
          <w:lang w:val="en-US"/>
        </w:rPr>
        <w:t xml:space="preserve">, the </w:t>
      </w:r>
      <w:proofErr w:type="spellStart"/>
      <w:r>
        <w:rPr>
          <w:rFonts w:ascii="Times New Roman" w:hAnsi="Times New Roman" w:cs="Times New Roman"/>
          <w:sz w:val="24"/>
          <w:szCs w:val="24"/>
          <w:lang w:val="en-US"/>
        </w:rPr>
        <w:t>Begreen</w:t>
      </w:r>
      <w:proofErr w:type="spellEnd"/>
      <w:r>
        <w:rPr>
          <w:rFonts w:ascii="Times New Roman" w:hAnsi="Times New Roman" w:cs="Times New Roman"/>
          <w:sz w:val="24"/>
          <w:szCs w:val="24"/>
          <w:lang w:val="en-US"/>
        </w:rPr>
        <w:t xml:space="preserve">, developed by </w:t>
      </w:r>
      <w:proofErr w:type="spellStart"/>
      <w:r>
        <w:rPr>
          <w:rFonts w:ascii="Times New Roman" w:hAnsi="Times New Roman" w:cs="Times New Roman"/>
          <w:sz w:val="24"/>
          <w:szCs w:val="24"/>
          <w:lang w:val="en-US"/>
        </w:rPr>
        <w:t>Magalhães</w:t>
      </w:r>
      <w:proofErr w:type="spellEnd"/>
      <w:r w:rsidRPr="002B7541">
        <w:rPr>
          <w:rFonts w:ascii="Times New Roman" w:hAnsi="Times New Roman" w:cs="Times New Roman"/>
          <w:sz w:val="24"/>
          <w:szCs w:val="24"/>
          <w:lang w:val="en-US"/>
        </w:rPr>
        <w:t xml:space="preserve"> (2013).</w:t>
      </w:r>
      <w:r>
        <w:rPr>
          <w:rFonts w:ascii="Times New Roman" w:hAnsi="Times New Roman" w:cs="Times New Roman"/>
          <w:sz w:val="24"/>
          <w:szCs w:val="24"/>
          <w:lang w:val="en-US"/>
        </w:rPr>
        <w:t xml:space="preserve"> The emissions related to fuel and production processes have been included in the model, given their increasing roles in Brazilian total emissions. The energetic</w:t>
      </w:r>
      <w:r w:rsidRPr="002B7541">
        <w:rPr>
          <w:rFonts w:ascii="Times New Roman" w:hAnsi="Times New Roman" w:cs="Times New Roman"/>
          <w:sz w:val="24"/>
          <w:szCs w:val="24"/>
          <w:lang w:val="en-US"/>
        </w:rPr>
        <w:t xml:space="preserve"> and environmental</w:t>
      </w:r>
      <w:r>
        <w:rPr>
          <w:rFonts w:ascii="Times New Roman" w:hAnsi="Times New Roman" w:cs="Times New Roman"/>
          <w:sz w:val="24"/>
          <w:szCs w:val="24"/>
          <w:lang w:val="en-US"/>
        </w:rPr>
        <w:t xml:space="preserve"> specification modules i</w:t>
      </w:r>
      <w:r w:rsidRPr="002B7541">
        <w:rPr>
          <w:rFonts w:ascii="Times New Roman" w:hAnsi="Times New Roman" w:cs="Times New Roman"/>
          <w:sz w:val="24"/>
          <w:szCs w:val="24"/>
          <w:lang w:val="en-US"/>
        </w:rPr>
        <w:t>ncorporated into this model make it suitable to the analysis</w:t>
      </w:r>
      <w:r>
        <w:rPr>
          <w:rFonts w:ascii="Times New Roman" w:hAnsi="Times New Roman" w:cs="Times New Roman"/>
          <w:sz w:val="24"/>
          <w:szCs w:val="24"/>
          <w:lang w:val="en-US"/>
        </w:rPr>
        <w:t xml:space="preserve"> of GHG reduction policies, once they</w:t>
      </w:r>
      <w:r w:rsidRPr="002B7541">
        <w:rPr>
          <w:rFonts w:ascii="Times New Roman" w:hAnsi="Times New Roman" w:cs="Times New Roman"/>
          <w:sz w:val="24"/>
          <w:szCs w:val="24"/>
          <w:lang w:val="en-US"/>
        </w:rPr>
        <w:t xml:space="preserve"> allow treating</w:t>
      </w:r>
      <w:r>
        <w:rPr>
          <w:rFonts w:ascii="Times New Roman" w:hAnsi="Times New Roman" w:cs="Times New Roman"/>
          <w:sz w:val="24"/>
          <w:szCs w:val="24"/>
          <w:lang w:val="en-US"/>
        </w:rPr>
        <w:t xml:space="preserve"> the emissions in detail and</w:t>
      </w:r>
      <w:r w:rsidRPr="002B7541">
        <w:rPr>
          <w:rFonts w:ascii="Times New Roman" w:hAnsi="Times New Roman" w:cs="Times New Roman"/>
          <w:sz w:val="24"/>
          <w:szCs w:val="24"/>
          <w:lang w:val="en-US"/>
        </w:rPr>
        <w:t xml:space="preserve"> separating them by </w:t>
      </w:r>
      <w:r w:rsidRPr="00B530FA">
        <w:rPr>
          <w:rFonts w:ascii="Times New Roman" w:hAnsi="Times New Roman" w:cs="Times New Roman"/>
          <w:sz w:val="24"/>
          <w:szCs w:val="24"/>
          <w:lang w:val="en-US"/>
        </w:rPr>
        <w:t>emitting</w:t>
      </w:r>
      <w:r>
        <w:rPr>
          <w:rFonts w:ascii="Times New Roman" w:hAnsi="Times New Roman" w:cs="Times New Roman"/>
          <w:sz w:val="24"/>
          <w:szCs w:val="24"/>
          <w:lang w:val="en-US"/>
        </w:rPr>
        <w:t xml:space="preserve"> </w:t>
      </w:r>
      <w:r w:rsidRPr="002B7541">
        <w:rPr>
          <w:rFonts w:ascii="Times New Roman" w:hAnsi="Times New Roman" w:cs="Times New Roman"/>
          <w:sz w:val="24"/>
          <w:szCs w:val="24"/>
          <w:lang w:val="en-US"/>
        </w:rPr>
        <w:t xml:space="preserve">agent (fuel, industries and households) and </w:t>
      </w:r>
      <w:r w:rsidRPr="00B530FA">
        <w:rPr>
          <w:rFonts w:ascii="Times New Roman" w:hAnsi="Times New Roman" w:cs="Times New Roman"/>
          <w:sz w:val="24"/>
          <w:szCs w:val="24"/>
          <w:lang w:val="en-US"/>
        </w:rPr>
        <w:t>emitting</w:t>
      </w:r>
      <w:r>
        <w:rPr>
          <w:rFonts w:ascii="Times New Roman" w:hAnsi="Times New Roman" w:cs="Times New Roman"/>
          <w:sz w:val="24"/>
          <w:szCs w:val="24"/>
          <w:lang w:val="en-US"/>
        </w:rPr>
        <w:t xml:space="preserve"> activity. Generally</w:t>
      </w:r>
      <w:r w:rsidRPr="002B7541">
        <w:rPr>
          <w:rFonts w:ascii="Times New Roman" w:hAnsi="Times New Roman" w:cs="Times New Roman"/>
          <w:sz w:val="24"/>
          <w:szCs w:val="24"/>
          <w:lang w:val="en-US"/>
        </w:rPr>
        <w:t>, the results indi</w:t>
      </w:r>
      <w:r>
        <w:rPr>
          <w:rFonts w:ascii="Times New Roman" w:hAnsi="Times New Roman" w:cs="Times New Roman"/>
          <w:sz w:val="24"/>
          <w:szCs w:val="24"/>
          <w:lang w:val="en-US"/>
        </w:rPr>
        <w:t>cate a cumulative decrease of 3</w:t>
      </w:r>
      <w:proofErr w:type="gramStart"/>
      <w:r>
        <w:rPr>
          <w:rFonts w:ascii="Times New Roman" w:hAnsi="Times New Roman" w:cs="Times New Roman"/>
          <w:sz w:val="24"/>
          <w:szCs w:val="24"/>
          <w:lang w:val="en-US"/>
        </w:rPr>
        <w:t>,</w:t>
      </w:r>
      <w:r w:rsidRPr="002B7541">
        <w:rPr>
          <w:rFonts w:ascii="Times New Roman" w:hAnsi="Times New Roman" w:cs="Times New Roman"/>
          <w:sz w:val="24"/>
          <w:szCs w:val="24"/>
          <w:lang w:val="en-US"/>
        </w:rPr>
        <w:t>3</w:t>
      </w:r>
      <w:proofErr w:type="gramEnd"/>
      <w:r w:rsidRPr="002B7541">
        <w:rPr>
          <w:rFonts w:ascii="Times New Roman" w:hAnsi="Times New Roman" w:cs="Times New Roman"/>
          <w:sz w:val="24"/>
          <w:szCs w:val="24"/>
          <w:lang w:val="en-US"/>
        </w:rPr>
        <w:t>% in real GDP in 2025, compared to the baseline scenario, associated with a reduction in household consumption and investment. As expected, the sectors with the greatest dependence on the burning of fuels</w:t>
      </w:r>
      <w:r>
        <w:rPr>
          <w:rFonts w:ascii="Times New Roman" w:hAnsi="Times New Roman" w:cs="Times New Roman"/>
          <w:sz w:val="24"/>
          <w:szCs w:val="24"/>
          <w:lang w:val="en-US"/>
        </w:rPr>
        <w:t>,</w:t>
      </w:r>
      <w:r w:rsidRPr="002B7541">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with </w:t>
      </w:r>
      <w:r w:rsidRPr="002B7541">
        <w:rPr>
          <w:rFonts w:ascii="Times New Roman" w:hAnsi="Times New Roman" w:cs="Times New Roman"/>
          <w:sz w:val="24"/>
          <w:szCs w:val="24"/>
          <w:lang w:val="en-US"/>
        </w:rPr>
        <w:t>intensive</w:t>
      </w:r>
      <w:r>
        <w:rPr>
          <w:rFonts w:ascii="Times New Roman" w:hAnsi="Times New Roman" w:cs="Times New Roman"/>
          <w:sz w:val="24"/>
          <w:szCs w:val="24"/>
          <w:lang w:val="en-US"/>
        </w:rPr>
        <w:t xml:space="preserve"> emissions</w:t>
      </w:r>
      <w:r w:rsidRPr="002B7541">
        <w:rPr>
          <w:rFonts w:ascii="Times New Roman" w:hAnsi="Times New Roman" w:cs="Times New Roman"/>
          <w:sz w:val="24"/>
          <w:szCs w:val="24"/>
          <w:lang w:val="en-US"/>
        </w:rPr>
        <w:t xml:space="preserve"> in their production processes, </w:t>
      </w:r>
      <w:proofErr w:type="gramStart"/>
      <w:r w:rsidRPr="002B7541">
        <w:rPr>
          <w:rFonts w:ascii="Times New Roman" w:hAnsi="Times New Roman" w:cs="Times New Roman"/>
          <w:sz w:val="24"/>
          <w:szCs w:val="24"/>
          <w:lang w:val="en-US"/>
        </w:rPr>
        <w:t>were the most negatively affected</w:t>
      </w:r>
      <w:proofErr w:type="gramEnd"/>
      <w:r w:rsidRPr="002B7541">
        <w:rPr>
          <w:rFonts w:ascii="Times New Roman" w:hAnsi="Times New Roman" w:cs="Times New Roman"/>
          <w:sz w:val="24"/>
          <w:szCs w:val="24"/>
          <w:lang w:val="en-US"/>
        </w:rPr>
        <w:t>.</w:t>
      </w:r>
    </w:p>
    <w:p w:rsidR="0094311E" w:rsidRDefault="0094311E" w:rsidP="00A736EC">
      <w:pPr>
        <w:spacing w:after="0" w:line="240" w:lineRule="auto"/>
        <w:contextualSpacing/>
        <w:jc w:val="both"/>
        <w:rPr>
          <w:rFonts w:ascii="Times New Roman" w:hAnsi="Times New Roman" w:cs="Times New Roman"/>
          <w:b/>
          <w:bCs/>
          <w:sz w:val="24"/>
          <w:szCs w:val="24"/>
          <w:lang w:val="en-US"/>
        </w:rPr>
      </w:pPr>
    </w:p>
    <w:p w:rsidR="0094311E" w:rsidRPr="002B7541" w:rsidRDefault="0094311E" w:rsidP="000E7CE6">
      <w:pPr>
        <w:spacing w:after="0" w:line="240" w:lineRule="auto"/>
        <w:contextual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Keywords: </w:t>
      </w:r>
      <w:r w:rsidRPr="00A736EC">
        <w:rPr>
          <w:rFonts w:ascii="Times New Roman" w:hAnsi="Times New Roman" w:cs="Times New Roman"/>
          <w:sz w:val="24"/>
          <w:szCs w:val="24"/>
          <w:lang w:val="en-US"/>
        </w:rPr>
        <w:t>COP21, Greenhouse gases</w:t>
      </w:r>
      <w:r>
        <w:rPr>
          <w:rFonts w:ascii="Times New Roman" w:hAnsi="Times New Roman" w:cs="Times New Roman"/>
          <w:sz w:val="24"/>
          <w:szCs w:val="24"/>
          <w:lang w:val="en-US"/>
        </w:rPr>
        <w:t xml:space="preserve"> emissions</w:t>
      </w:r>
      <w:r w:rsidRPr="00A736EC">
        <w:rPr>
          <w:rFonts w:ascii="Times New Roman" w:hAnsi="Times New Roman" w:cs="Times New Roman"/>
          <w:sz w:val="24"/>
          <w:szCs w:val="24"/>
          <w:lang w:val="en-US"/>
        </w:rPr>
        <w:t>; Computable General Equilibrium.</w:t>
      </w:r>
    </w:p>
    <w:p w:rsidR="00B0244A" w:rsidRDefault="00B0244A" w:rsidP="00B0244A">
      <w:pPr>
        <w:spacing w:after="0" w:line="240" w:lineRule="auto"/>
        <w:contextualSpacing/>
        <w:jc w:val="both"/>
        <w:rPr>
          <w:rFonts w:ascii="Times New Roman" w:hAnsi="Times New Roman" w:cs="Times New Roman"/>
          <w:b/>
          <w:bCs/>
          <w:sz w:val="24"/>
          <w:szCs w:val="24"/>
        </w:rPr>
      </w:pPr>
    </w:p>
    <w:p w:rsidR="00B0244A" w:rsidRDefault="0094311E" w:rsidP="00B0244A">
      <w:pPr>
        <w:spacing w:after="0" w:line="480" w:lineRule="auto"/>
        <w:contextualSpacing/>
        <w:jc w:val="both"/>
        <w:rPr>
          <w:rFonts w:ascii="Times New Roman" w:hAnsi="Times New Roman" w:cs="Times New Roman"/>
          <w:b/>
          <w:bCs/>
          <w:sz w:val="24"/>
          <w:szCs w:val="24"/>
        </w:rPr>
      </w:pPr>
      <w:r w:rsidRPr="004C0142">
        <w:rPr>
          <w:rFonts w:ascii="Times New Roman" w:hAnsi="Times New Roman" w:cs="Times New Roman"/>
          <w:b/>
          <w:bCs/>
          <w:sz w:val="24"/>
          <w:szCs w:val="24"/>
        </w:rPr>
        <w:t>JEL</w:t>
      </w:r>
      <w:r w:rsidRPr="004C0142">
        <w:rPr>
          <w:rFonts w:ascii="Times New Roman" w:hAnsi="Times New Roman" w:cs="Times New Roman"/>
          <w:sz w:val="24"/>
          <w:szCs w:val="24"/>
        </w:rPr>
        <w:t xml:space="preserve">: C68; Q52; </w:t>
      </w:r>
      <w:r w:rsidRPr="004C0142">
        <w:rPr>
          <w:rFonts w:ascii="Times New Roman" w:hAnsi="Times New Roman" w:cs="Times New Roman"/>
          <w:color w:val="000000"/>
          <w:sz w:val="24"/>
          <w:szCs w:val="24"/>
          <w:shd w:val="clear" w:color="auto" w:fill="FFFFFF"/>
        </w:rPr>
        <w:t>Q58</w:t>
      </w:r>
      <w:r w:rsidRPr="004C0142">
        <w:rPr>
          <w:rFonts w:ascii="Times New Roman" w:hAnsi="Times New Roman" w:cs="Times New Roman"/>
          <w:sz w:val="24"/>
          <w:szCs w:val="24"/>
        </w:rPr>
        <w:tab/>
      </w:r>
    </w:p>
    <w:p w:rsidR="005C0566" w:rsidRDefault="0094311E" w:rsidP="005C0566">
      <w:pPr>
        <w:spacing w:after="0" w:line="240" w:lineRule="auto"/>
        <w:contextualSpacing/>
        <w:jc w:val="both"/>
        <w:rPr>
          <w:rFonts w:ascii="Times New Roman" w:hAnsi="Times New Roman" w:cs="Times New Roman"/>
          <w:b/>
          <w:bCs/>
          <w:sz w:val="24"/>
          <w:szCs w:val="24"/>
        </w:rPr>
      </w:pPr>
      <w:r w:rsidRPr="00DB5965">
        <w:rPr>
          <w:rFonts w:ascii="Times New Roman" w:hAnsi="Times New Roman" w:cs="Times New Roman"/>
          <w:b/>
          <w:bCs/>
          <w:sz w:val="24"/>
          <w:szCs w:val="24"/>
        </w:rPr>
        <w:lastRenderedPageBreak/>
        <w:t>1. Introdução</w:t>
      </w:r>
    </w:p>
    <w:p w:rsidR="00463063" w:rsidRPr="00DB5965" w:rsidRDefault="00463063" w:rsidP="005C0566">
      <w:pPr>
        <w:spacing w:after="0" w:line="240" w:lineRule="auto"/>
        <w:contextualSpacing/>
        <w:jc w:val="both"/>
        <w:rPr>
          <w:rFonts w:ascii="Times New Roman" w:hAnsi="Times New Roman" w:cs="Times New Roman"/>
          <w:b/>
          <w:bCs/>
          <w:sz w:val="24"/>
          <w:szCs w:val="24"/>
        </w:rPr>
      </w:pPr>
    </w:p>
    <w:p w:rsidR="0094311E" w:rsidRPr="00DB5965" w:rsidRDefault="00C5417E" w:rsidP="00C5417E">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N</w:t>
      </w:r>
      <w:r w:rsidR="0094311E" w:rsidRPr="00DB5965">
        <w:rPr>
          <w:rFonts w:ascii="Times New Roman" w:hAnsi="Times New Roman" w:cs="Times New Roman"/>
          <w:sz w:val="24"/>
          <w:szCs w:val="24"/>
        </w:rPr>
        <w:t>o f</w:t>
      </w:r>
      <w:r>
        <w:rPr>
          <w:rFonts w:ascii="Times New Roman" w:hAnsi="Times New Roman" w:cs="Times New Roman"/>
          <w:sz w:val="24"/>
          <w:szCs w:val="24"/>
        </w:rPr>
        <w:t>inal de 2015, em Paris, ocorreu</w:t>
      </w:r>
      <w:r w:rsidR="0094311E" w:rsidRPr="00DB5965">
        <w:rPr>
          <w:rFonts w:ascii="Times New Roman" w:hAnsi="Times New Roman" w:cs="Times New Roman"/>
          <w:sz w:val="24"/>
          <w:szCs w:val="24"/>
        </w:rPr>
        <w:t xml:space="preserve"> o 21° encontro anual da Conferência das Partes (COP21), organizada pelo programa ambiental das Nações U</w:t>
      </w:r>
      <w:r>
        <w:rPr>
          <w:rFonts w:ascii="Times New Roman" w:hAnsi="Times New Roman" w:cs="Times New Roman"/>
          <w:sz w:val="24"/>
          <w:szCs w:val="24"/>
        </w:rPr>
        <w:t>nidas (UNEP). O encontro reuniu</w:t>
      </w:r>
      <w:r w:rsidR="0094311E" w:rsidRPr="00DB5965">
        <w:rPr>
          <w:rFonts w:ascii="Times New Roman" w:hAnsi="Times New Roman" w:cs="Times New Roman"/>
          <w:sz w:val="24"/>
          <w:szCs w:val="24"/>
        </w:rPr>
        <w:t xml:space="preserve"> </w:t>
      </w:r>
      <w:r>
        <w:rPr>
          <w:rFonts w:ascii="Times New Roman" w:hAnsi="Times New Roman" w:cs="Times New Roman"/>
          <w:sz w:val="24"/>
          <w:szCs w:val="24"/>
        </w:rPr>
        <w:t>195 países e contou</w:t>
      </w:r>
      <w:r w:rsidR="0094311E" w:rsidRPr="00DB5965">
        <w:rPr>
          <w:rFonts w:ascii="Times New Roman" w:hAnsi="Times New Roman" w:cs="Times New Roman"/>
          <w:sz w:val="24"/>
          <w:szCs w:val="24"/>
        </w:rPr>
        <w:t xml:space="preserve"> com a presença dos principais estudiosos e especialistas sobre mudanças climáticas. </w:t>
      </w:r>
      <w:r>
        <w:rPr>
          <w:rFonts w:ascii="Times New Roman" w:hAnsi="Times New Roman" w:cs="Times New Roman"/>
          <w:sz w:val="24"/>
          <w:szCs w:val="24"/>
        </w:rPr>
        <w:t>Como resultado, alcançou</w:t>
      </w:r>
      <w:r w:rsidR="0094311E" w:rsidRPr="00DB5965">
        <w:rPr>
          <w:rFonts w:ascii="Times New Roman" w:hAnsi="Times New Roman" w:cs="Times New Roman"/>
          <w:sz w:val="24"/>
          <w:szCs w:val="24"/>
        </w:rPr>
        <w:t xml:space="preserve"> um acordo juridicamente vinculativo e univ</w:t>
      </w:r>
      <w:r>
        <w:rPr>
          <w:rFonts w:ascii="Times New Roman" w:hAnsi="Times New Roman" w:cs="Times New Roman"/>
          <w:sz w:val="24"/>
          <w:szCs w:val="24"/>
        </w:rPr>
        <w:t>ersal sobre o clima, substituindo o Protocolo de Kyoto (1997) e</w:t>
      </w:r>
      <w:r w:rsidR="0094311E" w:rsidRPr="00DB5965">
        <w:rPr>
          <w:rFonts w:ascii="Times New Roman" w:hAnsi="Times New Roman" w:cs="Times New Roman"/>
          <w:sz w:val="24"/>
          <w:szCs w:val="24"/>
        </w:rPr>
        <w:t xml:space="preserve"> visando manter o aquecimento global abaixo dos 2ºC até 2100. </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Dentre outros t</w:t>
      </w:r>
      <w:r w:rsidR="00C5417E">
        <w:rPr>
          <w:rFonts w:ascii="Times New Roman" w:hAnsi="Times New Roman" w:cs="Times New Roman"/>
          <w:sz w:val="24"/>
          <w:szCs w:val="24"/>
        </w:rPr>
        <w:t>emas, discutiu-se</w:t>
      </w:r>
      <w:r w:rsidRPr="00DB5965">
        <w:rPr>
          <w:rFonts w:ascii="Times New Roman" w:hAnsi="Times New Roman" w:cs="Times New Roman"/>
          <w:sz w:val="24"/>
          <w:szCs w:val="24"/>
        </w:rPr>
        <w:t xml:space="preserve"> a questão da redução de emissões de gases de efeito estufa (GEE) e a formulação de metas de redução de</w:t>
      </w:r>
      <w:r w:rsidR="00C5417E">
        <w:rPr>
          <w:rFonts w:ascii="Times New Roman" w:hAnsi="Times New Roman" w:cs="Times New Roman"/>
          <w:sz w:val="24"/>
          <w:szCs w:val="24"/>
        </w:rPr>
        <w:t>sses gases. Neste contexto, foi</w:t>
      </w:r>
      <w:r w:rsidRPr="00DB5965">
        <w:rPr>
          <w:rFonts w:ascii="Times New Roman" w:hAnsi="Times New Roman" w:cs="Times New Roman"/>
          <w:sz w:val="24"/>
          <w:szCs w:val="24"/>
        </w:rPr>
        <w:t xml:space="preserve"> necessário diferenciar os compromissos que os ma</w:t>
      </w:r>
      <w:r w:rsidR="00C5417E">
        <w:rPr>
          <w:rFonts w:ascii="Times New Roman" w:hAnsi="Times New Roman" w:cs="Times New Roman"/>
          <w:sz w:val="24"/>
          <w:szCs w:val="24"/>
        </w:rPr>
        <w:t>iores emissores de GEE terão de</w:t>
      </w:r>
      <w:r w:rsidRPr="00DB5965">
        <w:rPr>
          <w:rFonts w:ascii="Times New Roman" w:hAnsi="Times New Roman" w:cs="Times New Roman"/>
          <w:sz w:val="24"/>
          <w:szCs w:val="24"/>
        </w:rPr>
        <w:t xml:space="preserve"> assumir. </w:t>
      </w:r>
      <w:r w:rsidR="00C5417E">
        <w:rPr>
          <w:rFonts w:ascii="Times New Roman" w:hAnsi="Times New Roman" w:cs="Times New Roman"/>
          <w:sz w:val="24"/>
          <w:szCs w:val="24"/>
        </w:rPr>
        <w:t>Ao mesmo tempo,</w:t>
      </w:r>
      <w:r w:rsidRPr="00DB5965">
        <w:rPr>
          <w:rFonts w:ascii="Times New Roman" w:hAnsi="Times New Roman" w:cs="Times New Roman"/>
          <w:sz w:val="24"/>
          <w:szCs w:val="24"/>
        </w:rPr>
        <w:t xml:space="preserve"> os países em desenvolvimento não mais </w:t>
      </w:r>
      <w:r w:rsidR="00F3262C">
        <w:rPr>
          <w:rFonts w:ascii="Times New Roman" w:hAnsi="Times New Roman" w:cs="Times New Roman"/>
          <w:sz w:val="24"/>
          <w:szCs w:val="24"/>
        </w:rPr>
        <w:t>ficarão isentos</w:t>
      </w:r>
      <w:r w:rsidRPr="00DB5965">
        <w:rPr>
          <w:rFonts w:ascii="Times New Roman" w:hAnsi="Times New Roman" w:cs="Times New Roman"/>
          <w:sz w:val="24"/>
          <w:szCs w:val="24"/>
        </w:rPr>
        <w:t xml:space="preserve"> de dar sua contribuição, o que levanta questionamentos acerca dos efeitos da adoção de tais metas sobre a economia brasileira.</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Os países apresentaram</w:t>
      </w:r>
      <w:r w:rsidRPr="00DB5965">
        <w:rPr>
          <w:rFonts w:ascii="Times New Roman" w:hAnsi="Times New Roman" w:cs="Times New Roman"/>
          <w:sz w:val="24"/>
          <w:szCs w:val="24"/>
          <w:bdr w:val="none" w:sz="0" w:space="0" w:color="auto" w:frame="1"/>
          <w:shd w:val="clear" w:color="auto" w:fill="FFFFFF"/>
        </w:rPr>
        <w:t xml:space="preserve"> </w:t>
      </w:r>
      <w:r w:rsidRPr="00DB5965">
        <w:rPr>
          <w:rFonts w:ascii="Times New Roman" w:hAnsi="Times New Roman" w:cs="Times New Roman"/>
          <w:sz w:val="24"/>
          <w:szCs w:val="24"/>
        </w:rPr>
        <w:t>ao Secretariado da Convenção-Quadro das Nações Unidas sobre Mudança do Clima (UNFCCC) suas Pretendidas Contribuições Nacionalmente Determinadas (</w:t>
      </w:r>
      <w:proofErr w:type="spellStart"/>
      <w:r w:rsidRPr="00DB5965">
        <w:rPr>
          <w:rFonts w:ascii="Times New Roman" w:hAnsi="Times New Roman" w:cs="Times New Roman"/>
          <w:i/>
          <w:iCs/>
          <w:sz w:val="24"/>
          <w:szCs w:val="24"/>
        </w:rPr>
        <w:t>Intended</w:t>
      </w:r>
      <w:proofErr w:type="spellEnd"/>
      <w:r w:rsidRPr="00DB5965">
        <w:rPr>
          <w:rFonts w:ascii="Times New Roman" w:hAnsi="Times New Roman" w:cs="Times New Roman"/>
          <w:i/>
          <w:iCs/>
          <w:sz w:val="24"/>
          <w:szCs w:val="24"/>
        </w:rPr>
        <w:t xml:space="preserve"> </w:t>
      </w:r>
      <w:proofErr w:type="spellStart"/>
      <w:r w:rsidRPr="00DB5965">
        <w:rPr>
          <w:rFonts w:ascii="Times New Roman" w:hAnsi="Times New Roman" w:cs="Times New Roman"/>
          <w:i/>
          <w:iCs/>
          <w:sz w:val="24"/>
          <w:szCs w:val="24"/>
        </w:rPr>
        <w:t>Nationally</w:t>
      </w:r>
      <w:proofErr w:type="spellEnd"/>
      <w:r w:rsidRPr="00DB5965">
        <w:rPr>
          <w:rFonts w:ascii="Times New Roman" w:hAnsi="Times New Roman" w:cs="Times New Roman"/>
          <w:i/>
          <w:iCs/>
          <w:sz w:val="24"/>
          <w:szCs w:val="24"/>
        </w:rPr>
        <w:t xml:space="preserve"> </w:t>
      </w:r>
      <w:proofErr w:type="spellStart"/>
      <w:r w:rsidRPr="00DB5965">
        <w:rPr>
          <w:rFonts w:ascii="Times New Roman" w:hAnsi="Times New Roman" w:cs="Times New Roman"/>
          <w:i/>
          <w:iCs/>
          <w:sz w:val="24"/>
          <w:szCs w:val="24"/>
        </w:rPr>
        <w:t>Determined</w:t>
      </w:r>
      <w:proofErr w:type="spellEnd"/>
      <w:r w:rsidRPr="00DB5965">
        <w:rPr>
          <w:rFonts w:ascii="Times New Roman" w:hAnsi="Times New Roman" w:cs="Times New Roman"/>
          <w:i/>
          <w:iCs/>
          <w:sz w:val="24"/>
          <w:szCs w:val="24"/>
        </w:rPr>
        <w:t xml:space="preserve"> </w:t>
      </w:r>
      <w:proofErr w:type="spellStart"/>
      <w:r w:rsidRPr="00DB5965">
        <w:rPr>
          <w:rFonts w:ascii="Times New Roman" w:hAnsi="Times New Roman" w:cs="Times New Roman"/>
          <w:i/>
          <w:iCs/>
          <w:sz w:val="24"/>
          <w:szCs w:val="24"/>
        </w:rPr>
        <w:t>Contribution</w:t>
      </w:r>
      <w:proofErr w:type="spellEnd"/>
      <w:r w:rsidR="00F3262C">
        <w:rPr>
          <w:rFonts w:ascii="Times New Roman" w:hAnsi="Times New Roman" w:cs="Times New Roman"/>
          <w:sz w:val="24"/>
          <w:szCs w:val="24"/>
        </w:rPr>
        <w:t xml:space="preserve"> – INDC)</w:t>
      </w:r>
      <w:r w:rsidRPr="00DB5965">
        <w:rPr>
          <w:rFonts w:ascii="Times New Roman" w:hAnsi="Times New Roman" w:cs="Times New Roman"/>
          <w:sz w:val="24"/>
          <w:szCs w:val="24"/>
          <w:bdr w:val="none" w:sz="0" w:space="0" w:color="auto" w:frame="1"/>
          <w:shd w:val="clear" w:color="auto" w:fill="FFFFFF"/>
        </w:rPr>
        <w:t xml:space="preserve"> par</w:t>
      </w:r>
      <w:r w:rsidR="00F3262C">
        <w:rPr>
          <w:rFonts w:ascii="Times New Roman" w:hAnsi="Times New Roman" w:cs="Times New Roman"/>
          <w:sz w:val="24"/>
          <w:szCs w:val="24"/>
          <w:bdr w:val="none" w:sz="0" w:space="0" w:color="auto" w:frame="1"/>
          <w:shd w:val="clear" w:color="auto" w:fill="FFFFFF"/>
        </w:rPr>
        <w:t xml:space="preserve">a o novo acordo </w:t>
      </w:r>
      <w:r w:rsidRPr="00DB5965">
        <w:rPr>
          <w:rFonts w:ascii="Times New Roman" w:hAnsi="Times New Roman" w:cs="Times New Roman"/>
          <w:sz w:val="24"/>
          <w:szCs w:val="24"/>
          <w:bdr w:val="none" w:sz="0" w:space="0" w:color="auto" w:frame="1"/>
          <w:shd w:val="clear" w:color="auto" w:fill="FFFFFF"/>
        </w:rPr>
        <w:t xml:space="preserve">adotado na COP21. As </w:t>
      </w:r>
      <w:proofErr w:type="spellStart"/>
      <w:r w:rsidRPr="00DB5965">
        <w:rPr>
          <w:rFonts w:ascii="Times New Roman" w:hAnsi="Times New Roman" w:cs="Times New Roman"/>
          <w:sz w:val="24"/>
          <w:szCs w:val="24"/>
          <w:bdr w:val="none" w:sz="0" w:space="0" w:color="auto" w:frame="1"/>
          <w:shd w:val="clear" w:color="auto" w:fill="FFFFFF"/>
        </w:rPr>
        <w:t>INDCs</w:t>
      </w:r>
      <w:proofErr w:type="spellEnd"/>
      <w:r w:rsidRPr="00DB5965">
        <w:rPr>
          <w:rFonts w:ascii="Times New Roman" w:hAnsi="Times New Roman" w:cs="Times New Roman"/>
          <w:sz w:val="24"/>
          <w:szCs w:val="24"/>
          <w:bdr w:val="none" w:sz="0" w:space="0" w:color="auto" w:frame="1"/>
          <w:shd w:val="clear" w:color="auto" w:fill="FFFFFF"/>
        </w:rPr>
        <w:t xml:space="preserve"> são</w:t>
      </w:r>
      <w:r w:rsidRPr="00DB5965">
        <w:rPr>
          <w:rFonts w:ascii="Times New Roman" w:hAnsi="Times New Roman" w:cs="Times New Roman"/>
          <w:sz w:val="24"/>
          <w:szCs w:val="24"/>
        </w:rPr>
        <w:t xml:space="preserve"> voluntárias e submetidas pelos países, assumindo um compromisso com o desafio de reduzir as emissões de GEE. </w:t>
      </w:r>
    </w:p>
    <w:p w:rsidR="0094311E" w:rsidRPr="00DB5965" w:rsidRDefault="0094311E" w:rsidP="006806D7">
      <w:pPr>
        <w:spacing w:after="0" w:line="240" w:lineRule="auto"/>
        <w:ind w:firstLine="708"/>
        <w:contextualSpacing/>
        <w:jc w:val="both"/>
        <w:rPr>
          <w:rFonts w:ascii="Times New Roman" w:hAnsi="Times New Roman" w:cs="Times New Roman"/>
          <w:sz w:val="24"/>
          <w:szCs w:val="24"/>
          <w:lang w:val="pt-PT"/>
        </w:rPr>
      </w:pPr>
      <w:r w:rsidRPr="00DB5965">
        <w:rPr>
          <w:rFonts w:ascii="Times New Roman" w:hAnsi="Times New Roman" w:cs="Times New Roman"/>
          <w:sz w:val="24"/>
          <w:szCs w:val="24"/>
        </w:rPr>
        <w:t xml:space="preserve">Em sua INDC, os Estados Unidos anunciaram como meta a redução de 26 a 28% das emissões de GEE até 2025, em relação ao ano base de 2005. Da mesma forma, os 28 membros da União Europeia comprometeram-se com uma meta vinculativa de redução de pelo menos 40% das emissões de GEE até 2030, em relação aos níveis de 1990. Quanto aos países em desenvolvimento, a China comprometeu-se a atingir o auge de suas emissões até 2030, reduzindo </w:t>
      </w:r>
      <w:r w:rsidRPr="00DB5965">
        <w:rPr>
          <w:rFonts w:ascii="Times New Roman" w:hAnsi="Times New Roman" w:cs="Times New Roman"/>
          <w:sz w:val="24"/>
          <w:szCs w:val="24"/>
          <w:lang w:val="pt-PT"/>
        </w:rPr>
        <w:t>as emissões de dióxido de carbono por unidade do Produto Interno Bruto (PIB) em 60 a 65% do nível de 2005. Enquanto isso, a Índia apresentou uma proposta de reduzir a intensidade de emissões por unidade do PIB entre 33 e 35% até 2030, a partir de 2005. Já a Rússia propôs reduzir as emissões de GEE antropogênicos, também por unidade do PIB, para 70 a 75% dos níveis de 1990, até o ano de 2030.</w:t>
      </w:r>
    </w:p>
    <w:p w:rsidR="0094311E" w:rsidRPr="00DB5965" w:rsidRDefault="008B7A78" w:rsidP="006806D7">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O Brasil, por sua vez, comprometeu-se</w:t>
      </w:r>
      <w:r w:rsidR="0094311E" w:rsidRPr="00DB5965">
        <w:rPr>
          <w:rFonts w:ascii="Times New Roman" w:hAnsi="Times New Roman" w:cs="Times New Roman"/>
          <w:sz w:val="24"/>
          <w:szCs w:val="24"/>
        </w:rPr>
        <w:t xml:space="preserve"> em reduzir as emissões de GEE em 37% em relação aos níveis de 2005, até 2025, além de uma contribuição indicativa de reduzir as emissões em 43% abaixo dos níveis de 2005, até 2030. O diferencial da proposta brasileira é o comprometimento com uma meta absoluta, inédito no contexto brasileiro</w:t>
      </w:r>
      <w:r>
        <w:rPr>
          <w:rStyle w:val="Refdenotaderodap"/>
          <w:rFonts w:ascii="Times New Roman" w:hAnsi="Times New Roman" w:cs="Times New Roman"/>
          <w:sz w:val="24"/>
          <w:szCs w:val="24"/>
        </w:rPr>
        <w:footnoteReference w:id="1"/>
      </w:r>
      <w:r w:rsidR="0094311E" w:rsidRPr="00DB5965">
        <w:rPr>
          <w:rFonts w:ascii="Times New Roman" w:hAnsi="Times New Roman" w:cs="Times New Roman"/>
          <w:sz w:val="24"/>
          <w:szCs w:val="24"/>
        </w:rPr>
        <w:t xml:space="preserve">. </w:t>
      </w:r>
      <w:r w:rsidRPr="00DB5965">
        <w:rPr>
          <w:rFonts w:ascii="Times New Roman" w:hAnsi="Times New Roman" w:cs="Times New Roman"/>
          <w:sz w:val="24"/>
          <w:szCs w:val="24"/>
        </w:rPr>
        <w:t>Esta estratégia ainda é adotada por muitos países em desenvolvimento</w:t>
      </w:r>
      <w:r>
        <w:rPr>
          <w:rFonts w:ascii="Times New Roman" w:hAnsi="Times New Roman" w:cs="Times New Roman"/>
          <w:sz w:val="24"/>
          <w:szCs w:val="24"/>
        </w:rPr>
        <w:t xml:space="preserve"> e </w:t>
      </w:r>
      <w:r w:rsidR="0094311E" w:rsidRPr="00DB5965">
        <w:rPr>
          <w:rFonts w:ascii="Times New Roman" w:hAnsi="Times New Roman" w:cs="Times New Roman"/>
          <w:sz w:val="24"/>
          <w:szCs w:val="24"/>
        </w:rPr>
        <w:t xml:space="preserve">pode significar que o </w:t>
      </w:r>
      <w:r>
        <w:rPr>
          <w:rFonts w:ascii="Times New Roman" w:hAnsi="Times New Roman" w:cs="Times New Roman"/>
          <w:sz w:val="24"/>
          <w:szCs w:val="24"/>
        </w:rPr>
        <w:t>Brasil</w:t>
      </w:r>
      <w:r w:rsidR="0094311E" w:rsidRPr="00DB5965">
        <w:rPr>
          <w:rFonts w:ascii="Times New Roman" w:hAnsi="Times New Roman" w:cs="Times New Roman"/>
          <w:sz w:val="24"/>
          <w:szCs w:val="24"/>
        </w:rPr>
        <w:t xml:space="preserve"> continue aumentando suas taxas de emissões em valores absolutos.</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Nesse sentido, a discus</w:t>
      </w:r>
      <w:r w:rsidR="008B7A78">
        <w:rPr>
          <w:rFonts w:ascii="Times New Roman" w:hAnsi="Times New Roman" w:cs="Times New Roman"/>
          <w:sz w:val="24"/>
          <w:szCs w:val="24"/>
        </w:rPr>
        <w:t>são sobre a participação dos</w:t>
      </w:r>
      <w:r w:rsidRPr="00DB5965">
        <w:rPr>
          <w:rFonts w:ascii="Times New Roman" w:hAnsi="Times New Roman" w:cs="Times New Roman"/>
          <w:sz w:val="24"/>
          <w:szCs w:val="24"/>
        </w:rPr>
        <w:t xml:space="preserve"> países</w:t>
      </w:r>
      <w:r w:rsidR="008B7A78">
        <w:rPr>
          <w:rFonts w:ascii="Times New Roman" w:hAnsi="Times New Roman" w:cs="Times New Roman"/>
          <w:sz w:val="24"/>
          <w:szCs w:val="24"/>
        </w:rPr>
        <w:t xml:space="preserve"> emergentes</w:t>
      </w:r>
      <w:r w:rsidRPr="00DB5965">
        <w:rPr>
          <w:rFonts w:ascii="Times New Roman" w:hAnsi="Times New Roman" w:cs="Times New Roman"/>
          <w:sz w:val="24"/>
          <w:szCs w:val="24"/>
        </w:rPr>
        <w:t xml:space="preserve"> se faz muito presente, uma vez que, enquanto de um lado existe a necessidade de controlar a problemática ambiental, do outro o discurso adotado é o de que responsabilidade sobre a atual concentração de gases seria, em grande parcela, dos países desenvolvidos.</w:t>
      </w:r>
      <w:r w:rsidR="008B7A78">
        <w:rPr>
          <w:rFonts w:ascii="Times New Roman" w:hAnsi="Times New Roman" w:cs="Times New Roman"/>
          <w:sz w:val="24"/>
          <w:szCs w:val="24"/>
        </w:rPr>
        <w:t xml:space="preserve"> </w:t>
      </w:r>
      <w:r w:rsidRPr="00DB5965">
        <w:rPr>
          <w:rFonts w:ascii="Times New Roman" w:hAnsi="Times New Roman" w:cs="Times New Roman"/>
          <w:sz w:val="24"/>
          <w:szCs w:val="24"/>
        </w:rPr>
        <w:t>Portanto, os países em desenvolvimento não deveriam comprometer suas taxas futuras de crescimento para reduzir as emissões de GEE.</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Ao se comprometer com uma meta absoluta, o Brasil enfrentará o desafio de crescer economicamente ao mesmo tempo que reduz suas emissões. Para alcançar suas metas, o governo expressou seu comprometimento com o reflorestamento de áreas degradadas, combate ao desmatamento, ampliação da participação de fontes renováveis na matriz energética e aumento na eficiência elétrica. </w:t>
      </w:r>
    </w:p>
    <w:p w:rsidR="0094311E" w:rsidRPr="00DB5965" w:rsidRDefault="0094311E" w:rsidP="006806D7">
      <w:pPr>
        <w:autoSpaceDE w:val="0"/>
        <w:autoSpaceDN w:val="0"/>
        <w:adjustRightInd w:val="0"/>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Embora a INDC brasileira proponha medidas em grande escala relacionadas ao uso da terra e recuperação de florestas para reduções de emissões de GEE, destaca-se que já existe </w:t>
      </w:r>
      <w:r w:rsidRPr="00DB5965">
        <w:rPr>
          <w:rFonts w:ascii="Times New Roman" w:hAnsi="Times New Roman" w:cs="Times New Roman"/>
          <w:sz w:val="24"/>
          <w:szCs w:val="24"/>
        </w:rPr>
        <w:lastRenderedPageBreak/>
        <w:t xml:space="preserve">uma queda na taxa de desmatamento e, consequentemente, as emissões associadas à mudança no uso </w:t>
      </w:r>
      <w:r>
        <w:rPr>
          <w:rFonts w:ascii="Times New Roman" w:hAnsi="Times New Roman" w:cs="Times New Roman"/>
          <w:sz w:val="24"/>
          <w:szCs w:val="24"/>
        </w:rPr>
        <w:t>da terra estão em declínio (BRASIL</w:t>
      </w:r>
      <w:r w:rsidRPr="00DB5965">
        <w:rPr>
          <w:rFonts w:ascii="Times New Roman" w:hAnsi="Times New Roman" w:cs="Times New Roman"/>
          <w:sz w:val="24"/>
          <w:szCs w:val="24"/>
        </w:rPr>
        <w:t xml:space="preserve">, 2014). Espera-se, dessa forma, uma redução da participação desta fonte de emissões, de tal forma que deixe de ser a principal fonte de emissões no país. </w:t>
      </w:r>
    </w:p>
    <w:p w:rsidR="0094311E" w:rsidRPr="00DB5965" w:rsidRDefault="0094311E" w:rsidP="006806D7">
      <w:pPr>
        <w:autoSpaceDE w:val="0"/>
        <w:autoSpaceDN w:val="0"/>
        <w:adjustRightInd w:val="0"/>
        <w:spacing w:after="0" w:line="240" w:lineRule="auto"/>
        <w:contextualSpacing/>
        <w:jc w:val="both"/>
        <w:rPr>
          <w:rFonts w:ascii="Times New Roman" w:hAnsi="Times New Roman" w:cs="Times New Roman"/>
          <w:sz w:val="24"/>
          <w:szCs w:val="24"/>
        </w:rPr>
      </w:pPr>
      <w:r w:rsidRPr="00DB5965">
        <w:rPr>
          <w:rFonts w:ascii="Times New Roman" w:hAnsi="Times New Roman" w:cs="Times New Roman"/>
          <w:sz w:val="24"/>
          <w:szCs w:val="24"/>
        </w:rPr>
        <w:tab/>
        <w:t>Por outro lado, apesar de existir apenas uma breve citação no texto oficial da INDC de que o Brasil pretende incentivar tecnologias de baixo carbono para os setores de indústria e transporte, as emissões derivadas do uso de combustíveis e dos processos produtivos devem assumir maior importância nos próximos anos, devido às tendências de aumento das emissões do setor energético, industrial, de transporte e de refino de petr</w:t>
      </w:r>
      <w:r>
        <w:rPr>
          <w:rFonts w:ascii="Times New Roman" w:hAnsi="Times New Roman" w:cs="Times New Roman"/>
          <w:sz w:val="24"/>
          <w:szCs w:val="24"/>
        </w:rPr>
        <w:t>óleo (BRASIL</w:t>
      </w:r>
      <w:r w:rsidRPr="00DB5965">
        <w:rPr>
          <w:rFonts w:ascii="Times New Roman" w:hAnsi="Times New Roman" w:cs="Times New Roman"/>
          <w:sz w:val="24"/>
          <w:szCs w:val="24"/>
        </w:rPr>
        <w:t>,</w:t>
      </w:r>
      <w:r w:rsidR="008B7A78">
        <w:rPr>
          <w:rFonts w:ascii="Times New Roman" w:hAnsi="Times New Roman" w:cs="Times New Roman"/>
          <w:sz w:val="24"/>
          <w:szCs w:val="24"/>
        </w:rPr>
        <w:t xml:space="preserve"> </w:t>
      </w:r>
      <w:r w:rsidRPr="00DB5965">
        <w:rPr>
          <w:rFonts w:ascii="Times New Roman" w:hAnsi="Times New Roman" w:cs="Times New Roman"/>
          <w:sz w:val="24"/>
          <w:szCs w:val="24"/>
        </w:rPr>
        <w:t xml:space="preserve">2014). </w:t>
      </w:r>
    </w:p>
    <w:p w:rsidR="0094311E" w:rsidRPr="00DB5965" w:rsidRDefault="0094311E" w:rsidP="006806D7">
      <w:pPr>
        <w:autoSpaceDE w:val="0"/>
        <w:autoSpaceDN w:val="0"/>
        <w:adjustRightInd w:val="0"/>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Dessa forma, tendo em vista a meta de redução de emissões propostas pela INDC brasileira</w:t>
      </w:r>
      <w:r w:rsidR="008B7A78">
        <w:rPr>
          <w:rFonts w:ascii="Times New Roman" w:hAnsi="Times New Roman" w:cs="Times New Roman"/>
          <w:sz w:val="24"/>
          <w:szCs w:val="24"/>
        </w:rPr>
        <w:t>,</w:t>
      </w:r>
      <w:r w:rsidR="008C1E7C">
        <w:rPr>
          <w:rFonts w:ascii="Times New Roman" w:hAnsi="Times New Roman" w:cs="Times New Roman"/>
          <w:sz w:val="24"/>
          <w:szCs w:val="24"/>
        </w:rPr>
        <w:t xml:space="preserve"> </w:t>
      </w:r>
      <w:r w:rsidR="008B7A78">
        <w:rPr>
          <w:rFonts w:ascii="Times New Roman" w:hAnsi="Times New Roman" w:cs="Times New Roman"/>
          <w:sz w:val="24"/>
          <w:szCs w:val="24"/>
        </w:rPr>
        <w:t>acordada na COP21</w:t>
      </w:r>
      <w:r w:rsidRPr="00DB5965">
        <w:rPr>
          <w:rFonts w:ascii="Times New Roman" w:hAnsi="Times New Roman" w:cs="Times New Roman"/>
          <w:sz w:val="24"/>
          <w:szCs w:val="24"/>
        </w:rPr>
        <w:t xml:space="preserve">, bem como algumas de suas propostas para o cumprimento da mesma, o presente artigo tem como objetivo projetar cenários alternativos para a economia brasileira, simulando os prováveis impactos que políticas mitigatórias, como a imposição de metas de redução de emissão de carbono, terão sobre a estrutura produtiva nacional. </w:t>
      </w:r>
    </w:p>
    <w:p w:rsidR="0094311E" w:rsidRPr="00DB5965" w:rsidRDefault="0094311E" w:rsidP="006806D7">
      <w:pPr>
        <w:autoSpaceDE w:val="0"/>
        <w:autoSpaceDN w:val="0"/>
        <w:adjustRightInd w:val="0"/>
        <w:spacing w:after="0" w:line="240" w:lineRule="auto"/>
        <w:contextualSpacing/>
        <w:jc w:val="both"/>
        <w:rPr>
          <w:rFonts w:ascii="Times New Roman" w:hAnsi="Times New Roman" w:cs="Times New Roman"/>
          <w:sz w:val="24"/>
          <w:szCs w:val="24"/>
        </w:rPr>
      </w:pPr>
      <w:r w:rsidRPr="00DB5965">
        <w:rPr>
          <w:rFonts w:ascii="Times New Roman" w:hAnsi="Times New Roman" w:cs="Times New Roman"/>
          <w:sz w:val="24"/>
          <w:szCs w:val="24"/>
        </w:rPr>
        <w:tab/>
        <w:t xml:space="preserve">Na literatura existem alguns trabalhos sobre a taxação de carbono, como </w:t>
      </w:r>
      <w:proofErr w:type="spellStart"/>
      <w:r w:rsidRPr="00DB5965">
        <w:rPr>
          <w:rFonts w:ascii="Times New Roman" w:hAnsi="Times New Roman" w:cs="Times New Roman"/>
          <w:sz w:val="24"/>
          <w:szCs w:val="24"/>
        </w:rPr>
        <w:t>Manne</w:t>
      </w:r>
      <w:proofErr w:type="spellEnd"/>
      <w:r w:rsidRPr="00DB5965">
        <w:rPr>
          <w:rFonts w:ascii="Times New Roman" w:hAnsi="Times New Roman" w:cs="Times New Roman"/>
          <w:sz w:val="24"/>
          <w:szCs w:val="24"/>
        </w:rPr>
        <w:t xml:space="preserve"> e </w:t>
      </w:r>
      <w:proofErr w:type="spellStart"/>
      <w:r w:rsidRPr="00DB5965">
        <w:rPr>
          <w:rFonts w:ascii="Times New Roman" w:hAnsi="Times New Roman" w:cs="Times New Roman"/>
          <w:sz w:val="24"/>
          <w:szCs w:val="24"/>
        </w:rPr>
        <w:t>Richels</w:t>
      </w:r>
      <w:proofErr w:type="spellEnd"/>
      <w:r w:rsidRPr="00DB5965">
        <w:rPr>
          <w:rFonts w:ascii="Times New Roman" w:hAnsi="Times New Roman" w:cs="Times New Roman"/>
          <w:sz w:val="24"/>
          <w:szCs w:val="24"/>
        </w:rPr>
        <w:t xml:space="preserve"> (1991), que examinam estratégias alternativas para limitar as emissões globais, indicando o tamanho do imposto sobre o carbono que seria necessário para induzir os produtores e consumidores a reduzir sua dependência de combustíveis intensivos em carbono. </w:t>
      </w:r>
      <w:proofErr w:type="spellStart"/>
      <w:r w:rsidRPr="00DB5965">
        <w:rPr>
          <w:rFonts w:ascii="Times New Roman" w:hAnsi="Times New Roman" w:cs="Times New Roman"/>
          <w:sz w:val="24"/>
          <w:szCs w:val="24"/>
        </w:rPr>
        <w:t>Wing</w:t>
      </w:r>
      <w:proofErr w:type="spellEnd"/>
      <w:r w:rsidRPr="00DB5965">
        <w:rPr>
          <w:rFonts w:ascii="Times New Roman" w:hAnsi="Times New Roman" w:cs="Times New Roman"/>
          <w:sz w:val="24"/>
          <w:szCs w:val="24"/>
        </w:rPr>
        <w:t xml:space="preserve"> (2004) simula o efeito da imposição de taxas sobre as emissões para a economia norte-americana. Em relação ao Brasil, a literatura sobre o tema é mais recente, mas é possível citar aplicações como </w:t>
      </w:r>
      <w:proofErr w:type="spellStart"/>
      <w:r w:rsidRPr="00DB5965">
        <w:rPr>
          <w:rFonts w:ascii="Times New Roman" w:hAnsi="Times New Roman" w:cs="Times New Roman"/>
          <w:sz w:val="24"/>
          <w:szCs w:val="24"/>
        </w:rPr>
        <w:t>Guilhoto</w:t>
      </w:r>
      <w:proofErr w:type="spellEnd"/>
      <w:r w:rsidRPr="00DB5965">
        <w:rPr>
          <w:rFonts w:ascii="Times New Roman" w:hAnsi="Times New Roman" w:cs="Times New Roman"/>
          <w:sz w:val="24"/>
          <w:szCs w:val="24"/>
        </w:rPr>
        <w:t xml:space="preserve"> et al. (2002), Lopes (2003), Tourinho et al. (2003), Rocha (2003), Feijó e Porto Jr. (2009), Silva e Gurgel (2012), Magalhães (2013)</w:t>
      </w:r>
      <w:r>
        <w:rPr>
          <w:rFonts w:ascii="Times New Roman" w:hAnsi="Times New Roman" w:cs="Times New Roman"/>
          <w:sz w:val="24"/>
          <w:szCs w:val="24"/>
        </w:rPr>
        <w:t xml:space="preserve"> e Gurgel (2014</w:t>
      </w:r>
      <w:r w:rsidRPr="00DB5965">
        <w:rPr>
          <w:rFonts w:ascii="Times New Roman" w:hAnsi="Times New Roman" w:cs="Times New Roman"/>
          <w:sz w:val="24"/>
          <w:szCs w:val="24"/>
        </w:rPr>
        <w:t>).</w:t>
      </w:r>
    </w:p>
    <w:p w:rsidR="0094311E" w:rsidRPr="00DB5965" w:rsidRDefault="0094311E" w:rsidP="006806D7">
      <w:pPr>
        <w:pStyle w:val="Default"/>
        <w:contextualSpacing/>
        <w:jc w:val="both"/>
        <w:rPr>
          <w:rFonts w:ascii="Times New Roman" w:hAnsi="Times New Roman" w:cs="Times New Roman"/>
          <w:color w:val="auto"/>
        </w:rPr>
      </w:pPr>
      <w:r w:rsidRPr="00DB5965">
        <w:rPr>
          <w:rFonts w:ascii="Times New Roman" w:hAnsi="Times New Roman" w:cs="Times New Roman"/>
          <w:color w:val="auto"/>
        </w:rPr>
        <w:tab/>
        <w:t>Em suma, este estudo busca fornecer, como contribuição à literatura empírica, simulações dos possíveis efeitos que a adoção da</w:t>
      </w:r>
      <w:r>
        <w:rPr>
          <w:rFonts w:ascii="Times New Roman" w:hAnsi="Times New Roman" w:cs="Times New Roman"/>
          <w:color w:val="auto"/>
        </w:rPr>
        <w:t xml:space="preserve"> meta de redução de 37% das emissões terá</w:t>
      </w:r>
      <w:r w:rsidRPr="00DB5965">
        <w:rPr>
          <w:rFonts w:ascii="Times New Roman" w:hAnsi="Times New Roman" w:cs="Times New Roman"/>
          <w:color w:val="auto"/>
        </w:rPr>
        <w:t xml:space="preserve"> sobre a economia brasileira. A metodologia adotada para este fim consiste em aplicar o modelo </w:t>
      </w:r>
      <w:proofErr w:type="spellStart"/>
      <w:r w:rsidRPr="00DB5965">
        <w:rPr>
          <w:rFonts w:ascii="Times New Roman" w:hAnsi="Times New Roman" w:cs="Times New Roman"/>
          <w:color w:val="auto"/>
        </w:rPr>
        <w:t>BeGreen</w:t>
      </w:r>
      <w:proofErr w:type="spellEnd"/>
      <w:r w:rsidRPr="00DB5965">
        <w:rPr>
          <w:rFonts w:ascii="Times New Roman" w:hAnsi="Times New Roman" w:cs="Times New Roman"/>
          <w:color w:val="auto"/>
        </w:rPr>
        <w:t xml:space="preserve"> (</w:t>
      </w:r>
      <w:proofErr w:type="spellStart"/>
      <w:r w:rsidRPr="00DB5965">
        <w:rPr>
          <w:rFonts w:ascii="Times New Roman" w:hAnsi="Times New Roman" w:cs="Times New Roman"/>
          <w:i/>
          <w:iCs/>
          <w:color w:val="auto"/>
        </w:rPr>
        <w:t>Brazilian</w:t>
      </w:r>
      <w:proofErr w:type="spellEnd"/>
      <w:r w:rsidRPr="00DB5965">
        <w:rPr>
          <w:rFonts w:ascii="Times New Roman" w:hAnsi="Times New Roman" w:cs="Times New Roman"/>
          <w:i/>
          <w:iCs/>
          <w:color w:val="auto"/>
        </w:rPr>
        <w:t xml:space="preserve"> Energy and </w:t>
      </w:r>
      <w:proofErr w:type="spellStart"/>
      <w:r w:rsidRPr="00DB5965">
        <w:rPr>
          <w:rFonts w:ascii="Times New Roman" w:hAnsi="Times New Roman" w:cs="Times New Roman"/>
          <w:i/>
          <w:iCs/>
          <w:color w:val="auto"/>
        </w:rPr>
        <w:t>Greenhouse</w:t>
      </w:r>
      <w:proofErr w:type="spellEnd"/>
      <w:r w:rsidRPr="00DB5965">
        <w:rPr>
          <w:rFonts w:ascii="Times New Roman" w:hAnsi="Times New Roman" w:cs="Times New Roman"/>
          <w:i/>
          <w:iCs/>
          <w:color w:val="auto"/>
        </w:rPr>
        <w:t xml:space="preserve"> </w:t>
      </w:r>
      <w:proofErr w:type="spellStart"/>
      <w:r w:rsidRPr="00DB5965">
        <w:rPr>
          <w:rFonts w:ascii="Times New Roman" w:hAnsi="Times New Roman" w:cs="Times New Roman"/>
          <w:i/>
          <w:iCs/>
          <w:color w:val="auto"/>
        </w:rPr>
        <w:t>Gas</w:t>
      </w:r>
      <w:proofErr w:type="spellEnd"/>
      <w:r w:rsidRPr="00DB5965">
        <w:rPr>
          <w:rFonts w:ascii="Times New Roman" w:hAnsi="Times New Roman" w:cs="Times New Roman"/>
          <w:i/>
          <w:iCs/>
          <w:color w:val="auto"/>
        </w:rPr>
        <w:t xml:space="preserve"> </w:t>
      </w:r>
      <w:proofErr w:type="spellStart"/>
      <w:r w:rsidRPr="00DB5965">
        <w:rPr>
          <w:rFonts w:ascii="Times New Roman" w:hAnsi="Times New Roman" w:cs="Times New Roman"/>
          <w:i/>
          <w:iCs/>
          <w:color w:val="auto"/>
        </w:rPr>
        <w:t>Emissions</w:t>
      </w:r>
      <w:proofErr w:type="spellEnd"/>
      <w:r w:rsidRPr="00DB5965">
        <w:rPr>
          <w:rFonts w:ascii="Times New Roman" w:hAnsi="Times New Roman" w:cs="Times New Roman"/>
          <w:i/>
          <w:iCs/>
          <w:color w:val="auto"/>
        </w:rPr>
        <w:t xml:space="preserve"> General </w:t>
      </w:r>
      <w:proofErr w:type="spellStart"/>
      <w:r w:rsidRPr="00DB5965">
        <w:rPr>
          <w:rFonts w:ascii="Times New Roman" w:hAnsi="Times New Roman" w:cs="Times New Roman"/>
          <w:i/>
          <w:iCs/>
          <w:color w:val="auto"/>
        </w:rPr>
        <w:t>Equilibrium</w:t>
      </w:r>
      <w:proofErr w:type="spellEnd"/>
      <w:r w:rsidRPr="00DB5965">
        <w:rPr>
          <w:rFonts w:ascii="Times New Roman" w:hAnsi="Times New Roman" w:cs="Times New Roman"/>
          <w:i/>
          <w:iCs/>
          <w:color w:val="auto"/>
        </w:rPr>
        <w:t xml:space="preserve"> </w:t>
      </w:r>
      <w:proofErr w:type="spellStart"/>
      <w:r w:rsidRPr="00DB5965">
        <w:rPr>
          <w:rFonts w:ascii="Times New Roman" w:hAnsi="Times New Roman" w:cs="Times New Roman"/>
          <w:i/>
          <w:iCs/>
          <w:color w:val="auto"/>
        </w:rPr>
        <w:t>Model</w:t>
      </w:r>
      <w:proofErr w:type="spellEnd"/>
      <w:r w:rsidRPr="00DB5965">
        <w:rPr>
          <w:rFonts w:ascii="Times New Roman" w:hAnsi="Times New Roman" w:cs="Times New Roman"/>
          <w:color w:val="auto"/>
        </w:rPr>
        <w:t xml:space="preserve">), desenvolvido por Magalhães (2013). </w:t>
      </w:r>
      <w:r w:rsidRPr="00DB5965">
        <w:rPr>
          <w:rFonts w:ascii="Times New Roman" w:hAnsi="Times New Roman" w:cs="Times New Roman"/>
        </w:rPr>
        <w:t xml:space="preserve"> </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O </w:t>
      </w:r>
      <w:proofErr w:type="spellStart"/>
      <w:r w:rsidRPr="00DB5965">
        <w:rPr>
          <w:rFonts w:ascii="Times New Roman" w:hAnsi="Times New Roman" w:cs="Times New Roman"/>
          <w:sz w:val="24"/>
          <w:szCs w:val="24"/>
        </w:rPr>
        <w:t>BeGreen</w:t>
      </w:r>
      <w:proofErr w:type="spellEnd"/>
      <w:r w:rsidRPr="00DB5965">
        <w:rPr>
          <w:rFonts w:ascii="Times New Roman" w:hAnsi="Times New Roman" w:cs="Times New Roman"/>
          <w:sz w:val="24"/>
          <w:szCs w:val="24"/>
        </w:rPr>
        <w:t xml:space="preserve"> consiste em um modelo de Equilíbrio Geral Computável (EGC) com estrutura dinâmico-recursiva que, juntamente com um módulo de especificação energética e um módulo ambiental, se mostra adequado à análise de políticas de redução de GEE sobre a economia brasileira (MAGALHÃES e DOMINGUES, 2014). Ressalta-se ainda que a utilização deste tipo de modelagem vem sendo cada vez mais adotada para analisar impactos de políticas de redução de emissões de GEE, uma vez que os modelos de EGC são capazes de considerar, de forma interligada, os efeitos sobre preços, quantidades e sobre a estrutura da economia como um todo. </w:t>
      </w:r>
    </w:p>
    <w:p w:rsidR="0094311E" w:rsidRPr="00DB5965" w:rsidRDefault="0094311E" w:rsidP="006806D7">
      <w:pPr>
        <w:pStyle w:val="Default"/>
        <w:contextualSpacing/>
        <w:jc w:val="both"/>
        <w:rPr>
          <w:rFonts w:ascii="Times New Roman" w:hAnsi="Times New Roman" w:cs="Times New Roman"/>
          <w:color w:val="auto"/>
        </w:rPr>
      </w:pPr>
      <w:r w:rsidRPr="00DB5965">
        <w:rPr>
          <w:rFonts w:ascii="Times New Roman" w:hAnsi="Times New Roman" w:cs="Times New Roman"/>
          <w:color w:val="auto"/>
        </w:rPr>
        <w:tab/>
        <w:t xml:space="preserve">Pretende-se utilizar o modelo </w:t>
      </w:r>
      <w:proofErr w:type="spellStart"/>
      <w:r w:rsidRPr="00DB5965">
        <w:rPr>
          <w:rFonts w:ascii="Times New Roman" w:hAnsi="Times New Roman" w:cs="Times New Roman"/>
          <w:color w:val="auto"/>
        </w:rPr>
        <w:t>BeGreen</w:t>
      </w:r>
      <w:proofErr w:type="spellEnd"/>
      <w:r w:rsidRPr="00DB5965">
        <w:rPr>
          <w:rFonts w:ascii="Times New Roman" w:hAnsi="Times New Roman" w:cs="Times New Roman"/>
          <w:color w:val="auto"/>
        </w:rPr>
        <w:t xml:space="preserve"> para analisar os possíveis efeitos sobre a economia decorrentes da imposição de metas para os setores produtivos. Isso se torna possível, uma vez que o </w:t>
      </w:r>
      <w:proofErr w:type="spellStart"/>
      <w:r w:rsidRPr="00DB5965">
        <w:rPr>
          <w:rFonts w:ascii="Times New Roman" w:hAnsi="Times New Roman" w:cs="Times New Roman"/>
          <w:color w:val="auto"/>
        </w:rPr>
        <w:t>BeGreen</w:t>
      </w:r>
      <w:proofErr w:type="spellEnd"/>
      <w:r w:rsidRPr="00DB5965">
        <w:rPr>
          <w:rFonts w:ascii="Times New Roman" w:hAnsi="Times New Roman" w:cs="Times New Roman"/>
          <w:color w:val="auto"/>
        </w:rPr>
        <w:t xml:space="preserve"> permite impor metas de redução de emissões que se traduzem em preços de carbono sobre as diferentes fontes emissoras de GEE (combustíveis e setores produtivos), e diferentes usuários, incluindo setores e famílias. Com isso, a política de imposição de metas de redução de emissões neste modelo assume a forma de uma precificação de carbono, afetando os preços relativos e, consequentemente, o uso de insumos energéticos, o nível de atividade e as emissões (MAGALHÃES, 2013).</w:t>
      </w:r>
    </w:p>
    <w:p w:rsidR="0094311E" w:rsidRPr="00DB5965" w:rsidRDefault="0094311E" w:rsidP="006806D7">
      <w:pPr>
        <w:pStyle w:val="Default"/>
        <w:contextualSpacing/>
        <w:jc w:val="both"/>
        <w:rPr>
          <w:rFonts w:ascii="Times New Roman" w:hAnsi="Times New Roman" w:cs="Times New Roman"/>
          <w:color w:val="auto"/>
        </w:rPr>
      </w:pPr>
    </w:p>
    <w:p w:rsidR="0094311E" w:rsidRDefault="0094311E" w:rsidP="00E21016">
      <w:pPr>
        <w:pStyle w:val="Default"/>
        <w:contextualSpacing/>
        <w:jc w:val="both"/>
        <w:rPr>
          <w:rFonts w:ascii="Times New Roman" w:hAnsi="Times New Roman" w:cs="Times New Roman"/>
          <w:b/>
          <w:bCs/>
          <w:color w:val="auto"/>
        </w:rPr>
      </w:pPr>
      <w:r w:rsidRPr="00DB5965">
        <w:rPr>
          <w:rFonts w:ascii="Times New Roman" w:hAnsi="Times New Roman" w:cs="Times New Roman"/>
          <w:b/>
          <w:bCs/>
          <w:color w:val="auto"/>
        </w:rPr>
        <w:t>2. Aspectos econômicos das políticas de mitigação de emissões</w:t>
      </w:r>
    </w:p>
    <w:p w:rsidR="00E21016" w:rsidRPr="00DB5965" w:rsidRDefault="00E21016" w:rsidP="00E21016">
      <w:pPr>
        <w:pStyle w:val="Default"/>
        <w:contextualSpacing/>
        <w:jc w:val="both"/>
        <w:rPr>
          <w:rFonts w:ascii="Times New Roman" w:hAnsi="Times New Roman" w:cs="Times New Roman"/>
          <w:b/>
          <w:bCs/>
          <w:color w:val="auto"/>
        </w:rPr>
      </w:pPr>
    </w:p>
    <w:p w:rsidR="0094311E" w:rsidRPr="00DB5965" w:rsidRDefault="0094311E" w:rsidP="006806D7">
      <w:pPr>
        <w:pStyle w:val="Default"/>
        <w:contextualSpacing/>
        <w:jc w:val="both"/>
        <w:rPr>
          <w:rFonts w:ascii="Times New Roman" w:hAnsi="Times New Roman" w:cs="Times New Roman"/>
          <w:color w:val="auto"/>
        </w:rPr>
      </w:pPr>
      <w:r w:rsidRPr="00DB5965">
        <w:rPr>
          <w:rFonts w:ascii="Times New Roman" w:hAnsi="Times New Roman" w:cs="Times New Roman"/>
          <w:b/>
          <w:bCs/>
          <w:color w:val="auto"/>
        </w:rPr>
        <w:tab/>
      </w:r>
      <w:r w:rsidRPr="00DB5965">
        <w:rPr>
          <w:rFonts w:ascii="Times New Roman" w:hAnsi="Times New Roman" w:cs="Times New Roman"/>
          <w:color w:val="auto"/>
        </w:rPr>
        <w:t xml:space="preserve">A mitigação das emissões de GEE – entendida como a soma de esforços na redução de emissões antropogênicas e na remoção do carbono atmosférico via sumidouros naturais, como oceanos e florestas – pode ser vista como um bem público (MAGALHÃES, 2013). A ausência de direitos de propriedade bem definidos, inerente aos bens públicos, juntamente </w:t>
      </w:r>
      <w:r w:rsidRPr="00DB5965">
        <w:rPr>
          <w:rFonts w:ascii="Times New Roman" w:hAnsi="Times New Roman" w:cs="Times New Roman"/>
          <w:color w:val="auto"/>
        </w:rPr>
        <w:lastRenderedPageBreak/>
        <w:t>com o fato de que os benefícios da mitigação são percebidos de forma heterogênea e apenas em um tempo futuro, suscitam a necessidade do estabelecimento de intervenções de políticas públicas para que seu objetivo – a manutenção da dinâmica climática em níveis favoráveis à vida natural e humana – seja alcançado.</w:t>
      </w:r>
    </w:p>
    <w:p w:rsidR="0094311E" w:rsidRPr="00DB5965" w:rsidRDefault="0094311E" w:rsidP="006806D7">
      <w:pPr>
        <w:pStyle w:val="Default"/>
        <w:ind w:firstLine="708"/>
        <w:contextualSpacing/>
        <w:jc w:val="both"/>
        <w:rPr>
          <w:rFonts w:ascii="Times New Roman" w:hAnsi="Times New Roman" w:cs="Times New Roman"/>
          <w:color w:val="auto"/>
        </w:rPr>
      </w:pPr>
      <w:r w:rsidRPr="00DB5965">
        <w:rPr>
          <w:rFonts w:ascii="Times New Roman" w:hAnsi="Times New Roman" w:cs="Times New Roman"/>
          <w:color w:val="auto"/>
        </w:rPr>
        <w:t xml:space="preserve">Nesse sentido, o bem </w:t>
      </w:r>
      <w:proofErr w:type="gramStart"/>
      <w:r w:rsidRPr="00DB5965">
        <w:rPr>
          <w:rFonts w:ascii="Times New Roman" w:hAnsi="Times New Roman" w:cs="Times New Roman"/>
          <w:color w:val="auto"/>
        </w:rPr>
        <w:t>público “mitigação</w:t>
      </w:r>
      <w:proofErr w:type="gramEnd"/>
      <w:r w:rsidRPr="00DB5965">
        <w:rPr>
          <w:rFonts w:ascii="Times New Roman" w:hAnsi="Times New Roman" w:cs="Times New Roman"/>
          <w:color w:val="auto"/>
        </w:rPr>
        <w:t xml:space="preserve"> das emissões de GEE” atua como corretor das externalidades negativas produzidas pelas emissões. Seus benefícios são globais, porém seus custos são a princípio arcados pelos poluidores até o ponto em que se igualem, na margem, aos custos ocasionados pelas próprias emissões. Assim, quando o custo marginal de uma política de mitigação se iguala aos benefícios auferidos pela sociedade em sua decorrência, tem-se um nível ótimo sob a ótica da análise de custo-benefício.</w:t>
      </w:r>
    </w:p>
    <w:p w:rsidR="0094311E" w:rsidRPr="00DB5965" w:rsidRDefault="0094311E" w:rsidP="000E0868">
      <w:pPr>
        <w:pStyle w:val="Default"/>
        <w:ind w:firstLine="708"/>
        <w:contextualSpacing/>
        <w:jc w:val="both"/>
        <w:rPr>
          <w:rFonts w:ascii="Times New Roman" w:hAnsi="Times New Roman" w:cs="Times New Roman"/>
          <w:color w:val="auto"/>
        </w:rPr>
      </w:pPr>
      <w:r w:rsidRPr="00DB5965">
        <w:rPr>
          <w:rFonts w:ascii="Times New Roman" w:hAnsi="Times New Roman" w:cs="Times New Roman"/>
          <w:color w:val="auto"/>
        </w:rPr>
        <w:t>Na prática, entretanto, as tentativas de estabelecer pontos ótimos para políticas de mitigação esbarram no problema da valoração econômica dos benefícios trazidos pela mesma. A complexidade e a subjetividade associada ao valor do capital natural (que inclui uma grande quantidade de diferentes recursos e serviços ecossistêmicos associados) tornam a análise inconclusiva (ou questionável, no melhor caso) quanto à determinação do nível ótimo de mitigação a ser buscado por meio de políticas públicas</w:t>
      </w:r>
      <w:r w:rsidRPr="00DB5965">
        <w:rPr>
          <w:rStyle w:val="Refdenotaderodap"/>
          <w:rFonts w:ascii="Times New Roman" w:hAnsi="Times New Roman" w:cs="Times New Roman"/>
          <w:color w:val="auto"/>
        </w:rPr>
        <w:footnoteReference w:id="2"/>
      </w:r>
      <w:r w:rsidRPr="00DB5965">
        <w:rPr>
          <w:rFonts w:ascii="Times New Roman" w:hAnsi="Times New Roman" w:cs="Times New Roman"/>
          <w:color w:val="auto"/>
        </w:rPr>
        <w:t>. Contorna-se o problema da valoração ambiental ao adotar a análise de custo-efetividade, em que metas de controle de emissões são definidas a priori e apenas os custos de tal controle são contabilizados.</w:t>
      </w:r>
    </w:p>
    <w:p w:rsidR="0094311E" w:rsidRPr="00DB5965" w:rsidRDefault="0094311E" w:rsidP="006806D7">
      <w:pPr>
        <w:pStyle w:val="Default"/>
        <w:ind w:firstLine="708"/>
        <w:contextualSpacing/>
        <w:jc w:val="both"/>
        <w:rPr>
          <w:rFonts w:ascii="Times New Roman" w:hAnsi="Times New Roman" w:cs="Times New Roman"/>
          <w:color w:val="auto"/>
        </w:rPr>
      </w:pPr>
      <w:r w:rsidRPr="00DB5965">
        <w:rPr>
          <w:rFonts w:ascii="Times New Roman" w:hAnsi="Times New Roman" w:cs="Times New Roman"/>
          <w:color w:val="auto"/>
        </w:rPr>
        <w:t xml:space="preserve">Políticas de mitigação de emissões podem ser de cunho regulatório ou econômico. No primeiro caso, limites de emissão são fixados pela legislação, ao passo que políticas econômicas são baseadas em incentivos contrários à emissão, como taxas, impostos, subsídios ou mesmo a instauração de mercados de carbono. A preferência por políticas do segundo tipo é comumente justificada pela sua maior flexibilidade e eficiência econômica, que levaria ao objetivo desejado com menores custos, dadas as diferenças observadas nas estruturas produtivas dos diversos setores da economia em termos de intensidade de emissões, além de fomentar a busca por novas tecnologias ambientalmente satisfatórias (NORDHAUS, 2008). </w:t>
      </w:r>
    </w:p>
    <w:p w:rsidR="0094311E" w:rsidRPr="00DB5965" w:rsidRDefault="0094311E" w:rsidP="006806D7">
      <w:pPr>
        <w:pStyle w:val="Default"/>
        <w:ind w:firstLine="708"/>
        <w:contextualSpacing/>
        <w:jc w:val="both"/>
        <w:rPr>
          <w:rFonts w:ascii="Times New Roman" w:hAnsi="Times New Roman" w:cs="Times New Roman"/>
          <w:color w:val="auto"/>
        </w:rPr>
      </w:pPr>
      <w:r w:rsidRPr="00DB5965">
        <w:rPr>
          <w:rFonts w:ascii="Times New Roman" w:hAnsi="Times New Roman" w:cs="Times New Roman"/>
          <w:color w:val="auto"/>
        </w:rPr>
        <w:t>Em mercados de carbono, uma vez estabelecida a taxa a ser paga pela emissão de GEE (a mesma para cada poluidor, por tonelada de CO</w:t>
      </w:r>
      <w:r w:rsidRPr="00DB5965">
        <w:rPr>
          <w:rFonts w:ascii="Times New Roman" w:hAnsi="Times New Roman" w:cs="Times New Roman"/>
          <w:color w:val="auto"/>
          <w:vertAlign w:val="subscript"/>
        </w:rPr>
        <w:t>2</w:t>
      </w:r>
      <w:r w:rsidRPr="00DB5965">
        <w:rPr>
          <w:rFonts w:ascii="Times New Roman" w:hAnsi="Times New Roman" w:cs="Times New Roman"/>
          <w:color w:val="auto"/>
        </w:rPr>
        <w:t xml:space="preserve">-equivalente emitida), o mecanismo de livre ajuste de preços relativos levaria à minimização dos custos necessários ao alcance das metas. Firmas com menores custos marginais de redução de emissões adotariam mais medidas de controle; firmas com maiores custos marginais de redução tenderiam a pagar mais taxas ou impostos. A precificação do carbono desestimularia a demanda por insumos e produtos intensivos nesse elemento. Trata-se, portanto, de taxas </w:t>
      </w:r>
      <w:proofErr w:type="spellStart"/>
      <w:r w:rsidRPr="00DB5965">
        <w:rPr>
          <w:rFonts w:ascii="Times New Roman" w:hAnsi="Times New Roman" w:cs="Times New Roman"/>
          <w:color w:val="auto"/>
        </w:rPr>
        <w:t>pigouvianas</w:t>
      </w:r>
      <w:proofErr w:type="spellEnd"/>
      <w:r w:rsidRPr="00DB5965">
        <w:rPr>
          <w:rFonts w:ascii="Times New Roman" w:hAnsi="Times New Roman" w:cs="Times New Roman"/>
          <w:color w:val="auto"/>
        </w:rPr>
        <w:t xml:space="preserve"> de internalização de custos ambientais (PIGOU, 1920).</w:t>
      </w:r>
    </w:p>
    <w:p w:rsidR="0094311E" w:rsidRPr="00DB5965" w:rsidRDefault="0094311E" w:rsidP="00D33C1A">
      <w:pPr>
        <w:pStyle w:val="Default"/>
        <w:ind w:firstLine="708"/>
        <w:contextualSpacing/>
        <w:jc w:val="both"/>
        <w:rPr>
          <w:rFonts w:ascii="Times New Roman" w:hAnsi="Times New Roman" w:cs="Times New Roman"/>
          <w:color w:val="auto"/>
        </w:rPr>
      </w:pPr>
      <w:r w:rsidRPr="00DB5965">
        <w:rPr>
          <w:rFonts w:ascii="Times New Roman" w:hAnsi="Times New Roman" w:cs="Times New Roman"/>
          <w:color w:val="auto"/>
        </w:rPr>
        <w:t>A precificação do carbono na prática envolve a distribuição de direitos de propriedade, ou seja, direitos de emissão de certa quantidade de toneladas de CO</w:t>
      </w:r>
      <w:r w:rsidRPr="00DB5965">
        <w:rPr>
          <w:rFonts w:ascii="Times New Roman" w:hAnsi="Times New Roman" w:cs="Times New Roman"/>
          <w:color w:val="auto"/>
          <w:vertAlign w:val="subscript"/>
        </w:rPr>
        <w:t>2</w:t>
      </w:r>
      <w:r w:rsidRPr="00DB5965">
        <w:rPr>
          <w:rFonts w:ascii="Times New Roman" w:hAnsi="Times New Roman" w:cs="Times New Roman"/>
          <w:color w:val="auto"/>
        </w:rPr>
        <w:t xml:space="preserve">-equivalente na forma de licenças. Há assim uma alocação inicial de um bem, e as decisões dos agentes (reduzir as emissões ou pagar as taxas) determinarão de forma endógena o custo marginal adicional - preço do carbono - resultante da política. </w:t>
      </w:r>
    </w:p>
    <w:p w:rsidR="0094311E" w:rsidRDefault="0094311E" w:rsidP="00D33C1A">
      <w:pPr>
        <w:pStyle w:val="Default"/>
        <w:ind w:firstLine="708"/>
        <w:contextualSpacing/>
        <w:jc w:val="both"/>
        <w:rPr>
          <w:rFonts w:ascii="Times New Roman" w:hAnsi="Times New Roman" w:cs="Times New Roman"/>
          <w:color w:val="auto"/>
        </w:rPr>
      </w:pPr>
      <w:r>
        <w:rPr>
          <w:rFonts w:ascii="Times New Roman" w:hAnsi="Times New Roman" w:cs="Times New Roman"/>
          <w:color w:val="auto"/>
        </w:rPr>
        <w:t xml:space="preserve"> Este artigo</w:t>
      </w:r>
      <w:r w:rsidRPr="00DB5965">
        <w:rPr>
          <w:rFonts w:ascii="Times New Roman" w:hAnsi="Times New Roman" w:cs="Times New Roman"/>
          <w:color w:val="auto"/>
        </w:rPr>
        <w:t xml:space="preserve"> se baseia, portanto, na análise de custo-efetividade com os objetivos de redução de emissões sendo fornecidos pelo governo brasileiro de forma voluntária, sem a redistribuição para a população das receitas advindas da cobrança. Assim, tem-se um modelo de precificação de carbono conhecido como </w:t>
      </w:r>
      <w:proofErr w:type="spellStart"/>
      <w:r w:rsidRPr="00DB5965">
        <w:rPr>
          <w:rFonts w:ascii="Times New Roman" w:hAnsi="Times New Roman" w:cs="Times New Roman"/>
          <w:i/>
          <w:iCs/>
          <w:color w:val="auto"/>
        </w:rPr>
        <w:t>cap</w:t>
      </w:r>
      <w:proofErr w:type="spellEnd"/>
      <w:r w:rsidRPr="00DB5965">
        <w:rPr>
          <w:rFonts w:ascii="Times New Roman" w:hAnsi="Times New Roman" w:cs="Times New Roman"/>
          <w:color w:val="auto"/>
        </w:rPr>
        <w:t xml:space="preserve"> e com a possibilidade de ganhos de eficiência energética.</w:t>
      </w:r>
    </w:p>
    <w:p w:rsidR="00E21016" w:rsidRDefault="00E21016" w:rsidP="00D33C1A">
      <w:pPr>
        <w:pStyle w:val="Default"/>
        <w:ind w:firstLine="708"/>
        <w:contextualSpacing/>
        <w:jc w:val="both"/>
        <w:rPr>
          <w:rFonts w:ascii="Times New Roman" w:hAnsi="Times New Roman" w:cs="Times New Roman"/>
          <w:color w:val="auto"/>
        </w:rPr>
      </w:pPr>
    </w:p>
    <w:p w:rsidR="0094311E" w:rsidRDefault="0094311E" w:rsidP="00E21016">
      <w:pPr>
        <w:spacing w:after="0" w:line="240" w:lineRule="auto"/>
        <w:contextualSpacing/>
        <w:jc w:val="both"/>
        <w:rPr>
          <w:rFonts w:ascii="Times New Roman" w:hAnsi="Times New Roman" w:cs="Times New Roman"/>
          <w:b/>
          <w:bCs/>
          <w:sz w:val="24"/>
          <w:szCs w:val="24"/>
        </w:rPr>
      </w:pPr>
      <w:r w:rsidRPr="00DB5965">
        <w:rPr>
          <w:rFonts w:ascii="Times New Roman" w:hAnsi="Times New Roman" w:cs="Times New Roman"/>
          <w:b/>
          <w:bCs/>
          <w:sz w:val="24"/>
          <w:szCs w:val="24"/>
        </w:rPr>
        <w:lastRenderedPageBreak/>
        <w:t>3. Metodologia</w:t>
      </w:r>
    </w:p>
    <w:p w:rsidR="00E21016" w:rsidRPr="00DB5965" w:rsidRDefault="00E21016" w:rsidP="00E21016">
      <w:pPr>
        <w:spacing w:after="0" w:line="240" w:lineRule="auto"/>
        <w:contextualSpacing/>
        <w:jc w:val="both"/>
        <w:rPr>
          <w:rFonts w:ascii="Times New Roman" w:hAnsi="Times New Roman" w:cs="Times New Roman"/>
          <w:b/>
          <w:bCs/>
          <w:sz w:val="24"/>
          <w:szCs w:val="24"/>
        </w:rPr>
      </w:pPr>
    </w:p>
    <w:p w:rsidR="0094311E" w:rsidRPr="00DB5965" w:rsidRDefault="0094311E" w:rsidP="006806D7">
      <w:pPr>
        <w:spacing w:after="0" w:line="240" w:lineRule="auto"/>
        <w:contextualSpacing/>
        <w:jc w:val="both"/>
        <w:rPr>
          <w:rFonts w:ascii="Times New Roman" w:hAnsi="Times New Roman" w:cs="Times New Roman"/>
          <w:sz w:val="24"/>
          <w:szCs w:val="24"/>
        </w:rPr>
      </w:pPr>
      <w:r w:rsidRPr="00DB5965">
        <w:rPr>
          <w:rFonts w:ascii="Times New Roman" w:hAnsi="Times New Roman" w:cs="Times New Roman"/>
          <w:sz w:val="24"/>
          <w:szCs w:val="24"/>
        </w:rPr>
        <w:tab/>
        <w:t>Na abordagem aplicada de equilíbrio geral, a economia é vista como um sistema de mercados interligados no qual um conjunto de equações descreve o comportamento dos agentes econômicos (famílias, empresas, governo e demais instituições da economia) e onde o equilíbrio entre todas as relações é obtido simultaneamente. Nesse sentido, a adoção dos modelos de EGC para avaliar impactos de políticas ambientais vêm sendo cada vez mais recorrente na literatura, dada sua capacidade de considerar como estas políticas afetam o comportamento de produtores e consumidores por meio de diferentes instrumentos fiscais (MAGALHÃES e DOMINGUES, 2014).</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Conforme apontado anteriormente, a metodologia utilizada nesse estudo consiste em aplicar um modelo de EGC, chamado </w:t>
      </w:r>
      <w:proofErr w:type="spellStart"/>
      <w:r w:rsidRPr="00DB5965">
        <w:rPr>
          <w:rFonts w:ascii="Times New Roman" w:hAnsi="Times New Roman" w:cs="Times New Roman"/>
          <w:sz w:val="24"/>
          <w:szCs w:val="24"/>
        </w:rPr>
        <w:t>BeGreen</w:t>
      </w:r>
      <w:proofErr w:type="spellEnd"/>
      <w:r w:rsidRPr="00DB5965">
        <w:rPr>
          <w:rFonts w:ascii="Times New Roman" w:hAnsi="Times New Roman" w:cs="Times New Roman"/>
          <w:sz w:val="24"/>
          <w:szCs w:val="24"/>
        </w:rPr>
        <w:t xml:space="preserve">, para </w:t>
      </w:r>
      <w:r>
        <w:rPr>
          <w:rFonts w:ascii="Times New Roman" w:hAnsi="Times New Roman" w:cs="Times New Roman"/>
          <w:sz w:val="24"/>
          <w:szCs w:val="24"/>
        </w:rPr>
        <w:t>simular os efeitos da adoção da meta</w:t>
      </w:r>
      <w:r w:rsidRPr="00DB5965">
        <w:rPr>
          <w:rFonts w:ascii="Times New Roman" w:hAnsi="Times New Roman" w:cs="Times New Roman"/>
          <w:sz w:val="24"/>
          <w:szCs w:val="24"/>
        </w:rPr>
        <w:t xml:space="preserve"> de redução de 37% das emissões sobre a economia brasileira. Tal modelo foi discutido em detalhes por Magalhães (2013) e suas principais características e peculiaridades, bem como sua base de dados, serão expostas nesta seção.</w:t>
      </w:r>
    </w:p>
    <w:p w:rsidR="0094311E" w:rsidRPr="00DB5965" w:rsidRDefault="0094311E" w:rsidP="006806D7">
      <w:pPr>
        <w:spacing w:after="0" w:line="240" w:lineRule="auto"/>
        <w:contextualSpacing/>
        <w:jc w:val="both"/>
        <w:rPr>
          <w:rFonts w:ascii="Times New Roman" w:hAnsi="Times New Roman" w:cs="Times New Roman"/>
          <w:sz w:val="24"/>
          <w:szCs w:val="24"/>
        </w:rPr>
      </w:pPr>
    </w:p>
    <w:p w:rsidR="0094311E" w:rsidRDefault="0094311E" w:rsidP="00E21016">
      <w:pPr>
        <w:spacing w:after="0" w:line="240" w:lineRule="auto"/>
        <w:contextualSpacing/>
        <w:jc w:val="both"/>
        <w:rPr>
          <w:rFonts w:ascii="Times New Roman" w:hAnsi="Times New Roman" w:cs="Times New Roman"/>
          <w:b/>
          <w:bCs/>
          <w:sz w:val="24"/>
          <w:szCs w:val="24"/>
        </w:rPr>
      </w:pPr>
      <w:r w:rsidRPr="00DB5965">
        <w:rPr>
          <w:rFonts w:ascii="Times New Roman" w:hAnsi="Times New Roman" w:cs="Times New Roman"/>
          <w:b/>
          <w:bCs/>
          <w:sz w:val="24"/>
          <w:szCs w:val="24"/>
        </w:rPr>
        <w:t xml:space="preserve">3.1 Modelo </w:t>
      </w:r>
      <w:proofErr w:type="spellStart"/>
      <w:r w:rsidRPr="00DB5965">
        <w:rPr>
          <w:rFonts w:ascii="Times New Roman" w:hAnsi="Times New Roman" w:cs="Times New Roman"/>
          <w:b/>
          <w:bCs/>
          <w:sz w:val="24"/>
          <w:szCs w:val="24"/>
        </w:rPr>
        <w:t>BeGreen</w:t>
      </w:r>
      <w:proofErr w:type="spellEnd"/>
    </w:p>
    <w:p w:rsidR="00E21016" w:rsidRPr="00DB5965" w:rsidRDefault="00E21016" w:rsidP="00E21016">
      <w:pPr>
        <w:spacing w:after="0" w:line="240" w:lineRule="auto"/>
        <w:contextualSpacing/>
        <w:jc w:val="both"/>
        <w:rPr>
          <w:rFonts w:ascii="Times New Roman" w:hAnsi="Times New Roman" w:cs="Times New Roman"/>
          <w:sz w:val="24"/>
          <w:szCs w:val="24"/>
        </w:rPr>
      </w:pPr>
    </w:p>
    <w:p w:rsidR="0094311E" w:rsidRPr="00DB5965" w:rsidRDefault="0094311E" w:rsidP="006806D7">
      <w:pPr>
        <w:spacing w:after="0" w:line="240" w:lineRule="auto"/>
        <w:contextualSpacing/>
        <w:jc w:val="both"/>
        <w:rPr>
          <w:rFonts w:ascii="Times New Roman" w:hAnsi="Times New Roman" w:cs="Times New Roman"/>
          <w:sz w:val="24"/>
          <w:szCs w:val="24"/>
        </w:rPr>
      </w:pPr>
      <w:r w:rsidRPr="00DB5965">
        <w:rPr>
          <w:rFonts w:ascii="Times New Roman" w:hAnsi="Times New Roman" w:cs="Times New Roman"/>
          <w:sz w:val="24"/>
          <w:szCs w:val="24"/>
        </w:rPr>
        <w:tab/>
        <w:t xml:space="preserve">O </w:t>
      </w:r>
      <w:proofErr w:type="spellStart"/>
      <w:r w:rsidRPr="00DB5965">
        <w:rPr>
          <w:rFonts w:ascii="Times New Roman" w:hAnsi="Times New Roman" w:cs="Times New Roman"/>
          <w:sz w:val="24"/>
          <w:szCs w:val="24"/>
        </w:rPr>
        <w:t>BeGreen</w:t>
      </w:r>
      <w:proofErr w:type="spellEnd"/>
      <w:r w:rsidRPr="00DB5965">
        <w:rPr>
          <w:rFonts w:ascii="Times New Roman" w:hAnsi="Times New Roman" w:cs="Times New Roman"/>
          <w:sz w:val="24"/>
          <w:szCs w:val="24"/>
        </w:rPr>
        <w:t xml:space="preserve"> é um modelo de EGC que segue a abordagem proposta por </w:t>
      </w:r>
      <w:proofErr w:type="spellStart"/>
      <w:r w:rsidRPr="00DB5965">
        <w:rPr>
          <w:rFonts w:ascii="Times New Roman" w:hAnsi="Times New Roman" w:cs="Times New Roman"/>
          <w:sz w:val="24"/>
          <w:szCs w:val="24"/>
        </w:rPr>
        <w:t>Johansen</w:t>
      </w:r>
      <w:proofErr w:type="spellEnd"/>
      <w:r w:rsidRPr="00DB5965">
        <w:rPr>
          <w:rFonts w:ascii="Times New Roman" w:hAnsi="Times New Roman" w:cs="Times New Roman"/>
          <w:sz w:val="24"/>
          <w:szCs w:val="24"/>
        </w:rPr>
        <w:t xml:space="preserve"> (1960), apresentando uma estrutura matemática representada por um sistema de equações lineares e com variáveis na forma de taxas de variação percentual. Os principais avanços incorporados ao </w:t>
      </w:r>
      <w:proofErr w:type="spellStart"/>
      <w:r w:rsidRPr="00DB5965">
        <w:rPr>
          <w:rFonts w:ascii="Times New Roman" w:hAnsi="Times New Roman" w:cs="Times New Roman"/>
          <w:sz w:val="24"/>
          <w:szCs w:val="24"/>
        </w:rPr>
        <w:t>BeGreen</w:t>
      </w:r>
      <w:proofErr w:type="spellEnd"/>
      <w:r w:rsidRPr="00DB5965">
        <w:rPr>
          <w:rFonts w:ascii="Times New Roman" w:hAnsi="Times New Roman" w:cs="Times New Roman"/>
          <w:sz w:val="24"/>
          <w:szCs w:val="24"/>
        </w:rPr>
        <w:t xml:space="preserve"> e que o diferencia dos demais modelos de EGC brasileiros são: i) um módulo de detalhada especificação energética; </w:t>
      </w:r>
      <w:proofErr w:type="spellStart"/>
      <w:r w:rsidRPr="00DB5965">
        <w:rPr>
          <w:rFonts w:ascii="Times New Roman" w:hAnsi="Times New Roman" w:cs="Times New Roman"/>
          <w:sz w:val="24"/>
          <w:szCs w:val="24"/>
        </w:rPr>
        <w:t>ii</w:t>
      </w:r>
      <w:proofErr w:type="spellEnd"/>
      <w:r w:rsidRPr="00DB5965">
        <w:rPr>
          <w:rFonts w:ascii="Times New Roman" w:hAnsi="Times New Roman" w:cs="Times New Roman"/>
          <w:sz w:val="24"/>
          <w:szCs w:val="24"/>
        </w:rPr>
        <w:t xml:space="preserve">) um módulo ambiental para projeção de políticas de redução de emissões; e </w:t>
      </w:r>
      <w:proofErr w:type="spellStart"/>
      <w:r w:rsidRPr="00DB5965">
        <w:rPr>
          <w:rFonts w:ascii="Times New Roman" w:hAnsi="Times New Roman" w:cs="Times New Roman"/>
          <w:sz w:val="24"/>
          <w:szCs w:val="24"/>
        </w:rPr>
        <w:t>iii</w:t>
      </w:r>
      <w:proofErr w:type="spellEnd"/>
      <w:r w:rsidRPr="00DB5965">
        <w:rPr>
          <w:rFonts w:ascii="Times New Roman" w:hAnsi="Times New Roman" w:cs="Times New Roman"/>
          <w:sz w:val="24"/>
          <w:szCs w:val="24"/>
        </w:rPr>
        <w:t>) uma estrutura de dinâmica recursiva. Além disso, o modelo é calibrado para os dados mais recentes do Sistema de Contas Nacionais, da Matriz de Insumo-Produto e do Inventário Brasileiro de Emissões (SANTOS, 2010; MAGALHÃES, 2013).</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De modo geral, pode-se caracterizar o </w:t>
      </w:r>
      <w:proofErr w:type="spellStart"/>
      <w:r w:rsidRPr="00DB5965">
        <w:rPr>
          <w:rFonts w:ascii="Times New Roman" w:hAnsi="Times New Roman" w:cs="Times New Roman"/>
          <w:sz w:val="24"/>
          <w:szCs w:val="24"/>
        </w:rPr>
        <w:t>BeGreen</w:t>
      </w:r>
      <w:proofErr w:type="spellEnd"/>
      <w:r w:rsidRPr="00DB5965">
        <w:rPr>
          <w:rFonts w:ascii="Times New Roman" w:hAnsi="Times New Roman" w:cs="Times New Roman"/>
          <w:sz w:val="24"/>
          <w:szCs w:val="24"/>
        </w:rPr>
        <w:t xml:space="preserve"> como um modelo </w:t>
      </w:r>
      <w:proofErr w:type="spellStart"/>
      <w:r w:rsidRPr="00DB5965">
        <w:rPr>
          <w:rFonts w:ascii="Times New Roman" w:hAnsi="Times New Roman" w:cs="Times New Roman"/>
          <w:sz w:val="24"/>
          <w:szCs w:val="24"/>
        </w:rPr>
        <w:t>multi-produto</w:t>
      </w:r>
      <w:proofErr w:type="spellEnd"/>
      <w:r w:rsidRPr="00DB5965">
        <w:rPr>
          <w:rFonts w:ascii="Times New Roman" w:hAnsi="Times New Roman" w:cs="Times New Roman"/>
          <w:sz w:val="24"/>
          <w:szCs w:val="24"/>
        </w:rPr>
        <w:t>, composto por 124 produtos e 58 setores, sendo que cada setor pode produzir mais de um produto e cada produto pode ser produzido por mais de um setor. Ademais, o modelo conta com 14 componentes da demanda final, contemplando consumo das famílias (10 famílias representativas), consumo do governo, investimento, exportações e estoques. Tem-se também três elementos de fatores primários (capital, trabalho e terra), dois setores de margens (comércio e transportes), importações por produto para cada um dos 58 setores e 14 componentes da demanda final, um agregado de impostos indiretos e um agregado de impostos sobre a produção. Sua estrutura central é composta por blocos de equações que determinam relações de oferta e demanda, derivadas de hipóteses de otimização, e condições de equilíbrio de mercado (MAGALHÃES, 2013).</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Com relação à estrutura de produção, cada setor faz uso de insumos energéticos, insumos intermediários e fatores primários. Em cada setor, as firmas apresentam um comportamento </w:t>
      </w:r>
      <w:proofErr w:type="spellStart"/>
      <w:r w:rsidRPr="00DB5965">
        <w:rPr>
          <w:rFonts w:ascii="Times New Roman" w:hAnsi="Times New Roman" w:cs="Times New Roman"/>
          <w:sz w:val="24"/>
          <w:szCs w:val="24"/>
        </w:rPr>
        <w:t>otimizador</w:t>
      </w:r>
      <w:proofErr w:type="spellEnd"/>
      <w:r w:rsidRPr="00DB5965">
        <w:rPr>
          <w:rFonts w:ascii="Times New Roman" w:hAnsi="Times New Roman" w:cs="Times New Roman"/>
          <w:sz w:val="24"/>
          <w:szCs w:val="24"/>
        </w:rPr>
        <w:t xml:space="preserve">, buscando uma combinação de insumos de modo a minimizar o custo de produção para um dado nível de produto, condicionado a tecnologias de retornos constantes de escala. Um avanço incorporado neste modelo é agrupar os setores produtivos em duas categorias distintas, a saber: i) setores com tecnologias de produção com vetores tecnológicos; e </w:t>
      </w:r>
      <w:proofErr w:type="spellStart"/>
      <w:r w:rsidRPr="00DB5965">
        <w:rPr>
          <w:rFonts w:ascii="Times New Roman" w:hAnsi="Times New Roman" w:cs="Times New Roman"/>
          <w:sz w:val="24"/>
          <w:szCs w:val="24"/>
        </w:rPr>
        <w:t>ii</w:t>
      </w:r>
      <w:proofErr w:type="spellEnd"/>
      <w:r w:rsidRPr="00DB5965">
        <w:rPr>
          <w:rFonts w:ascii="Times New Roman" w:hAnsi="Times New Roman" w:cs="Times New Roman"/>
          <w:sz w:val="24"/>
          <w:szCs w:val="24"/>
        </w:rPr>
        <w:t xml:space="preserve">) setores com estruturas de substituição entre compostos energéticos (MAGALHÃES, 2013). </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Em relação a este primeiro grupo, a especificação de vetores tecnológicos possibilita a introdução de uma restrição sobre a substituição entre os insumos utilizados pelas firmas, tornando-a consistente com as características de tecnologias específicas e conhecidas. Isto evita a possibilidade de obtenção de substituição ou combinação de insumos tecnicamente não </w:t>
      </w:r>
      <w:r w:rsidRPr="00DB5965">
        <w:rPr>
          <w:rFonts w:ascii="Times New Roman" w:hAnsi="Times New Roman" w:cs="Times New Roman"/>
          <w:sz w:val="24"/>
          <w:szCs w:val="24"/>
        </w:rPr>
        <w:lastRenderedPageBreak/>
        <w:t xml:space="preserve">factíveis, tratando de forma mais realista o padrão de uso dos insumos e a resposta deste a variações nos preços. No modelo </w:t>
      </w:r>
      <w:proofErr w:type="spellStart"/>
      <w:r w:rsidRPr="00DB5965">
        <w:rPr>
          <w:rFonts w:ascii="Times New Roman" w:hAnsi="Times New Roman" w:cs="Times New Roman"/>
          <w:sz w:val="24"/>
          <w:szCs w:val="24"/>
        </w:rPr>
        <w:t>BeGreen</w:t>
      </w:r>
      <w:proofErr w:type="spellEnd"/>
      <w:r w:rsidRPr="00DB5965">
        <w:rPr>
          <w:rFonts w:ascii="Times New Roman" w:hAnsi="Times New Roman" w:cs="Times New Roman"/>
          <w:sz w:val="24"/>
          <w:szCs w:val="24"/>
        </w:rPr>
        <w:t xml:space="preserve">, dois setores se enquadram nesta categoria por apresentarem tecnologias de produção bem caracterizadas: “Geração de eletricidade” e “Fabricação de aço e derivados”.   </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Os demais setores produtivos se enquadram no segundo grupo, ou seja, com estrutura de substituição entre compostos energéticos. Neste caso, as firmas escolhem a composição de insumos energéticos dentre os seguintes três compostos: composto renovável, auto geração de energia elétrica e composto não renovável. O composto renovável é definido pela escolha de uma composição de insumos energéticos renováveis, assim como o composto não renovável baseia-se na composição de insumos não renováveis. Outro diferencial desta especificação é a possibilidade de substituição entre auto geração de energia hidroelétrica e energia térmica (MAGALHÃES, 2013).</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No modelo </w:t>
      </w:r>
      <w:proofErr w:type="spellStart"/>
      <w:r w:rsidRPr="00DB5965">
        <w:rPr>
          <w:rFonts w:ascii="Times New Roman" w:hAnsi="Times New Roman" w:cs="Times New Roman"/>
          <w:sz w:val="24"/>
          <w:szCs w:val="24"/>
        </w:rPr>
        <w:t>BeGreen</w:t>
      </w:r>
      <w:proofErr w:type="spellEnd"/>
      <w:r w:rsidRPr="00DB5965">
        <w:rPr>
          <w:rFonts w:ascii="Times New Roman" w:hAnsi="Times New Roman" w:cs="Times New Roman"/>
          <w:sz w:val="24"/>
          <w:szCs w:val="24"/>
        </w:rPr>
        <w:t xml:space="preserve"> existem 10 famílias representativas que consomem bens domésticos e importados. Tais famílias estão desagregadas de acordo com </w:t>
      </w:r>
      <w:proofErr w:type="spellStart"/>
      <w:r w:rsidRPr="00DB5965">
        <w:rPr>
          <w:rFonts w:ascii="Times New Roman" w:hAnsi="Times New Roman" w:cs="Times New Roman"/>
          <w:sz w:val="24"/>
          <w:szCs w:val="24"/>
        </w:rPr>
        <w:t>decis</w:t>
      </w:r>
      <w:proofErr w:type="spellEnd"/>
      <w:r w:rsidRPr="00DB5965">
        <w:rPr>
          <w:rFonts w:ascii="Times New Roman" w:hAnsi="Times New Roman" w:cs="Times New Roman"/>
          <w:sz w:val="24"/>
          <w:szCs w:val="24"/>
        </w:rPr>
        <w:t xml:space="preserve"> de renda obtidos a partir dos dados da Pesquisa de Orçamento Familiar (POF), referente a 2002/2003. A especificação da demanda das famílias é baseada num sistema combinado de preferências CES/Klein-Rubin, com as equações de demanda derivadas a partir de um problema de maximização de utilidade. Essa especificação dá origem ao sistema linear de gastos (LES), no qual a participação do gasto acima do nível de subsistência, para cada bem, representa uma proporção constante do gasto total de subsistência de cada família. Já a substituição entre bens domésticos e importados é feita com base numa função CES (MAGALHÃES, 2013). </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Em relação à demanda por investimento e estoque de capital, tem-se que os “investidores” escolhem os insumos utilizados no processo de criação de capital através de um processo de minimização de custos, sujeito a uma estrutura de tecnologia hierarquizada. No primeiro nível, o bem de capital é produzido por insumos domésticos e importados, cuja combinação é especificada por uma função CES. Em seguida, um agregado do conjunto dos insumos intermediários compostos é formado pela combinação em proporções fixas (função Leontief), o que define o nível de produção do capital do setor. Vale destacar que nenhum fator primário é utilizado diretamente como insumo na formação de capital.</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O mercado de trabalho no </w:t>
      </w:r>
      <w:proofErr w:type="spellStart"/>
      <w:r w:rsidRPr="00DB5965">
        <w:rPr>
          <w:rFonts w:ascii="Times New Roman" w:hAnsi="Times New Roman" w:cs="Times New Roman"/>
          <w:sz w:val="24"/>
          <w:szCs w:val="24"/>
        </w:rPr>
        <w:t>BeGreen</w:t>
      </w:r>
      <w:proofErr w:type="spellEnd"/>
      <w:r w:rsidRPr="00DB5965">
        <w:rPr>
          <w:rFonts w:ascii="Times New Roman" w:hAnsi="Times New Roman" w:cs="Times New Roman"/>
          <w:sz w:val="24"/>
          <w:szCs w:val="24"/>
        </w:rPr>
        <w:t xml:space="preserve"> apresenta um elemento de ajuste intertemporal, envolvendo as seguintes três variáveis: salário real, emprego atual e emprego tendencial. Dado que existe uma relação negativa entre emprego e salário real, o nível de emprego é ajustado até convergir para o nível tendencial. Com isso, enquanto o emprego estiver acima (abaixo) do nível tendencial, o desvio do salário real aumentará (reduzirá). </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Todos os bens no modelo </w:t>
      </w:r>
      <w:proofErr w:type="spellStart"/>
      <w:r w:rsidRPr="00DB5965">
        <w:rPr>
          <w:rFonts w:ascii="Times New Roman" w:hAnsi="Times New Roman" w:cs="Times New Roman"/>
          <w:sz w:val="24"/>
          <w:szCs w:val="24"/>
        </w:rPr>
        <w:t>BeGreen</w:t>
      </w:r>
      <w:proofErr w:type="spellEnd"/>
      <w:r w:rsidRPr="00DB5965">
        <w:rPr>
          <w:rFonts w:ascii="Times New Roman" w:hAnsi="Times New Roman" w:cs="Times New Roman"/>
          <w:sz w:val="24"/>
          <w:szCs w:val="24"/>
        </w:rPr>
        <w:t xml:space="preserve"> são definidos com curvas de demanda negativamente inclinadas aos próprios preços no mercado mundial, em que se opera com equações de equilíbrio de mercado para todos os bens consumidos localmente, tanto domésticos como importados. Existem também equações de equilíbrio no mercado de fatores (capital e trabalho).  Um vetor de elasticidades define a resposta da demanda externa a alterações no preço </w:t>
      </w:r>
      <w:proofErr w:type="spellStart"/>
      <w:r w:rsidRPr="00DB5965">
        <w:rPr>
          <w:rFonts w:ascii="Times New Roman" w:hAnsi="Times New Roman" w:cs="Times New Roman"/>
          <w:i/>
          <w:iCs/>
          <w:sz w:val="24"/>
          <w:szCs w:val="24"/>
        </w:rPr>
        <w:t>Free</w:t>
      </w:r>
      <w:proofErr w:type="spellEnd"/>
      <w:r w:rsidRPr="00DB5965">
        <w:rPr>
          <w:rFonts w:ascii="Times New Roman" w:hAnsi="Times New Roman" w:cs="Times New Roman"/>
          <w:i/>
          <w:iCs/>
          <w:sz w:val="24"/>
          <w:szCs w:val="24"/>
        </w:rPr>
        <w:t xml:space="preserve"> On </w:t>
      </w:r>
      <w:proofErr w:type="spellStart"/>
      <w:r w:rsidRPr="00DB5965">
        <w:rPr>
          <w:rFonts w:ascii="Times New Roman" w:hAnsi="Times New Roman" w:cs="Times New Roman"/>
          <w:i/>
          <w:iCs/>
          <w:sz w:val="24"/>
          <w:szCs w:val="24"/>
        </w:rPr>
        <w:t>Board</w:t>
      </w:r>
      <w:proofErr w:type="spellEnd"/>
      <w:r w:rsidRPr="00DB5965">
        <w:rPr>
          <w:rFonts w:ascii="Times New Roman" w:hAnsi="Times New Roman" w:cs="Times New Roman"/>
          <w:sz w:val="24"/>
          <w:szCs w:val="24"/>
        </w:rPr>
        <w:t xml:space="preserve"> (F.O.B.) das exportações. Já o consumo do governo é determinado </w:t>
      </w:r>
      <w:proofErr w:type="spellStart"/>
      <w:r w:rsidRPr="00DB5965">
        <w:rPr>
          <w:rFonts w:ascii="Times New Roman" w:hAnsi="Times New Roman" w:cs="Times New Roman"/>
          <w:sz w:val="24"/>
          <w:szCs w:val="24"/>
        </w:rPr>
        <w:t>exogenamente</w:t>
      </w:r>
      <w:proofErr w:type="spellEnd"/>
      <w:r w:rsidRPr="00DB5965">
        <w:rPr>
          <w:rFonts w:ascii="Times New Roman" w:hAnsi="Times New Roman" w:cs="Times New Roman"/>
          <w:sz w:val="24"/>
          <w:szCs w:val="24"/>
        </w:rPr>
        <w:t xml:space="preserve">, não sendo este agente modelado como </w:t>
      </w:r>
      <w:proofErr w:type="spellStart"/>
      <w:r w:rsidRPr="00DB5965">
        <w:rPr>
          <w:rFonts w:ascii="Times New Roman" w:hAnsi="Times New Roman" w:cs="Times New Roman"/>
          <w:sz w:val="24"/>
          <w:szCs w:val="24"/>
        </w:rPr>
        <w:t>otimizador</w:t>
      </w:r>
      <w:proofErr w:type="spellEnd"/>
      <w:r w:rsidRPr="00DB5965">
        <w:rPr>
          <w:rFonts w:ascii="Times New Roman" w:hAnsi="Times New Roman" w:cs="Times New Roman"/>
          <w:sz w:val="24"/>
          <w:szCs w:val="24"/>
        </w:rPr>
        <w:t xml:space="preserve"> (MAGALHÃES, 2013). </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A demanda por variação de estoques está conectada ao nível de produção do bem. Dessa forma, o volume de estoques, doméstico ou importado, de cada bem, varia de acordo com a produção doméstica desse bem. As demandas por margens (transporte e comércio), por sua vez, são proporcionais aos fluxos de bens aos quais as mesmas estão associadas. </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A estrutura dinâmica recursiva do </w:t>
      </w:r>
      <w:proofErr w:type="spellStart"/>
      <w:r w:rsidRPr="00DB5965">
        <w:rPr>
          <w:rFonts w:ascii="Times New Roman" w:hAnsi="Times New Roman" w:cs="Times New Roman"/>
          <w:sz w:val="24"/>
          <w:szCs w:val="24"/>
        </w:rPr>
        <w:t>BeGreen</w:t>
      </w:r>
      <w:proofErr w:type="spellEnd"/>
      <w:r w:rsidRPr="00DB5965">
        <w:rPr>
          <w:rFonts w:ascii="Times New Roman" w:hAnsi="Times New Roman" w:cs="Times New Roman"/>
          <w:sz w:val="24"/>
          <w:szCs w:val="24"/>
        </w:rPr>
        <w:t xml:space="preserve"> tem sua especificação baseada na modelagem do comportamento intertemporal e em resultados de períodos anteriores (</w:t>
      </w:r>
      <w:proofErr w:type="spellStart"/>
      <w:r w:rsidRPr="00DB5965">
        <w:rPr>
          <w:rFonts w:ascii="Times New Roman" w:hAnsi="Times New Roman" w:cs="Times New Roman"/>
          <w:i/>
          <w:iCs/>
          <w:sz w:val="24"/>
          <w:szCs w:val="24"/>
        </w:rPr>
        <w:t>backward</w:t>
      </w:r>
      <w:proofErr w:type="spellEnd"/>
      <w:r w:rsidRPr="00DB5965">
        <w:rPr>
          <w:rFonts w:ascii="Times New Roman" w:hAnsi="Times New Roman" w:cs="Times New Roman"/>
          <w:i/>
          <w:iCs/>
          <w:sz w:val="24"/>
          <w:szCs w:val="24"/>
        </w:rPr>
        <w:t xml:space="preserve"> </w:t>
      </w:r>
      <w:proofErr w:type="spellStart"/>
      <w:r w:rsidRPr="00DB5965">
        <w:rPr>
          <w:rFonts w:ascii="Times New Roman" w:hAnsi="Times New Roman" w:cs="Times New Roman"/>
          <w:i/>
          <w:iCs/>
          <w:sz w:val="24"/>
          <w:szCs w:val="24"/>
        </w:rPr>
        <w:t>looking</w:t>
      </w:r>
      <w:proofErr w:type="spellEnd"/>
      <w:r w:rsidRPr="00DB5965">
        <w:rPr>
          <w:rFonts w:ascii="Times New Roman" w:hAnsi="Times New Roman" w:cs="Times New Roman"/>
          <w:sz w:val="24"/>
          <w:szCs w:val="24"/>
        </w:rPr>
        <w:t xml:space="preserve">). As condições econômicas correntes são endogenamente dependentes dos </w:t>
      </w:r>
      <w:r w:rsidRPr="00DB5965">
        <w:rPr>
          <w:rFonts w:ascii="Times New Roman" w:hAnsi="Times New Roman" w:cs="Times New Roman"/>
          <w:sz w:val="24"/>
          <w:szCs w:val="24"/>
        </w:rPr>
        <w:lastRenderedPageBreak/>
        <w:t>períodos posteriores, mas permanecem não afetadas por expectativas de períodos futuros (</w:t>
      </w:r>
      <w:proofErr w:type="spellStart"/>
      <w:r w:rsidRPr="00DB5965">
        <w:rPr>
          <w:rFonts w:ascii="Times New Roman" w:hAnsi="Times New Roman" w:cs="Times New Roman"/>
          <w:i/>
          <w:iCs/>
          <w:sz w:val="24"/>
          <w:szCs w:val="24"/>
        </w:rPr>
        <w:t>forward-looking</w:t>
      </w:r>
      <w:proofErr w:type="spellEnd"/>
      <w:r w:rsidRPr="00DB5965">
        <w:rPr>
          <w:rFonts w:ascii="Times New Roman" w:hAnsi="Times New Roman" w:cs="Times New Roman"/>
          <w:sz w:val="24"/>
          <w:szCs w:val="24"/>
        </w:rPr>
        <w:t xml:space="preserve">). </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Por fim, o módulo ambiental acoplado ao </w:t>
      </w:r>
      <w:proofErr w:type="spellStart"/>
      <w:r w:rsidRPr="00DB5965">
        <w:rPr>
          <w:rFonts w:ascii="Times New Roman" w:hAnsi="Times New Roman" w:cs="Times New Roman"/>
          <w:sz w:val="24"/>
          <w:szCs w:val="24"/>
        </w:rPr>
        <w:t>BeGreen</w:t>
      </w:r>
      <w:proofErr w:type="spellEnd"/>
      <w:r w:rsidRPr="00DB5965">
        <w:rPr>
          <w:rFonts w:ascii="Times New Roman" w:hAnsi="Times New Roman" w:cs="Times New Roman"/>
          <w:sz w:val="24"/>
          <w:szCs w:val="24"/>
        </w:rPr>
        <w:t xml:space="preserve"> foi inspirado no modelo </w:t>
      </w:r>
      <w:proofErr w:type="spellStart"/>
      <w:r w:rsidRPr="00DB5965">
        <w:rPr>
          <w:rFonts w:ascii="Times New Roman" w:hAnsi="Times New Roman" w:cs="Times New Roman"/>
          <w:i/>
          <w:iCs/>
          <w:sz w:val="24"/>
          <w:szCs w:val="24"/>
        </w:rPr>
        <w:t>Monash</w:t>
      </w:r>
      <w:proofErr w:type="spellEnd"/>
      <w:r w:rsidRPr="00DB5965">
        <w:rPr>
          <w:rFonts w:ascii="Times New Roman" w:hAnsi="Times New Roman" w:cs="Times New Roman"/>
          <w:i/>
          <w:iCs/>
          <w:sz w:val="24"/>
          <w:szCs w:val="24"/>
        </w:rPr>
        <w:t xml:space="preserve"> </w:t>
      </w:r>
      <w:proofErr w:type="spellStart"/>
      <w:r w:rsidRPr="00DB5965">
        <w:rPr>
          <w:rFonts w:ascii="Times New Roman" w:hAnsi="Times New Roman" w:cs="Times New Roman"/>
          <w:i/>
          <w:iCs/>
          <w:sz w:val="24"/>
          <w:szCs w:val="24"/>
        </w:rPr>
        <w:t>Multi-Regional</w:t>
      </w:r>
      <w:proofErr w:type="spellEnd"/>
      <w:r w:rsidRPr="00DB5965">
        <w:rPr>
          <w:rFonts w:ascii="Times New Roman" w:hAnsi="Times New Roman" w:cs="Times New Roman"/>
          <w:i/>
          <w:iCs/>
          <w:sz w:val="24"/>
          <w:szCs w:val="24"/>
        </w:rPr>
        <w:t xml:space="preserve"> </w:t>
      </w:r>
      <w:proofErr w:type="spellStart"/>
      <w:r w:rsidRPr="00DB5965">
        <w:rPr>
          <w:rFonts w:ascii="Times New Roman" w:hAnsi="Times New Roman" w:cs="Times New Roman"/>
          <w:i/>
          <w:iCs/>
          <w:sz w:val="24"/>
          <w:szCs w:val="24"/>
        </w:rPr>
        <w:t>Forecasting</w:t>
      </w:r>
      <w:proofErr w:type="spellEnd"/>
      <w:r w:rsidRPr="00DB5965">
        <w:rPr>
          <w:rFonts w:ascii="Times New Roman" w:hAnsi="Times New Roman" w:cs="Times New Roman"/>
          <w:i/>
          <w:iCs/>
          <w:sz w:val="24"/>
          <w:szCs w:val="24"/>
        </w:rPr>
        <w:t>-Green</w:t>
      </w:r>
      <w:r w:rsidRPr="00DB5965">
        <w:rPr>
          <w:rFonts w:ascii="Times New Roman" w:hAnsi="Times New Roman" w:cs="Times New Roman"/>
          <w:sz w:val="24"/>
          <w:szCs w:val="24"/>
        </w:rPr>
        <w:t xml:space="preserve"> (MMRF-Green), discutido em detalhes por Adams, </w:t>
      </w:r>
      <w:proofErr w:type="spellStart"/>
      <w:r w:rsidRPr="00DB5965">
        <w:rPr>
          <w:rFonts w:ascii="Times New Roman" w:hAnsi="Times New Roman" w:cs="Times New Roman"/>
          <w:sz w:val="24"/>
          <w:szCs w:val="24"/>
        </w:rPr>
        <w:t>Horridge</w:t>
      </w:r>
      <w:proofErr w:type="spellEnd"/>
      <w:r w:rsidRPr="00DB5965">
        <w:rPr>
          <w:rFonts w:ascii="Times New Roman" w:hAnsi="Times New Roman" w:cs="Times New Roman"/>
          <w:sz w:val="24"/>
          <w:szCs w:val="24"/>
        </w:rPr>
        <w:t xml:space="preserve"> e </w:t>
      </w:r>
      <w:proofErr w:type="spellStart"/>
      <w:r w:rsidRPr="00DB5965">
        <w:rPr>
          <w:rFonts w:ascii="Times New Roman" w:hAnsi="Times New Roman" w:cs="Times New Roman"/>
          <w:sz w:val="24"/>
          <w:szCs w:val="24"/>
        </w:rPr>
        <w:t>Parmenter</w:t>
      </w:r>
      <w:proofErr w:type="spellEnd"/>
      <w:r w:rsidRPr="00DB5965">
        <w:rPr>
          <w:rFonts w:ascii="Times New Roman" w:hAnsi="Times New Roman" w:cs="Times New Roman"/>
          <w:sz w:val="24"/>
          <w:szCs w:val="24"/>
        </w:rPr>
        <w:t xml:space="preserve"> (2000). Sua incorporação permite tratar as emissões de forma detalhada, separando-as por agente emissor (combustíveis, indústrias e famílias), e atividade emissora. As emissões no modelo estão associadas ao uso de combustíveis, sendo 12 combustíveis no total, ou ao nível de atividade do setor. A emissão proveniente do uso de combustíveis é modelada como diretamente proporcional a seu uso, assim como as emissões de atividade em relação ao produto das indústrias relacionadas (MAGALHÃES e DOMINGUES, 2014).</w:t>
      </w:r>
    </w:p>
    <w:p w:rsidR="0094311E" w:rsidRPr="00DB5965" w:rsidRDefault="0094311E" w:rsidP="00E94313">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O modelo calcula endogenamente o preço do carbono, ou custo de redução de emissões, pela imposição de metas de emissões de GEE. Esse módulo é responsável pela transformação destes preços ou impostos físicos da taxação de carbono em alíquotas </w:t>
      </w:r>
      <w:proofErr w:type="spellStart"/>
      <w:r w:rsidRPr="00DB5965">
        <w:rPr>
          <w:rFonts w:ascii="Times New Roman" w:hAnsi="Times New Roman" w:cs="Times New Roman"/>
          <w:i/>
          <w:iCs/>
          <w:sz w:val="24"/>
          <w:szCs w:val="24"/>
        </w:rPr>
        <w:t>ad-valorem</w:t>
      </w:r>
      <w:proofErr w:type="spellEnd"/>
      <w:r w:rsidRPr="00DB5965">
        <w:rPr>
          <w:rFonts w:ascii="Times New Roman" w:hAnsi="Times New Roman" w:cs="Times New Roman"/>
          <w:sz w:val="24"/>
          <w:szCs w:val="24"/>
        </w:rPr>
        <w:t>, que alimentam o núcleo do modelo. A partir dos resultados de determinadas variáveis (uso de combustível pelos setores, nível de atividade e consumo das famílias), o módulo ambiental calcula as variações nas emissões.</w:t>
      </w:r>
    </w:p>
    <w:p w:rsidR="0094311E" w:rsidRPr="00DB5965" w:rsidRDefault="0094311E" w:rsidP="006806D7">
      <w:pPr>
        <w:spacing w:after="0" w:line="240" w:lineRule="auto"/>
        <w:contextualSpacing/>
        <w:jc w:val="both"/>
        <w:rPr>
          <w:rFonts w:ascii="Times New Roman" w:hAnsi="Times New Roman" w:cs="Times New Roman"/>
          <w:sz w:val="24"/>
          <w:szCs w:val="24"/>
        </w:rPr>
      </w:pPr>
    </w:p>
    <w:p w:rsidR="0094311E" w:rsidRPr="00DB5965" w:rsidRDefault="0094311E" w:rsidP="006806D7">
      <w:pPr>
        <w:spacing w:after="0" w:line="240" w:lineRule="auto"/>
        <w:contextualSpacing/>
        <w:jc w:val="both"/>
        <w:rPr>
          <w:rFonts w:ascii="Times New Roman" w:hAnsi="Times New Roman" w:cs="Times New Roman"/>
          <w:b/>
          <w:bCs/>
          <w:sz w:val="24"/>
          <w:szCs w:val="24"/>
        </w:rPr>
      </w:pPr>
      <w:r w:rsidRPr="00DB5965">
        <w:rPr>
          <w:rFonts w:ascii="Times New Roman" w:hAnsi="Times New Roman" w:cs="Times New Roman"/>
          <w:b/>
          <w:bCs/>
          <w:sz w:val="24"/>
          <w:szCs w:val="24"/>
        </w:rPr>
        <w:t>3.2 Base de dados</w:t>
      </w:r>
    </w:p>
    <w:p w:rsidR="0094311E" w:rsidRPr="00DB5965" w:rsidRDefault="0094311E" w:rsidP="006806D7">
      <w:pPr>
        <w:spacing w:after="0" w:line="240" w:lineRule="auto"/>
        <w:contextualSpacing/>
        <w:jc w:val="both"/>
        <w:rPr>
          <w:rFonts w:ascii="Times New Roman" w:hAnsi="Times New Roman" w:cs="Times New Roman"/>
          <w:b/>
          <w:bCs/>
          <w:sz w:val="24"/>
          <w:szCs w:val="24"/>
        </w:rPr>
      </w:pPr>
    </w:p>
    <w:p w:rsidR="0094311E" w:rsidRDefault="0094311E" w:rsidP="00E21016">
      <w:pPr>
        <w:spacing w:after="0" w:line="240" w:lineRule="auto"/>
        <w:contextualSpacing/>
        <w:jc w:val="both"/>
        <w:rPr>
          <w:rFonts w:ascii="Times New Roman" w:hAnsi="Times New Roman" w:cs="Times New Roman"/>
          <w:b/>
          <w:bCs/>
          <w:sz w:val="24"/>
          <w:szCs w:val="24"/>
        </w:rPr>
      </w:pPr>
      <w:r w:rsidRPr="00DB5965">
        <w:rPr>
          <w:rFonts w:ascii="Times New Roman" w:hAnsi="Times New Roman" w:cs="Times New Roman"/>
          <w:b/>
          <w:bCs/>
          <w:sz w:val="24"/>
          <w:szCs w:val="24"/>
        </w:rPr>
        <w:t>3.2.1 Base de dados energética</w:t>
      </w:r>
    </w:p>
    <w:p w:rsidR="00E21016" w:rsidRPr="00DB5965" w:rsidRDefault="00E21016" w:rsidP="00E21016">
      <w:pPr>
        <w:spacing w:after="0" w:line="240" w:lineRule="auto"/>
        <w:contextualSpacing/>
        <w:jc w:val="both"/>
        <w:rPr>
          <w:rFonts w:ascii="Times New Roman" w:hAnsi="Times New Roman" w:cs="Times New Roman"/>
          <w:b/>
          <w:bCs/>
          <w:sz w:val="24"/>
          <w:szCs w:val="24"/>
        </w:rPr>
      </w:pPr>
    </w:p>
    <w:p w:rsidR="0094311E" w:rsidRPr="00DB5965" w:rsidRDefault="0094311E" w:rsidP="006806D7">
      <w:pPr>
        <w:spacing w:after="0" w:line="240" w:lineRule="auto"/>
        <w:contextualSpacing/>
        <w:jc w:val="both"/>
        <w:rPr>
          <w:rFonts w:ascii="Times New Roman" w:hAnsi="Times New Roman" w:cs="Times New Roman"/>
          <w:sz w:val="24"/>
          <w:szCs w:val="24"/>
        </w:rPr>
      </w:pPr>
      <w:r w:rsidRPr="00DB5965">
        <w:rPr>
          <w:rFonts w:ascii="Times New Roman" w:hAnsi="Times New Roman" w:cs="Times New Roman"/>
          <w:sz w:val="24"/>
          <w:szCs w:val="24"/>
        </w:rPr>
        <w:tab/>
        <w:t xml:space="preserve">O </w:t>
      </w:r>
      <w:proofErr w:type="spellStart"/>
      <w:r w:rsidRPr="00DB5965">
        <w:rPr>
          <w:rFonts w:ascii="Times New Roman" w:hAnsi="Times New Roman" w:cs="Times New Roman"/>
          <w:sz w:val="24"/>
          <w:szCs w:val="24"/>
        </w:rPr>
        <w:t>BeGreen</w:t>
      </w:r>
      <w:proofErr w:type="spellEnd"/>
      <w:r w:rsidRPr="00DB5965">
        <w:rPr>
          <w:rFonts w:ascii="Times New Roman" w:hAnsi="Times New Roman" w:cs="Times New Roman"/>
          <w:sz w:val="24"/>
          <w:szCs w:val="24"/>
        </w:rPr>
        <w:t xml:space="preserve"> contém uma detalhada especificação de setores, produtos e parâmetros relacionados à questão energética brasileira. Este modelo utiliza principalmente dados do Ministério de Minas e Energia (MME), de agências reguladoras do setor energético – especialmente a Agência Nacional do Petróleo, Gás Natural e Biocombustíveis (ANP) e a Agência Nacional de Energia Elétrica (ANEEL). Por vez, a principal fonte para a desagregação foi o Balanço Energético Nacional Consolidado para o ano de 2005.</w:t>
      </w:r>
    </w:p>
    <w:p w:rsidR="0094311E" w:rsidRPr="00DB5965" w:rsidRDefault="0094311E" w:rsidP="006806D7">
      <w:pPr>
        <w:spacing w:after="0" w:line="240" w:lineRule="auto"/>
        <w:contextualSpacing/>
        <w:jc w:val="both"/>
        <w:rPr>
          <w:rFonts w:ascii="Times New Roman" w:hAnsi="Times New Roman" w:cs="Times New Roman"/>
          <w:sz w:val="24"/>
          <w:szCs w:val="24"/>
        </w:rPr>
      </w:pPr>
      <w:r w:rsidRPr="00DB5965">
        <w:rPr>
          <w:rFonts w:ascii="Times New Roman" w:hAnsi="Times New Roman" w:cs="Times New Roman"/>
          <w:sz w:val="24"/>
          <w:szCs w:val="24"/>
        </w:rPr>
        <w:tab/>
        <w:t xml:space="preserve">Nos setores de Geração de eletricidade e Fabricação de aço e derivados utilizou-se estruturas de produção com vetores tecnológicos. Em que o padrão de insumo utilizado representa a média de uma determinada tecnologia dentro do setor, obtido a partir de publicações (EPE, 2010; ANEEL, 2005). Como esta especificação requer dados sobre as características dos insumos utilizados em cada tecnologia dentro do setor, a intensidade de dados torna-se sua principal limitação prática, impedindo que todos os setores do modelo utilizassem a mesma estrutura de produção. </w:t>
      </w:r>
    </w:p>
    <w:p w:rsidR="0094311E" w:rsidRPr="00DB5965" w:rsidRDefault="0094311E" w:rsidP="006806D7">
      <w:pPr>
        <w:spacing w:after="0" w:line="240" w:lineRule="auto"/>
        <w:contextualSpacing/>
        <w:jc w:val="both"/>
        <w:rPr>
          <w:rFonts w:ascii="Times New Roman" w:hAnsi="Times New Roman" w:cs="Times New Roman"/>
          <w:b/>
          <w:bCs/>
          <w:sz w:val="24"/>
          <w:szCs w:val="24"/>
        </w:rPr>
      </w:pPr>
    </w:p>
    <w:p w:rsidR="0094311E" w:rsidRDefault="0094311E" w:rsidP="00E21016">
      <w:pPr>
        <w:spacing w:after="0" w:line="240" w:lineRule="auto"/>
        <w:contextualSpacing/>
        <w:jc w:val="both"/>
        <w:rPr>
          <w:rFonts w:ascii="Times New Roman" w:hAnsi="Times New Roman" w:cs="Times New Roman"/>
          <w:b/>
          <w:bCs/>
          <w:sz w:val="24"/>
          <w:szCs w:val="24"/>
        </w:rPr>
      </w:pPr>
      <w:r w:rsidRPr="00DB5965">
        <w:rPr>
          <w:rFonts w:ascii="Times New Roman" w:hAnsi="Times New Roman" w:cs="Times New Roman"/>
          <w:b/>
          <w:bCs/>
          <w:sz w:val="24"/>
          <w:szCs w:val="24"/>
        </w:rPr>
        <w:t>3.2.2 Base de dados ambiental</w:t>
      </w:r>
    </w:p>
    <w:p w:rsidR="00E21016" w:rsidRPr="00DB5965" w:rsidRDefault="00E21016" w:rsidP="00E21016">
      <w:pPr>
        <w:spacing w:after="0" w:line="240" w:lineRule="auto"/>
        <w:contextualSpacing/>
        <w:jc w:val="both"/>
        <w:rPr>
          <w:rFonts w:ascii="Times New Roman" w:hAnsi="Times New Roman" w:cs="Times New Roman"/>
          <w:b/>
          <w:bCs/>
          <w:sz w:val="24"/>
          <w:szCs w:val="24"/>
        </w:rPr>
      </w:pPr>
    </w:p>
    <w:p w:rsidR="0094311E" w:rsidRPr="00DB5965" w:rsidRDefault="0094311E" w:rsidP="006806D7">
      <w:pPr>
        <w:spacing w:after="0" w:line="240" w:lineRule="auto"/>
        <w:contextualSpacing/>
        <w:jc w:val="both"/>
        <w:rPr>
          <w:rFonts w:ascii="Times New Roman" w:hAnsi="Times New Roman" w:cs="Times New Roman"/>
          <w:sz w:val="24"/>
          <w:szCs w:val="24"/>
        </w:rPr>
      </w:pPr>
      <w:r w:rsidRPr="00DB5965">
        <w:rPr>
          <w:rFonts w:ascii="Times New Roman" w:hAnsi="Times New Roman" w:cs="Times New Roman"/>
          <w:sz w:val="24"/>
          <w:szCs w:val="24"/>
        </w:rPr>
        <w:tab/>
        <w:t xml:space="preserve">As emissões derivadas de combustíveis foram obtidas do Balanço Energético Nacional 2005, a partir de um aplicativo desenvolvido pelo grupo de pesquisa Economia &amp; Energia. Estas emissões foram alocadas para cada setor de uso de acordo com a utilização do combustível. Ademais, os combustíveis associados às emissões foram: Petróleo, Gás natural, Carvão metalúrgico, Carvão Mineral, Lenha, Carvão vegetal, Bagaço de cana, GLP (Gás Liquefeito de Petróleo), Gasolina, Álcool, Óleo Combustível, Óleo Diesel, Querosene, Coque e Outros Produtos do Refino.  </w:t>
      </w:r>
    </w:p>
    <w:p w:rsidR="00463063" w:rsidRDefault="0094311E" w:rsidP="00E21016">
      <w:pPr>
        <w:spacing w:after="0" w:line="240" w:lineRule="auto"/>
        <w:contextualSpacing/>
        <w:jc w:val="both"/>
        <w:rPr>
          <w:rFonts w:ascii="Times New Roman" w:hAnsi="Times New Roman" w:cs="Times New Roman"/>
          <w:sz w:val="24"/>
          <w:szCs w:val="24"/>
        </w:rPr>
      </w:pPr>
      <w:r w:rsidRPr="00DB5965">
        <w:rPr>
          <w:rFonts w:ascii="Times New Roman" w:hAnsi="Times New Roman" w:cs="Times New Roman"/>
          <w:sz w:val="24"/>
          <w:szCs w:val="24"/>
        </w:rPr>
        <w:tab/>
        <w:t>Enquanto isso, as emissões associadas ao processo produtivo dos setores foram obtidas do Segundo Inventário Brasileiro de Emissões Antrópicas de Gases de Efeito Estufa (BRASIL, 2010). Vale destacar, ainda, que para transformar as emissões em uma unidade comum, CO</w:t>
      </w:r>
      <w:r w:rsidRPr="00DB5965">
        <w:rPr>
          <w:rFonts w:ascii="Times New Roman" w:hAnsi="Times New Roman" w:cs="Times New Roman"/>
          <w:sz w:val="24"/>
          <w:szCs w:val="24"/>
          <w:vertAlign w:val="subscript"/>
        </w:rPr>
        <w:t>2</w:t>
      </w:r>
      <w:r w:rsidRPr="00DB5965">
        <w:rPr>
          <w:rFonts w:ascii="Times New Roman" w:hAnsi="Times New Roman" w:cs="Times New Roman"/>
          <w:sz w:val="24"/>
          <w:szCs w:val="24"/>
        </w:rPr>
        <w:t xml:space="preserve"> equivalente (CO</w:t>
      </w:r>
      <w:r w:rsidRPr="00DB5965">
        <w:rPr>
          <w:rFonts w:ascii="Times New Roman" w:hAnsi="Times New Roman" w:cs="Times New Roman"/>
          <w:sz w:val="24"/>
          <w:szCs w:val="24"/>
          <w:vertAlign w:val="subscript"/>
        </w:rPr>
        <w:t>2</w:t>
      </w:r>
      <w:r w:rsidRPr="00DB5965">
        <w:rPr>
          <w:rFonts w:ascii="Times New Roman" w:hAnsi="Times New Roman" w:cs="Times New Roman"/>
          <w:sz w:val="24"/>
          <w:szCs w:val="24"/>
        </w:rPr>
        <w:t>-equivalente), foram utilizados coeficientes de emissões obtidos do Relatório Stern (STERN, 2007).</w:t>
      </w:r>
    </w:p>
    <w:p w:rsidR="0094311E" w:rsidRDefault="0094311E" w:rsidP="00E21016">
      <w:pPr>
        <w:spacing w:after="0" w:line="240" w:lineRule="auto"/>
        <w:contextualSpacing/>
        <w:jc w:val="both"/>
        <w:rPr>
          <w:rFonts w:ascii="Times New Roman" w:hAnsi="Times New Roman" w:cs="Times New Roman"/>
          <w:b/>
          <w:bCs/>
          <w:sz w:val="24"/>
          <w:szCs w:val="24"/>
        </w:rPr>
      </w:pPr>
      <w:r w:rsidRPr="00DB5965">
        <w:rPr>
          <w:rFonts w:ascii="Times New Roman" w:hAnsi="Times New Roman" w:cs="Times New Roman"/>
          <w:b/>
          <w:bCs/>
          <w:sz w:val="24"/>
          <w:szCs w:val="24"/>
        </w:rPr>
        <w:lastRenderedPageBreak/>
        <w:t>4. Emissões por setores</w:t>
      </w:r>
    </w:p>
    <w:p w:rsidR="00E21016" w:rsidRPr="00DB5965" w:rsidRDefault="00E21016" w:rsidP="00E21016">
      <w:pPr>
        <w:spacing w:after="0" w:line="240" w:lineRule="auto"/>
        <w:contextualSpacing/>
        <w:jc w:val="both"/>
        <w:rPr>
          <w:rFonts w:ascii="Times New Roman" w:hAnsi="Times New Roman" w:cs="Times New Roman"/>
          <w:b/>
          <w:bCs/>
          <w:sz w:val="24"/>
          <w:szCs w:val="24"/>
        </w:rPr>
      </w:pP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De acordo com a 2ª edição das Estimativas Anuais de Emissões de Gases de Efeito Estufa no Brasil (BRASIL, 2014), as emissões podem ser classificadas conforme sua origem em:</w:t>
      </w:r>
    </w:p>
    <w:p w:rsidR="0094311E" w:rsidRPr="00DB5965" w:rsidRDefault="0094311E" w:rsidP="006806D7">
      <w:pPr>
        <w:spacing w:after="0" w:line="240" w:lineRule="auto"/>
        <w:ind w:firstLine="708"/>
        <w:contextualSpacing/>
        <w:jc w:val="both"/>
        <w:rPr>
          <w:rFonts w:ascii="Times New Roman" w:hAnsi="Times New Roman" w:cs="Times New Roman"/>
          <w:sz w:val="16"/>
          <w:szCs w:val="16"/>
        </w:rPr>
      </w:pPr>
    </w:p>
    <w:p w:rsidR="0094311E" w:rsidRPr="00DB5965" w:rsidRDefault="0094311E" w:rsidP="006806D7">
      <w:pPr>
        <w:numPr>
          <w:ilvl w:val="0"/>
          <w:numId w:val="4"/>
        </w:numPr>
        <w:spacing w:after="0" w:line="240" w:lineRule="auto"/>
        <w:contextualSpacing/>
        <w:jc w:val="both"/>
        <w:rPr>
          <w:rFonts w:ascii="Times New Roman" w:hAnsi="Times New Roman" w:cs="Times New Roman"/>
          <w:sz w:val="24"/>
          <w:szCs w:val="24"/>
        </w:rPr>
      </w:pPr>
      <w:r w:rsidRPr="00DB5965">
        <w:rPr>
          <w:rFonts w:ascii="Times New Roman" w:hAnsi="Times New Roman" w:cs="Times New Roman"/>
          <w:sz w:val="24"/>
          <w:szCs w:val="24"/>
        </w:rPr>
        <w:t>Setor de energia, que compreende a produção, transformação e consumo de energia, incluindo emissões resultantes da queima de combustíveis e as resultantes de fugas na cadeia de produção, transformação, distribuição e consumo de energia;</w:t>
      </w:r>
    </w:p>
    <w:p w:rsidR="0094311E" w:rsidRPr="00DB5965" w:rsidRDefault="0094311E" w:rsidP="006806D7">
      <w:pPr>
        <w:spacing w:after="0" w:line="240" w:lineRule="auto"/>
        <w:ind w:left="720"/>
        <w:contextualSpacing/>
        <w:jc w:val="both"/>
        <w:rPr>
          <w:rFonts w:ascii="Times New Roman" w:hAnsi="Times New Roman" w:cs="Times New Roman"/>
          <w:sz w:val="16"/>
          <w:szCs w:val="16"/>
        </w:rPr>
      </w:pPr>
    </w:p>
    <w:p w:rsidR="0094311E" w:rsidRPr="00DB5965" w:rsidRDefault="0094311E" w:rsidP="006806D7">
      <w:pPr>
        <w:numPr>
          <w:ilvl w:val="0"/>
          <w:numId w:val="4"/>
        </w:numPr>
        <w:spacing w:after="0" w:line="240" w:lineRule="auto"/>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Processos industriais, cujas emissões são resultantes dos processos produtivos nas indústrias, exceto da queima de combustíveis. Dividem-se em produtos minerais, indústria química, indústria metalúrgica e produção e utilização de </w:t>
      </w:r>
      <w:proofErr w:type="spellStart"/>
      <w:r w:rsidRPr="00DB5965">
        <w:rPr>
          <w:rFonts w:ascii="Times New Roman" w:hAnsi="Times New Roman" w:cs="Times New Roman"/>
          <w:sz w:val="24"/>
          <w:szCs w:val="24"/>
        </w:rPr>
        <w:t>hidrofluorcarbonos</w:t>
      </w:r>
      <w:proofErr w:type="spellEnd"/>
      <w:r w:rsidRPr="00DB5965">
        <w:rPr>
          <w:rFonts w:ascii="Times New Roman" w:hAnsi="Times New Roman" w:cs="Times New Roman"/>
          <w:sz w:val="24"/>
          <w:szCs w:val="24"/>
        </w:rPr>
        <w:t xml:space="preserve"> (HFC) e </w:t>
      </w:r>
      <w:proofErr w:type="spellStart"/>
      <w:r w:rsidRPr="00DB5965">
        <w:rPr>
          <w:rFonts w:ascii="Times New Roman" w:hAnsi="Times New Roman" w:cs="Times New Roman"/>
          <w:sz w:val="24"/>
          <w:szCs w:val="24"/>
        </w:rPr>
        <w:t>hexafluoreto</w:t>
      </w:r>
      <w:proofErr w:type="spellEnd"/>
      <w:r w:rsidRPr="00DB5965">
        <w:rPr>
          <w:rFonts w:ascii="Times New Roman" w:hAnsi="Times New Roman" w:cs="Times New Roman"/>
          <w:sz w:val="24"/>
          <w:szCs w:val="24"/>
        </w:rPr>
        <w:t xml:space="preserve"> de enxofre (SF</w:t>
      </w:r>
      <w:r w:rsidRPr="00DB5965">
        <w:rPr>
          <w:rFonts w:ascii="Times New Roman" w:hAnsi="Times New Roman" w:cs="Times New Roman"/>
          <w:sz w:val="24"/>
          <w:szCs w:val="24"/>
          <w:vertAlign w:val="subscript"/>
        </w:rPr>
        <w:t>6</w:t>
      </w:r>
      <w:r w:rsidRPr="00DB5965">
        <w:rPr>
          <w:rFonts w:ascii="Times New Roman" w:hAnsi="Times New Roman" w:cs="Times New Roman"/>
          <w:sz w:val="24"/>
          <w:szCs w:val="24"/>
        </w:rPr>
        <w:t>);</w:t>
      </w:r>
    </w:p>
    <w:p w:rsidR="0094311E" w:rsidRPr="00DB5965" w:rsidRDefault="0094311E" w:rsidP="006806D7">
      <w:pPr>
        <w:tabs>
          <w:tab w:val="left" w:pos="1005"/>
        </w:tabs>
        <w:spacing w:after="0" w:line="240" w:lineRule="auto"/>
        <w:contextualSpacing/>
        <w:jc w:val="both"/>
        <w:rPr>
          <w:rFonts w:ascii="Times New Roman" w:hAnsi="Times New Roman" w:cs="Times New Roman"/>
          <w:sz w:val="16"/>
          <w:szCs w:val="16"/>
        </w:rPr>
      </w:pPr>
      <w:r w:rsidRPr="00DB5965">
        <w:rPr>
          <w:rFonts w:ascii="Times New Roman" w:hAnsi="Times New Roman" w:cs="Times New Roman"/>
          <w:sz w:val="16"/>
          <w:szCs w:val="16"/>
        </w:rPr>
        <w:tab/>
      </w:r>
    </w:p>
    <w:p w:rsidR="0094311E" w:rsidRPr="00DB5965" w:rsidRDefault="0094311E" w:rsidP="006806D7">
      <w:pPr>
        <w:numPr>
          <w:ilvl w:val="0"/>
          <w:numId w:val="4"/>
        </w:numPr>
        <w:spacing w:after="0" w:line="240" w:lineRule="auto"/>
        <w:contextualSpacing/>
        <w:jc w:val="both"/>
        <w:rPr>
          <w:rFonts w:ascii="Times New Roman" w:hAnsi="Times New Roman" w:cs="Times New Roman"/>
          <w:sz w:val="24"/>
          <w:szCs w:val="24"/>
        </w:rPr>
      </w:pPr>
      <w:r w:rsidRPr="00DB5965">
        <w:rPr>
          <w:rFonts w:ascii="Times New Roman" w:hAnsi="Times New Roman" w:cs="Times New Roman"/>
          <w:sz w:val="24"/>
          <w:szCs w:val="24"/>
        </w:rPr>
        <w:t>Agropecuária, com emissões provenientes da fermentação entérica do gado, do manejo de dejetos animais, do óxido nitroso (NO</w:t>
      </w:r>
      <w:r w:rsidRPr="00DB5965">
        <w:rPr>
          <w:rFonts w:ascii="Times New Roman" w:hAnsi="Times New Roman" w:cs="Times New Roman"/>
          <w:sz w:val="24"/>
          <w:szCs w:val="24"/>
          <w:vertAlign w:val="subscript"/>
        </w:rPr>
        <w:t>2</w:t>
      </w:r>
      <w:r w:rsidRPr="00DB5965">
        <w:rPr>
          <w:rFonts w:ascii="Times New Roman" w:hAnsi="Times New Roman" w:cs="Times New Roman"/>
          <w:sz w:val="24"/>
          <w:szCs w:val="24"/>
        </w:rPr>
        <w:t>) liberado em solos agrícolas, do cultivo de arroz em campos inundados e da queima de resíduos agrícolas;</w:t>
      </w:r>
    </w:p>
    <w:p w:rsidR="0094311E" w:rsidRPr="00DB5965" w:rsidRDefault="0094311E" w:rsidP="006806D7">
      <w:pPr>
        <w:spacing w:after="0" w:line="240" w:lineRule="auto"/>
        <w:ind w:firstLine="708"/>
        <w:contextualSpacing/>
        <w:jc w:val="both"/>
        <w:rPr>
          <w:rFonts w:ascii="Times New Roman" w:hAnsi="Times New Roman" w:cs="Times New Roman"/>
          <w:sz w:val="16"/>
          <w:szCs w:val="16"/>
        </w:rPr>
      </w:pPr>
    </w:p>
    <w:p w:rsidR="0094311E" w:rsidRPr="00DB5965" w:rsidRDefault="0094311E" w:rsidP="006806D7">
      <w:pPr>
        <w:numPr>
          <w:ilvl w:val="0"/>
          <w:numId w:val="4"/>
        </w:numPr>
        <w:spacing w:after="0" w:line="240" w:lineRule="auto"/>
        <w:contextualSpacing/>
        <w:jc w:val="both"/>
        <w:rPr>
          <w:rFonts w:ascii="Times New Roman" w:hAnsi="Times New Roman" w:cs="Times New Roman"/>
          <w:sz w:val="24"/>
          <w:szCs w:val="24"/>
        </w:rPr>
      </w:pPr>
      <w:r w:rsidRPr="00DB5965">
        <w:rPr>
          <w:rFonts w:ascii="Times New Roman" w:hAnsi="Times New Roman" w:cs="Times New Roman"/>
          <w:sz w:val="24"/>
          <w:szCs w:val="24"/>
        </w:rPr>
        <w:t>Mudança no uso da terra e florestas, em função das emissões e remoções resultantes das variações da quantidade de carbono contida na biomassa vegetal e no solo que ocorrem durante a transição entre os seus diversos usos: vegetação nativa, agricultura, pastagem, vegetação secundária, reflorestamento, área urbana, áreas alagadas e reservatórios, entre outros. As emissões de CO</w:t>
      </w:r>
      <w:r w:rsidRPr="00DB5965">
        <w:rPr>
          <w:rFonts w:ascii="Times New Roman" w:hAnsi="Times New Roman" w:cs="Times New Roman"/>
          <w:sz w:val="24"/>
          <w:szCs w:val="24"/>
          <w:vertAlign w:val="subscript"/>
        </w:rPr>
        <w:t>2</w:t>
      </w:r>
      <w:r w:rsidRPr="00DB5965">
        <w:rPr>
          <w:rFonts w:ascii="Times New Roman" w:hAnsi="Times New Roman" w:cs="Times New Roman"/>
          <w:sz w:val="24"/>
          <w:szCs w:val="24"/>
        </w:rPr>
        <w:t xml:space="preserve"> por aplicação de calcário em solos agrícolas também se enquadram nesse tipo de origem; e</w:t>
      </w:r>
    </w:p>
    <w:p w:rsidR="0094311E" w:rsidRPr="00DB5965" w:rsidRDefault="0094311E" w:rsidP="006806D7">
      <w:pPr>
        <w:spacing w:after="0" w:line="240" w:lineRule="auto"/>
        <w:ind w:firstLine="708"/>
        <w:contextualSpacing/>
        <w:jc w:val="both"/>
        <w:rPr>
          <w:rFonts w:ascii="Times New Roman" w:hAnsi="Times New Roman" w:cs="Times New Roman"/>
          <w:sz w:val="16"/>
          <w:szCs w:val="16"/>
        </w:rPr>
      </w:pPr>
    </w:p>
    <w:p w:rsidR="0094311E" w:rsidRPr="00DB5965" w:rsidRDefault="0094311E" w:rsidP="006806D7">
      <w:pPr>
        <w:numPr>
          <w:ilvl w:val="0"/>
          <w:numId w:val="4"/>
        </w:numPr>
        <w:spacing w:after="0" w:line="240" w:lineRule="auto"/>
        <w:contextualSpacing/>
        <w:jc w:val="both"/>
        <w:rPr>
          <w:rFonts w:ascii="Times New Roman" w:hAnsi="Times New Roman" w:cs="Times New Roman"/>
          <w:sz w:val="24"/>
          <w:szCs w:val="24"/>
        </w:rPr>
      </w:pPr>
      <w:r w:rsidRPr="00DB5965">
        <w:rPr>
          <w:rFonts w:ascii="Times New Roman" w:hAnsi="Times New Roman" w:cs="Times New Roman"/>
          <w:sz w:val="24"/>
          <w:szCs w:val="24"/>
        </w:rPr>
        <w:t>Setor de tratamento de resíduos, subdividido em disposição de resíduos sólidos e tratamento de esgoto doméstico, comercial e industrial, além da incineração de resíduos.</w:t>
      </w:r>
    </w:p>
    <w:p w:rsidR="0094311E" w:rsidRPr="00DB5965" w:rsidRDefault="0094311E" w:rsidP="006806D7">
      <w:pPr>
        <w:spacing w:after="0" w:line="240" w:lineRule="auto"/>
        <w:ind w:firstLine="708"/>
        <w:contextualSpacing/>
        <w:jc w:val="both"/>
        <w:rPr>
          <w:rFonts w:ascii="Times New Roman" w:hAnsi="Times New Roman" w:cs="Times New Roman"/>
          <w:sz w:val="24"/>
          <w:szCs w:val="24"/>
        </w:rPr>
      </w:pPr>
    </w:p>
    <w:p w:rsidR="0094311E" w:rsidRDefault="0094311E" w:rsidP="00C33824">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A participação de cada um dos cinco setores acima, juntamente com sua evolução entre 2005 e 2012, estão ilustradas na Tabela 1. A participação do setor “mudança no uso do solo e florestas” nas emissões totais apresentou forte queda no período, de 58% para 15%. Tal fato pode ser explicado principalmente pela queda das taxas de desmatamento na Amazônia Legal (BRASIL, 2014). Entretanto, todos os outros quatro setores apresentaram crescimento no mesmo período, com destaque para o setor energético, cujo aumento de 36% nas emissões sugere uma importância crescente do setor (juntamente com a agropecuária, com igual participação nas emissões totais em 2012) na formulação de políticas públicas para a mitigação de emissões de GEE. Apesar da centralidade do papel das políticas contra o desmatamento, há, portanto, uma necessidade cada vez maior de se adotar ações de controle mais efetivas sobre as emissões originadas pela estrutura produtiva propriamente dita, em que se observem a relevância do setor energético e da agropecuária.</w:t>
      </w:r>
    </w:p>
    <w:p w:rsidR="00463063" w:rsidRDefault="00463063" w:rsidP="00C33824">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Convém observar que as emissões totais em 2012 foram 41% menores em relação a 2005. Assim, a meta proposta pelo governo brasileiro na COP21 traz na verdade o desafio de se manter as emissões totais próximas ao nível de 2012: até 4% maiores em 2025 e 2% menores em 2030. Em um cenário de crescimento econômico, trata-se então de desacoplar a expansão dos setores de energia, agropecuária, processos industriais e tratamento de resíduos, da emissão de GEE, partindo-se da premissa de que a redução das emissões advindas das mudanças no uso do solo e florestas já observadas até 2012 não apresentem reversões significativas.</w:t>
      </w:r>
    </w:p>
    <w:p w:rsidR="0094311E" w:rsidRDefault="0094311E" w:rsidP="00C33824">
      <w:pPr>
        <w:spacing w:after="0" w:line="240" w:lineRule="auto"/>
        <w:ind w:firstLine="708"/>
        <w:contextualSpacing/>
        <w:jc w:val="both"/>
        <w:rPr>
          <w:rFonts w:ascii="Times New Roman" w:hAnsi="Times New Roman" w:cs="Times New Roman"/>
          <w:sz w:val="24"/>
          <w:szCs w:val="24"/>
        </w:rPr>
      </w:pPr>
    </w:p>
    <w:p w:rsidR="00463063" w:rsidRDefault="00463063" w:rsidP="00C33824">
      <w:pPr>
        <w:spacing w:after="0" w:line="240" w:lineRule="auto"/>
        <w:ind w:firstLine="708"/>
        <w:contextualSpacing/>
        <w:jc w:val="both"/>
        <w:rPr>
          <w:rFonts w:ascii="Times New Roman" w:hAnsi="Times New Roman" w:cs="Times New Roman"/>
          <w:b/>
          <w:bCs/>
          <w:sz w:val="24"/>
          <w:szCs w:val="24"/>
        </w:rPr>
      </w:pPr>
    </w:p>
    <w:p w:rsidR="0094311E" w:rsidRPr="00DB5965" w:rsidRDefault="0094311E" w:rsidP="00C33824">
      <w:pPr>
        <w:spacing w:after="0" w:line="240" w:lineRule="auto"/>
        <w:ind w:firstLine="708"/>
        <w:contextualSpacing/>
        <w:jc w:val="both"/>
        <w:rPr>
          <w:rFonts w:ascii="Times New Roman" w:hAnsi="Times New Roman" w:cs="Times New Roman"/>
          <w:b/>
          <w:bCs/>
          <w:sz w:val="24"/>
          <w:szCs w:val="24"/>
        </w:rPr>
      </w:pPr>
      <w:r w:rsidRPr="00DB5965">
        <w:rPr>
          <w:rFonts w:ascii="Times New Roman" w:hAnsi="Times New Roman" w:cs="Times New Roman"/>
          <w:b/>
          <w:bCs/>
          <w:sz w:val="24"/>
          <w:szCs w:val="24"/>
        </w:rPr>
        <w:lastRenderedPageBreak/>
        <w:t>Tabela 1 – Emissões por setores, participação e evolução no período 2005-2012</w:t>
      </w:r>
    </w:p>
    <w:tbl>
      <w:tblPr>
        <w:tblW w:w="8904" w:type="dxa"/>
        <w:jc w:val="center"/>
        <w:tblLook w:val="00A0" w:firstRow="1" w:lastRow="0" w:firstColumn="1" w:lastColumn="0" w:noHBand="0" w:noVBand="0"/>
      </w:tblPr>
      <w:tblGrid>
        <w:gridCol w:w="2430"/>
        <w:gridCol w:w="1164"/>
        <w:gridCol w:w="1414"/>
        <w:gridCol w:w="1269"/>
        <w:gridCol w:w="1414"/>
        <w:gridCol w:w="1213"/>
      </w:tblGrid>
      <w:tr w:rsidR="0094311E" w:rsidRPr="00DB5965" w:rsidTr="00DF0D82">
        <w:trPr>
          <w:trHeight w:val="303"/>
          <w:jc w:val="center"/>
        </w:trPr>
        <w:tc>
          <w:tcPr>
            <w:tcW w:w="2430" w:type="dxa"/>
            <w:vMerge w:val="restart"/>
            <w:tcBorders>
              <w:top w:val="single" w:sz="12" w:space="0" w:color="auto"/>
              <w:left w:val="single" w:sz="4" w:space="0" w:color="FFFFFF"/>
              <w:bottom w:val="single" w:sz="8" w:space="0" w:color="000000"/>
              <w:right w:val="single" w:sz="4" w:space="0" w:color="FFFFFF"/>
            </w:tcBorders>
            <w:noWrap/>
            <w:vAlign w:val="center"/>
          </w:tcPr>
          <w:p w:rsidR="0094311E" w:rsidRPr="00DB5965" w:rsidRDefault="0094311E" w:rsidP="006F0535">
            <w:pPr>
              <w:spacing w:after="0" w:line="240" w:lineRule="auto"/>
              <w:jc w:val="center"/>
              <w:rPr>
                <w:rFonts w:ascii="Times New Roman" w:hAnsi="Times New Roman" w:cs="Times New Roman"/>
                <w:b/>
                <w:bCs/>
                <w:color w:val="000000"/>
                <w:lang w:val="en-US"/>
              </w:rPr>
            </w:pPr>
            <w:proofErr w:type="spellStart"/>
            <w:r w:rsidRPr="00DB5965">
              <w:rPr>
                <w:rFonts w:ascii="Times New Roman" w:hAnsi="Times New Roman" w:cs="Times New Roman"/>
                <w:b/>
                <w:bCs/>
                <w:color w:val="000000"/>
                <w:lang w:val="en-US"/>
              </w:rPr>
              <w:t>Setores</w:t>
            </w:r>
            <w:proofErr w:type="spellEnd"/>
          </w:p>
          <w:p w:rsidR="0094311E" w:rsidRPr="00DB5965" w:rsidRDefault="0094311E" w:rsidP="006F0535">
            <w:pPr>
              <w:spacing w:after="0" w:line="240" w:lineRule="auto"/>
              <w:jc w:val="center"/>
              <w:rPr>
                <w:rFonts w:ascii="Times New Roman" w:hAnsi="Times New Roman" w:cs="Times New Roman"/>
                <w:b/>
                <w:bCs/>
                <w:color w:val="000000"/>
                <w:lang w:val="en-US"/>
              </w:rPr>
            </w:pPr>
          </w:p>
        </w:tc>
        <w:tc>
          <w:tcPr>
            <w:tcW w:w="2578" w:type="dxa"/>
            <w:gridSpan w:val="2"/>
            <w:tcBorders>
              <w:top w:val="single" w:sz="12" w:space="0" w:color="auto"/>
              <w:left w:val="single" w:sz="4" w:space="0" w:color="FFFFFF"/>
              <w:bottom w:val="nil"/>
              <w:right w:val="single" w:sz="36" w:space="0" w:color="FFFFFF"/>
            </w:tcBorders>
            <w:noWrap/>
            <w:vAlign w:val="center"/>
          </w:tcPr>
          <w:p w:rsidR="0094311E" w:rsidRPr="00DB5965" w:rsidRDefault="0094311E" w:rsidP="006F0535">
            <w:pPr>
              <w:spacing w:after="0" w:line="240" w:lineRule="auto"/>
              <w:jc w:val="center"/>
              <w:rPr>
                <w:rFonts w:ascii="Times New Roman" w:hAnsi="Times New Roman" w:cs="Times New Roman"/>
                <w:b/>
                <w:bCs/>
                <w:color w:val="000000"/>
                <w:lang w:val="en-US"/>
              </w:rPr>
            </w:pPr>
            <w:r w:rsidRPr="00DB5965">
              <w:rPr>
                <w:rFonts w:ascii="Times New Roman" w:hAnsi="Times New Roman" w:cs="Times New Roman"/>
                <w:b/>
                <w:bCs/>
                <w:color w:val="000000"/>
                <w:lang w:val="en-US"/>
              </w:rPr>
              <w:t>2005</w:t>
            </w:r>
          </w:p>
        </w:tc>
        <w:tc>
          <w:tcPr>
            <w:tcW w:w="2683" w:type="dxa"/>
            <w:gridSpan w:val="2"/>
            <w:tcBorders>
              <w:top w:val="single" w:sz="12" w:space="0" w:color="auto"/>
              <w:left w:val="single" w:sz="36" w:space="0" w:color="FFFFFF"/>
              <w:bottom w:val="single" w:sz="8" w:space="0" w:color="auto"/>
              <w:right w:val="single" w:sz="36" w:space="0" w:color="FFFFFF"/>
            </w:tcBorders>
            <w:noWrap/>
            <w:vAlign w:val="center"/>
          </w:tcPr>
          <w:p w:rsidR="0094311E" w:rsidRPr="00DB5965" w:rsidRDefault="0094311E" w:rsidP="006F0535">
            <w:pPr>
              <w:spacing w:after="0" w:line="240" w:lineRule="auto"/>
              <w:jc w:val="center"/>
              <w:rPr>
                <w:rFonts w:ascii="Times New Roman" w:hAnsi="Times New Roman" w:cs="Times New Roman"/>
                <w:b/>
                <w:bCs/>
                <w:color w:val="000000"/>
                <w:lang w:val="en-US"/>
              </w:rPr>
            </w:pPr>
            <w:r w:rsidRPr="00DB5965">
              <w:rPr>
                <w:rFonts w:ascii="Times New Roman" w:hAnsi="Times New Roman" w:cs="Times New Roman"/>
                <w:b/>
                <w:bCs/>
                <w:color w:val="000000"/>
                <w:lang w:val="en-US"/>
              </w:rPr>
              <w:t>2012</w:t>
            </w:r>
          </w:p>
        </w:tc>
        <w:tc>
          <w:tcPr>
            <w:tcW w:w="1213" w:type="dxa"/>
            <w:vMerge w:val="restart"/>
            <w:tcBorders>
              <w:top w:val="single" w:sz="12" w:space="0" w:color="auto"/>
              <w:left w:val="single" w:sz="36" w:space="0" w:color="FFFFFF"/>
              <w:bottom w:val="single" w:sz="8" w:space="0" w:color="000000"/>
              <w:right w:val="single" w:sz="4" w:space="0" w:color="FFFFFF"/>
            </w:tcBorders>
            <w:vAlign w:val="center"/>
          </w:tcPr>
          <w:p w:rsidR="0094311E" w:rsidRPr="00DB5965" w:rsidRDefault="0094311E" w:rsidP="006F0535">
            <w:pPr>
              <w:spacing w:after="0" w:line="240" w:lineRule="auto"/>
              <w:jc w:val="center"/>
              <w:rPr>
                <w:rFonts w:ascii="Times New Roman" w:hAnsi="Times New Roman" w:cs="Times New Roman"/>
                <w:b/>
                <w:bCs/>
                <w:color w:val="000000"/>
                <w:lang w:val="en-US"/>
              </w:rPr>
            </w:pPr>
            <w:proofErr w:type="spellStart"/>
            <w:r w:rsidRPr="00DB5965">
              <w:rPr>
                <w:rFonts w:ascii="Times New Roman" w:hAnsi="Times New Roman" w:cs="Times New Roman"/>
                <w:b/>
                <w:bCs/>
                <w:color w:val="000000"/>
                <w:lang w:val="en-US"/>
              </w:rPr>
              <w:t>Variação</w:t>
            </w:r>
            <w:proofErr w:type="spellEnd"/>
            <w:r w:rsidRPr="00DB5965">
              <w:rPr>
                <w:rFonts w:ascii="Times New Roman" w:hAnsi="Times New Roman" w:cs="Times New Roman"/>
                <w:b/>
                <w:bCs/>
                <w:color w:val="000000"/>
                <w:lang w:val="en-US"/>
              </w:rPr>
              <w:t xml:space="preserve"> 2005-2012</w:t>
            </w:r>
          </w:p>
        </w:tc>
      </w:tr>
      <w:tr w:rsidR="0094311E" w:rsidRPr="00DB5965" w:rsidTr="00DF0D82">
        <w:trPr>
          <w:trHeight w:val="361"/>
          <w:jc w:val="center"/>
        </w:trPr>
        <w:tc>
          <w:tcPr>
            <w:tcW w:w="2430" w:type="dxa"/>
            <w:vMerge/>
            <w:tcBorders>
              <w:top w:val="single" w:sz="8" w:space="0" w:color="auto"/>
              <w:left w:val="single" w:sz="4" w:space="0" w:color="FFFFFF"/>
              <w:bottom w:val="single" w:sz="8" w:space="0" w:color="000000"/>
              <w:right w:val="single" w:sz="4" w:space="0" w:color="FFFFFF"/>
            </w:tcBorders>
            <w:vAlign w:val="center"/>
          </w:tcPr>
          <w:p w:rsidR="0094311E" w:rsidRPr="00DB5965" w:rsidRDefault="0094311E" w:rsidP="006F0535">
            <w:pPr>
              <w:spacing w:after="0" w:line="240" w:lineRule="auto"/>
              <w:rPr>
                <w:rFonts w:ascii="Times New Roman" w:hAnsi="Times New Roman" w:cs="Times New Roman"/>
                <w:color w:val="000000"/>
                <w:lang w:val="en-US"/>
              </w:rPr>
            </w:pPr>
          </w:p>
        </w:tc>
        <w:tc>
          <w:tcPr>
            <w:tcW w:w="1164" w:type="dxa"/>
            <w:tcBorders>
              <w:top w:val="single" w:sz="8" w:space="0" w:color="auto"/>
              <w:left w:val="single" w:sz="4" w:space="0" w:color="FFFFFF"/>
              <w:bottom w:val="single" w:sz="8" w:space="0" w:color="auto"/>
              <w:right w:val="single" w:sz="4" w:space="0" w:color="FFFFFF"/>
            </w:tcBorders>
            <w:noWrap/>
            <w:vAlign w:val="center"/>
          </w:tcPr>
          <w:p w:rsidR="0094311E" w:rsidRPr="00DB5965" w:rsidRDefault="0094311E" w:rsidP="006F0535">
            <w:pPr>
              <w:spacing w:after="0" w:line="240" w:lineRule="auto"/>
              <w:jc w:val="center"/>
              <w:rPr>
                <w:rFonts w:ascii="Times New Roman" w:hAnsi="Times New Roman" w:cs="Times New Roman"/>
                <w:b/>
                <w:bCs/>
                <w:color w:val="000000"/>
                <w:lang w:val="en-US"/>
              </w:rPr>
            </w:pPr>
            <w:r w:rsidRPr="00DB5965">
              <w:rPr>
                <w:rFonts w:ascii="Times New Roman" w:hAnsi="Times New Roman" w:cs="Times New Roman"/>
                <w:b/>
                <w:bCs/>
                <w:color w:val="000000"/>
                <w:lang w:val="en-US"/>
              </w:rPr>
              <w:t>Gg de CO</w:t>
            </w:r>
            <w:r w:rsidRPr="00DB5965">
              <w:rPr>
                <w:rFonts w:ascii="Times New Roman" w:hAnsi="Times New Roman" w:cs="Times New Roman"/>
                <w:b/>
                <w:bCs/>
                <w:color w:val="000000"/>
                <w:vertAlign w:val="subscript"/>
                <w:lang w:val="en-US"/>
              </w:rPr>
              <w:t>2</w:t>
            </w:r>
            <w:r w:rsidRPr="00DB5965">
              <w:rPr>
                <w:rFonts w:ascii="Times New Roman" w:hAnsi="Times New Roman" w:cs="Times New Roman"/>
                <w:b/>
                <w:bCs/>
                <w:color w:val="000000"/>
                <w:lang w:val="en-US"/>
              </w:rPr>
              <w:t>-e</w:t>
            </w:r>
            <w:r w:rsidRPr="00DB5965">
              <w:rPr>
                <w:rFonts w:ascii="Times New Roman" w:hAnsi="Times New Roman" w:cs="Times New Roman"/>
                <w:b/>
                <w:bCs/>
                <w:color w:val="000000"/>
                <w:vertAlign w:val="superscript"/>
                <w:lang w:val="en-US"/>
              </w:rPr>
              <w:t>1</w:t>
            </w:r>
          </w:p>
        </w:tc>
        <w:tc>
          <w:tcPr>
            <w:tcW w:w="1413" w:type="dxa"/>
            <w:tcBorders>
              <w:top w:val="single" w:sz="8" w:space="0" w:color="auto"/>
              <w:left w:val="single" w:sz="4" w:space="0" w:color="FFFFFF"/>
              <w:bottom w:val="single" w:sz="8" w:space="0" w:color="auto"/>
              <w:right w:val="single" w:sz="36" w:space="0" w:color="FFFFFF"/>
            </w:tcBorders>
            <w:noWrap/>
            <w:vAlign w:val="center"/>
          </w:tcPr>
          <w:p w:rsidR="0094311E" w:rsidRPr="00DB5965" w:rsidRDefault="0094311E" w:rsidP="006F0535">
            <w:pPr>
              <w:spacing w:after="0" w:line="240" w:lineRule="auto"/>
              <w:jc w:val="center"/>
              <w:rPr>
                <w:rFonts w:ascii="Times New Roman" w:hAnsi="Times New Roman" w:cs="Times New Roman"/>
                <w:b/>
                <w:bCs/>
                <w:color w:val="000000"/>
                <w:lang w:val="en-US"/>
              </w:rPr>
            </w:pPr>
            <w:proofErr w:type="spellStart"/>
            <w:r w:rsidRPr="00DB5965">
              <w:rPr>
                <w:rFonts w:ascii="Times New Roman" w:hAnsi="Times New Roman" w:cs="Times New Roman"/>
                <w:b/>
                <w:bCs/>
                <w:color w:val="000000"/>
                <w:lang w:val="en-US"/>
              </w:rPr>
              <w:t>Participação</w:t>
            </w:r>
            <w:proofErr w:type="spellEnd"/>
          </w:p>
        </w:tc>
        <w:tc>
          <w:tcPr>
            <w:tcW w:w="1269" w:type="dxa"/>
            <w:tcBorders>
              <w:top w:val="nil"/>
              <w:left w:val="single" w:sz="36" w:space="0" w:color="FFFFFF"/>
              <w:bottom w:val="single" w:sz="8" w:space="0" w:color="auto"/>
              <w:right w:val="single" w:sz="4" w:space="0" w:color="FFFFFF"/>
            </w:tcBorders>
            <w:noWrap/>
            <w:vAlign w:val="center"/>
          </w:tcPr>
          <w:p w:rsidR="0094311E" w:rsidRPr="00DB5965" w:rsidRDefault="0094311E" w:rsidP="006F0535">
            <w:pPr>
              <w:spacing w:after="0" w:line="240" w:lineRule="auto"/>
              <w:jc w:val="center"/>
              <w:rPr>
                <w:rFonts w:ascii="Times New Roman" w:hAnsi="Times New Roman" w:cs="Times New Roman"/>
                <w:b/>
                <w:bCs/>
                <w:color w:val="000000"/>
                <w:lang w:val="en-US"/>
              </w:rPr>
            </w:pPr>
            <w:r w:rsidRPr="00DB5965">
              <w:rPr>
                <w:rFonts w:ascii="Times New Roman" w:hAnsi="Times New Roman" w:cs="Times New Roman"/>
                <w:b/>
                <w:bCs/>
                <w:color w:val="000000"/>
                <w:lang w:val="en-US"/>
              </w:rPr>
              <w:t>Gg de CO</w:t>
            </w:r>
            <w:r w:rsidRPr="00DB5965">
              <w:rPr>
                <w:rFonts w:ascii="Times New Roman" w:hAnsi="Times New Roman" w:cs="Times New Roman"/>
                <w:b/>
                <w:bCs/>
                <w:color w:val="000000"/>
                <w:vertAlign w:val="subscript"/>
                <w:lang w:val="en-US"/>
              </w:rPr>
              <w:t>2</w:t>
            </w:r>
            <w:r w:rsidRPr="00DB5965">
              <w:rPr>
                <w:rFonts w:ascii="Times New Roman" w:hAnsi="Times New Roman" w:cs="Times New Roman"/>
                <w:b/>
                <w:bCs/>
                <w:color w:val="000000"/>
                <w:lang w:val="en-US"/>
              </w:rPr>
              <w:t>-e</w:t>
            </w:r>
            <w:r w:rsidRPr="00DB5965">
              <w:rPr>
                <w:rFonts w:ascii="Times New Roman" w:hAnsi="Times New Roman" w:cs="Times New Roman"/>
                <w:b/>
                <w:bCs/>
                <w:color w:val="000000"/>
                <w:vertAlign w:val="superscript"/>
                <w:lang w:val="en-US"/>
              </w:rPr>
              <w:t>1</w:t>
            </w:r>
          </w:p>
        </w:tc>
        <w:tc>
          <w:tcPr>
            <w:tcW w:w="1413" w:type="dxa"/>
            <w:tcBorders>
              <w:top w:val="nil"/>
              <w:left w:val="single" w:sz="4" w:space="0" w:color="FFFFFF"/>
              <w:bottom w:val="single" w:sz="8" w:space="0" w:color="auto"/>
              <w:right w:val="single" w:sz="36" w:space="0" w:color="FFFFFF"/>
            </w:tcBorders>
            <w:noWrap/>
            <w:vAlign w:val="center"/>
          </w:tcPr>
          <w:p w:rsidR="0094311E" w:rsidRPr="00DB5965" w:rsidRDefault="0094311E" w:rsidP="006F0535">
            <w:pPr>
              <w:spacing w:after="0" w:line="240" w:lineRule="auto"/>
              <w:jc w:val="center"/>
              <w:rPr>
                <w:rFonts w:ascii="Times New Roman" w:hAnsi="Times New Roman" w:cs="Times New Roman"/>
                <w:b/>
                <w:bCs/>
                <w:color w:val="000000"/>
                <w:lang w:val="en-US"/>
              </w:rPr>
            </w:pPr>
            <w:proofErr w:type="spellStart"/>
            <w:r w:rsidRPr="00DB5965">
              <w:rPr>
                <w:rFonts w:ascii="Times New Roman" w:hAnsi="Times New Roman" w:cs="Times New Roman"/>
                <w:b/>
                <w:bCs/>
                <w:color w:val="000000"/>
                <w:lang w:val="en-US"/>
              </w:rPr>
              <w:t>Participação</w:t>
            </w:r>
            <w:proofErr w:type="spellEnd"/>
          </w:p>
        </w:tc>
        <w:tc>
          <w:tcPr>
            <w:tcW w:w="1213" w:type="dxa"/>
            <w:vMerge/>
            <w:tcBorders>
              <w:top w:val="single" w:sz="8" w:space="0" w:color="auto"/>
              <w:left w:val="single" w:sz="36" w:space="0" w:color="FFFFFF"/>
              <w:bottom w:val="single" w:sz="8" w:space="0" w:color="000000"/>
              <w:right w:val="single" w:sz="4" w:space="0" w:color="FFFFFF"/>
            </w:tcBorders>
            <w:vAlign w:val="center"/>
          </w:tcPr>
          <w:p w:rsidR="0094311E" w:rsidRPr="00DB5965" w:rsidRDefault="0094311E" w:rsidP="006F0535">
            <w:pPr>
              <w:spacing w:after="0" w:line="240" w:lineRule="auto"/>
              <w:rPr>
                <w:rFonts w:ascii="Times New Roman" w:hAnsi="Times New Roman" w:cs="Times New Roman"/>
                <w:color w:val="000000"/>
                <w:lang w:val="en-US"/>
              </w:rPr>
            </w:pPr>
          </w:p>
        </w:tc>
      </w:tr>
      <w:tr w:rsidR="0094311E" w:rsidRPr="00DB5965" w:rsidTr="00DF0D82">
        <w:trPr>
          <w:trHeight w:val="289"/>
          <w:jc w:val="center"/>
        </w:trPr>
        <w:tc>
          <w:tcPr>
            <w:tcW w:w="2430" w:type="dxa"/>
            <w:tcBorders>
              <w:top w:val="nil"/>
              <w:left w:val="single" w:sz="4" w:space="0" w:color="FFFFFF"/>
              <w:bottom w:val="single" w:sz="4" w:space="0" w:color="FFFFFF"/>
              <w:right w:val="single" w:sz="4" w:space="0" w:color="FFFFFF"/>
            </w:tcBorders>
            <w:noWrap/>
            <w:vAlign w:val="center"/>
          </w:tcPr>
          <w:p w:rsidR="0094311E" w:rsidRPr="00DB5965" w:rsidRDefault="0094311E" w:rsidP="006D6FF6">
            <w:pPr>
              <w:spacing w:after="0" w:line="240" w:lineRule="auto"/>
              <w:contextualSpacing/>
              <w:rPr>
                <w:rFonts w:ascii="Times New Roman" w:hAnsi="Times New Roman" w:cs="Times New Roman"/>
                <w:color w:val="000000"/>
                <w:lang w:val="en-US"/>
              </w:rPr>
            </w:pPr>
            <w:proofErr w:type="spellStart"/>
            <w:r w:rsidRPr="00DB5965">
              <w:rPr>
                <w:rFonts w:ascii="Times New Roman" w:hAnsi="Times New Roman" w:cs="Times New Roman"/>
                <w:color w:val="000000"/>
                <w:lang w:val="en-US"/>
              </w:rPr>
              <w:t>Energia</w:t>
            </w:r>
            <w:proofErr w:type="spellEnd"/>
          </w:p>
        </w:tc>
        <w:tc>
          <w:tcPr>
            <w:tcW w:w="1164" w:type="dxa"/>
            <w:tcBorders>
              <w:top w:val="nil"/>
              <w:left w:val="single" w:sz="4" w:space="0" w:color="FFFFFF"/>
              <w:bottom w:val="single" w:sz="4" w:space="0" w:color="FFFFFF"/>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328.377</w:t>
            </w:r>
          </w:p>
        </w:tc>
        <w:tc>
          <w:tcPr>
            <w:tcW w:w="1413" w:type="dxa"/>
            <w:tcBorders>
              <w:top w:val="nil"/>
              <w:left w:val="single" w:sz="4" w:space="0" w:color="FFFFFF"/>
              <w:bottom w:val="single" w:sz="4" w:space="0" w:color="FFFFFF"/>
              <w:right w:val="single" w:sz="36"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16%</w:t>
            </w:r>
          </w:p>
        </w:tc>
        <w:tc>
          <w:tcPr>
            <w:tcW w:w="1269" w:type="dxa"/>
            <w:tcBorders>
              <w:top w:val="nil"/>
              <w:left w:val="single" w:sz="36" w:space="0" w:color="FFFFFF"/>
              <w:bottom w:val="single" w:sz="4" w:space="0" w:color="FFFFFF"/>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446.154</w:t>
            </w:r>
          </w:p>
        </w:tc>
        <w:tc>
          <w:tcPr>
            <w:tcW w:w="1413" w:type="dxa"/>
            <w:tcBorders>
              <w:top w:val="nil"/>
              <w:left w:val="single" w:sz="4" w:space="0" w:color="FFFFFF"/>
              <w:bottom w:val="single" w:sz="4" w:space="0" w:color="FFFFFF"/>
              <w:right w:val="single" w:sz="36"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37%</w:t>
            </w:r>
          </w:p>
        </w:tc>
        <w:tc>
          <w:tcPr>
            <w:tcW w:w="1213" w:type="dxa"/>
            <w:tcBorders>
              <w:top w:val="nil"/>
              <w:left w:val="single" w:sz="36" w:space="0" w:color="FFFFFF"/>
              <w:bottom w:val="single" w:sz="4" w:space="0" w:color="FFFFFF"/>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36%</w:t>
            </w:r>
          </w:p>
        </w:tc>
      </w:tr>
      <w:tr w:rsidR="0094311E" w:rsidRPr="00DB5965" w:rsidTr="00DF0D82">
        <w:trPr>
          <w:trHeight w:val="289"/>
          <w:jc w:val="center"/>
        </w:trPr>
        <w:tc>
          <w:tcPr>
            <w:tcW w:w="2430" w:type="dxa"/>
            <w:tcBorders>
              <w:top w:val="single" w:sz="4" w:space="0" w:color="FFFFFF"/>
              <w:left w:val="single" w:sz="4" w:space="0" w:color="FFFFFF"/>
              <w:bottom w:val="single" w:sz="4" w:space="0" w:color="FFFFFF"/>
              <w:right w:val="single" w:sz="4" w:space="0" w:color="FFFFFF"/>
            </w:tcBorders>
            <w:noWrap/>
            <w:vAlign w:val="center"/>
          </w:tcPr>
          <w:p w:rsidR="0094311E" w:rsidRPr="00DB5965" w:rsidRDefault="0094311E" w:rsidP="006D6FF6">
            <w:pPr>
              <w:spacing w:after="0" w:line="240" w:lineRule="auto"/>
              <w:contextualSpacing/>
              <w:rPr>
                <w:rFonts w:ascii="Times New Roman" w:hAnsi="Times New Roman" w:cs="Times New Roman"/>
                <w:color w:val="000000"/>
                <w:lang w:val="en-US"/>
              </w:rPr>
            </w:pPr>
            <w:proofErr w:type="spellStart"/>
            <w:r w:rsidRPr="00DB5965">
              <w:rPr>
                <w:rFonts w:ascii="Times New Roman" w:hAnsi="Times New Roman" w:cs="Times New Roman"/>
                <w:color w:val="000000"/>
                <w:lang w:val="en-US"/>
              </w:rPr>
              <w:t>Processos</w:t>
            </w:r>
            <w:proofErr w:type="spellEnd"/>
            <w:r w:rsidRPr="00DB5965">
              <w:rPr>
                <w:rFonts w:ascii="Times New Roman" w:hAnsi="Times New Roman" w:cs="Times New Roman"/>
                <w:color w:val="000000"/>
                <w:lang w:val="en-US"/>
              </w:rPr>
              <w:t xml:space="preserve"> </w:t>
            </w:r>
            <w:proofErr w:type="spellStart"/>
            <w:r w:rsidRPr="00DB5965">
              <w:rPr>
                <w:rFonts w:ascii="Times New Roman" w:hAnsi="Times New Roman" w:cs="Times New Roman"/>
                <w:color w:val="000000"/>
                <w:lang w:val="en-US"/>
              </w:rPr>
              <w:t>Industriais</w:t>
            </w:r>
            <w:proofErr w:type="spellEnd"/>
          </w:p>
        </w:tc>
        <w:tc>
          <w:tcPr>
            <w:tcW w:w="1164" w:type="dxa"/>
            <w:tcBorders>
              <w:top w:val="single" w:sz="4" w:space="0" w:color="FFFFFF"/>
              <w:left w:val="single" w:sz="4" w:space="0" w:color="FFFFFF"/>
              <w:bottom w:val="single" w:sz="4" w:space="0" w:color="FFFFFF"/>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77.943</w:t>
            </w:r>
          </w:p>
        </w:tc>
        <w:tc>
          <w:tcPr>
            <w:tcW w:w="1413" w:type="dxa"/>
            <w:tcBorders>
              <w:top w:val="single" w:sz="4" w:space="0" w:color="FFFFFF"/>
              <w:left w:val="single" w:sz="4" w:space="0" w:color="FFFFFF"/>
              <w:bottom w:val="single" w:sz="4" w:space="0" w:color="FFFFFF"/>
              <w:right w:val="single" w:sz="36"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4%</w:t>
            </w:r>
          </w:p>
        </w:tc>
        <w:tc>
          <w:tcPr>
            <w:tcW w:w="1269" w:type="dxa"/>
            <w:tcBorders>
              <w:top w:val="single" w:sz="4" w:space="0" w:color="FFFFFF"/>
              <w:left w:val="single" w:sz="36" w:space="0" w:color="FFFFFF"/>
              <w:bottom w:val="single" w:sz="4" w:space="0" w:color="FFFFFF"/>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85.365</w:t>
            </w:r>
          </w:p>
        </w:tc>
        <w:tc>
          <w:tcPr>
            <w:tcW w:w="1413" w:type="dxa"/>
            <w:tcBorders>
              <w:top w:val="single" w:sz="4" w:space="0" w:color="FFFFFF"/>
              <w:left w:val="single" w:sz="4" w:space="0" w:color="FFFFFF"/>
              <w:bottom w:val="single" w:sz="4" w:space="0" w:color="FFFFFF"/>
              <w:right w:val="single" w:sz="36"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7%</w:t>
            </w:r>
          </w:p>
        </w:tc>
        <w:tc>
          <w:tcPr>
            <w:tcW w:w="1213" w:type="dxa"/>
            <w:tcBorders>
              <w:top w:val="single" w:sz="4" w:space="0" w:color="FFFFFF"/>
              <w:left w:val="single" w:sz="36" w:space="0" w:color="FFFFFF"/>
              <w:bottom w:val="single" w:sz="4" w:space="0" w:color="FFFFFF"/>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10%</w:t>
            </w:r>
          </w:p>
        </w:tc>
      </w:tr>
      <w:tr w:rsidR="0094311E" w:rsidRPr="00DB5965" w:rsidTr="00DF0D82">
        <w:trPr>
          <w:trHeight w:val="289"/>
          <w:jc w:val="center"/>
        </w:trPr>
        <w:tc>
          <w:tcPr>
            <w:tcW w:w="2430" w:type="dxa"/>
            <w:tcBorders>
              <w:top w:val="single" w:sz="4" w:space="0" w:color="FFFFFF"/>
              <w:left w:val="single" w:sz="4" w:space="0" w:color="FFFFFF"/>
              <w:bottom w:val="single" w:sz="4" w:space="0" w:color="FFFFFF"/>
              <w:right w:val="single" w:sz="4" w:space="0" w:color="FFFFFF"/>
            </w:tcBorders>
            <w:noWrap/>
            <w:vAlign w:val="center"/>
          </w:tcPr>
          <w:p w:rsidR="0094311E" w:rsidRPr="00DB5965" w:rsidRDefault="0094311E" w:rsidP="006D6FF6">
            <w:pPr>
              <w:spacing w:after="0" w:line="240" w:lineRule="auto"/>
              <w:contextualSpacing/>
              <w:rPr>
                <w:rFonts w:ascii="Times New Roman" w:hAnsi="Times New Roman" w:cs="Times New Roman"/>
                <w:color w:val="000000"/>
                <w:lang w:val="en-US"/>
              </w:rPr>
            </w:pPr>
            <w:proofErr w:type="spellStart"/>
            <w:r w:rsidRPr="00DB5965">
              <w:rPr>
                <w:rFonts w:ascii="Times New Roman" w:hAnsi="Times New Roman" w:cs="Times New Roman"/>
                <w:color w:val="000000"/>
                <w:lang w:val="en-US"/>
              </w:rPr>
              <w:t>Agropecuária</w:t>
            </w:r>
            <w:proofErr w:type="spellEnd"/>
          </w:p>
        </w:tc>
        <w:tc>
          <w:tcPr>
            <w:tcW w:w="1164" w:type="dxa"/>
            <w:tcBorders>
              <w:top w:val="single" w:sz="4" w:space="0" w:color="FFFFFF"/>
              <w:left w:val="single" w:sz="4" w:space="0" w:color="FFFFFF"/>
              <w:bottom w:val="single" w:sz="4" w:space="0" w:color="FFFFFF"/>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415.724</w:t>
            </w:r>
          </w:p>
        </w:tc>
        <w:tc>
          <w:tcPr>
            <w:tcW w:w="1413" w:type="dxa"/>
            <w:tcBorders>
              <w:top w:val="single" w:sz="4" w:space="0" w:color="FFFFFF"/>
              <w:left w:val="single" w:sz="4" w:space="0" w:color="FFFFFF"/>
              <w:bottom w:val="single" w:sz="4" w:space="0" w:color="FFFFFF"/>
              <w:right w:val="single" w:sz="36"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20%</w:t>
            </w:r>
          </w:p>
        </w:tc>
        <w:tc>
          <w:tcPr>
            <w:tcW w:w="1269" w:type="dxa"/>
            <w:tcBorders>
              <w:top w:val="single" w:sz="4" w:space="0" w:color="FFFFFF"/>
              <w:left w:val="single" w:sz="36" w:space="0" w:color="FFFFFF"/>
              <w:bottom w:val="single" w:sz="4" w:space="0" w:color="FFFFFF"/>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446.445</w:t>
            </w:r>
          </w:p>
        </w:tc>
        <w:tc>
          <w:tcPr>
            <w:tcW w:w="1413" w:type="dxa"/>
            <w:tcBorders>
              <w:top w:val="single" w:sz="4" w:space="0" w:color="FFFFFF"/>
              <w:left w:val="single" w:sz="4" w:space="0" w:color="FFFFFF"/>
              <w:bottom w:val="single" w:sz="4" w:space="0" w:color="FFFFFF"/>
              <w:right w:val="single" w:sz="36"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37%</w:t>
            </w:r>
          </w:p>
        </w:tc>
        <w:tc>
          <w:tcPr>
            <w:tcW w:w="1213" w:type="dxa"/>
            <w:tcBorders>
              <w:top w:val="single" w:sz="4" w:space="0" w:color="FFFFFF"/>
              <w:left w:val="single" w:sz="36" w:space="0" w:color="FFFFFF"/>
              <w:bottom w:val="single" w:sz="4" w:space="0" w:color="FFFFFF"/>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7%</w:t>
            </w:r>
          </w:p>
        </w:tc>
      </w:tr>
      <w:tr w:rsidR="0094311E" w:rsidRPr="00DB5965" w:rsidTr="00DF0D82">
        <w:trPr>
          <w:trHeight w:val="606"/>
          <w:jc w:val="center"/>
        </w:trPr>
        <w:tc>
          <w:tcPr>
            <w:tcW w:w="2430" w:type="dxa"/>
            <w:tcBorders>
              <w:top w:val="single" w:sz="4" w:space="0" w:color="FFFFFF"/>
              <w:left w:val="single" w:sz="4" w:space="0" w:color="FFFFFF"/>
              <w:bottom w:val="single" w:sz="4" w:space="0" w:color="FFFFFF"/>
              <w:right w:val="single" w:sz="4" w:space="0" w:color="FFFFFF"/>
            </w:tcBorders>
            <w:noWrap/>
            <w:vAlign w:val="center"/>
          </w:tcPr>
          <w:p w:rsidR="0094311E" w:rsidRPr="00DB5965" w:rsidRDefault="0094311E" w:rsidP="006D6FF6">
            <w:pPr>
              <w:spacing w:after="0" w:line="240" w:lineRule="auto"/>
              <w:contextualSpacing/>
              <w:rPr>
                <w:rFonts w:ascii="Times New Roman" w:hAnsi="Times New Roman" w:cs="Times New Roman"/>
                <w:color w:val="000000"/>
              </w:rPr>
            </w:pPr>
            <w:r w:rsidRPr="00DB5965">
              <w:rPr>
                <w:rFonts w:ascii="Times New Roman" w:hAnsi="Times New Roman" w:cs="Times New Roman"/>
                <w:color w:val="000000"/>
              </w:rPr>
              <w:t>Mudança no Uso do Solo e Florestas</w:t>
            </w:r>
          </w:p>
        </w:tc>
        <w:tc>
          <w:tcPr>
            <w:tcW w:w="1164" w:type="dxa"/>
            <w:tcBorders>
              <w:top w:val="single" w:sz="4" w:space="0" w:color="FFFFFF"/>
              <w:left w:val="single" w:sz="4" w:space="0" w:color="FFFFFF"/>
              <w:bottom w:val="single" w:sz="4" w:space="0" w:color="FFFFFF"/>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1.179.067</w:t>
            </w:r>
          </w:p>
        </w:tc>
        <w:tc>
          <w:tcPr>
            <w:tcW w:w="1413" w:type="dxa"/>
            <w:tcBorders>
              <w:top w:val="single" w:sz="4" w:space="0" w:color="FFFFFF"/>
              <w:left w:val="single" w:sz="4" w:space="0" w:color="FFFFFF"/>
              <w:bottom w:val="single" w:sz="4" w:space="0" w:color="FFFFFF"/>
              <w:right w:val="single" w:sz="36"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58%</w:t>
            </w:r>
          </w:p>
        </w:tc>
        <w:tc>
          <w:tcPr>
            <w:tcW w:w="1269" w:type="dxa"/>
            <w:tcBorders>
              <w:top w:val="single" w:sz="4" w:space="0" w:color="FFFFFF"/>
              <w:left w:val="single" w:sz="36" w:space="0" w:color="FFFFFF"/>
              <w:bottom w:val="single" w:sz="4" w:space="0" w:color="FFFFFF"/>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175.685</w:t>
            </w:r>
          </w:p>
        </w:tc>
        <w:tc>
          <w:tcPr>
            <w:tcW w:w="1413" w:type="dxa"/>
            <w:tcBorders>
              <w:top w:val="single" w:sz="4" w:space="0" w:color="FFFFFF"/>
              <w:left w:val="single" w:sz="4" w:space="0" w:color="FFFFFF"/>
              <w:bottom w:val="single" w:sz="4" w:space="0" w:color="FFFFFF"/>
              <w:right w:val="single" w:sz="36"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15%</w:t>
            </w:r>
          </w:p>
        </w:tc>
        <w:tc>
          <w:tcPr>
            <w:tcW w:w="1213" w:type="dxa"/>
            <w:tcBorders>
              <w:top w:val="single" w:sz="4" w:space="0" w:color="FFFFFF"/>
              <w:left w:val="single" w:sz="36" w:space="0" w:color="FFFFFF"/>
              <w:bottom w:val="single" w:sz="4" w:space="0" w:color="FFFFFF"/>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-85%</w:t>
            </w:r>
          </w:p>
        </w:tc>
      </w:tr>
      <w:tr w:rsidR="0094311E" w:rsidRPr="00DB5965" w:rsidTr="00DF0D82">
        <w:trPr>
          <w:trHeight w:val="289"/>
          <w:jc w:val="center"/>
        </w:trPr>
        <w:tc>
          <w:tcPr>
            <w:tcW w:w="2430" w:type="dxa"/>
            <w:tcBorders>
              <w:top w:val="single" w:sz="4" w:space="0" w:color="FFFFFF"/>
              <w:left w:val="single" w:sz="4" w:space="0" w:color="FFFFFF"/>
              <w:bottom w:val="single" w:sz="4" w:space="0" w:color="FFFFFF"/>
              <w:right w:val="single" w:sz="4" w:space="0" w:color="FFFFFF"/>
            </w:tcBorders>
            <w:noWrap/>
            <w:vAlign w:val="center"/>
          </w:tcPr>
          <w:p w:rsidR="0094311E" w:rsidRPr="00DB5965" w:rsidRDefault="0094311E" w:rsidP="006D6FF6">
            <w:pPr>
              <w:spacing w:after="0" w:line="240" w:lineRule="auto"/>
              <w:contextualSpacing/>
              <w:rPr>
                <w:rFonts w:ascii="Times New Roman" w:hAnsi="Times New Roman" w:cs="Times New Roman"/>
                <w:color w:val="000000"/>
                <w:lang w:val="en-US"/>
              </w:rPr>
            </w:pPr>
            <w:proofErr w:type="spellStart"/>
            <w:r w:rsidRPr="00DB5965">
              <w:rPr>
                <w:rFonts w:ascii="Times New Roman" w:hAnsi="Times New Roman" w:cs="Times New Roman"/>
                <w:color w:val="000000"/>
                <w:lang w:val="en-US"/>
              </w:rPr>
              <w:t>Tratamento</w:t>
            </w:r>
            <w:proofErr w:type="spellEnd"/>
            <w:r w:rsidRPr="00DB5965">
              <w:rPr>
                <w:rFonts w:ascii="Times New Roman" w:hAnsi="Times New Roman" w:cs="Times New Roman"/>
                <w:color w:val="000000"/>
                <w:lang w:val="en-US"/>
              </w:rPr>
              <w:t xml:space="preserve"> de </w:t>
            </w:r>
            <w:proofErr w:type="spellStart"/>
            <w:r w:rsidRPr="00DB5965">
              <w:rPr>
                <w:rFonts w:ascii="Times New Roman" w:hAnsi="Times New Roman" w:cs="Times New Roman"/>
                <w:color w:val="000000"/>
                <w:lang w:val="en-US"/>
              </w:rPr>
              <w:t>Resíduos</w:t>
            </w:r>
            <w:proofErr w:type="spellEnd"/>
          </w:p>
        </w:tc>
        <w:tc>
          <w:tcPr>
            <w:tcW w:w="1164" w:type="dxa"/>
            <w:tcBorders>
              <w:top w:val="single" w:sz="4" w:space="0" w:color="FFFFFF"/>
              <w:left w:val="single" w:sz="4" w:space="0" w:color="FFFFFF"/>
              <w:bottom w:val="single" w:sz="4" w:space="0" w:color="FFFFFF"/>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41.887</w:t>
            </w:r>
          </w:p>
        </w:tc>
        <w:tc>
          <w:tcPr>
            <w:tcW w:w="1413" w:type="dxa"/>
            <w:tcBorders>
              <w:top w:val="single" w:sz="4" w:space="0" w:color="FFFFFF"/>
              <w:left w:val="single" w:sz="4" w:space="0" w:color="FFFFFF"/>
              <w:bottom w:val="single" w:sz="4" w:space="0" w:color="FFFFFF"/>
              <w:right w:val="single" w:sz="36"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2%</w:t>
            </w:r>
          </w:p>
        </w:tc>
        <w:tc>
          <w:tcPr>
            <w:tcW w:w="1269" w:type="dxa"/>
            <w:tcBorders>
              <w:top w:val="single" w:sz="4" w:space="0" w:color="FFFFFF"/>
              <w:left w:val="single" w:sz="36" w:space="0" w:color="FFFFFF"/>
              <w:bottom w:val="single" w:sz="4" w:space="0" w:color="FFFFFF"/>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49.775</w:t>
            </w:r>
          </w:p>
        </w:tc>
        <w:tc>
          <w:tcPr>
            <w:tcW w:w="1413" w:type="dxa"/>
            <w:tcBorders>
              <w:top w:val="single" w:sz="4" w:space="0" w:color="FFFFFF"/>
              <w:left w:val="single" w:sz="4" w:space="0" w:color="FFFFFF"/>
              <w:bottom w:val="single" w:sz="4" w:space="0" w:color="FFFFFF"/>
              <w:right w:val="single" w:sz="36"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4%</w:t>
            </w:r>
          </w:p>
        </w:tc>
        <w:tc>
          <w:tcPr>
            <w:tcW w:w="1213" w:type="dxa"/>
            <w:tcBorders>
              <w:top w:val="single" w:sz="4" w:space="0" w:color="FFFFFF"/>
              <w:left w:val="single" w:sz="36" w:space="0" w:color="FFFFFF"/>
              <w:bottom w:val="single" w:sz="4" w:space="0" w:color="FFFFFF"/>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19%</w:t>
            </w:r>
          </w:p>
        </w:tc>
      </w:tr>
      <w:tr w:rsidR="0094311E" w:rsidRPr="00DB5965" w:rsidTr="00DF0D82">
        <w:trPr>
          <w:trHeight w:val="303"/>
          <w:jc w:val="center"/>
        </w:trPr>
        <w:tc>
          <w:tcPr>
            <w:tcW w:w="2430" w:type="dxa"/>
            <w:tcBorders>
              <w:top w:val="single" w:sz="4" w:space="0" w:color="FFFFFF"/>
              <w:left w:val="single" w:sz="4" w:space="0" w:color="FFFFFF"/>
              <w:bottom w:val="single" w:sz="12" w:space="0" w:color="auto"/>
              <w:right w:val="single" w:sz="4" w:space="0" w:color="FFFFFF"/>
            </w:tcBorders>
            <w:noWrap/>
            <w:vAlign w:val="center"/>
          </w:tcPr>
          <w:p w:rsidR="0094311E" w:rsidRPr="00DB5965" w:rsidRDefault="0094311E" w:rsidP="006D6FF6">
            <w:pPr>
              <w:spacing w:after="0" w:line="240" w:lineRule="auto"/>
              <w:contextualSpacing/>
              <w:rPr>
                <w:rFonts w:ascii="Times New Roman" w:hAnsi="Times New Roman" w:cs="Times New Roman"/>
                <w:color w:val="000000"/>
                <w:lang w:val="en-US"/>
              </w:rPr>
            </w:pPr>
            <w:r w:rsidRPr="00DB5965">
              <w:rPr>
                <w:rFonts w:ascii="Times New Roman" w:hAnsi="Times New Roman" w:cs="Times New Roman"/>
                <w:color w:val="000000"/>
                <w:lang w:val="en-US"/>
              </w:rPr>
              <w:t>Total</w:t>
            </w:r>
          </w:p>
        </w:tc>
        <w:tc>
          <w:tcPr>
            <w:tcW w:w="1164" w:type="dxa"/>
            <w:tcBorders>
              <w:top w:val="single" w:sz="4" w:space="0" w:color="FFFFFF"/>
              <w:left w:val="single" w:sz="4" w:space="0" w:color="FFFFFF"/>
              <w:bottom w:val="single" w:sz="12" w:space="0" w:color="auto"/>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2.042.998</w:t>
            </w:r>
          </w:p>
        </w:tc>
        <w:tc>
          <w:tcPr>
            <w:tcW w:w="1413" w:type="dxa"/>
            <w:tcBorders>
              <w:top w:val="single" w:sz="4" w:space="0" w:color="FFFFFF"/>
              <w:left w:val="single" w:sz="4" w:space="0" w:color="FFFFFF"/>
              <w:bottom w:val="single" w:sz="12" w:space="0" w:color="auto"/>
              <w:right w:val="single" w:sz="36"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100%</w:t>
            </w:r>
          </w:p>
        </w:tc>
        <w:tc>
          <w:tcPr>
            <w:tcW w:w="1269" w:type="dxa"/>
            <w:tcBorders>
              <w:top w:val="single" w:sz="4" w:space="0" w:color="FFFFFF"/>
              <w:left w:val="single" w:sz="36" w:space="0" w:color="FFFFFF"/>
              <w:bottom w:val="single" w:sz="12" w:space="0" w:color="auto"/>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1.203.424</w:t>
            </w:r>
          </w:p>
        </w:tc>
        <w:tc>
          <w:tcPr>
            <w:tcW w:w="1413" w:type="dxa"/>
            <w:tcBorders>
              <w:top w:val="single" w:sz="4" w:space="0" w:color="FFFFFF"/>
              <w:left w:val="single" w:sz="4" w:space="0" w:color="FFFFFF"/>
              <w:bottom w:val="single" w:sz="12" w:space="0" w:color="auto"/>
              <w:right w:val="single" w:sz="36"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100%</w:t>
            </w:r>
          </w:p>
        </w:tc>
        <w:tc>
          <w:tcPr>
            <w:tcW w:w="1213" w:type="dxa"/>
            <w:tcBorders>
              <w:top w:val="single" w:sz="4" w:space="0" w:color="FFFFFF"/>
              <w:left w:val="single" w:sz="36" w:space="0" w:color="FFFFFF"/>
              <w:bottom w:val="single" w:sz="12" w:space="0" w:color="auto"/>
              <w:right w:val="single" w:sz="4" w:space="0" w:color="FFFFFF"/>
            </w:tcBorders>
            <w:noWrap/>
            <w:vAlign w:val="center"/>
          </w:tcPr>
          <w:p w:rsidR="0094311E" w:rsidRPr="00DB5965" w:rsidRDefault="0094311E" w:rsidP="006D6FF6">
            <w:pPr>
              <w:spacing w:after="0" w:line="240" w:lineRule="auto"/>
              <w:jc w:val="center"/>
              <w:rPr>
                <w:rFonts w:ascii="Times New Roman" w:hAnsi="Times New Roman" w:cs="Times New Roman"/>
                <w:color w:val="000000"/>
                <w:lang w:val="en-US"/>
              </w:rPr>
            </w:pPr>
            <w:r w:rsidRPr="00DB5965">
              <w:rPr>
                <w:rFonts w:ascii="Times New Roman" w:hAnsi="Times New Roman" w:cs="Times New Roman"/>
                <w:color w:val="000000"/>
                <w:lang w:val="en-US"/>
              </w:rPr>
              <w:t>-41%</w:t>
            </w:r>
          </w:p>
        </w:tc>
      </w:tr>
    </w:tbl>
    <w:p w:rsidR="0094311E" w:rsidRPr="00DB5965" w:rsidRDefault="00E974AC" w:rsidP="006806D7">
      <w:pPr>
        <w:spacing w:after="0" w:line="240" w:lineRule="auto"/>
        <w:contextualSpacing/>
        <w:jc w:val="both"/>
        <w:rPr>
          <w:rFonts w:ascii="Times New Roman" w:hAnsi="Times New Roman" w:cs="Times New Roman"/>
          <w:sz w:val="20"/>
          <w:szCs w:val="20"/>
        </w:rPr>
      </w:pPr>
      <w:r>
        <w:rPr>
          <w:rFonts w:ascii="Times New Roman" w:hAnsi="Times New Roman" w:cs="Times New Roman"/>
          <w:sz w:val="20"/>
          <w:szCs w:val="20"/>
        </w:rPr>
        <w:t xml:space="preserve">    </w:t>
      </w:r>
      <w:r w:rsidR="0094311E" w:rsidRPr="00DB5965">
        <w:rPr>
          <w:rFonts w:ascii="Times New Roman" w:hAnsi="Times New Roman" w:cs="Times New Roman"/>
          <w:sz w:val="20"/>
          <w:szCs w:val="20"/>
        </w:rPr>
        <w:t xml:space="preserve">Fonte: elaboração própria baseada em Ministério da Ciência, Tecnologia e Inovação (2014). </w:t>
      </w:r>
    </w:p>
    <w:p w:rsidR="0094311E" w:rsidRPr="00DB5965" w:rsidRDefault="00E974AC" w:rsidP="006806D7">
      <w:pPr>
        <w:spacing w:after="0" w:line="240" w:lineRule="auto"/>
        <w:contextualSpacing/>
        <w:jc w:val="both"/>
        <w:rPr>
          <w:rFonts w:ascii="Times New Roman" w:hAnsi="Times New Roman" w:cs="Times New Roman"/>
          <w:sz w:val="20"/>
          <w:szCs w:val="20"/>
        </w:rPr>
      </w:pPr>
      <w:r>
        <w:rPr>
          <w:rFonts w:ascii="Times New Roman" w:hAnsi="Times New Roman" w:cs="Times New Roman"/>
          <w:sz w:val="20"/>
          <w:szCs w:val="20"/>
        </w:rPr>
        <w:t xml:space="preserve">    </w:t>
      </w:r>
      <w:r w:rsidR="0094311E" w:rsidRPr="00DB5965">
        <w:rPr>
          <w:rFonts w:ascii="Times New Roman" w:hAnsi="Times New Roman" w:cs="Times New Roman"/>
          <w:sz w:val="20"/>
          <w:szCs w:val="20"/>
        </w:rPr>
        <w:t>Nota:</w:t>
      </w:r>
      <w:r w:rsidR="0094311E" w:rsidRPr="00DB5965">
        <w:rPr>
          <w:rFonts w:ascii="Times New Roman" w:hAnsi="Times New Roman" w:cs="Times New Roman"/>
          <w:sz w:val="20"/>
          <w:szCs w:val="20"/>
          <w:vertAlign w:val="superscript"/>
        </w:rPr>
        <w:t xml:space="preserve"> 1</w:t>
      </w:r>
      <w:r w:rsidR="0094311E" w:rsidRPr="00DB5965">
        <w:rPr>
          <w:rFonts w:ascii="Times New Roman" w:hAnsi="Times New Roman" w:cs="Times New Roman"/>
          <w:sz w:val="20"/>
          <w:szCs w:val="20"/>
        </w:rPr>
        <w:t xml:space="preserve"> </w:t>
      </w:r>
      <w:proofErr w:type="spellStart"/>
      <w:r w:rsidR="0094311E" w:rsidRPr="00DB5965">
        <w:rPr>
          <w:rFonts w:ascii="Times New Roman" w:hAnsi="Times New Roman" w:cs="Times New Roman"/>
          <w:sz w:val="20"/>
          <w:szCs w:val="20"/>
        </w:rPr>
        <w:t>Gigagrama</w:t>
      </w:r>
      <w:proofErr w:type="spellEnd"/>
      <w:r w:rsidR="0094311E" w:rsidRPr="00DB5965">
        <w:rPr>
          <w:rFonts w:ascii="Times New Roman" w:hAnsi="Times New Roman" w:cs="Times New Roman"/>
          <w:sz w:val="20"/>
          <w:szCs w:val="20"/>
        </w:rPr>
        <w:t xml:space="preserve"> de gás carbônico equivalente.</w:t>
      </w:r>
    </w:p>
    <w:p w:rsidR="00E21016" w:rsidRDefault="00E21016" w:rsidP="008439E1">
      <w:pPr>
        <w:spacing w:after="0" w:line="240" w:lineRule="auto"/>
        <w:ind w:firstLine="708"/>
        <w:contextualSpacing/>
        <w:jc w:val="both"/>
        <w:rPr>
          <w:rFonts w:ascii="Times New Roman" w:hAnsi="Times New Roman" w:cs="Times New Roman"/>
          <w:sz w:val="24"/>
          <w:szCs w:val="24"/>
        </w:rPr>
      </w:pPr>
    </w:p>
    <w:p w:rsidR="0094311E" w:rsidRPr="00DB5965" w:rsidRDefault="0094311E" w:rsidP="008439E1">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Nesse cenário, fica evidente a importância da construção de modelos preditivos que, mesmo não incorporando os efeitos da dinâmica das mudanças no uso do solo e florestas, possam indicar que tipo de impacto econômico é esperado pela instauração de uma política de carbono do tipo </w:t>
      </w:r>
      <w:proofErr w:type="spellStart"/>
      <w:r w:rsidRPr="00DB5965">
        <w:rPr>
          <w:rFonts w:ascii="Times New Roman" w:hAnsi="Times New Roman" w:cs="Times New Roman"/>
          <w:i/>
          <w:iCs/>
          <w:sz w:val="24"/>
          <w:szCs w:val="24"/>
        </w:rPr>
        <w:t>cap</w:t>
      </w:r>
      <w:proofErr w:type="spellEnd"/>
      <w:r w:rsidRPr="00DB5965">
        <w:rPr>
          <w:rFonts w:ascii="Times New Roman" w:hAnsi="Times New Roman" w:cs="Times New Roman"/>
          <w:sz w:val="24"/>
          <w:szCs w:val="24"/>
        </w:rPr>
        <w:t xml:space="preserve"> sobre a estrutura produtiva brasileira.</w:t>
      </w:r>
    </w:p>
    <w:p w:rsidR="0094311E" w:rsidRPr="00DB5965" w:rsidRDefault="0094311E" w:rsidP="003119B3">
      <w:pPr>
        <w:spacing w:after="0" w:line="240" w:lineRule="auto"/>
        <w:contextualSpacing/>
        <w:jc w:val="both"/>
        <w:rPr>
          <w:rFonts w:ascii="Times New Roman" w:hAnsi="Times New Roman" w:cs="Times New Roman"/>
          <w:sz w:val="24"/>
          <w:szCs w:val="24"/>
        </w:rPr>
      </w:pPr>
    </w:p>
    <w:p w:rsidR="0094311E" w:rsidRPr="00DB5965" w:rsidRDefault="0094311E" w:rsidP="00F9381A">
      <w:pPr>
        <w:spacing w:after="0" w:line="240" w:lineRule="auto"/>
        <w:contextualSpacing/>
        <w:jc w:val="both"/>
        <w:rPr>
          <w:rFonts w:ascii="Times New Roman" w:hAnsi="Times New Roman" w:cs="Times New Roman"/>
          <w:b/>
          <w:bCs/>
          <w:sz w:val="24"/>
          <w:szCs w:val="24"/>
        </w:rPr>
      </w:pPr>
      <w:r w:rsidRPr="00DB5965">
        <w:rPr>
          <w:rFonts w:ascii="Times New Roman" w:hAnsi="Times New Roman" w:cs="Times New Roman"/>
          <w:b/>
          <w:bCs/>
          <w:sz w:val="24"/>
          <w:szCs w:val="24"/>
        </w:rPr>
        <w:t>4.1 Atualização dos dados de emissões, choque e cenários simulados</w:t>
      </w:r>
    </w:p>
    <w:p w:rsidR="0094311E" w:rsidRPr="00DB5965" w:rsidRDefault="0094311E" w:rsidP="00F9381A">
      <w:pPr>
        <w:spacing w:after="0" w:line="240" w:lineRule="auto"/>
        <w:contextualSpacing/>
        <w:jc w:val="both"/>
        <w:rPr>
          <w:rFonts w:ascii="Times New Roman" w:hAnsi="Times New Roman" w:cs="Times New Roman"/>
          <w:sz w:val="24"/>
          <w:szCs w:val="24"/>
        </w:rPr>
      </w:pPr>
    </w:p>
    <w:p w:rsidR="0094311E" w:rsidRDefault="0094311E" w:rsidP="00F9381A">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Dada a disponibilidade das informações de emissões de 2005 a 2012, foi realizada uma atualização dos dados de forma setorizada (com base em BRASIL, 2014 e ponderando de acordo com os volumes de produção setoriais). Para o ano de 2013 e seguintes, até o ano de 2025, foram simulados, de forma recursiva, um cenário base e um cenário de política ambiental. O choque aplicado sobre as emissões, que corresponde à operacionalização da política ambiental, reflete a diferença entre os cenários, sendo calculado de forma que a meta de emissões sob análise seja atingida em 2025, com restrições anuais de emissões totais aplicadas uniformemente. </w:t>
      </w:r>
    </w:p>
    <w:p w:rsidR="0094311E" w:rsidRDefault="0094311E" w:rsidP="009C2E89">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O fechamento selecionado seguiu o padrão para modelos de dinâmica recursiva (MAGALHÃES, 2013), em que as variáveis exógenas restringem: o PIB real pelo lado da oferta e da demanda, as condições externas (são fixados os preços das importações, além dos preços e quantidades da demanda por exportações), os impostos, a distribuição setorial dos investimentos, o número de famílias e suas preferências de consumo, e o módulo ambiental. O crescimento médio da economia brasileira até 2025 foi definido em 2,5% para o cenário base. Os resultados para o crescimento econômico no cenário de política são tratados em termos de desvios em relação a esse valor.</w:t>
      </w:r>
    </w:p>
    <w:p w:rsidR="0094311E" w:rsidRPr="00DB5965" w:rsidRDefault="0094311E" w:rsidP="003119B3">
      <w:pPr>
        <w:spacing w:after="0" w:line="240" w:lineRule="auto"/>
        <w:contextualSpacing/>
        <w:jc w:val="both"/>
        <w:rPr>
          <w:rFonts w:ascii="Times New Roman" w:hAnsi="Times New Roman" w:cs="Times New Roman"/>
          <w:sz w:val="24"/>
          <w:szCs w:val="24"/>
        </w:rPr>
      </w:pPr>
    </w:p>
    <w:p w:rsidR="0094311E" w:rsidRDefault="0094311E" w:rsidP="00E21016">
      <w:pPr>
        <w:spacing w:after="0" w:line="240" w:lineRule="auto"/>
        <w:contextualSpacing/>
        <w:jc w:val="both"/>
        <w:rPr>
          <w:rFonts w:ascii="Times New Roman" w:hAnsi="Times New Roman" w:cs="Times New Roman"/>
          <w:b/>
          <w:bCs/>
          <w:sz w:val="24"/>
          <w:szCs w:val="24"/>
        </w:rPr>
      </w:pPr>
      <w:r w:rsidRPr="00DB5965">
        <w:rPr>
          <w:rFonts w:ascii="Times New Roman" w:hAnsi="Times New Roman" w:cs="Times New Roman"/>
          <w:b/>
          <w:bCs/>
          <w:sz w:val="24"/>
          <w:szCs w:val="24"/>
        </w:rPr>
        <w:t>5. Resultados</w:t>
      </w:r>
    </w:p>
    <w:p w:rsidR="00E21016" w:rsidRPr="00DB5965" w:rsidRDefault="00E21016" w:rsidP="00E21016">
      <w:pPr>
        <w:spacing w:after="0" w:line="240" w:lineRule="auto"/>
        <w:contextualSpacing/>
        <w:jc w:val="both"/>
        <w:rPr>
          <w:rFonts w:ascii="Times New Roman" w:hAnsi="Times New Roman" w:cs="Times New Roman"/>
          <w:b/>
          <w:bCs/>
          <w:sz w:val="24"/>
          <w:szCs w:val="24"/>
        </w:rPr>
      </w:pPr>
    </w:p>
    <w:p w:rsidR="0094311E" w:rsidRPr="00DB5965" w:rsidRDefault="0094311E" w:rsidP="00C63FDD">
      <w:pPr>
        <w:spacing w:after="0" w:line="240" w:lineRule="auto"/>
        <w:contextualSpacing/>
        <w:jc w:val="both"/>
        <w:rPr>
          <w:rFonts w:ascii="Times New Roman" w:hAnsi="Times New Roman" w:cs="Times New Roman"/>
          <w:sz w:val="24"/>
          <w:szCs w:val="24"/>
        </w:rPr>
      </w:pPr>
      <w:r w:rsidRPr="00DB5965">
        <w:rPr>
          <w:rFonts w:ascii="Times New Roman" w:hAnsi="Times New Roman" w:cs="Times New Roman"/>
          <w:b/>
          <w:bCs/>
          <w:sz w:val="24"/>
          <w:szCs w:val="24"/>
        </w:rPr>
        <w:tab/>
      </w:r>
      <w:r w:rsidRPr="00DB5965">
        <w:rPr>
          <w:rFonts w:ascii="Times New Roman" w:hAnsi="Times New Roman" w:cs="Times New Roman"/>
          <w:sz w:val="24"/>
          <w:szCs w:val="24"/>
        </w:rPr>
        <w:t>Nesta seção serão analisados os resultados encontrados pela pesquisa. Inicialmente, serão discutidos os impactos do controle de emissões resultante da proposta brasileira sobre algumas variáveis macroeconômicas, tais como PIB real e emprego. Em seguida, serão abordados os efeitos sobre o consumo das famílias. Finalmente, os últimos resultados a serem discutidos são referentes aos impactos sobre o nível de atividade, as emissões setoriais e emissões por fonte (combustíveis e processos industriais).</w:t>
      </w:r>
    </w:p>
    <w:p w:rsidR="00331C23" w:rsidRDefault="0094311E" w:rsidP="00DF0D82">
      <w:pPr>
        <w:spacing w:after="0" w:line="240" w:lineRule="auto"/>
        <w:ind w:firstLine="708"/>
        <w:contextualSpacing/>
        <w:jc w:val="both"/>
        <w:rPr>
          <w:rFonts w:ascii="Times New Roman" w:hAnsi="Times New Roman" w:cs="Times New Roman"/>
          <w:b/>
          <w:bCs/>
          <w:sz w:val="24"/>
          <w:szCs w:val="24"/>
        </w:rPr>
      </w:pPr>
      <w:r w:rsidRPr="00DB5965">
        <w:rPr>
          <w:rFonts w:ascii="Times New Roman" w:hAnsi="Times New Roman" w:cs="Times New Roman"/>
          <w:sz w:val="24"/>
          <w:szCs w:val="24"/>
        </w:rPr>
        <w:t>É importante salientar que os impactos representam a diferença entre as variações obtidas com o cenário base e as variações do cenário com a política. Dessa forma, os resultados devem ser entendidos como desvios em relação a uma trajetória da economia brasileira (cenário base) sem a política de metas de emissões.</w:t>
      </w:r>
    </w:p>
    <w:p w:rsidR="0094311E" w:rsidRDefault="0094311E" w:rsidP="00E21016">
      <w:pPr>
        <w:spacing w:after="0" w:line="240" w:lineRule="auto"/>
        <w:contextualSpacing/>
        <w:jc w:val="both"/>
        <w:rPr>
          <w:rFonts w:ascii="Times New Roman" w:hAnsi="Times New Roman" w:cs="Times New Roman"/>
          <w:b/>
          <w:bCs/>
          <w:sz w:val="24"/>
          <w:szCs w:val="24"/>
        </w:rPr>
      </w:pPr>
      <w:r w:rsidRPr="00DB5965">
        <w:rPr>
          <w:rFonts w:ascii="Times New Roman" w:hAnsi="Times New Roman" w:cs="Times New Roman"/>
          <w:b/>
          <w:bCs/>
          <w:sz w:val="24"/>
          <w:szCs w:val="24"/>
        </w:rPr>
        <w:lastRenderedPageBreak/>
        <w:t>5.1 Resultados macroeconômicos</w:t>
      </w:r>
    </w:p>
    <w:p w:rsidR="00E21016" w:rsidRPr="00DB5965" w:rsidRDefault="00E21016" w:rsidP="00E21016">
      <w:pPr>
        <w:spacing w:after="0" w:line="240" w:lineRule="auto"/>
        <w:contextualSpacing/>
        <w:jc w:val="both"/>
        <w:rPr>
          <w:rFonts w:ascii="Times New Roman" w:hAnsi="Times New Roman" w:cs="Times New Roman"/>
          <w:b/>
          <w:bCs/>
          <w:sz w:val="24"/>
          <w:szCs w:val="24"/>
        </w:rPr>
      </w:pPr>
    </w:p>
    <w:p w:rsidR="0094311E" w:rsidRPr="00DB5965" w:rsidRDefault="0094311E" w:rsidP="00D05FF1">
      <w:pPr>
        <w:spacing w:after="0" w:line="240" w:lineRule="auto"/>
        <w:contextualSpacing/>
        <w:jc w:val="both"/>
        <w:rPr>
          <w:rFonts w:ascii="Times New Roman" w:hAnsi="Times New Roman" w:cs="Times New Roman"/>
          <w:sz w:val="24"/>
          <w:szCs w:val="24"/>
        </w:rPr>
      </w:pPr>
      <w:r w:rsidRPr="00DB5965">
        <w:rPr>
          <w:rFonts w:ascii="Times New Roman" w:hAnsi="Times New Roman" w:cs="Times New Roman"/>
          <w:sz w:val="24"/>
          <w:szCs w:val="24"/>
        </w:rPr>
        <w:tab/>
        <w:t>Conforme dito anteriormente, os resultados representam uma redução relativa ao cenário base em 2025, não devendo ser interpretados como quedas absolutas das variáveis agregadas. As relações de causalidade que explicam tais resultados encontram-se esquematizadas na Figura 1.</w:t>
      </w:r>
    </w:p>
    <w:p w:rsidR="00E21016" w:rsidRPr="00764DE1" w:rsidRDefault="00764DE1" w:rsidP="00764DE1">
      <w:pPr>
        <w:tabs>
          <w:tab w:val="left" w:pos="3690"/>
        </w:tabs>
        <w:spacing w:after="0" w:line="240" w:lineRule="auto"/>
        <w:contextualSpacing/>
        <w:rPr>
          <w:rFonts w:ascii="Times New Roman" w:hAnsi="Times New Roman" w:cs="Times New Roman"/>
          <w:b/>
          <w:bCs/>
          <w:sz w:val="18"/>
          <w:szCs w:val="24"/>
        </w:rPr>
      </w:pPr>
      <w:r w:rsidRPr="00764DE1">
        <w:rPr>
          <w:rFonts w:ascii="Times New Roman" w:hAnsi="Times New Roman" w:cs="Times New Roman"/>
          <w:b/>
          <w:bCs/>
          <w:sz w:val="18"/>
          <w:szCs w:val="24"/>
        </w:rPr>
        <w:tab/>
      </w:r>
    </w:p>
    <w:p w:rsidR="0094311E" w:rsidRPr="00DB5965" w:rsidRDefault="0094311E" w:rsidP="009020DA">
      <w:pPr>
        <w:spacing w:after="0" w:line="240" w:lineRule="auto"/>
        <w:contextualSpacing/>
        <w:jc w:val="center"/>
        <w:rPr>
          <w:rFonts w:ascii="Times New Roman" w:hAnsi="Times New Roman" w:cs="Times New Roman"/>
          <w:b/>
          <w:bCs/>
          <w:sz w:val="24"/>
          <w:szCs w:val="24"/>
        </w:rPr>
      </w:pPr>
      <w:r w:rsidRPr="00DB5965">
        <w:rPr>
          <w:rFonts w:ascii="Times New Roman" w:hAnsi="Times New Roman" w:cs="Times New Roman"/>
          <w:b/>
          <w:bCs/>
          <w:sz w:val="24"/>
          <w:szCs w:val="24"/>
        </w:rPr>
        <w:t xml:space="preserve">Figura 1 – Fluxograma de relações de causalidade do modelo </w:t>
      </w:r>
      <w:proofErr w:type="spellStart"/>
      <w:r w:rsidRPr="00DB5965">
        <w:rPr>
          <w:rFonts w:ascii="Times New Roman" w:hAnsi="Times New Roman" w:cs="Times New Roman"/>
          <w:b/>
          <w:bCs/>
          <w:sz w:val="24"/>
          <w:szCs w:val="24"/>
        </w:rPr>
        <w:t>BeGreen</w:t>
      </w:r>
      <w:proofErr w:type="spellEnd"/>
    </w:p>
    <w:p w:rsidR="0094311E" w:rsidRPr="00DB5965" w:rsidRDefault="0094311E" w:rsidP="00D05FF1">
      <w:pPr>
        <w:spacing w:after="0" w:line="240" w:lineRule="auto"/>
        <w:contextualSpacing/>
        <w:jc w:val="both"/>
        <w:rPr>
          <w:rFonts w:ascii="Times New Roman" w:hAnsi="Times New Roman" w:cs="Times New Roman"/>
          <w:sz w:val="24"/>
          <w:szCs w:val="24"/>
        </w:rPr>
      </w:pPr>
    </w:p>
    <w:p w:rsidR="0094311E" w:rsidRPr="00DF0D82" w:rsidRDefault="00E77DED" w:rsidP="00F9381A">
      <w:pPr>
        <w:rPr>
          <w:rFonts w:ascii="Times New Roman" w:hAnsi="Times New Roman" w:cs="Times New Roman"/>
          <w:sz w:val="18"/>
        </w:rPr>
      </w:pPr>
      <w:r>
        <w:rPr>
          <w:noProof/>
          <w:sz w:val="18"/>
          <w:lang w:eastAsia="pt-BR"/>
        </w:rPr>
        <w:pict>
          <v:shapetype id="_x0000_t32" coordsize="21600,21600" o:spt="32" o:oned="t" path="m,l21600,21600e" filled="f">
            <v:path arrowok="t" fillok="f" o:connecttype="none"/>
            <o:lock v:ext="edit" shapetype="t"/>
          </v:shapetype>
          <v:shape id="_x0000_s1026" type="#_x0000_t32" style="position:absolute;margin-left:197.85pt;margin-top:40.75pt;width:0;height:11.05pt;z-index:29" o:connectortype="straight">
            <v:stroke endarrow="block"/>
          </v:shape>
        </w:pict>
      </w:r>
      <w:r w:rsidR="0094311E" w:rsidRPr="00DF0D82">
        <w:rPr>
          <w:rFonts w:ascii="Times New Roman" w:hAnsi="Times New Roman" w:cs="Times New Roman"/>
          <w:sz w:val="18"/>
        </w:rPr>
        <w:t xml:space="preserve">                                                </w:t>
      </w:r>
      <w:r w:rsidR="004B2A35">
        <w:rPr>
          <w:rFonts w:ascii="Times New Roman" w:hAnsi="Times New Roman" w:cs="Times New Roman"/>
          <w:sz w:val="18"/>
        </w:rPr>
        <w:t xml:space="preserve">      </w:t>
      </w:r>
      <w:r w:rsidR="0094311E" w:rsidRPr="00DF0D82">
        <w:rPr>
          <w:rFonts w:ascii="Times New Roman" w:hAnsi="Times New Roman" w:cs="Times New Roman"/>
          <w:sz w:val="18"/>
        </w:rPr>
        <w:t xml:space="preserve">        </w:t>
      </w:r>
      <w:r>
        <w:rPr>
          <w:rFonts w:ascii="Times New Roman" w:hAnsi="Times New Roman" w:cs="Times New Roman"/>
          <w:sz w:val="18"/>
        </w:rPr>
      </w:r>
      <w:r>
        <w:rPr>
          <w:rFonts w:ascii="Times New Roman" w:hAnsi="Times New Roman" w:cs="Times New Roman"/>
          <w:sz w:val="18"/>
        </w:rPr>
        <w:pict>
          <v:rect id="_x0000_s1112" style="width:121.55pt;height:39.7pt;mso-left-percent:-10001;mso-top-percent:-10001;mso-position-horizontal:absolute;mso-position-horizontal-relative:char;mso-position-vertical:absolute;mso-position-vertical-relative:line;mso-left-percent:-10001;mso-top-percent:-10001">
            <v:textbox style="mso-next-textbox:#_x0000_s1112">
              <w:txbxContent>
                <w:p w:rsidR="00F3262C" w:rsidRPr="00A12D52" w:rsidRDefault="00F3262C" w:rsidP="009020DA">
                  <w:pPr>
                    <w:jc w:val="center"/>
                    <w:rPr>
                      <w:rFonts w:ascii="Times New Roman" w:hAnsi="Times New Roman" w:cs="Times New Roman"/>
                    </w:rPr>
                  </w:pPr>
                  <w:r w:rsidRPr="00A12D52">
                    <w:rPr>
                      <w:rFonts w:ascii="Times New Roman" w:hAnsi="Times New Roman" w:cs="Times New Roman"/>
                    </w:rPr>
                    <w:t>Metas de redução de emissões</w:t>
                  </w:r>
                </w:p>
              </w:txbxContent>
            </v:textbox>
            <w10:anchorlock/>
          </v:rect>
        </w:pict>
      </w:r>
    </w:p>
    <w:p w:rsidR="0094311E" w:rsidRPr="00DF0D82" w:rsidRDefault="0094311E" w:rsidP="00B802B5">
      <w:pPr>
        <w:spacing w:after="0" w:line="240" w:lineRule="auto"/>
        <w:contextualSpacing/>
        <w:rPr>
          <w:rFonts w:ascii="Times New Roman" w:hAnsi="Times New Roman" w:cs="Times New Roman"/>
          <w:sz w:val="2"/>
          <w:szCs w:val="2"/>
        </w:rPr>
      </w:pPr>
    </w:p>
    <w:p w:rsidR="0094311E" w:rsidRPr="00DF0D82" w:rsidRDefault="00E77DED" w:rsidP="00F9381A">
      <w:pPr>
        <w:rPr>
          <w:rFonts w:ascii="Times New Roman" w:hAnsi="Times New Roman" w:cs="Times New Roman"/>
          <w:sz w:val="18"/>
        </w:rPr>
      </w:pPr>
      <w:r>
        <w:rPr>
          <w:noProof/>
          <w:sz w:val="18"/>
          <w:lang w:eastAsia="pt-BR"/>
        </w:rPr>
        <w:pict>
          <v:shape id="_x0000_s1028" type="#_x0000_t32" style="position:absolute;margin-left:197.55pt;margin-top:31.95pt;width:.05pt;height:13.15pt;z-index:30" o:connectortype="straight">
            <v:stroke endarrow="block"/>
          </v:shape>
        </w:pict>
      </w:r>
      <w:r w:rsidR="0094311E" w:rsidRPr="00DF0D82">
        <w:rPr>
          <w:rFonts w:ascii="Times New Roman" w:hAnsi="Times New Roman" w:cs="Times New Roman"/>
          <w:sz w:val="18"/>
        </w:rPr>
        <w:t xml:space="preserve">                                                      </w:t>
      </w:r>
      <w:r w:rsidR="004B2A35">
        <w:rPr>
          <w:rFonts w:ascii="Times New Roman" w:hAnsi="Times New Roman" w:cs="Times New Roman"/>
          <w:sz w:val="18"/>
        </w:rPr>
        <w:t xml:space="preserve">      </w:t>
      </w:r>
      <w:r w:rsidR="0094311E" w:rsidRPr="00DF0D82">
        <w:rPr>
          <w:rFonts w:ascii="Times New Roman" w:hAnsi="Times New Roman" w:cs="Times New Roman"/>
          <w:sz w:val="18"/>
        </w:rPr>
        <w:t xml:space="preserve">  </w:t>
      </w:r>
      <w:r>
        <w:rPr>
          <w:rFonts w:ascii="Times New Roman" w:hAnsi="Times New Roman" w:cs="Times New Roman"/>
          <w:sz w:val="18"/>
        </w:rPr>
      </w:r>
      <w:r>
        <w:rPr>
          <w:rFonts w:ascii="Times New Roman" w:hAnsi="Times New Roman" w:cs="Times New Roman"/>
          <w:sz w:val="18"/>
        </w:rPr>
        <w:pict>
          <v:rect id="_x0000_s1111" style="width:121.55pt;height:30.9pt;mso-left-percent:-10001;mso-top-percent:-10001;mso-position-horizontal:absolute;mso-position-horizontal-relative:char;mso-position-vertical:absolute;mso-position-vertical-relative:line;mso-left-percent:-10001;mso-top-percent:-10001">
            <v:textbox style="mso-next-textbox:#_x0000_s1111">
              <w:txbxContent>
                <w:p w:rsidR="00F3262C" w:rsidRPr="00A12D52" w:rsidRDefault="00F3262C" w:rsidP="00F31007">
                  <w:pPr>
                    <w:spacing w:after="0" w:line="240" w:lineRule="auto"/>
                    <w:contextualSpacing/>
                    <w:jc w:val="center"/>
                    <w:rPr>
                      <w:rFonts w:ascii="Times New Roman" w:hAnsi="Times New Roman" w:cs="Times New Roman"/>
                    </w:rPr>
                  </w:pPr>
                  <w:r>
                    <w:rPr>
                      <w:rFonts w:ascii="Times New Roman" w:hAnsi="Times New Roman" w:cs="Times New Roman"/>
                    </w:rPr>
                    <w:t>Custo Marginal de Redução de Emissões</w:t>
                  </w:r>
                </w:p>
                <w:p w:rsidR="00F3262C" w:rsidRDefault="00F3262C" w:rsidP="00F9381A"/>
              </w:txbxContent>
            </v:textbox>
            <w10:anchorlock/>
          </v:rect>
        </w:pict>
      </w:r>
    </w:p>
    <w:p w:rsidR="0094311E" w:rsidRPr="00DF0D82" w:rsidRDefault="0094311E" w:rsidP="00B802B5">
      <w:pPr>
        <w:spacing w:after="0"/>
        <w:contextualSpacing/>
        <w:rPr>
          <w:rFonts w:ascii="Times New Roman" w:hAnsi="Times New Roman" w:cs="Times New Roman"/>
          <w:sz w:val="2"/>
          <w:szCs w:val="2"/>
        </w:rPr>
      </w:pPr>
    </w:p>
    <w:p w:rsidR="0094311E" w:rsidRPr="00DF0D82" w:rsidRDefault="0094311E" w:rsidP="00B802B5">
      <w:pPr>
        <w:spacing w:after="0" w:line="240" w:lineRule="auto"/>
        <w:contextualSpacing/>
        <w:rPr>
          <w:rFonts w:ascii="Times New Roman" w:hAnsi="Times New Roman" w:cs="Times New Roman"/>
          <w:sz w:val="2"/>
          <w:szCs w:val="2"/>
        </w:rPr>
      </w:pPr>
    </w:p>
    <w:p w:rsidR="0094311E" w:rsidRPr="00DF0D82" w:rsidRDefault="00E77DED" w:rsidP="00F9381A">
      <w:pPr>
        <w:rPr>
          <w:rFonts w:ascii="Times New Roman" w:hAnsi="Times New Roman" w:cs="Times New Roman"/>
          <w:sz w:val="18"/>
        </w:rPr>
      </w:pPr>
      <w:r>
        <w:rPr>
          <w:noProof/>
          <w:sz w:val="18"/>
          <w:lang w:eastAsia="pt-BR"/>
        </w:rPr>
        <w:pict>
          <v:shape id="_x0000_s1030" type="#_x0000_t32" style="position:absolute;margin-left:197.85pt;margin-top:36.1pt;width:0;height:30.4pt;z-index:33" o:connectortype="straight">
            <v:stroke endarrow="block"/>
          </v:shape>
        </w:pict>
      </w:r>
      <w:r w:rsidR="0094311E" w:rsidRPr="00DF0D82">
        <w:rPr>
          <w:rFonts w:ascii="Times New Roman" w:hAnsi="Times New Roman" w:cs="Times New Roman"/>
          <w:sz w:val="18"/>
        </w:rPr>
        <w:t xml:space="preserve">                                                   </w:t>
      </w:r>
      <w:r w:rsidR="004B2A35">
        <w:rPr>
          <w:rFonts w:ascii="Times New Roman" w:hAnsi="Times New Roman" w:cs="Times New Roman"/>
          <w:sz w:val="18"/>
        </w:rPr>
        <w:t xml:space="preserve">        </w:t>
      </w:r>
      <w:r w:rsidR="0094311E" w:rsidRPr="00DF0D82">
        <w:rPr>
          <w:rFonts w:ascii="Times New Roman" w:hAnsi="Times New Roman" w:cs="Times New Roman"/>
          <w:sz w:val="18"/>
        </w:rPr>
        <w:t xml:space="preserve">   </w:t>
      </w:r>
      <w:r>
        <w:rPr>
          <w:rFonts w:ascii="Times New Roman" w:hAnsi="Times New Roman" w:cs="Times New Roman"/>
          <w:sz w:val="18"/>
        </w:rPr>
      </w:r>
      <w:r>
        <w:rPr>
          <w:rFonts w:ascii="Times New Roman" w:hAnsi="Times New Roman" w:cs="Times New Roman"/>
          <w:sz w:val="18"/>
        </w:rPr>
        <w:pict>
          <v:rect id="_x0000_s1110" style="width:121.55pt;height:35.3pt;mso-left-percent:-10001;mso-top-percent:-10001;mso-position-horizontal:absolute;mso-position-horizontal-relative:char;mso-position-vertical:absolute;mso-position-vertical-relative:line;mso-left-percent:-10001;mso-top-percent:-10001">
            <v:textbox>
              <w:txbxContent>
                <w:p w:rsidR="00F3262C" w:rsidRPr="00F97322" w:rsidRDefault="00F3262C" w:rsidP="009020DA">
                  <w:pPr>
                    <w:jc w:val="center"/>
                    <w:rPr>
                      <w:rFonts w:ascii="Times New Roman" w:hAnsi="Times New Roman" w:cs="Times New Roman"/>
                      <w:sz w:val="23"/>
                      <w:szCs w:val="23"/>
                    </w:rPr>
                  </w:pPr>
                  <w:r w:rsidRPr="00A12D52">
                    <w:rPr>
                      <w:rFonts w:ascii="Times New Roman" w:hAnsi="Times New Roman" w:cs="Times New Roman"/>
                    </w:rPr>
                    <w:t>Aumentos dos custos de produção</w:t>
                  </w:r>
                </w:p>
                <w:p w:rsidR="00F3262C" w:rsidRPr="00D559ED" w:rsidRDefault="00F3262C" w:rsidP="00F9381A"/>
              </w:txbxContent>
            </v:textbox>
            <w10:anchorlock/>
          </v:rect>
        </w:pict>
      </w:r>
    </w:p>
    <w:p w:rsidR="0094311E" w:rsidRPr="00DF0D82" w:rsidRDefault="00E77DED" w:rsidP="00F9381A">
      <w:pPr>
        <w:rPr>
          <w:rFonts w:ascii="Times New Roman" w:hAnsi="Times New Roman" w:cs="Times New Roman"/>
          <w:sz w:val="18"/>
        </w:rPr>
      </w:pPr>
      <w:r>
        <w:rPr>
          <w:noProof/>
          <w:sz w:val="18"/>
          <w:lang w:eastAsia="pt-BR"/>
        </w:rPr>
        <w:pict>
          <v:shape id="_x0000_s1033" type="#_x0000_t32" style="position:absolute;margin-left:74.75pt;margin-top:10.1pt;width:.45pt;height:10.85pt;z-index:32" o:connectortype="straight">
            <v:stroke endarrow="block"/>
          </v:shape>
        </w:pict>
      </w:r>
      <w:r>
        <w:rPr>
          <w:noProof/>
          <w:sz w:val="18"/>
          <w:lang w:eastAsia="pt-BR"/>
        </w:rPr>
        <w:pict>
          <v:shape id="_x0000_s1032" type="#_x0000_t32" style="position:absolute;margin-left:351.85pt;margin-top:10.1pt;width:0;height:10.1pt;z-index:31" o:connectortype="straight">
            <v:stroke endarrow="block"/>
          </v:shape>
        </w:pict>
      </w:r>
      <w:r>
        <w:rPr>
          <w:noProof/>
          <w:sz w:val="18"/>
          <w:lang w:eastAsia="pt-BR"/>
        </w:rPr>
        <w:pict>
          <v:shape id="_x0000_s1034" type="#_x0000_t32" style="position:absolute;margin-left:213.3pt;margin-top:10.1pt;width:138.55pt;height:0;flip:x;z-index:17" o:connectortype="straight"/>
        </w:pict>
      </w:r>
      <w:r>
        <w:rPr>
          <w:noProof/>
          <w:sz w:val="18"/>
          <w:lang w:eastAsia="pt-BR"/>
        </w:rPr>
        <w:pict>
          <v:shape id="_x0000_s1035" type="#_x0000_t32" style="position:absolute;margin-left:74.75pt;margin-top:10.1pt;width:138.55pt;height:0;flip:x;z-index:16" o:connectortype="straight"/>
        </w:pict>
      </w:r>
    </w:p>
    <w:p w:rsidR="0094311E" w:rsidRPr="00DF0D82" w:rsidRDefault="00E77DED" w:rsidP="00F9381A">
      <w:pPr>
        <w:rPr>
          <w:rFonts w:ascii="Times New Roman" w:hAnsi="Times New Roman" w:cs="Times New Roman"/>
          <w:sz w:val="18"/>
        </w:rPr>
      </w:pPr>
      <w:r>
        <w:rPr>
          <w:noProof/>
          <w:sz w:val="18"/>
          <w:lang w:eastAsia="pt-BR"/>
        </w:rPr>
        <w:pict>
          <v:shape id="_x0000_s1039" type="#_x0000_t32" style="position:absolute;margin-left:199.15pt;margin-top:37.25pt;width:0;height:15.95pt;z-index:34" o:connectortype="straight"/>
        </w:pict>
      </w:r>
      <w:r>
        <w:rPr>
          <w:noProof/>
          <w:sz w:val="18"/>
          <w:lang w:eastAsia="pt-BR"/>
        </w:rPr>
        <w:pict>
          <v:shape id="_x0000_s1036" type="#_x0000_t32" style="position:absolute;margin-left:32.6pt;margin-top:39.25pt;width:0;height:296.15pt;flip:y;z-index:45" o:connectortype="straight"/>
        </w:pict>
      </w:r>
      <w:r>
        <w:rPr>
          <w:noProof/>
          <w:sz w:val="18"/>
          <w:lang w:eastAsia="pt-BR"/>
        </w:rPr>
        <w:pict>
          <v:shape id="_x0000_s1038" type="#_x0000_t32" style="position:absolute;margin-left:405.7pt;margin-top:17.95pt;width:40.95pt;height:.05pt;z-index:42" o:connectortype="straight"/>
        </w:pict>
      </w:r>
      <w:r>
        <w:rPr>
          <w:noProof/>
          <w:sz w:val="18"/>
          <w:lang w:eastAsia="pt-BR"/>
        </w:rPr>
        <w:pict>
          <v:shape id="_x0000_s1037" type="#_x0000_t32" style="position:absolute;margin-left:446.65pt;margin-top:17.95pt;width:.05pt;height:367.95pt;z-index:43" o:connectortype="straight"/>
        </w:pict>
      </w:r>
      <w:r>
        <w:rPr>
          <w:rFonts w:ascii="Times New Roman" w:hAnsi="Times New Roman" w:cs="Times New Roman"/>
          <w:sz w:val="18"/>
        </w:rPr>
      </w:r>
      <w:r>
        <w:rPr>
          <w:rFonts w:ascii="Times New Roman" w:hAnsi="Times New Roman" w:cs="Times New Roman"/>
          <w:sz w:val="18"/>
        </w:rPr>
        <w:pict>
          <v:rect id="_x0000_s1109" style="width:121.55pt;height:36.1pt;mso-left-percent:-10001;mso-top-percent:-10001;mso-position-horizontal:absolute;mso-position-horizontal-relative:char;mso-position-vertical:absolute;mso-position-vertical-relative:line;mso-left-percent:-10001;mso-top-percent:-10001">
            <v:textbox style="mso-next-textbox:#_x0000_s1109">
              <w:txbxContent>
                <w:p w:rsidR="00F3262C" w:rsidRPr="00A12D52" w:rsidRDefault="00F3262C" w:rsidP="009020DA">
                  <w:pPr>
                    <w:jc w:val="center"/>
                    <w:rPr>
                      <w:rFonts w:ascii="Times New Roman" w:hAnsi="Times New Roman" w:cs="Times New Roman"/>
                    </w:rPr>
                  </w:pPr>
                  <w:r w:rsidRPr="00A12D52">
                    <w:rPr>
                      <w:rFonts w:ascii="Times New Roman" w:hAnsi="Times New Roman" w:cs="Times New Roman"/>
                    </w:rPr>
                    <w:t>Aumento do preço dos bens</w:t>
                  </w:r>
                </w:p>
                <w:p w:rsidR="00F3262C" w:rsidRPr="00D559ED" w:rsidRDefault="00F3262C" w:rsidP="00F9381A"/>
              </w:txbxContent>
            </v:textbox>
            <w10:anchorlock/>
          </v:rect>
        </w:pict>
      </w:r>
      <w:r w:rsidR="0094311E" w:rsidRPr="00DF0D82">
        <w:rPr>
          <w:rFonts w:ascii="Times New Roman" w:hAnsi="Times New Roman" w:cs="Times New Roman"/>
          <w:sz w:val="18"/>
        </w:rPr>
        <w:t xml:space="preserve">        </w:t>
      </w:r>
      <w:r>
        <w:rPr>
          <w:rFonts w:ascii="Times New Roman" w:hAnsi="Times New Roman" w:cs="Times New Roman"/>
          <w:sz w:val="18"/>
        </w:rPr>
      </w:r>
      <w:r>
        <w:rPr>
          <w:rFonts w:ascii="Times New Roman" w:hAnsi="Times New Roman" w:cs="Times New Roman"/>
          <w:sz w:val="18"/>
        </w:rPr>
        <w:pict>
          <v:rect id="_x0000_s1108" style="width:121.55pt;height:35.85pt;mso-left-percent:-10001;mso-top-percent:-10001;mso-position-horizontal:absolute;mso-position-horizontal-relative:char;mso-position-vertical:absolute;mso-position-vertical-relative:line;mso-left-percent:-10001;mso-top-percent:-10001">
            <v:textbox style="mso-next-textbox:#_x0000_s1108">
              <w:txbxContent>
                <w:p w:rsidR="00F3262C" w:rsidRDefault="00F3262C" w:rsidP="009020DA">
                  <w:pPr>
                    <w:jc w:val="center"/>
                  </w:pPr>
                  <w:r w:rsidRPr="00A12D52">
                    <w:rPr>
                      <w:rFonts w:ascii="Times New Roman" w:hAnsi="Times New Roman" w:cs="Times New Roman"/>
                    </w:rPr>
                    <w:t>Redução da produção e da atividade</w:t>
                  </w:r>
                </w:p>
                <w:p w:rsidR="00F3262C" w:rsidRPr="00D559ED" w:rsidRDefault="00F3262C" w:rsidP="00F9381A"/>
              </w:txbxContent>
            </v:textbox>
            <w10:anchorlock/>
          </v:rect>
        </w:pict>
      </w:r>
      <w:r w:rsidR="0094311E" w:rsidRPr="00DF0D82">
        <w:rPr>
          <w:rFonts w:ascii="Times New Roman" w:hAnsi="Times New Roman" w:cs="Times New Roman"/>
          <w:sz w:val="18"/>
        </w:rPr>
        <w:t xml:space="preserve">        </w:t>
      </w:r>
      <w:r>
        <w:rPr>
          <w:rFonts w:ascii="Times New Roman" w:hAnsi="Times New Roman" w:cs="Times New Roman"/>
          <w:sz w:val="18"/>
        </w:rPr>
      </w:r>
      <w:r>
        <w:rPr>
          <w:rFonts w:ascii="Times New Roman" w:hAnsi="Times New Roman" w:cs="Times New Roman"/>
          <w:sz w:val="18"/>
        </w:rPr>
        <w:pict>
          <v:rect id="_x0000_s1107" style="width:121.55pt;height:37.05pt;mso-left-percent:-10001;mso-top-percent:-10001;mso-position-horizontal:absolute;mso-position-horizontal-relative:char;mso-position-vertical:absolute;mso-position-vertical-relative:line;mso-left-percent:-10001;mso-top-percent:-10001">
            <v:textbox>
              <w:txbxContent>
                <w:p w:rsidR="00F3262C" w:rsidRPr="00A12D52" w:rsidRDefault="00F3262C" w:rsidP="009020DA">
                  <w:pPr>
                    <w:jc w:val="center"/>
                    <w:rPr>
                      <w:rFonts w:ascii="Times New Roman" w:hAnsi="Times New Roman" w:cs="Times New Roman"/>
                    </w:rPr>
                  </w:pPr>
                  <w:r>
                    <w:rPr>
                      <w:rFonts w:ascii="Times New Roman" w:hAnsi="Times New Roman" w:cs="Times New Roman"/>
                    </w:rPr>
                    <w:t>Redução das exportações</w:t>
                  </w:r>
                </w:p>
                <w:p w:rsidR="00F3262C" w:rsidRDefault="00F3262C" w:rsidP="00F9381A"/>
              </w:txbxContent>
            </v:textbox>
            <w10:anchorlock/>
          </v:rect>
        </w:pict>
      </w:r>
    </w:p>
    <w:p w:rsidR="0094311E" w:rsidRPr="00DF0D82" w:rsidRDefault="00E77DED" w:rsidP="00F9381A">
      <w:pPr>
        <w:rPr>
          <w:rFonts w:ascii="Times New Roman" w:hAnsi="Times New Roman" w:cs="Times New Roman"/>
          <w:sz w:val="18"/>
        </w:rPr>
      </w:pPr>
      <w:r>
        <w:rPr>
          <w:noProof/>
          <w:sz w:val="18"/>
          <w:lang w:eastAsia="pt-BR"/>
        </w:rPr>
        <w:pict>
          <v:shape id="_x0000_s1043" type="#_x0000_t32" style="position:absolute;margin-left:269.75pt;margin-top:5.85pt;width:.5pt;height:13.75pt;flip:x;z-index:35" o:connectortype="straight">
            <v:stroke endarrow="block"/>
          </v:shape>
        </w:pict>
      </w:r>
      <w:r>
        <w:rPr>
          <w:noProof/>
          <w:sz w:val="18"/>
          <w:lang w:eastAsia="pt-BR"/>
        </w:rPr>
        <w:pict>
          <v:shape id="_x0000_s1044" type="#_x0000_t32" style="position:absolute;margin-left:130.8pt;margin-top:5.95pt;width:.4pt;height:13.65pt;flip:x;z-index:36" o:connectortype="straight">
            <v:stroke endarrow="block"/>
          </v:shape>
        </w:pict>
      </w:r>
      <w:r>
        <w:rPr>
          <w:noProof/>
          <w:sz w:val="18"/>
          <w:lang w:eastAsia="pt-BR"/>
        </w:rPr>
        <w:pict>
          <v:shape id="_x0000_s1045" type="#_x0000_t32" style="position:absolute;margin-left:131.2pt;margin-top:6.35pt;width:138.55pt;height:0;flip:x;z-index:18" o:connectortype="straight"/>
        </w:pict>
      </w:r>
      <w:r w:rsidR="0094311E" w:rsidRPr="00DF0D82">
        <w:rPr>
          <w:rFonts w:ascii="Times New Roman" w:hAnsi="Times New Roman" w:cs="Times New Roman"/>
          <w:sz w:val="18"/>
        </w:rPr>
        <w:t xml:space="preserve">                      </w:t>
      </w:r>
    </w:p>
    <w:p w:rsidR="0094311E" w:rsidRPr="00DF0D82" w:rsidRDefault="00E77DED" w:rsidP="00F9381A">
      <w:pPr>
        <w:rPr>
          <w:rFonts w:ascii="Times New Roman" w:hAnsi="Times New Roman" w:cs="Times New Roman"/>
          <w:sz w:val="18"/>
        </w:rPr>
      </w:pPr>
      <w:r>
        <w:rPr>
          <w:noProof/>
          <w:sz w:val="18"/>
          <w:lang w:eastAsia="pt-BR"/>
        </w:rPr>
        <w:pict>
          <v:shape id="_x0000_s1046" type="#_x0000_t32" style="position:absolute;margin-left:269.7pt;margin-top:54.95pt;width:.05pt;height:10.8pt;flip:x;z-index:38" o:connectortype="straight">
            <v:stroke endarrow="block"/>
          </v:shape>
        </w:pict>
      </w:r>
      <w:r>
        <w:rPr>
          <w:noProof/>
          <w:sz w:val="18"/>
          <w:lang w:eastAsia="pt-BR"/>
        </w:rPr>
        <w:pict>
          <v:shape id="_x0000_s1047" type="#_x0000_t32" style="position:absolute;margin-left:130.8pt;margin-top:54.65pt;width:.4pt;height:11.3pt;z-index:37" o:connectortype="straight">
            <v:stroke endarrow="block"/>
          </v:shape>
        </w:pict>
      </w:r>
      <w:r w:rsidR="0094311E" w:rsidRPr="00DF0D82">
        <w:rPr>
          <w:rFonts w:ascii="Times New Roman" w:hAnsi="Times New Roman" w:cs="Times New Roman"/>
          <w:sz w:val="18"/>
        </w:rPr>
        <w:t xml:space="preserve">                                  </w:t>
      </w:r>
      <w:r>
        <w:rPr>
          <w:rFonts w:ascii="Times New Roman" w:hAnsi="Times New Roman" w:cs="Times New Roman"/>
          <w:sz w:val="18"/>
        </w:rPr>
      </w:r>
      <w:r>
        <w:rPr>
          <w:rFonts w:ascii="Times New Roman" w:hAnsi="Times New Roman" w:cs="Times New Roman"/>
          <w:sz w:val="18"/>
        </w:rPr>
        <w:pict>
          <v:rect id="_x0000_s1106" style="width:121.55pt;height:54.2pt;mso-left-percent:-10001;mso-top-percent:-10001;mso-position-horizontal:absolute;mso-position-horizontal-relative:char;mso-position-vertical:absolute;mso-position-vertical-relative:line;mso-left-percent:-10001;mso-top-percent:-10001">
            <v:textbox style="mso-next-textbox:#_x0000_s1106">
              <w:txbxContent>
                <w:p w:rsidR="00F3262C" w:rsidRPr="00262BAA" w:rsidRDefault="00F3262C" w:rsidP="00262BAA">
                  <w:pPr>
                    <w:spacing w:after="0" w:line="240" w:lineRule="auto"/>
                    <w:contextualSpacing/>
                    <w:jc w:val="center"/>
                    <w:rPr>
                      <w:rFonts w:ascii="Times New Roman" w:hAnsi="Times New Roman" w:cs="Times New Roman"/>
                      <w:sz w:val="16"/>
                      <w:szCs w:val="16"/>
                    </w:rPr>
                  </w:pPr>
                </w:p>
                <w:p w:rsidR="00F3262C" w:rsidRPr="00A12D52" w:rsidRDefault="00F3262C" w:rsidP="00262BAA">
                  <w:pPr>
                    <w:spacing w:after="0" w:line="240" w:lineRule="auto"/>
                    <w:contextualSpacing/>
                    <w:jc w:val="center"/>
                    <w:rPr>
                      <w:rFonts w:ascii="Times New Roman" w:hAnsi="Times New Roman" w:cs="Times New Roman"/>
                    </w:rPr>
                  </w:pPr>
                  <w:r w:rsidRPr="00A12D52">
                    <w:rPr>
                      <w:rFonts w:ascii="Times New Roman" w:hAnsi="Times New Roman" w:cs="Times New Roman"/>
                    </w:rPr>
                    <w:t>Redução da demanda por trabalho</w:t>
                  </w:r>
                </w:p>
              </w:txbxContent>
            </v:textbox>
            <w10:anchorlock/>
          </v:rect>
        </w:pict>
      </w:r>
      <w:r w:rsidR="0094311E" w:rsidRPr="00DF0D82">
        <w:rPr>
          <w:rFonts w:ascii="Times New Roman" w:hAnsi="Times New Roman" w:cs="Times New Roman"/>
          <w:sz w:val="18"/>
        </w:rPr>
        <w:t xml:space="preserve">     </w:t>
      </w:r>
      <w:r>
        <w:rPr>
          <w:rFonts w:ascii="Times New Roman" w:hAnsi="Times New Roman" w:cs="Times New Roman"/>
          <w:sz w:val="18"/>
        </w:rPr>
      </w:r>
      <w:r>
        <w:rPr>
          <w:rFonts w:ascii="Times New Roman" w:hAnsi="Times New Roman" w:cs="Times New Roman"/>
          <w:sz w:val="18"/>
        </w:rPr>
        <w:pict>
          <v:rect id="_x0000_s1105" style="width:121.55pt;height:54.2pt;mso-left-percent:-10001;mso-top-percent:-10001;mso-position-horizontal:absolute;mso-position-horizontal-relative:char;mso-position-vertical:absolute;mso-position-vertical-relative:line;mso-left-percent:-10001;mso-top-percent:-10001">
            <v:textbox style="mso-next-textbox:#_x0000_s1105">
              <w:txbxContent>
                <w:p w:rsidR="00F3262C" w:rsidRPr="00A12D52" w:rsidRDefault="00F3262C" w:rsidP="009020DA">
                  <w:pPr>
                    <w:jc w:val="center"/>
                    <w:rPr>
                      <w:rFonts w:ascii="Times New Roman" w:hAnsi="Times New Roman" w:cs="Times New Roman"/>
                    </w:rPr>
                  </w:pPr>
                  <w:r w:rsidRPr="00A12D52">
                    <w:rPr>
                      <w:rFonts w:ascii="Times New Roman" w:hAnsi="Times New Roman" w:cs="Times New Roman"/>
                    </w:rPr>
                    <w:t xml:space="preserve">Diminuição na demanda por </w:t>
                  </w:r>
                  <w:r>
                    <w:rPr>
                      <w:rFonts w:ascii="Times New Roman" w:hAnsi="Times New Roman" w:cs="Times New Roman"/>
                    </w:rPr>
                    <w:t>terra e capital</w:t>
                  </w:r>
                </w:p>
              </w:txbxContent>
            </v:textbox>
            <w10:anchorlock/>
          </v:rect>
        </w:pict>
      </w:r>
      <w:r w:rsidR="0094311E" w:rsidRPr="00DF0D82">
        <w:rPr>
          <w:rFonts w:ascii="Times New Roman" w:hAnsi="Times New Roman" w:cs="Times New Roman"/>
          <w:sz w:val="18"/>
        </w:rPr>
        <w:t xml:space="preserve">       </w:t>
      </w:r>
    </w:p>
    <w:p w:rsidR="0094311E" w:rsidRPr="00DF0D82" w:rsidRDefault="00E77DED" w:rsidP="00F9381A">
      <w:pPr>
        <w:rPr>
          <w:rFonts w:ascii="Times New Roman" w:hAnsi="Times New Roman" w:cs="Times New Roman"/>
          <w:sz w:val="18"/>
        </w:rPr>
      </w:pPr>
      <w:r>
        <w:rPr>
          <w:noProof/>
          <w:sz w:val="18"/>
          <w:lang w:eastAsia="pt-BR"/>
        </w:rPr>
        <w:pict>
          <v:shape id="_x0000_s1092" type="#_x0000_t32" style="position:absolute;margin-left:270.35pt;margin-top:55.3pt;width:.05pt;height:12.55pt;z-index:46" o:connectortype="straight"/>
        </w:pict>
      </w:r>
      <w:r>
        <w:rPr>
          <w:noProof/>
          <w:sz w:val="18"/>
          <w:lang w:eastAsia="pt-BR"/>
        </w:rPr>
        <w:pict>
          <v:shape id="_x0000_s1051" type="#_x0000_t32" style="position:absolute;margin-left:108.65pt;margin-top:55.3pt;width:0;height:127.1pt;z-index:23" o:connectortype="straight">
            <v:stroke endarrow="block"/>
          </v:shape>
        </w:pict>
      </w:r>
      <w:r w:rsidR="0094311E" w:rsidRPr="00DF0D82">
        <w:rPr>
          <w:rFonts w:ascii="Times New Roman" w:hAnsi="Times New Roman" w:cs="Times New Roman"/>
          <w:sz w:val="18"/>
        </w:rPr>
        <w:t xml:space="preserve">                                 </w:t>
      </w:r>
      <w:r>
        <w:rPr>
          <w:rFonts w:ascii="Times New Roman" w:hAnsi="Times New Roman" w:cs="Times New Roman"/>
          <w:sz w:val="18"/>
        </w:rPr>
      </w:r>
      <w:r>
        <w:rPr>
          <w:rFonts w:ascii="Times New Roman" w:hAnsi="Times New Roman" w:cs="Times New Roman"/>
          <w:sz w:val="18"/>
        </w:rPr>
        <w:pict>
          <v:rect id="_x0000_s1104" style="width:121.55pt;height:54.2pt;mso-left-percent:-10001;mso-top-percent:-10001;mso-position-horizontal:absolute;mso-position-horizontal-relative:char;mso-position-vertical:absolute;mso-position-vertical-relative:line;mso-left-percent:-10001;mso-top-percent:-10001">
            <v:textbox style="mso-next-textbox:#_x0000_s1104">
              <w:txbxContent>
                <w:p w:rsidR="00F3262C" w:rsidRPr="00262BAA" w:rsidRDefault="00F3262C" w:rsidP="009020DA">
                  <w:pPr>
                    <w:jc w:val="center"/>
                    <w:rPr>
                      <w:rFonts w:ascii="Times New Roman" w:hAnsi="Times New Roman" w:cs="Times New Roman"/>
                      <w:sz w:val="2"/>
                      <w:szCs w:val="2"/>
                    </w:rPr>
                  </w:pPr>
                </w:p>
                <w:p w:rsidR="00F3262C" w:rsidRPr="00A12D52" w:rsidRDefault="00F3262C" w:rsidP="009020DA">
                  <w:pPr>
                    <w:jc w:val="center"/>
                    <w:rPr>
                      <w:rFonts w:ascii="Times New Roman" w:hAnsi="Times New Roman" w:cs="Times New Roman"/>
                    </w:rPr>
                  </w:pPr>
                  <w:r w:rsidRPr="00A12D52">
                    <w:rPr>
                      <w:rFonts w:ascii="Times New Roman" w:hAnsi="Times New Roman" w:cs="Times New Roman"/>
                    </w:rPr>
                    <w:t>Redução do salário real e do emprego</w:t>
                  </w:r>
                </w:p>
              </w:txbxContent>
            </v:textbox>
            <w10:anchorlock/>
          </v:rect>
        </w:pict>
      </w:r>
      <w:r w:rsidR="0094311E" w:rsidRPr="00DF0D82">
        <w:rPr>
          <w:rFonts w:ascii="Times New Roman" w:hAnsi="Times New Roman" w:cs="Times New Roman"/>
          <w:sz w:val="18"/>
        </w:rPr>
        <w:t xml:space="preserve">     </w:t>
      </w:r>
      <w:r>
        <w:rPr>
          <w:rFonts w:ascii="Times New Roman" w:hAnsi="Times New Roman" w:cs="Times New Roman"/>
          <w:sz w:val="18"/>
        </w:rPr>
      </w:r>
      <w:r>
        <w:rPr>
          <w:rFonts w:ascii="Times New Roman" w:hAnsi="Times New Roman" w:cs="Times New Roman"/>
          <w:sz w:val="18"/>
        </w:rPr>
        <w:pict>
          <v:rect id="_x0000_s1103" style="width:121.55pt;height:54.2pt;mso-left-percent:-10001;mso-top-percent:-10001;mso-position-horizontal:absolute;mso-position-horizontal-relative:char;mso-position-vertical:absolute;mso-position-vertical-relative:line;mso-left-percent:-10001;mso-top-percent:-10001">
            <v:textbox style="mso-next-textbox:#_x0000_s1103">
              <w:txbxContent>
                <w:p w:rsidR="00F3262C" w:rsidRPr="00262BAA" w:rsidRDefault="00F3262C" w:rsidP="009020DA">
                  <w:pPr>
                    <w:jc w:val="center"/>
                    <w:rPr>
                      <w:rFonts w:ascii="Times New Roman" w:hAnsi="Times New Roman" w:cs="Times New Roman"/>
                      <w:sz w:val="2"/>
                      <w:szCs w:val="2"/>
                    </w:rPr>
                  </w:pPr>
                </w:p>
                <w:p w:rsidR="00F3262C" w:rsidRPr="00A12D52" w:rsidRDefault="00F3262C" w:rsidP="009020DA">
                  <w:pPr>
                    <w:jc w:val="center"/>
                    <w:rPr>
                      <w:rFonts w:ascii="Times New Roman" w:hAnsi="Times New Roman" w:cs="Times New Roman"/>
                    </w:rPr>
                  </w:pPr>
                  <w:r>
                    <w:rPr>
                      <w:rFonts w:ascii="Times New Roman" w:hAnsi="Times New Roman" w:cs="Times New Roman"/>
                    </w:rPr>
                    <w:t>Queda na rentabilidade da terra e do capital</w:t>
                  </w:r>
                </w:p>
              </w:txbxContent>
            </v:textbox>
            <w10:anchorlock/>
          </v:rect>
        </w:pict>
      </w:r>
    </w:p>
    <w:p w:rsidR="0094311E" w:rsidRPr="00DF0D82" w:rsidRDefault="00E77DED" w:rsidP="00F9381A">
      <w:pPr>
        <w:rPr>
          <w:rFonts w:ascii="Times New Roman" w:hAnsi="Times New Roman" w:cs="Times New Roman"/>
          <w:sz w:val="10"/>
          <w:szCs w:val="14"/>
        </w:rPr>
      </w:pPr>
      <w:r>
        <w:rPr>
          <w:noProof/>
          <w:sz w:val="18"/>
          <w:lang w:eastAsia="pt-BR"/>
        </w:rPr>
        <w:pict>
          <v:shape id="_x0000_s1054" type="#_x0000_t32" style="position:absolute;margin-left:324.05pt;margin-top:4.4pt;width:0;height:21.45pt;z-index:21" o:connectortype="straight">
            <v:stroke endarrow="block"/>
          </v:shape>
        </w:pict>
      </w:r>
      <w:r>
        <w:rPr>
          <w:noProof/>
          <w:sz w:val="18"/>
          <w:lang w:eastAsia="pt-BR"/>
        </w:rPr>
        <w:pict>
          <v:shape id="_x0000_s1056" type="#_x0000_t32" style="position:absolute;margin-left:212.5pt;margin-top:4.35pt;width:111.55pt;height:.05pt;flip:x y;z-index:19" o:connectortype="straight"/>
        </w:pict>
      </w:r>
      <w:r>
        <w:rPr>
          <w:noProof/>
          <w:sz w:val="18"/>
          <w:lang w:eastAsia="pt-BR"/>
        </w:rPr>
        <w:pict>
          <v:shape id="_x0000_s1055" type="#_x0000_t32" style="position:absolute;margin-left:212.45pt;margin-top:4.3pt;width:.05pt;height:20.05pt;z-index:20" o:connectortype="straight">
            <v:stroke endarrow="block"/>
          </v:shape>
        </w:pict>
      </w:r>
      <w:r w:rsidR="0094311E" w:rsidRPr="00DF0D82">
        <w:rPr>
          <w:rFonts w:ascii="Times New Roman" w:hAnsi="Times New Roman" w:cs="Times New Roman"/>
          <w:sz w:val="18"/>
        </w:rPr>
        <w:t xml:space="preserve">                                                 </w:t>
      </w:r>
    </w:p>
    <w:p w:rsidR="0094311E" w:rsidRPr="00DF0D82" w:rsidRDefault="0094311E" w:rsidP="00F9381A">
      <w:pPr>
        <w:rPr>
          <w:rFonts w:ascii="Times New Roman" w:hAnsi="Times New Roman" w:cs="Times New Roman"/>
          <w:sz w:val="2"/>
          <w:szCs w:val="2"/>
        </w:rPr>
      </w:pPr>
    </w:p>
    <w:p w:rsidR="0094311E" w:rsidRPr="00DF0D82" w:rsidRDefault="00E77DED" w:rsidP="00F9381A">
      <w:pPr>
        <w:jc w:val="both"/>
        <w:rPr>
          <w:rFonts w:ascii="Times New Roman" w:hAnsi="Times New Roman" w:cs="Times New Roman"/>
          <w:sz w:val="18"/>
        </w:rPr>
      </w:pPr>
      <w:r>
        <w:rPr>
          <w:noProof/>
          <w:sz w:val="18"/>
          <w:lang w:eastAsia="pt-BR"/>
        </w:rPr>
        <w:pict>
          <v:shape id="_x0000_s1057" type="#_x0000_t32" style="position:absolute;left:0;text-align:left;margin-left:212.6pt;margin-top:55.5pt;width:.7pt;height:13.15pt;z-index:39" o:connectortype="straight"/>
        </w:pict>
      </w:r>
      <w:r>
        <w:rPr>
          <w:noProof/>
          <w:sz w:val="18"/>
          <w:lang w:eastAsia="pt-BR"/>
        </w:rPr>
        <w:pict>
          <v:shape id="_x0000_s1058" type="#_x0000_t32" style="position:absolute;left:0;text-align:left;margin-left:351pt;margin-top:54.6pt;width:.05pt;height:99.4pt;z-index:25" o:connectortype="straight"/>
        </w:pict>
      </w:r>
      <w:r w:rsidR="0094311E" w:rsidRPr="00DF0D82">
        <w:rPr>
          <w:rFonts w:ascii="Times New Roman" w:hAnsi="Times New Roman" w:cs="Times New Roman"/>
          <w:sz w:val="18"/>
        </w:rPr>
        <w:t xml:space="preserve">                                                  </w:t>
      </w:r>
      <w:r w:rsidR="00387FC6">
        <w:rPr>
          <w:rFonts w:ascii="Times New Roman" w:hAnsi="Times New Roman" w:cs="Times New Roman"/>
          <w:sz w:val="18"/>
        </w:rPr>
        <w:t xml:space="preserve">             </w:t>
      </w:r>
      <w:r w:rsidR="0094311E" w:rsidRPr="00DF0D82">
        <w:rPr>
          <w:rFonts w:ascii="Times New Roman" w:hAnsi="Times New Roman" w:cs="Times New Roman"/>
          <w:sz w:val="18"/>
        </w:rPr>
        <w:t xml:space="preserve">   </w:t>
      </w:r>
      <w:r>
        <w:rPr>
          <w:rFonts w:ascii="Times New Roman" w:hAnsi="Times New Roman" w:cs="Times New Roman"/>
          <w:sz w:val="18"/>
        </w:rPr>
      </w:r>
      <w:r>
        <w:rPr>
          <w:rFonts w:ascii="Times New Roman" w:hAnsi="Times New Roman" w:cs="Times New Roman"/>
          <w:sz w:val="18"/>
        </w:rPr>
        <w:pict>
          <v:rect id="_x0000_s1102" style="width:135.7pt;height:54.2pt;mso-left-percent:-10001;mso-top-percent:-10001;mso-position-horizontal:absolute;mso-position-horizontal-relative:char;mso-position-vertical:absolute;mso-position-vertical-relative:line;mso-left-percent:-10001;mso-top-percent:-10001">
            <v:textbox style="mso-next-textbox:#_x0000_s1102">
              <w:txbxContent>
                <w:p w:rsidR="00F3262C" w:rsidRPr="00A12D52" w:rsidRDefault="00F3262C" w:rsidP="009020DA">
                  <w:pPr>
                    <w:jc w:val="center"/>
                    <w:rPr>
                      <w:rFonts w:ascii="Times New Roman" w:hAnsi="Times New Roman" w:cs="Times New Roman"/>
                    </w:rPr>
                  </w:pPr>
                  <w:r w:rsidRPr="00A12D52">
                    <w:rPr>
                      <w:rFonts w:ascii="Times New Roman" w:hAnsi="Times New Roman" w:cs="Times New Roman"/>
                    </w:rPr>
                    <w:t xml:space="preserve">Menos renda na forma de pagamentos </w:t>
                  </w:r>
                  <w:r>
                    <w:rPr>
                      <w:rFonts w:ascii="Times New Roman" w:hAnsi="Times New Roman" w:cs="Times New Roman"/>
                    </w:rPr>
                    <w:t>de aluguel e juros p</w:t>
                  </w:r>
                  <w:r w:rsidRPr="00A12D52">
                    <w:rPr>
                      <w:rFonts w:ascii="Times New Roman" w:hAnsi="Times New Roman" w:cs="Times New Roman"/>
                    </w:rPr>
                    <w:t>ara as famílias</w:t>
                  </w:r>
                </w:p>
                <w:p w:rsidR="00F3262C" w:rsidRDefault="00F3262C" w:rsidP="00F9381A"/>
              </w:txbxContent>
            </v:textbox>
            <w10:anchorlock/>
          </v:rect>
        </w:pict>
      </w:r>
      <w:r w:rsidR="0094311E" w:rsidRPr="00DF0D82">
        <w:rPr>
          <w:rFonts w:ascii="Times New Roman" w:hAnsi="Times New Roman" w:cs="Times New Roman"/>
          <w:sz w:val="18"/>
        </w:rPr>
        <w:t xml:space="preserve"> </w:t>
      </w:r>
      <w:r w:rsidR="00DF0D82">
        <w:rPr>
          <w:rFonts w:ascii="Times New Roman" w:hAnsi="Times New Roman" w:cs="Times New Roman"/>
          <w:sz w:val="18"/>
        </w:rPr>
        <w:t xml:space="preserve">  </w:t>
      </w:r>
      <w:r w:rsidR="0094311E" w:rsidRPr="00DF0D82">
        <w:rPr>
          <w:rFonts w:ascii="Times New Roman" w:hAnsi="Times New Roman" w:cs="Times New Roman"/>
          <w:sz w:val="18"/>
        </w:rPr>
        <w:t xml:space="preserve">   </w:t>
      </w:r>
      <w:r>
        <w:rPr>
          <w:rFonts w:ascii="Times New Roman" w:hAnsi="Times New Roman" w:cs="Times New Roman"/>
          <w:sz w:val="18"/>
        </w:rPr>
      </w:r>
      <w:r>
        <w:rPr>
          <w:rFonts w:ascii="Times New Roman" w:hAnsi="Times New Roman" w:cs="Times New Roman"/>
          <w:sz w:val="18"/>
        </w:rPr>
        <w:pict>
          <v:rect id="_x0000_s1101" style="width:78pt;height:53.3pt;mso-left-percent:-10001;mso-top-percent:-10001;mso-position-horizontal:absolute;mso-position-horizontal-relative:char;mso-position-vertical:absolute;mso-position-vertical-relative:line;mso-left-percent:-10001;mso-top-percent:-10001">
            <v:textbox style="mso-next-textbox:#_x0000_s1101">
              <w:txbxContent>
                <w:p w:rsidR="00F3262C" w:rsidRPr="0069566D" w:rsidRDefault="00F3262C" w:rsidP="009020DA">
                  <w:pPr>
                    <w:jc w:val="center"/>
                    <w:rPr>
                      <w:rFonts w:ascii="Times New Roman" w:hAnsi="Times New Roman" w:cs="Times New Roman"/>
                      <w:sz w:val="2"/>
                      <w:szCs w:val="2"/>
                    </w:rPr>
                  </w:pPr>
                </w:p>
                <w:p w:rsidR="00F3262C" w:rsidRPr="00A12D52" w:rsidRDefault="00F3262C" w:rsidP="009020DA">
                  <w:pPr>
                    <w:jc w:val="center"/>
                    <w:rPr>
                      <w:rFonts w:ascii="Times New Roman" w:hAnsi="Times New Roman" w:cs="Times New Roman"/>
                    </w:rPr>
                  </w:pPr>
                  <w:r w:rsidRPr="00A12D52">
                    <w:rPr>
                      <w:rFonts w:ascii="Times New Roman" w:hAnsi="Times New Roman" w:cs="Times New Roman"/>
                    </w:rPr>
                    <w:t>Redução do Investimento</w:t>
                  </w:r>
                </w:p>
              </w:txbxContent>
            </v:textbox>
            <w10:anchorlock/>
          </v:rect>
        </w:pict>
      </w:r>
    </w:p>
    <w:p w:rsidR="0094311E" w:rsidRPr="00DF0D82" w:rsidRDefault="00E77DED" w:rsidP="0069566D">
      <w:pPr>
        <w:tabs>
          <w:tab w:val="left" w:pos="3479"/>
        </w:tabs>
        <w:rPr>
          <w:rFonts w:ascii="Times New Roman" w:hAnsi="Times New Roman" w:cs="Times New Roman"/>
          <w:sz w:val="18"/>
        </w:rPr>
      </w:pPr>
      <w:r>
        <w:rPr>
          <w:noProof/>
          <w:sz w:val="18"/>
          <w:lang w:eastAsia="pt-BR"/>
        </w:rPr>
        <w:pict>
          <v:shape id="_x0000_s1062" type="#_x0000_t32" style="position:absolute;margin-left:284.5pt;margin-top:4.4pt;width:.45pt;height:24.75pt;z-index:40" o:connectortype="straight">
            <v:stroke endarrow="block"/>
          </v:shape>
        </w:pict>
      </w:r>
      <w:r>
        <w:rPr>
          <w:noProof/>
          <w:sz w:val="18"/>
          <w:lang w:eastAsia="pt-BR"/>
        </w:rPr>
        <w:pict>
          <v:shape id="_x0000_s1061" type="#_x0000_t32" style="position:absolute;margin-left:145.25pt;margin-top:4.4pt;width:.35pt;height:25.95pt;flip:x;z-index:41" o:connectortype="straight">
            <v:stroke endarrow="block"/>
          </v:shape>
        </w:pict>
      </w:r>
      <w:r>
        <w:rPr>
          <w:noProof/>
          <w:sz w:val="18"/>
          <w:lang w:eastAsia="pt-BR"/>
        </w:rPr>
        <w:pict>
          <v:shape id="_x0000_s1063" type="#_x0000_t32" style="position:absolute;margin-left:145.6pt;margin-top:4.35pt;width:138.55pt;height:0;flip:x;z-index:22" o:connectortype="straight"/>
        </w:pict>
      </w:r>
      <w:r w:rsidR="0094311E" w:rsidRPr="00DF0D82">
        <w:rPr>
          <w:rFonts w:ascii="Times New Roman" w:hAnsi="Times New Roman" w:cs="Times New Roman"/>
          <w:sz w:val="18"/>
        </w:rPr>
        <w:tab/>
      </w:r>
    </w:p>
    <w:p w:rsidR="0094311E" w:rsidRPr="00DF0D82" w:rsidRDefault="0094311E" w:rsidP="0069566D">
      <w:pPr>
        <w:tabs>
          <w:tab w:val="left" w:pos="3479"/>
        </w:tabs>
        <w:rPr>
          <w:rFonts w:ascii="Times New Roman" w:hAnsi="Times New Roman" w:cs="Times New Roman"/>
          <w:sz w:val="2"/>
          <w:szCs w:val="2"/>
        </w:rPr>
      </w:pPr>
    </w:p>
    <w:p w:rsidR="0094311E" w:rsidRPr="00DF0D82" w:rsidRDefault="00E77DED" w:rsidP="00F9381A">
      <w:pPr>
        <w:rPr>
          <w:rFonts w:ascii="Times New Roman" w:hAnsi="Times New Roman" w:cs="Times New Roman"/>
          <w:sz w:val="18"/>
        </w:rPr>
      </w:pPr>
      <w:r>
        <w:rPr>
          <w:noProof/>
          <w:sz w:val="18"/>
          <w:lang w:eastAsia="pt-BR"/>
        </w:rPr>
        <w:pict>
          <v:shape id="_x0000_s1065" type="#_x0000_t32" style="position:absolute;margin-left:141.75pt;margin-top:42.7pt;width:.2pt;height:27.3pt;flip:x;z-index:27" o:connectortype="straight"/>
        </w:pict>
      </w:r>
      <w:r>
        <w:rPr>
          <w:noProof/>
          <w:sz w:val="18"/>
          <w:lang w:eastAsia="pt-BR"/>
        </w:rPr>
        <w:pict>
          <v:shape id="_x0000_s1064" type="#_x0000_t32" style="position:absolute;margin-left:33.05pt;margin-top:23.7pt;width:37.65pt;height:0;z-index:24" o:connectortype="straight">
            <v:stroke endarrow="block"/>
          </v:shape>
        </w:pict>
      </w:r>
      <w:r w:rsidR="0094311E" w:rsidRPr="00DF0D82">
        <w:rPr>
          <w:rFonts w:ascii="Times New Roman" w:hAnsi="Times New Roman" w:cs="Times New Roman"/>
          <w:sz w:val="18"/>
        </w:rPr>
        <w:t xml:space="preserve">                               </w:t>
      </w:r>
      <w:r>
        <w:rPr>
          <w:rFonts w:ascii="Times New Roman" w:hAnsi="Times New Roman" w:cs="Times New Roman"/>
          <w:sz w:val="18"/>
        </w:rPr>
      </w:r>
      <w:r>
        <w:rPr>
          <w:rFonts w:ascii="Times New Roman" w:hAnsi="Times New Roman" w:cs="Times New Roman"/>
          <w:sz w:val="18"/>
        </w:rPr>
        <w:pict>
          <v:rect id="_x0000_s1100" style="width:121.55pt;height:39.3pt;mso-left-percent:-10001;mso-top-percent:-10001;mso-position-horizontal:absolute;mso-position-horizontal-relative:char;mso-position-vertical:absolute;mso-position-vertical-relative:line;mso-left-percent:-10001;mso-top-percent:-10001">
            <v:textbox style="mso-next-textbox:#_x0000_s1100">
              <w:txbxContent>
                <w:p w:rsidR="00F3262C" w:rsidRPr="00A12D52" w:rsidRDefault="00F3262C" w:rsidP="0069566D">
                  <w:pPr>
                    <w:spacing w:after="120" w:line="240" w:lineRule="auto"/>
                    <w:contextualSpacing/>
                    <w:jc w:val="center"/>
                    <w:rPr>
                      <w:rFonts w:ascii="Times New Roman" w:hAnsi="Times New Roman" w:cs="Times New Roman"/>
                    </w:rPr>
                  </w:pPr>
                  <w:r w:rsidRPr="00A12D52">
                    <w:rPr>
                      <w:rFonts w:ascii="Times New Roman" w:hAnsi="Times New Roman" w:cs="Times New Roman"/>
                    </w:rPr>
                    <w:t>Redução do consumo das famílias</w:t>
                  </w:r>
                </w:p>
                <w:p w:rsidR="00F3262C" w:rsidRDefault="00F3262C" w:rsidP="00F9381A"/>
              </w:txbxContent>
            </v:textbox>
            <w10:anchorlock/>
          </v:rect>
        </w:pict>
      </w:r>
      <w:r w:rsidR="0094311E" w:rsidRPr="00DF0D82">
        <w:rPr>
          <w:rFonts w:ascii="Times New Roman" w:hAnsi="Times New Roman" w:cs="Times New Roman"/>
          <w:sz w:val="18"/>
        </w:rPr>
        <w:t xml:space="preserve">      </w:t>
      </w:r>
      <w:r>
        <w:rPr>
          <w:rFonts w:ascii="Times New Roman" w:hAnsi="Times New Roman" w:cs="Times New Roman"/>
          <w:sz w:val="18"/>
        </w:rPr>
      </w:r>
      <w:r>
        <w:rPr>
          <w:rFonts w:ascii="Times New Roman" w:hAnsi="Times New Roman" w:cs="Times New Roman"/>
          <w:sz w:val="18"/>
        </w:rPr>
        <w:pict>
          <v:rect id="_x0000_s1099" style="width:121.55pt;height:39.7pt;mso-left-percent:-10001;mso-top-percent:-10001;mso-position-horizontal:absolute;mso-position-horizontal-relative:char;mso-position-vertical:absolute;mso-position-vertical-relative:line;mso-left-percent:-10001;mso-top-percent:-10001">
            <v:textbox style="mso-next-textbox:#_x0000_s1099">
              <w:txbxContent>
                <w:p w:rsidR="00F3262C" w:rsidRPr="0069566D" w:rsidRDefault="00F3262C" w:rsidP="0069566D">
                  <w:pPr>
                    <w:spacing w:after="120" w:line="240" w:lineRule="auto"/>
                    <w:jc w:val="center"/>
                    <w:rPr>
                      <w:rFonts w:ascii="Times New Roman" w:hAnsi="Times New Roman" w:cs="Times New Roman"/>
                      <w:sz w:val="2"/>
                      <w:szCs w:val="2"/>
                    </w:rPr>
                  </w:pPr>
                </w:p>
                <w:p w:rsidR="00F3262C" w:rsidRPr="00A12D52" w:rsidRDefault="00F3262C" w:rsidP="009020DA">
                  <w:pPr>
                    <w:jc w:val="center"/>
                    <w:rPr>
                      <w:rFonts w:ascii="Times New Roman" w:hAnsi="Times New Roman" w:cs="Times New Roman"/>
                    </w:rPr>
                  </w:pPr>
                  <w:r w:rsidRPr="00A12D52">
                    <w:rPr>
                      <w:rFonts w:ascii="Times New Roman" w:hAnsi="Times New Roman" w:cs="Times New Roman"/>
                    </w:rPr>
                    <w:t>Queda nas Importações</w:t>
                  </w:r>
                </w:p>
                <w:p w:rsidR="00F3262C" w:rsidRPr="003C7D78" w:rsidRDefault="00F3262C" w:rsidP="00F9381A"/>
              </w:txbxContent>
            </v:textbox>
            <w10:anchorlock/>
          </v:rect>
        </w:pict>
      </w:r>
    </w:p>
    <w:p w:rsidR="0094311E" w:rsidRPr="00DF0D82" w:rsidRDefault="00E77DED" w:rsidP="00F9381A">
      <w:pPr>
        <w:rPr>
          <w:rFonts w:ascii="Times New Roman" w:hAnsi="Times New Roman" w:cs="Times New Roman"/>
          <w:sz w:val="18"/>
        </w:rPr>
      </w:pPr>
      <w:r>
        <w:rPr>
          <w:noProof/>
          <w:sz w:val="18"/>
          <w:lang w:eastAsia="pt-BR"/>
        </w:rPr>
        <w:pict>
          <v:shape id="_x0000_s1070" type="#_x0000_t32" style="position:absolute;margin-left:246.3pt;margin-top:11pt;width:104.7pt;height:.05pt;flip:x;z-index:26" o:connectortype="straight">
            <v:stroke endarrow="block"/>
          </v:shape>
        </w:pict>
      </w:r>
      <w:r>
        <w:rPr>
          <w:noProof/>
          <w:sz w:val="18"/>
          <w:lang w:eastAsia="pt-BR"/>
        </w:rPr>
        <w:pict>
          <v:shape id="_x0000_s1068" type="#_x0000_t32" style="position:absolute;margin-left:247pt;margin-top:24.75pt;width:199.7pt;height:1.4pt;flip:x;z-index:44" o:connectortype="straight">
            <v:stroke endarrow="block"/>
          </v:shape>
        </w:pict>
      </w:r>
      <w:r>
        <w:rPr>
          <w:noProof/>
          <w:sz w:val="18"/>
          <w:lang w:eastAsia="pt-BR"/>
        </w:rPr>
        <w:pict>
          <v:shape id="_x0000_s1069" type="#_x0000_t32" style="position:absolute;margin-left:141.7pt;margin-top:19.6pt;width:37.3pt;height:0;z-index:28" o:connectortype="straight">
            <v:stroke endarrow="block"/>
          </v:shape>
        </w:pict>
      </w:r>
      <w:r w:rsidR="0094311E" w:rsidRPr="00DF0D82">
        <w:rPr>
          <w:rFonts w:ascii="Times New Roman" w:hAnsi="Times New Roman" w:cs="Times New Roman"/>
          <w:sz w:val="18"/>
        </w:rPr>
        <w:t xml:space="preserve">                                                             </w:t>
      </w:r>
      <w:r w:rsidR="00DF0D82">
        <w:rPr>
          <w:rFonts w:ascii="Times New Roman" w:hAnsi="Times New Roman" w:cs="Times New Roman"/>
          <w:sz w:val="18"/>
        </w:rPr>
        <w:t xml:space="preserve">              </w:t>
      </w:r>
      <w:r w:rsidR="0094311E" w:rsidRPr="00DF0D82">
        <w:rPr>
          <w:rFonts w:ascii="Times New Roman" w:hAnsi="Times New Roman" w:cs="Times New Roman"/>
          <w:sz w:val="18"/>
        </w:rPr>
        <w:t xml:space="preserve">    </w:t>
      </w:r>
      <w:r>
        <w:rPr>
          <w:rFonts w:ascii="Times New Roman" w:hAnsi="Times New Roman" w:cs="Times New Roman"/>
          <w:sz w:val="18"/>
        </w:rPr>
      </w:r>
      <w:r>
        <w:rPr>
          <w:rFonts w:ascii="Times New Roman" w:hAnsi="Times New Roman" w:cs="Times New Roman"/>
          <w:sz w:val="18"/>
        </w:rPr>
        <w:pict>
          <v:rect id="_x0000_s1098" style="width:66.6pt;height:37pt;mso-left-percent:-10001;mso-top-percent:-10001;mso-position-horizontal:absolute;mso-position-horizontal-relative:char;mso-position-vertical:absolute;mso-position-vertical-relative:line;mso-left-percent:-10001;mso-top-percent:-10001">
            <v:textbox>
              <w:txbxContent>
                <w:p w:rsidR="00F3262C" w:rsidRPr="00A12D52" w:rsidRDefault="00F3262C" w:rsidP="009020DA">
                  <w:pPr>
                    <w:jc w:val="center"/>
                    <w:rPr>
                      <w:rFonts w:ascii="Times New Roman" w:hAnsi="Times New Roman" w:cs="Times New Roman"/>
                    </w:rPr>
                  </w:pPr>
                  <w:r w:rsidRPr="00A12D52">
                    <w:rPr>
                      <w:rFonts w:ascii="Times New Roman" w:hAnsi="Times New Roman" w:cs="Times New Roman"/>
                    </w:rPr>
                    <w:t>Redução do PIB</w:t>
                  </w:r>
                </w:p>
              </w:txbxContent>
            </v:textbox>
            <w10:anchorlock/>
          </v:rect>
        </w:pict>
      </w:r>
    </w:p>
    <w:p w:rsidR="0094311E" w:rsidRPr="00764DE1" w:rsidRDefault="0094311E" w:rsidP="00764DE1">
      <w:pPr>
        <w:spacing w:after="0" w:line="240" w:lineRule="auto"/>
        <w:contextualSpacing/>
        <w:jc w:val="both"/>
        <w:rPr>
          <w:rFonts w:ascii="Times New Roman" w:hAnsi="Times New Roman" w:cs="Times New Roman"/>
          <w:sz w:val="20"/>
          <w:szCs w:val="20"/>
        </w:rPr>
      </w:pPr>
      <w:r>
        <w:rPr>
          <w:rFonts w:ascii="Times New Roman" w:hAnsi="Times New Roman" w:cs="Times New Roman"/>
          <w:sz w:val="20"/>
          <w:szCs w:val="20"/>
        </w:rPr>
        <w:tab/>
      </w:r>
      <w:r w:rsidR="00764DE1">
        <w:rPr>
          <w:rFonts w:ascii="Times New Roman" w:hAnsi="Times New Roman" w:cs="Times New Roman"/>
          <w:sz w:val="20"/>
          <w:szCs w:val="20"/>
        </w:rPr>
        <w:t xml:space="preserve">  </w:t>
      </w:r>
      <w:r w:rsidRPr="00DB5965">
        <w:rPr>
          <w:rFonts w:ascii="Times New Roman" w:hAnsi="Times New Roman" w:cs="Times New Roman"/>
          <w:sz w:val="20"/>
          <w:szCs w:val="20"/>
        </w:rPr>
        <w:t xml:space="preserve">Fonte: Elaboração própria com base </w:t>
      </w:r>
      <w:r>
        <w:rPr>
          <w:rFonts w:ascii="Times New Roman" w:hAnsi="Times New Roman" w:cs="Times New Roman"/>
          <w:sz w:val="20"/>
          <w:szCs w:val="20"/>
        </w:rPr>
        <w:t>em Magalhães (2013)</w:t>
      </w:r>
      <w:r w:rsidRPr="00DB5965">
        <w:rPr>
          <w:rFonts w:ascii="Times New Roman" w:hAnsi="Times New Roman" w:cs="Times New Roman"/>
          <w:sz w:val="20"/>
          <w:szCs w:val="20"/>
        </w:rPr>
        <w:t>.</w:t>
      </w:r>
    </w:p>
    <w:p w:rsidR="00930C32" w:rsidRDefault="00930C32" w:rsidP="00930C32">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lastRenderedPageBreak/>
        <w:t xml:space="preserve">A Tabela 2 apresenta os impactos macroeconômicos decorrentes da política de meta de emissões. Primeiramente, observa-se que o modelo sugere um decréscimo acumulado de -3,3% do PIB real, em 2025, em relação ao cenário base. Assim, a explicação para a queda do PIB real advém dos aumentos dos custos de produção associados às metas de redução de emissões impostas aos setores. Estas metas são atingidas por meio da tributação dos insumos e bens intensivos em carbono. </w:t>
      </w:r>
    </w:p>
    <w:p w:rsidR="00930C32" w:rsidRPr="00DB5965" w:rsidRDefault="00930C32" w:rsidP="00930C32">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A queda do PIB real está fortemente associada ao comportamento do consumo das famílias e do investimento, que no acumulado apresentaram queda de -5,24% e -5,77%, respectivamente. O consumo das famílias diminui sob um cenário de imposto de carbono devido ao aumento do preço dos bens, dado que um imposto sobre o carbono acrescenta custos adicionais à produção e os preços tendem a subir na medida em que os produtores repassam o maior custo aos consumidores. As famílias respondem, assim, com um menor consumo. Além disso, os produtores diminuem a produção e o investimento, como resultado do aumento de custos e isso implica menos renda na forma de pagamentos aos fatores primários para as famílias. Com a diminuição da renda, intensifica-se a redução do consumo. (MAGALHÃES, 2013).</w:t>
      </w:r>
    </w:p>
    <w:p w:rsidR="00930C32" w:rsidRDefault="00930C32" w:rsidP="00DF0D82">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Os efeitos da menor produção e, consequentemente, menor demanda por trabalho incidem ainda sobre o salário real e explicam a queda do nível de emprego. As exportações também apresentaram um impacto negativo (-0,41%), embora em magnitude consideravelmente menor se comparada ao consumo das famílias e ao investimento</w:t>
      </w:r>
      <w:r w:rsidRPr="00DB5965">
        <w:rPr>
          <w:rStyle w:val="Refdenotaderodap"/>
          <w:rFonts w:ascii="Times New Roman" w:hAnsi="Times New Roman" w:cs="Times New Roman"/>
          <w:sz w:val="24"/>
          <w:szCs w:val="24"/>
        </w:rPr>
        <w:footnoteReference w:id="3"/>
      </w:r>
      <w:r w:rsidRPr="00DB5965">
        <w:rPr>
          <w:rFonts w:ascii="Times New Roman" w:hAnsi="Times New Roman" w:cs="Times New Roman"/>
          <w:sz w:val="24"/>
          <w:szCs w:val="24"/>
        </w:rPr>
        <w:t>. Esta queda deve-se ao efeito preço, pois como o imposto sobre o carbono eleva os custos de produção, as exportações se tornam mais caras e menos atraentes para os consumidores externos. Já a queda das importações está associada à queda da atividade econômica ao longo dos anos, o que provoca redução de preços domésticos para alguns bens, juntamente com a queda simultânea na renda.</w:t>
      </w:r>
    </w:p>
    <w:p w:rsidR="00E21016" w:rsidRDefault="00E21016" w:rsidP="00DF0D82">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Com relação à redução total das emissões, o choque exógeno inserido no modelo levou a uma redução de 11,09% em relação ao cenário base, suficiente para o cumprimento da meta proposta na COP21.</w:t>
      </w:r>
    </w:p>
    <w:p w:rsidR="00764DE1" w:rsidRDefault="00764DE1" w:rsidP="00DF0D82">
      <w:pPr>
        <w:spacing w:after="0" w:line="240" w:lineRule="auto"/>
        <w:ind w:firstLine="708"/>
        <w:contextualSpacing/>
        <w:jc w:val="both"/>
        <w:rPr>
          <w:rFonts w:ascii="Times New Roman" w:hAnsi="Times New Roman" w:cs="Times New Roman"/>
          <w:b/>
          <w:bCs/>
          <w:sz w:val="24"/>
          <w:szCs w:val="24"/>
        </w:rPr>
      </w:pPr>
    </w:p>
    <w:p w:rsidR="0094311E" w:rsidRPr="00DB5965" w:rsidRDefault="0094311E" w:rsidP="00C95F6A">
      <w:pPr>
        <w:spacing w:after="0" w:line="240" w:lineRule="auto"/>
        <w:contextualSpacing/>
        <w:jc w:val="center"/>
        <w:rPr>
          <w:rFonts w:ascii="Times New Roman" w:hAnsi="Times New Roman" w:cs="Times New Roman"/>
          <w:b/>
          <w:bCs/>
          <w:sz w:val="24"/>
          <w:szCs w:val="24"/>
        </w:rPr>
      </w:pPr>
      <w:r w:rsidRPr="00DB5965">
        <w:rPr>
          <w:rFonts w:ascii="Times New Roman" w:hAnsi="Times New Roman" w:cs="Times New Roman"/>
          <w:b/>
          <w:bCs/>
          <w:sz w:val="24"/>
          <w:szCs w:val="24"/>
        </w:rPr>
        <w:t>Tabela 2 – Impactos macroeconômicos da meta de redução de emissões sobre a economia (Var. % em 2025- desvio acumulado em relação ao cenário base)</w:t>
      </w:r>
    </w:p>
    <w:p w:rsidR="0094311E" w:rsidRPr="00DB5965" w:rsidRDefault="0094311E" w:rsidP="00C95F6A">
      <w:pPr>
        <w:spacing w:after="0" w:line="240" w:lineRule="auto"/>
        <w:contextualSpacing/>
        <w:jc w:val="center"/>
        <w:rPr>
          <w:rFonts w:ascii="Times New Roman" w:hAnsi="Times New Roman" w:cs="Times New Roman"/>
          <w:sz w:val="14"/>
          <w:szCs w:val="1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36"/>
        <w:gridCol w:w="3536"/>
      </w:tblGrid>
      <w:tr w:rsidR="0094311E" w:rsidRPr="00DB5965" w:rsidTr="00764DE1">
        <w:trPr>
          <w:trHeight w:val="356"/>
          <w:jc w:val="center"/>
        </w:trPr>
        <w:tc>
          <w:tcPr>
            <w:tcW w:w="3536" w:type="dxa"/>
            <w:tcBorders>
              <w:top w:val="single" w:sz="12" w:space="0" w:color="auto"/>
              <w:left w:val="single" w:sz="4" w:space="0" w:color="FFFFFF"/>
              <w:right w:val="single" w:sz="2" w:space="0" w:color="FFFFFF"/>
            </w:tcBorders>
            <w:vAlign w:val="center"/>
          </w:tcPr>
          <w:p w:rsidR="0094311E" w:rsidRPr="00DB5965" w:rsidRDefault="0094311E" w:rsidP="008210E5">
            <w:pPr>
              <w:spacing w:after="0" w:line="240" w:lineRule="auto"/>
              <w:contextualSpacing/>
              <w:jc w:val="center"/>
              <w:rPr>
                <w:rFonts w:ascii="Times New Roman" w:hAnsi="Times New Roman" w:cs="Times New Roman"/>
                <w:b/>
                <w:bCs/>
              </w:rPr>
            </w:pPr>
            <w:r w:rsidRPr="00DB5965">
              <w:rPr>
                <w:rFonts w:ascii="Times New Roman" w:hAnsi="Times New Roman" w:cs="Times New Roman"/>
                <w:b/>
                <w:bCs/>
              </w:rPr>
              <w:t>Variáveis Macroeconômicas</w:t>
            </w:r>
          </w:p>
        </w:tc>
        <w:tc>
          <w:tcPr>
            <w:tcW w:w="3536" w:type="dxa"/>
            <w:tcBorders>
              <w:top w:val="single" w:sz="12" w:space="0" w:color="auto"/>
              <w:left w:val="single" w:sz="2" w:space="0" w:color="FFFFFF"/>
              <w:right w:val="single" w:sz="4" w:space="0" w:color="FFFFFF"/>
            </w:tcBorders>
            <w:vAlign w:val="center"/>
          </w:tcPr>
          <w:p w:rsidR="0094311E" w:rsidRPr="00DB5965" w:rsidRDefault="0094311E" w:rsidP="008210E5">
            <w:pPr>
              <w:spacing w:after="0" w:line="240" w:lineRule="auto"/>
              <w:contextualSpacing/>
              <w:jc w:val="center"/>
              <w:rPr>
                <w:rFonts w:ascii="Times New Roman" w:hAnsi="Times New Roman" w:cs="Times New Roman"/>
                <w:b/>
                <w:bCs/>
              </w:rPr>
            </w:pPr>
            <w:r w:rsidRPr="00DB5965">
              <w:rPr>
                <w:rFonts w:ascii="Times New Roman" w:hAnsi="Times New Roman" w:cs="Times New Roman"/>
                <w:b/>
                <w:bCs/>
              </w:rPr>
              <w:t>Var. % acumulada em 2025</w:t>
            </w:r>
          </w:p>
        </w:tc>
      </w:tr>
      <w:tr w:rsidR="0094311E" w:rsidRPr="00DB5965" w:rsidTr="00764DE1">
        <w:trPr>
          <w:trHeight w:val="315"/>
          <w:jc w:val="center"/>
        </w:trPr>
        <w:tc>
          <w:tcPr>
            <w:tcW w:w="3536" w:type="dxa"/>
            <w:tcBorders>
              <w:left w:val="single" w:sz="4" w:space="0" w:color="FFFFFF"/>
              <w:bottom w:val="single" w:sz="4" w:space="0" w:color="FFFFFF"/>
              <w:right w:val="single" w:sz="2" w:space="0" w:color="FFFFFF"/>
            </w:tcBorders>
            <w:vAlign w:val="center"/>
          </w:tcPr>
          <w:p w:rsidR="0094311E" w:rsidRPr="00DB5965" w:rsidRDefault="0094311E" w:rsidP="008210E5">
            <w:pPr>
              <w:spacing w:after="0" w:line="240" w:lineRule="auto"/>
              <w:contextualSpacing/>
              <w:rPr>
                <w:rFonts w:ascii="Times New Roman" w:hAnsi="Times New Roman" w:cs="Times New Roman"/>
              </w:rPr>
            </w:pPr>
            <w:r w:rsidRPr="00DB5965">
              <w:rPr>
                <w:rFonts w:ascii="Times New Roman" w:hAnsi="Times New Roman" w:cs="Times New Roman"/>
              </w:rPr>
              <w:t>PIB real</w:t>
            </w:r>
          </w:p>
        </w:tc>
        <w:tc>
          <w:tcPr>
            <w:tcW w:w="3536" w:type="dxa"/>
            <w:tcBorders>
              <w:left w:val="single" w:sz="2" w:space="0" w:color="FFFFFF"/>
              <w:bottom w:val="single" w:sz="4" w:space="0" w:color="FFFFFF"/>
              <w:right w:val="single" w:sz="4" w:space="0" w:color="FFFFFF"/>
            </w:tcBorders>
            <w:vAlign w:val="center"/>
          </w:tcPr>
          <w:p w:rsidR="0094311E" w:rsidRPr="00DB5965" w:rsidRDefault="0094311E" w:rsidP="008210E5">
            <w:pPr>
              <w:spacing w:after="0" w:line="240" w:lineRule="auto"/>
              <w:contextualSpacing/>
              <w:jc w:val="center"/>
              <w:rPr>
                <w:rFonts w:ascii="Times New Roman" w:hAnsi="Times New Roman" w:cs="Times New Roman"/>
              </w:rPr>
            </w:pPr>
            <w:r w:rsidRPr="00DB5965">
              <w:rPr>
                <w:rFonts w:ascii="Times New Roman" w:hAnsi="Times New Roman" w:cs="Times New Roman"/>
              </w:rPr>
              <w:t>-3,30</w:t>
            </w:r>
          </w:p>
        </w:tc>
      </w:tr>
      <w:tr w:rsidR="0094311E" w:rsidRPr="00DB5965" w:rsidTr="00764DE1">
        <w:trPr>
          <w:trHeight w:val="315"/>
          <w:jc w:val="center"/>
        </w:trPr>
        <w:tc>
          <w:tcPr>
            <w:tcW w:w="3536" w:type="dxa"/>
            <w:tcBorders>
              <w:top w:val="single" w:sz="4" w:space="0" w:color="FFFFFF"/>
              <w:left w:val="single" w:sz="4" w:space="0" w:color="FFFFFF"/>
              <w:bottom w:val="single" w:sz="4" w:space="0" w:color="FFFFFF"/>
              <w:right w:val="single" w:sz="2" w:space="0" w:color="FFFFFF"/>
            </w:tcBorders>
            <w:vAlign w:val="center"/>
          </w:tcPr>
          <w:p w:rsidR="0094311E" w:rsidRPr="00DB5965" w:rsidRDefault="0094311E" w:rsidP="008210E5">
            <w:pPr>
              <w:spacing w:after="0" w:line="240" w:lineRule="auto"/>
              <w:contextualSpacing/>
              <w:rPr>
                <w:rFonts w:ascii="Times New Roman" w:hAnsi="Times New Roman" w:cs="Times New Roman"/>
              </w:rPr>
            </w:pPr>
            <w:r w:rsidRPr="00DB5965">
              <w:rPr>
                <w:rFonts w:ascii="Times New Roman" w:hAnsi="Times New Roman" w:cs="Times New Roman"/>
              </w:rPr>
              <w:t xml:space="preserve">     Consumo das Famílias</w:t>
            </w:r>
          </w:p>
        </w:tc>
        <w:tc>
          <w:tcPr>
            <w:tcW w:w="3536" w:type="dxa"/>
            <w:tcBorders>
              <w:top w:val="single" w:sz="4" w:space="0" w:color="FFFFFF"/>
              <w:left w:val="single" w:sz="2" w:space="0" w:color="FFFFFF"/>
              <w:bottom w:val="single" w:sz="4" w:space="0" w:color="FFFFFF"/>
              <w:right w:val="single" w:sz="4" w:space="0" w:color="FFFFFF"/>
            </w:tcBorders>
            <w:vAlign w:val="center"/>
          </w:tcPr>
          <w:p w:rsidR="0094311E" w:rsidRPr="00DB5965" w:rsidRDefault="0094311E" w:rsidP="008210E5">
            <w:pPr>
              <w:spacing w:after="0" w:line="240" w:lineRule="auto"/>
              <w:contextualSpacing/>
              <w:jc w:val="center"/>
              <w:rPr>
                <w:rFonts w:ascii="Times New Roman" w:hAnsi="Times New Roman" w:cs="Times New Roman"/>
              </w:rPr>
            </w:pPr>
            <w:r w:rsidRPr="00DB5965">
              <w:rPr>
                <w:rFonts w:ascii="Times New Roman" w:hAnsi="Times New Roman" w:cs="Times New Roman"/>
              </w:rPr>
              <w:t>-5,24</w:t>
            </w:r>
          </w:p>
        </w:tc>
      </w:tr>
      <w:tr w:rsidR="0094311E" w:rsidRPr="00DB5965" w:rsidTr="00764DE1">
        <w:trPr>
          <w:trHeight w:val="315"/>
          <w:jc w:val="center"/>
        </w:trPr>
        <w:tc>
          <w:tcPr>
            <w:tcW w:w="3536" w:type="dxa"/>
            <w:tcBorders>
              <w:top w:val="single" w:sz="4" w:space="0" w:color="FFFFFF"/>
              <w:left w:val="single" w:sz="4" w:space="0" w:color="FFFFFF"/>
              <w:bottom w:val="single" w:sz="4" w:space="0" w:color="FFFFFF"/>
              <w:right w:val="single" w:sz="2" w:space="0" w:color="FFFFFF"/>
            </w:tcBorders>
            <w:vAlign w:val="center"/>
          </w:tcPr>
          <w:p w:rsidR="0094311E" w:rsidRPr="00DB5965" w:rsidRDefault="0094311E" w:rsidP="008210E5">
            <w:pPr>
              <w:spacing w:after="0" w:line="240" w:lineRule="auto"/>
              <w:contextualSpacing/>
              <w:rPr>
                <w:rFonts w:ascii="Times New Roman" w:hAnsi="Times New Roman" w:cs="Times New Roman"/>
              </w:rPr>
            </w:pPr>
            <w:r w:rsidRPr="00DB5965">
              <w:rPr>
                <w:rFonts w:ascii="Times New Roman" w:hAnsi="Times New Roman" w:cs="Times New Roman"/>
              </w:rPr>
              <w:t xml:space="preserve">     Investimento</w:t>
            </w:r>
          </w:p>
        </w:tc>
        <w:tc>
          <w:tcPr>
            <w:tcW w:w="3536" w:type="dxa"/>
            <w:tcBorders>
              <w:top w:val="single" w:sz="4" w:space="0" w:color="FFFFFF"/>
              <w:left w:val="single" w:sz="2" w:space="0" w:color="FFFFFF"/>
              <w:bottom w:val="single" w:sz="4" w:space="0" w:color="FFFFFF"/>
              <w:right w:val="single" w:sz="4" w:space="0" w:color="FFFFFF"/>
            </w:tcBorders>
            <w:vAlign w:val="center"/>
          </w:tcPr>
          <w:p w:rsidR="0094311E" w:rsidRPr="00DB5965" w:rsidRDefault="0094311E" w:rsidP="008210E5">
            <w:pPr>
              <w:spacing w:after="0" w:line="240" w:lineRule="auto"/>
              <w:contextualSpacing/>
              <w:jc w:val="center"/>
              <w:rPr>
                <w:rFonts w:ascii="Times New Roman" w:hAnsi="Times New Roman" w:cs="Times New Roman"/>
              </w:rPr>
            </w:pPr>
            <w:r w:rsidRPr="00DB5965">
              <w:rPr>
                <w:rFonts w:ascii="Times New Roman" w:hAnsi="Times New Roman" w:cs="Times New Roman"/>
              </w:rPr>
              <w:t>-5,77</w:t>
            </w:r>
          </w:p>
        </w:tc>
      </w:tr>
      <w:tr w:rsidR="0094311E" w:rsidRPr="00DB5965" w:rsidTr="00764DE1">
        <w:trPr>
          <w:trHeight w:val="315"/>
          <w:jc w:val="center"/>
        </w:trPr>
        <w:tc>
          <w:tcPr>
            <w:tcW w:w="3536" w:type="dxa"/>
            <w:tcBorders>
              <w:top w:val="single" w:sz="4" w:space="0" w:color="FFFFFF"/>
              <w:left w:val="single" w:sz="4" w:space="0" w:color="FFFFFF"/>
              <w:bottom w:val="single" w:sz="4" w:space="0" w:color="FFFFFF"/>
              <w:right w:val="single" w:sz="2" w:space="0" w:color="FFFFFF"/>
            </w:tcBorders>
            <w:vAlign w:val="center"/>
          </w:tcPr>
          <w:p w:rsidR="0094311E" w:rsidRPr="00DB5965" w:rsidRDefault="0094311E" w:rsidP="008210E5">
            <w:pPr>
              <w:spacing w:after="0" w:line="240" w:lineRule="auto"/>
              <w:contextualSpacing/>
              <w:rPr>
                <w:rFonts w:ascii="Times New Roman" w:hAnsi="Times New Roman" w:cs="Times New Roman"/>
              </w:rPr>
            </w:pPr>
            <w:r w:rsidRPr="00DB5965">
              <w:rPr>
                <w:rFonts w:ascii="Times New Roman" w:hAnsi="Times New Roman" w:cs="Times New Roman"/>
              </w:rPr>
              <w:t xml:space="preserve">     Exportações</w:t>
            </w:r>
          </w:p>
        </w:tc>
        <w:tc>
          <w:tcPr>
            <w:tcW w:w="3536" w:type="dxa"/>
            <w:tcBorders>
              <w:top w:val="single" w:sz="4" w:space="0" w:color="FFFFFF"/>
              <w:left w:val="single" w:sz="2" w:space="0" w:color="FFFFFF"/>
              <w:bottom w:val="single" w:sz="4" w:space="0" w:color="FFFFFF"/>
              <w:right w:val="single" w:sz="4" w:space="0" w:color="FFFFFF"/>
            </w:tcBorders>
            <w:vAlign w:val="center"/>
          </w:tcPr>
          <w:p w:rsidR="0094311E" w:rsidRPr="00DB5965" w:rsidRDefault="0094311E" w:rsidP="008210E5">
            <w:pPr>
              <w:spacing w:after="0" w:line="240" w:lineRule="auto"/>
              <w:contextualSpacing/>
              <w:jc w:val="center"/>
              <w:rPr>
                <w:rFonts w:ascii="Times New Roman" w:hAnsi="Times New Roman" w:cs="Times New Roman"/>
              </w:rPr>
            </w:pPr>
            <w:r w:rsidRPr="00DB5965">
              <w:rPr>
                <w:rFonts w:ascii="Times New Roman" w:hAnsi="Times New Roman" w:cs="Times New Roman"/>
              </w:rPr>
              <w:t>-0,41</w:t>
            </w:r>
          </w:p>
        </w:tc>
      </w:tr>
      <w:tr w:rsidR="0094311E" w:rsidRPr="00DB5965" w:rsidTr="00764DE1">
        <w:trPr>
          <w:trHeight w:val="315"/>
          <w:jc w:val="center"/>
        </w:trPr>
        <w:tc>
          <w:tcPr>
            <w:tcW w:w="3536" w:type="dxa"/>
            <w:tcBorders>
              <w:top w:val="single" w:sz="4" w:space="0" w:color="FFFFFF"/>
              <w:left w:val="single" w:sz="4" w:space="0" w:color="FFFFFF"/>
              <w:bottom w:val="single" w:sz="4" w:space="0" w:color="FFFFFF"/>
              <w:right w:val="single" w:sz="2" w:space="0" w:color="FFFFFF"/>
            </w:tcBorders>
            <w:vAlign w:val="center"/>
          </w:tcPr>
          <w:p w:rsidR="0094311E" w:rsidRPr="00DB5965" w:rsidRDefault="0094311E" w:rsidP="008210E5">
            <w:pPr>
              <w:spacing w:after="0" w:line="240" w:lineRule="auto"/>
              <w:contextualSpacing/>
              <w:rPr>
                <w:rFonts w:ascii="Times New Roman" w:hAnsi="Times New Roman" w:cs="Times New Roman"/>
              </w:rPr>
            </w:pPr>
            <w:r w:rsidRPr="00DB5965">
              <w:rPr>
                <w:rFonts w:ascii="Times New Roman" w:hAnsi="Times New Roman" w:cs="Times New Roman"/>
              </w:rPr>
              <w:t xml:space="preserve">     Importações</w:t>
            </w:r>
          </w:p>
        </w:tc>
        <w:tc>
          <w:tcPr>
            <w:tcW w:w="3536" w:type="dxa"/>
            <w:tcBorders>
              <w:top w:val="single" w:sz="4" w:space="0" w:color="FFFFFF"/>
              <w:left w:val="single" w:sz="2" w:space="0" w:color="FFFFFF"/>
              <w:bottom w:val="single" w:sz="4" w:space="0" w:color="FFFFFF"/>
              <w:right w:val="single" w:sz="4" w:space="0" w:color="FFFFFF"/>
            </w:tcBorders>
            <w:vAlign w:val="center"/>
          </w:tcPr>
          <w:p w:rsidR="0094311E" w:rsidRPr="00DB5965" w:rsidRDefault="0094311E" w:rsidP="008210E5">
            <w:pPr>
              <w:spacing w:after="0" w:line="240" w:lineRule="auto"/>
              <w:contextualSpacing/>
              <w:jc w:val="center"/>
              <w:rPr>
                <w:rFonts w:ascii="Times New Roman" w:hAnsi="Times New Roman" w:cs="Times New Roman"/>
              </w:rPr>
            </w:pPr>
            <w:r w:rsidRPr="00DB5965">
              <w:rPr>
                <w:rFonts w:ascii="Times New Roman" w:hAnsi="Times New Roman" w:cs="Times New Roman"/>
              </w:rPr>
              <w:t>-5,80</w:t>
            </w:r>
          </w:p>
        </w:tc>
      </w:tr>
      <w:tr w:rsidR="0094311E" w:rsidRPr="00DB5965" w:rsidTr="00764DE1">
        <w:trPr>
          <w:trHeight w:val="315"/>
          <w:jc w:val="center"/>
        </w:trPr>
        <w:tc>
          <w:tcPr>
            <w:tcW w:w="3536" w:type="dxa"/>
            <w:tcBorders>
              <w:top w:val="single" w:sz="4" w:space="0" w:color="FFFFFF"/>
              <w:left w:val="single" w:sz="4" w:space="0" w:color="FFFFFF"/>
              <w:bottom w:val="single" w:sz="4" w:space="0" w:color="FFFFFF"/>
              <w:right w:val="single" w:sz="2" w:space="0" w:color="FFFFFF"/>
            </w:tcBorders>
            <w:vAlign w:val="center"/>
          </w:tcPr>
          <w:p w:rsidR="0094311E" w:rsidRPr="00DB5965" w:rsidRDefault="0094311E" w:rsidP="008210E5">
            <w:pPr>
              <w:spacing w:after="0" w:line="240" w:lineRule="auto"/>
              <w:contextualSpacing/>
              <w:rPr>
                <w:rFonts w:ascii="Times New Roman" w:hAnsi="Times New Roman" w:cs="Times New Roman"/>
              </w:rPr>
            </w:pPr>
            <w:r w:rsidRPr="00DB5965">
              <w:rPr>
                <w:rFonts w:ascii="Times New Roman" w:hAnsi="Times New Roman" w:cs="Times New Roman"/>
              </w:rPr>
              <w:t xml:space="preserve">Emprego </w:t>
            </w:r>
          </w:p>
        </w:tc>
        <w:tc>
          <w:tcPr>
            <w:tcW w:w="3536" w:type="dxa"/>
            <w:tcBorders>
              <w:top w:val="single" w:sz="4" w:space="0" w:color="FFFFFF"/>
              <w:left w:val="single" w:sz="2" w:space="0" w:color="FFFFFF"/>
              <w:bottom w:val="single" w:sz="4" w:space="0" w:color="FFFFFF"/>
              <w:right w:val="single" w:sz="4" w:space="0" w:color="FFFFFF"/>
            </w:tcBorders>
            <w:vAlign w:val="center"/>
          </w:tcPr>
          <w:p w:rsidR="0094311E" w:rsidRPr="00DB5965" w:rsidRDefault="0094311E" w:rsidP="008210E5">
            <w:pPr>
              <w:spacing w:after="0" w:line="240" w:lineRule="auto"/>
              <w:contextualSpacing/>
              <w:jc w:val="center"/>
              <w:rPr>
                <w:rFonts w:ascii="Times New Roman" w:hAnsi="Times New Roman" w:cs="Times New Roman"/>
              </w:rPr>
            </w:pPr>
            <w:r w:rsidRPr="00DB5965">
              <w:rPr>
                <w:rFonts w:ascii="Times New Roman" w:hAnsi="Times New Roman" w:cs="Times New Roman"/>
              </w:rPr>
              <w:t>-2,89</w:t>
            </w:r>
          </w:p>
        </w:tc>
      </w:tr>
      <w:tr w:rsidR="0094311E" w:rsidRPr="00DB5965" w:rsidTr="00764DE1">
        <w:trPr>
          <w:trHeight w:val="315"/>
          <w:jc w:val="center"/>
        </w:trPr>
        <w:tc>
          <w:tcPr>
            <w:tcW w:w="3536" w:type="dxa"/>
            <w:tcBorders>
              <w:top w:val="single" w:sz="4" w:space="0" w:color="FFFFFF"/>
              <w:left w:val="single" w:sz="4" w:space="0" w:color="FFFFFF"/>
              <w:bottom w:val="single" w:sz="4" w:space="0" w:color="FFFFFF"/>
              <w:right w:val="single" w:sz="2" w:space="0" w:color="FFFFFF"/>
            </w:tcBorders>
            <w:vAlign w:val="center"/>
          </w:tcPr>
          <w:p w:rsidR="0094311E" w:rsidRPr="00DB5965" w:rsidRDefault="0094311E" w:rsidP="008210E5">
            <w:pPr>
              <w:spacing w:after="0" w:line="240" w:lineRule="auto"/>
              <w:contextualSpacing/>
              <w:rPr>
                <w:rFonts w:ascii="Times New Roman" w:hAnsi="Times New Roman" w:cs="Times New Roman"/>
              </w:rPr>
            </w:pPr>
            <w:r w:rsidRPr="00DB5965">
              <w:rPr>
                <w:rFonts w:ascii="Times New Roman" w:hAnsi="Times New Roman" w:cs="Times New Roman"/>
              </w:rPr>
              <w:t xml:space="preserve">     Salário real</w:t>
            </w:r>
          </w:p>
        </w:tc>
        <w:tc>
          <w:tcPr>
            <w:tcW w:w="3536" w:type="dxa"/>
            <w:tcBorders>
              <w:top w:val="single" w:sz="4" w:space="0" w:color="FFFFFF"/>
              <w:left w:val="single" w:sz="2" w:space="0" w:color="FFFFFF"/>
              <w:bottom w:val="single" w:sz="4" w:space="0" w:color="FFFFFF"/>
              <w:right w:val="single" w:sz="4" w:space="0" w:color="FFFFFF"/>
            </w:tcBorders>
            <w:vAlign w:val="center"/>
          </w:tcPr>
          <w:p w:rsidR="0094311E" w:rsidRPr="00DB5965" w:rsidRDefault="0094311E" w:rsidP="008210E5">
            <w:pPr>
              <w:spacing w:after="0" w:line="240" w:lineRule="auto"/>
              <w:contextualSpacing/>
              <w:jc w:val="center"/>
              <w:rPr>
                <w:rFonts w:ascii="Times New Roman" w:hAnsi="Times New Roman" w:cs="Times New Roman"/>
              </w:rPr>
            </w:pPr>
            <w:r w:rsidRPr="00DB5965">
              <w:rPr>
                <w:rFonts w:ascii="Times New Roman" w:hAnsi="Times New Roman" w:cs="Times New Roman"/>
              </w:rPr>
              <w:t>-14,63</w:t>
            </w:r>
          </w:p>
        </w:tc>
      </w:tr>
      <w:tr w:rsidR="0094311E" w:rsidRPr="00DB5965" w:rsidTr="00764DE1">
        <w:trPr>
          <w:trHeight w:val="315"/>
          <w:jc w:val="center"/>
        </w:trPr>
        <w:tc>
          <w:tcPr>
            <w:tcW w:w="3536" w:type="dxa"/>
            <w:tcBorders>
              <w:top w:val="single" w:sz="4" w:space="0" w:color="FFFFFF"/>
              <w:left w:val="single" w:sz="4" w:space="0" w:color="FFFFFF"/>
              <w:bottom w:val="single" w:sz="12" w:space="0" w:color="auto"/>
              <w:right w:val="single" w:sz="2" w:space="0" w:color="FFFFFF"/>
            </w:tcBorders>
            <w:vAlign w:val="center"/>
          </w:tcPr>
          <w:p w:rsidR="0094311E" w:rsidRPr="00DB5965" w:rsidRDefault="0094311E" w:rsidP="008210E5">
            <w:pPr>
              <w:spacing w:after="0" w:line="240" w:lineRule="auto"/>
              <w:contextualSpacing/>
              <w:rPr>
                <w:rFonts w:ascii="Times New Roman" w:hAnsi="Times New Roman" w:cs="Times New Roman"/>
              </w:rPr>
            </w:pPr>
            <w:r w:rsidRPr="00DB5965">
              <w:rPr>
                <w:rFonts w:ascii="Times New Roman" w:hAnsi="Times New Roman" w:cs="Times New Roman"/>
              </w:rPr>
              <w:t>Redução total das emissões</w:t>
            </w:r>
          </w:p>
        </w:tc>
        <w:tc>
          <w:tcPr>
            <w:tcW w:w="3536" w:type="dxa"/>
            <w:tcBorders>
              <w:top w:val="single" w:sz="4" w:space="0" w:color="FFFFFF"/>
              <w:left w:val="single" w:sz="2" w:space="0" w:color="FFFFFF"/>
              <w:bottom w:val="single" w:sz="12" w:space="0" w:color="auto"/>
              <w:right w:val="single" w:sz="4" w:space="0" w:color="FFFFFF"/>
            </w:tcBorders>
            <w:vAlign w:val="center"/>
          </w:tcPr>
          <w:p w:rsidR="0094311E" w:rsidRPr="00DB5965" w:rsidRDefault="0094311E" w:rsidP="008210E5">
            <w:pPr>
              <w:spacing w:after="0" w:line="240" w:lineRule="auto"/>
              <w:contextualSpacing/>
              <w:jc w:val="center"/>
              <w:rPr>
                <w:rFonts w:ascii="Times New Roman" w:hAnsi="Times New Roman" w:cs="Times New Roman"/>
              </w:rPr>
            </w:pPr>
            <w:r w:rsidRPr="00DB5965">
              <w:rPr>
                <w:rFonts w:ascii="Times New Roman" w:hAnsi="Times New Roman" w:cs="Times New Roman"/>
              </w:rPr>
              <w:t>-11,09</w:t>
            </w:r>
          </w:p>
        </w:tc>
      </w:tr>
    </w:tbl>
    <w:p w:rsidR="0094311E" w:rsidRPr="00DB5965" w:rsidRDefault="0094311E" w:rsidP="003119B3">
      <w:pPr>
        <w:spacing w:after="0" w:line="240" w:lineRule="auto"/>
        <w:contextualSpacing/>
        <w:jc w:val="both"/>
        <w:rPr>
          <w:rFonts w:ascii="Times New Roman" w:hAnsi="Times New Roman" w:cs="Times New Roman"/>
          <w:sz w:val="20"/>
          <w:szCs w:val="20"/>
        </w:rPr>
      </w:pPr>
      <w:r w:rsidRPr="00DB5965">
        <w:rPr>
          <w:rFonts w:ascii="Times New Roman" w:hAnsi="Times New Roman" w:cs="Times New Roman"/>
          <w:sz w:val="20"/>
          <w:szCs w:val="20"/>
        </w:rPr>
        <w:t xml:space="preserve"> </w:t>
      </w:r>
      <w:r w:rsidRPr="00DB5965">
        <w:rPr>
          <w:rFonts w:ascii="Times New Roman" w:hAnsi="Times New Roman" w:cs="Times New Roman"/>
          <w:sz w:val="20"/>
          <w:szCs w:val="20"/>
        </w:rPr>
        <w:tab/>
      </w:r>
      <w:r w:rsidRPr="00DB5965">
        <w:rPr>
          <w:rFonts w:ascii="Times New Roman" w:hAnsi="Times New Roman" w:cs="Times New Roman"/>
          <w:sz w:val="20"/>
          <w:szCs w:val="20"/>
        </w:rPr>
        <w:tab/>
        <w:t xml:space="preserve">Fonte: Elaboração própria com base nos resultados do modelo </w:t>
      </w:r>
      <w:proofErr w:type="spellStart"/>
      <w:r w:rsidRPr="00DB5965">
        <w:rPr>
          <w:rFonts w:ascii="Times New Roman" w:hAnsi="Times New Roman" w:cs="Times New Roman"/>
          <w:sz w:val="20"/>
          <w:szCs w:val="20"/>
        </w:rPr>
        <w:t>BeGreen</w:t>
      </w:r>
      <w:proofErr w:type="spellEnd"/>
      <w:r w:rsidRPr="00DB5965">
        <w:rPr>
          <w:rFonts w:ascii="Times New Roman" w:hAnsi="Times New Roman" w:cs="Times New Roman"/>
          <w:sz w:val="20"/>
          <w:szCs w:val="20"/>
        </w:rPr>
        <w:t>.</w:t>
      </w:r>
    </w:p>
    <w:p w:rsidR="0094311E" w:rsidRPr="00E21016" w:rsidRDefault="0094311E" w:rsidP="0042280C">
      <w:pPr>
        <w:spacing w:after="0" w:line="240" w:lineRule="auto"/>
        <w:ind w:firstLine="708"/>
        <w:contextualSpacing/>
        <w:jc w:val="both"/>
        <w:rPr>
          <w:rFonts w:ascii="Times New Roman" w:hAnsi="Times New Roman" w:cs="Times New Roman"/>
          <w:sz w:val="24"/>
          <w:szCs w:val="20"/>
        </w:rPr>
      </w:pPr>
    </w:p>
    <w:p w:rsidR="0094311E" w:rsidRDefault="0094311E" w:rsidP="00E21016">
      <w:pPr>
        <w:autoSpaceDE w:val="0"/>
        <w:autoSpaceDN w:val="0"/>
        <w:adjustRightInd w:val="0"/>
        <w:spacing w:after="0" w:line="240" w:lineRule="auto"/>
        <w:contextualSpacing/>
        <w:rPr>
          <w:rFonts w:ascii="Times New Roman" w:hAnsi="Times New Roman" w:cs="Times New Roman"/>
          <w:b/>
          <w:bCs/>
          <w:sz w:val="24"/>
          <w:szCs w:val="24"/>
        </w:rPr>
      </w:pPr>
      <w:r w:rsidRPr="00DB5965">
        <w:rPr>
          <w:rFonts w:ascii="Times New Roman" w:hAnsi="Times New Roman" w:cs="Times New Roman"/>
          <w:b/>
          <w:bCs/>
          <w:sz w:val="24"/>
          <w:szCs w:val="24"/>
        </w:rPr>
        <w:t>5.2 Resultados por grupos de famílias</w:t>
      </w:r>
    </w:p>
    <w:p w:rsidR="00E21016" w:rsidRPr="00DB5965" w:rsidRDefault="00E21016" w:rsidP="00E21016">
      <w:pPr>
        <w:autoSpaceDE w:val="0"/>
        <w:autoSpaceDN w:val="0"/>
        <w:adjustRightInd w:val="0"/>
        <w:spacing w:after="0" w:line="240" w:lineRule="auto"/>
        <w:contextualSpacing/>
        <w:rPr>
          <w:rFonts w:ascii="Times New Roman" w:hAnsi="Times New Roman" w:cs="Times New Roman"/>
          <w:b/>
          <w:bCs/>
          <w:sz w:val="24"/>
          <w:szCs w:val="24"/>
        </w:rPr>
      </w:pPr>
    </w:p>
    <w:p w:rsidR="0094311E" w:rsidRPr="00DB5965" w:rsidRDefault="0094311E" w:rsidP="00186B90">
      <w:pPr>
        <w:autoSpaceDE w:val="0"/>
        <w:autoSpaceDN w:val="0"/>
        <w:adjustRightInd w:val="0"/>
        <w:spacing w:after="0" w:line="240" w:lineRule="auto"/>
        <w:contextualSpacing/>
        <w:jc w:val="both"/>
        <w:rPr>
          <w:rFonts w:ascii="Times New Roman" w:hAnsi="Times New Roman" w:cs="Times New Roman"/>
          <w:sz w:val="24"/>
          <w:szCs w:val="24"/>
        </w:rPr>
      </w:pPr>
      <w:r w:rsidRPr="00DB5965">
        <w:rPr>
          <w:rFonts w:ascii="Times New Roman" w:hAnsi="Times New Roman" w:cs="Times New Roman"/>
          <w:b/>
          <w:bCs/>
          <w:sz w:val="24"/>
          <w:szCs w:val="24"/>
        </w:rPr>
        <w:tab/>
      </w:r>
      <w:r w:rsidRPr="00DB5965">
        <w:rPr>
          <w:rFonts w:ascii="Times New Roman" w:hAnsi="Times New Roman" w:cs="Times New Roman"/>
          <w:sz w:val="24"/>
          <w:szCs w:val="24"/>
        </w:rPr>
        <w:t xml:space="preserve">Os efeitos distributivos sobre as famílias da imposição de metas de redução de emissões sobre a economia podem ser analisados através do modelo </w:t>
      </w:r>
      <w:proofErr w:type="spellStart"/>
      <w:r w:rsidRPr="00DB5965">
        <w:rPr>
          <w:rFonts w:ascii="Times New Roman" w:hAnsi="Times New Roman" w:cs="Times New Roman"/>
          <w:sz w:val="24"/>
          <w:szCs w:val="24"/>
        </w:rPr>
        <w:t>BeGreen</w:t>
      </w:r>
      <w:proofErr w:type="spellEnd"/>
      <w:r w:rsidRPr="00DB5965">
        <w:rPr>
          <w:rFonts w:ascii="Times New Roman" w:hAnsi="Times New Roman" w:cs="Times New Roman"/>
          <w:sz w:val="24"/>
          <w:szCs w:val="24"/>
        </w:rPr>
        <w:t xml:space="preserve">, especificado </w:t>
      </w:r>
      <w:r w:rsidRPr="00DB5965">
        <w:rPr>
          <w:rFonts w:ascii="Times New Roman" w:hAnsi="Times New Roman" w:cs="Times New Roman"/>
          <w:sz w:val="24"/>
          <w:szCs w:val="24"/>
        </w:rPr>
        <w:lastRenderedPageBreak/>
        <w:t xml:space="preserve">para analisar a incidência da restrição de emissões por grupos de famílias. A Tabela 3 apresenta os impactos de uma tributação de carbono sobre o consumo de cada família representativa, em que as denominações H1 </w:t>
      </w:r>
      <w:proofErr w:type="gramStart"/>
      <w:r w:rsidRPr="00DB5965">
        <w:rPr>
          <w:rFonts w:ascii="Times New Roman" w:hAnsi="Times New Roman" w:cs="Times New Roman"/>
          <w:sz w:val="24"/>
          <w:szCs w:val="24"/>
        </w:rPr>
        <w:t>a H10 representam</w:t>
      </w:r>
      <w:proofErr w:type="gramEnd"/>
      <w:r w:rsidRPr="00DB5965">
        <w:rPr>
          <w:rFonts w:ascii="Times New Roman" w:hAnsi="Times New Roman" w:cs="Times New Roman"/>
          <w:sz w:val="24"/>
          <w:szCs w:val="24"/>
        </w:rPr>
        <w:t xml:space="preserve"> a desagregação das famílias baseada em </w:t>
      </w:r>
      <w:proofErr w:type="spellStart"/>
      <w:r w:rsidRPr="00DB5965">
        <w:rPr>
          <w:rFonts w:ascii="Times New Roman" w:hAnsi="Times New Roman" w:cs="Times New Roman"/>
          <w:sz w:val="24"/>
          <w:szCs w:val="24"/>
        </w:rPr>
        <w:t>decis</w:t>
      </w:r>
      <w:proofErr w:type="spellEnd"/>
      <w:r w:rsidRPr="00DB5965">
        <w:rPr>
          <w:rFonts w:ascii="Times New Roman" w:hAnsi="Times New Roman" w:cs="Times New Roman"/>
          <w:sz w:val="24"/>
          <w:szCs w:val="24"/>
        </w:rPr>
        <w:t xml:space="preserve"> de renda, no qual H1 refere-se ao primeiro </w:t>
      </w:r>
      <w:proofErr w:type="spellStart"/>
      <w:r w:rsidRPr="00DB5965">
        <w:rPr>
          <w:rFonts w:ascii="Times New Roman" w:hAnsi="Times New Roman" w:cs="Times New Roman"/>
          <w:sz w:val="24"/>
          <w:szCs w:val="24"/>
        </w:rPr>
        <w:t>decil</w:t>
      </w:r>
      <w:proofErr w:type="spellEnd"/>
      <w:r w:rsidRPr="00DB5965">
        <w:rPr>
          <w:rFonts w:ascii="Times New Roman" w:hAnsi="Times New Roman" w:cs="Times New Roman"/>
          <w:sz w:val="24"/>
          <w:szCs w:val="24"/>
        </w:rPr>
        <w:t xml:space="preserve"> de renda e em H10 estão as famílias na faixa de maior renda.</w:t>
      </w:r>
    </w:p>
    <w:p w:rsidR="0094311E" w:rsidRPr="00DB5965" w:rsidRDefault="0094311E" w:rsidP="00186B90">
      <w:pPr>
        <w:autoSpaceDE w:val="0"/>
        <w:autoSpaceDN w:val="0"/>
        <w:adjustRightInd w:val="0"/>
        <w:spacing w:after="0" w:line="240" w:lineRule="auto"/>
        <w:contextualSpacing/>
        <w:jc w:val="both"/>
        <w:rPr>
          <w:rFonts w:ascii="Times New Roman" w:hAnsi="Times New Roman" w:cs="Times New Roman"/>
          <w:sz w:val="24"/>
          <w:szCs w:val="24"/>
        </w:rPr>
      </w:pPr>
    </w:p>
    <w:p w:rsidR="0094311E" w:rsidRPr="00DB5965" w:rsidRDefault="0094311E" w:rsidP="009020DA">
      <w:pPr>
        <w:autoSpaceDE w:val="0"/>
        <w:autoSpaceDN w:val="0"/>
        <w:adjustRightInd w:val="0"/>
        <w:spacing w:after="0" w:line="240" w:lineRule="auto"/>
        <w:contextualSpacing/>
        <w:jc w:val="center"/>
        <w:rPr>
          <w:rFonts w:ascii="Times New Roman" w:hAnsi="Times New Roman" w:cs="Times New Roman"/>
          <w:b/>
          <w:bCs/>
          <w:sz w:val="24"/>
          <w:szCs w:val="24"/>
        </w:rPr>
      </w:pPr>
      <w:r w:rsidRPr="00DB5965">
        <w:rPr>
          <w:rFonts w:ascii="Times New Roman" w:hAnsi="Times New Roman" w:cs="Times New Roman"/>
          <w:b/>
          <w:bCs/>
          <w:sz w:val="24"/>
          <w:szCs w:val="24"/>
        </w:rPr>
        <w:t>Tabela 3 - Impactos sobre o consumo e a utilidade das famílias (var. % - desvio acumulado em relação ao cenário base)</w:t>
      </w:r>
    </w:p>
    <w:p w:rsidR="0094311E" w:rsidRPr="00DB5965" w:rsidRDefault="0094311E" w:rsidP="009020DA">
      <w:pPr>
        <w:autoSpaceDE w:val="0"/>
        <w:autoSpaceDN w:val="0"/>
        <w:adjustRightInd w:val="0"/>
        <w:spacing w:after="0" w:line="240" w:lineRule="auto"/>
        <w:contextualSpacing/>
        <w:jc w:val="center"/>
        <w:rPr>
          <w:rFonts w:ascii="Times New Roman" w:hAnsi="Times New Roman" w:cs="Times New Roman"/>
          <w:b/>
          <w:bCs/>
          <w:sz w:val="14"/>
          <w:szCs w:val="14"/>
        </w:rPr>
      </w:pPr>
    </w:p>
    <w:tbl>
      <w:tblPr>
        <w:tblW w:w="0" w:type="auto"/>
        <w:jc w:val="center"/>
        <w:tblLook w:val="00A0" w:firstRow="1" w:lastRow="0" w:firstColumn="1" w:lastColumn="0" w:noHBand="0" w:noVBand="0"/>
      </w:tblPr>
      <w:tblGrid>
        <w:gridCol w:w="3021"/>
        <w:gridCol w:w="3024"/>
        <w:gridCol w:w="2675"/>
      </w:tblGrid>
      <w:tr w:rsidR="0094311E" w:rsidRPr="00DB5965" w:rsidTr="0045297A">
        <w:trPr>
          <w:jc w:val="center"/>
        </w:trPr>
        <w:tc>
          <w:tcPr>
            <w:tcW w:w="3021" w:type="dxa"/>
            <w:vMerge w:val="restart"/>
            <w:tcBorders>
              <w:top w:val="single" w:sz="4" w:space="0" w:color="auto"/>
              <w:bottom w:val="single" w:sz="4" w:space="0" w:color="auto"/>
            </w:tcBorders>
            <w:vAlign w:val="center"/>
          </w:tcPr>
          <w:p w:rsidR="0094311E" w:rsidRPr="00DB5965" w:rsidRDefault="0094311E" w:rsidP="00C33824">
            <w:pPr>
              <w:spacing w:after="0" w:line="240" w:lineRule="auto"/>
              <w:jc w:val="center"/>
              <w:rPr>
                <w:rFonts w:ascii="Times New Roman" w:hAnsi="Times New Roman" w:cs="Times New Roman"/>
                <w:b/>
                <w:bCs/>
                <w:color w:val="000000"/>
              </w:rPr>
            </w:pPr>
            <w:r w:rsidRPr="00DB5965">
              <w:rPr>
                <w:rFonts w:ascii="Times New Roman" w:hAnsi="Times New Roman" w:cs="Times New Roman"/>
                <w:b/>
                <w:bCs/>
                <w:color w:val="000000"/>
              </w:rPr>
              <w:t>Famílias</w:t>
            </w:r>
          </w:p>
        </w:tc>
        <w:tc>
          <w:tcPr>
            <w:tcW w:w="5699" w:type="dxa"/>
            <w:gridSpan w:val="2"/>
            <w:tcBorders>
              <w:top w:val="single" w:sz="4" w:space="0" w:color="auto"/>
              <w:bottom w:val="single" w:sz="12" w:space="0" w:color="auto"/>
            </w:tcBorders>
            <w:vAlign w:val="center"/>
          </w:tcPr>
          <w:p w:rsidR="0094311E" w:rsidRPr="00DB5965" w:rsidRDefault="0094311E" w:rsidP="00186B90">
            <w:pPr>
              <w:autoSpaceDE w:val="0"/>
              <w:autoSpaceDN w:val="0"/>
              <w:adjustRightInd w:val="0"/>
              <w:spacing w:after="0" w:line="240" w:lineRule="auto"/>
              <w:jc w:val="center"/>
              <w:rPr>
                <w:rFonts w:ascii="Times New Roman" w:hAnsi="Times New Roman" w:cs="Times New Roman"/>
                <w:b/>
                <w:bCs/>
              </w:rPr>
            </w:pPr>
            <w:r w:rsidRPr="00DB5965">
              <w:rPr>
                <w:rFonts w:ascii="Times New Roman" w:hAnsi="Times New Roman" w:cs="Times New Roman"/>
                <w:b/>
                <w:bCs/>
              </w:rPr>
              <w:t>Simulações de controle das emissões de acordo com a meta proposta (var. % acumulada em 2025)</w:t>
            </w:r>
          </w:p>
        </w:tc>
      </w:tr>
      <w:tr w:rsidR="0094311E" w:rsidRPr="00DB5965" w:rsidTr="0045297A">
        <w:trPr>
          <w:trHeight w:val="359"/>
          <w:jc w:val="center"/>
        </w:trPr>
        <w:tc>
          <w:tcPr>
            <w:tcW w:w="3021" w:type="dxa"/>
            <w:vMerge/>
            <w:tcBorders>
              <w:top w:val="single" w:sz="4" w:space="0" w:color="auto"/>
              <w:bottom w:val="single" w:sz="4" w:space="0" w:color="auto"/>
            </w:tcBorders>
            <w:vAlign w:val="center"/>
          </w:tcPr>
          <w:p w:rsidR="0094311E" w:rsidRPr="00DB5965" w:rsidRDefault="0094311E" w:rsidP="00F3291E">
            <w:pPr>
              <w:spacing w:after="0" w:line="240" w:lineRule="auto"/>
              <w:rPr>
                <w:rFonts w:ascii="Times New Roman" w:hAnsi="Times New Roman" w:cs="Times New Roman"/>
                <w:color w:val="000000"/>
              </w:rPr>
            </w:pPr>
          </w:p>
        </w:tc>
        <w:tc>
          <w:tcPr>
            <w:tcW w:w="3024" w:type="dxa"/>
            <w:tcBorders>
              <w:top w:val="single" w:sz="12" w:space="0" w:color="auto"/>
              <w:bottom w:val="single" w:sz="4" w:space="0" w:color="auto"/>
            </w:tcBorders>
            <w:vAlign w:val="center"/>
          </w:tcPr>
          <w:p w:rsidR="0094311E" w:rsidRPr="00DB5965" w:rsidRDefault="0094311E" w:rsidP="00186B90">
            <w:pPr>
              <w:spacing w:after="0" w:line="240" w:lineRule="auto"/>
              <w:jc w:val="center"/>
              <w:rPr>
                <w:rFonts w:ascii="Times New Roman" w:hAnsi="Times New Roman" w:cs="Times New Roman"/>
                <w:b/>
                <w:bCs/>
              </w:rPr>
            </w:pPr>
            <w:r w:rsidRPr="00DB5965">
              <w:rPr>
                <w:rFonts w:ascii="Times New Roman" w:hAnsi="Times New Roman" w:cs="Times New Roman"/>
                <w:b/>
                <w:bCs/>
              </w:rPr>
              <w:t>Consumo</w:t>
            </w:r>
          </w:p>
        </w:tc>
        <w:tc>
          <w:tcPr>
            <w:tcW w:w="2675" w:type="dxa"/>
            <w:tcBorders>
              <w:top w:val="single" w:sz="12" w:space="0" w:color="auto"/>
              <w:bottom w:val="single" w:sz="4" w:space="0" w:color="auto"/>
            </w:tcBorders>
            <w:vAlign w:val="center"/>
          </w:tcPr>
          <w:p w:rsidR="0094311E" w:rsidRPr="00DB5965" w:rsidRDefault="0094311E" w:rsidP="00186B90">
            <w:pPr>
              <w:spacing w:after="0" w:line="240" w:lineRule="auto"/>
              <w:jc w:val="center"/>
              <w:rPr>
                <w:rFonts w:ascii="Times New Roman" w:hAnsi="Times New Roman" w:cs="Times New Roman"/>
                <w:b/>
                <w:bCs/>
              </w:rPr>
            </w:pPr>
            <w:r w:rsidRPr="00DB5965">
              <w:rPr>
                <w:rFonts w:ascii="Times New Roman" w:hAnsi="Times New Roman" w:cs="Times New Roman"/>
                <w:b/>
                <w:bCs/>
              </w:rPr>
              <w:t>Utilidade</w:t>
            </w:r>
          </w:p>
        </w:tc>
      </w:tr>
      <w:tr w:rsidR="0094311E" w:rsidRPr="00DB5965" w:rsidTr="0045297A">
        <w:trPr>
          <w:jc w:val="center"/>
        </w:trPr>
        <w:tc>
          <w:tcPr>
            <w:tcW w:w="3021" w:type="dxa"/>
            <w:vAlign w:val="center"/>
          </w:tcPr>
          <w:p w:rsidR="0094311E" w:rsidRPr="00DB5965" w:rsidRDefault="0094311E" w:rsidP="00C33824">
            <w:pPr>
              <w:spacing w:after="0" w:line="240" w:lineRule="auto"/>
              <w:jc w:val="center"/>
              <w:rPr>
                <w:rFonts w:ascii="Times New Roman" w:hAnsi="Times New Roman" w:cs="Times New Roman"/>
                <w:color w:val="000000"/>
              </w:rPr>
            </w:pPr>
            <w:r w:rsidRPr="00DB5965">
              <w:rPr>
                <w:rFonts w:ascii="Times New Roman" w:hAnsi="Times New Roman" w:cs="Times New Roman"/>
                <w:color w:val="000000"/>
              </w:rPr>
              <w:t>H01</w:t>
            </w:r>
          </w:p>
        </w:tc>
        <w:tc>
          <w:tcPr>
            <w:tcW w:w="3024" w:type="dxa"/>
            <w:vAlign w:val="center"/>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-5.13</w:t>
            </w:r>
          </w:p>
        </w:tc>
        <w:tc>
          <w:tcPr>
            <w:tcW w:w="2675" w:type="dxa"/>
            <w:vAlign w:val="bottom"/>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-7.89</w:t>
            </w:r>
          </w:p>
        </w:tc>
      </w:tr>
      <w:tr w:rsidR="0094311E" w:rsidRPr="00DB5965" w:rsidTr="0045297A">
        <w:trPr>
          <w:jc w:val="center"/>
        </w:trPr>
        <w:tc>
          <w:tcPr>
            <w:tcW w:w="3021" w:type="dxa"/>
            <w:vAlign w:val="center"/>
          </w:tcPr>
          <w:p w:rsidR="0094311E" w:rsidRPr="00DB5965" w:rsidRDefault="0094311E" w:rsidP="00C33824">
            <w:pPr>
              <w:spacing w:after="0" w:line="240" w:lineRule="auto"/>
              <w:jc w:val="center"/>
              <w:rPr>
                <w:rFonts w:ascii="Times New Roman" w:hAnsi="Times New Roman" w:cs="Times New Roman"/>
                <w:color w:val="000000"/>
              </w:rPr>
            </w:pPr>
            <w:r w:rsidRPr="00DB5965">
              <w:rPr>
                <w:rFonts w:ascii="Times New Roman" w:hAnsi="Times New Roman" w:cs="Times New Roman"/>
                <w:color w:val="000000"/>
              </w:rPr>
              <w:t>H02</w:t>
            </w:r>
          </w:p>
        </w:tc>
        <w:tc>
          <w:tcPr>
            <w:tcW w:w="3024" w:type="dxa"/>
            <w:vAlign w:val="center"/>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-5.08</w:t>
            </w:r>
          </w:p>
        </w:tc>
        <w:tc>
          <w:tcPr>
            <w:tcW w:w="2675" w:type="dxa"/>
            <w:vAlign w:val="bottom"/>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-7.84</w:t>
            </w:r>
          </w:p>
        </w:tc>
      </w:tr>
      <w:tr w:rsidR="0094311E" w:rsidRPr="00DB5965" w:rsidTr="0045297A">
        <w:trPr>
          <w:jc w:val="center"/>
        </w:trPr>
        <w:tc>
          <w:tcPr>
            <w:tcW w:w="3021" w:type="dxa"/>
            <w:vAlign w:val="center"/>
          </w:tcPr>
          <w:p w:rsidR="0094311E" w:rsidRPr="00DB5965" w:rsidRDefault="0094311E" w:rsidP="00C33824">
            <w:pPr>
              <w:spacing w:after="0" w:line="240" w:lineRule="auto"/>
              <w:jc w:val="center"/>
              <w:rPr>
                <w:rFonts w:ascii="Times New Roman" w:hAnsi="Times New Roman" w:cs="Times New Roman"/>
                <w:color w:val="000000"/>
              </w:rPr>
            </w:pPr>
            <w:r w:rsidRPr="00DB5965">
              <w:rPr>
                <w:rFonts w:ascii="Times New Roman" w:hAnsi="Times New Roman" w:cs="Times New Roman"/>
                <w:color w:val="000000"/>
              </w:rPr>
              <w:t>H03</w:t>
            </w:r>
          </w:p>
        </w:tc>
        <w:tc>
          <w:tcPr>
            <w:tcW w:w="3024" w:type="dxa"/>
            <w:vAlign w:val="center"/>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-4.51</w:t>
            </w:r>
          </w:p>
        </w:tc>
        <w:tc>
          <w:tcPr>
            <w:tcW w:w="2675" w:type="dxa"/>
            <w:vAlign w:val="bottom"/>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-6.96</w:t>
            </w:r>
          </w:p>
        </w:tc>
      </w:tr>
      <w:tr w:rsidR="0094311E" w:rsidRPr="00DB5965" w:rsidTr="0045297A">
        <w:trPr>
          <w:jc w:val="center"/>
        </w:trPr>
        <w:tc>
          <w:tcPr>
            <w:tcW w:w="3021" w:type="dxa"/>
            <w:vAlign w:val="center"/>
          </w:tcPr>
          <w:p w:rsidR="0094311E" w:rsidRPr="00DB5965" w:rsidRDefault="0094311E" w:rsidP="00C33824">
            <w:pPr>
              <w:spacing w:after="0" w:line="240" w:lineRule="auto"/>
              <w:jc w:val="center"/>
              <w:rPr>
                <w:rFonts w:ascii="Times New Roman" w:hAnsi="Times New Roman" w:cs="Times New Roman"/>
                <w:color w:val="000000"/>
              </w:rPr>
            </w:pPr>
            <w:r w:rsidRPr="00DB5965">
              <w:rPr>
                <w:rFonts w:ascii="Times New Roman" w:hAnsi="Times New Roman" w:cs="Times New Roman"/>
                <w:color w:val="000000"/>
              </w:rPr>
              <w:t>H04</w:t>
            </w:r>
          </w:p>
        </w:tc>
        <w:tc>
          <w:tcPr>
            <w:tcW w:w="3024" w:type="dxa"/>
            <w:vAlign w:val="center"/>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-4.6</w:t>
            </w:r>
          </w:p>
        </w:tc>
        <w:tc>
          <w:tcPr>
            <w:tcW w:w="2675" w:type="dxa"/>
            <w:vAlign w:val="bottom"/>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-7.08</w:t>
            </w:r>
          </w:p>
        </w:tc>
      </w:tr>
      <w:tr w:rsidR="0094311E" w:rsidRPr="00DB5965" w:rsidTr="0045297A">
        <w:trPr>
          <w:jc w:val="center"/>
        </w:trPr>
        <w:tc>
          <w:tcPr>
            <w:tcW w:w="3021" w:type="dxa"/>
            <w:vAlign w:val="center"/>
          </w:tcPr>
          <w:p w:rsidR="0094311E" w:rsidRPr="00DB5965" w:rsidRDefault="0094311E" w:rsidP="00C33824">
            <w:pPr>
              <w:spacing w:after="0" w:line="240" w:lineRule="auto"/>
              <w:jc w:val="center"/>
              <w:rPr>
                <w:rFonts w:ascii="Times New Roman" w:hAnsi="Times New Roman" w:cs="Times New Roman"/>
                <w:color w:val="000000"/>
              </w:rPr>
            </w:pPr>
            <w:r w:rsidRPr="00DB5965">
              <w:rPr>
                <w:rFonts w:ascii="Times New Roman" w:hAnsi="Times New Roman" w:cs="Times New Roman"/>
                <w:color w:val="000000"/>
              </w:rPr>
              <w:t>H05</w:t>
            </w:r>
          </w:p>
        </w:tc>
        <w:tc>
          <w:tcPr>
            <w:tcW w:w="3024" w:type="dxa"/>
            <w:vAlign w:val="center"/>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-4.5</w:t>
            </w:r>
          </w:p>
        </w:tc>
        <w:tc>
          <w:tcPr>
            <w:tcW w:w="2675" w:type="dxa"/>
            <w:vAlign w:val="bottom"/>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-6.94</w:t>
            </w:r>
          </w:p>
        </w:tc>
      </w:tr>
      <w:tr w:rsidR="0094311E" w:rsidRPr="00DB5965" w:rsidTr="0045297A">
        <w:trPr>
          <w:jc w:val="center"/>
        </w:trPr>
        <w:tc>
          <w:tcPr>
            <w:tcW w:w="3021" w:type="dxa"/>
            <w:vAlign w:val="center"/>
          </w:tcPr>
          <w:p w:rsidR="0094311E" w:rsidRPr="00DB5965" w:rsidRDefault="0094311E" w:rsidP="00C33824">
            <w:pPr>
              <w:spacing w:after="0" w:line="240" w:lineRule="auto"/>
              <w:jc w:val="center"/>
              <w:rPr>
                <w:rFonts w:ascii="Times New Roman" w:hAnsi="Times New Roman" w:cs="Times New Roman"/>
                <w:color w:val="000000"/>
              </w:rPr>
            </w:pPr>
            <w:r w:rsidRPr="00DB5965">
              <w:rPr>
                <w:rFonts w:ascii="Times New Roman" w:hAnsi="Times New Roman" w:cs="Times New Roman"/>
                <w:color w:val="000000"/>
              </w:rPr>
              <w:t>H06</w:t>
            </w:r>
          </w:p>
        </w:tc>
        <w:tc>
          <w:tcPr>
            <w:tcW w:w="3024" w:type="dxa"/>
            <w:vAlign w:val="center"/>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-4.3</w:t>
            </w:r>
          </w:p>
        </w:tc>
        <w:tc>
          <w:tcPr>
            <w:tcW w:w="2675" w:type="dxa"/>
            <w:vAlign w:val="bottom"/>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-6.62</w:t>
            </w:r>
          </w:p>
        </w:tc>
      </w:tr>
      <w:tr w:rsidR="0094311E" w:rsidRPr="00DB5965" w:rsidTr="0045297A">
        <w:trPr>
          <w:jc w:val="center"/>
        </w:trPr>
        <w:tc>
          <w:tcPr>
            <w:tcW w:w="3021" w:type="dxa"/>
            <w:vAlign w:val="center"/>
          </w:tcPr>
          <w:p w:rsidR="0094311E" w:rsidRPr="00DB5965" w:rsidRDefault="0094311E" w:rsidP="00C33824">
            <w:pPr>
              <w:spacing w:after="0" w:line="240" w:lineRule="auto"/>
              <w:jc w:val="center"/>
              <w:rPr>
                <w:rFonts w:ascii="Times New Roman" w:hAnsi="Times New Roman" w:cs="Times New Roman"/>
                <w:color w:val="000000"/>
              </w:rPr>
            </w:pPr>
            <w:r w:rsidRPr="00DB5965">
              <w:rPr>
                <w:rFonts w:ascii="Times New Roman" w:hAnsi="Times New Roman" w:cs="Times New Roman"/>
                <w:color w:val="000000"/>
              </w:rPr>
              <w:t>H07</w:t>
            </w:r>
          </w:p>
        </w:tc>
        <w:tc>
          <w:tcPr>
            <w:tcW w:w="3024" w:type="dxa"/>
            <w:vAlign w:val="center"/>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-4.5</w:t>
            </w:r>
          </w:p>
        </w:tc>
        <w:tc>
          <w:tcPr>
            <w:tcW w:w="2675" w:type="dxa"/>
            <w:vAlign w:val="bottom"/>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-6.93</w:t>
            </w:r>
          </w:p>
        </w:tc>
      </w:tr>
      <w:tr w:rsidR="0094311E" w:rsidRPr="00DB5965" w:rsidTr="0045297A">
        <w:trPr>
          <w:jc w:val="center"/>
        </w:trPr>
        <w:tc>
          <w:tcPr>
            <w:tcW w:w="3021" w:type="dxa"/>
            <w:vAlign w:val="center"/>
          </w:tcPr>
          <w:p w:rsidR="0094311E" w:rsidRPr="00DB5965" w:rsidRDefault="0094311E" w:rsidP="00C33824">
            <w:pPr>
              <w:spacing w:after="0" w:line="240" w:lineRule="auto"/>
              <w:jc w:val="center"/>
              <w:rPr>
                <w:rFonts w:ascii="Times New Roman" w:hAnsi="Times New Roman" w:cs="Times New Roman"/>
                <w:color w:val="000000"/>
              </w:rPr>
            </w:pPr>
            <w:r w:rsidRPr="00DB5965">
              <w:rPr>
                <w:rFonts w:ascii="Times New Roman" w:hAnsi="Times New Roman" w:cs="Times New Roman"/>
                <w:color w:val="000000"/>
              </w:rPr>
              <w:t>H08</w:t>
            </w:r>
          </w:p>
        </w:tc>
        <w:tc>
          <w:tcPr>
            <w:tcW w:w="3024" w:type="dxa"/>
            <w:vAlign w:val="center"/>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-4.88</w:t>
            </w:r>
          </w:p>
        </w:tc>
        <w:tc>
          <w:tcPr>
            <w:tcW w:w="2675" w:type="dxa"/>
            <w:vAlign w:val="bottom"/>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-7.53</w:t>
            </w:r>
          </w:p>
        </w:tc>
      </w:tr>
      <w:tr w:rsidR="0094311E" w:rsidRPr="00DB5965" w:rsidTr="0045297A">
        <w:trPr>
          <w:jc w:val="center"/>
        </w:trPr>
        <w:tc>
          <w:tcPr>
            <w:tcW w:w="3021" w:type="dxa"/>
            <w:vAlign w:val="center"/>
          </w:tcPr>
          <w:p w:rsidR="0094311E" w:rsidRPr="00DB5965" w:rsidRDefault="0094311E" w:rsidP="00C33824">
            <w:pPr>
              <w:spacing w:after="0" w:line="240" w:lineRule="auto"/>
              <w:jc w:val="center"/>
              <w:rPr>
                <w:rFonts w:ascii="Times New Roman" w:hAnsi="Times New Roman" w:cs="Times New Roman"/>
                <w:color w:val="000000"/>
              </w:rPr>
            </w:pPr>
            <w:r w:rsidRPr="00DB5965">
              <w:rPr>
                <w:rFonts w:ascii="Times New Roman" w:hAnsi="Times New Roman" w:cs="Times New Roman"/>
                <w:color w:val="000000"/>
              </w:rPr>
              <w:t>H09</w:t>
            </w:r>
          </w:p>
        </w:tc>
        <w:tc>
          <w:tcPr>
            <w:tcW w:w="3024" w:type="dxa"/>
            <w:vAlign w:val="center"/>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-5.12</w:t>
            </w:r>
          </w:p>
        </w:tc>
        <w:tc>
          <w:tcPr>
            <w:tcW w:w="2675" w:type="dxa"/>
            <w:vAlign w:val="bottom"/>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-7.9</w:t>
            </w:r>
          </w:p>
        </w:tc>
      </w:tr>
      <w:tr w:rsidR="0094311E" w:rsidRPr="00DB5965" w:rsidTr="0045297A">
        <w:trPr>
          <w:jc w:val="center"/>
        </w:trPr>
        <w:tc>
          <w:tcPr>
            <w:tcW w:w="3021" w:type="dxa"/>
            <w:tcBorders>
              <w:bottom w:val="single" w:sz="4" w:space="0" w:color="auto"/>
            </w:tcBorders>
            <w:vAlign w:val="center"/>
          </w:tcPr>
          <w:p w:rsidR="0094311E" w:rsidRPr="00DB5965" w:rsidRDefault="0094311E" w:rsidP="00C33824">
            <w:pPr>
              <w:spacing w:after="0" w:line="240" w:lineRule="auto"/>
              <w:jc w:val="center"/>
              <w:rPr>
                <w:rFonts w:ascii="Times New Roman" w:hAnsi="Times New Roman" w:cs="Times New Roman"/>
                <w:color w:val="000000"/>
              </w:rPr>
            </w:pPr>
            <w:r w:rsidRPr="00DB5965">
              <w:rPr>
                <w:rFonts w:ascii="Times New Roman" w:hAnsi="Times New Roman" w:cs="Times New Roman"/>
                <w:color w:val="000000"/>
              </w:rPr>
              <w:t>H10</w:t>
            </w:r>
          </w:p>
        </w:tc>
        <w:tc>
          <w:tcPr>
            <w:tcW w:w="3024" w:type="dxa"/>
            <w:tcBorders>
              <w:bottom w:val="single" w:sz="4" w:space="0" w:color="auto"/>
            </w:tcBorders>
            <w:vAlign w:val="center"/>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-6.11</w:t>
            </w:r>
          </w:p>
        </w:tc>
        <w:tc>
          <w:tcPr>
            <w:tcW w:w="2675" w:type="dxa"/>
            <w:tcBorders>
              <w:bottom w:val="single" w:sz="4" w:space="0" w:color="auto"/>
            </w:tcBorders>
            <w:vAlign w:val="bottom"/>
          </w:tcPr>
          <w:p w:rsidR="0094311E" w:rsidRPr="00DB5965" w:rsidRDefault="0094311E" w:rsidP="00C33824">
            <w:pPr>
              <w:spacing w:after="0" w:line="240" w:lineRule="auto"/>
              <w:jc w:val="center"/>
              <w:rPr>
                <w:rFonts w:ascii="Times New Roman" w:hAnsi="Times New Roman" w:cs="Times New Roman"/>
              </w:rPr>
            </w:pPr>
            <w:r w:rsidRPr="00DB5965">
              <w:rPr>
                <w:rFonts w:ascii="Times New Roman" w:hAnsi="Times New Roman" w:cs="Times New Roman"/>
              </w:rPr>
              <w:t>-9.43</w:t>
            </w:r>
          </w:p>
        </w:tc>
      </w:tr>
    </w:tbl>
    <w:p w:rsidR="0094311E" w:rsidRPr="00DB5965" w:rsidRDefault="0094311E" w:rsidP="009020DA">
      <w:pPr>
        <w:spacing w:after="0" w:line="240" w:lineRule="auto"/>
        <w:ind w:firstLine="708"/>
        <w:contextualSpacing/>
        <w:jc w:val="both"/>
        <w:rPr>
          <w:rFonts w:ascii="Times New Roman" w:hAnsi="Times New Roman" w:cs="Times New Roman"/>
          <w:sz w:val="20"/>
          <w:szCs w:val="20"/>
        </w:rPr>
      </w:pPr>
      <w:r w:rsidRPr="00DB5965">
        <w:rPr>
          <w:rFonts w:ascii="Times New Roman" w:hAnsi="Times New Roman" w:cs="Times New Roman"/>
          <w:sz w:val="20"/>
          <w:szCs w:val="20"/>
        </w:rPr>
        <w:t xml:space="preserve">Fonte: Elaboração própria com base nos resultados do modelo </w:t>
      </w:r>
      <w:proofErr w:type="spellStart"/>
      <w:r w:rsidRPr="00DB5965">
        <w:rPr>
          <w:rFonts w:ascii="Times New Roman" w:hAnsi="Times New Roman" w:cs="Times New Roman"/>
          <w:sz w:val="20"/>
          <w:szCs w:val="20"/>
        </w:rPr>
        <w:t>BeGreen</w:t>
      </w:r>
      <w:proofErr w:type="spellEnd"/>
      <w:r w:rsidRPr="00DB5965">
        <w:rPr>
          <w:rFonts w:ascii="Times New Roman" w:hAnsi="Times New Roman" w:cs="Times New Roman"/>
          <w:sz w:val="20"/>
          <w:szCs w:val="20"/>
        </w:rPr>
        <w:t>.</w:t>
      </w:r>
    </w:p>
    <w:p w:rsidR="0094311E" w:rsidRPr="00DB5965" w:rsidRDefault="0094311E" w:rsidP="00C33824">
      <w:pPr>
        <w:spacing w:after="0" w:line="240" w:lineRule="auto"/>
        <w:jc w:val="both"/>
        <w:rPr>
          <w:rFonts w:ascii="Times New Roman" w:hAnsi="Times New Roman" w:cs="Times New Roman"/>
          <w:sz w:val="24"/>
          <w:szCs w:val="24"/>
        </w:rPr>
      </w:pPr>
    </w:p>
    <w:p w:rsidR="0094311E" w:rsidRPr="00DB5965" w:rsidRDefault="0094311E" w:rsidP="00C33824">
      <w:pPr>
        <w:spacing w:after="0" w:line="240" w:lineRule="auto"/>
        <w:jc w:val="both"/>
        <w:rPr>
          <w:rFonts w:ascii="Times New Roman" w:hAnsi="Times New Roman" w:cs="Times New Roman"/>
          <w:sz w:val="24"/>
          <w:szCs w:val="24"/>
        </w:rPr>
      </w:pPr>
      <w:r w:rsidRPr="00DB5965">
        <w:rPr>
          <w:rFonts w:ascii="Times New Roman" w:hAnsi="Times New Roman" w:cs="Times New Roman"/>
          <w:sz w:val="24"/>
          <w:szCs w:val="24"/>
        </w:rPr>
        <w:tab/>
        <w:t xml:space="preserve">Em relação ao consumo, os resultados indicam que os primeiros </w:t>
      </w:r>
      <w:proofErr w:type="spellStart"/>
      <w:r w:rsidRPr="00DB5965">
        <w:rPr>
          <w:rFonts w:ascii="Times New Roman" w:hAnsi="Times New Roman" w:cs="Times New Roman"/>
          <w:sz w:val="24"/>
          <w:szCs w:val="24"/>
        </w:rPr>
        <w:t>decis</w:t>
      </w:r>
      <w:proofErr w:type="spellEnd"/>
      <w:r w:rsidRPr="00DB5965">
        <w:rPr>
          <w:rFonts w:ascii="Times New Roman" w:hAnsi="Times New Roman" w:cs="Times New Roman"/>
          <w:sz w:val="24"/>
          <w:szCs w:val="24"/>
        </w:rPr>
        <w:t xml:space="preserve"> da distribuição foram relativamente mais afetados do que os </w:t>
      </w:r>
      <w:proofErr w:type="spellStart"/>
      <w:r w:rsidRPr="00DB5965">
        <w:rPr>
          <w:rFonts w:ascii="Times New Roman" w:hAnsi="Times New Roman" w:cs="Times New Roman"/>
          <w:sz w:val="24"/>
          <w:szCs w:val="24"/>
        </w:rPr>
        <w:t>decis</w:t>
      </w:r>
      <w:proofErr w:type="spellEnd"/>
      <w:r w:rsidRPr="00DB5965">
        <w:rPr>
          <w:rFonts w:ascii="Times New Roman" w:hAnsi="Times New Roman" w:cs="Times New Roman"/>
          <w:sz w:val="24"/>
          <w:szCs w:val="24"/>
        </w:rPr>
        <w:t xml:space="preserve"> intermediários. Assim, recorre-se ao perfil de consumo, conforme expresso na base de dados do modelo, para entender esse efeito. Destaca-se que quanto maior a renda, maior a parcela de seu orçamento que é gasta em serviços e, como os serviços não emitem GEE, o efeito sobre o consumo das famílias de maior renda tende a ser menor. Além disso, deve-se levar em conta que a participação de produtos agropecuários e alimentícios se reduz à medida que se avança nos </w:t>
      </w:r>
      <w:proofErr w:type="spellStart"/>
      <w:r w:rsidRPr="00DB5965">
        <w:rPr>
          <w:rFonts w:ascii="Times New Roman" w:hAnsi="Times New Roman" w:cs="Times New Roman"/>
          <w:sz w:val="24"/>
          <w:szCs w:val="24"/>
        </w:rPr>
        <w:t>decis</w:t>
      </w:r>
      <w:proofErr w:type="spellEnd"/>
      <w:r w:rsidRPr="00DB5965">
        <w:rPr>
          <w:rFonts w:ascii="Times New Roman" w:hAnsi="Times New Roman" w:cs="Times New Roman"/>
          <w:sz w:val="24"/>
          <w:szCs w:val="24"/>
        </w:rPr>
        <w:t xml:space="preserve"> de renda. Portanto, dado que estes produtos acumulam aumentos de preço em decorrência da imposição do imposto de carbono, o impacto destes aumentos nos primeiros </w:t>
      </w:r>
      <w:proofErr w:type="spellStart"/>
      <w:r w:rsidRPr="00DB5965">
        <w:rPr>
          <w:rFonts w:ascii="Times New Roman" w:hAnsi="Times New Roman" w:cs="Times New Roman"/>
          <w:sz w:val="24"/>
          <w:szCs w:val="24"/>
        </w:rPr>
        <w:t>decis</w:t>
      </w:r>
      <w:proofErr w:type="spellEnd"/>
      <w:r w:rsidRPr="00DB5965">
        <w:rPr>
          <w:rFonts w:ascii="Times New Roman" w:hAnsi="Times New Roman" w:cs="Times New Roman"/>
          <w:sz w:val="24"/>
          <w:szCs w:val="24"/>
        </w:rPr>
        <w:t xml:space="preserve"> deve ser maior. Por outro lado, apesar desses fatores, observa-se que as famílias de maior renda (H10) apresentam maior redução no consumo. Uma possível explicação seria o fato de estas famílias serem as mais afetadas pelo aumento do preço dos combustíveis, dado que apresentam uma maior parcela do gasto com combustíveis, comparado aos </w:t>
      </w:r>
      <w:proofErr w:type="spellStart"/>
      <w:r w:rsidRPr="00DB5965">
        <w:rPr>
          <w:rFonts w:ascii="Times New Roman" w:hAnsi="Times New Roman" w:cs="Times New Roman"/>
          <w:sz w:val="24"/>
          <w:szCs w:val="24"/>
        </w:rPr>
        <w:t>decis</w:t>
      </w:r>
      <w:proofErr w:type="spellEnd"/>
      <w:r w:rsidRPr="00DB5965">
        <w:rPr>
          <w:rFonts w:ascii="Times New Roman" w:hAnsi="Times New Roman" w:cs="Times New Roman"/>
          <w:sz w:val="24"/>
          <w:szCs w:val="24"/>
        </w:rPr>
        <w:t xml:space="preserve"> mais baixos.</w:t>
      </w:r>
    </w:p>
    <w:p w:rsidR="0094311E" w:rsidRPr="00DB5965" w:rsidRDefault="0094311E" w:rsidP="00C33824">
      <w:pPr>
        <w:spacing w:after="0" w:line="240" w:lineRule="auto"/>
        <w:jc w:val="both"/>
        <w:rPr>
          <w:rFonts w:ascii="Times New Roman" w:hAnsi="Times New Roman" w:cs="Times New Roman"/>
          <w:sz w:val="24"/>
          <w:szCs w:val="24"/>
        </w:rPr>
      </w:pPr>
      <w:r w:rsidRPr="00DB5965">
        <w:rPr>
          <w:rFonts w:ascii="Times New Roman" w:hAnsi="Times New Roman" w:cs="Times New Roman"/>
          <w:sz w:val="24"/>
          <w:szCs w:val="24"/>
        </w:rPr>
        <w:tab/>
        <w:t xml:space="preserve">Em relação à utilidade, </w:t>
      </w:r>
      <w:r w:rsidRPr="00DB5965">
        <w:rPr>
          <w:rFonts w:ascii="Times New Roman" w:hAnsi="Times New Roman" w:cs="Times New Roman"/>
          <w:i/>
          <w:iCs/>
          <w:sz w:val="24"/>
          <w:szCs w:val="24"/>
        </w:rPr>
        <w:t>proxy</w:t>
      </w:r>
      <w:r w:rsidRPr="00DB5965">
        <w:rPr>
          <w:rFonts w:ascii="Times New Roman" w:hAnsi="Times New Roman" w:cs="Times New Roman"/>
          <w:sz w:val="24"/>
          <w:szCs w:val="24"/>
        </w:rPr>
        <w:t xml:space="preserve"> de impacto de bem-estar, ressalta-se que no modelo </w:t>
      </w:r>
      <w:proofErr w:type="spellStart"/>
      <w:r w:rsidRPr="00DB5965">
        <w:rPr>
          <w:rFonts w:ascii="Times New Roman" w:hAnsi="Times New Roman" w:cs="Times New Roman"/>
          <w:sz w:val="24"/>
          <w:szCs w:val="24"/>
        </w:rPr>
        <w:t>BeGreen</w:t>
      </w:r>
      <w:proofErr w:type="spellEnd"/>
      <w:r w:rsidRPr="00DB5965">
        <w:rPr>
          <w:rFonts w:ascii="Times New Roman" w:hAnsi="Times New Roman" w:cs="Times New Roman"/>
          <w:sz w:val="24"/>
          <w:szCs w:val="24"/>
        </w:rPr>
        <w:t xml:space="preserve"> o seu cálculo desconsidera mudanças de gosto ou variações no consumo de subsistência.  Observa-se, ainda, que a utilidade apresenta uma tendência similar ao consumo. Novamente nota-se que os </w:t>
      </w:r>
      <w:proofErr w:type="spellStart"/>
      <w:r w:rsidRPr="00DB5965">
        <w:rPr>
          <w:rFonts w:ascii="Times New Roman" w:hAnsi="Times New Roman" w:cs="Times New Roman"/>
          <w:sz w:val="24"/>
          <w:szCs w:val="24"/>
        </w:rPr>
        <w:t>decis</w:t>
      </w:r>
      <w:proofErr w:type="spellEnd"/>
      <w:r w:rsidRPr="00DB5965">
        <w:rPr>
          <w:rFonts w:ascii="Times New Roman" w:hAnsi="Times New Roman" w:cs="Times New Roman"/>
          <w:sz w:val="24"/>
          <w:szCs w:val="24"/>
        </w:rPr>
        <w:t xml:space="preserve"> H03 </w:t>
      </w:r>
      <w:proofErr w:type="gramStart"/>
      <w:r w:rsidRPr="00DB5965">
        <w:rPr>
          <w:rFonts w:ascii="Times New Roman" w:hAnsi="Times New Roman" w:cs="Times New Roman"/>
          <w:sz w:val="24"/>
          <w:szCs w:val="24"/>
        </w:rPr>
        <w:t>a H08 apresentaram</w:t>
      </w:r>
      <w:proofErr w:type="gramEnd"/>
      <w:r w:rsidRPr="00DB5965">
        <w:rPr>
          <w:rFonts w:ascii="Times New Roman" w:hAnsi="Times New Roman" w:cs="Times New Roman"/>
          <w:sz w:val="24"/>
          <w:szCs w:val="24"/>
        </w:rPr>
        <w:t xml:space="preserve"> os menores recuos e que classe de maior renda apresentou a maior queda na utilidade.</w:t>
      </w:r>
    </w:p>
    <w:p w:rsidR="0094311E" w:rsidRPr="00DB5965" w:rsidRDefault="0094311E" w:rsidP="00C842CE">
      <w:pPr>
        <w:spacing w:after="0" w:line="240" w:lineRule="auto"/>
        <w:contextualSpacing/>
        <w:jc w:val="both"/>
        <w:rPr>
          <w:rFonts w:ascii="Times New Roman" w:hAnsi="Times New Roman" w:cs="Times New Roman"/>
          <w:sz w:val="24"/>
          <w:szCs w:val="24"/>
        </w:rPr>
      </w:pPr>
    </w:p>
    <w:p w:rsidR="0094311E" w:rsidRDefault="0094311E" w:rsidP="008A543E">
      <w:pPr>
        <w:spacing w:after="0" w:line="240" w:lineRule="auto"/>
        <w:contextualSpacing/>
        <w:jc w:val="both"/>
        <w:rPr>
          <w:rFonts w:ascii="Times New Roman" w:hAnsi="Times New Roman" w:cs="Times New Roman"/>
          <w:b/>
          <w:bCs/>
          <w:sz w:val="24"/>
          <w:szCs w:val="24"/>
        </w:rPr>
      </w:pPr>
      <w:r w:rsidRPr="00DB5965">
        <w:rPr>
          <w:rFonts w:ascii="Times New Roman" w:hAnsi="Times New Roman" w:cs="Times New Roman"/>
          <w:b/>
          <w:bCs/>
          <w:sz w:val="24"/>
          <w:szCs w:val="24"/>
        </w:rPr>
        <w:t>5.3 Resultados setoriais</w:t>
      </w:r>
    </w:p>
    <w:p w:rsidR="00E21016" w:rsidRPr="00DB5965" w:rsidRDefault="00E21016" w:rsidP="008A543E">
      <w:pPr>
        <w:spacing w:after="0" w:line="240" w:lineRule="auto"/>
        <w:contextualSpacing/>
        <w:jc w:val="both"/>
        <w:rPr>
          <w:rFonts w:ascii="Times New Roman" w:hAnsi="Times New Roman" w:cs="Times New Roman"/>
          <w:sz w:val="24"/>
          <w:szCs w:val="24"/>
        </w:rPr>
      </w:pPr>
    </w:p>
    <w:p w:rsidR="0094311E" w:rsidRPr="00DB5965" w:rsidRDefault="0094311E" w:rsidP="008A543E">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Os resultados setoriais apresentados a seguir referem-se ao nível de atividade e evolução das emissões ao longo do período de projeção – de 2013 a 2025. Como esperado, setores com maior dependência em relação à queima de combustíveis ou com elevada intensidade de emissões nos seus processos produtivos foram os mais negativamente afetados em termos de variação na atividade econômica. A queda setorial de emissões, por sua vez, </w:t>
      </w:r>
      <w:r w:rsidRPr="00DB5965">
        <w:rPr>
          <w:rFonts w:ascii="Times New Roman" w:hAnsi="Times New Roman" w:cs="Times New Roman"/>
          <w:sz w:val="24"/>
          <w:szCs w:val="24"/>
        </w:rPr>
        <w:lastRenderedPageBreak/>
        <w:t>apresentou relação menos direta com tais setores potencialmente mais poluidores, uma vez que outros setores podem apresentar menores custos marginais de redução nas emissões.</w:t>
      </w:r>
    </w:p>
    <w:p w:rsidR="0094311E" w:rsidRPr="00DB5965" w:rsidRDefault="0094311E" w:rsidP="008A543E">
      <w:pPr>
        <w:spacing w:after="0" w:line="240" w:lineRule="auto"/>
        <w:contextualSpacing/>
        <w:jc w:val="both"/>
        <w:rPr>
          <w:rFonts w:ascii="Times New Roman" w:hAnsi="Times New Roman" w:cs="Times New Roman"/>
          <w:sz w:val="24"/>
          <w:szCs w:val="24"/>
        </w:rPr>
      </w:pPr>
    </w:p>
    <w:p w:rsidR="0094311E" w:rsidRDefault="0094311E" w:rsidP="00E21016">
      <w:pPr>
        <w:spacing w:after="0" w:line="240" w:lineRule="auto"/>
        <w:contextualSpacing/>
        <w:jc w:val="both"/>
        <w:rPr>
          <w:rFonts w:ascii="Times New Roman" w:hAnsi="Times New Roman" w:cs="Times New Roman"/>
          <w:b/>
          <w:bCs/>
          <w:sz w:val="24"/>
          <w:szCs w:val="24"/>
        </w:rPr>
      </w:pPr>
      <w:r w:rsidRPr="00DB5965">
        <w:rPr>
          <w:rFonts w:ascii="Times New Roman" w:hAnsi="Times New Roman" w:cs="Times New Roman"/>
          <w:b/>
          <w:bCs/>
          <w:sz w:val="24"/>
          <w:szCs w:val="24"/>
        </w:rPr>
        <w:t>5.3.1 Nível de atividade</w:t>
      </w:r>
    </w:p>
    <w:p w:rsidR="00E21016" w:rsidRPr="00DB5965" w:rsidRDefault="00E21016" w:rsidP="00E21016">
      <w:pPr>
        <w:spacing w:after="0" w:line="240" w:lineRule="auto"/>
        <w:contextualSpacing/>
        <w:jc w:val="both"/>
        <w:rPr>
          <w:rFonts w:ascii="Times New Roman" w:hAnsi="Times New Roman" w:cs="Times New Roman"/>
          <w:sz w:val="24"/>
          <w:szCs w:val="24"/>
        </w:rPr>
      </w:pPr>
    </w:p>
    <w:p w:rsidR="00930C32" w:rsidRPr="00DB5965" w:rsidRDefault="0094311E" w:rsidP="00930C32">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Os 10 setores mais beneficiados pela política em termos de nível de atividade ao longo do período 2013-2025 podem ser visualizados no Gráfico 1. De forma geral, trata-se de ganhos acumulados em 2025 relativamente baixos (menores do que 4% em relação ao cenário base), especialmente se comparados com as perdas apresentadas pelos setores mais prejudicados pela política prop</w:t>
      </w:r>
      <w:r w:rsidR="00764DE1">
        <w:rPr>
          <w:rFonts w:ascii="Times New Roman" w:hAnsi="Times New Roman" w:cs="Times New Roman"/>
          <w:sz w:val="24"/>
          <w:szCs w:val="24"/>
        </w:rPr>
        <w:t>osta</w:t>
      </w:r>
      <w:r w:rsidR="00930C32">
        <w:rPr>
          <w:rFonts w:ascii="Times New Roman" w:hAnsi="Times New Roman" w:cs="Times New Roman"/>
          <w:sz w:val="24"/>
          <w:szCs w:val="24"/>
        </w:rPr>
        <w:t xml:space="preserve">. </w:t>
      </w:r>
      <w:r w:rsidR="00930C32" w:rsidRPr="00DB5965">
        <w:rPr>
          <w:rFonts w:ascii="Times New Roman" w:hAnsi="Times New Roman" w:cs="Times New Roman"/>
          <w:sz w:val="24"/>
          <w:szCs w:val="24"/>
        </w:rPr>
        <w:t>A geração, transmissão e distribuição de energia elétrica, assim como o álcool, apresentaram resultados positivos em decorrência de sua menor intensidade de emissão enquanto fonte energética, servindo de alternativa em relação aos combustíveis fósseis sob o quadro de restrição imposto pela política. Outros setores com baixas emissões também se beneficiaram, pois, o crescimento da economia brasileira no período foi considerado exógeno e esses setores têm, portanto, que compensar o decréscimo observado em setores mais poluidores.</w:t>
      </w:r>
    </w:p>
    <w:p w:rsidR="0094311E" w:rsidRPr="00930C32" w:rsidRDefault="0094311E" w:rsidP="008A543E">
      <w:pPr>
        <w:spacing w:after="0" w:line="240" w:lineRule="auto"/>
        <w:contextualSpacing/>
        <w:jc w:val="both"/>
        <w:rPr>
          <w:rFonts w:ascii="Times New Roman" w:hAnsi="Times New Roman" w:cs="Times New Roman"/>
          <w:sz w:val="24"/>
          <w:szCs w:val="24"/>
        </w:rPr>
      </w:pPr>
    </w:p>
    <w:p w:rsidR="0094311E" w:rsidRPr="00DB5965" w:rsidRDefault="0094311E" w:rsidP="00A61530">
      <w:pPr>
        <w:spacing w:after="0" w:line="240" w:lineRule="auto"/>
        <w:contextualSpacing/>
        <w:jc w:val="center"/>
        <w:rPr>
          <w:rFonts w:ascii="Times New Roman" w:hAnsi="Times New Roman" w:cs="Times New Roman"/>
          <w:b/>
          <w:bCs/>
          <w:sz w:val="24"/>
          <w:szCs w:val="24"/>
        </w:rPr>
      </w:pPr>
      <w:r w:rsidRPr="00DB5965">
        <w:rPr>
          <w:rFonts w:ascii="Times New Roman" w:hAnsi="Times New Roman" w:cs="Times New Roman"/>
          <w:b/>
          <w:bCs/>
          <w:sz w:val="24"/>
          <w:szCs w:val="24"/>
        </w:rPr>
        <w:t>Gráfico 1 – 10 setores com maiores ganhos no nível de atividade em relação ao cenário base</w:t>
      </w:r>
    </w:p>
    <w:p w:rsidR="0094311E" w:rsidRPr="00DB5965" w:rsidRDefault="0094311E" w:rsidP="00A61530">
      <w:pPr>
        <w:tabs>
          <w:tab w:val="left" w:pos="3900"/>
        </w:tabs>
        <w:spacing w:after="0" w:line="240" w:lineRule="auto"/>
        <w:contextualSpacing/>
        <w:rPr>
          <w:rFonts w:ascii="Times New Roman" w:hAnsi="Times New Roman" w:cs="Times New Roman"/>
          <w:sz w:val="14"/>
          <w:szCs w:val="14"/>
        </w:rPr>
      </w:pPr>
      <w:r w:rsidRPr="00DB5965">
        <w:rPr>
          <w:rFonts w:ascii="Times New Roman" w:hAnsi="Times New Roman" w:cs="Times New Roman"/>
          <w:sz w:val="24"/>
          <w:szCs w:val="24"/>
        </w:rPr>
        <w:tab/>
      </w:r>
    </w:p>
    <w:p w:rsidR="0094311E" w:rsidRPr="00DB5965" w:rsidRDefault="00E77DED" w:rsidP="00A61530">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23.25pt;height:201pt;mso-position-horizontal-relative:char;mso-position-vertical-relative:line">
            <v:imagedata r:id="rId13" o:title=""/>
          </v:shape>
        </w:pict>
      </w:r>
    </w:p>
    <w:p w:rsidR="0094311E" w:rsidRPr="00DB5965" w:rsidRDefault="0094311E" w:rsidP="00A61530">
      <w:pPr>
        <w:spacing w:after="0" w:line="240" w:lineRule="auto"/>
        <w:ind w:firstLine="708"/>
        <w:contextualSpacing/>
        <w:jc w:val="both"/>
        <w:rPr>
          <w:rFonts w:ascii="Times New Roman" w:hAnsi="Times New Roman" w:cs="Times New Roman"/>
          <w:sz w:val="20"/>
          <w:szCs w:val="20"/>
        </w:rPr>
      </w:pPr>
      <w:r w:rsidRPr="00DB5965">
        <w:rPr>
          <w:rFonts w:ascii="Times New Roman" w:hAnsi="Times New Roman" w:cs="Times New Roman"/>
          <w:sz w:val="20"/>
          <w:szCs w:val="20"/>
        </w:rPr>
        <w:t xml:space="preserve">       </w:t>
      </w:r>
      <w:r w:rsidRPr="00DB5965">
        <w:rPr>
          <w:rFonts w:ascii="Times New Roman" w:hAnsi="Times New Roman" w:cs="Times New Roman"/>
          <w:sz w:val="20"/>
          <w:szCs w:val="20"/>
        </w:rPr>
        <w:tab/>
      </w:r>
      <w:r w:rsidR="00CE38FD">
        <w:rPr>
          <w:rFonts w:ascii="Times New Roman" w:hAnsi="Times New Roman" w:cs="Times New Roman"/>
          <w:sz w:val="20"/>
          <w:szCs w:val="20"/>
        </w:rPr>
        <w:t xml:space="preserve">  </w:t>
      </w:r>
      <w:r w:rsidRPr="00DB5965">
        <w:rPr>
          <w:rFonts w:ascii="Times New Roman" w:hAnsi="Times New Roman" w:cs="Times New Roman"/>
          <w:sz w:val="20"/>
          <w:szCs w:val="20"/>
        </w:rPr>
        <w:t xml:space="preserve">Fonte: Elaboração própria com base nos resultados do modelo </w:t>
      </w:r>
      <w:proofErr w:type="spellStart"/>
      <w:r w:rsidRPr="00DB5965">
        <w:rPr>
          <w:rFonts w:ascii="Times New Roman" w:hAnsi="Times New Roman" w:cs="Times New Roman"/>
          <w:sz w:val="20"/>
          <w:szCs w:val="20"/>
        </w:rPr>
        <w:t>BeGreen</w:t>
      </w:r>
      <w:proofErr w:type="spellEnd"/>
      <w:r w:rsidRPr="00DB5965">
        <w:rPr>
          <w:rFonts w:ascii="Times New Roman" w:hAnsi="Times New Roman" w:cs="Times New Roman"/>
          <w:sz w:val="20"/>
          <w:szCs w:val="20"/>
        </w:rPr>
        <w:t>.</w:t>
      </w:r>
    </w:p>
    <w:p w:rsidR="00930C32" w:rsidRDefault="00AE47D4" w:rsidP="00AE47D4">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 xml:space="preserve">. </w:t>
      </w:r>
    </w:p>
    <w:p w:rsidR="0094311E" w:rsidRPr="00DB5965" w:rsidRDefault="0094311E" w:rsidP="00CE38FD">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Os 10 setores mais prejudicados pela política em termos de nível de atividade ao longo do mesmo período podem ser visualizados no Gráfico 2. Nesse caso, destacam-se atividades reconhecidamente com alto potencial emissor. Os setores com perdas maiores do que 10% em relação ao cenário base foram refino de petróleo, distribuição de gás natural e extração de petróleo e gás – setores diretamente ligados à produção de combustíveis fósseis – e fabricação de aço e derivados, setor altamente intensivo em energia e cujo processo industrial também envolve emissões de GEE.</w:t>
      </w:r>
    </w:p>
    <w:p w:rsidR="0094311E" w:rsidRDefault="0094311E" w:rsidP="008A543E">
      <w:pPr>
        <w:spacing w:after="0" w:line="240" w:lineRule="auto"/>
        <w:ind w:firstLine="708"/>
        <w:contextualSpacing/>
        <w:jc w:val="both"/>
        <w:rPr>
          <w:rFonts w:ascii="Times New Roman" w:hAnsi="Times New Roman" w:cs="Times New Roman"/>
          <w:sz w:val="24"/>
          <w:szCs w:val="24"/>
        </w:rPr>
      </w:pPr>
    </w:p>
    <w:p w:rsidR="00930C32" w:rsidRDefault="00930C32" w:rsidP="008A543E">
      <w:pPr>
        <w:spacing w:after="0" w:line="240" w:lineRule="auto"/>
        <w:ind w:firstLine="708"/>
        <w:contextualSpacing/>
        <w:jc w:val="both"/>
        <w:rPr>
          <w:rFonts w:ascii="Times New Roman" w:hAnsi="Times New Roman" w:cs="Times New Roman"/>
          <w:sz w:val="24"/>
          <w:szCs w:val="24"/>
        </w:rPr>
      </w:pPr>
    </w:p>
    <w:p w:rsidR="00930C32" w:rsidRDefault="00930C32" w:rsidP="008A543E">
      <w:pPr>
        <w:spacing w:after="0" w:line="240" w:lineRule="auto"/>
        <w:ind w:firstLine="708"/>
        <w:contextualSpacing/>
        <w:jc w:val="both"/>
        <w:rPr>
          <w:rFonts w:ascii="Times New Roman" w:hAnsi="Times New Roman" w:cs="Times New Roman"/>
          <w:sz w:val="24"/>
          <w:szCs w:val="24"/>
        </w:rPr>
      </w:pPr>
    </w:p>
    <w:p w:rsidR="00930C32" w:rsidRDefault="00930C32" w:rsidP="008A543E">
      <w:pPr>
        <w:spacing w:after="0" w:line="240" w:lineRule="auto"/>
        <w:ind w:firstLine="708"/>
        <w:contextualSpacing/>
        <w:jc w:val="both"/>
        <w:rPr>
          <w:rFonts w:ascii="Times New Roman" w:hAnsi="Times New Roman" w:cs="Times New Roman"/>
          <w:sz w:val="24"/>
          <w:szCs w:val="24"/>
        </w:rPr>
      </w:pPr>
    </w:p>
    <w:p w:rsidR="00930C32" w:rsidRDefault="00930C32" w:rsidP="008A543E">
      <w:pPr>
        <w:spacing w:after="0" w:line="240" w:lineRule="auto"/>
        <w:ind w:firstLine="708"/>
        <w:contextualSpacing/>
        <w:jc w:val="both"/>
        <w:rPr>
          <w:rFonts w:ascii="Times New Roman" w:hAnsi="Times New Roman" w:cs="Times New Roman"/>
          <w:sz w:val="24"/>
          <w:szCs w:val="24"/>
        </w:rPr>
      </w:pPr>
    </w:p>
    <w:p w:rsidR="00930C32" w:rsidRPr="00DB5965" w:rsidRDefault="00930C32" w:rsidP="008A543E">
      <w:pPr>
        <w:spacing w:after="0" w:line="240" w:lineRule="auto"/>
        <w:ind w:firstLine="708"/>
        <w:contextualSpacing/>
        <w:jc w:val="both"/>
        <w:rPr>
          <w:rFonts w:ascii="Times New Roman" w:hAnsi="Times New Roman" w:cs="Times New Roman"/>
          <w:sz w:val="24"/>
          <w:szCs w:val="24"/>
        </w:rPr>
      </w:pPr>
    </w:p>
    <w:p w:rsidR="0094311E" w:rsidRPr="00DB5965" w:rsidRDefault="0094311E" w:rsidP="00A61530">
      <w:pPr>
        <w:spacing w:after="0" w:line="240" w:lineRule="auto"/>
        <w:contextualSpacing/>
        <w:jc w:val="center"/>
        <w:rPr>
          <w:rFonts w:ascii="Times New Roman" w:hAnsi="Times New Roman" w:cs="Times New Roman"/>
          <w:b/>
          <w:bCs/>
          <w:sz w:val="24"/>
          <w:szCs w:val="24"/>
        </w:rPr>
      </w:pPr>
      <w:r w:rsidRPr="00DB5965">
        <w:rPr>
          <w:rFonts w:ascii="Times New Roman" w:hAnsi="Times New Roman" w:cs="Times New Roman"/>
          <w:b/>
          <w:bCs/>
          <w:sz w:val="24"/>
          <w:szCs w:val="24"/>
        </w:rPr>
        <w:lastRenderedPageBreak/>
        <w:t>Gráfico 2 – 10 setores com maiores perdas no nível de atividade em relação ao cenário base</w:t>
      </w:r>
    </w:p>
    <w:p w:rsidR="0094311E" w:rsidRPr="00DB5965" w:rsidRDefault="0094311E" w:rsidP="00A61530">
      <w:pPr>
        <w:spacing w:after="0" w:line="240" w:lineRule="auto"/>
        <w:contextualSpacing/>
        <w:jc w:val="center"/>
        <w:rPr>
          <w:rFonts w:ascii="Times New Roman" w:hAnsi="Times New Roman" w:cs="Times New Roman"/>
          <w:sz w:val="14"/>
          <w:szCs w:val="14"/>
        </w:rPr>
      </w:pPr>
    </w:p>
    <w:p w:rsidR="0094311E" w:rsidRPr="00DB5965" w:rsidRDefault="00E77DED" w:rsidP="00A61530">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pict>
          <v:shape id="_x0000_i1041" type="#_x0000_t75" style="width:321pt;height:199.5pt;mso-position-horizontal-relative:char;mso-position-vertical-relative:line">
            <v:imagedata r:id="rId14" o:title=""/>
          </v:shape>
        </w:pict>
      </w:r>
    </w:p>
    <w:p w:rsidR="0094311E" w:rsidRPr="00DB5965" w:rsidRDefault="00685251" w:rsidP="000829F7">
      <w:pPr>
        <w:spacing w:after="0" w:line="240" w:lineRule="auto"/>
        <w:ind w:left="708" w:firstLine="708"/>
        <w:contextualSpacing/>
        <w:jc w:val="both"/>
        <w:rPr>
          <w:rFonts w:ascii="Times New Roman" w:hAnsi="Times New Roman" w:cs="Times New Roman"/>
          <w:sz w:val="20"/>
          <w:szCs w:val="20"/>
        </w:rPr>
      </w:pPr>
      <w:r>
        <w:rPr>
          <w:rFonts w:ascii="Times New Roman" w:hAnsi="Times New Roman" w:cs="Times New Roman"/>
          <w:sz w:val="20"/>
          <w:szCs w:val="20"/>
        </w:rPr>
        <w:t xml:space="preserve">  </w:t>
      </w:r>
      <w:r w:rsidR="0094311E" w:rsidRPr="00DB5965">
        <w:rPr>
          <w:rFonts w:ascii="Times New Roman" w:hAnsi="Times New Roman" w:cs="Times New Roman"/>
          <w:sz w:val="20"/>
          <w:szCs w:val="20"/>
        </w:rPr>
        <w:t xml:space="preserve">Fonte: Elaboração própria com base nos resultados do modelo </w:t>
      </w:r>
      <w:proofErr w:type="spellStart"/>
      <w:r w:rsidR="0094311E" w:rsidRPr="00DB5965">
        <w:rPr>
          <w:rFonts w:ascii="Times New Roman" w:hAnsi="Times New Roman" w:cs="Times New Roman"/>
          <w:sz w:val="20"/>
          <w:szCs w:val="20"/>
        </w:rPr>
        <w:t>BeGreen</w:t>
      </w:r>
      <w:proofErr w:type="spellEnd"/>
      <w:r w:rsidR="0094311E" w:rsidRPr="00DB5965">
        <w:rPr>
          <w:rFonts w:ascii="Times New Roman" w:hAnsi="Times New Roman" w:cs="Times New Roman"/>
          <w:sz w:val="20"/>
          <w:szCs w:val="20"/>
        </w:rPr>
        <w:t>.</w:t>
      </w:r>
    </w:p>
    <w:p w:rsidR="0094311E" w:rsidRPr="00DB5965" w:rsidRDefault="0094311E" w:rsidP="008A543E">
      <w:pPr>
        <w:spacing w:after="0" w:line="240" w:lineRule="auto"/>
        <w:contextualSpacing/>
        <w:jc w:val="both"/>
        <w:rPr>
          <w:rFonts w:ascii="Times New Roman" w:hAnsi="Times New Roman" w:cs="Times New Roman"/>
          <w:sz w:val="24"/>
          <w:szCs w:val="24"/>
        </w:rPr>
      </w:pPr>
    </w:p>
    <w:p w:rsidR="0094311E" w:rsidRPr="00DB5965" w:rsidRDefault="0094311E" w:rsidP="008A543E">
      <w:pPr>
        <w:spacing w:after="0" w:line="240" w:lineRule="auto"/>
        <w:contextualSpacing/>
        <w:jc w:val="both"/>
        <w:rPr>
          <w:rFonts w:ascii="Times New Roman" w:hAnsi="Times New Roman" w:cs="Times New Roman"/>
          <w:b/>
          <w:bCs/>
          <w:sz w:val="24"/>
          <w:szCs w:val="24"/>
        </w:rPr>
      </w:pPr>
      <w:r w:rsidRPr="00DB5965">
        <w:rPr>
          <w:rFonts w:ascii="Times New Roman" w:hAnsi="Times New Roman" w:cs="Times New Roman"/>
          <w:b/>
          <w:bCs/>
          <w:sz w:val="24"/>
          <w:szCs w:val="24"/>
        </w:rPr>
        <w:t>5.3.2 Emissões setoriais</w:t>
      </w:r>
    </w:p>
    <w:p w:rsidR="0094311E" w:rsidRPr="00DB5965" w:rsidRDefault="0094311E" w:rsidP="008A543E">
      <w:pPr>
        <w:spacing w:after="0" w:line="240" w:lineRule="auto"/>
        <w:contextualSpacing/>
        <w:jc w:val="both"/>
        <w:rPr>
          <w:rFonts w:ascii="Times New Roman" w:hAnsi="Times New Roman" w:cs="Times New Roman"/>
          <w:sz w:val="24"/>
          <w:szCs w:val="24"/>
        </w:rPr>
      </w:pPr>
    </w:p>
    <w:p w:rsidR="00AE47D4" w:rsidRDefault="0094311E" w:rsidP="00930C32">
      <w:pPr>
        <w:spacing w:after="0" w:line="240" w:lineRule="auto"/>
        <w:ind w:firstLine="708"/>
        <w:contextualSpacing/>
        <w:jc w:val="both"/>
        <w:rPr>
          <w:rFonts w:ascii="Times New Roman" w:hAnsi="Times New Roman" w:cs="Times New Roman"/>
          <w:b/>
          <w:bCs/>
          <w:sz w:val="18"/>
          <w:szCs w:val="24"/>
        </w:rPr>
      </w:pPr>
      <w:r w:rsidRPr="00DB5965">
        <w:rPr>
          <w:rFonts w:ascii="Times New Roman" w:hAnsi="Times New Roman" w:cs="Times New Roman"/>
          <w:sz w:val="24"/>
          <w:szCs w:val="24"/>
        </w:rPr>
        <w:t>Houve redução acumulada em 2025 nas emissões de todos os setores em relação ao cenário base, com exceção do setor de geração de energia elétrica. Esse resultado pode ser explicado pela menor intensidade de emissões desse setor enquanto fonte energética em comparação com combustíveis fósseis (mais especificamente pelo papel desempenhado pelas usinas hidroelétricas na matriz energética brasileira). O Gráfico 3 mostra os 10 setores com menores reduções (ou acréscimo, no caso da geração de eletricidade) nas emissões em relação ao cenário base. Em geral, são setores que correspondem a atividades ou com um alto custo marginal de redução de emissões, ou com um cenário base em que as emissões já são reduzidas e sem a possibilidade tecnológica de substituição por insumos menos intensivos na emissão de GEE.</w:t>
      </w:r>
    </w:p>
    <w:p w:rsidR="00AE47D4" w:rsidRPr="00930C32" w:rsidRDefault="00AE47D4" w:rsidP="00CE38FD">
      <w:pPr>
        <w:tabs>
          <w:tab w:val="left" w:pos="3810"/>
        </w:tabs>
        <w:spacing w:after="0" w:line="240" w:lineRule="auto"/>
        <w:ind w:firstLine="708"/>
        <w:contextualSpacing/>
        <w:jc w:val="both"/>
        <w:rPr>
          <w:rFonts w:ascii="Times New Roman" w:hAnsi="Times New Roman" w:cs="Times New Roman"/>
          <w:b/>
          <w:bCs/>
          <w:sz w:val="24"/>
          <w:szCs w:val="24"/>
        </w:rPr>
      </w:pPr>
    </w:p>
    <w:p w:rsidR="0094311E" w:rsidRPr="00DB5965" w:rsidRDefault="0094311E" w:rsidP="002603EA">
      <w:pPr>
        <w:spacing w:after="0" w:line="288" w:lineRule="auto"/>
        <w:contextualSpacing/>
        <w:jc w:val="center"/>
        <w:rPr>
          <w:rFonts w:ascii="Times New Roman" w:hAnsi="Times New Roman" w:cs="Times New Roman"/>
          <w:b/>
          <w:bCs/>
          <w:sz w:val="24"/>
          <w:szCs w:val="24"/>
        </w:rPr>
      </w:pPr>
      <w:r w:rsidRPr="00DB5965">
        <w:rPr>
          <w:rFonts w:ascii="Times New Roman" w:hAnsi="Times New Roman" w:cs="Times New Roman"/>
          <w:b/>
          <w:bCs/>
          <w:sz w:val="24"/>
          <w:szCs w:val="24"/>
        </w:rPr>
        <w:t>Gráfico 3 – 10 setores com menores reduções nas emissões em relação ao cenário base</w:t>
      </w:r>
    </w:p>
    <w:p w:rsidR="0094311E" w:rsidRPr="00DB5965" w:rsidRDefault="00E77DED" w:rsidP="00A61530">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pict>
          <v:shape id="_x0000_i1042" type="#_x0000_t75" style="width:327.75pt;height:204.75pt;mso-position-horizontal-relative:char;mso-position-vertical-relative:line">
            <v:imagedata r:id="rId15" o:title=""/>
          </v:shape>
        </w:pict>
      </w:r>
    </w:p>
    <w:p w:rsidR="0094311E" w:rsidRPr="00DB5965" w:rsidRDefault="0094311E" w:rsidP="00A61530">
      <w:pPr>
        <w:spacing w:after="0" w:line="240" w:lineRule="auto"/>
        <w:ind w:firstLine="708"/>
        <w:contextualSpacing/>
        <w:jc w:val="both"/>
        <w:rPr>
          <w:rFonts w:ascii="Times New Roman" w:hAnsi="Times New Roman" w:cs="Times New Roman"/>
          <w:sz w:val="20"/>
          <w:szCs w:val="20"/>
        </w:rPr>
      </w:pPr>
      <w:r w:rsidRPr="00DB5965">
        <w:rPr>
          <w:rFonts w:ascii="Times New Roman" w:hAnsi="Times New Roman" w:cs="Times New Roman"/>
          <w:sz w:val="20"/>
          <w:szCs w:val="20"/>
        </w:rPr>
        <w:t xml:space="preserve">        </w:t>
      </w:r>
      <w:r w:rsidRPr="00DB5965">
        <w:rPr>
          <w:rFonts w:ascii="Times New Roman" w:hAnsi="Times New Roman" w:cs="Times New Roman"/>
          <w:sz w:val="20"/>
          <w:szCs w:val="20"/>
        </w:rPr>
        <w:tab/>
        <w:t xml:space="preserve"> </w:t>
      </w:r>
      <w:r w:rsidR="00BD632E">
        <w:rPr>
          <w:rFonts w:ascii="Times New Roman" w:hAnsi="Times New Roman" w:cs="Times New Roman"/>
          <w:sz w:val="20"/>
          <w:szCs w:val="20"/>
        </w:rPr>
        <w:t xml:space="preserve"> </w:t>
      </w:r>
      <w:r w:rsidR="00CE38FD">
        <w:rPr>
          <w:rFonts w:ascii="Times New Roman" w:hAnsi="Times New Roman" w:cs="Times New Roman"/>
          <w:sz w:val="20"/>
          <w:szCs w:val="20"/>
        </w:rPr>
        <w:t xml:space="preserve"> </w:t>
      </w:r>
      <w:r w:rsidRPr="00DB5965">
        <w:rPr>
          <w:rFonts w:ascii="Times New Roman" w:hAnsi="Times New Roman" w:cs="Times New Roman"/>
          <w:sz w:val="20"/>
          <w:szCs w:val="20"/>
        </w:rPr>
        <w:t xml:space="preserve">Fonte: Elaboração própria com base nos resultados do modelo </w:t>
      </w:r>
      <w:proofErr w:type="spellStart"/>
      <w:r w:rsidRPr="00DB5965">
        <w:rPr>
          <w:rFonts w:ascii="Times New Roman" w:hAnsi="Times New Roman" w:cs="Times New Roman"/>
          <w:sz w:val="20"/>
          <w:szCs w:val="20"/>
        </w:rPr>
        <w:t>BeGreen</w:t>
      </w:r>
      <w:proofErr w:type="spellEnd"/>
      <w:r w:rsidRPr="00DB5965">
        <w:rPr>
          <w:rFonts w:ascii="Times New Roman" w:hAnsi="Times New Roman" w:cs="Times New Roman"/>
          <w:sz w:val="20"/>
          <w:szCs w:val="20"/>
        </w:rPr>
        <w:t>.</w:t>
      </w:r>
    </w:p>
    <w:p w:rsidR="00AE47D4" w:rsidRDefault="00AE47D4" w:rsidP="00F931C4">
      <w:pPr>
        <w:spacing w:after="0" w:line="240" w:lineRule="auto"/>
        <w:ind w:firstLine="708"/>
        <w:contextualSpacing/>
        <w:jc w:val="both"/>
        <w:rPr>
          <w:rFonts w:ascii="Times New Roman" w:hAnsi="Times New Roman" w:cs="Times New Roman"/>
          <w:sz w:val="24"/>
          <w:szCs w:val="24"/>
        </w:rPr>
      </w:pPr>
    </w:p>
    <w:p w:rsidR="0094311E" w:rsidRPr="00DB5965" w:rsidRDefault="0094311E" w:rsidP="00F931C4">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lastRenderedPageBreak/>
        <w:t>O Gráfico 4, por outro lado, apresenta os 10 setores com maiores reduções nas emissões em relação ao cenário base. O setor residencial – ou consumo das famílias – apresentou a maior contribuição para a meta de emissões, com queda de quase 47%, resultado da substituição por produtos menos intensivos em emissões e, devido à ação da política, com custos relativamente reduzidos. Logo em seguida, os setores de refino de petróleo e distribuição de gás natural aparecem com as maiores reduções, por motivos já explicados acima. Setores como o de defensivos agrícolas apresentam baixos custos marginais de redução de emissões, o que resulta não somente na expressiva redução de emissões (cerca de 25</w:t>
      </w:r>
      <w:proofErr w:type="gramStart"/>
      <w:r w:rsidRPr="00DB5965">
        <w:rPr>
          <w:rFonts w:ascii="Times New Roman" w:hAnsi="Times New Roman" w:cs="Times New Roman"/>
          <w:sz w:val="24"/>
          <w:szCs w:val="24"/>
        </w:rPr>
        <w:t>%)</w:t>
      </w:r>
      <w:proofErr w:type="gramEnd"/>
      <w:r w:rsidRPr="00DB5965">
        <w:rPr>
          <w:rFonts w:ascii="Times New Roman" w:hAnsi="Times New Roman" w:cs="Times New Roman"/>
          <w:sz w:val="24"/>
          <w:szCs w:val="24"/>
        </w:rPr>
        <w:t xml:space="preserve"> mas também na variação positiva no nível de atividade do setor (aproximadamente 1%).</w:t>
      </w:r>
    </w:p>
    <w:p w:rsidR="0094311E" w:rsidRPr="00AE47D4" w:rsidRDefault="00CE38FD" w:rsidP="00CE38FD">
      <w:pPr>
        <w:tabs>
          <w:tab w:val="left" w:pos="960"/>
        </w:tabs>
        <w:spacing w:after="0" w:line="240" w:lineRule="auto"/>
        <w:contextualSpacing/>
        <w:jc w:val="both"/>
        <w:rPr>
          <w:rFonts w:ascii="Times New Roman" w:hAnsi="Times New Roman" w:cs="Times New Roman"/>
          <w:sz w:val="24"/>
          <w:szCs w:val="24"/>
        </w:rPr>
      </w:pPr>
      <w:r w:rsidRPr="00CE38FD">
        <w:rPr>
          <w:rFonts w:ascii="Times New Roman" w:hAnsi="Times New Roman" w:cs="Times New Roman"/>
          <w:sz w:val="16"/>
          <w:szCs w:val="24"/>
        </w:rPr>
        <w:tab/>
      </w:r>
    </w:p>
    <w:p w:rsidR="0094311E" w:rsidRPr="00DB5965" w:rsidRDefault="0094311E" w:rsidP="00DF7845">
      <w:pPr>
        <w:spacing w:after="0" w:line="288" w:lineRule="auto"/>
        <w:contextualSpacing/>
        <w:jc w:val="center"/>
        <w:rPr>
          <w:rFonts w:ascii="Times New Roman" w:hAnsi="Times New Roman" w:cs="Times New Roman"/>
          <w:sz w:val="24"/>
          <w:szCs w:val="24"/>
        </w:rPr>
      </w:pPr>
      <w:r w:rsidRPr="00DB5965">
        <w:rPr>
          <w:rFonts w:ascii="Times New Roman" w:hAnsi="Times New Roman" w:cs="Times New Roman"/>
          <w:b/>
          <w:bCs/>
          <w:sz w:val="24"/>
          <w:szCs w:val="24"/>
        </w:rPr>
        <w:t>Gráfico 4 – 10 setores com maiores reduções nas emissões em relação ao cenário base</w:t>
      </w:r>
    </w:p>
    <w:p w:rsidR="0094311E" w:rsidRPr="00DB5965" w:rsidRDefault="00306E1B" w:rsidP="00A61530">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pict>
          <v:shape id="_x0000_i1043" type="#_x0000_t75" style="width:321pt;height:200.25pt;mso-position-horizontal-relative:char;mso-position-vertical-relative:line">
            <v:imagedata r:id="rId16" o:title=""/>
          </v:shape>
        </w:pict>
      </w:r>
    </w:p>
    <w:p w:rsidR="0094311E" w:rsidRPr="00DB5965" w:rsidRDefault="00AE47D4" w:rsidP="00A61530">
      <w:pPr>
        <w:spacing w:after="0" w:line="240" w:lineRule="auto"/>
        <w:ind w:left="708" w:firstLine="708"/>
        <w:contextualSpacing/>
        <w:jc w:val="both"/>
        <w:rPr>
          <w:rFonts w:ascii="Times New Roman" w:hAnsi="Times New Roman" w:cs="Times New Roman"/>
          <w:sz w:val="20"/>
          <w:szCs w:val="20"/>
        </w:rPr>
      </w:pPr>
      <w:r>
        <w:rPr>
          <w:rFonts w:ascii="Times New Roman" w:hAnsi="Times New Roman" w:cs="Times New Roman"/>
          <w:sz w:val="20"/>
          <w:szCs w:val="20"/>
        </w:rPr>
        <w:t xml:space="preserve">   </w:t>
      </w:r>
      <w:r w:rsidR="0094311E" w:rsidRPr="00DB5965">
        <w:rPr>
          <w:rFonts w:ascii="Times New Roman" w:hAnsi="Times New Roman" w:cs="Times New Roman"/>
          <w:sz w:val="20"/>
          <w:szCs w:val="20"/>
        </w:rPr>
        <w:t xml:space="preserve">Fonte: Elaboração própria com base nos resultados do modelo </w:t>
      </w:r>
      <w:proofErr w:type="spellStart"/>
      <w:r w:rsidR="0094311E" w:rsidRPr="00DB5965">
        <w:rPr>
          <w:rFonts w:ascii="Times New Roman" w:hAnsi="Times New Roman" w:cs="Times New Roman"/>
          <w:sz w:val="20"/>
          <w:szCs w:val="20"/>
        </w:rPr>
        <w:t>BeGreen</w:t>
      </w:r>
      <w:proofErr w:type="spellEnd"/>
      <w:r w:rsidR="0094311E" w:rsidRPr="00DB5965">
        <w:rPr>
          <w:rFonts w:ascii="Times New Roman" w:hAnsi="Times New Roman" w:cs="Times New Roman"/>
          <w:sz w:val="20"/>
          <w:szCs w:val="20"/>
        </w:rPr>
        <w:t>.</w:t>
      </w:r>
    </w:p>
    <w:p w:rsidR="0094311E" w:rsidRPr="00AE47D4" w:rsidRDefault="0094311E" w:rsidP="008A543E">
      <w:pPr>
        <w:spacing w:after="0" w:line="240" w:lineRule="auto"/>
        <w:contextualSpacing/>
        <w:jc w:val="both"/>
        <w:rPr>
          <w:rFonts w:ascii="Times New Roman" w:hAnsi="Times New Roman" w:cs="Times New Roman"/>
          <w:sz w:val="24"/>
          <w:szCs w:val="24"/>
        </w:rPr>
      </w:pPr>
    </w:p>
    <w:p w:rsidR="0094311E" w:rsidRPr="00DB5965" w:rsidRDefault="0094311E" w:rsidP="008A543E">
      <w:pPr>
        <w:spacing w:after="0" w:line="240" w:lineRule="auto"/>
        <w:contextualSpacing/>
        <w:jc w:val="both"/>
        <w:rPr>
          <w:rFonts w:ascii="Times New Roman" w:hAnsi="Times New Roman" w:cs="Times New Roman"/>
          <w:b/>
          <w:bCs/>
          <w:sz w:val="24"/>
          <w:szCs w:val="24"/>
        </w:rPr>
      </w:pPr>
      <w:r w:rsidRPr="00DB5965">
        <w:rPr>
          <w:rFonts w:ascii="Times New Roman" w:hAnsi="Times New Roman" w:cs="Times New Roman"/>
          <w:b/>
          <w:bCs/>
          <w:sz w:val="24"/>
          <w:szCs w:val="24"/>
        </w:rPr>
        <w:t>5.4 Emissões por fonte emissora: combustíveis e processos industriais</w:t>
      </w:r>
    </w:p>
    <w:p w:rsidR="001D0C16" w:rsidRPr="00B32616" w:rsidRDefault="001D0C16" w:rsidP="001D0C16">
      <w:pPr>
        <w:spacing w:after="0" w:line="240" w:lineRule="auto"/>
        <w:ind w:firstLine="708"/>
        <w:contextualSpacing/>
        <w:jc w:val="both"/>
        <w:rPr>
          <w:rFonts w:ascii="Times New Roman" w:hAnsi="Times New Roman" w:cs="Times New Roman"/>
          <w:sz w:val="14"/>
          <w:szCs w:val="24"/>
        </w:rPr>
      </w:pPr>
    </w:p>
    <w:p w:rsidR="0094311E" w:rsidRPr="00DB5965" w:rsidRDefault="0094311E" w:rsidP="001D0C16">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Os resultados</w:t>
      </w:r>
      <w:r w:rsidR="0036585E">
        <w:rPr>
          <w:rFonts w:ascii="Times New Roman" w:hAnsi="Times New Roman" w:cs="Times New Roman"/>
          <w:sz w:val="24"/>
          <w:szCs w:val="24"/>
        </w:rPr>
        <w:t xml:space="preserve"> são apresentados em termos de</w:t>
      </w:r>
      <w:r w:rsidRPr="00DB5965">
        <w:rPr>
          <w:rFonts w:ascii="Times New Roman" w:hAnsi="Times New Roman" w:cs="Times New Roman"/>
          <w:sz w:val="24"/>
          <w:szCs w:val="24"/>
        </w:rPr>
        <w:t xml:space="preserve"> evolução das emissões por comb</w:t>
      </w:r>
      <w:r w:rsidR="001D0C16">
        <w:rPr>
          <w:rFonts w:ascii="Times New Roman" w:hAnsi="Times New Roman" w:cs="Times New Roman"/>
          <w:sz w:val="24"/>
          <w:szCs w:val="24"/>
        </w:rPr>
        <w:t>ustível e processos industriais, ponderados por suas participações na quantidade total de emissões (percentual das emissões proveniente da utilização de cada combustível). Este indicador demonstra</w:t>
      </w:r>
      <w:r w:rsidRPr="00DB5965">
        <w:rPr>
          <w:rFonts w:ascii="Times New Roman" w:hAnsi="Times New Roman" w:cs="Times New Roman"/>
          <w:sz w:val="24"/>
          <w:szCs w:val="24"/>
        </w:rPr>
        <w:t xml:space="preserve"> os efeitos da política adotada, com redução relativa das emissões em todas as fontes modeladas, à exceção do carvão vegetal. Esse combustível renovável tem seu acréscimo de emissões explicado da seguinte forma: de acordo com a base de dados de emissões, é possível notar que as emissões provenientes do carvão vegetal se dão principalmente no setor de geração de energia elétrica (cerca de 85%), que é justamente o setor que apresentou elevação nas emissões (Gráfico 5). </w:t>
      </w:r>
    </w:p>
    <w:p w:rsidR="00930C32" w:rsidRPr="00DB5965" w:rsidRDefault="00930C32" w:rsidP="00930C32">
      <w:pPr>
        <w:spacing w:after="0" w:line="240" w:lineRule="auto"/>
        <w:ind w:firstLine="708"/>
        <w:contextualSpacing/>
        <w:jc w:val="both"/>
        <w:rPr>
          <w:rFonts w:ascii="Times New Roman" w:hAnsi="Times New Roman" w:cs="Times New Roman"/>
          <w:sz w:val="24"/>
          <w:szCs w:val="24"/>
        </w:rPr>
      </w:pPr>
      <w:r w:rsidRPr="00DB5965">
        <w:rPr>
          <w:rFonts w:ascii="Times New Roman" w:hAnsi="Times New Roman" w:cs="Times New Roman"/>
          <w:sz w:val="24"/>
          <w:szCs w:val="24"/>
        </w:rPr>
        <w:t>Por meio dos resultados da simulação no cenário de política, pode-se verificar que houve um aumento de 39,59% nas emissões provenientes desse combustível apenas nesse setor. Daí o aumento significativo de emissões do carvão vegetal enquanto combustível. Por fim, o coque, o gás líquido de petróleo e a gasolina foram os combustíveis com maiores reduções de emissões, visto que seu elevado potencial emissor levou à sua substituição no cenário de política por alternativas com menor intensidade poluidora.</w:t>
      </w:r>
    </w:p>
    <w:p w:rsidR="0036585E" w:rsidRDefault="0036585E" w:rsidP="008A543E">
      <w:pPr>
        <w:spacing w:after="0" w:line="240" w:lineRule="auto"/>
        <w:ind w:firstLine="708"/>
        <w:contextualSpacing/>
        <w:jc w:val="both"/>
        <w:rPr>
          <w:rFonts w:ascii="Times New Roman" w:hAnsi="Times New Roman" w:cs="Times New Roman"/>
          <w:sz w:val="18"/>
          <w:szCs w:val="24"/>
        </w:rPr>
      </w:pPr>
    </w:p>
    <w:p w:rsidR="00930C32" w:rsidRDefault="00930C32" w:rsidP="008A543E">
      <w:pPr>
        <w:spacing w:after="0" w:line="240" w:lineRule="auto"/>
        <w:ind w:firstLine="708"/>
        <w:contextualSpacing/>
        <w:jc w:val="both"/>
        <w:rPr>
          <w:rFonts w:ascii="Times New Roman" w:hAnsi="Times New Roman" w:cs="Times New Roman"/>
          <w:sz w:val="18"/>
          <w:szCs w:val="24"/>
        </w:rPr>
      </w:pPr>
    </w:p>
    <w:p w:rsidR="00930C32" w:rsidRDefault="00930C32" w:rsidP="008A543E">
      <w:pPr>
        <w:spacing w:after="0" w:line="240" w:lineRule="auto"/>
        <w:ind w:firstLine="708"/>
        <w:contextualSpacing/>
        <w:jc w:val="both"/>
        <w:rPr>
          <w:rFonts w:ascii="Times New Roman" w:hAnsi="Times New Roman" w:cs="Times New Roman"/>
          <w:sz w:val="18"/>
          <w:szCs w:val="24"/>
        </w:rPr>
      </w:pPr>
    </w:p>
    <w:p w:rsidR="00930C32" w:rsidRDefault="00930C32" w:rsidP="008A543E">
      <w:pPr>
        <w:spacing w:after="0" w:line="240" w:lineRule="auto"/>
        <w:ind w:firstLine="708"/>
        <w:contextualSpacing/>
        <w:jc w:val="both"/>
        <w:rPr>
          <w:rFonts w:ascii="Times New Roman" w:hAnsi="Times New Roman" w:cs="Times New Roman"/>
          <w:sz w:val="18"/>
          <w:szCs w:val="24"/>
        </w:rPr>
      </w:pPr>
    </w:p>
    <w:p w:rsidR="00930C32" w:rsidRDefault="00930C32" w:rsidP="008A543E">
      <w:pPr>
        <w:spacing w:after="0" w:line="240" w:lineRule="auto"/>
        <w:ind w:firstLine="708"/>
        <w:contextualSpacing/>
        <w:jc w:val="both"/>
        <w:rPr>
          <w:rFonts w:ascii="Times New Roman" w:hAnsi="Times New Roman" w:cs="Times New Roman"/>
          <w:sz w:val="18"/>
          <w:szCs w:val="24"/>
        </w:rPr>
      </w:pPr>
    </w:p>
    <w:p w:rsidR="00930C32" w:rsidRDefault="00930C32" w:rsidP="008A543E">
      <w:pPr>
        <w:spacing w:after="0" w:line="240" w:lineRule="auto"/>
        <w:ind w:firstLine="708"/>
        <w:contextualSpacing/>
        <w:jc w:val="both"/>
        <w:rPr>
          <w:rFonts w:ascii="Times New Roman" w:hAnsi="Times New Roman" w:cs="Times New Roman"/>
          <w:sz w:val="18"/>
          <w:szCs w:val="24"/>
        </w:rPr>
      </w:pPr>
    </w:p>
    <w:p w:rsidR="00930C32" w:rsidRDefault="00930C32" w:rsidP="008A543E">
      <w:pPr>
        <w:spacing w:after="0" w:line="240" w:lineRule="auto"/>
        <w:ind w:firstLine="708"/>
        <w:contextualSpacing/>
        <w:jc w:val="both"/>
        <w:rPr>
          <w:rFonts w:ascii="Times New Roman" w:hAnsi="Times New Roman" w:cs="Times New Roman"/>
          <w:sz w:val="18"/>
          <w:szCs w:val="24"/>
        </w:rPr>
      </w:pPr>
    </w:p>
    <w:p w:rsidR="00930C32" w:rsidRDefault="00930C32" w:rsidP="00424C7E">
      <w:pPr>
        <w:spacing w:after="0" w:line="288" w:lineRule="auto"/>
        <w:contextualSpacing/>
        <w:jc w:val="center"/>
        <w:rPr>
          <w:rFonts w:ascii="Times New Roman" w:hAnsi="Times New Roman" w:cs="Times New Roman"/>
          <w:b/>
          <w:bCs/>
          <w:sz w:val="24"/>
          <w:szCs w:val="24"/>
        </w:rPr>
      </w:pPr>
    </w:p>
    <w:p w:rsidR="00424C7E" w:rsidRPr="00DB5965" w:rsidRDefault="0094311E" w:rsidP="00424C7E">
      <w:pPr>
        <w:spacing w:after="0" w:line="288" w:lineRule="auto"/>
        <w:contextualSpacing/>
        <w:jc w:val="center"/>
        <w:rPr>
          <w:rFonts w:ascii="Times New Roman" w:hAnsi="Times New Roman" w:cs="Times New Roman"/>
          <w:sz w:val="24"/>
          <w:szCs w:val="24"/>
        </w:rPr>
      </w:pPr>
      <w:r w:rsidRPr="00DB5965">
        <w:rPr>
          <w:rFonts w:ascii="Times New Roman" w:hAnsi="Times New Roman" w:cs="Times New Roman"/>
          <w:b/>
          <w:bCs/>
          <w:sz w:val="24"/>
          <w:szCs w:val="24"/>
        </w:rPr>
        <w:lastRenderedPageBreak/>
        <w:t>Gráfico 5 – Emissões por combustível e processos industriais em relação ao cenário base</w:t>
      </w:r>
    </w:p>
    <w:p w:rsidR="0094311E" w:rsidRPr="00DB5965" w:rsidRDefault="00306E1B" w:rsidP="00A61530">
      <w:pPr>
        <w:spacing w:after="0" w:line="240" w:lineRule="auto"/>
        <w:contextualSpacing/>
        <w:jc w:val="center"/>
        <w:rPr>
          <w:rFonts w:ascii="Times New Roman" w:hAnsi="Times New Roman" w:cs="Times New Roman"/>
          <w:sz w:val="24"/>
          <w:szCs w:val="24"/>
        </w:rPr>
      </w:pPr>
      <w:r>
        <w:rPr>
          <w:rFonts w:ascii="Times New Roman" w:hAnsi="Times New Roman" w:cs="Times New Roman"/>
          <w:sz w:val="24"/>
          <w:szCs w:val="24"/>
        </w:rPr>
        <w:pict w14:anchorId="380CCD98">
          <v:shape id="_x0000_i1044" type="#_x0000_t75" style="width:316.5pt;height:198pt;mso-left-percent:-10001;mso-top-percent:-10001;mso-position-horizontal:absolute;mso-position-horizontal-relative:char;mso-position-vertical:absolute;mso-position-vertical-relative:line;mso-left-percent:-10001;mso-top-percent:-10001">
            <v:imagedata r:id="rId17" o:title=""/>
          </v:shape>
        </w:pict>
      </w:r>
    </w:p>
    <w:p w:rsidR="0094311E" w:rsidRPr="00DB5965" w:rsidRDefault="00587F3F" w:rsidP="00A61530">
      <w:pPr>
        <w:spacing w:after="0" w:line="240" w:lineRule="auto"/>
        <w:ind w:firstLine="708"/>
        <w:contextualSpacing/>
        <w:jc w:val="both"/>
        <w:rPr>
          <w:rFonts w:ascii="Times New Roman" w:hAnsi="Times New Roman" w:cs="Times New Roman"/>
          <w:sz w:val="20"/>
          <w:szCs w:val="20"/>
        </w:rPr>
      </w:pPr>
      <w:r>
        <w:rPr>
          <w:rFonts w:ascii="Times New Roman" w:hAnsi="Times New Roman" w:cs="Times New Roman"/>
          <w:sz w:val="20"/>
          <w:szCs w:val="20"/>
        </w:rPr>
        <w:t xml:space="preserve">                </w:t>
      </w:r>
      <w:r w:rsidR="0094311E" w:rsidRPr="00DB5965">
        <w:rPr>
          <w:rFonts w:ascii="Times New Roman" w:hAnsi="Times New Roman" w:cs="Times New Roman"/>
          <w:sz w:val="20"/>
          <w:szCs w:val="20"/>
        </w:rPr>
        <w:t xml:space="preserve">Fonte: Elaboração própria com base nos resultados do modelo </w:t>
      </w:r>
      <w:proofErr w:type="spellStart"/>
      <w:r w:rsidR="0094311E" w:rsidRPr="00DB5965">
        <w:rPr>
          <w:rFonts w:ascii="Times New Roman" w:hAnsi="Times New Roman" w:cs="Times New Roman"/>
          <w:sz w:val="20"/>
          <w:szCs w:val="20"/>
        </w:rPr>
        <w:t>BeGreen</w:t>
      </w:r>
      <w:proofErr w:type="spellEnd"/>
      <w:r w:rsidR="0094311E" w:rsidRPr="00DB5965">
        <w:rPr>
          <w:rFonts w:ascii="Times New Roman" w:hAnsi="Times New Roman" w:cs="Times New Roman"/>
          <w:sz w:val="20"/>
          <w:szCs w:val="20"/>
        </w:rPr>
        <w:t>.</w:t>
      </w:r>
    </w:p>
    <w:p w:rsidR="00AE47D4" w:rsidRDefault="00AE47D4" w:rsidP="00CE38FD">
      <w:pPr>
        <w:spacing w:after="0" w:line="240" w:lineRule="auto"/>
        <w:ind w:firstLine="708"/>
        <w:contextualSpacing/>
        <w:jc w:val="both"/>
        <w:rPr>
          <w:rFonts w:ascii="Times New Roman" w:hAnsi="Times New Roman" w:cs="Times New Roman"/>
          <w:sz w:val="24"/>
          <w:szCs w:val="24"/>
        </w:rPr>
      </w:pPr>
    </w:p>
    <w:p w:rsidR="0094311E" w:rsidRDefault="0094311E" w:rsidP="00C842CE">
      <w:pPr>
        <w:spacing w:after="0" w:line="240" w:lineRule="auto"/>
        <w:contextualSpacing/>
        <w:jc w:val="both"/>
        <w:rPr>
          <w:rFonts w:ascii="Times New Roman" w:hAnsi="Times New Roman" w:cs="Times New Roman"/>
          <w:sz w:val="24"/>
          <w:szCs w:val="24"/>
        </w:rPr>
      </w:pPr>
    </w:p>
    <w:p w:rsidR="0094311E" w:rsidRDefault="00E21016" w:rsidP="00C842CE">
      <w:pPr>
        <w:spacing w:after="0" w:line="24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6. Considerações finais</w:t>
      </w:r>
    </w:p>
    <w:p w:rsidR="00E21016" w:rsidRDefault="00E21016" w:rsidP="00A27778">
      <w:pPr>
        <w:spacing w:after="0" w:line="240" w:lineRule="auto"/>
        <w:ind w:firstLine="708"/>
        <w:contextualSpacing/>
        <w:jc w:val="both"/>
        <w:rPr>
          <w:rFonts w:ascii="Times New Roman" w:hAnsi="Times New Roman" w:cs="Times New Roman"/>
          <w:sz w:val="24"/>
          <w:szCs w:val="24"/>
        </w:rPr>
      </w:pPr>
    </w:p>
    <w:p w:rsidR="0094311E" w:rsidRPr="00A27778" w:rsidRDefault="0094311E" w:rsidP="00A27778">
      <w:pPr>
        <w:spacing w:after="0" w:line="240" w:lineRule="auto"/>
        <w:ind w:firstLine="708"/>
        <w:contextualSpacing/>
        <w:jc w:val="both"/>
        <w:rPr>
          <w:rFonts w:ascii="Times New Roman" w:hAnsi="Times New Roman" w:cs="Times New Roman"/>
          <w:sz w:val="24"/>
          <w:szCs w:val="24"/>
        </w:rPr>
      </w:pPr>
      <w:r w:rsidRPr="00A27778">
        <w:rPr>
          <w:rFonts w:ascii="Times New Roman" w:hAnsi="Times New Roman" w:cs="Times New Roman"/>
          <w:sz w:val="24"/>
          <w:szCs w:val="24"/>
        </w:rPr>
        <w:t>Este artigo teve como objetivo simular os impactos econômicos da</w:t>
      </w:r>
      <w:r>
        <w:rPr>
          <w:rFonts w:ascii="Times New Roman" w:hAnsi="Times New Roman" w:cs="Times New Roman"/>
          <w:sz w:val="24"/>
          <w:szCs w:val="24"/>
        </w:rPr>
        <w:t xml:space="preserve"> meta de redução de emissões de GEE contida na</w:t>
      </w:r>
      <w:r w:rsidRPr="00A27778">
        <w:rPr>
          <w:rFonts w:ascii="Times New Roman" w:hAnsi="Times New Roman" w:cs="Times New Roman"/>
          <w:sz w:val="24"/>
          <w:szCs w:val="24"/>
        </w:rPr>
        <w:t xml:space="preserve"> INDC brasileira</w:t>
      </w:r>
      <w:r w:rsidR="00D05228">
        <w:rPr>
          <w:rFonts w:ascii="Times New Roman" w:hAnsi="Times New Roman" w:cs="Times New Roman"/>
          <w:sz w:val="24"/>
          <w:szCs w:val="24"/>
        </w:rPr>
        <w:t xml:space="preserve">, </w:t>
      </w:r>
      <w:r w:rsidRPr="00A27778">
        <w:rPr>
          <w:rFonts w:ascii="Times New Roman" w:hAnsi="Times New Roman" w:cs="Times New Roman"/>
          <w:sz w:val="24"/>
          <w:szCs w:val="24"/>
        </w:rPr>
        <w:t>a</w:t>
      </w:r>
      <w:r w:rsidR="00D05228">
        <w:rPr>
          <w:rFonts w:ascii="Times New Roman" w:hAnsi="Times New Roman" w:cs="Times New Roman"/>
          <w:sz w:val="24"/>
          <w:szCs w:val="24"/>
        </w:rPr>
        <w:t>cordada</w:t>
      </w:r>
      <w:r w:rsidR="009046E8">
        <w:rPr>
          <w:rFonts w:ascii="Times New Roman" w:hAnsi="Times New Roman" w:cs="Times New Roman"/>
          <w:sz w:val="24"/>
          <w:szCs w:val="24"/>
        </w:rPr>
        <w:t xml:space="preserve"> na COP</w:t>
      </w:r>
      <w:r w:rsidRPr="00A27778">
        <w:rPr>
          <w:rFonts w:ascii="Times New Roman" w:hAnsi="Times New Roman" w:cs="Times New Roman"/>
          <w:sz w:val="24"/>
          <w:szCs w:val="24"/>
        </w:rPr>
        <w:t>21</w:t>
      </w:r>
      <w:r>
        <w:rPr>
          <w:rFonts w:ascii="Times New Roman" w:hAnsi="Times New Roman" w:cs="Times New Roman"/>
          <w:sz w:val="24"/>
          <w:szCs w:val="24"/>
        </w:rPr>
        <w:t xml:space="preserve">. </w:t>
      </w:r>
      <w:r w:rsidRPr="00A27778">
        <w:rPr>
          <w:rFonts w:ascii="Times New Roman" w:hAnsi="Times New Roman" w:cs="Times New Roman"/>
          <w:sz w:val="24"/>
          <w:szCs w:val="24"/>
        </w:rPr>
        <w:t>Par</w:t>
      </w:r>
      <w:r>
        <w:rPr>
          <w:rFonts w:ascii="Times New Roman" w:hAnsi="Times New Roman" w:cs="Times New Roman"/>
          <w:sz w:val="24"/>
          <w:szCs w:val="24"/>
        </w:rPr>
        <w:t>a tanto, optou-se por utilizar um</w:t>
      </w:r>
      <w:r w:rsidRPr="00A27778">
        <w:rPr>
          <w:rFonts w:ascii="Times New Roman" w:hAnsi="Times New Roman" w:cs="Times New Roman"/>
          <w:sz w:val="24"/>
          <w:szCs w:val="24"/>
        </w:rPr>
        <w:t xml:space="preserve"> model</w:t>
      </w:r>
      <w:r>
        <w:rPr>
          <w:rFonts w:ascii="Times New Roman" w:hAnsi="Times New Roman" w:cs="Times New Roman"/>
          <w:sz w:val="24"/>
          <w:szCs w:val="24"/>
        </w:rPr>
        <w:t>o de EGC, o</w:t>
      </w:r>
      <w:r w:rsidRPr="00A27778">
        <w:rPr>
          <w:rFonts w:ascii="Times New Roman" w:hAnsi="Times New Roman" w:cs="Times New Roman"/>
          <w:sz w:val="24"/>
          <w:szCs w:val="24"/>
        </w:rPr>
        <w:t xml:space="preserve"> </w:t>
      </w:r>
      <w:proofErr w:type="spellStart"/>
      <w:r w:rsidRPr="00A27778">
        <w:rPr>
          <w:rFonts w:ascii="Times New Roman" w:hAnsi="Times New Roman" w:cs="Times New Roman"/>
          <w:sz w:val="24"/>
          <w:szCs w:val="24"/>
        </w:rPr>
        <w:t>BeGreen</w:t>
      </w:r>
      <w:proofErr w:type="spellEnd"/>
      <w:r w:rsidRPr="00A27778">
        <w:rPr>
          <w:rFonts w:ascii="Times New Roman" w:hAnsi="Times New Roman" w:cs="Times New Roman"/>
          <w:sz w:val="24"/>
          <w:szCs w:val="24"/>
        </w:rPr>
        <w:t xml:space="preserve">, adequado para o problema </w:t>
      </w:r>
      <w:r w:rsidR="009E3B58">
        <w:rPr>
          <w:rFonts w:ascii="Times New Roman" w:hAnsi="Times New Roman" w:cs="Times New Roman"/>
          <w:sz w:val="24"/>
          <w:szCs w:val="24"/>
        </w:rPr>
        <w:t>em questão</w:t>
      </w:r>
      <w:r w:rsidRPr="00A27778">
        <w:rPr>
          <w:rFonts w:ascii="Times New Roman" w:hAnsi="Times New Roman" w:cs="Times New Roman"/>
          <w:sz w:val="24"/>
          <w:szCs w:val="24"/>
        </w:rPr>
        <w:t xml:space="preserve"> por apresentar um módulo ambiental que permite a projeção de políticas de redução de emissões. </w:t>
      </w:r>
    </w:p>
    <w:p w:rsidR="0094311E" w:rsidRPr="00A27778" w:rsidRDefault="0094311E" w:rsidP="00A27778">
      <w:pPr>
        <w:spacing w:after="0" w:line="240" w:lineRule="auto"/>
        <w:ind w:firstLine="708"/>
        <w:contextualSpacing/>
        <w:jc w:val="both"/>
        <w:rPr>
          <w:rFonts w:ascii="Times New Roman" w:hAnsi="Times New Roman" w:cs="Times New Roman"/>
          <w:sz w:val="24"/>
          <w:szCs w:val="24"/>
        </w:rPr>
      </w:pPr>
      <w:r w:rsidRPr="00A27778">
        <w:rPr>
          <w:rFonts w:ascii="Times New Roman" w:hAnsi="Times New Roman" w:cs="Times New Roman"/>
          <w:sz w:val="24"/>
          <w:szCs w:val="24"/>
        </w:rPr>
        <w:t>Destaca-se</w:t>
      </w:r>
      <w:r>
        <w:rPr>
          <w:rFonts w:ascii="Times New Roman" w:hAnsi="Times New Roman" w:cs="Times New Roman"/>
          <w:sz w:val="24"/>
          <w:szCs w:val="24"/>
        </w:rPr>
        <w:t>, inicialmente,</w:t>
      </w:r>
      <w:r w:rsidRPr="00A27778">
        <w:rPr>
          <w:rFonts w:ascii="Times New Roman" w:hAnsi="Times New Roman" w:cs="Times New Roman"/>
          <w:sz w:val="24"/>
          <w:szCs w:val="24"/>
        </w:rPr>
        <w:t xml:space="preserve"> o comprometimento brasileiro co</w:t>
      </w:r>
      <w:r>
        <w:rPr>
          <w:rFonts w:ascii="Times New Roman" w:hAnsi="Times New Roman" w:cs="Times New Roman"/>
          <w:sz w:val="24"/>
          <w:szCs w:val="24"/>
        </w:rPr>
        <w:t xml:space="preserve">m a redução das emissões </w:t>
      </w:r>
      <w:r w:rsidRPr="00A27778">
        <w:rPr>
          <w:rFonts w:ascii="Times New Roman" w:hAnsi="Times New Roman" w:cs="Times New Roman"/>
          <w:sz w:val="24"/>
          <w:szCs w:val="24"/>
        </w:rPr>
        <w:t>em 37% em relação aos níveis de 2005, até 2025, com o diferencial de ser uma meta absoluta. Porém,</w:t>
      </w:r>
      <w:r>
        <w:rPr>
          <w:rFonts w:ascii="Times New Roman" w:hAnsi="Times New Roman" w:cs="Times New Roman"/>
          <w:sz w:val="24"/>
          <w:szCs w:val="24"/>
        </w:rPr>
        <w:t xml:space="preserve"> como</w:t>
      </w:r>
      <w:r w:rsidRPr="00A27778">
        <w:rPr>
          <w:rFonts w:ascii="Times New Roman" w:hAnsi="Times New Roman" w:cs="Times New Roman"/>
          <w:sz w:val="24"/>
          <w:szCs w:val="24"/>
        </w:rPr>
        <w:t xml:space="preserve"> as emissões totais em 2012 foram 41% menores em relaç</w:t>
      </w:r>
      <w:r>
        <w:rPr>
          <w:rFonts w:ascii="Times New Roman" w:hAnsi="Times New Roman" w:cs="Times New Roman"/>
          <w:sz w:val="24"/>
          <w:szCs w:val="24"/>
        </w:rPr>
        <w:t xml:space="preserve">ão a 2005, tem-se que </w:t>
      </w:r>
      <w:r w:rsidRPr="00A27778">
        <w:rPr>
          <w:rFonts w:ascii="Times New Roman" w:hAnsi="Times New Roman" w:cs="Times New Roman"/>
          <w:sz w:val="24"/>
          <w:szCs w:val="24"/>
        </w:rPr>
        <w:t>a meta proposta na COP21 traz, na verdade, o desafio de crescer economicamente sem aumentar as emissões.</w:t>
      </w:r>
    </w:p>
    <w:p w:rsidR="0094311E" w:rsidRPr="00A27778" w:rsidRDefault="0094311E" w:rsidP="00A27778">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Assim, assumindo um cenário no qual</w:t>
      </w:r>
      <w:r w:rsidRPr="00A27778">
        <w:rPr>
          <w:rFonts w:ascii="Times New Roman" w:hAnsi="Times New Roman" w:cs="Times New Roman"/>
          <w:sz w:val="24"/>
          <w:szCs w:val="24"/>
        </w:rPr>
        <w:t xml:space="preserve"> a economia brasileira cresce</w:t>
      </w:r>
      <w:r>
        <w:rPr>
          <w:rFonts w:ascii="Times New Roman" w:hAnsi="Times New Roman" w:cs="Times New Roman"/>
          <w:sz w:val="24"/>
          <w:szCs w:val="24"/>
        </w:rPr>
        <w:t>ria</w:t>
      </w:r>
      <w:r w:rsidRPr="00A27778">
        <w:rPr>
          <w:rFonts w:ascii="Times New Roman" w:hAnsi="Times New Roman" w:cs="Times New Roman"/>
          <w:sz w:val="24"/>
          <w:szCs w:val="24"/>
        </w:rPr>
        <w:t xml:space="preserve"> 2,5% ao ano, foi calculad</w:t>
      </w:r>
      <w:r>
        <w:rPr>
          <w:rFonts w:ascii="Times New Roman" w:hAnsi="Times New Roman" w:cs="Times New Roman"/>
          <w:sz w:val="24"/>
          <w:szCs w:val="24"/>
        </w:rPr>
        <w:t>o um choque exógeno sobre as emissões de forma que a meta fosse cumprida. Como resultado</w:t>
      </w:r>
      <w:r w:rsidRPr="00A27778">
        <w:rPr>
          <w:rFonts w:ascii="Times New Roman" w:hAnsi="Times New Roman" w:cs="Times New Roman"/>
          <w:sz w:val="24"/>
          <w:szCs w:val="24"/>
        </w:rPr>
        <w:t>, observou-se um decréscimo acumulado de 3,3% do PIB real, em 2025, em relação ao cenário</w:t>
      </w:r>
      <w:r>
        <w:rPr>
          <w:rFonts w:ascii="Times New Roman" w:hAnsi="Times New Roman" w:cs="Times New Roman"/>
          <w:sz w:val="24"/>
          <w:szCs w:val="24"/>
        </w:rPr>
        <w:t xml:space="preserve"> base. Esta redução é </w:t>
      </w:r>
      <w:r w:rsidRPr="00A27778">
        <w:rPr>
          <w:rFonts w:ascii="Times New Roman" w:hAnsi="Times New Roman" w:cs="Times New Roman"/>
          <w:sz w:val="24"/>
          <w:szCs w:val="24"/>
        </w:rPr>
        <w:t>explicada pelos aumentos dos custos de produção associados às metas de redução de emissões imposta</w:t>
      </w:r>
      <w:r>
        <w:rPr>
          <w:rFonts w:ascii="Times New Roman" w:hAnsi="Times New Roman" w:cs="Times New Roman"/>
          <w:sz w:val="24"/>
          <w:szCs w:val="24"/>
        </w:rPr>
        <w:t>s aos setores, juntamente com a redução</w:t>
      </w:r>
      <w:r w:rsidRPr="00A27778">
        <w:rPr>
          <w:rFonts w:ascii="Times New Roman" w:hAnsi="Times New Roman" w:cs="Times New Roman"/>
          <w:sz w:val="24"/>
          <w:szCs w:val="24"/>
        </w:rPr>
        <w:t xml:space="preserve"> do consumo das famílias e do investimento. </w:t>
      </w:r>
    </w:p>
    <w:p w:rsidR="0094311E" w:rsidRPr="00A27778" w:rsidRDefault="0094311E" w:rsidP="00A27778">
      <w:pPr>
        <w:spacing w:after="0" w:line="240" w:lineRule="auto"/>
        <w:ind w:firstLine="708"/>
        <w:contextualSpacing/>
        <w:jc w:val="both"/>
        <w:rPr>
          <w:rFonts w:ascii="Times New Roman" w:hAnsi="Times New Roman" w:cs="Times New Roman"/>
          <w:sz w:val="24"/>
          <w:szCs w:val="24"/>
        </w:rPr>
      </w:pPr>
      <w:r w:rsidRPr="00A27778">
        <w:rPr>
          <w:rFonts w:ascii="Times New Roman" w:hAnsi="Times New Roman" w:cs="Times New Roman"/>
          <w:sz w:val="24"/>
          <w:szCs w:val="24"/>
        </w:rPr>
        <w:t xml:space="preserve">Ainda em relação </w:t>
      </w:r>
      <w:r>
        <w:rPr>
          <w:rFonts w:ascii="Times New Roman" w:hAnsi="Times New Roman" w:cs="Times New Roman"/>
          <w:sz w:val="24"/>
          <w:szCs w:val="24"/>
        </w:rPr>
        <w:t>ao consumo das famílias, observou</w:t>
      </w:r>
      <w:r w:rsidRPr="00A27778">
        <w:rPr>
          <w:rFonts w:ascii="Times New Roman" w:hAnsi="Times New Roman" w:cs="Times New Roman"/>
          <w:sz w:val="24"/>
          <w:szCs w:val="24"/>
        </w:rPr>
        <w:t>-se que os efeitos da tributação de</w:t>
      </w:r>
      <w:r>
        <w:rPr>
          <w:rFonts w:ascii="Times New Roman" w:hAnsi="Times New Roman" w:cs="Times New Roman"/>
          <w:sz w:val="24"/>
          <w:szCs w:val="24"/>
        </w:rPr>
        <w:t xml:space="preserve"> carbono são mais intensos no ú</w:t>
      </w:r>
      <w:r w:rsidRPr="00A27778">
        <w:rPr>
          <w:rFonts w:ascii="Times New Roman" w:hAnsi="Times New Roman" w:cs="Times New Roman"/>
          <w:sz w:val="24"/>
          <w:szCs w:val="24"/>
        </w:rPr>
        <w:t xml:space="preserve">ltimo </w:t>
      </w:r>
      <w:proofErr w:type="spellStart"/>
      <w:r w:rsidRPr="00A27778">
        <w:rPr>
          <w:rFonts w:ascii="Times New Roman" w:hAnsi="Times New Roman" w:cs="Times New Roman"/>
          <w:sz w:val="24"/>
          <w:szCs w:val="24"/>
        </w:rPr>
        <w:t>decil</w:t>
      </w:r>
      <w:proofErr w:type="spellEnd"/>
      <w:r w:rsidRPr="00A27778">
        <w:rPr>
          <w:rFonts w:ascii="Times New Roman" w:hAnsi="Times New Roman" w:cs="Times New Roman"/>
          <w:sz w:val="24"/>
          <w:szCs w:val="24"/>
        </w:rPr>
        <w:t xml:space="preserve"> (maior renda), dado que estas famílias são as mais afetadas pelo aumento do preço dos combustíveis. Por outro lado, os primeiros </w:t>
      </w:r>
      <w:proofErr w:type="spellStart"/>
      <w:r w:rsidRPr="00A27778">
        <w:rPr>
          <w:rFonts w:ascii="Times New Roman" w:hAnsi="Times New Roman" w:cs="Times New Roman"/>
          <w:sz w:val="24"/>
          <w:szCs w:val="24"/>
        </w:rPr>
        <w:t>decis</w:t>
      </w:r>
      <w:proofErr w:type="spellEnd"/>
      <w:r w:rsidRPr="00A27778">
        <w:rPr>
          <w:rFonts w:ascii="Times New Roman" w:hAnsi="Times New Roman" w:cs="Times New Roman"/>
          <w:sz w:val="24"/>
          <w:szCs w:val="24"/>
        </w:rPr>
        <w:t xml:space="preserve"> da distribuição foram relativamente mais afetados do q</w:t>
      </w:r>
      <w:r>
        <w:rPr>
          <w:rFonts w:ascii="Times New Roman" w:hAnsi="Times New Roman" w:cs="Times New Roman"/>
          <w:sz w:val="24"/>
          <w:szCs w:val="24"/>
        </w:rPr>
        <w:t xml:space="preserve">ue os </w:t>
      </w:r>
      <w:proofErr w:type="spellStart"/>
      <w:r>
        <w:rPr>
          <w:rFonts w:ascii="Times New Roman" w:hAnsi="Times New Roman" w:cs="Times New Roman"/>
          <w:sz w:val="24"/>
          <w:szCs w:val="24"/>
        </w:rPr>
        <w:t>decis</w:t>
      </w:r>
      <w:proofErr w:type="spellEnd"/>
      <w:r>
        <w:rPr>
          <w:rFonts w:ascii="Times New Roman" w:hAnsi="Times New Roman" w:cs="Times New Roman"/>
          <w:sz w:val="24"/>
          <w:szCs w:val="24"/>
        </w:rPr>
        <w:t xml:space="preserve"> intermediários devido a</w:t>
      </w:r>
      <w:r w:rsidRPr="00A27778">
        <w:rPr>
          <w:rFonts w:ascii="Times New Roman" w:hAnsi="Times New Roman" w:cs="Times New Roman"/>
          <w:sz w:val="24"/>
          <w:szCs w:val="24"/>
        </w:rPr>
        <w:t xml:space="preserve">os efeitos dos aumentos de preço </w:t>
      </w:r>
      <w:r>
        <w:rPr>
          <w:rFonts w:ascii="Times New Roman" w:hAnsi="Times New Roman" w:cs="Times New Roman"/>
          <w:sz w:val="24"/>
          <w:szCs w:val="24"/>
        </w:rPr>
        <w:t>dos</w:t>
      </w:r>
      <w:r w:rsidRPr="00A27778">
        <w:rPr>
          <w:rFonts w:ascii="Times New Roman" w:hAnsi="Times New Roman" w:cs="Times New Roman"/>
          <w:sz w:val="24"/>
          <w:szCs w:val="24"/>
        </w:rPr>
        <w:t xml:space="preserve"> produtos agropecuários e alimentícios</w:t>
      </w:r>
      <w:r>
        <w:rPr>
          <w:rFonts w:ascii="Times New Roman" w:hAnsi="Times New Roman" w:cs="Times New Roman"/>
          <w:sz w:val="24"/>
          <w:szCs w:val="24"/>
        </w:rPr>
        <w:t>.</w:t>
      </w:r>
      <w:r w:rsidRPr="00A27778">
        <w:rPr>
          <w:rFonts w:ascii="Times New Roman" w:hAnsi="Times New Roman" w:cs="Times New Roman"/>
          <w:sz w:val="24"/>
          <w:szCs w:val="24"/>
        </w:rPr>
        <w:t xml:space="preserve"> </w:t>
      </w:r>
    </w:p>
    <w:p w:rsidR="0094311E" w:rsidRPr="00A27778" w:rsidRDefault="0094311E" w:rsidP="00A27778">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E</w:t>
      </w:r>
      <w:r w:rsidRPr="00A27778">
        <w:rPr>
          <w:rFonts w:ascii="Times New Roman" w:hAnsi="Times New Roman" w:cs="Times New Roman"/>
          <w:sz w:val="24"/>
          <w:szCs w:val="24"/>
        </w:rPr>
        <w:t xml:space="preserve">m relação aos resultados setoriais, conforme esperado, </w:t>
      </w:r>
      <w:r>
        <w:rPr>
          <w:rFonts w:ascii="Times New Roman" w:hAnsi="Times New Roman" w:cs="Times New Roman"/>
          <w:sz w:val="24"/>
          <w:szCs w:val="24"/>
        </w:rPr>
        <w:t>d</w:t>
      </w:r>
      <w:r w:rsidRPr="00A27778">
        <w:rPr>
          <w:rFonts w:ascii="Times New Roman" w:hAnsi="Times New Roman" w:cs="Times New Roman"/>
          <w:sz w:val="24"/>
          <w:szCs w:val="24"/>
        </w:rPr>
        <w:t>entre os setores mais prejudicados em termos de nível de atividade destacam</w:t>
      </w:r>
      <w:r>
        <w:rPr>
          <w:rFonts w:ascii="Times New Roman" w:hAnsi="Times New Roman" w:cs="Times New Roman"/>
          <w:sz w:val="24"/>
          <w:szCs w:val="24"/>
        </w:rPr>
        <w:t>-se atividades ligadas à cadeia produtiva dos combustíveis fósseis, tais</w:t>
      </w:r>
      <w:r w:rsidRPr="00A27778">
        <w:rPr>
          <w:rFonts w:ascii="Times New Roman" w:hAnsi="Times New Roman" w:cs="Times New Roman"/>
          <w:sz w:val="24"/>
          <w:szCs w:val="24"/>
        </w:rPr>
        <w:t xml:space="preserve"> como</w:t>
      </w:r>
      <w:r>
        <w:rPr>
          <w:rFonts w:ascii="Times New Roman" w:hAnsi="Times New Roman" w:cs="Times New Roman"/>
          <w:sz w:val="24"/>
          <w:szCs w:val="24"/>
        </w:rPr>
        <w:t xml:space="preserve"> </w:t>
      </w:r>
      <w:r w:rsidRPr="00A27778">
        <w:rPr>
          <w:rFonts w:ascii="Times New Roman" w:hAnsi="Times New Roman" w:cs="Times New Roman"/>
          <w:sz w:val="24"/>
          <w:szCs w:val="24"/>
        </w:rPr>
        <w:t>refino de petróleo, distribuição de gás natural e extração de petróleo e gás</w:t>
      </w:r>
      <w:r>
        <w:rPr>
          <w:rFonts w:ascii="Times New Roman" w:hAnsi="Times New Roman" w:cs="Times New Roman"/>
          <w:sz w:val="24"/>
          <w:szCs w:val="24"/>
        </w:rPr>
        <w:t>,</w:t>
      </w:r>
      <w:r w:rsidRPr="00A27778">
        <w:rPr>
          <w:rFonts w:ascii="Times New Roman" w:hAnsi="Times New Roman" w:cs="Times New Roman"/>
          <w:sz w:val="24"/>
          <w:szCs w:val="24"/>
        </w:rPr>
        <w:t xml:space="preserve"> </w:t>
      </w:r>
      <w:r>
        <w:rPr>
          <w:rFonts w:ascii="Times New Roman" w:hAnsi="Times New Roman" w:cs="Times New Roman"/>
          <w:sz w:val="24"/>
          <w:szCs w:val="24"/>
        </w:rPr>
        <w:t>e setores intensivos em energia, como fabricação de aço e derivados.</w:t>
      </w:r>
    </w:p>
    <w:p w:rsidR="0094311E" w:rsidRPr="00A27778" w:rsidRDefault="0094311E" w:rsidP="00B06831">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Também é importante ressaltar</w:t>
      </w:r>
      <w:r w:rsidRPr="00A27778">
        <w:rPr>
          <w:rFonts w:ascii="Times New Roman" w:hAnsi="Times New Roman" w:cs="Times New Roman"/>
          <w:sz w:val="24"/>
          <w:szCs w:val="24"/>
        </w:rPr>
        <w:t xml:space="preserve"> que a geração, transmissão e distribuição d</w:t>
      </w:r>
      <w:r>
        <w:rPr>
          <w:rFonts w:ascii="Times New Roman" w:hAnsi="Times New Roman" w:cs="Times New Roman"/>
          <w:sz w:val="24"/>
          <w:szCs w:val="24"/>
        </w:rPr>
        <w:t>e energia elétrica, assim como de álcool, apresentou</w:t>
      </w:r>
      <w:r w:rsidRPr="00A27778">
        <w:rPr>
          <w:rFonts w:ascii="Times New Roman" w:hAnsi="Times New Roman" w:cs="Times New Roman"/>
          <w:sz w:val="24"/>
          <w:szCs w:val="24"/>
        </w:rPr>
        <w:t xml:space="preserve"> variações positivas na atividade econômica em decorrência de sua menor intensidade de emissão enquanto fonte energética, servindo de alternativa em relação aos combustíveis fósseis sob o</w:t>
      </w:r>
      <w:r>
        <w:rPr>
          <w:rFonts w:ascii="Times New Roman" w:hAnsi="Times New Roman" w:cs="Times New Roman"/>
          <w:sz w:val="24"/>
          <w:szCs w:val="24"/>
        </w:rPr>
        <w:t xml:space="preserve"> quadro de restrição imposta pela </w:t>
      </w:r>
      <w:r w:rsidR="00930C32">
        <w:rPr>
          <w:rFonts w:ascii="Times New Roman" w:hAnsi="Times New Roman" w:cs="Times New Roman"/>
          <w:sz w:val="24"/>
          <w:szCs w:val="24"/>
        </w:rPr>
        <w:t xml:space="preserve">política. </w:t>
      </w:r>
      <w:r w:rsidRPr="00A27778">
        <w:rPr>
          <w:rFonts w:ascii="Times New Roman" w:hAnsi="Times New Roman" w:cs="Times New Roman"/>
          <w:sz w:val="24"/>
          <w:szCs w:val="24"/>
        </w:rPr>
        <w:t xml:space="preserve">Ademais, em termos de emissões, nota-se uma redução acumulada em 2025 nas </w:t>
      </w:r>
      <w:r w:rsidRPr="00A27778">
        <w:rPr>
          <w:rFonts w:ascii="Times New Roman" w:hAnsi="Times New Roman" w:cs="Times New Roman"/>
          <w:sz w:val="24"/>
          <w:szCs w:val="24"/>
        </w:rPr>
        <w:lastRenderedPageBreak/>
        <w:t>emissões de todos os setores em relação ao cenário base, com exceção do setor de geração de energia elétrica. Esse resultado pode ser explicado pela menor intensidade de emissões desse setor enquanto fonte energética em comparação com combustíveis fósseis</w:t>
      </w:r>
      <w:r>
        <w:rPr>
          <w:rFonts w:ascii="Times New Roman" w:hAnsi="Times New Roman" w:cs="Times New Roman"/>
          <w:sz w:val="24"/>
          <w:szCs w:val="24"/>
        </w:rPr>
        <w:t>,</w:t>
      </w:r>
      <w:r w:rsidRPr="00A27778">
        <w:rPr>
          <w:rFonts w:ascii="Times New Roman" w:hAnsi="Times New Roman" w:cs="Times New Roman"/>
          <w:sz w:val="24"/>
          <w:szCs w:val="24"/>
        </w:rPr>
        <w:t xml:space="preserve"> e</w:t>
      </w:r>
      <w:r>
        <w:rPr>
          <w:rFonts w:ascii="Times New Roman" w:hAnsi="Times New Roman" w:cs="Times New Roman"/>
          <w:sz w:val="24"/>
          <w:szCs w:val="24"/>
        </w:rPr>
        <w:t xml:space="preserve"> pelo</w:t>
      </w:r>
      <w:r w:rsidRPr="00A27778">
        <w:rPr>
          <w:rFonts w:ascii="Times New Roman" w:hAnsi="Times New Roman" w:cs="Times New Roman"/>
          <w:sz w:val="24"/>
          <w:szCs w:val="24"/>
        </w:rPr>
        <w:t xml:space="preserve"> aumento em sua atividade produtiva, conforme destacado anteriormente. </w:t>
      </w:r>
    </w:p>
    <w:p w:rsidR="0094311E" w:rsidRPr="00A27778" w:rsidRDefault="0094311E" w:rsidP="00A27778">
      <w:pPr>
        <w:spacing w:after="0" w:line="240" w:lineRule="auto"/>
        <w:ind w:firstLine="708"/>
        <w:contextualSpacing/>
        <w:jc w:val="both"/>
        <w:rPr>
          <w:rFonts w:ascii="Times New Roman" w:hAnsi="Times New Roman" w:cs="Times New Roman"/>
          <w:sz w:val="24"/>
          <w:szCs w:val="24"/>
        </w:rPr>
      </w:pPr>
      <w:r w:rsidRPr="00A27778">
        <w:rPr>
          <w:rFonts w:ascii="Times New Roman" w:hAnsi="Times New Roman" w:cs="Times New Roman"/>
          <w:sz w:val="24"/>
          <w:szCs w:val="24"/>
        </w:rPr>
        <w:t>Por fim,</w:t>
      </w:r>
      <w:r>
        <w:rPr>
          <w:rFonts w:ascii="Times New Roman" w:hAnsi="Times New Roman" w:cs="Times New Roman"/>
          <w:sz w:val="24"/>
          <w:szCs w:val="24"/>
        </w:rPr>
        <w:t xml:space="preserve"> observou-se que as emissões oriundas de todas</w:t>
      </w:r>
      <w:r w:rsidRPr="00A27778">
        <w:rPr>
          <w:rFonts w:ascii="Times New Roman" w:hAnsi="Times New Roman" w:cs="Times New Roman"/>
          <w:sz w:val="24"/>
          <w:szCs w:val="24"/>
        </w:rPr>
        <w:t xml:space="preserve"> as fontes</w:t>
      </w:r>
      <w:r>
        <w:rPr>
          <w:rFonts w:ascii="Times New Roman" w:hAnsi="Times New Roman" w:cs="Times New Roman"/>
          <w:sz w:val="24"/>
          <w:szCs w:val="24"/>
        </w:rPr>
        <w:t xml:space="preserve"> </w:t>
      </w:r>
      <w:r w:rsidRPr="00A27778">
        <w:rPr>
          <w:rFonts w:ascii="Times New Roman" w:hAnsi="Times New Roman" w:cs="Times New Roman"/>
          <w:sz w:val="24"/>
          <w:szCs w:val="24"/>
        </w:rPr>
        <w:t>apresentaram redução relativa, à exceção do carvão vegetal. Isso ocorre</w:t>
      </w:r>
      <w:r>
        <w:rPr>
          <w:rFonts w:ascii="Times New Roman" w:hAnsi="Times New Roman" w:cs="Times New Roman"/>
          <w:sz w:val="24"/>
          <w:szCs w:val="24"/>
        </w:rPr>
        <w:t>u</w:t>
      </w:r>
      <w:r w:rsidRPr="00A27778">
        <w:rPr>
          <w:rFonts w:ascii="Times New Roman" w:hAnsi="Times New Roman" w:cs="Times New Roman"/>
          <w:sz w:val="24"/>
          <w:szCs w:val="24"/>
        </w:rPr>
        <w:t xml:space="preserve"> porque as emissões provenientes d</w:t>
      </w:r>
      <w:r>
        <w:rPr>
          <w:rFonts w:ascii="Times New Roman" w:hAnsi="Times New Roman" w:cs="Times New Roman"/>
          <w:sz w:val="24"/>
          <w:szCs w:val="24"/>
        </w:rPr>
        <w:t>esse combustível</w:t>
      </w:r>
      <w:r w:rsidRPr="00A27778">
        <w:rPr>
          <w:rFonts w:ascii="Times New Roman" w:hAnsi="Times New Roman" w:cs="Times New Roman"/>
          <w:sz w:val="24"/>
          <w:szCs w:val="24"/>
        </w:rPr>
        <w:t xml:space="preserve"> se dão principalmente no setor de geração de energia elétrica, que é justamente o setor que apresentou elevação na atividade produtiva e nas emissões. Por outro lado, o coque, o gás líquido de petróleo e a gasolina foram os combustíveis com maiores reduções de emissões, visto que seu elevado potencial emissor levou à sua substituição no cenário de política por alternativas com menor intensidade poluidora.</w:t>
      </w:r>
    </w:p>
    <w:p w:rsidR="0094311E" w:rsidRDefault="0094311E" w:rsidP="00A27778">
      <w:pPr>
        <w:spacing w:after="0" w:line="24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C</w:t>
      </w:r>
      <w:r w:rsidRPr="00A27778">
        <w:rPr>
          <w:rFonts w:ascii="Times New Roman" w:hAnsi="Times New Roman" w:cs="Times New Roman"/>
          <w:sz w:val="24"/>
          <w:szCs w:val="24"/>
        </w:rPr>
        <w:t>onclui-se</w:t>
      </w:r>
      <w:r>
        <w:rPr>
          <w:rFonts w:ascii="Times New Roman" w:hAnsi="Times New Roman" w:cs="Times New Roman"/>
          <w:sz w:val="24"/>
          <w:szCs w:val="24"/>
        </w:rPr>
        <w:t>, portanto,</w:t>
      </w:r>
      <w:r w:rsidRPr="00A27778">
        <w:rPr>
          <w:rFonts w:ascii="Times New Roman" w:hAnsi="Times New Roman" w:cs="Times New Roman"/>
          <w:sz w:val="24"/>
          <w:szCs w:val="24"/>
        </w:rPr>
        <w:t xml:space="preserve"> que as metas propostas pela COP21 são viáveis</w:t>
      </w:r>
      <w:r>
        <w:rPr>
          <w:rFonts w:ascii="Times New Roman" w:hAnsi="Times New Roman" w:cs="Times New Roman"/>
          <w:sz w:val="24"/>
          <w:szCs w:val="24"/>
        </w:rPr>
        <w:t>,</w:t>
      </w:r>
      <w:r w:rsidRPr="00A27778">
        <w:rPr>
          <w:rFonts w:ascii="Times New Roman" w:hAnsi="Times New Roman" w:cs="Times New Roman"/>
          <w:sz w:val="24"/>
          <w:szCs w:val="24"/>
        </w:rPr>
        <w:t xml:space="preserve"> considerando-se que</w:t>
      </w:r>
      <w:r>
        <w:rPr>
          <w:rFonts w:ascii="Times New Roman" w:hAnsi="Times New Roman" w:cs="Times New Roman"/>
          <w:sz w:val="24"/>
          <w:szCs w:val="24"/>
        </w:rPr>
        <w:t xml:space="preserve"> o país</w:t>
      </w:r>
      <w:r w:rsidRPr="00A27778">
        <w:rPr>
          <w:rFonts w:ascii="Times New Roman" w:hAnsi="Times New Roman" w:cs="Times New Roman"/>
          <w:sz w:val="24"/>
          <w:szCs w:val="24"/>
        </w:rPr>
        <w:t xml:space="preserve"> esteja disposto a pagar um preço em termos de redução do crescimento econômico. Uma vez que se observa evidências concretas das alterações ambientais globais, em que os eventos climáticos extremos tornam-se</w:t>
      </w:r>
      <w:r>
        <w:rPr>
          <w:rFonts w:ascii="Times New Roman" w:hAnsi="Times New Roman" w:cs="Times New Roman"/>
          <w:sz w:val="24"/>
          <w:szCs w:val="24"/>
        </w:rPr>
        <w:t xml:space="preserve"> cada vez</w:t>
      </w:r>
      <w:r w:rsidRPr="00A27778">
        <w:rPr>
          <w:rFonts w:ascii="Times New Roman" w:hAnsi="Times New Roman" w:cs="Times New Roman"/>
          <w:sz w:val="24"/>
          <w:szCs w:val="24"/>
        </w:rPr>
        <w:t xml:space="preserve"> mais intensos e frequentes (Painel Intergovernamental de Mudanças Climáticas – IPCC, 2014), ressalta-se a importância de respeitar os limites ambientais impostos ao crescimento econômico. Logo, acredita-se</w:t>
      </w:r>
      <w:r>
        <w:rPr>
          <w:rFonts w:ascii="Times New Roman" w:hAnsi="Times New Roman" w:cs="Times New Roman"/>
          <w:sz w:val="24"/>
          <w:szCs w:val="24"/>
        </w:rPr>
        <w:t xml:space="preserve"> que é necessária a adoção de tais políticas</w:t>
      </w:r>
      <w:r w:rsidRPr="00A27778">
        <w:rPr>
          <w:rFonts w:ascii="Times New Roman" w:hAnsi="Times New Roman" w:cs="Times New Roman"/>
          <w:sz w:val="24"/>
          <w:szCs w:val="24"/>
        </w:rPr>
        <w:t xml:space="preserve"> para garantir</w:t>
      </w:r>
      <w:r>
        <w:rPr>
          <w:rFonts w:ascii="Times New Roman" w:hAnsi="Times New Roman" w:cs="Times New Roman"/>
          <w:sz w:val="24"/>
          <w:szCs w:val="24"/>
        </w:rPr>
        <w:t xml:space="preserve"> o desenvolvimento sustentável das</w:t>
      </w:r>
      <w:r w:rsidRPr="00A27778">
        <w:rPr>
          <w:rFonts w:ascii="Times New Roman" w:hAnsi="Times New Roman" w:cs="Times New Roman"/>
          <w:sz w:val="24"/>
          <w:szCs w:val="24"/>
        </w:rPr>
        <w:t xml:space="preserve"> gerações futuras.</w:t>
      </w:r>
    </w:p>
    <w:p w:rsidR="0094311E" w:rsidRPr="00DB5965" w:rsidRDefault="0094311E" w:rsidP="00C842CE">
      <w:pPr>
        <w:spacing w:after="0" w:line="240" w:lineRule="auto"/>
        <w:contextualSpacing/>
        <w:jc w:val="both"/>
        <w:rPr>
          <w:rFonts w:ascii="Times New Roman" w:hAnsi="Times New Roman" w:cs="Times New Roman"/>
          <w:sz w:val="24"/>
          <w:szCs w:val="24"/>
        </w:rPr>
      </w:pPr>
    </w:p>
    <w:p w:rsidR="0094311E" w:rsidRPr="00331C23" w:rsidRDefault="0094311E" w:rsidP="00C842CE">
      <w:pPr>
        <w:spacing w:after="0" w:line="240" w:lineRule="auto"/>
        <w:contextualSpacing/>
        <w:jc w:val="both"/>
        <w:rPr>
          <w:rFonts w:ascii="Times New Roman" w:hAnsi="Times New Roman" w:cs="Times New Roman"/>
          <w:b/>
          <w:bCs/>
          <w:sz w:val="24"/>
          <w:szCs w:val="24"/>
        </w:rPr>
      </w:pPr>
      <w:r w:rsidRPr="00331C23">
        <w:rPr>
          <w:rFonts w:ascii="Times New Roman" w:hAnsi="Times New Roman" w:cs="Times New Roman"/>
          <w:b/>
          <w:bCs/>
          <w:sz w:val="24"/>
          <w:szCs w:val="24"/>
        </w:rPr>
        <w:t>Referências bibliográficas</w:t>
      </w:r>
    </w:p>
    <w:p w:rsidR="0094311E" w:rsidRPr="00331C23" w:rsidRDefault="0094311E" w:rsidP="00C842CE">
      <w:pPr>
        <w:spacing w:after="0" w:line="240" w:lineRule="auto"/>
        <w:contextualSpacing/>
        <w:jc w:val="both"/>
        <w:rPr>
          <w:rFonts w:ascii="Times New Roman" w:hAnsi="Times New Roman" w:cs="Times New Roman"/>
          <w:sz w:val="24"/>
          <w:szCs w:val="24"/>
        </w:rPr>
      </w:pPr>
    </w:p>
    <w:p w:rsidR="0094311E" w:rsidRPr="00331C23" w:rsidRDefault="0094311E" w:rsidP="003379C5">
      <w:pPr>
        <w:spacing w:line="240" w:lineRule="auto"/>
        <w:contextualSpacing/>
        <w:rPr>
          <w:rFonts w:ascii="Times New Roman" w:hAnsi="Times New Roman" w:cs="Times New Roman"/>
          <w:sz w:val="24"/>
          <w:szCs w:val="24"/>
          <w:lang w:val="en-US"/>
        </w:rPr>
      </w:pPr>
      <w:r w:rsidRPr="003379C5">
        <w:rPr>
          <w:rFonts w:ascii="Times New Roman" w:hAnsi="Times New Roman" w:cs="Times New Roman"/>
          <w:sz w:val="24"/>
          <w:szCs w:val="24"/>
        </w:rPr>
        <w:t>AGÊNCIA NACIONAL DE ENERGIA ELÉTRICA - ANEEL</w:t>
      </w:r>
      <w:r w:rsidRPr="003379C5">
        <w:rPr>
          <w:rFonts w:ascii="Times New Roman" w:hAnsi="Times New Roman" w:cs="Times New Roman"/>
          <w:b/>
          <w:bCs/>
          <w:sz w:val="24"/>
          <w:szCs w:val="24"/>
        </w:rPr>
        <w:t>. Atlas de Energia Elétrica do</w:t>
      </w:r>
      <w:r w:rsidR="00B32616">
        <w:rPr>
          <w:rFonts w:ascii="Times New Roman" w:hAnsi="Times New Roman" w:cs="Times New Roman"/>
          <w:b/>
          <w:bCs/>
          <w:sz w:val="24"/>
          <w:szCs w:val="24"/>
        </w:rPr>
        <w:t xml:space="preserve"> </w:t>
      </w:r>
      <w:r w:rsidRPr="003379C5">
        <w:rPr>
          <w:rFonts w:ascii="Times New Roman" w:hAnsi="Times New Roman" w:cs="Times New Roman"/>
          <w:b/>
          <w:bCs/>
          <w:sz w:val="24"/>
          <w:szCs w:val="24"/>
        </w:rPr>
        <w:t>Brasil</w:t>
      </w:r>
      <w:r w:rsidRPr="003379C5">
        <w:rPr>
          <w:rFonts w:ascii="Times New Roman" w:hAnsi="Times New Roman" w:cs="Times New Roman"/>
          <w:sz w:val="24"/>
          <w:szCs w:val="24"/>
        </w:rPr>
        <w:t xml:space="preserve"> (2a Edição). </w:t>
      </w:r>
      <w:r w:rsidRPr="00331C23">
        <w:rPr>
          <w:rFonts w:ascii="Times New Roman" w:hAnsi="Times New Roman" w:cs="Times New Roman"/>
          <w:sz w:val="24"/>
          <w:szCs w:val="24"/>
          <w:lang w:val="en-US"/>
        </w:rPr>
        <w:t>Brasília: ANEEL, 2005, 243 p.</w:t>
      </w:r>
    </w:p>
    <w:p w:rsidR="0094311E" w:rsidRPr="00331C23" w:rsidRDefault="0094311E" w:rsidP="008F1D90">
      <w:pPr>
        <w:spacing w:line="240" w:lineRule="auto"/>
        <w:contextualSpacing/>
        <w:rPr>
          <w:rFonts w:ascii="Times New Roman" w:hAnsi="Times New Roman" w:cs="Times New Roman"/>
          <w:sz w:val="24"/>
          <w:szCs w:val="24"/>
          <w:lang w:val="en-US"/>
        </w:rPr>
      </w:pPr>
    </w:p>
    <w:p w:rsidR="0094311E" w:rsidRPr="00DB5965" w:rsidRDefault="0094311E" w:rsidP="008F1D90">
      <w:pPr>
        <w:spacing w:line="240" w:lineRule="auto"/>
        <w:contextualSpacing/>
        <w:rPr>
          <w:rFonts w:ascii="Times New Roman" w:hAnsi="Times New Roman" w:cs="Times New Roman"/>
          <w:sz w:val="24"/>
          <w:szCs w:val="24"/>
        </w:rPr>
      </w:pPr>
      <w:r w:rsidRPr="00DB5965">
        <w:rPr>
          <w:rFonts w:ascii="Times New Roman" w:hAnsi="Times New Roman" w:cs="Times New Roman"/>
          <w:sz w:val="24"/>
          <w:szCs w:val="24"/>
          <w:lang w:val="en-US"/>
        </w:rPr>
        <w:t xml:space="preserve">BERGMAN, L. Energy Policy Modeling: a survey of general equilibrium approaches. </w:t>
      </w:r>
      <w:proofErr w:type="spellStart"/>
      <w:r w:rsidRPr="00DB5965">
        <w:rPr>
          <w:rFonts w:ascii="Times New Roman" w:hAnsi="Times New Roman" w:cs="Times New Roman"/>
          <w:b/>
          <w:bCs/>
          <w:sz w:val="24"/>
          <w:szCs w:val="24"/>
        </w:rPr>
        <w:t>Journal</w:t>
      </w:r>
      <w:proofErr w:type="spellEnd"/>
      <w:r w:rsidRPr="00DB5965">
        <w:rPr>
          <w:rFonts w:ascii="Times New Roman" w:hAnsi="Times New Roman" w:cs="Times New Roman"/>
          <w:b/>
          <w:bCs/>
          <w:sz w:val="24"/>
          <w:szCs w:val="24"/>
        </w:rPr>
        <w:t xml:space="preserve"> of</w:t>
      </w:r>
      <w:r w:rsidR="00B32616">
        <w:rPr>
          <w:rFonts w:ascii="Times New Roman" w:hAnsi="Times New Roman" w:cs="Times New Roman"/>
          <w:b/>
          <w:bCs/>
          <w:sz w:val="24"/>
          <w:szCs w:val="24"/>
        </w:rPr>
        <w:t xml:space="preserve"> </w:t>
      </w:r>
      <w:proofErr w:type="spellStart"/>
      <w:r w:rsidRPr="00DB5965">
        <w:rPr>
          <w:rFonts w:ascii="Times New Roman" w:hAnsi="Times New Roman" w:cs="Times New Roman"/>
          <w:b/>
          <w:bCs/>
          <w:sz w:val="24"/>
          <w:szCs w:val="24"/>
        </w:rPr>
        <w:t>Policy</w:t>
      </w:r>
      <w:proofErr w:type="spellEnd"/>
      <w:r w:rsidRPr="00DB5965">
        <w:rPr>
          <w:rFonts w:ascii="Times New Roman" w:hAnsi="Times New Roman" w:cs="Times New Roman"/>
          <w:b/>
          <w:bCs/>
          <w:sz w:val="24"/>
          <w:szCs w:val="24"/>
        </w:rPr>
        <w:t xml:space="preserve"> </w:t>
      </w:r>
      <w:proofErr w:type="spellStart"/>
      <w:r w:rsidRPr="00DB5965">
        <w:rPr>
          <w:rFonts w:ascii="Times New Roman" w:hAnsi="Times New Roman" w:cs="Times New Roman"/>
          <w:b/>
          <w:bCs/>
          <w:sz w:val="24"/>
          <w:szCs w:val="24"/>
        </w:rPr>
        <w:t>Modeling</w:t>
      </w:r>
      <w:proofErr w:type="spellEnd"/>
      <w:r w:rsidRPr="00DB5965">
        <w:rPr>
          <w:rFonts w:ascii="Times New Roman" w:hAnsi="Times New Roman" w:cs="Times New Roman"/>
          <w:sz w:val="24"/>
          <w:szCs w:val="24"/>
        </w:rPr>
        <w:t>. v. 10, n. 3, p. 377-399, 1988.</w:t>
      </w:r>
    </w:p>
    <w:p w:rsidR="0094311E" w:rsidRPr="00DB5965" w:rsidRDefault="0094311E" w:rsidP="008F1D90">
      <w:pPr>
        <w:spacing w:after="0" w:line="240" w:lineRule="auto"/>
        <w:contextualSpacing/>
        <w:rPr>
          <w:rFonts w:ascii="Times New Roman" w:hAnsi="Times New Roman" w:cs="Times New Roman"/>
          <w:sz w:val="24"/>
          <w:szCs w:val="24"/>
        </w:rPr>
      </w:pPr>
    </w:p>
    <w:p w:rsidR="0094311E" w:rsidRPr="00DB5965" w:rsidRDefault="0094311E" w:rsidP="001F117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BRASIL, Ministério da Ciência, </w:t>
      </w:r>
      <w:r w:rsidRPr="00DB5965">
        <w:rPr>
          <w:rFonts w:ascii="Times New Roman" w:hAnsi="Times New Roman" w:cs="Times New Roman"/>
          <w:sz w:val="24"/>
          <w:szCs w:val="24"/>
        </w:rPr>
        <w:t>Tecnologia</w:t>
      </w:r>
      <w:r>
        <w:rPr>
          <w:rFonts w:ascii="Times New Roman" w:hAnsi="Times New Roman" w:cs="Times New Roman"/>
          <w:sz w:val="24"/>
          <w:szCs w:val="24"/>
        </w:rPr>
        <w:t xml:space="preserve"> e Inovação</w:t>
      </w:r>
      <w:r w:rsidRPr="00DB5965">
        <w:rPr>
          <w:rFonts w:ascii="Times New Roman" w:hAnsi="Times New Roman" w:cs="Times New Roman"/>
          <w:sz w:val="24"/>
          <w:szCs w:val="24"/>
        </w:rPr>
        <w:t>. Estimativas Anuais de Emissões de Gases</w:t>
      </w:r>
      <w:r w:rsidR="00B32616">
        <w:rPr>
          <w:rFonts w:ascii="Times New Roman" w:hAnsi="Times New Roman" w:cs="Times New Roman"/>
          <w:sz w:val="24"/>
          <w:szCs w:val="24"/>
        </w:rPr>
        <w:t xml:space="preserve"> </w:t>
      </w:r>
      <w:r w:rsidRPr="00DB5965">
        <w:rPr>
          <w:rFonts w:ascii="Times New Roman" w:hAnsi="Times New Roman" w:cs="Times New Roman"/>
          <w:sz w:val="24"/>
          <w:szCs w:val="24"/>
        </w:rPr>
        <w:t>de Efeito Estufa no Brasil, 2014</w:t>
      </w:r>
      <w:r>
        <w:rPr>
          <w:rFonts w:ascii="Times New Roman" w:hAnsi="Times New Roman" w:cs="Times New Roman"/>
          <w:sz w:val="24"/>
          <w:szCs w:val="24"/>
        </w:rPr>
        <w:t xml:space="preserve">. </w:t>
      </w:r>
      <w:r w:rsidRPr="00DB5965">
        <w:rPr>
          <w:rFonts w:ascii="Times New Roman" w:hAnsi="Times New Roman" w:cs="Times New Roman"/>
          <w:sz w:val="24"/>
          <w:szCs w:val="24"/>
        </w:rPr>
        <w:t>Disponível em:</w:t>
      </w:r>
      <w:r w:rsidR="00B32616">
        <w:rPr>
          <w:rFonts w:ascii="Times New Roman" w:hAnsi="Times New Roman" w:cs="Times New Roman"/>
          <w:sz w:val="24"/>
          <w:szCs w:val="24"/>
        </w:rPr>
        <w:t xml:space="preserve"> </w:t>
      </w:r>
      <w:hyperlink r:id="rId18" w:history="1">
        <w:r w:rsidRPr="00DB5965">
          <w:rPr>
            <w:rStyle w:val="Hyperlink"/>
            <w:rFonts w:ascii="Times New Roman" w:hAnsi="Times New Roman" w:cs="Times New Roman"/>
            <w:sz w:val="24"/>
            <w:szCs w:val="24"/>
          </w:rPr>
          <w:t>&lt;http://www.mct.gov.br/upd_blob/0235/235580.pdf&gt;</w:t>
        </w:r>
      </w:hyperlink>
      <w:r w:rsidRPr="00DB5965">
        <w:rPr>
          <w:rFonts w:ascii="Times New Roman" w:hAnsi="Times New Roman" w:cs="Times New Roman"/>
          <w:sz w:val="24"/>
          <w:szCs w:val="24"/>
        </w:rPr>
        <w:t>. Acesso em 29 de outubro de 2015.</w:t>
      </w:r>
    </w:p>
    <w:p w:rsidR="0094311E" w:rsidRPr="00DB5965" w:rsidRDefault="0094311E" w:rsidP="00DC690F">
      <w:pPr>
        <w:spacing w:after="0" w:line="240" w:lineRule="auto"/>
        <w:contextualSpacing/>
        <w:rPr>
          <w:rFonts w:ascii="Times New Roman" w:hAnsi="Times New Roman" w:cs="Times New Roman"/>
          <w:sz w:val="24"/>
          <w:szCs w:val="24"/>
        </w:rPr>
      </w:pPr>
    </w:p>
    <w:p w:rsidR="0094311E" w:rsidRPr="00DB5965" w:rsidRDefault="0094311E" w:rsidP="008F1D90">
      <w:pPr>
        <w:spacing w:after="0" w:line="240" w:lineRule="auto"/>
        <w:contextualSpacing/>
        <w:rPr>
          <w:rFonts w:ascii="Times New Roman" w:hAnsi="Times New Roman" w:cs="Times New Roman"/>
          <w:sz w:val="24"/>
          <w:szCs w:val="24"/>
        </w:rPr>
      </w:pPr>
      <w:r w:rsidRPr="00DB5965">
        <w:rPr>
          <w:rFonts w:ascii="Times New Roman" w:hAnsi="Times New Roman" w:cs="Times New Roman"/>
          <w:sz w:val="24"/>
          <w:szCs w:val="24"/>
        </w:rPr>
        <w:t>CARVALHO, T. S.; MAGALHÃES, A. S.; DOMINGUES, E. P.; SOUZA, K. B. Custo econômico da energia em Minas Gerais: impactos das elevações de tarifas entre 2011 e 2015. In: XIII</w:t>
      </w:r>
      <w:r w:rsidR="00B32616">
        <w:rPr>
          <w:rFonts w:ascii="Times New Roman" w:hAnsi="Times New Roman" w:cs="Times New Roman"/>
          <w:sz w:val="24"/>
          <w:szCs w:val="24"/>
        </w:rPr>
        <w:t xml:space="preserve"> </w:t>
      </w:r>
      <w:r w:rsidRPr="00DB5965">
        <w:rPr>
          <w:rFonts w:ascii="Times New Roman" w:hAnsi="Times New Roman" w:cs="Times New Roman"/>
          <w:sz w:val="24"/>
          <w:szCs w:val="24"/>
        </w:rPr>
        <w:t>ENCONTRO NACIONAL DA ASSOCIAÇÃO BRASILEIRA DE ESTUDOS REGIONAIS E</w:t>
      </w:r>
      <w:r w:rsidR="00B32616">
        <w:rPr>
          <w:rFonts w:ascii="Times New Roman" w:hAnsi="Times New Roman" w:cs="Times New Roman"/>
          <w:sz w:val="24"/>
          <w:szCs w:val="24"/>
        </w:rPr>
        <w:t xml:space="preserve"> </w:t>
      </w:r>
      <w:r w:rsidRPr="00DB5965">
        <w:rPr>
          <w:rFonts w:ascii="Times New Roman" w:hAnsi="Times New Roman" w:cs="Times New Roman"/>
          <w:sz w:val="24"/>
          <w:szCs w:val="24"/>
        </w:rPr>
        <w:t>URBANOS, 2015, Curitiba. Anais do XIII Encontro Nacional da Associação Brasileira de Estudos</w:t>
      </w:r>
      <w:r w:rsidR="00B32616">
        <w:rPr>
          <w:rFonts w:ascii="Times New Roman" w:hAnsi="Times New Roman" w:cs="Times New Roman"/>
          <w:sz w:val="24"/>
          <w:szCs w:val="24"/>
        </w:rPr>
        <w:t xml:space="preserve"> </w:t>
      </w:r>
      <w:r w:rsidRPr="00DB5965">
        <w:rPr>
          <w:rFonts w:ascii="Times New Roman" w:hAnsi="Times New Roman" w:cs="Times New Roman"/>
          <w:sz w:val="24"/>
          <w:szCs w:val="24"/>
        </w:rPr>
        <w:t>Regionais e Urbanos. Curitiba: ABER, 2015.</w:t>
      </w:r>
    </w:p>
    <w:p w:rsidR="0094311E" w:rsidRPr="00DB5965" w:rsidRDefault="0094311E" w:rsidP="008F1D90">
      <w:pPr>
        <w:spacing w:after="0" w:line="240" w:lineRule="auto"/>
        <w:contextualSpacing/>
        <w:rPr>
          <w:rFonts w:ascii="Times New Roman" w:hAnsi="Times New Roman" w:cs="Times New Roman"/>
          <w:sz w:val="24"/>
          <w:szCs w:val="24"/>
        </w:rPr>
      </w:pPr>
    </w:p>
    <w:p w:rsidR="0094311E" w:rsidRPr="00DB5965" w:rsidRDefault="0094311E" w:rsidP="008F1D90">
      <w:pPr>
        <w:spacing w:line="240" w:lineRule="auto"/>
        <w:contextualSpacing/>
        <w:rPr>
          <w:rFonts w:ascii="Times New Roman" w:hAnsi="Times New Roman" w:cs="Times New Roman"/>
          <w:sz w:val="24"/>
          <w:szCs w:val="24"/>
        </w:rPr>
      </w:pPr>
      <w:r w:rsidRPr="00DB5965">
        <w:rPr>
          <w:rFonts w:ascii="Times New Roman" w:hAnsi="Times New Roman" w:cs="Times New Roman"/>
          <w:sz w:val="24"/>
          <w:szCs w:val="24"/>
        </w:rPr>
        <w:t>DOMINGUES, E. P.; MAGALHÃES, A. S.; CARVALHO, T. S. Política industrial e os custos de</w:t>
      </w:r>
      <w:r w:rsidR="00B32616">
        <w:rPr>
          <w:rFonts w:ascii="Times New Roman" w:hAnsi="Times New Roman" w:cs="Times New Roman"/>
          <w:sz w:val="24"/>
          <w:szCs w:val="24"/>
        </w:rPr>
        <w:t xml:space="preserve"> </w:t>
      </w:r>
      <w:r w:rsidRPr="00DB5965">
        <w:rPr>
          <w:rFonts w:ascii="Times New Roman" w:hAnsi="Times New Roman" w:cs="Times New Roman"/>
          <w:sz w:val="24"/>
          <w:szCs w:val="24"/>
        </w:rPr>
        <w:t xml:space="preserve">redução de emissões de gases de efeito estufa. In: PRÊMIO CNI DE ECONOMIA, 2014, Natal. </w:t>
      </w:r>
    </w:p>
    <w:p w:rsidR="0045297A" w:rsidRDefault="0045297A" w:rsidP="003379C5">
      <w:pPr>
        <w:spacing w:after="0" w:line="240" w:lineRule="auto"/>
        <w:contextualSpacing/>
        <w:rPr>
          <w:rFonts w:ascii="Times New Roman" w:hAnsi="Times New Roman" w:cs="Times New Roman"/>
          <w:sz w:val="24"/>
          <w:szCs w:val="24"/>
        </w:rPr>
      </w:pPr>
    </w:p>
    <w:p w:rsidR="0094311E" w:rsidRPr="003379C5" w:rsidRDefault="0094311E" w:rsidP="003379C5">
      <w:pPr>
        <w:spacing w:after="0" w:line="240" w:lineRule="auto"/>
        <w:contextualSpacing/>
        <w:rPr>
          <w:rFonts w:ascii="Times New Roman" w:hAnsi="Times New Roman" w:cs="Times New Roman"/>
          <w:sz w:val="24"/>
          <w:szCs w:val="24"/>
        </w:rPr>
      </w:pPr>
      <w:r w:rsidRPr="003379C5">
        <w:rPr>
          <w:rFonts w:ascii="Times New Roman" w:hAnsi="Times New Roman" w:cs="Times New Roman"/>
          <w:sz w:val="24"/>
          <w:szCs w:val="24"/>
        </w:rPr>
        <w:t xml:space="preserve">EMPRESA BRASILEIRA DE PESQUISA ENERGÉTICA – EPE. </w:t>
      </w:r>
      <w:r w:rsidRPr="003379C5">
        <w:rPr>
          <w:rFonts w:ascii="Times New Roman" w:hAnsi="Times New Roman" w:cs="Times New Roman"/>
          <w:b/>
          <w:bCs/>
          <w:sz w:val="24"/>
          <w:szCs w:val="24"/>
        </w:rPr>
        <w:t>Balanço Energético</w:t>
      </w:r>
      <w:r>
        <w:rPr>
          <w:rFonts w:ascii="Times New Roman" w:hAnsi="Times New Roman" w:cs="Times New Roman"/>
          <w:b/>
          <w:bCs/>
          <w:sz w:val="24"/>
          <w:szCs w:val="24"/>
        </w:rPr>
        <w:t xml:space="preserve"> </w:t>
      </w:r>
      <w:r w:rsidRPr="003379C5">
        <w:rPr>
          <w:rFonts w:ascii="Times New Roman" w:hAnsi="Times New Roman" w:cs="Times New Roman"/>
          <w:b/>
          <w:bCs/>
          <w:sz w:val="24"/>
          <w:szCs w:val="24"/>
        </w:rPr>
        <w:t>Nacional 2010 - Ano Base: 2011</w:t>
      </w:r>
      <w:r w:rsidRPr="003379C5">
        <w:rPr>
          <w:rFonts w:ascii="Times New Roman" w:hAnsi="Times New Roman" w:cs="Times New Roman"/>
          <w:sz w:val="24"/>
          <w:szCs w:val="24"/>
        </w:rPr>
        <w:t>. Rio de Janeiro: EPE, 2010, 53 p.</w:t>
      </w:r>
    </w:p>
    <w:p w:rsidR="0094311E" w:rsidRPr="00DB5965" w:rsidRDefault="0094311E" w:rsidP="008F1D90">
      <w:pPr>
        <w:spacing w:after="0" w:line="240" w:lineRule="auto"/>
        <w:contextualSpacing/>
        <w:rPr>
          <w:rFonts w:ascii="Times New Roman" w:hAnsi="Times New Roman" w:cs="Times New Roman"/>
          <w:sz w:val="24"/>
          <w:szCs w:val="24"/>
        </w:rPr>
      </w:pPr>
    </w:p>
    <w:p w:rsidR="0094311E" w:rsidRPr="00331C23" w:rsidRDefault="0094311E" w:rsidP="008F1D90">
      <w:pPr>
        <w:spacing w:line="240" w:lineRule="auto"/>
        <w:contextualSpacing/>
        <w:rPr>
          <w:rFonts w:ascii="Times New Roman" w:hAnsi="Times New Roman" w:cs="Times New Roman"/>
          <w:sz w:val="24"/>
          <w:szCs w:val="24"/>
          <w:lang w:val="en-US"/>
        </w:rPr>
      </w:pPr>
      <w:r w:rsidRPr="00DB5965">
        <w:rPr>
          <w:rFonts w:ascii="Times New Roman" w:hAnsi="Times New Roman" w:cs="Times New Roman"/>
          <w:sz w:val="24"/>
          <w:szCs w:val="24"/>
        </w:rPr>
        <w:t xml:space="preserve">FEIJÓ, F. T.; PORTO JR., S. Protocolo de Quioto e o </w:t>
      </w:r>
      <w:proofErr w:type="gramStart"/>
      <w:r w:rsidRPr="00DB5965">
        <w:rPr>
          <w:rFonts w:ascii="Times New Roman" w:hAnsi="Times New Roman" w:cs="Times New Roman"/>
          <w:sz w:val="24"/>
          <w:szCs w:val="24"/>
        </w:rPr>
        <w:t>bem estar</w:t>
      </w:r>
      <w:proofErr w:type="gramEnd"/>
      <w:r w:rsidRPr="00DB5965">
        <w:rPr>
          <w:rFonts w:ascii="Times New Roman" w:hAnsi="Times New Roman" w:cs="Times New Roman"/>
          <w:sz w:val="24"/>
          <w:szCs w:val="24"/>
        </w:rPr>
        <w:t xml:space="preserve"> econômico no Brasil: uma análise utilizando equilíbrio geral computável. </w:t>
      </w:r>
      <w:proofErr w:type="spellStart"/>
      <w:r w:rsidRPr="00331C23">
        <w:rPr>
          <w:rFonts w:ascii="Times New Roman" w:hAnsi="Times New Roman" w:cs="Times New Roman"/>
          <w:b/>
          <w:bCs/>
          <w:sz w:val="24"/>
          <w:szCs w:val="24"/>
          <w:lang w:val="en-US"/>
        </w:rPr>
        <w:t>Análise</w:t>
      </w:r>
      <w:proofErr w:type="spellEnd"/>
      <w:r w:rsidRPr="00331C23">
        <w:rPr>
          <w:rFonts w:ascii="Times New Roman" w:hAnsi="Times New Roman" w:cs="Times New Roman"/>
          <w:b/>
          <w:bCs/>
          <w:sz w:val="24"/>
          <w:szCs w:val="24"/>
          <w:lang w:val="en-US"/>
        </w:rPr>
        <w:t xml:space="preserve"> </w:t>
      </w:r>
      <w:proofErr w:type="spellStart"/>
      <w:r w:rsidRPr="00331C23">
        <w:rPr>
          <w:rFonts w:ascii="Times New Roman" w:hAnsi="Times New Roman" w:cs="Times New Roman"/>
          <w:b/>
          <w:bCs/>
          <w:sz w:val="24"/>
          <w:szCs w:val="24"/>
          <w:lang w:val="en-US"/>
        </w:rPr>
        <w:t>Econômica</w:t>
      </w:r>
      <w:proofErr w:type="spellEnd"/>
      <w:r w:rsidRPr="00331C23">
        <w:rPr>
          <w:rFonts w:ascii="Times New Roman" w:hAnsi="Times New Roman" w:cs="Times New Roman"/>
          <w:b/>
          <w:bCs/>
          <w:sz w:val="24"/>
          <w:szCs w:val="24"/>
          <w:lang w:val="en-US"/>
        </w:rPr>
        <w:t xml:space="preserve"> (UFRGS)</w:t>
      </w:r>
      <w:r w:rsidRPr="00331C23">
        <w:rPr>
          <w:rFonts w:ascii="Times New Roman" w:hAnsi="Times New Roman" w:cs="Times New Roman"/>
          <w:sz w:val="24"/>
          <w:szCs w:val="24"/>
          <w:lang w:val="en-US"/>
        </w:rPr>
        <w:t>, v. 51, p. 127-154, 2009.</w:t>
      </w:r>
    </w:p>
    <w:p w:rsidR="0054723F" w:rsidRDefault="0054723F" w:rsidP="008F1D90">
      <w:pPr>
        <w:spacing w:line="240" w:lineRule="auto"/>
        <w:contextualSpacing/>
        <w:rPr>
          <w:rFonts w:ascii="Times New Roman" w:hAnsi="Times New Roman" w:cs="Times New Roman"/>
          <w:sz w:val="24"/>
          <w:szCs w:val="24"/>
          <w:lang w:val="en-US"/>
        </w:rPr>
      </w:pPr>
    </w:p>
    <w:p w:rsidR="0094311E" w:rsidRPr="005C13D4" w:rsidRDefault="0094311E" w:rsidP="008F1D90">
      <w:pPr>
        <w:spacing w:line="240" w:lineRule="auto"/>
        <w:contextualSpacing/>
        <w:rPr>
          <w:rFonts w:ascii="Times New Roman" w:hAnsi="Times New Roman" w:cs="Times New Roman"/>
          <w:sz w:val="24"/>
          <w:szCs w:val="24"/>
        </w:rPr>
      </w:pPr>
      <w:r w:rsidRPr="005C13D4">
        <w:rPr>
          <w:rFonts w:ascii="Times New Roman" w:hAnsi="Times New Roman" w:cs="Times New Roman"/>
          <w:sz w:val="24"/>
          <w:szCs w:val="24"/>
          <w:lang w:val="en-US"/>
        </w:rPr>
        <w:lastRenderedPageBreak/>
        <w:t>FIELD, C. B.; BARROS, V.; DOKKEN, D. J. Climate change 2014: Impacts, Adaptation, and</w:t>
      </w:r>
      <w:r w:rsidR="00B32616">
        <w:rPr>
          <w:rFonts w:ascii="Times New Roman" w:hAnsi="Times New Roman" w:cs="Times New Roman"/>
          <w:sz w:val="24"/>
          <w:szCs w:val="24"/>
          <w:lang w:val="en-US"/>
        </w:rPr>
        <w:t xml:space="preserve"> </w:t>
      </w:r>
      <w:r w:rsidRPr="005C13D4">
        <w:rPr>
          <w:rFonts w:ascii="Times New Roman" w:hAnsi="Times New Roman" w:cs="Times New Roman"/>
          <w:sz w:val="24"/>
          <w:szCs w:val="24"/>
          <w:lang w:val="en-US"/>
        </w:rPr>
        <w:t>Vulnerability. In: IPCC</w:t>
      </w:r>
      <w:r w:rsidRPr="005C13D4">
        <w:rPr>
          <w:rFonts w:ascii="Times New Roman" w:hAnsi="Times New Roman" w:cs="Times New Roman"/>
          <w:b/>
          <w:bCs/>
          <w:sz w:val="24"/>
          <w:szCs w:val="24"/>
          <w:lang w:val="en-US"/>
        </w:rPr>
        <w:t>. Contribution of Working Group II to the Fifth Assessment Report of</w:t>
      </w:r>
      <w:r w:rsidR="00B32616">
        <w:rPr>
          <w:rFonts w:ascii="Times New Roman" w:hAnsi="Times New Roman" w:cs="Times New Roman"/>
          <w:b/>
          <w:bCs/>
          <w:sz w:val="24"/>
          <w:szCs w:val="24"/>
          <w:lang w:val="en-US"/>
        </w:rPr>
        <w:t xml:space="preserve"> </w:t>
      </w:r>
      <w:r w:rsidRPr="005C13D4">
        <w:rPr>
          <w:rFonts w:ascii="Times New Roman" w:hAnsi="Times New Roman" w:cs="Times New Roman"/>
          <w:b/>
          <w:bCs/>
          <w:sz w:val="24"/>
          <w:szCs w:val="24"/>
          <w:lang w:val="en-US"/>
        </w:rPr>
        <w:t>the Intergovernmental Panel on Climate Change</w:t>
      </w:r>
      <w:r w:rsidRPr="005C13D4">
        <w:rPr>
          <w:rFonts w:ascii="Times New Roman" w:hAnsi="Times New Roman" w:cs="Times New Roman"/>
          <w:sz w:val="24"/>
          <w:szCs w:val="24"/>
          <w:lang w:val="en-US"/>
        </w:rPr>
        <w:t xml:space="preserve">. </w:t>
      </w:r>
      <w:r w:rsidRPr="005C13D4">
        <w:rPr>
          <w:rFonts w:ascii="Times New Roman" w:hAnsi="Times New Roman" w:cs="Times New Roman"/>
          <w:sz w:val="24"/>
          <w:szCs w:val="24"/>
        </w:rPr>
        <w:t xml:space="preserve">Cambridge; New York: Cambridge </w:t>
      </w:r>
      <w:proofErr w:type="spellStart"/>
      <w:r w:rsidRPr="005C13D4">
        <w:rPr>
          <w:rFonts w:ascii="Times New Roman" w:hAnsi="Times New Roman" w:cs="Times New Roman"/>
          <w:sz w:val="24"/>
          <w:szCs w:val="24"/>
        </w:rPr>
        <w:t>University</w:t>
      </w:r>
      <w:proofErr w:type="spellEnd"/>
      <w:r w:rsidR="00B32616">
        <w:rPr>
          <w:rFonts w:ascii="Times New Roman" w:hAnsi="Times New Roman" w:cs="Times New Roman"/>
          <w:sz w:val="24"/>
          <w:szCs w:val="24"/>
        </w:rPr>
        <w:t xml:space="preserve"> </w:t>
      </w:r>
      <w:r w:rsidRPr="005C13D4">
        <w:rPr>
          <w:rFonts w:ascii="Times New Roman" w:hAnsi="Times New Roman" w:cs="Times New Roman"/>
          <w:sz w:val="24"/>
          <w:szCs w:val="24"/>
        </w:rPr>
        <w:t>Press, 2014.</w:t>
      </w:r>
    </w:p>
    <w:p w:rsidR="0094311E" w:rsidRPr="00DB5965" w:rsidRDefault="0094311E" w:rsidP="008F1D90">
      <w:pPr>
        <w:spacing w:after="0" w:line="240" w:lineRule="auto"/>
        <w:contextualSpacing/>
        <w:rPr>
          <w:rFonts w:ascii="Times New Roman" w:hAnsi="Times New Roman" w:cs="Times New Roman"/>
          <w:sz w:val="24"/>
          <w:szCs w:val="24"/>
        </w:rPr>
      </w:pPr>
    </w:p>
    <w:p w:rsidR="0094311E" w:rsidRPr="00DB5965" w:rsidRDefault="0094311E" w:rsidP="008F1D90">
      <w:pPr>
        <w:autoSpaceDE w:val="0"/>
        <w:autoSpaceDN w:val="0"/>
        <w:adjustRightInd w:val="0"/>
        <w:spacing w:after="0" w:line="240" w:lineRule="auto"/>
        <w:contextualSpacing/>
        <w:rPr>
          <w:rFonts w:ascii="Times New Roman" w:hAnsi="Times New Roman" w:cs="Times New Roman"/>
          <w:color w:val="000000"/>
          <w:sz w:val="24"/>
          <w:szCs w:val="24"/>
        </w:rPr>
      </w:pPr>
      <w:r w:rsidRPr="00DB5965">
        <w:rPr>
          <w:rFonts w:ascii="Times New Roman" w:hAnsi="Times New Roman" w:cs="Times New Roman"/>
          <w:color w:val="000000"/>
          <w:sz w:val="24"/>
          <w:szCs w:val="24"/>
        </w:rPr>
        <w:t xml:space="preserve">GUILHOTO, J. J., LOPES, R., SEROA DA MOTTA, R. </w:t>
      </w:r>
      <w:r w:rsidRPr="00DB5965">
        <w:rPr>
          <w:rFonts w:ascii="Times New Roman" w:hAnsi="Times New Roman" w:cs="Times New Roman"/>
          <w:b/>
          <w:bCs/>
          <w:color w:val="000000"/>
          <w:sz w:val="24"/>
          <w:szCs w:val="24"/>
        </w:rPr>
        <w:t>Impactos ambientais e regionais de</w:t>
      </w:r>
      <w:r w:rsidR="00B32616">
        <w:rPr>
          <w:rFonts w:ascii="Times New Roman" w:hAnsi="Times New Roman" w:cs="Times New Roman"/>
          <w:b/>
          <w:bCs/>
          <w:color w:val="000000"/>
          <w:sz w:val="24"/>
          <w:szCs w:val="24"/>
        </w:rPr>
        <w:t xml:space="preserve"> </w:t>
      </w:r>
      <w:r w:rsidRPr="00DB5965">
        <w:rPr>
          <w:rFonts w:ascii="Times New Roman" w:hAnsi="Times New Roman" w:cs="Times New Roman"/>
          <w:b/>
          <w:bCs/>
          <w:color w:val="000000"/>
          <w:sz w:val="24"/>
          <w:szCs w:val="24"/>
        </w:rPr>
        <w:t>cenários de crescimento da economia brasileira, 2002-12</w:t>
      </w:r>
      <w:r w:rsidRPr="00DB5965">
        <w:rPr>
          <w:rFonts w:ascii="Times New Roman" w:hAnsi="Times New Roman" w:cs="Times New Roman"/>
          <w:i/>
          <w:iCs/>
          <w:color w:val="000000"/>
          <w:sz w:val="24"/>
          <w:szCs w:val="24"/>
        </w:rPr>
        <w:t xml:space="preserve">. </w:t>
      </w:r>
      <w:r w:rsidRPr="00DB5965">
        <w:rPr>
          <w:rFonts w:ascii="Times New Roman" w:hAnsi="Times New Roman" w:cs="Times New Roman"/>
          <w:color w:val="000000"/>
          <w:sz w:val="24"/>
          <w:szCs w:val="24"/>
        </w:rPr>
        <w:t>Rio de Janeiro: IPEA, 2002</w:t>
      </w:r>
      <w:r w:rsidR="00B32616">
        <w:rPr>
          <w:rFonts w:ascii="Times New Roman" w:hAnsi="Times New Roman" w:cs="Times New Roman"/>
          <w:color w:val="000000"/>
          <w:sz w:val="24"/>
          <w:szCs w:val="24"/>
        </w:rPr>
        <w:t xml:space="preserve"> </w:t>
      </w:r>
      <w:r w:rsidRPr="00DB5965">
        <w:rPr>
          <w:rFonts w:ascii="Times New Roman" w:hAnsi="Times New Roman" w:cs="Times New Roman"/>
          <w:color w:val="000000"/>
          <w:sz w:val="24"/>
          <w:szCs w:val="24"/>
        </w:rPr>
        <w:t>(Texto</w:t>
      </w:r>
      <w:r w:rsidR="00B32616">
        <w:rPr>
          <w:rFonts w:ascii="Times New Roman" w:hAnsi="Times New Roman" w:cs="Times New Roman"/>
          <w:color w:val="000000"/>
          <w:sz w:val="24"/>
          <w:szCs w:val="24"/>
        </w:rPr>
        <w:t xml:space="preserve"> </w:t>
      </w:r>
      <w:r w:rsidRPr="00DB5965">
        <w:rPr>
          <w:rFonts w:ascii="Times New Roman" w:hAnsi="Times New Roman" w:cs="Times New Roman"/>
          <w:color w:val="000000"/>
          <w:sz w:val="24"/>
          <w:szCs w:val="24"/>
        </w:rPr>
        <w:t>para Discussão 892).</w:t>
      </w:r>
    </w:p>
    <w:p w:rsidR="0094311E" w:rsidRPr="00331C23" w:rsidRDefault="0094311E" w:rsidP="008F1D90">
      <w:pPr>
        <w:spacing w:line="240" w:lineRule="auto"/>
        <w:contextualSpacing/>
        <w:rPr>
          <w:rFonts w:ascii="Times New Roman" w:hAnsi="Times New Roman" w:cs="Times New Roman"/>
          <w:sz w:val="24"/>
          <w:szCs w:val="24"/>
        </w:rPr>
      </w:pPr>
    </w:p>
    <w:p w:rsidR="0094311E" w:rsidRDefault="0094311E" w:rsidP="008F1D90">
      <w:pPr>
        <w:spacing w:line="240" w:lineRule="auto"/>
        <w:contextualSpacing/>
        <w:rPr>
          <w:rFonts w:ascii="Times New Roman" w:hAnsi="Times New Roman" w:cs="Times New Roman"/>
          <w:sz w:val="24"/>
          <w:szCs w:val="24"/>
        </w:rPr>
      </w:pPr>
      <w:r w:rsidRPr="00D92A11">
        <w:rPr>
          <w:rFonts w:ascii="Times New Roman" w:hAnsi="Times New Roman" w:cs="Times New Roman"/>
          <w:sz w:val="24"/>
          <w:szCs w:val="24"/>
        </w:rPr>
        <w:t>GURGEL, A. C. Impactos da economia mundial de baixo carbono sobre o brasil. In: XL</w:t>
      </w:r>
      <w:r w:rsidR="00B32616">
        <w:rPr>
          <w:rFonts w:ascii="Times New Roman" w:hAnsi="Times New Roman" w:cs="Times New Roman"/>
          <w:sz w:val="24"/>
          <w:szCs w:val="24"/>
        </w:rPr>
        <w:t xml:space="preserve"> </w:t>
      </w:r>
      <w:r w:rsidRPr="00D92A11">
        <w:rPr>
          <w:rFonts w:ascii="Times New Roman" w:hAnsi="Times New Roman" w:cs="Times New Roman"/>
          <w:caps/>
          <w:sz w:val="24"/>
          <w:szCs w:val="24"/>
        </w:rPr>
        <w:t>Encontro Nacional de Economia</w:t>
      </w:r>
      <w:r w:rsidRPr="00D92A11">
        <w:rPr>
          <w:rFonts w:ascii="Times New Roman" w:hAnsi="Times New Roman" w:cs="Times New Roman"/>
          <w:sz w:val="24"/>
          <w:szCs w:val="24"/>
        </w:rPr>
        <w:t xml:space="preserve"> DA </w:t>
      </w:r>
      <w:r>
        <w:rPr>
          <w:rFonts w:ascii="Times New Roman" w:hAnsi="Times New Roman" w:cs="Times New Roman"/>
          <w:sz w:val="24"/>
          <w:szCs w:val="24"/>
        </w:rPr>
        <w:t>ANPEC, 2014. Anais do XL Encontro de</w:t>
      </w:r>
      <w:r w:rsidR="00B32616">
        <w:rPr>
          <w:rFonts w:ascii="Times New Roman" w:hAnsi="Times New Roman" w:cs="Times New Roman"/>
          <w:sz w:val="24"/>
          <w:szCs w:val="24"/>
        </w:rPr>
        <w:t xml:space="preserve"> </w:t>
      </w:r>
      <w:r>
        <w:rPr>
          <w:rFonts w:ascii="Times New Roman" w:hAnsi="Times New Roman" w:cs="Times New Roman"/>
          <w:sz w:val="24"/>
          <w:szCs w:val="24"/>
        </w:rPr>
        <w:t xml:space="preserve">Economia da </w:t>
      </w:r>
      <w:r w:rsidRPr="00D92A11">
        <w:rPr>
          <w:rFonts w:ascii="Times New Roman" w:hAnsi="Times New Roman" w:cs="Times New Roman"/>
          <w:sz w:val="24"/>
          <w:szCs w:val="24"/>
        </w:rPr>
        <w:t>Associação Nacional dos Centros de Pós</w:t>
      </w:r>
      <w:r>
        <w:rPr>
          <w:rFonts w:ascii="Times New Roman" w:hAnsi="Times New Roman" w:cs="Times New Roman"/>
          <w:sz w:val="24"/>
          <w:szCs w:val="24"/>
        </w:rPr>
        <w:t>-</w:t>
      </w:r>
      <w:r w:rsidRPr="00D92A11">
        <w:rPr>
          <w:rFonts w:ascii="Times New Roman" w:hAnsi="Times New Roman" w:cs="Times New Roman"/>
          <w:sz w:val="24"/>
          <w:szCs w:val="24"/>
        </w:rPr>
        <w:t>graduação em Economia, 2014.</w:t>
      </w:r>
    </w:p>
    <w:p w:rsidR="0094311E" w:rsidRPr="00D92A11" w:rsidRDefault="0094311E" w:rsidP="008F1D90">
      <w:pPr>
        <w:spacing w:line="240" w:lineRule="auto"/>
        <w:contextualSpacing/>
        <w:rPr>
          <w:rFonts w:ascii="Times New Roman" w:hAnsi="Times New Roman" w:cs="Times New Roman"/>
          <w:sz w:val="24"/>
          <w:szCs w:val="24"/>
        </w:rPr>
      </w:pPr>
    </w:p>
    <w:p w:rsidR="0094311E" w:rsidRDefault="0094311E" w:rsidP="008F1D90">
      <w:pPr>
        <w:spacing w:line="240" w:lineRule="auto"/>
        <w:contextualSpacing/>
        <w:rPr>
          <w:rFonts w:ascii="Times New Roman" w:hAnsi="Times New Roman" w:cs="Times New Roman"/>
          <w:sz w:val="24"/>
          <w:szCs w:val="24"/>
        </w:rPr>
      </w:pPr>
      <w:r w:rsidRPr="00DB5965">
        <w:rPr>
          <w:rFonts w:ascii="Times New Roman" w:hAnsi="Times New Roman" w:cs="Times New Roman"/>
          <w:sz w:val="24"/>
          <w:szCs w:val="24"/>
          <w:lang w:val="en-US"/>
        </w:rPr>
        <w:t xml:space="preserve">KNETSCH, J.L., SINDEN, J.A. Willingness to pay and compensation </w:t>
      </w:r>
      <w:proofErr w:type="gramStart"/>
      <w:r w:rsidRPr="00DB5965">
        <w:rPr>
          <w:rFonts w:ascii="Times New Roman" w:hAnsi="Times New Roman" w:cs="Times New Roman"/>
          <w:sz w:val="24"/>
          <w:szCs w:val="24"/>
          <w:lang w:val="en-US"/>
        </w:rPr>
        <w:t>demanded:</w:t>
      </w:r>
      <w:proofErr w:type="gramEnd"/>
      <w:r w:rsidRPr="00DB5965">
        <w:rPr>
          <w:rFonts w:ascii="Times New Roman" w:hAnsi="Times New Roman" w:cs="Times New Roman"/>
          <w:sz w:val="24"/>
          <w:szCs w:val="24"/>
          <w:lang w:val="en-US"/>
        </w:rPr>
        <w:t xml:space="preserve"> experimental</w:t>
      </w:r>
      <w:r w:rsidR="00B32616">
        <w:rPr>
          <w:rFonts w:ascii="Times New Roman" w:hAnsi="Times New Roman" w:cs="Times New Roman"/>
          <w:sz w:val="24"/>
          <w:szCs w:val="24"/>
          <w:lang w:val="en-US"/>
        </w:rPr>
        <w:t xml:space="preserve"> </w:t>
      </w:r>
      <w:r w:rsidRPr="00DB5965">
        <w:rPr>
          <w:rFonts w:ascii="Times New Roman" w:hAnsi="Times New Roman" w:cs="Times New Roman"/>
          <w:sz w:val="24"/>
          <w:szCs w:val="24"/>
          <w:lang w:val="en-US"/>
        </w:rPr>
        <w:t xml:space="preserve">evidence of an unexpected disparity in measures of value. </w:t>
      </w:r>
      <w:proofErr w:type="spellStart"/>
      <w:r w:rsidRPr="00DB5965">
        <w:rPr>
          <w:rFonts w:ascii="Times New Roman" w:hAnsi="Times New Roman" w:cs="Times New Roman"/>
          <w:b/>
          <w:bCs/>
          <w:sz w:val="24"/>
          <w:szCs w:val="24"/>
        </w:rPr>
        <w:t>Quarterly</w:t>
      </w:r>
      <w:proofErr w:type="spellEnd"/>
      <w:r w:rsidRPr="00DB5965">
        <w:rPr>
          <w:rFonts w:ascii="Times New Roman" w:hAnsi="Times New Roman" w:cs="Times New Roman"/>
          <w:b/>
          <w:bCs/>
          <w:sz w:val="24"/>
          <w:szCs w:val="24"/>
        </w:rPr>
        <w:t xml:space="preserve"> </w:t>
      </w:r>
      <w:proofErr w:type="spellStart"/>
      <w:r w:rsidRPr="00DB5965">
        <w:rPr>
          <w:rFonts w:ascii="Times New Roman" w:hAnsi="Times New Roman" w:cs="Times New Roman"/>
          <w:b/>
          <w:bCs/>
          <w:sz w:val="24"/>
          <w:szCs w:val="24"/>
        </w:rPr>
        <w:t>Journal</w:t>
      </w:r>
      <w:proofErr w:type="spellEnd"/>
      <w:r w:rsidRPr="00DB5965">
        <w:rPr>
          <w:rFonts w:ascii="Times New Roman" w:hAnsi="Times New Roman" w:cs="Times New Roman"/>
          <w:b/>
          <w:bCs/>
          <w:sz w:val="24"/>
          <w:szCs w:val="24"/>
        </w:rPr>
        <w:t xml:space="preserve"> of </w:t>
      </w:r>
      <w:proofErr w:type="spellStart"/>
      <w:r w:rsidRPr="00DB5965">
        <w:rPr>
          <w:rFonts w:ascii="Times New Roman" w:hAnsi="Times New Roman" w:cs="Times New Roman"/>
          <w:b/>
          <w:bCs/>
          <w:sz w:val="24"/>
          <w:szCs w:val="24"/>
        </w:rPr>
        <w:t>Economics</w:t>
      </w:r>
      <w:proofErr w:type="spellEnd"/>
      <w:r w:rsidRPr="00DB5965">
        <w:rPr>
          <w:rFonts w:ascii="Times New Roman" w:hAnsi="Times New Roman" w:cs="Times New Roman"/>
          <w:sz w:val="24"/>
          <w:szCs w:val="24"/>
        </w:rPr>
        <w:t>, 99, 3: 507-21, 1984.</w:t>
      </w:r>
    </w:p>
    <w:p w:rsidR="0094311E" w:rsidRPr="00DB5965" w:rsidRDefault="0094311E" w:rsidP="008F1D90">
      <w:pPr>
        <w:spacing w:line="240" w:lineRule="auto"/>
        <w:contextualSpacing/>
        <w:rPr>
          <w:rFonts w:ascii="Times New Roman" w:hAnsi="Times New Roman" w:cs="Times New Roman"/>
          <w:sz w:val="24"/>
          <w:szCs w:val="24"/>
        </w:rPr>
      </w:pPr>
    </w:p>
    <w:p w:rsidR="0094311E" w:rsidRPr="00DB5965" w:rsidRDefault="0094311E" w:rsidP="008F1D90">
      <w:pPr>
        <w:autoSpaceDE w:val="0"/>
        <w:autoSpaceDN w:val="0"/>
        <w:adjustRightInd w:val="0"/>
        <w:spacing w:after="0" w:line="24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LOPES, R.</w:t>
      </w:r>
      <w:r w:rsidRPr="00DB5965">
        <w:rPr>
          <w:rFonts w:ascii="Times New Roman" w:hAnsi="Times New Roman" w:cs="Times New Roman"/>
          <w:color w:val="000000"/>
          <w:sz w:val="24"/>
          <w:szCs w:val="24"/>
        </w:rPr>
        <w:t xml:space="preserve"> L. Efeitos de uma restrição na emissão de CO</w:t>
      </w:r>
      <w:r>
        <w:rPr>
          <w:rFonts w:ascii="Times New Roman" w:hAnsi="Times New Roman" w:cs="Times New Roman"/>
          <w:color w:val="000000"/>
          <w:sz w:val="24"/>
          <w:szCs w:val="24"/>
        </w:rPr>
        <w:t>2</w:t>
      </w:r>
      <w:r w:rsidRPr="005C13D4">
        <w:rPr>
          <w:rFonts w:ascii="Times New Roman" w:hAnsi="Times New Roman" w:cs="Times New Roman"/>
          <w:color w:val="000000"/>
          <w:sz w:val="24"/>
          <w:szCs w:val="24"/>
        </w:rPr>
        <w:t xml:space="preserve"> </w:t>
      </w:r>
      <w:r w:rsidRPr="00DB5965">
        <w:rPr>
          <w:rFonts w:ascii="Times New Roman" w:hAnsi="Times New Roman" w:cs="Times New Roman"/>
          <w:color w:val="000000"/>
          <w:sz w:val="24"/>
          <w:szCs w:val="24"/>
        </w:rPr>
        <w:t>na economia brasileira.</w:t>
      </w:r>
      <w:r w:rsidR="00B32616">
        <w:rPr>
          <w:rFonts w:ascii="Times New Roman" w:hAnsi="Times New Roman" w:cs="Times New Roman"/>
          <w:color w:val="000000"/>
          <w:sz w:val="24"/>
          <w:szCs w:val="24"/>
        </w:rPr>
        <w:t xml:space="preserve"> </w:t>
      </w:r>
      <w:r w:rsidRPr="00DB5965">
        <w:rPr>
          <w:rFonts w:ascii="Times New Roman" w:hAnsi="Times New Roman" w:cs="Times New Roman"/>
          <w:color w:val="000000"/>
          <w:sz w:val="24"/>
          <w:szCs w:val="24"/>
        </w:rPr>
        <w:t>2003. 170 f.</w:t>
      </w:r>
      <w:r w:rsidR="00B32616">
        <w:rPr>
          <w:rFonts w:ascii="Times New Roman" w:hAnsi="Times New Roman" w:cs="Times New Roman"/>
          <w:color w:val="000000"/>
          <w:sz w:val="24"/>
          <w:szCs w:val="24"/>
        </w:rPr>
        <w:t xml:space="preserve"> </w:t>
      </w:r>
      <w:r w:rsidRPr="00DB5965">
        <w:rPr>
          <w:rFonts w:ascii="Times New Roman" w:hAnsi="Times New Roman" w:cs="Times New Roman"/>
          <w:color w:val="000000"/>
          <w:sz w:val="24"/>
          <w:szCs w:val="24"/>
        </w:rPr>
        <w:t>Tese (Doutorado) – Escola Superior de Agricultura “Luiz de Queiroz”,</w:t>
      </w:r>
      <w:r w:rsidR="00B32616">
        <w:rPr>
          <w:rFonts w:ascii="Times New Roman" w:hAnsi="Times New Roman" w:cs="Times New Roman"/>
          <w:color w:val="000000"/>
          <w:sz w:val="24"/>
          <w:szCs w:val="24"/>
        </w:rPr>
        <w:t xml:space="preserve"> </w:t>
      </w:r>
      <w:r w:rsidRPr="00DB5965">
        <w:rPr>
          <w:rFonts w:ascii="Times New Roman" w:hAnsi="Times New Roman" w:cs="Times New Roman"/>
          <w:color w:val="000000"/>
          <w:sz w:val="24"/>
          <w:szCs w:val="24"/>
        </w:rPr>
        <w:t>Universidade de São Paulo, Piracicaba, 2003.</w:t>
      </w:r>
    </w:p>
    <w:p w:rsidR="00AE47D4" w:rsidRDefault="00AE47D4" w:rsidP="008F1D90">
      <w:pPr>
        <w:spacing w:line="240" w:lineRule="auto"/>
        <w:contextualSpacing/>
        <w:rPr>
          <w:rFonts w:ascii="Times New Roman" w:hAnsi="Times New Roman" w:cs="Times New Roman"/>
          <w:sz w:val="24"/>
          <w:szCs w:val="24"/>
        </w:rPr>
      </w:pPr>
    </w:p>
    <w:p w:rsidR="0094311E" w:rsidRPr="00DB5965" w:rsidRDefault="0094311E" w:rsidP="008F1D90">
      <w:pPr>
        <w:spacing w:line="240" w:lineRule="auto"/>
        <w:contextualSpacing/>
        <w:rPr>
          <w:rFonts w:ascii="Times New Roman" w:hAnsi="Times New Roman" w:cs="Times New Roman"/>
          <w:sz w:val="24"/>
          <w:szCs w:val="24"/>
        </w:rPr>
      </w:pPr>
      <w:r w:rsidRPr="00DB5965">
        <w:rPr>
          <w:rFonts w:ascii="Times New Roman" w:hAnsi="Times New Roman" w:cs="Times New Roman"/>
          <w:sz w:val="24"/>
          <w:szCs w:val="24"/>
        </w:rPr>
        <w:t xml:space="preserve">MAGALHÃES, A. S. </w:t>
      </w:r>
      <w:r w:rsidRPr="008B237C">
        <w:rPr>
          <w:rFonts w:ascii="Times New Roman" w:hAnsi="Times New Roman" w:cs="Times New Roman"/>
          <w:sz w:val="24"/>
          <w:szCs w:val="24"/>
        </w:rPr>
        <w:t>Economia de baixo carbono no Brasil</w:t>
      </w:r>
      <w:r w:rsidRPr="00DB5965">
        <w:rPr>
          <w:rFonts w:ascii="Times New Roman" w:hAnsi="Times New Roman" w:cs="Times New Roman"/>
          <w:sz w:val="24"/>
          <w:szCs w:val="24"/>
        </w:rPr>
        <w:t>: alternativas de políticas e custos de</w:t>
      </w:r>
      <w:r w:rsidR="00B32616">
        <w:rPr>
          <w:rFonts w:ascii="Times New Roman" w:hAnsi="Times New Roman" w:cs="Times New Roman"/>
          <w:sz w:val="24"/>
          <w:szCs w:val="24"/>
        </w:rPr>
        <w:t xml:space="preserve"> </w:t>
      </w:r>
      <w:r w:rsidRPr="00DB5965">
        <w:rPr>
          <w:rFonts w:ascii="Times New Roman" w:hAnsi="Times New Roman" w:cs="Times New Roman"/>
          <w:sz w:val="24"/>
          <w:szCs w:val="24"/>
        </w:rPr>
        <w:t>redução de emissões de gases de efeito estufa. 2013. 293 f.</w:t>
      </w:r>
      <w:r w:rsidR="00B32616">
        <w:rPr>
          <w:rFonts w:ascii="Times New Roman" w:hAnsi="Times New Roman" w:cs="Times New Roman"/>
          <w:sz w:val="24"/>
          <w:szCs w:val="24"/>
        </w:rPr>
        <w:t xml:space="preserve"> Tese (Doutorado em Economia) - </w:t>
      </w:r>
      <w:r w:rsidRPr="00DB5965">
        <w:rPr>
          <w:rFonts w:ascii="Times New Roman" w:hAnsi="Times New Roman" w:cs="Times New Roman"/>
          <w:sz w:val="24"/>
          <w:szCs w:val="24"/>
        </w:rPr>
        <w:t>Centro de Desenvolvimento e Planejamento Regional. Universidade Federal de Minas Gerais, Belo Horizonte.</w:t>
      </w:r>
    </w:p>
    <w:p w:rsidR="0094311E" w:rsidRPr="00DB5965" w:rsidRDefault="0094311E" w:rsidP="008F1D90">
      <w:pPr>
        <w:spacing w:line="240" w:lineRule="auto"/>
        <w:contextualSpacing/>
        <w:rPr>
          <w:rFonts w:ascii="Times New Roman" w:hAnsi="Times New Roman" w:cs="Times New Roman"/>
          <w:sz w:val="24"/>
          <w:szCs w:val="24"/>
        </w:rPr>
      </w:pPr>
    </w:p>
    <w:p w:rsidR="0094311E" w:rsidRPr="00DB5965" w:rsidRDefault="0094311E" w:rsidP="008F1D90">
      <w:pPr>
        <w:spacing w:line="240" w:lineRule="auto"/>
        <w:contextualSpacing/>
        <w:rPr>
          <w:rFonts w:ascii="Times New Roman" w:hAnsi="Times New Roman" w:cs="Times New Roman"/>
          <w:sz w:val="24"/>
          <w:szCs w:val="24"/>
          <w:lang w:val="en-US"/>
        </w:rPr>
      </w:pPr>
      <w:r w:rsidRPr="00DB5965">
        <w:rPr>
          <w:rFonts w:ascii="Times New Roman" w:hAnsi="Times New Roman" w:cs="Times New Roman"/>
          <w:sz w:val="24"/>
          <w:szCs w:val="24"/>
        </w:rPr>
        <w:t>MAGALHÃES, A. S.; DOMINGUES, E. P. Aumento da Eficiência Energética no Brasil: uma</w:t>
      </w:r>
      <w:r w:rsidR="00B32616">
        <w:rPr>
          <w:rFonts w:ascii="Times New Roman" w:hAnsi="Times New Roman" w:cs="Times New Roman"/>
          <w:sz w:val="24"/>
          <w:szCs w:val="24"/>
        </w:rPr>
        <w:t xml:space="preserve"> </w:t>
      </w:r>
      <w:r w:rsidRPr="00DB5965">
        <w:rPr>
          <w:rFonts w:ascii="Times New Roman" w:hAnsi="Times New Roman" w:cs="Times New Roman"/>
          <w:sz w:val="24"/>
          <w:szCs w:val="24"/>
        </w:rPr>
        <w:t>alternativa para uma economia de baixo carbono? In: 42° ENCONTRO NACIONAL DE</w:t>
      </w:r>
      <w:r w:rsidR="00B32616">
        <w:rPr>
          <w:rFonts w:ascii="Times New Roman" w:hAnsi="Times New Roman" w:cs="Times New Roman"/>
          <w:sz w:val="24"/>
          <w:szCs w:val="24"/>
        </w:rPr>
        <w:t xml:space="preserve"> </w:t>
      </w:r>
      <w:r w:rsidRPr="00DB5965">
        <w:rPr>
          <w:rFonts w:ascii="Times New Roman" w:hAnsi="Times New Roman" w:cs="Times New Roman"/>
          <w:sz w:val="24"/>
          <w:szCs w:val="24"/>
        </w:rPr>
        <w:t>ECONOMIA DA ANPEC, 2014, Natal. Anais do 42° Encontro</w:t>
      </w:r>
      <w:r w:rsidR="00B32616">
        <w:rPr>
          <w:rFonts w:ascii="Times New Roman" w:hAnsi="Times New Roman" w:cs="Times New Roman"/>
          <w:sz w:val="24"/>
          <w:szCs w:val="24"/>
        </w:rPr>
        <w:t xml:space="preserve"> Nacional de Economia da ANPEC. </w:t>
      </w:r>
      <w:r w:rsidRPr="00DB5965">
        <w:rPr>
          <w:rFonts w:ascii="Times New Roman" w:hAnsi="Times New Roman" w:cs="Times New Roman"/>
          <w:sz w:val="24"/>
          <w:szCs w:val="24"/>
          <w:lang w:val="en-US"/>
        </w:rPr>
        <w:t>Natal: ANPEC, 2014.</w:t>
      </w:r>
    </w:p>
    <w:p w:rsidR="0094311E" w:rsidRPr="00DB5965" w:rsidRDefault="0094311E" w:rsidP="008F1D90">
      <w:pPr>
        <w:spacing w:line="240" w:lineRule="auto"/>
        <w:contextualSpacing/>
        <w:rPr>
          <w:rFonts w:ascii="Times New Roman" w:hAnsi="Times New Roman" w:cs="Times New Roman"/>
          <w:sz w:val="24"/>
          <w:szCs w:val="24"/>
          <w:lang w:val="en-US"/>
        </w:rPr>
      </w:pPr>
    </w:p>
    <w:p w:rsidR="0094311E" w:rsidRPr="00DB5965" w:rsidRDefault="0094311E" w:rsidP="008F1D90">
      <w:pPr>
        <w:autoSpaceDE w:val="0"/>
        <w:autoSpaceDN w:val="0"/>
        <w:adjustRightInd w:val="0"/>
        <w:spacing w:after="0" w:line="240" w:lineRule="auto"/>
        <w:contextualSpacing/>
        <w:rPr>
          <w:rFonts w:ascii="Times New Roman" w:hAnsi="Times New Roman" w:cs="Times New Roman"/>
          <w:sz w:val="24"/>
          <w:szCs w:val="24"/>
          <w:lang w:val="en-US"/>
        </w:rPr>
      </w:pPr>
      <w:r w:rsidRPr="00DB5965">
        <w:rPr>
          <w:rFonts w:ascii="Times New Roman" w:hAnsi="Times New Roman" w:cs="Times New Roman"/>
          <w:sz w:val="24"/>
          <w:szCs w:val="24"/>
          <w:lang w:val="en-US"/>
        </w:rPr>
        <w:t>MANNE, A.S; RICHELS, R. Global CO</w:t>
      </w:r>
      <w:r w:rsidRPr="00DB5965">
        <w:rPr>
          <w:rFonts w:ascii="Times New Roman" w:hAnsi="Times New Roman" w:cs="Times New Roman"/>
          <w:sz w:val="24"/>
          <w:szCs w:val="24"/>
          <w:vertAlign w:val="subscript"/>
          <w:lang w:val="en-US"/>
        </w:rPr>
        <w:t>2</w:t>
      </w:r>
      <w:r w:rsidRPr="00DB5965">
        <w:rPr>
          <w:rFonts w:ascii="Times New Roman" w:hAnsi="Times New Roman" w:cs="Times New Roman"/>
          <w:sz w:val="24"/>
          <w:szCs w:val="24"/>
          <w:lang w:val="en-US"/>
        </w:rPr>
        <w:t xml:space="preserve"> Emissions Reductions: The Impacts of Rising </w:t>
      </w:r>
      <w:r w:rsidR="00B32616">
        <w:rPr>
          <w:rFonts w:ascii="Times New Roman" w:hAnsi="Times New Roman" w:cs="Times New Roman"/>
          <w:sz w:val="24"/>
          <w:szCs w:val="24"/>
          <w:lang w:val="en-US"/>
        </w:rPr>
        <w:t xml:space="preserve">Energy </w:t>
      </w:r>
      <w:r w:rsidRPr="00DB5965">
        <w:rPr>
          <w:rFonts w:ascii="Times New Roman" w:hAnsi="Times New Roman" w:cs="Times New Roman"/>
          <w:sz w:val="24"/>
          <w:szCs w:val="24"/>
          <w:lang w:val="en-US"/>
        </w:rPr>
        <w:t xml:space="preserve">Costs. </w:t>
      </w:r>
      <w:r w:rsidRPr="00DB5965">
        <w:rPr>
          <w:rFonts w:ascii="Times New Roman" w:hAnsi="Times New Roman" w:cs="Times New Roman"/>
          <w:b/>
          <w:bCs/>
          <w:sz w:val="24"/>
          <w:szCs w:val="24"/>
          <w:lang w:val="en-US"/>
        </w:rPr>
        <w:t>Energy Journal</w:t>
      </w:r>
      <w:r w:rsidRPr="00DB5965">
        <w:rPr>
          <w:rFonts w:ascii="Times New Roman" w:hAnsi="Times New Roman" w:cs="Times New Roman"/>
          <w:i/>
          <w:iCs/>
          <w:sz w:val="24"/>
          <w:szCs w:val="24"/>
          <w:lang w:val="en-US"/>
        </w:rPr>
        <w:t xml:space="preserve">. </w:t>
      </w:r>
      <w:r w:rsidRPr="00DB5965">
        <w:rPr>
          <w:rFonts w:ascii="Times New Roman" w:hAnsi="Times New Roman" w:cs="Times New Roman"/>
          <w:sz w:val="24"/>
          <w:szCs w:val="24"/>
          <w:lang w:val="en-US"/>
        </w:rPr>
        <w:t>v.12, p. 87-107, 1991.</w:t>
      </w:r>
    </w:p>
    <w:p w:rsidR="0094311E" w:rsidRPr="00DB5965" w:rsidRDefault="0094311E" w:rsidP="008F1D90">
      <w:pPr>
        <w:spacing w:line="240" w:lineRule="auto"/>
        <w:contextualSpacing/>
        <w:rPr>
          <w:rFonts w:ascii="Times New Roman" w:hAnsi="Times New Roman" w:cs="Times New Roman"/>
          <w:sz w:val="24"/>
          <w:szCs w:val="24"/>
          <w:lang w:val="en-US"/>
        </w:rPr>
      </w:pPr>
    </w:p>
    <w:p w:rsidR="0094311E" w:rsidRPr="00DB5965" w:rsidRDefault="0094311E" w:rsidP="008F1D90">
      <w:pPr>
        <w:autoSpaceDE w:val="0"/>
        <w:autoSpaceDN w:val="0"/>
        <w:adjustRightInd w:val="0"/>
        <w:spacing w:after="0" w:line="240" w:lineRule="auto"/>
        <w:rPr>
          <w:rFonts w:ascii="Times New Roman" w:hAnsi="Times New Roman" w:cs="Times New Roman"/>
          <w:sz w:val="24"/>
          <w:szCs w:val="24"/>
          <w:lang w:val="en-US"/>
        </w:rPr>
      </w:pPr>
      <w:r w:rsidRPr="00DB5965">
        <w:rPr>
          <w:rFonts w:ascii="Times New Roman" w:hAnsi="Times New Roman" w:cs="Times New Roman"/>
          <w:sz w:val="24"/>
          <w:szCs w:val="24"/>
          <w:lang w:val="en-US"/>
        </w:rPr>
        <w:t xml:space="preserve">NORDHAUS, W. D. </w:t>
      </w:r>
      <w:r w:rsidRPr="00DB5965">
        <w:rPr>
          <w:rFonts w:ascii="Times New Roman" w:hAnsi="Times New Roman" w:cs="Times New Roman"/>
          <w:b/>
          <w:bCs/>
          <w:sz w:val="24"/>
          <w:szCs w:val="24"/>
          <w:lang w:val="en-US"/>
        </w:rPr>
        <w:t>A question of balance: weighing the options on global warming policies</w:t>
      </w:r>
      <w:r w:rsidR="00B32616">
        <w:rPr>
          <w:rFonts w:ascii="Times New Roman" w:hAnsi="Times New Roman" w:cs="Times New Roman"/>
          <w:i/>
          <w:iCs/>
          <w:sz w:val="24"/>
          <w:szCs w:val="24"/>
          <w:lang w:val="en-US"/>
        </w:rPr>
        <w:t xml:space="preserve">. </w:t>
      </w:r>
      <w:r w:rsidRPr="00DB5965">
        <w:rPr>
          <w:rFonts w:ascii="Times New Roman" w:hAnsi="Times New Roman" w:cs="Times New Roman"/>
          <w:sz w:val="24"/>
          <w:szCs w:val="24"/>
          <w:lang w:val="en-US"/>
        </w:rPr>
        <w:t>New Haven, Yale University Press, 2008.</w:t>
      </w:r>
    </w:p>
    <w:p w:rsidR="0094311E" w:rsidRPr="00DB5965" w:rsidRDefault="0094311E" w:rsidP="008F1D90">
      <w:pPr>
        <w:spacing w:line="240" w:lineRule="auto"/>
        <w:contextualSpacing/>
        <w:rPr>
          <w:rFonts w:ascii="Times New Roman" w:hAnsi="Times New Roman" w:cs="Times New Roman"/>
          <w:sz w:val="24"/>
          <w:szCs w:val="24"/>
        </w:rPr>
      </w:pPr>
      <w:r w:rsidRPr="00DB5965">
        <w:rPr>
          <w:rFonts w:ascii="Times New Roman" w:hAnsi="Times New Roman" w:cs="Times New Roman"/>
          <w:sz w:val="24"/>
          <w:szCs w:val="24"/>
          <w:lang w:val="en-US"/>
        </w:rPr>
        <w:t xml:space="preserve">PIGOU, A.C. </w:t>
      </w:r>
      <w:r w:rsidRPr="00DB5965">
        <w:rPr>
          <w:rFonts w:ascii="Times New Roman" w:hAnsi="Times New Roman" w:cs="Times New Roman"/>
          <w:b/>
          <w:bCs/>
          <w:sz w:val="24"/>
          <w:szCs w:val="24"/>
          <w:lang w:val="en-US"/>
        </w:rPr>
        <w:t>The Economics of Welfare</w:t>
      </w:r>
      <w:r w:rsidRPr="00DB5965">
        <w:rPr>
          <w:rFonts w:ascii="Times New Roman" w:hAnsi="Times New Roman" w:cs="Times New Roman"/>
          <w:sz w:val="24"/>
          <w:szCs w:val="24"/>
          <w:lang w:val="en-US"/>
        </w:rPr>
        <w:t xml:space="preserve">. </w:t>
      </w:r>
      <w:proofErr w:type="spellStart"/>
      <w:r w:rsidRPr="00DB5965">
        <w:rPr>
          <w:rFonts w:ascii="Times New Roman" w:hAnsi="Times New Roman" w:cs="Times New Roman"/>
          <w:sz w:val="24"/>
          <w:szCs w:val="24"/>
        </w:rPr>
        <w:t>Macmillan</w:t>
      </w:r>
      <w:proofErr w:type="spellEnd"/>
      <w:r w:rsidRPr="00DB5965">
        <w:rPr>
          <w:rFonts w:ascii="Times New Roman" w:hAnsi="Times New Roman" w:cs="Times New Roman"/>
          <w:sz w:val="24"/>
          <w:szCs w:val="24"/>
        </w:rPr>
        <w:t>, London, 1920.</w:t>
      </w:r>
    </w:p>
    <w:p w:rsidR="0094311E" w:rsidRPr="00DB5965" w:rsidRDefault="0094311E" w:rsidP="008F1D90">
      <w:pPr>
        <w:spacing w:line="240" w:lineRule="auto"/>
        <w:contextualSpacing/>
        <w:rPr>
          <w:rFonts w:ascii="Times New Roman" w:hAnsi="Times New Roman" w:cs="Times New Roman"/>
          <w:sz w:val="24"/>
          <w:szCs w:val="24"/>
        </w:rPr>
      </w:pPr>
    </w:p>
    <w:p w:rsidR="0094311E" w:rsidRPr="00DB5965" w:rsidRDefault="0094311E" w:rsidP="008F1D90">
      <w:pPr>
        <w:autoSpaceDE w:val="0"/>
        <w:autoSpaceDN w:val="0"/>
        <w:adjustRightInd w:val="0"/>
        <w:spacing w:after="0" w:line="24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ROCHA, M.</w:t>
      </w:r>
      <w:r w:rsidRPr="00DB5965">
        <w:rPr>
          <w:rFonts w:ascii="Times New Roman" w:hAnsi="Times New Roman" w:cs="Times New Roman"/>
          <w:color w:val="000000"/>
          <w:sz w:val="24"/>
          <w:szCs w:val="24"/>
        </w:rPr>
        <w:t xml:space="preserve"> T. Aquecimento global e o mercado de carbono:</w:t>
      </w:r>
      <w:r w:rsidRPr="00DB5965">
        <w:rPr>
          <w:rFonts w:ascii="Times New Roman" w:hAnsi="Times New Roman" w:cs="Times New Roman"/>
          <w:b/>
          <w:bCs/>
          <w:color w:val="000000"/>
          <w:sz w:val="24"/>
          <w:szCs w:val="24"/>
        </w:rPr>
        <w:t xml:space="preserve"> </w:t>
      </w:r>
      <w:r w:rsidRPr="00DB5965">
        <w:rPr>
          <w:rFonts w:ascii="Times New Roman" w:hAnsi="Times New Roman" w:cs="Times New Roman"/>
          <w:color w:val="000000"/>
          <w:sz w:val="24"/>
          <w:szCs w:val="24"/>
        </w:rPr>
        <w:t>uma aplicação do modelo</w:t>
      </w:r>
      <w:r w:rsidR="00B32616">
        <w:rPr>
          <w:rFonts w:ascii="Times New Roman" w:hAnsi="Times New Roman" w:cs="Times New Roman"/>
          <w:color w:val="000000"/>
          <w:sz w:val="24"/>
          <w:szCs w:val="24"/>
        </w:rPr>
        <w:t xml:space="preserve"> </w:t>
      </w:r>
      <w:r w:rsidRPr="00DB5965">
        <w:rPr>
          <w:rFonts w:ascii="Times New Roman" w:hAnsi="Times New Roman" w:cs="Times New Roman"/>
          <w:color w:val="000000"/>
          <w:sz w:val="24"/>
          <w:szCs w:val="24"/>
        </w:rPr>
        <w:t>CERT. 2003. 196 f. Tese (Doutorado) – Escola Superior de Agricultura “Luiz de Queiroz”, Universidade</w:t>
      </w:r>
      <w:r w:rsidR="00B32616">
        <w:rPr>
          <w:rFonts w:ascii="Times New Roman" w:hAnsi="Times New Roman" w:cs="Times New Roman"/>
          <w:color w:val="000000"/>
          <w:sz w:val="24"/>
          <w:szCs w:val="24"/>
        </w:rPr>
        <w:t xml:space="preserve"> </w:t>
      </w:r>
      <w:r w:rsidRPr="00DB5965">
        <w:rPr>
          <w:rFonts w:ascii="Times New Roman" w:hAnsi="Times New Roman" w:cs="Times New Roman"/>
          <w:color w:val="000000"/>
          <w:sz w:val="24"/>
          <w:szCs w:val="24"/>
        </w:rPr>
        <w:t>de São Paulo, Piracicaba, jan. 2003.</w:t>
      </w:r>
    </w:p>
    <w:p w:rsidR="0094311E" w:rsidRDefault="0094311E" w:rsidP="008F1D90">
      <w:pPr>
        <w:spacing w:line="240" w:lineRule="auto"/>
        <w:contextualSpacing/>
        <w:rPr>
          <w:rFonts w:ascii="Times New Roman" w:hAnsi="Times New Roman" w:cs="Times New Roman"/>
          <w:sz w:val="24"/>
          <w:szCs w:val="24"/>
        </w:rPr>
      </w:pPr>
    </w:p>
    <w:p w:rsidR="0094311E" w:rsidRPr="00DB5965" w:rsidRDefault="0094311E" w:rsidP="008B237C">
      <w:pPr>
        <w:spacing w:line="240" w:lineRule="auto"/>
        <w:contextualSpacing/>
        <w:rPr>
          <w:rFonts w:ascii="Times New Roman" w:hAnsi="Times New Roman" w:cs="Times New Roman"/>
          <w:sz w:val="24"/>
          <w:szCs w:val="24"/>
        </w:rPr>
      </w:pPr>
      <w:r>
        <w:rPr>
          <w:rFonts w:ascii="Times New Roman" w:hAnsi="Times New Roman" w:cs="Times New Roman"/>
          <w:sz w:val="24"/>
          <w:szCs w:val="24"/>
        </w:rPr>
        <w:t>SANTOS, G. F</w:t>
      </w:r>
      <w:r w:rsidRPr="00DB5965">
        <w:rPr>
          <w:rFonts w:ascii="Times New Roman" w:hAnsi="Times New Roman" w:cs="Times New Roman"/>
          <w:sz w:val="24"/>
          <w:szCs w:val="24"/>
        </w:rPr>
        <w:t>.</w:t>
      </w:r>
      <w:r>
        <w:rPr>
          <w:rFonts w:ascii="Times New Roman" w:hAnsi="Times New Roman" w:cs="Times New Roman"/>
          <w:sz w:val="24"/>
          <w:szCs w:val="24"/>
        </w:rPr>
        <w:t xml:space="preserve"> Política Energética e Desigualdades Regionais na Economia Brasileira. 2010. 180</w:t>
      </w:r>
      <w:r w:rsidR="00B32616">
        <w:rPr>
          <w:rFonts w:ascii="Times New Roman" w:hAnsi="Times New Roman" w:cs="Times New Roman"/>
          <w:sz w:val="24"/>
          <w:szCs w:val="24"/>
        </w:rPr>
        <w:t xml:space="preserve"> </w:t>
      </w:r>
      <w:r w:rsidRPr="00DB5965">
        <w:rPr>
          <w:rFonts w:ascii="Times New Roman" w:hAnsi="Times New Roman" w:cs="Times New Roman"/>
          <w:sz w:val="24"/>
          <w:szCs w:val="24"/>
        </w:rPr>
        <w:t>f. Tese (Doutorado em Economia) -</w:t>
      </w:r>
      <w:r>
        <w:rPr>
          <w:rFonts w:ascii="Times New Roman" w:hAnsi="Times New Roman" w:cs="Times New Roman"/>
          <w:sz w:val="24"/>
          <w:szCs w:val="24"/>
        </w:rPr>
        <w:t xml:space="preserve"> Faculdade de Economia, Administração e Contabilidade da</w:t>
      </w:r>
      <w:r w:rsidR="00B32616">
        <w:rPr>
          <w:rFonts w:ascii="Times New Roman" w:hAnsi="Times New Roman" w:cs="Times New Roman"/>
          <w:sz w:val="24"/>
          <w:szCs w:val="24"/>
        </w:rPr>
        <w:t xml:space="preserve"> </w:t>
      </w:r>
      <w:r>
        <w:rPr>
          <w:rFonts w:ascii="Times New Roman" w:hAnsi="Times New Roman" w:cs="Times New Roman"/>
          <w:sz w:val="24"/>
          <w:szCs w:val="24"/>
        </w:rPr>
        <w:t>Universidade</w:t>
      </w:r>
      <w:r w:rsidRPr="00DB5965">
        <w:rPr>
          <w:rFonts w:ascii="Times New Roman" w:hAnsi="Times New Roman" w:cs="Times New Roman"/>
          <w:sz w:val="24"/>
          <w:szCs w:val="24"/>
        </w:rPr>
        <w:t xml:space="preserve"> de</w:t>
      </w:r>
      <w:r>
        <w:rPr>
          <w:rFonts w:ascii="Times New Roman" w:hAnsi="Times New Roman" w:cs="Times New Roman"/>
          <w:sz w:val="24"/>
          <w:szCs w:val="24"/>
        </w:rPr>
        <w:t xml:space="preserve"> São Paulo.</w:t>
      </w:r>
      <w:r w:rsidRPr="00DB5965">
        <w:rPr>
          <w:rFonts w:ascii="Times New Roman" w:hAnsi="Times New Roman" w:cs="Times New Roman"/>
          <w:sz w:val="24"/>
          <w:szCs w:val="24"/>
        </w:rPr>
        <w:t xml:space="preserve"> </w:t>
      </w:r>
      <w:r>
        <w:rPr>
          <w:rFonts w:ascii="Times New Roman" w:hAnsi="Times New Roman" w:cs="Times New Roman"/>
          <w:sz w:val="24"/>
          <w:szCs w:val="24"/>
        </w:rPr>
        <w:t>Universidade de São Paulo, São Paulo</w:t>
      </w:r>
      <w:r w:rsidRPr="00DB5965">
        <w:rPr>
          <w:rFonts w:ascii="Times New Roman" w:hAnsi="Times New Roman" w:cs="Times New Roman"/>
          <w:sz w:val="24"/>
          <w:szCs w:val="24"/>
        </w:rPr>
        <w:t>.</w:t>
      </w:r>
    </w:p>
    <w:p w:rsidR="0094311E" w:rsidRDefault="0094311E" w:rsidP="008F1D90">
      <w:pPr>
        <w:spacing w:line="240" w:lineRule="auto"/>
        <w:contextualSpacing/>
        <w:rPr>
          <w:rFonts w:ascii="Times New Roman" w:hAnsi="Times New Roman" w:cs="Times New Roman"/>
          <w:sz w:val="24"/>
          <w:szCs w:val="24"/>
        </w:rPr>
      </w:pPr>
    </w:p>
    <w:p w:rsidR="0094311E" w:rsidRPr="00DB5965" w:rsidRDefault="0094311E" w:rsidP="008F1D90">
      <w:pPr>
        <w:spacing w:line="240" w:lineRule="auto"/>
        <w:contextualSpacing/>
        <w:rPr>
          <w:rFonts w:ascii="Times New Roman" w:hAnsi="Times New Roman" w:cs="Times New Roman"/>
          <w:sz w:val="24"/>
          <w:szCs w:val="24"/>
        </w:rPr>
      </w:pPr>
      <w:r w:rsidRPr="00DB5965">
        <w:rPr>
          <w:rFonts w:ascii="Times New Roman" w:hAnsi="Times New Roman" w:cs="Times New Roman"/>
          <w:sz w:val="24"/>
          <w:szCs w:val="24"/>
        </w:rPr>
        <w:t>SILVA, J. G. Impactos econômicos de políticas de mitigação das mudanças climáticas na economia</w:t>
      </w:r>
      <w:r w:rsidR="00B32616">
        <w:rPr>
          <w:rFonts w:ascii="Times New Roman" w:hAnsi="Times New Roman" w:cs="Times New Roman"/>
          <w:sz w:val="24"/>
          <w:szCs w:val="24"/>
        </w:rPr>
        <w:t xml:space="preserve"> </w:t>
      </w:r>
      <w:r w:rsidRPr="00DB5965">
        <w:rPr>
          <w:rFonts w:ascii="Times New Roman" w:hAnsi="Times New Roman" w:cs="Times New Roman"/>
          <w:sz w:val="24"/>
          <w:szCs w:val="24"/>
        </w:rPr>
        <w:t>brasileira: um estudo a partir de um modelo de equilíbrio geral computável. 2010. 128 f.</w:t>
      </w:r>
      <w:r w:rsidR="00B32616">
        <w:rPr>
          <w:rFonts w:ascii="Times New Roman" w:hAnsi="Times New Roman" w:cs="Times New Roman"/>
          <w:sz w:val="24"/>
          <w:szCs w:val="24"/>
        </w:rPr>
        <w:t xml:space="preserve"> </w:t>
      </w:r>
      <w:r w:rsidRPr="00DB5965">
        <w:rPr>
          <w:rFonts w:ascii="Times New Roman" w:hAnsi="Times New Roman" w:cs="Times New Roman"/>
          <w:sz w:val="24"/>
          <w:szCs w:val="24"/>
        </w:rPr>
        <w:t>Dissertação (Mestrado em Economia) - Faculdade de Economia, Administração e Contabilidade de</w:t>
      </w:r>
      <w:r w:rsidR="00B32616">
        <w:rPr>
          <w:rFonts w:ascii="Times New Roman" w:hAnsi="Times New Roman" w:cs="Times New Roman"/>
          <w:sz w:val="24"/>
          <w:szCs w:val="24"/>
        </w:rPr>
        <w:t xml:space="preserve"> </w:t>
      </w:r>
      <w:r w:rsidRPr="00DB5965">
        <w:rPr>
          <w:rFonts w:ascii="Times New Roman" w:hAnsi="Times New Roman" w:cs="Times New Roman"/>
          <w:sz w:val="24"/>
          <w:szCs w:val="24"/>
        </w:rPr>
        <w:t>Ribeirão Preto. Universidade de São Paulo, Ribeirão Preto.</w:t>
      </w:r>
    </w:p>
    <w:p w:rsidR="0094311E" w:rsidRPr="00331C23" w:rsidRDefault="0094311E" w:rsidP="002A0861">
      <w:pPr>
        <w:autoSpaceDE w:val="0"/>
        <w:autoSpaceDN w:val="0"/>
        <w:adjustRightInd w:val="0"/>
        <w:spacing w:after="0" w:line="240" w:lineRule="auto"/>
        <w:contextualSpacing/>
        <w:rPr>
          <w:rFonts w:ascii="Times New Roman" w:hAnsi="Times New Roman" w:cs="Times New Roman"/>
          <w:sz w:val="24"/>
          <w:szCs w:val="24"/>
          <w:lang w:val="en-US"/>
        </w:rPr>
      </w:pPr>
      <w:r w:rsidRPr="00DB5965">
        <w:rPr>
          <w:rFonts w:ascii="Times New Roman" w:hAnsi="Times New Roman" w:cs="Times New Roman"/>
          <w:sz w:val="24"/>
          <w:szCs w:val="24"/>
        </w:rPr>
        <w:lastRenderedPageBreak/>
        <w:t>SILVA, J. G; GURGEL, A. C. Impactos econômicos de cenários de políticas climáticas para o</w:t>
      </w:r>
      <w:r w:rsidR="00B32616">
        <w:rPr>
          <w:rFonts w:ascii="Times New Roman" w:hAnsi="Times New Roman" w:cs="Times New Roman"/>
          <w:sz w:val="24"/>
          <w:szCs w:val="24"/>
        </w:rPr>
        <w:t xml:space="preserve"> </w:t>
      </w:r>
      <w:r w:rsidRPr="00DB5965">
        <w:rPr>
          <w:rFonts w:ascii="Times New Roman" w:hAnsi="Times New Roman" w:cs="Times New Roman"/>
          <w:sz w:val="24"/>
          <w:szCs w:val="24"/>
        </w:rPr>
        <w:t>Brasil</w:t>
      </w:r>
      <w:r w:rsidRPr="00DB5965">
        <w:rPr>
          <w:rFonts w:ascii="Times New Roman" w:hAnsi="Times New Roman" w:cs="Times New Roman"/>
          <w:b/>
          <w:bCs/>
          <w:sz w:val="24"/>
          <w:szCs w:val="24"/>
        </w:rPr>
        <w:t xml:space="preserve">. </w:t>
      </w:r>
      <w:proofErr w:type="spellStart"/>
      <w:r w:rsidRPr="00331C23">
        <w:rPr>
          <w:rFonts w:ascii="Times New Roman" w:hAnsi="Times New Roman" w:cs="Times New Roman"/>
          <w:b/>
          <w:bCs/>
          <w:sz w:val="24"/>
          <w:szCs w:val="24"/>
          <w:lang w:val="en-US"/>
        </w:rPr>
        <w:t>Pesquisa</w:t>
      </w:r>
      <w:proofErr w:type="spellEnd"/>
      <w:r w:rsidRPr="00331C23">
        <w:rPr>
          <w:rFonts w:ascii="Times New Roman" w:hAnsi="Times New Roman" w:cs="Times New Roman"/>
          <w:b/>
          <w:bCs/>
          <w:sz w:val="24"/>
          <w:szCs w:val="24"/>
          <w:lang w:val="en-US"/>
        </w:rPr>
        <w:t xml:space="preserve"> e </w:t>
      </w:r>
      <w:proofErr w:type="spellStart"/>
      <w:r w:rsidRPr="00331C23">
        <w:rPr>
          <w:rFonts w:ascii="Times New Roman" w:hAnsi="Times New Roman" w:cs="Times New Roman"/>
          <w:b/>
          <w:bCs/>
          <w:sz w:val="24"/>
          <w:szCs w:val="24"/>
          <w:lang w:val="en-US"/>
        </w:rPr>
        <w:t>Planejamento</w:t>
      </w:r>
      <w:proofErr w:type="spellEnd"/>
      <w:r w:rsidRPr="00331C23">
        <w:rPr>
          <w:rFonts w:ascii="Times New Roman" w:hAnsi="Times New Roman" w:cs="Times New Roman"/>
          <w:b/>
          <w:bCs/>
          <w:sz w:val="24"/>
          <w:szCs w:val="24"/>
          <w:lang w:val="en-US"/>
        </w:rPr>
        <w:t xml:space="preserve"> </w:t>
      </w:r>
      <w:proofErr w:type="spellStart"/>
      <w:r w:rsidRPr="00331C23">
        <w:rPr>
          <w:rFonts w:ascii="Times New Roman" w:hAnsi="Times New Roman" w:cs="Times New Roman"/>
          <w:b/>
          <w:bCs/>
          <w:sz w:val="24"/>
          <w:szCs w:val="24"/>
          <w:lang w:val="en-US"/>
        </w:rPr>
        <w:t>Econômico</w:t>
      </w:r>
      <w:proofErr w:type="spellEnd"/>
      <w:r w:rsidRPr="00331C23">
        <w:rPr>
          <w:rFonts w:ascii="Times New Roman" w:hAnsi="Times New Roman" w:cs="Times New Roman"/>
          <w:sz w:val="24"/>
          <w:szCs w:val="24"/>
          <w:lang w:val="en-US"/>
        </w:rPr>
        <w:t xml:space="preserve">, v. 42, n. 1, 2012. </w:t>
      </w:r>
    </w:p>
    <w:p w:rsidR="0094311E" w:rsidRDefault="0094311E" w:rsidP="003379C5">
      <w:pPr>
        <w:spacing w:after="0" w:line="240" w:lineRule="auto"/>
        <w:contextualSpacing/>
        <w:rPr>
          <w:rFonts w:ascii="Times New Roman" w:hAnsi="Times New Roman" w:cs="Times New Roman"/>
          <w:sz w:val="24"/>
          <w:szCs w:val="24"/>
          <w:lang w:val="en-US"/>
        </w:rPr>
      </w:pPr>
    </w:p>
    <w:p w:rsidR="0094311E" w:rsidRPr="003379C5" w:rsidRDefault="0094311E" w:rsidP="003379C5">
      <w:pPr>
        <w:spacing w:after="0" w:line="240" w:lineRule="auto"/>
        <w:contextualSpacing/>
        <w:rPr>
          <w:rFonts w:ascii="Times New Roman" w:hAnsi="Times New Roman" w:cs="Times New Roman"/>
          <w:sz w:val="24"/>
          <w:szCs w:val="24"/>
        </w:rPr>
      </w:pPr>
      <w:r w:rsidRPr="003379C5">
        <w:rPr>
          <w:rFonts w:ascii="Times New Roman" w:hAnsi="Times New Roman" w:cs="Times New Roman"/>
          <w:sz w:val="24"/>
          <w:szCs w:val="24"/>
          <w:lang w:val="en-US"/>
        </w:rPr>
        <w:t xml:space="preserve">STERN, N. </w:t>
      </w:r>
      <w:r w:rsidRPr="003379C5">
        <w:rPr>
          <w:rFonts w:ascii="Times New Roman" w:hAnsi="Times New Roman" w:cs="Times New Roman"/>
          <w:b/>
          <w:bCs/>
          <w:sz w:val="24"/>
          <w:szCs w:val="24"/>
          <w:lang w:val="en-US"/>
        </w:rPr>
        <w:t>The Economics of Climate Change – the Stern Review</w:t>
      </w:r>
      <w:r w:rsidRPr="003379C5">
        <w:rPr>
          <w:rFonts w:ascii="Times New Roman" w:hAnsi="Times New Roman" w:cs="Times New Roman"/>
          <w:sz w:val="24"/>
          <w:szCs w:val="24"/>
          <w:lang w:val="en-US"/>
        </w:rPr>
        <w:t xml:space="preserve">. </w:t>
      </w:r>
      <w:r w:rsidRPr="003379C5">
        <w:rPr>
          <w:rFonts w:ascii="Times New Roman" w:hAnsi="Times New Roman" w:cs="Times New Roman"/>
          <w:sz w:val="24"/>
          <w:szCs w:val="24"/>
        </w:rPr>
        <w:t>Cambridge:</w:t>
      </w:r>
      <w:r>
        <w:rPr>
          <w:rFonts w:ascii="Times New Roman" w:hAnsi="Times New Roman" w:cs="Times New Roman"/>
          <w:sz w:val="24"/>
          <w:szCs w:val="24"/>
        </w:rPr>
        <w:t xml:space="preserve"> </w:t>
      </w:r>
      <w:r w:rsidRPr="003379C5">
        <w:rPr>
          <w:rFonts w:ascii="Times New Roman" w:hAnsi="Times New Roman" w:cs="Times New Roman"/>
          <w:sz w:val="24"/>
          <w:szCs w:val="24"/>
        </w:rPr>
        <w:t>C</w:t>
      </w:r>
      <w:r w:rsidR="00B32616">
        <w:rPr>
          <w:rFonts w:ascii="Times New Roman" w:hAnsi="Times New Roman" w:cs="Times New Roman"/>
          <w:sz w:val="24"/>
          <w:szCs w:val="24"/>
        </w:rPr>
        <w:t xml:space="preserve">ambridge </w:t>
      </w:r>
      <w:proofErr w:type="spellStart"/>
      <w:r w:rsidRPr="003379C5">
        <w:rPr>
          <w:rFonts w:ascii="Times New Roman" w:hAnsi="Times New Roman" w:cs="Times New Roman"/>
          <w:sz w:val="24"/>
          <w:szCs w:val="24"/>
        </w:rPr>
        <w:t>University</w:t>
      </w:r>
      <w:proofErr w:type="spellEnd"/>
      <w:r w:rsidRPr="003379C5">
        <w:rPr>
          <w:rFonts w:ascii="Times New Roman" w:hAnsi="Times New Roman" w:cs="Times New Roman"/>
          <w:sz w:val="24"/>
          <w:szCs w:val="24"/>
        </w:rPr>
        <w:t xml:space="preserve"> Press. 2007.</w:t>
      </w:r>
    </w:p>
    <w:p w:rsidR="0094311E" w:rsidRDefault="0094311E" w:rsidP="008F1D90">
      <w:pPr>
        <w:autoSpaceDE w:val="0"/>
        <w:autoSpaceDN w:val="0"/>
        <w:adjustRightInd w:val="0"/>
        <w:spacing w:after="0" w:line="240" w:lineRule="auto"/>
        <w:contextualSpacing/>
        <w:rPr>
          <w:rFonts w:ascii="Times New Roman" w:hAnsi="Times New Roman" w:cs="Times New Roman"/>
          <w:color w:val="000000"/>
          <w:sz w:val="24"/>
          <w:szCs w:val="24"/>
        </w:rPr>
      </w:pPr>
    </w:p>
    <w:p w:rsidR="0094311E" w:rsidRPr="00DB5965" w:rsidRDefault="0094311E" w:rsidP="008F1D90">
      <w:pPr>
        <w:autoSpaceDE w:val="0"/>
        <w:autoSpaceDN w:val="0"/>
        <w:adjustRightInd w:val="0"/>
        <w:spacing w:after="0" w:line="240" w:lineRule="auto"/>
        <w:contextualSpacing/>
        <w:rPr>
          <w:rFonts w:ascii="Times New Roman" w:hAnsi="Times New Roman" w:cs="Times New Roman"/>
          <w:color w:val="000000"/>
          <w:sz w:val="24"/>
          <w:szCs w:val="24"/>
        </w:rPr>
      </w:pPr>
      <w:r w:rsidRPr="00DB5965">
        <w:rPr>
          <w:rFonts w:ascii="Times New Roman" w:hAnsi="Times New Roman" w:cs="Times New Roman"/>
          <w:color w:val="000000"/>
          <w:sz w:val="24"/>
          <w:szCs w:val="24"/>
        </w:rPr>
        <w:t xml:space="preserve">TOURINHO, O. A. F.; DA MOTTA, R. S.; ALVES, Y. L. B. </w:t>
      </w:r>
      <w:r w:rsidRPr="00DB5965">
        <w:rPr>
          <w:rFonts w:ascii="Times New Roman" w:hAnsi="Times New Roman" w:cs="Times New Roman"/>
          <w:b/>
          <w:bCs/>
          <w:color w:val="000000"/>
          <w:sz w:val="24"/>
          <w:szCs w:val="24"/>
        </w:rPr>
        <w:t>Uma aplicação ambiental de um</w:t>
      </w:r>
      <w:r w:rsidR="00B32616">
        <w:rPr>
          <w:rFonts w:ascii="Times New Roman" w:hAnsi="Times New Roman" w:cs="Times New Roman"/>
          <w:b/>
          <w:bCs/>
          <w:color w:val="000000"/>
          <w:sz w:val="24"/>
          <w:szCs w:val="24"/>
        </w:rPr>
        <w:t xml:space="preserve"> </w:t>
      </w:r>
      <w:r w:rsidRPr="00DB5965">
        <w:rPr>
          <w:rFonts w:ascii="Times New Roman" w:hAnsi="Times New Roman" w:cs="Times New Roman"/>
          <w:b/>
          <w:bCs/>
          <w:color w:val="000000"/>
          <w:sz w:val="24"/>
          <w:szCs w:val="24"/>
        </w:rPr>
        <w:t xml:space="preserve">modelo de </w:t>
      </w:r>
      <w:proofErr w:type="spellStart"/>
      <w:r w:rsidRPr="00DB5965">
        <w:rPr>
          <w:rFonts w:ascii="Times New Roman" w:hAnsi="Times New Roman" w:cs="Times New Roman"/>
          <w:b/>
          <w:bCs/>
          <w:color w:val="000000"/>
          <w:sz w:val="24"/>
          <w:szCs w:val="24"/>
        </w:rPr>
        <w:t>equílibrio</w:t>
      </w:r>
      <w:proofErr w:type="spellEnd"/>
      <w:r w:rsidRPr="00DB5965">
        <w:rPr>
          <w:rFonts w:ascii="Times New Roman" w:hAnsi="Times New Roman" w:cs="Times New Roman"/>
          <w:b/>
          <w:bCs/>
          <w:color w:val="000000"/>
          <w:sz w:val="24"/>
          <w:szCs w:val="24"/>
        </w:rPr>
        <w:t xml:space="preserve"> geral. </w:t>
      </w:r>
      <w:r w:rsidRPr="00DB5965">
        <w:rPr>
          <w:rFonts w:ascii="Times New Roman" w:hAnsi="Times New Roman" w:cs="Times New Roman"/>
          <w:color w:val="000000"/>
          <w:sz w:val="24"/>
          <w:szCs w:val="24"/>
        </w:rPr>
        <w:t xml:space="preserve">Rio de Janeiro: IPEA, 2003. Texto para discussão n. 976. </w:t>
      </w:r>
    </w:p>
    <w:p w:rsidR="0094311E" w:rsidRPr="00DB5965" w:rsidRDefault="0094311E" w:rsidP="008F1D90">
      <w:pPr>
        <w:spacing w:after="0" w:line="240" w:lineRule="auto"/>
        <w:contextualSpacing/>
        <w:rPr>
          <w:rFonts w:ascii="Times New Roman" w:hAnsi="Times New Roman" w:cs="Times New Roman"/>
          <w:sz w:val="24"/>
          <w:szCs w:val="24"/>
        </w:rPr>
      </w:pPr>
    </w:p>
    <w:p w:rsidR="0094311E" w:rsidRPr="00DB5965" w:rsidRDefault="0094311E" w:rsidP="008F1D90">
      <w:pPr>
        <w:spacing w:after="0" w:line="240" w:lineRule="auto"/>
        <w:contextualSpacing/>
        <w:rPr>
          <w:rFonts w:ascii="Times New Roman" w:hAnsi="Times New Roman" w:cs="Times New Roman"/>
          <w:sz w:val="24"/>
          <w:szCs w:val="24"/>
          <w:lang w:val="en-US"/>
        </w:rPr>
      </w:pPr>
      <w:r w:rsidRPr="00DB5965">
        <w:rPr>
          <w:rFonts w:ascii="Times New Roman" w:hAnsi="Times New Roman" w:cs="Times New Roman"/>
          <w:sz w:val="24"/>
          <w:szCs w:val="24"/>
        </w:rPr>
        <w:t xml:space="preserve">UNFCC, 2015. </w:t>
      </w:r>
      <w:proofErr w:type="spellStart"/>
      <w:r w:rsidRPr="00DB5965">
        <w:rPr>
          <w:rFonts w:ascii="Times New Roman" w:hAnsi="Times New Roman" w:cs="Times New Roman"/>
          <w:sz w:val="24"/>
          <w:szCs w:val="24"/>
        </w:rPr>
        <w:t>Intended</w:t>
      </w:r>
      <w:proofErr w:type="spellEnd"/>
      <w:r w:rsidRPr="00DB5965">
        <w:rPr>
          <w:rFonts w:ascii="Times New Roman" w:hAnsi="Times New Roman" w:cs="Times New Roman"/>
          <w:sz w:val="24"/>
          <w:szCs w:val="24"/>
        </w:rPr>
        <w:t xml:space="preserve"> </w:t>
      </w:r>
      <w:proofErr w:type="spellStart"/>
      <w:r w:rsidRPr="00DB5965">
        <w:rPr>
          <w:rFonts w:ascii="Times New Roman" w:hAnsi="Times New Roman" w:cs="Times New Roman"/>
          <w:sz w:val="24"/>
          <w:szCs w:val="24"/>
        </w:rPr>
        <w:t>Nationally</w:t>
      </w:r>
      <w:proofErr w:type="spellEnd"/>
      <w:r w:rsidRPr="00DB5965">
        <w:rPr>
          <w:rFonts w:ascii="Times New Roman" w:hAnsi="Times New Roman" w:cs="Times New Roman"/>
          <w:sz w:val="24"/>
          <w:szCs w:val="24"/>
        </w:rPr>
        <w:t xml:space="preserve"> </w:t>
      </w:r>
      <w:proofErr w:type="spellStart"/>
      <w:r w:rsidRPr="00DB5965">
        <w:rPr>
          <w:rFonts w:ascii="Times New Roman" w:hAnsi="Times New Roman" w:cs="Times New Roman"/>
          <w:sz w:val="24"/>
          <w:szCs w:val="24"/>
        </w:rPr>
        <w:t>Determined</w:t>
      </w:r>
      <w:proofErr w:type="spellEnd"/>
      <w:r w:rsidRPr="00DB5965">
        <w:rPr>
          <w:rFonts w:ascii="Times New Roman" w:hAnsi="Times New Roman" w:cs="Times New Roman"/>
          <w:sz w:val="24"/>
          <w:szCs w:val="24"/>
        </w:rPr>
        <w:t xml:space="preserve"> </w:t>
      </w:r>
      <w:proofErr w:type="spellStart"/>
      <w:r w:rsidRPr="00DB5965">
        <w:rPr>
          <w:rFonts w:ascii="Times New Roman" w:hAnsi="Times New Roman" w:cs="Times New Roman"/>
          <w:sz w:val="24"/>
          <w:szCs w:val="24"/>
        </w:rPr>
        <w:t>Contribu</w:t>
      </w:r>
      <w:r w:rsidR="00B32616">
        <w:rPr>
          <w:rFonts w:ascii="Times New Roman" w:hAnsi="Times New Roman" w:cs="Times New Roman"/>
          <w:sz w:val="24"/>
          <w:szCs w:val="24"/>
        </w:rPr>
        <w:t>tions</w:t>
      </w:r>
      <w:proofErr w:type="spellEnd"/>
      <w:r w:rsidR="00B32616">
        <w:rPr>
          <w:rFonts w:ascii="Times New Roman" w:hAnsi="Times New Roman" w:cs="Times New Roman"/>
          <w:sz w:val="24"/>
          <w:szCs w:val="24"/>
        </w:rPr>
        <w:t xml:space="preserve"> (</w:t>
      </w:r>
      <w:proofErr w:type="spellStart"/>
      <w:r w:rsidR="00B32616">
        <w:rPr>
          <w:rFonts w:ascii="Times New Roman" w:hAnsi="Times New Roman" w:cs="Times New Roman"/>
          <w:sz w:val="24"/>
          <w:szCs w:val="24"/>
        </w:rPr>
        <w:t>INDCs</w:t>
      </w:r>
      <w:proofErr w:type="spellEnd"/>
      <w:r w:rsidR="00B32616">
        <w:rPr>
          <w:rFonts w:ascii="Times New Roman" w:hAnsi="Times New Roman" w:cs="Times New Roman"/>
          <w:sz w:val="24"/>
          <w:szCs w:val="24"/>
        </w:rPr>
        <w:t xml:space="preserve">). Disponível em: </w:t>
      </w:r>
      <w:hyperlink r:id="rId19" w:history="1">
        <w:r w:rsidR="00B32616" w:rsidRPr="007A6A75">
          <w:rPr>
            <w:rStyle w:val="Hyperlink"/>
            <w:rFonts w:ascii="Times New Roman" w:hAnsi="Times New Roman" w:cs="Times New Roman"/>
            <w:sz w:val="24"/>
            <w:szCs w:val="24"/>
          </w:rPr>
          <w:t>&lt;http://unfccc.int/files/adaptation/application/pdf/all__parties_indc.pdf&gt;</w:t>
        </w:r>
      </w:hyperlink>
      <w:r w:rsidRPr="00DB5965">
        <w:rPr>
          <w:rStyle w:val="Hyperlink"/>
          <w:rFonts w:ascii="Times New Roman" w:hAnsi="Times New Roman" w:cs="Times New Roman"/>
          <w:sz w:val="24"/>
          <w:szCs w:val="24"/>
          <w:u w:val="none"/>
        </w:rPr>
        <w:t xml:space="preserve">. </w:t>
      </w:r>
      <w:proofErr w:type="spellStart"/>
      <w:r w:rsidRPr="00DB5965">
        <w:rPr>
          <w:rFonts w:ascii="Times New Roman" w:hAnsi="Times New Roman" w:cs="Times New Roman"/>
          <w:sz w:val="24"/>
          <w:szCs w:val="24"/>
          <w:lang w:val="en-US"/>
        </w:rPr>
        <w:t>Acesso</w:t>
      </w:r>
      <w:proofErr w:type="spellEnd"/>
      <w:r w:rsidRPr="00DB5965">
        <w:rPr>
          <w:rFonts w:ascii="Times New Roman" w:hAnsi="Times New Roman" w:cs="Times New Roman"/>
          <w:sz w:val="24"/>
          <w:szCs w:val="24"/>
          <w:lang w:val="en-US"/>
        </w:rPr>
        <w:t xml:space="preserve"> </w:t>
      </w:r>
      <w:proofErr w:type="spellStart"/>
      <w:r w:rsidRPr="00DB5965">
        <w:rPr>
          <w:rFonts w:ascii="Times New Roman" w:hAnsi="Times New Roman" w:cs="Times New Roman"/>
          <w:sz w:val="24"/>
          <w:szCs w:val="24"/>
          <w:lang w:val="en-US"/>
        </w:rPr>
        <w:t>em</w:t>
      </w:r>
      <w:proofErr w:type="spellEnd"/>
      <w:r w:rsidRPr="00DB5965">
        <w:rPr>
          <w:rFonts w:ascii="Times New Roman" w:hAnsi="Times New Roman" w:cs="Times New Roman"/>
          <w:sz w:val="24"/>
          <w:szCs w:val="24"/>
          <w:lang w:val="en-US"/>
        </w:rPr>
        <w:t xml:space="preserve"> 29 de </w:t>
      </w:r>
      <w:proofErr w:type="spellStart"/>
      <w:r w:rsidRPr="00DB5965">
        <w:rPr>
          <w:rFonts w:ascii="Times New Roman" w:hAnsi="Times New Roman" w:cs="Times New Roman"/>
          <w:sz w:val="24"/>
          <w:szCs w:val="24"/>
          <w:lang w:val="en-US"/>
        </w:rPr>
        <w:t>outubro</w:t>
      </w:r>
      <w:proofErr w:type="spellEnd"/>
      <w:r w:rsidRPr="00DB5965">
        <w:rPr>
          <w:rFonts w:ascii="Times New Roman" w:hAnsi="Times New Roman" w:cs="Times New Roman"/>
          <w:sz w:val="24"/>
          <w:szCs w:val="24"/>
          <w:lang w:val="en-US"/>
        </w:rPr>
        <w:t xml:space="preserve"> de 2015.</w:t>
      </w:r>
    </w:p>
    <w:p w:rsidR="0094311E" w:rsidRPr="00DB5965" w:rsidRDefault="0094311E" w:rsidP="008F1D90">
      <w:pPr>
        <w:spacing w:after="0" w:line="240" w:lineRule="auto"/>
        <w:contextualSpacing/>
        <w:rPr>
          <w:rFonts w:ascii="Times New Roman" w:hAnsi="Times New Roman" w:cs="Times New Roman"/>
          <w:sz w:val="24"/>
          <w:szCs w:val="24"/>
          <w:lang w:val="en-US"/>
        </w:rPr>
      </w:pPr>
    </w:p>
    <w:p w:rsidR="0094311E" w:rsidRPr="00DB5965" w:rsidRDefault="0094311E" w:rsidP="008F1D90">
      <w:pPr>
        <w:autoSpaceDE w:val="0"/>
        <w:autoSpaceDN w:val="0"/>
        <w:adjustRightInd w:val="0"/>
        <w:spacing w:after="0" w:line="240" w:lineRule="auto"/>
        <w:contextualSpacing/>
        <w:rPr>
          <w:rFonts w:ascii="Times New Roman" w:hAnsi="Times New Roman" w:cs="Times New Roman"/>
          <w:sz w:val="24"/>
          <w:szCs w:val="24"/>
          <w:lang w:val="en-US"/>
        </w:rPr>
      </w:pPr>
      <w:r w:rsidRPr="00DB5965">
        <w:rPr>
          <w:rFonts w:ascii="Times New Roman" w:hAnsi="Times New Roman" w:cs="Times New Roman"/>
          <w:sz w:val="24"/>
          <w:szCs w:val="24"/>
          <w:lang w:val="en-US"/>
        </w:rPr>
        <w:t xml:space="preserve">WING I. S. </w:t>
      </w:r>
      <w:r w:rsidRPr="00DB5965">
        <w:rPr>
          <w:rFonts w:ascii="Times New Roman" w:hAnsi="Times New Roman" w:cs="Times New Roman"/>
          <w:b/>
          <w:bCs/>
          <w:sz w:val="24"/>
          <w:szCs w:val="24"/>
          <w:lang w:val="en-US"/>
        </w:rPr>
        <w:t xml:space="preserve">Computable General Equilibrium Models and Their Use in Economy- </w:t>
      </w:r>
      <w:proofErr w:type="spellStart"/>
      <w:r w:rsidRPr="00DB5965">
        <w:rPr>
          <w:rFonts w:ascii="Times New Roman" w:hAnsi="Times New Roman" w:cs="Times New Roman"/>
          <w:b/>
          <w:bCs/>
          <w:sz w:val="24"/>
          <w:szCs w:val="24"/>
          <w:lang w:val="en-US"/>
        </w:rPr>
        <w:t>WidePolicy</w:t>
      </w:r>
      <w:proofErr w:type="spellEnd"/>
      <w:r w:rsidRPr="00DB5965">
        <w:rPr>
          <w:rFonts w:ascii="Times New Roman" w:hAnsi="Times New Roman" w:cs="Times New Roman"/>
          <w:b/>
          <w:bCs/>
          <w:sz w:val="24"/>
          <w:szCs w:val="24"/>
          <w:lang w:val="en-US"/>
        </w:rPr>
        <w:t xml:space="preserve"> Analysis</w:t>
      </w:r>
      <w:r w:rsidRPr="00DB5965">
        <w:rPr>
          <w:rFonts w:ascii="Times New Roman" w:hAnsi="Times New Roman" w:cs="Times New Roman"/>
          <w:sz w:val="24"/>
          <w:szCs w:val="24"/>
          <w:lang w:val="en-US"/>
        </w:rPr>
        <w:t>. The MIT Joint Program on the Science and Policy of Global Change, Technical note N 6, 2004.</w:t>
      </w:r>
    </w:p>
    <w:sectPr w:rsidR="0094311E" w:rsidRPr="00DB5965" w:rsidSect="00014D9A">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DED" w:rsidRDefault="00E77DED" w:rsidP="00A90930">
      <w:pPr>
        <w:spacing w:after="0" w:line="240" w:lineRule="auto"/>
      </w:pPr>
      <w:r>
        <w:separator/>
      </w:r>
    </w:p>
  </w:endnote>
  <w:endnote w:type="continuationSeparator" w:id="0">
    <w:p w:rsidR="00E77DED" w:rsidRDefault="00E77DED" w:rsidP="00A90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DED" w:rsidRDefault="00E77DED" w:rsidP="00A90930">
      <w:pPr>
        <w:spacing w:after="0" w:line="240" w:lineRule="auto"/>
      </w:pPr>
      <w:r>
        <w:separator/>
      </w:r>
    </w:p>
  </w:footnote>
  <w:footnote w:type="continuationSeparator" w:id="0">
    <w:p w:rsidR="00E77DED" w:rsidRDefault="00E77DED" w:rsidP="00A90930">
      <w:pPr>
        <w:spacing w:after="0" w:line="240" w:lineRule="auto"/>
      </w:pPr>
      <w:r>
        <w:continuationSeparator/>
      </w:r>
    </w:p>
  </w:footnote>
  <w:footnote w:id="1">
    <w:p w:rsidR="008B7A78" w:rsidRPr="008B7A78" w:rsidRDefault="008B7A78" w:rsidP="008B7A78">
      <w:pPr>
        <w:pStyle w:val="Textodenotaderodap"/>
        <w:jc w:val="both"/>
        <w:rPr>
          <w:rFonts w:ascii="Times New Roman" w:hAnsi="Times New Roman" w:cs="Times New Roman"/>
        </w:rPr>
      </w:pPr>
      <w:r w:rsidRPr="008B7A78">
        <w:rPr>
          <w:rStyle w:val="Refdenotaderodap"/>
          <w:rFonts w:ascii="Times New Roman" w:hAnsi="Times New Roman" w:cs="Times New Roman"/>
        </w:rPr>
        <w:footnoteRef/>
      </w:r>
      <w:r w:rsidRPr="008B7A78">
        <w:rPr>
          <w:rFonts w:ascii="Times New Roman" w:hAnsi="Times New Roman" w:cs="Times New Roman"/>
        </w:rPr>
        <w:t xml:space="preserve"> A meta voluntária estabelecida durante a COP15, realizada em Copenhague na Dinamarca, em 2009, consistia em uma redução relativa, ou seja, redução das emissões por unidade do PIB</w:t>
      </w:r>
      <w:r>
        <w:rPr>
          <w:rFonts w:ascii="Times New Roman" w:hAnsi="Times New Roman" w:cs="Times New Roman"/>
        </w:rPr>
        <w:t>.</w:t>
      </w:r>
    </w:p>
  </w:footnote>
  <w:footnote w:id="2">
    <w:p w:rsidR="00F3262C" w:rsidRPr="002729C8" w:rsidRDefault="00F3262C" w:rsidP="00076CE8">
      <w:pPr>
        <w:pStyle w:val="Textodenotaderodap"/>
        <w:jc w:val="both"/>
        <w:rPr>
          <w:rFonts w:ascii="Times New Roman" w:hAnsi="Times New Roman" w:cs="Times New Roman"/>
        </w:rPr>
      </w:pPr>
      <w:r w:rsidRPr="002729C8">
        <w:rPr>
          <w:rStyle w:val="Refdenotaderodap"/>
          <w:rFonts w:ascii="Times New Roman" w:hAnsi="Times New Roman" w:cs="Times New Roman"/>
        </w:rPr>
        <w:footnoteRef/>
      </w:r>
      <w:r w:rsidRPr="002729C8">
        <w:rPr>
          <w:rFonts w:ascii="Times New Roman" w:hAnsi="Times New Roman" w:cs="Times New Roman"/>
        </w:rPr>
        <w:t xml:space="preserve"> O método de valoração ambiental mais tradicional, denominado pesquisa de contingência, é baseado em</w:t>
      </w:r>
      <w:r>
        <w:rPr>
          <w:rFonts w:ascii="Times New Roman" w:hAnsi="Times New Roman" w:cs="Times New Roman"/>
        </w:rPr>
        <w:t xml:space="preserve"> </w:t>
      </w:r>
      <w:r w:rsidRPr="002729C8">
        <w:rPr>
          <w:rFonts w:ascii="Times New Roman" w:hAnsi="Times New Roman" w:cs="Times New Roman"/>
        </w:rPr>
        <w:t>questionários sobre o quanto as pessoas pagariam ou gostariam de receber, respectivamente, pela manutenção ou degradação de determinado capital natural. Tal método, todavia, sofre inúmeras críticas devido a resultados contraditórios. Para maiores deta</w:t>
      </w:r>
      <w:r>
        <w:rPr>
          <w:rFonts w:ascii="Times New Roman" w:hAnsi="Times New Roman" w:cs="Times New Roman"/>
        </w:rPr>
        <w:t xml:space="preserve">lhes no assunto, ver </w:t>
      </w:r>
      <w:proofErr w:type="spellStart"/>
      <w:r>
        <w:rPr>
          <w:rFonts w:ascii="Times New Roman" w:hAnsi="Times New Roman" w:cs="Times New Roman"/>
        </w:rPr>
        <w:t>Knetsch</w:t>
      </w:r>
      <w:proofErr w:type="spellEnd"/>
      <w:r>
        <w:rPr>
          <w:rFonts w:ascii="Times New Roman" w:hAnsi="Times New Roman" w:cs="Times New Roman"/>
        </w:rPr>
        <w:t xml:space="preserve"> &amp;</w:t>
      </w:r>
      <w:r w:rsidRPr="002729C8">
        <w:rPr>
          <w:rFonts w:ascii="Times New Roman" w:hAnsi="Times New Roman" w:cs="Times New Roman"/>
        </w:rPr>
        <w:t xml:space="preserve"> </w:t>
      </w:r>
      <w:proofErr w:type="spellStart"/>
      <w:r w:rsidRPr="002729C8">
        <w:rPr>
          <w:rFonts w:ascii="Times New Roman" w:hAnsi="Times New Roman" w:cs="Times New Roman"/>
        </w:rPr>
        <w:t>Sinden</w:t>
      </w:r>
      <w:proofErr w:type="spellEnd"/>
      <w:r w:rsidRPr="002729C8">
        <w:rPr>
          <w:rFonts w:ascii="Times New Roman" w:hAnsi="Times New Roman" w:cs="Times New Roman"/>
        </w:rPr>
        <w:t xml:space="preserve"> (1984).</w:t>
      </w:r>
    </w:p>
    <w:p w:rsidR="00F3262C" w:rsidRDefault="00F3262C" w:rsidP="002729C8">
      <w:pPr>
        <w:pStyle w:val="Textodenotaderodap"/>
      </w:pPr>
    </w:p>
  </w:footnote>
  <w:footnote w:id="3">
    <w:p w:rsidR="00F3262C" w:rsidRDefault="00F3262C" w:rsidP="00930C32">
      <w:pPr>
        <w:pStyle w:val="Textodenotaderodap"/>
      </w:pPr>
      <w:r w:rsidRPr="0051030D">
        <w:rPr>
          <w:rStyle w:val="Refdenotaderodap"/>
          <w:rFonts w:ascii="Times New Roman" w:hAnsi="Times New Roman" w:cs="Times New Roman"/>
        </w:rPr>
        <w:footnoteRef/>
      </w:r>
      <w:r w:rsidRPr="0051030D">
        <w:rPr>
          <w:rFonts w:ascii="Times New Roman" w:hAnsi="Times New Roman" w:cs="Times New Roman"/>
        </w:rPr>
        <w:t xml:space="preserve"> É assumida a hipótese de país pequeno, em que as exportações variam inversamente com os preços domésticos.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04028"/>
    <w:multiLevelType w:val="hybridMultilevel"/>
    <w:tmpl w:val="271A761C"/>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3673E3A"/>
    <w:multiLevelType w:val="hybridMultilevel"/>
    <w:tmpl w:val="E2706638"/>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3DD3653"/>
    <w:multiLevelType w:val="hybridMultilevel"/>
    <w:tmpl w:val="949C99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7E20DD9"/>
    <w:multiLevelType w:val="hybridMultilevel"/>
    <w:tmpl w:val="611253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06407"/>
    <w:rsid w:val="00002E66"/>
    <w:rsid w:val="00014D9A"/>
    <w:rsid w:val="00044D66"/>
    <w:rsid w:val="000611C7"/>
    <w:rsid w:val="00061BDC"/>
    <w:rsid w:val="00062BCB"/>
    <w:rsid w:val="00071F81"/>
    <w:rsid w:val="00076CE8"/>
    <w:rsid w:val="000829F7"/>
    <w:rsid w:val="00082A49"/>
    <w:rsid w:val="00091FB2"/>
    <w:rsid w:val="000A1EA2"/>
    <w:rsid w:val="000B65CD"/>
    <w:rsid w:val="000C297E"/>
    <w:rsid w:val="000D3D61"/>
    <w:rsid w:val="000E0868"/>
    <w:rsid w:val="000E7959"/>
    <w:rsid w:val="000E7CE6"/>
    <w:rsid w:val="000E7F6E"/>
    <w:rsid w:val="00125A20"/>
    <w:rsid w:val="00141798"/>
    <w:rsid w:val="00145546"/>
    <w:rsid w:val="00150BFD"/>
    <w:rsid w:val="00172316"/>
    <w:rsid w:val="00177EA0"/>
    <w:rsid w:val="00186B90"/>
    <w:rsid w:val="001878F3"/>
    <w:rsid w:val="00193F69"/>
    <w:rsid w:val="001A0653"/>
    <w:rsid w:val="001B41CA"/>
    <w:rsid w:val="001C1E38"/>
    <w:rsid w:val="001C250A"/>
    <w:rsid w:val="001C68D9"/>
    <w:rsid w:val="001C77A2"/>
    <w:rsid w:val="001D06CE"/>
    <w:rsid w:val="001D0C16"/>
    <w:rsid w:val="001D1017"/>
    <w:rsid w:val="001E2CEC"/>
    <w:rsid w:val="001E38BA"/>
    <w:rsid w:val="001E7339"/>
    <w:rsid w:val="001F117C"/>
    <w:rsid w:val="001F11CF"/>
    <w:rsid w:val="001F1ECA"/>
    <w:rsid w:val="00203976"/>
    <w:rsid w:val="00213ED4"/>
    <w:rsid w:val="0021484B"/>
    <w:rsid w:val="00217BB8"/>
    <w:rsid w:val="002242DB"/>
    <w:rsid w:val="00246728"/>
    <w:rsid w:val="00250F78"/>
    <w:rsid w:val="00252241"/>
    <w:rsid w:val="0025476C"/>
    <w:rsid w:val="002572AB"/>
    <w:rsid w:val="002603EA"/>
    <w:rsid w:val="00262BAA"/>
    <w:rsid w:val="002729C8"/>
    <w:rsid w:val="0027497C"/>
    <w:rsid w:val="00275585"/>
    <w:rsid w:val="002860DD"/>
    <w:rsid w:val="0028770D"/>
    <w:rsid w:val="002A0861"/>
    <w:rsid w:val="002A364C"/>
    <w:rsid w:val="002B494C"/>
    <w:rsid w:val="002B6F2C"/>
    <w:rsid w:val="002B7541"/>
    <w:rsid w:val="002C39D9"/>
    <w:rsid w:val="002C4A6E"/>
    <w:rsid w:val="002D155D"/>
    <w:rsid w:val="002D6AB1"/>
    <w:rsid w:val="002E4A9E"/>
    <w:rsid w:val="002E7767"/>
    <w:rsid w:val="002F1DF9"/>
    <w:rsid w:val="002F36C2"/>
    <w:rsid w:val="00306E1B"/>
    <w:rsid w:val="003119B3"/>
    <w:rsid w:val="00325D34"/>
    <w:rsid w:val="0033051E"/>
    <w:rsid w:val="00331C23"/>
    <w:rsid w:val="003379C5"/>
    <w:rsid w:val="00342126"/>
    <w:rsid w:val="003456D4"/>
    <w:rsid w:val="00364BA3"/>
    <w:rsid w:val="0036585E"/>
    <w:rsid w:val="003658B8"/>
    <w:rsid w:val="00377108"/>
    <w:rsid w:val="00387FC6"/>
    <w:rsid w:val="003909A3"/>
    <w:rsid w:val="00395A8F"/>
    <w:rsid w:val="003A2D23"/>
    <w:rsid w:val="003A74D0"/>
    <w:rsid w:val="003C0CEA"/>
    <w:rsid w:val="003C7D78"/>
    <w:rsid w:val="003D0E9E"/>
    <w:rsid w:val="003D1DC6"/>
    <w:rsid w:val="003D3B9B"/>
    <w:rsid w:val="003D426F"/>
    <w:rsid w:val="003E1B37"/>
    <w:rsid w:val="003E4BBE"/>
    <w:rsid w:val="003F1647"/>
    <w:rsid w:val="003F770A"/>
    <w:rsid w:val="00400C9F"/>
    <w:rsid w:val="00405D4D"/>
    <w:rsid w:val="004153C3"/>
    <w:rsid w:val="0042280C"/>
    <w:rsid w:val="00424C7E"/>
    <w:rsid w:val="00432596"/>
    <w:rsid w:val="0043405C"/>
    <w:rsid w:val="00435DE6"/>
    <w:rsid w:val="00436E37"/>
    <w:rsid w:val="00450393"/>
    <w:rsid w:val="00451158"/>
    <w:rsid w:val="00452968"/>
    <w:rsid w:val="0045297A"/>
    <w:rsid w:val="00452DEB"/>
    <w:rsid w:val="00455608"/>
    <w:rsid w:val="00463063"/>
    <w:rsid w:val="00466082"/>
    <w:rsid w:val="00470D3D"/>
    <w:rsid w:val="00475571"/>
    <w:rsid w:val="004803EE"/>
    <w:rsid w:val="00496103"/>
    <w:rsid w:val="004A2342"/>
    <w:rsid w:val="004A2583"/>
    <w:rsid w:val="004B2A35"/>
    <w:rsid w:val="004B2E13"/>
    <w:rsid w:val="004C0142"/>
    <w:rsid w:val="004D7D59"/>
    <w:rsid w:val="004E3174"/>
    <w:rsid w:val="004E6E17"/>
    <w:rsid w:val="004E6E6B"/>
    <w:rsid w:val="00503622"/>
    <w:rsid w:val="0051030D"/>
    <w:rsid w:val="00513298"/>
    <w:rsid w:val="0052344B"/>
    <w:rsid w:val="005271E8"/>
    <w:rsid w:val="0054723F"/>
    <w:rsid w:val="00552C69"/>
    <w:rsid w:val="00557D4A"/>
    <w:rsid w:val="00587F3F"/>
    <w:rsid w:val="00591AA2"/>
    <w:rsid w:val="00596D92"/>
    <w:rsid w:val="005A28BC"/>
    <w:rsid w:val="005A35E9"/>
    <w:rsid w:val="005A403C"/>
    <w:rsid w:val="005B00B8"/>
    <w:rsid w:val="005B3A88"/>
    <w:rsid w:val="005B5C29"/>
    <w:rsid w:val="005C0566"/>
    <w:rsid w:val="005C13D4"/>
    <w:rsid w:val="005C6678"/>
    <w:rsid w:val="005D4991"/>
    <w:rsid w:val="005D500D"/>
    <w:rsid w:val="005E18C9"/>
    <w:rsid w:val="00601FB7"/>
    <w:rsid w:val="00607E22"/>
    <w:rsid w:val="0061020C"/>
    <w:rsid w:val="00614408"/>
    <w:rsid w:val="00627707"/>
    <w:rsid w:val="00653BB2"/>
    <w:rsid w:val="00667C7D"/>
    <w:rsid w:val="00677C8C"/>
    <w:rsid w:val="006806D7"/>
    <w:rsid w:val="00683649"/>
    <w:rsid w:val="00685251"/>
    <w:rsid w:val="0069492B"/>
    <w:rsid w:val="0069566D"/>
    <w:rsid w:val="006B03BF"/>
    <w:rsid w:val="006B3745"/>
    <w:rsid w:val="006C742C"/>
    <w:rsid w:val="006D6FF6"/>
    <w:rsid w:val="006E7F03"/>
    <w:rsid w:val="006F0535"/>
    <w:rsid w:val="006F320D"/>
    <w:rsid w:val="007023BC"/>
    <w:rsid w:val="00707B98"/>
    <w:rsid w:val="0072027D"/>
    <w:rsid w:val="00730439"/>
    <w:rsid w:val="00750C39"/>
    <w:rsid w:val="00757545"/>
    <w:rsid w:val="00760457"/>
    <w:rsid w:val="0076410B"/>
    <w:rsid w:val="00764DE1"/>
    <w:rsid w:val="0077255F"/>
    <w:rsid w:val="007947FE"/>
    <w:rsid w:val="007A4493"/>
    <w:rsid w:val="007C2C4B"/>
    <w:rsid w:val="007D0228"/>
    <w:rsid w:val="007F2908"/>
    <w:rsid w:val="00803945"/>
    <w:rsid w:val="00803A04"/>
    <w:rsid w:val="00804099"/>
    <w:rsid w:val="00806407"/>
    <w:rsid w:val="008116C4"/>
    <w:rsid w:val="00820063"/>
    <w:rsid w:val="008210E5"/>
    <w:rsid w:val="008352A8"/>
    <w:rsid w:val="008439E1"/>
    <w:rsid w:val="00861AC8"/>
    <w:rsid w:val="00862F0B"/>
    <w:rsid w:val="00871250"/>
    <w:rsid w:val="00874F17"/>
    <w:rsid w:val="00882EF2"/>
    <w:rsid w:val="00891A02"/>
    <w:rsid w:val="0089290A"/>
    <w:rsid w:val="008A543E"/>
    <w:rsid w:val="008B237C"/>
    <w:rsid w:val="008B493C"/>
    <w:rsid w:val="008B7A78"/>
    <w:rsid w:val="008C1E7C"/>
    <w:rsid w:val="008D2A0F"/>
    <w:rsid w:val="008E778C"/>
    <w:rsid w:val="008E7B8F"/>
    <w:rsid w:val="008F0783"/>
    <w:rsid w:val="008F1D90"/>
    <w:rsid w:val="008F45F2"/>
    <w:rsid w:val="009020DA"/>
    <w:rsid w:val="00902D89"/>
    <w:rsid w:val="009046E8"/>
    <w:rsid w:val="009205E9"/>
    <w:rsid w:val="0092077F"/>
    <w:rsid w:val="00922998"/>
    <w:rsid w:val="00924E7E"/>
    <w:rsid w:val="00930C32"/>
    <w:rsid w:val="009358E6"/>
    <w:rsid w:val="00937B24"/>
    <w:rsid w:val="0094311E"/>
    <w:rsid w:val="00961275"/>
    <w:rsid w:val="00964279"/>
    <w:rsid w:val="009722AE"/>
    <w:rsid w:val="00977737"/>
    <w:rsid w:val="009813AD"/>
    <w:rsid w:val="0098186A"/>
    <w:rsid w:val="00993B47"/>
    <w:rsid w:val="009A4FEA"/>
    <w:rsid w:val="009B6972"/>
    <w:rsid w:val="009C2E89"/>
    <w:rsid w:val="009D2D1F"/>
    <w:rsid w:val="009D3372"/>
    <w:rsid w:val="009E312E"/>
    <w:rsid w:val="009E3B58"/>
    <w:rsid w:val="00A12D52"/>
    <w:rsid w:val="00A1567E"/>
    <w:rsid w:val="00A27778"/>
    <w:rsid w:val="00A542B5"/>
    <w:rsid w:val="00A560A8"/>
    <w:rsid w:val="00A56B77"/>
    <w:rsid w:val="00A61530"/>
    <w:rsid w:val="00A6390B"/>
    <w:rsid w:val="00A7191A"/>
    <w:rsid w:val="00A736EC"/>
    <w:rsid w:val="00A7432C"/>
    <w:rsid w:val="00A8237B"/>
    <w:rsid w:val="00A83783"/>
    <w:rsid w:val="00A86AE8"/>
    <w:rsid w:val="00A90930"/>
    <w:rsid w:val="00A9244D"/>
    <w:rsid w:val="00A96586"/>
    <w:rsid w:val="00AA4A1D"/>
    <w:rsid w:val="00AA4A34"/>
    <w:rsid w:val="00AA51C8"/>
    <w:rsid w:val="00AB34AD"/>
    <w:rsid w:val="00AD40DF"/>
    <w:rsid w:val="00AE47D4"/>
    <w:rsid w:val="00AF35AD"/>
    <w:rsid w:val="00B0244A"/>
    <w:rsid w:val="00B06831"/>
    <w:rsid w:val="00B13DB6"/>
    <w:rsid w:val="00B26AE9"/>
    <w:rsid w:val="00B32616"/>
    <w:rsid w:val="00B42383"/>
    <w:rsid w:val="00B502DA"/>
    <w:rsid w:val="00B530FA"/>
    <w:rsid w:val="00B56593"/>
    <w:rsid w:val="00B61E84"/>
    <w:rsid w:val="00B645C6"/>
    <w:rsid w:val="00B802B5"/>
    <w:rsid w:val="00B936EE"/>
    <w:rsid w:val="00B9611F"/>
    <w:rsid w:val="00BC173E"/>
    <w:rsid w:val="00BC5436"/>
    <w:rsid w:val="00BD1EEF"/>
    <w:rsid w:val="00BD1F5A"/>
    <w:rsid w:val="00BD208C"/>
    <w:rsid w:val="00BD632E"/>
    <w:rsid w:val="00BE5822"/>
    <w:rsid w:val="00BE73D1"/>
    <w:rsid w:val="00C10A29"/>
    <w:rsid w:val="00C11FDC"/>
    <w:rsid w:val="00C128DB"/>
    <w:rsid w:val="00C17B2D"/>
    <w:rsid w:val="00C20E76"/>
    <w:rsid w:val="00C25069"/>
    <w:rsid w:val="00C252F0"/>
    <w:rsid w:val="00C26595"/>
    <w:rsid w:val="00C26653"/>
    <w:rsid w:val="00C33824"/>
    <w:rsid w:val="00C34D2E"/>
    <w:rsid w:val="00C34F91"/>
    <w:rsid w:val="00C40C8E"/>
    <w:rsid w:val="00C5417E"/>
    <w:rsid w:val="00C55C08"/>
    <w:rsid w:val="00C56BEE"/>
    <w:rsid w:val="00C616AE"/>
    <w:rsid w:val="00C63FDD"/>
    <w:rsid w:val="00C650B7"/>
    <w:rsid w:val="00C6629D"/>
    <w:rsid w:val="00C74FB0"/>
    <w:rsid w:val="00C81C5B"/>
    <w:rsid w:val="00C842CE"/>
    <w:rsid w:val="00C8672B"/>
    <w:rsid w:val="00C9106C"/>
    <w:rsid w:val="00C94CB9"/>
    <w:rsid w:val="00C95F6A"/>
    <w:rsid w:val="00C9641D"/>
    <w:rsid w:val="00C96DD8"/>
    <w:rsid w:val="00CA29AF"/>
    <w:rsid w:val="00CA4DA4"/>
    <w:rsid w:val="00CB05C8"/>
    <w:rsid w:val="00CB4FAB"/>
    <w:rsid w:val="00CC5D29"/>
    <w:rsid w:val="00CD5803"/>
    <w:rsid w:val="00CD6270"/>
    <w:rsid w:val="00CE38FD"/>
    <w:rsid w:val="00CE7147"/>
    <w:rsid w:val="00D036D4"/>
    <w:rsid w:val="00D05228"/>
    <w:rsid w:val="00D05FF1"/>
    <w:rsid w:val="00D306D2"/>
    <w:rsid w:val="00D33C1A"/>
    <w:rsid w:val="00D3633B"/>
    <w:rsid w:val="00D449F4"/>
    <w:rsid w:val="00D54017"/>
    <w:rsid w:val="00D559ED"/>
    <w:rsid w:val="00D57000"/>
    <w:rsid w:val="00D601D9"/>
    <w:rsid w:val="00D616F7"/>
    <w:rsid w:val="00D67237"/>
    <w:rsid w:val="00D716D1"/>
    <w:rsid w:val="00D74258"/>
    <w:rsid w:val="00D76275"/>
    <w:rsid w:val="00D86EEE"/>
    <w:rsid w:val="00D92A11"/>
    <w:rsid w:val="00D93836"/>
    <w:rsid w:val="00D95238"/>
    <w:rsid w:val="00DA655A"/>
    <w:rsid w:val="00DA7995"/>
    <w:rsid w:val="00DB5929"/>
    <w:rsid w:val="00DB5965"/>
    <w:rsid w:val="00DB6FE2"/>
    <w:rsid w:val="00DC261E"/>
    <w:rsid w:val="00DC690F"/>
    <w:rsid w:val="00DC7499"/>
    <w:rsid w:val="00DD56DD"/>
    <w:rsid w:val="00DE5E43"/>
    <w:rsid w:val="00DF0D82"/>
    <w:rsid w:val="00DF463A"/>
    <w:rsid w:val="00DF7845"/>
    <w:rsid w:val="00E01F32"/>
    <w:rsid w:val="00E02501"/>
    <w:rsid w:val="00E168DC"/>
    <w:rsid w:val="00E20269"/>
    <w:rsid w:val="00E21016"/>
    <w:rsid w:val="00E233B7"/>
    <w:rsid w:val="00E25E3A"/>
    <w:rsid w:val="00E45CFA"/>
    <w:rsid w:val="00E46775"/>
    <w:rsid w:val="00E5147C"/>
    <w:rsid w:val="00E55ED2"/>
    <w:rsid w:val="00E56BC2"/>
    <w:rsid w:val="00E66F59"/>
    <w:rsid w:val="00E73003"/>
    <w:rsid w:val="00E77DED"/>
    <w:rsid w:val="00E86379"/>
    <w:rsid w:val="00E914B9"/>
    <w:rsid w:val="00E94313"/>
    <w:rsid w:val="00E95369"/>
    <w:rsid w:val="00E95798"/>
    <w:rsid w:val="00E964BE"/>
    <w:rsid w:val="00E974AC"/>
    <w:rsid w:val="00EA0055"/>
    <w:rsid w:val="00EB328E"/>
    <w:rsid w:val="00EB7C25"/>
    <w:rsid w:val="00EC5B6B"/>
    <w:rsid w:val="00ED164D"/>
    <w:rsid w:val="00ED61E3"/>
    <w:rsid w:val="00F04E35"/>
    <w:rsid w:val="00F11FFA"/>
    <w:rsid w:val="00F12331"/>
    <w:rsid w:val="00F224BE"/>
    <w:rsid w:val="00F2344D"/>
    <w:rsid w:val="00F24707"/>
    <w:rsid w:val="00F25311"/>
    <w:rsid w:val="00F31007"/>
    <w:rsid w:val="00F3262C"/>
    <w:rsid w:val="00F3291E"/>
    <w:rsid w:val="00F4357A"/>
    <w:rsid w:val="00F46582"/>
    <w:rsid w:val="00F66088"/>
    <w:rsid w:val="00F91B72"/>
    <w:rsid w:val="00F931C4"/>
    <w:rsid w:val="00F9381A"/>
    <w:rsid w:val="00F97322"/>
    <w:rsid w:val="00FA2911"/>
    <w:rsid w:val="00FB0D20"/>
    <w:rsid w:val="00FD7AEA"/>
    <w:rsid w:val="00FE4203"/>
    <w:rsid w:val="00FE53A5"/>
    <w:rsid w:val="00FF3C6E"/>
    <w:rsid w:val="00FF7A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13"/>
    <o:shapelayout v:ext="edit">
      <o:idmap v:ext="edit" data="1"/>
      <o:rules v:ext="edit">
        <o:r id="V:Rule1" type="connector" idref="#_x0000_s1026"/>
        <o:r id="V:Rule2" type="connector" idref="#_x0000_s1035"/>
        <o:r id="V:Rule3" type="connector" idref="#_x0000_s1030"/>
        <o:r id="V:Rule4" type="connector" idref="#_x0000_s1028"/>
        <o:r id="V:Rule5" type="connector" idref="#_x0000_s1037"/>
        <o:r id="V:Rule6" type="connector" idref="#_x0000_s1045"/>
        <o:r id="V:Rule7" type="connector" idref="#_x0000_s1032"/>
        <o:r id="V:Rule8" type="connector" idref="#_x0000_s1036"/>
        <o:r id="V:Rule9" type="connector" idref="#_x0000_s1092"/>
        <o:r id="V:Rule10" type="connector" idref="#_x0000_s1034"/>
        <o:r id="V:Rule11" type="connector" idref="#_x0000_s1033"/>
        <o:r id="V:Rule12" type="connector" idref="#_x0000_s1039"/>
        <o:r id="V:Rule13" type="connector" idref="#_x0000_s1064"/>
        <o:r id="V:Rule14" type="connector" idref="#_x0000_s1058"/>
        <o:r id="V:Rule15" type="connector" idref="#_x0000_s1038"/>
        <o:r id="V:Rule16" type="connector" idref="#_x0000_s1070"/>
        <o:r id="V:Rule17" type="connector" idref="#_x0000_s1047"/>
        <o:r id="V:Rule18" type="connector" idref="#_x0000_s1069"/>
        <o:r id="V:Rule19" type="connector" idref="#_x0000_s1061"/>
        <o:r id="V:Rule20" type="connector" idref="#_x0000_s1054"/>
        <o:r id="V:Rule21" type="connector" idref="#_x0000_s1063"/>
        <o:r id="V:Rule22" type="connector" idref="#_x0000_s1068"/>
        <o:r id="V:Rule23" type="connector" idref="#_x0000_s1062"/>
        <o:r id="V:Rule24" type="connector" idref="#_x0000_s1056"/>
        <o:r id="V:Rule25" type="connector" idref="#_x0000_s1043"/>
        <o:r id="V:Rule26" type="connector" idref="#_x0000_s1044"/>
        <o:r id="V:Rule27" type="connector" idref="#_x0000_s1057"/>
        <o:r id="V:Rule28" type="connector" idref="#_x0000_s1065"/>
        <o:r id="V:Rule29" type="connector" idref="#_x0000_s1046"/>
        <o:r id="V:Rule30" type="connector" idref="#_x0000_s1055"/>
        <o:r id="V:Rule31" type="connector" idref="#_x0000_s1051"/>
      </o:rules>
    </o:shapelayout>
  </w:shapeDefaults>
  <w:decimalSymbol w:val="."/>
  <w:listSeparator w:val=";"/>
  <w15:docId w15:val="{825E2F63-D6A1-4535-84D5-6FED9E80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241"/>
    <w:pPr>
      <w:spacing w:after="160" w:line="259" w:lineRule="auto"/>
    </w:pPr>
    <w:rPr>
      <w:rFonts w:cs="Calibri"/>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806407"/>
    <w:pPr>
      <w:ind w:left="720"/>
      <w:contextualSpacing/>
    </w:pPr>
  </w:style>
  <w:style w:type="paragraph" w:customStyle="1" w:styleId="Default">
    <w:name w:val="Default"/>
    <w:uiPriority w:val="99"/>
    <w:rsid w:val="004E6E6B"/>
    <w:pPr>
      <w:autoSpaceDE w:val="0"/>
      <w:autoSpaceDN w:val="0"/>
      <w:adjustRightInd w:val="0"/>
    </w:pPr>
    <w:rPr>
      <w:rFonts w:cs="Calibri"/>
      <w:color w:val="000000"/>
      <w:sz w:val="24"/>
      <w:szCs w:val="24"/>
      <w:lang w:eastAsia="en-US"/>
    </w:rPr>
  </w:style>
  <w:style w:type="paragraph" w:styleId="Cabealho">
    <w:name w:val="header"/>
    <w:basedOn w:val="Normal"/>
    <w:link w:val="CabealhoChar"/>
    <w:uiPriority w:val="99"/>
    <w:rsid w:val="00A9093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90930"/>
  </w:style>
  <w:style w:type="paragraph" w:styleId="Rodap">
    <w:name w:val="footer"/>
    <w:basedOn w:val="Normal"/>
    <w:link w:val="RodapChar"/>
    <w:uiPriority w:val="99"/>
    <w:rsid w:val="00A90930"/>
    <w:pPr>
      <w:tabs>
        <w:tab w:val="center" w:pos="4252"/>
        <w:tab w:val="right" w:pos="8504"/>
      </w:tabs>
      <w:spacing w:after="0" w:line="240" w:lineRule="auto"/>
    </w:pPr>
  </w:style>
  <w:style w:type="character" w:customStyle="1" w:styleId="RodapChar">
    <w:name w:val="Rodapé Char"/>
    <w:basedOn w:val="Fontepargpadro"/>
    <w:link w:val="Rodap"/>
    <w:uiPriority w:val="99"/>
    <w:rsid w:val="00A90930"/>
  </w:style>
  <w:style w:type="character" w:styleId="Forte">
    <w:name w:val="Strong"/>
    <w:uiPriority w:val="22"/>
    <w:qFormat/>
    <w:rsid w:val="00937B24"/>
    <w:rPr>
      <w:b/>
      <w:bCs/>
    </w:rPr>
  </w:style>
  <w:style w:type="character" w:styleId="Hyperlink">
    <w:name w:val="Hyperlink"/>
    <w:uiPriority w:val="99"/>
    <w:rsid w:val="003D3B9B"/>
    <w:rPr>
      <w:color w:val="0563C1"/>
      <w:u w:val="single"/>
    </w:rPr>
  </w:style>
  <w:style w:type="character" w:styleId="HiperlinkVisitado">
    <w:name w:val="FollowedHyperlink"/>
    <w:uiPriority w:val="99"/>
    <w:semiHidden/>
    <w:rsid w:val="00730439"/>
    <w:rPr>
      <w:color w:val="954F72"/>
      <w:u w:val="single"/>
    </w:rPr>
  </w:style>
  <w:style w:type="paragraph" w:styleId="Pr-formataoHTML">
    <w:name w:val="HTML Preformatted"/>
    <w:basedOn w:val="Normal"/>
    <w:link w:val="Pr-formataoHTMLChar"/>
    <w:uiPriority w:val="99"/>
    <w:rsid w:val="00C81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pt-BR"/>
    </w:rPr>
  </w:style>
  <w:style w:type="character" w:customStyle="1" w:styleId="Pr-formataoHTMLChar">
    <w:name w:val="Pré-formatação HTML Char"/>
    <w:link w:val="Pr-formataoHTML"/>
    <w:uiPriority w:val="99"/>
    <w:rsid w:val="00C81C5B"/>
    <w:rPr>
      <w:rFonts w:ascii="Courier New" w:hAnsi="Courier New" w:cs="Courier New"/>
      <w:sz w:val="20"/>
      <w:szCs w:val="20"/>
      <w:lang w:eastAsia="pt-BR"/>
    </w:rPr>
  </w:style>
  <w:style w:type="table" w:styleId="Tabelacomgrade">
    <w:name w:val="Table Grid"/>
    <w:basedOn w:val="Tabelanormal"/>
    <w:uiPriority w:val="99"/>
    <w:rsid w:val="00862F0B"/>
    <w:pPr>
      <w:jc w:val="center"/>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rsid w:val="002729C8"/>
    <w:pPr>
      <w:spacing w:after="0" w:line="240" w:lineRule="auto"/>
    </w:pPr>
    <w:rPr>
      <w:sz w:val="20"/>
      <w:szCs w:val="20"/>
      <w:lang w:eastAsia="pt-BR"/>
    </w:rPr>
  </w:style>
  <w:style w:type="character" w:customStyle="1" w:styleId="TextodenotaderodapChar">
    <w:name w:val="Texto de nota de rodapé Char"/>
    <w:link w:val="Textodenotaderodap"/>
    <w:uiPriority w:val="99"/>
    <w:semiHidden/>
    <w:rsid w:val="002729C8"/>
    <w:rPr>
      <w:sz w:val="20"/>
      <w:szCs w:val="20"/>
    </w:rPr>
  </w:style>
  <w:style w:type="character" w:styleId="Refdenotaderodap">
    <w:name w:val="footnote reference"/>
    <w:uiPriority w:val="99"/>
    <w:semiHidden/>
    <w:rsid w:val="002729C8"/>
    <w:rPr>
      <w:vertAlign w:val="superscript"/>
    </w:rPr>
  </w:style>
  <w:style w:type="character" w:customStyle="1" w:styleId="apple-converted-space">
    <w:name w:val="apple-converted-space"/>
    <w:rsid w:val="00224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707">
      <w:marLeft w:val="0"/>
      <w:marRight w:val="0"/>
      <w:marTop w:val="0"/>
      <w:marBottom w:val="0"/>
      <w:divBdr>
        <w:top w:val="none" w:sz="0" w:space="0" w:color="auto"/>
        <w:left w:val="none" w:sz="0" w:space="0" w:color="auto"/>
        <w:bottom w:val="none" w:sz="0" w:space="0" w:color="auto"/>
        <w:right w:val="none" w:sz="0" w:space="0" w:color="auto"/>
      </w:divBdr>
    </w:div>
    <w:div w:id="4863708">
      <w:marLeft w:val="0"/>
      <w:marRight w:val="0"/>
      <w:marTop w:val="0"/>
      <w:marBottom w:val="0"/>
      <w:divBdr>
        <w:top w:val="none" w:sz="0" w:space="0" w:color="auto"/>
        <w:left w:val="none" w:sz="0" w:space="0" w:color="auto"/>
        <w:bottom w:val="none" w:sz="0" w:space="0" w:color="auto"/>
        <w:right w:val="none" w:sz="0" w:space="0" w:color="auto"/>
      </w:divBdr>
    </w:div>
    <w:div w:id="4863709">
      <w:marLeft w:val="0"/>
      <w:marRight w:val="0"/>
      <w:marTop w:val="0"/>
      <w:marBottom w:val="0"/>
      <w:divBdr>
        <w:top w:val="none" w:sz="0" w:space="0" w:color="auto"/>
        <w:left w:val="none" w:sz="0" w:space="0" w:color="auto"/>
        <w:bottom w:val="none" w:sz="0" w:space="0" w:color="auto"/>
        <w:right w:val="none" w:sz="0" w:space="0" w:color="auto"/>
      </w:divBdr>
    </w:div>
    <w:div w:id="4863711">
      <w:marLeft w:val="0"/>
      <w:marRight w:val="0"/>
      <w:marTop w:val="0"/>
      <w:marBottom w:val="0"/>
      <w:divBdr>
        <w:top w:val="none" w:sz="0" w:space="0" w:color="auto"/>
        <w:left w:val="none" w:sz="0" w:space="0" w:color="auto"/>
        <w:bottom w:val="none" w:sz="0" w:space="0" w:color="auto"/>
        <w:right w:val="none" w:sz="0" w:space="0" w:color="auto"/>
      </w:divBdr>
      <w:divsChild>
        <w:div w:id="4863712">
          <w:marLeft w:val="0"/>
          <w:marRight w:val="0"/>
          <w:marTop w:val="0"/>
          <w:marBottom w:val="0"/>
          <w:divBdr>
            <w:top w:val="none" w:sz="0" w:space="0" w:color="auto"/>
            <w:left w:val="none" w:sz="0" w:space="0" w:color="auto"/>
            <w:bottom w:val="none" w:sz="0" w:space="0" w:color="auto"/>
            <w:right w:val="none" w:sz="0" w:space="0" w:color="auto"/>
          </w:divBdr>
        </w:div>
        <w:div w:id="4863718">
          <w:marLeft w:val="0"/>
          <w:marRight w:val="0"/>
          <w:marTop w:val="0"/>
          <w:marBottom w:val="0"/>
          <w:divBdr>
            <w:top w:val="none" w:sz="0" w:space="0" w:color="auto"/>
            <w:left w:val="none" w:sz="0" w:space="0" w:color="auto"/>
            <w:bottom w:val="none" w:sz="0" w:space="0" w:color="auto"/>
            <w:right w:val="none" w:sz="0" w:space="0" w:color="auto"/>
          </w:divBdr>
        </w:div>
      </w:divsChild>
    </w:div>
    <w:div w:id="4863716">
      <w:marLeft w:val="0"/>
      <w:marRight w:val="0"/>
      <w:marTop w:val="0"/>
      <w:marBottom w:val="0"/>
      <w:divBdr>
        <w:top w:val="none" w:sz="0" w:space="0" w:color="auto"/>
        <w:left w:val="none" w:sz="0" w:space="0" w:color="auto"/>
        <w:bottom w:val="none" w:sz="0" w:space="0" w:color="auto"/>
        <w:right w:val="none" w:sz="0" w:space="0" w:color="auto"/>
      </w:divBdr>
      <w:divsChild>
        <w:div w:id="4863714">
          <w:marLeft w:val="0"/>
          <w:marRight w:val="0"/>
          <w:marTop w:val="0"/>
          <w:marBottom w:val="0"/>
          <w:divBdr>
            <w:top w:val="none" w:sz="0" w:space="0" w:color="auto"/>
            <w:left w:val="none" w:sz="0" w:space="0" w:color="auto"/>
            <w:bottom w:val="none" w:sz="0" w:space="0" w:color="auto"/>
            <w:right w:val="none" w:sz="0" w:space="0" w:color="auto"/>
          </w:divBdr>
        </w:div>
        <w:div w:id="4863715">
          <w:marLeft w:val="0"/>
          <w:marRight w:val="0"/>
          <w:marTop w:val="0"/>
          <w:marBottom w:val="0"/>
          <w:divBdr>
            <w:top w:val="none" w:sz="0" w:space="0" w:color="auto"/>
            <w:left w:val="none" w:sz="0" w:space="0" w:color="auto"/>
            <w:bottom w:val="none" w:sz="0" w:space="0" w:color="auto"/>
            <w:right w:val="none" w:sz="0" w:space="0" w:color="auto"/>
          </w:divBdr>
        </w:div>
      </w:divsChild>
    </w:div>
    <w:div w:id="4863717">
      <w:marLeft w:val="0"/>
      <w:marRight w:val="0"/>
      <w:marTop w:val="0"/>
      <w:marBottom w:val="0"/>
      <w:divBdr>
        <w:top w:val="none" w:sz="0" w:space="0" w:color="auto"/>
        <w:left w:val="none" w:sz="0" w:space="0" w:color="auto"/>
        <w:bottom w:val="none" w:sz="0" w:space="0" w:color="auto"/>
        <w:right w:val="none" w:sz="0" w:space="0" w:color="auto"/>
      </w:divBdr>
      <w:divsChild>
        <w:div w:id="4863710">
          <w:marLeft w:val="0"/>
          <w:marRight w:val="0"/>
          <w:marTop w:val="0"/>
          <w:marBottom w:val="0"/>
          <w:divBdr>
            <w:top w:val="none" w:sz="0" w:space="0" w:color="auto"/>
            <w:left w:val="none" w:sz="0" w:space="0" w:color="auto"/>
            <w:bottom w:val="none" w:sz="0" w:space="0" w:color="auto"/>
            <w:right w:val="none" w:sz="0" w:space="0" w:color="auto"/>
          </w:divBdr>
        </w:div>
        <w:div w:id="4863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caele.mcarvalho@gmail.com" TargetMode="External"/><Relationship Id="rId13" Type="http://schemas.openxmlformats.org/officeDocument/2006/relationships/image" Target="media/image1.png"/><Relationship Id="rId18" Type="http://schemas.openxmlformats.org/officeDocument/2006/relationships/hyperlink" Target="%3chttp://www.mct.gov.br/upd_blob/0235/235580.pdf%3e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omingues.edson@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inesm@cedeplar.ufmg.b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stelio.filho@hotmail.com" TargetMode="External"/><Relationship Id="rId19" Type="http://schemas.openxmlformats.org/officeDocument/2006/relationships/hyperlink" Target="%3chttp://unfccc.int/files/adaptation/application/pdf/all__parties_indc.pdf%3e" TargetMode="External"/><Relationship Id="rId4" Type="http://schemas.openxmlformats.org/officeDocument/2006/relationships/settings" Target="settings.xml"/><Relationship Id="rId9" Type="http://schemas.openxmlformats.org/officeDocument/2006/relationships/hyperlink" Target="mailto:mpvianna@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6D70-9C95-46B4-9280-2777B79AA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20</Pages>
  <Words>8571</Words>
  <Characters>46285</Characters>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2016-07-19T16:43:00Z</cp:lastPrinted>
  <dcterms:created xsi:type="dcterms:W3CDTF">2015-11-10T12:46:00Z</dcterms:created>
  <dcterms:modified xsi:type="dcterms:W3CDTF">2016-07-19T16:56:00Z</dcterms:modified>
</cp:coreProperties>
</file>