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944" w:rsidRPr="00C3319E" w:rsidRDefault="00786944" w:rsidP="00785128">
      <w:pPr>
        <w:jc w:val="center"/>
        <w:rPr>
          <w:b/>
          <w:bdr w:val="none" w:sz="0" w:space="0" w:color="auto"/>
          <w:lang w:eastAsia="pt-BR"/>
        </w:rPr>
      </w:pPr>
      <w:r w:rsidRPr="00FD215D">
        <w:rPr>
          <w:b/>
          <w:lang w:val="en-US"/>
        </w:rPr>
        <w:t xml:space="preserve">Peer effects and scholastic achievement: </w:t>
      </w:r>
      <w:r w:rsidR="00767357">
        <w:rPr>
          <w:b/>
          <w:lang w:val="en-US"/>
        </w:rPr>
        <w:t xml:space="preserve">evidence of </w:t>
      </w:r>
      <w:r w:rsidR="002E2CC6">
        <w:rPr>
          <w:b/>
          <w:lang w:val="en-US"/>
        </w:rPr>
        <w:t xml:space="preserve">causal effects using </w:t>
      </w:r>
      <w:r w:rsidR="00334381">
        <w:rPr>
          <w:b/>
          <w:lang w:val="en-US"/>
        </w:rPr>
        <w:t>age at school entry as exogenous variation for peer quality</w:t>
      </w:r>
    </w:p>
    <w:p w:rsidR="00786944" w:rsidRPr="00786944" w:rsidRDefault="00786944" w:rsidP="00785128">
      <w:pPr>
        <w:jc w:val="both"/>
      </w:pPr>
    </w:p>
    <w:p w:rsidR="00786944" w:rsidRPr="007608E2" w:rsidRDefault="00786944" w:rsidP="00785128">
      <w:pPr>
        <w:jc w:val="both"/>
      </w:pPr>
      <w:proofErr w:type="gramStart"/>
      <w:r w:rsidRPr="007608E2">
        <w:t xml:space="preserve">Isabel Pessoa de </w:t>
      </w:r>
      <w:proofErr w:type="spellStart"/>
      <w:r w:rsidRPr="007608E2">
        <w:t>Arruda</w:t>
      </w:r>
      <w:proofErr w:type="spellEnd"/>
      <w:r w:rsidRPr="007608E2">
        <w:t xml:space="preserve"> </w:t>
      </w:r>
      <w:proofErr w:type="spellStart"/>
      <w:r w:rsidRPr="007608E2">
        <w:t>Raposo</w:t>
      </w:r>
      <w:proofErr w:type="spellEnd"/>
      <w:r w:rsidRPr="007608E2">
        <w:t xml:space="preserve"> – </w:t>
      </w:r>
      <w:r w:rsidR="00314D85" w:rsidRPr="00AB0FD1">
        <w:rPr>
          <w:lang w:val="en-US"/>
        </w:rPr>
        <w:t>Researcher</w:t>
      </w:r>
      <w:r w:rsidR="00314D85" w:rsidRPr="007608E2">
        <w:t xml:space="preserve"> </w:t>
      </w:r>
      <w:r w:rsidR="00314D85" w:rsidRPr="00AB0FD1">
        <w:rPr>
          <w:lang w:val="en-US"/>
        </w:rPr>
        <w:t>at</w:t>
      </w:r>
      <w:r w:rsidRPr="007608E2">
        <w:t xml:space="preserve"> </w:t>
      </w:r>
      <w:r w:rsidR="005F4476" w:rsidRPr="007608E2">
        <w:t xml:space="preserve">the </w:t>
      </w:r>
      <w:proofErr w:type="spellStart"/>
      <w:r w:rsidR="005F4476" w:rsidRPr="007608E2">
        <w:t>Fundação</w:t>
      </w:r>
      <w:proofErr w:type="spellEnd"/>
      <w:r w:rsidR="005F4476" w:rsidRPr="007608E2">
        <w:t xml:space="preserve"> </w:t>
      </w:r>
      <w:proofErr w:type="spellStart"/>
      <w:r w:rsidRPr="007608E2">
        <w:t>Joaquim</w:t>
      </w:r>
      <w:proofErr w:type="spellEnd"/>
      <w:r w:rsidRPr="007608E2">
        <w:t xml:space="preserve"> </w:t>
      </w:r>
      <w:proofErr w:type="spellStart"/>
      <w:r w:rsidRPr="007608E2">
        <w:t>Nabuco</w:t>
      </w:r>
      <w:proofErr w:type="spellEnd"/>
      <w:r w:rsidR="00AB0FD1" w:rsidRPr="007608E2">
        <w:t xml:space="preserve"> </w:t>
      </w:r>
      <w:r w:rsidRPr="007608E2">
        <w:t xml:space="preserve">– </w:t>
      </w:r>
      <w:r w:rsidR="00314D85">
        <w:t>Ministry of Education, Brazil</w:t>
      </w:r>
      <w:r w:rsidRPr="007608E2">
        <w:t>.</w:t>
      </w:r>
      <w:proofErr w:type="gramEnd"/>
      <w:r w:rsidRPr="007608E2">
        <w:t xml:space="preserve"> </w:t>
      </w:r>
    </w:p>
    <w:p w:rsidR="00786944" w:rsidRDefault="00786944" w:rsidP="00785128">
      <w:pPr>
        <w:jc w:val="both"/>
      </w:pPr>
      <w:r w:rsidRPr="007608E2">
        <w:t xml:space="preserve">Email: </w:t>
      </w:r>
      <w:hyperlink r:id="rId7" w:history="1">
        <w:r w:rsidRPr="007608E2">
          <w:rPr>
            <w:rStyle w:val="Hyperlink"/>
          </w:rPr>
          <w:t>i_raposo@hotmail.com</w:t>
        </w:r>
      </w:hyperlink>
    </w:p>
    <w:p w:rsidR="00C93AF6" w:rsidRPr="00C93AF6" w:rsidRDefault="00C93AF6" w:rsidP="00C93AF6">
      <w:pPr>
        <w:jc w:val="both"/>
        <w:rPr>
          <w:color w:val="000000"/>
          <w:lang w:val="pt-BR"/>
        </w:rPr>
      </w:pPr>
      <w:proofErr w:type="spellStart"/>
      <w:r>
        <w:rPr>
          <w:lang w:val="pt-BR"/>
        </w:rPr>
        <w:t>Address</w:t>
      </w:r>
      <w:proofErr w:type="spellEnd"/>
      <w:r w:rsidRPr="00C93AF6">
        <w:rPr>
          <w:lang w:val="pt-BR"/>
        </w:rPr>
        <w:t xml:space="preserve">: </w:t>
      </w:r>
      <w:r w:rsidRPr="00C93AF6">
        <w:rPr>
          <w:color w:val="000000"/>
          <w:lang w:val="pt-BR"/>
        </w:rPr>
        <w:t xml:space="preserve">Rua Dois Irmãos, 92 - Ed. Anexo Anízio Teixeira - </w:t>
      </w:r>
      <w:proofErr w:type="spellStart"/>
      <w:r w:rsidRPr="00C93AF6">
        <w:rPr>
          <w:color w:val="000000"/>
          <w:lang w:val="pt-BR"/>
        </w:rPr>
        <w:t>Apipucos</w:t>
      </w:r>
      <w:proofErr w:type="spellEnd"/>
      <w:r w:rsidRPr="00C93AF6">
        <w:rPr>
          <w:color w:val="000000"/>
          <w:lang w:val="pt-BR"/>
        </w:rPr>
        <w:t xml:space="preserve"> – Recife/PE CEP: 52071-</w:t>
      </w:r>
      <w:proofErr w:type="gramStart"/>
      <w:r w:rsidRPr="00C93AF6">
        <w:rPr>
          <w:color w:val="000000"/>
          <w:lang w:val="pt-BR"/>
        </w:rPr>
        <w:t>440</w:t>
      </w:r>
      <w:proofErr w:type="gramEnd"/>
    </w:p>
    <w:p w:rsidR="00C93AF6" w:rsidRDefault="00C93AF6" w:rsidP="00C93AF6">
      <w:pPr>
        <w:jc w:val="both"/>
      </w:pPr>
      <w:r>
        <w:rPr>
          <w:bCs/>
        </w:rPr>
        <w:t>Phone</w:t>
      </w:r>
      <w:r w:rsidRPr="00295B94">
        <w:rPr>
          <w:bCs/>
        </w:rPr>
        <w:t xml:space="preserve">: (81) </w:t>
      </w:r>
      <w:r>
        <w:rPr>
          <w:bCs/>
        </w:rPr>
        <w:t>9</w:t>
      </w:r>
      <w:r w:rsidRPr="00295B94">
        <w:rPr>
          <w:bCs/>
        </w:rPr>
        <w:t>96330181</w:t>
      </w:r>
    </w:p>
    <w:p w:rsidR="003A5628" w:rsidRDefault="003A5628" w:rsidP="00785128">
      <w:pPr>
        <w:jc w:val="both"/>
      </w:pPr>
    </w:p>
    <w:p w:rsidR="003A5628" w:rsidRPr="00AF4E65" w:rsidRDefault="003A5628" w:rsidP="00785128">
      <w:pPr>
        <w:jc w:val="both"/>
      </w:pPr>
      <w:proofErr w:type="spellStart"/>
      <w:proofErr w:type="gramStart"/>
      <w:r w:rsidRPr="00AF4E65">
        <w:t>Michela</w:t>
      </w:r>
      <w:proofErr w:type="spellEnd"/>
      <w:r w:rsidRPr="00AF4E65">
        <w:t xml:space="preserve"> </w:t>
      </w:r>
      <w:proofErr w:type="spellStart"/>
      <w:r w:rsidRPr="00AF4E65">
        <w:t>Barreto</w:t>
      </w:r>
      <w:proofErr w:type="spellEnd"/>
      <w:r w:rsidRPr="00AF4E65">
        <w:t xml:space="preserve"> </w:t>
      </w:r>
      <w:proofErr w:type="spellStart"/>
      <w:r w:rsidRPr="00AF4E65">
        <w:t>Camboim</w:t>
      </w:r>
      <w:proofErr w:type="spellEnd"/>
      <w:r w:rsidRPr="00AF4E65">
        <w:t xml:space="preserve"> </w:t>
      </w:r>
      <w:proofErr w:type="spellStart"/>
      <w:r w:rsidRPr="00AF4E65">
        <w:t>Gonçalves</w:t>
      </w:r>
      <w:proofErr w:type="spellEnd"/>
      <w:r w:rsidR="00884CF9" w:rsidRPr="00AF4E65">
        <w:t xml:space="preserve"> </w:t>
      </w:r>
      <w:r w:rsidR="00884CF9" w:rsidRPr="007608E2">
        <w:t xml:space="preserve">– </w:t>
      </w:r>
      <w:r w:rsidR="00884CF9" w:rsidRPr="00AB0FD1">
        <w:rPr>
          <w:lang w:val="en-US"/>
        </w:rPr>
        <w:t>Researcher</w:t>
      </w:r>
      <w:r w:rsidR="00884CF9" w:rsidRPr="007608E2">
        <w:t xml:space="preserve"> </w:t>
      </w:r>
      <w:r w:rsidR="00884CF9" w:rsidRPr="00AB0FD1">
        <w:rPr>
          <w:lang w:val="en-US"/>
        </w:rPr>
        <w:t>at</w:t>
      </w:r>
      <w:r w:rsidR="00884CF9" w:rsidRPr="007608E2">
        <w:t xml:space="preserve"> the </w:t>
      </w:r>
      <w:proofErr w:type="spellStart"/>
      <w:r w:rsidR="00884CF9" w:rsidRPr="007608E2">
        <w:t>Fundação</w:t>
      </w:r>
      <w:proofErr w:type="spellEnd"/>
      <w:r w:rsidR="00884CF9" w:rsidRPr="007608E2">
        <w:t xml:space="preserve"> </w:t>
      </w:r>
      <w:proofErr w:type="spellStart"/>
      <w:r w:rsidR="00884CF9" w:rsidRPr="007608E2">
        <w:t>Joaquim</w:t>
      </w:r>
      <w:proofErr w:type="spellEnd"/>
      <w:r w:rsidR="00884CF9" w:rsidRPr="007608E2">
        <w:t xml:space="preserve"> </w:t>
      </w:r>
      <w:proofErr w:type="spellStart"/>
      <w:r w:rsidR="00884CF9" w:rsidRPr="007608E2">
        <w:t>Nabuco</w:t>
      </w:r>
      <w:proofErr w:type="spellEnd"/>
      <w:r w:rsidR="00884CF9" w:rsidRPr="007608E2">
        <w:t xml:space="preserve"> – </w:t>
      </w:r>
      <w:r w:rsidR="00884CF9">
        <w:t>Ministry of Education, Brazil</w:t>
      </w:r>
      <w:r w:rsidR="00884CF9" w:rsidRPr="007608E2">
        <w:t>.</w:t>
      </w:r>
      <w:proofErr w:type="gramEnd"/>
    </w:p>
    <w:p w:rsidR="003A5628" w:rsidRDefault="003A5628" w:rsidP="00785128">
      <w:pPr>
        <w:jc w:val="both"/>
      </w:pPr>
      <w:r w:rsidRPr="00AF4E65">
        <w:rPr>
          <w:lang w:val="en-US"/>
        </w:rPr>
        <w:t xml:space="preserve">E-mail: </w:t>
      </w:r>
      <w:hyperlink r:id="rId8" w:history="1">
        <w:r w:rsidRPr="00AF4E65">
          <w:rPr>
            <w:rStyle w:val="Hyperlink"/>
            <w:lang w:val="en-US"/>
          </w:rPr>
          <w:t>michelabcg@hotmail.com</w:t>
        </w:r>
      </w:hyperlink>
    </w:p>
    <w:p w:rsidR="00C93AF6" w:rsidRPr="00C93AF6" w:rsidRDefault="00C93AF6" w:rsidP="00C93AF6">
      <w:pPr>
        <w:jc w:val="both"/>
        <w:rPr>
          <w:color w:val="000000"/>
          <w:lang w:val="pt-BR"/>
        </w:rPr>
      </w:pPr>
      <w:proofErr w:type="spellStart"/>
      <w:r>
        <w:rPr>
          <w:lang w:val="pt-BR"/>
        </w:rPr>
        <w:t>Address</w:t>
      </w:r>
      <w:proofErr w:type="spellEnd"/>
      <w:r w:rsidRPr="00C93AF6">
        <w:rPr>
          <w:lang w:val="pt-BR"/>
        </w:rPr>
        <w:t xml:space="preserve">: </w:t>
      </w:r>
      <w:r w:rsidRPr="00C93AF6">
        <w:rPr>
          <w:color w:val="000000"/>
          <w:lang w:val="pt-BR"/>
        </w:rPr>
        <w:t xml:space="preserve">Rua Dois Irmãos, 92 - Ed. Anexo Anízio Teixeira - </w:t>
      </w:r>
      <w:proofErr w:type="spellStart"/>
      <w:r w:rsidRPr="00C93AF6">
        <w:rPr>
          <w:color w:val="000000"/>
          <w:lang w:val="pt-BR"/>
        </w:rPr>
        <w:t>Apipucos</w:t>
      </w:r>
      <w:proofErr w:type="spellEnd"/>
      <w:r w:rsidRPr="00C93AF6">
        <w:rPr>
          <w:color w:val="000000"/>
          <w:lang w:val="pt-BR"/>
        </w:rPr>
        <w:t xml:space="preserve"> – Recife/PE CEP: 52071-</w:t>
      </w:r>
      <w:proofErr w:type="gramStart"/>
      <w:r w:rsidRPr="00C93AF6">
        <w:rPr>
          <w:color w:val="000000"/>
          <w:lang w:val="pt-BR"/>
        </w:rPr>
        <w:t>440</w:t>
      </w:r>
      <w:proofErr w:type="gramEnd"/>
    </w:p>
    <w:p w:rsidR="00C93AF6" w:rsidRPr="00AF4E65" w:rsidRDefault="00C93AF6" w:rsidP="00C93AF6">
      <w:pPr>
        <w:jc w:val="both"/>
        <w:rPr>
          <w:lang w:val="en-US"/>
        </w:rPr>
      </w:pPr>
      <w:r>
        <w:rPr>
          <w:bCs/>
        </w:rPr>
        <w:t>Phone</w:t>
      </w:r>
      <w:r w:rsidRPr="00295B94">
        <w:rPr>
          <w:bCs/>
        </w:rPr>
        <w:t xml:space="preserve">: (81) </w:t>
      </w:r>
      <w:r>
        <w:rPr>
          <w:color w:val="000000"/>
        </w:rPr>
        <w:t>9</w:t>
      </w:r>
      <w:r w:rsidRPr="00295B94">
        <w:rPr>
          <w:color w:val="000000"/>
        </w:rPr>
        <w:t>99170335</w:t>
      </w:r>
    </w:p>
    <w:p w:rsidR="00786944" w:rsidRPr="007608E2" w:rsidRDefault="00786944" w:rsidP="00785128">
      <w:pPr>
        <w:jc w:val="both"/>
      </w:pPr>
    </w:p>
    <w:p w:rsidR="00924C3F" w:rsidRDefault="00C3319E" w:rsidP="00C43AC5">
      <w:pPr>
        <w:jc w:val="both"/>
        <w:rPr>
          <w:highlight w:val="yellow"/>
          <w:bdr w:val="none" w:sz="0" w:space="0" w:color="auto"/>
          <w:lang w:val="en-US" w:eastAsia="pt-BR"/>
        </w:rPr>
      </w:pPr>
      <w:r w:rsidRPr="00C43AC5">
        <w:rPr>
          <w:b/>
          <w:bdr w:val="none" w:sz="0" w:space="0" w:color="auto"/>
          <w:lang w:val="en-US" w:eastAsia="pt-BR"/>
        </w:rPr>
        <w:t>Abstract</w:t>
      </w:r>
      <w:r w:rsidR="00C43AC5" w:rsidRPr="00C43AC5">
        <w:rPr>
          <w:b/>
          <w:bdr w:val="none" w:sz="0" w:space="0" w:color="auto"/>
          <w:lang w:val="en-US" w:eastAsia="pt-BR"/>
        </w:rPr>
        <w:t xml:space="preserve">: </w:t>
      </w:r>
      <w:r w:rsidR="0014104A" w:rsidRPr="00C43AC5">
        <w:rPr>
          <w:bdr w:val="none" w:sz="0" w:space="0" w:color="auto"/>
          <w:lang w:val="en-US" w:eastAsia="pt-BR"/>
        </w:rPr>
        <w:t xml:space="preserve">This paper evaluates the diffusion of peer effects </w:t>
      </w:r>
      <w:r w:rsidR="00924C3F">
        <w:rPr>
          <w:bdr w:val="none" w:sz="0" w:space="0" w:color="auto"/>
          <w:lang w:val="en-US" w:eastAsia="pt-BR"/>
        </w:rPr>
        <w:t xml:space="preserve">on </w:t>
      </w:r>
      <w:r w:rsidR="00924C3F">
        <w:rPr>
          <w:lang w:val="en-US"/>
        </w:rPr>
        <w:t>academic achievement of 4</w:t>
      </w:r>
      <w:r w:rsidR="00924C3F" w:rsidRPr="00CB1DE5">
        <w:rPr>
          <w:vertAlign w:val="superscript"/>
          <w:lang w:val="en-US"/>
        </w:rPr>
        <w:t>th</w:t>
      </w:r>
      <w:r w:rsidR="00924C3F">
        <w:rPr>
          <w:lang w:val="en-US"/>
        </w:rPr>
        <w:t xml:space="preserve"> grade students in the Brazilian public school system. </w:t>
      </w:r>
      <w:r w:rsidR="00924C3F">
        <w:rPr>
          <w:bdr w:val="none" w:sz="0" w:space="0" w:color="auto"/>
          <w:lang w:val="en-US" w:eastAsia="pt-BR"/>
        </w:rPr>
        <w:t xml:space="preserve">Using data from </w:t>
      </w:r>
      <w:proofErr w:type="spellStart"/>
      <w:r w:rsidR="00924C3F" w:rsidRPr="00B04AC3">
        <w:rPr>
          <w:i/>
          <w:lang w:val="en-US"/>
        </w:rPr>
        <w:t>Prova</w:t>
      </w:r>
      <w:proofErr w:type="spellEnd"/>
      <w:r w:rsidR="00924C3F" w:rsidRPr="00B04AC3">
        <w:rPr>
          <w:i/>
          <w:lang w:val="en-US"/>
        </w:rPr>
        <w:t xml:space="preserve"> </w:t>
      </w:r>
      <w:proofErr w:type="spellStart"/>
      <w:r w:rsidR="00924C3F" w:rsidRPr="00B04AC3">
        <w:rPr>
          <w:i/>
          <w:lang w:val="en-US"/>
        </w:rPr>
        <w:t>Brasil</w:t>
      </w:r>
      <w:proofErr w:type="spellEnd"/>
      <w:r w:rsidR="00924C3F">
        <w:rPr>
          <w:lang w:val="en-US"/>
        </w:rPr>
        <w:t xml:space="preserve"> 2013, </w:t>
      </w:r>
      <w:r w:rsidR="00DA355E">
        <w:rPr>
          <w:lang w:val="en-US"/>
        </w:rPr>
        <w:t>the</w:t>
      </w:r>
      <w:r w:rsidR="00924C3F" w:rsidRPr="00065ABC">
        <w:rPr>
          <w:lang w:val="en-US"/>
        </w:rPr>
        <w:t xml:space="preserve"> identification strategy builds on the use of a</w:t>
      </w:r>
      <w:r w:rsidR="00924C3F">
        <w:rPr>
          <w:lang w:val="en-US"/>
        </w:rPr>
        <w:t xml:space="preserve">n IV approach, in which the instruments </w:t>
      </w:r>
      <w:r w:rsidR="004107EC">
        <w:rPr>
          <w:lang w:val="en-US"/>
        </w:rPr>
        <w:t xml:space="preserve">for peers’ performance </w:t>
      </w:r>
      <w:r w:rsidR="00924C3F">
        <w:rPr>
          <w:lang w:val="en-US"/>
        </w:rPr>
        <w:t xml:space="preserve">are the proportions of peers born in the first or second semester of the year. </w:t>
      </w:r>
      <w:r w:rsidR="00DA355E" w:rsidRPr="00B05B3B">
        <w:rPr>
          <w:lang w:val="en-US"/>
        </w:rPr>
        <w:t xml:space="preserve">The </w:t>
      </w:r>
      <w:r w:rsidR="00DA355E">
        <w:rPr>
          <w:lang w:val="en-US"/>
        </w:rPr>
        <w:t>idea behind the instruments</w:t>
      </w:r>
      <w:r w:rsidR="00DA355E" w:rsidRPr="007A2853">
        <w:rPr>
          <w:lang w:val="en-US"/>
        </w:rPr>
        <w:t xml:space="preserve"> </w:t>
      </w:r>
      <w:r w:rsidR="00DA355E">
        <w:rPr>
          <w:lang w:val="en-US"/>
        </w:rPr>
        <w:t>is that c</w:t>
      </w:r>
      <w:r w:rsidR="00DA355E" w:rsidRPr="007A2853">
        <w:rPr>
          <w:lang w:val="en-US"/>
        </w:rPr>
        <w:t xml:space="preserve">ompulsory school attendance laws generate variation in the child’s age at school entry, which, </w:t>
      </w:r>
      <w:r w:rsidR="00DA355E">
        <w:rPr>
          <w:lang w:val="en-US"/>
        </w:rPr>
        <w:t>in turn</w:t>
      </w:r>
      <w:r w:rsidR="00DA355E" w:rsidRPr="007A2853">
        <w:rPr>
          <w:lang w:val="en-US"/>
        </w:rPr>
        <w:t>, make the date of birth within the year an important determinant of educational achievement and, at the same time, plausibly exogenous to the quality of the student’s peers.</w:t>
      </w:r>
      <w:r w:rsidR="00DA355E">
        <w:t xml:space="preserve"> </w:t>
      </w:r>
      <w:r w:rsidR="00924C3F">
        <w:t>The results demonstrate that schools with high proportions of peers born in the 2</w:t>
      </w:r>
      <w:r w:rsidR="00924C3F" w:rsidRPr="00E23611">
        <w:rPr>
          <w:vertAlign w:val="superscript"/>
        </w:rPr>
        <w:t>nd</w:t>
      </w:r>
      <w:r w:rsidR="00924C3F">
        <w:t xml:space="preserve"> semester </w:t>
      </w:r>
      <w:r w:rsidR="00C43AC5" w:rsidRPr="00C43AC5">
        <w:rPr>
          <w:i/>
        </w:rPr>
        <w:t>(started school at</w:t>
      </w:r>
      <w:r w:rsidR="00C43AC5">
        <w:rPr>
          <w:i/>
        </w:rPr>
        <w:t xml:space="preserve"> a</w:t>
      </w:r>
      <w:r w:rsidR="00C43AC5" w:rsidRPr="00C43AC5">
        <w:rPr>
          <w:i/>
        </w:rPr>
        <w:t xml:space="preserve"> relatively older age)</w:t>
      </w:r>
      <w:r w:rsidR="00C43AC5">
        <w:t xml:space="preserve"> </w:t>
      </w:r>
      <w:r w:rsidR="00924C3F">
        <w:t>tend to perform better, in average, than those that concentrate children born in the 1</w:t>
      </w:r>
      <w:r w:rsidR="00924C3F" w:rsidRPr="002015FD">
        <w:rPr>
          <w:vertAlign w:val="superscript"/>
        </w:rPr>
        <w:t>st</w:t>
      </w:r>
      <w:r w:rsidR="00924C3F">
        <w:t xml:space="preserve"> semester, even after the inclusion of a wide range of control variables. For the math evaluation, a one standard deviation increase in the peers’ grade generates an improvement of 32</w:t>
      </w:r>
      <w:r w:rsidR="00924C3F" w:rsidRPr="000F75CB">
        <w:t>% standard deviations in individual</w:t>
      </w:r>
      <w:r w:rsidR="00924C3F">
        <w:t xml:space="preserve"> achievement. For the Portuguese language evaluation, this effect represents an increase </w:t>
      </w:r>
      <w:r w:rsidR="00924C3F" w:rsidRPr="0022024C">
        <w:t xml:space="preserve">of 30% </w:t>
      </w:r>
      <w:r w:rsidR="00924C3F">
        <w:t xml:space="preserve">SD of the student grade. </w:t>
      </w:r>
    </w:p>
    <w:p w:rsidR="0014104A" w:rsidRPr="00C43AC5" w:rsidRDefault="0014104A" w:rsidP="0014104A">
      <w:pPr>
        <w:jc w:val="both"/>
        <w:rPr>
          <w:bdr w:val="none" w:sz="0" w:space="0" w:color="auto"/>
          <w:lang w:val="en-US" w:eastAsia="pt-BR"/>
        </w:rPr>
      </w:pPr>
      <w:r w:rsidRPr="00C43AC5">
        <w:rPr>
          <w:b/>
          <w:bdr w:val="none" w:sz="0" w:space="0" w:color="auto"/>
          <w:lang w:val="en-US" w:eastAsia="pt-BR"/>
        </w:rPr>
        <w:t xml:space="preserve">Keywords: </w:t>
      </w:r>
      <w:r w:rsidR="00DA355E" w:rsidRPr="00C43AC5">
        <w:rPr>
          <w:bdr w:val="none" w:sz="0" w:space="0" w:color="auto"/>
          <w:lang w:val="en-US" w:eastAsia="pt-BR"/>
        </w:rPr>
        <w:t xml:space="preserve">School </w:t>
      </w:r>
      <w:r w:rsidR="00C43AC5" w:rsidRPr="00C43AC5">
        <w:rPr>
          <w:bdr w:val="none" w:sz="0" w:space="0" w:color="auto"/>
          <w:lang w:val="en-US" w:eastAsia="pt-BR"/>
        </w:rPr>
        <w:t>p</w:t>
      </w:r>
      <w:r w:rsidR="00DA355E" w:rsidRPr="00C43AC5">
        <w:rPr>
          <w:bdr w:val="none" w:sz="0" w:space="0" w:color="auto"/>
          <w:lang w:val="en-US" w:eastAsia="pt-BR"/>
        </w:rPr>
        <w:t>erformance, P</w:t>
      </w:r>
      <w:r w:rsidRPr="00C43AC5">
        <w:rPr>
          <w:bdr w:val="none" w:sz="0" w:space="0" w:color="auto"/>
          <w:lang w:val="en-US" w:eastAsia="pt-BR"/>
        </w:rPr>
        <w:t xml:space="preserve">eer </w:t>
      </w:r>
      <w:r w:rsidR="00C43AC5" w:rsidRPr="00C43AC5">
        <w:rPr>
          <w:bdr w:val="none" w:sz="0" w:space="0" w:color="auto"/>
          <w:lang w:val="en-US" w:eastAsia="pt-BR"/>
        </w:rPr>
        <w:t>e</w:t>
      </w:r>
      <w:r w:rsidRPr="00C43AC5">
        <w:rPr>
          <w:bdr w:val="none" w:sz="0" w:space="0" w:color="auto"/>
          <w:lang w:val="en-US" w:eastAsia="pt-BR"/>
        </w:rPr>
        <w:t xml:space="preserve">ffects, </w:t>
      </w:r>
      <w:r w:rsidR="00DA355E" w:rsidRPr="00C43AC5">
        <w:rPr>
          <w:bdr w:val="none" w:sz="0" w:space="0" w:color="auto"/>
          <w:lang w:val="en-US" w:eastAsia="pt-BR"/>
        </w:rPr>
        <w:t xml:space="preserve">Instrumental </w:t>
      </w:r>
      <w:r w:rsidR="00C43AC5" w:rsidRPr="00C43AC5">
        <w:rPr>
          <w:bdr w:val="none" w:sz="0" w:space="0" w:color="auto"/>
          <w:lang w:val="en-US" w:eastAsia="pt-BR"/>
        </w:rPr>
        <w:t>v</w:t>
      </w:r>
      <w:r w:rsidR="00DA355E" w:rsidRPr="00C43AC5">
        <w:rPr>
          <w:bdr w:val="none" w:sz="0" w:space="0" w:color="auto"/>
          <w:lang w:val="en-US" w:eastAsia="pt-BR"/>
        </w:rPr>
        <w:t>ariables</w:t>
      </w:r>
      <w:r w:rsidRPr="00C43AC5">
        <w:rPr>
          <w:bdr w:val="none" w:sz="0" w:space="0" w:color="auto"/>
          <w:lang w:val="en-US" w:eastAsia="pt-BR"/>
        </w:rPr>
        <w:t>.</w:t>
      </w:r>
    </w:p>
    <w:p w:rsidR="00C43AC5" w:rsidRPr="00437CE9" w:rsidRDefault="00C43AC5" w:rsidP="0014104A">
      <w:pPr>
        <w:jc w:val="both"/>
        <w:rPr>
          <w:b/>
          <w:bdr w:val="none" w:sz="0" w:space="0" w:color="auto"/>
          <w:lang w:val="en-US" w:eastAsia="pt-BR"/>
        </w:rPr>
      </w:pPr>
    </w:p>
    <w:p w:rsidR="00C43AC5" w:rsidRDefault="00C43AC5" w:rsidP="0014104A">
      <w:pPr>
        <w:jc w:val="both"/>
        <w:rPr>
          <w:bdr w:val="none" w:sz="0" w:space="0" w:color="auto"/>
          <w:lang w:val="pt-BR" w:eastAsia="pt-BR"/>
        </w:rPr>
      </w:pPr>
      <w:r>
        <w:rPr>
          <w:b/>
          <w:bdr w:val="none" w:sz="0" w:space="0" w:color="auto"/>
          <w:lang w:val="pt-BR" w:eastAsia="pt-BR"/>
        </w:rPr>
        <w:t xml:space="preserve">Resumo: </w:t>
      </w:r>
      <w:r>
        <w:rPr>
          <w:bdr w:val="none" w:sz="0" w:space="0" w:color="auto"/>
          <w:lang w:val="pt-BR" w:eastAsia="pt-BR"/>
        </w:rPr>
        <w:t xml:space="preserve">Este artigo avalia a difusão do efeito de pares sobre o </w:t>
      </w:r>
      <w:r w:rsidR="001A7254">
        <w:rPr>
          <w:bdr w:val="none" w:sz="0" w:space="0" w:color="auto"/>
          <w:lang w:val="pt-BR" w:eastAsia="pt-BR"/>
        </w:rPr>
        <w:t>desempenho</w:t>
      </w:r>
      <w:r>
        <w:rPr>
          <w:bdr w:val="none" w:sz="0" w:space="0" w:color="auto"/>
          <w:lang w:val="pt-BR" w:eastAsia="pt-BR"/>
        </w:rPr>
        <w:t xml:space="preserve"> acadêmico </w:t>
      </w:r>
      <w:r w:rsidR="001A7254">
        <w:rPr>
          <w:bdr w:val="none" w:sz="0" w:space="0" w:color="auto"/>
          <w:lang w:val="pt-BR" w:eastAsia="pt-BR"/>
        </w:rPr>
        <w:t>de alunos do 5º ano n</w:t>
      </w:r>
      <w:r>
        <w:rPr>
          <w:bdr w:val="none" w:sz="0" w:space="0" w:color="auto"/>
          <w:lang w:val="pt-BR" w:eastAsia="pt-BR"/>
        </w:rPr>
        <w:t xml:space="preserve">o sistema público </w:t>
      </w:r>
      <w:r w:rsidR="001A7254">
        <w:rPr>
          <w:bdr w:val="none" w:sz="0" w:space="0" w:color="auto"/>
          <w:lang w:val="pt-BR" w:eastAsia="pt-BR"/>
        </w:rPr>
        <w:t xml:space="preserve">brasileiro </w:t>
      </w:r>
      <w:r>
        <w:rPr>
          <w:bdr w:val="none" w:sz="0" w:space="0" w:color="auto"/>
          <w:lang w:val="pt-BR" w:eastAsia="pt-BR"/>
        </w:rPr>
        <w:t>de ensino. Usando dados da Prova Brasil de 2013, a estratégia de identificação se baseia na abordagem de variáveis instrumentais, em que os instrumentos</w:t>
      </w:r>
      <w:r w:rsidR="004107EC">
        <w:rPr>
          <w:bdr w:val="none" w:sz="0" w:space="0" w:color="auto"/>
          <w:lang w:val="pt-BR" w:eastAsia="pt-BR"/>
        </w:rPr>
        <w:t xml:space="preserve"> para o desempenho dos pares</w:t>
      </w:r>
      <w:r>
        <w:rPr>
          <w:bdr w:val="none" w:sz="0" w:space="0" w:color="auto"/>
          <w:lang w:val="pt-BR" w:eastAsia="pt-BR"/>
        </w:rPr>
        <w:t xml:space="preserve"> </w:t>
      </w:r>
      <w:r w:rsidR="004107EC">
        <w:rPr>
          <w:bdr w:val="none" w:sz="0" w:space="0" w:color="auto"/>
          <w:lang w:val="pt-BR" w:eastAsia="pt-BR"/>
        </w:rPr>
        <w:t>consistem nas proporções de pares nascidos no primeiro ou segundo semestre</w:t>
      </w:r>
      <w:r w:rsidR="001A7254">
        <w:rPr>
          <w:bdr w:val="none" w:sz="0" w:space="0" w:color="auto"/>
          <w:lang w:val="pt-BR" w:eastAsia="pt-BR"/>
        </w:rPr>
        <w:t xml:space="preserve"> do ano</w:t>
      </w:r>
      <w:r w:rsidR="004107EC">
        <w:rPr>
          <w:bdr w:val="none" w:sz="0" w:space="0" w:color="auto"/>
          <w:lang w:val="pt-BR" w:eastAsia="pt-BR"/>
        </w:rPr>
        <w:t>. A ideia deste instrumento consiste no fato de que as leis que definem o ingresso na escola geram uma variação na idade que</w:t>
      </w:r>
      <w:r w:rsidR="001A7254">
        <w:rPr>
          <w:bdr w:val="none" w:sz="0" w:space="0" w:color="auto"/>
          <w:lang w:val="pt-BR" w:eastAsia="pt-BR"/>
        </w:rPr>
        <w:t xml:space="preserve"> a</w:t>
      </w:r>
      <w:r w:rsidR="004107EC">
        <w:rPr>
          <w:bdr w:val="none" w:sz="0" w:space="0" w:color="auto"/>
          <w:lang w:val="pt-BR" w:eastAsia="pt-BR"/>
        </w:rPr>
        <w:t xml:space="preserve"> criança inicia a escola, fazendo com que a data de nascimento ao longo do ano se torne um importante determinante do desempenho escolar sendo, ao mesmo tempo, exógeno à qualidade dos pares. </w:t>
      </w:r>
      <w:r w:rsidR="00EF290D">
        <w:rPr>
          <w:bdr w:val="none" w:sz="0" w:space="0" w:color="auto"/>
          <w:lang w:val="pt-BR" w:eastAsia="pt-BR"/>
        </w:rPr>
        <w:t xml:space="preserve">Os resultados demonstram que escolas com maiores proporções de estudantes nascidos no segundo semestre </w:t>
      </w:r>
      <w:r w:rsidR="00EF290D" w:rsidRPr="00EF290D">
        <w:rPr>
          <w:i/>
          <w:bdr w:val="none" w:sz="0" w:space="0" w:color="auto"/>
          <w:lang w:val="pt-BR" w:eastAsia="pt-BR"/>
        </w:rPr>
        <w:t>(que entraram na escola relativamente mais velhos)</w:t>
      </w:r>
      <w:r w:rsidR="00EF290D">
        <w:rPr>
          <w:bdr w:val="none" w:sz="0" w:space="0" w:color="auto"/>
          <w:lang w:val="pt-BR" w:eastAsia="pt-BR"/>
        </w:rPr>
        <w:t xml:space="preserve"> tendem a apresentar melhor </w:t>
      </w:r>
      <w:proofErr w:type="gramStart"/>
      <w:r w:rsidR="00EF290D">
        <w:rPr>
          <w:bdr w:val="none" w:sz="0" w:space="0" w:color="auto"/>
          <w:lang w:val="pt-BR" w:eastAsia="pt-BR"/>
        </w:rPr>
        <w:t>performance</w:t>
      </w:r>
      <w:proofErr w:type="gramEnd"/>
      <w:r w:rsidR="00EF290D">
        <w:rPr>
          <w:bdr w:val="none" w:sz="0" w:space="0" w:color="auto"/>
          <w:lang w:val="pt-BR" w:eastAsia="pt-BR"/>
        </w:rPr>
        <w:t xml:space="preserve">. Para as avaliações de matemática, o aumento de um desvio-padrão na nota média dos pares gera </w:t>
      </w:r>
      <w:r w:rsidR="00F505EE">
        <w:rPr>
          <w:bdr w:val="none" w:sz="0" w:space="0" w:color="auto"/>
          <w:lang w:val="pt-BR" w:eastAsia="pt-BR"/>
        </w:rPr>
        <w:t>um acréscimo de 32% desvios-padrão da nota individual. Para as avaliações de português, esse efeito representa um aumento de 30% DP da nota do aluno.</w:t>
      </w:r>
    </w:p>
    <w:p w:rsidR="00F505EE" w:rsidRDefault="00F505EE" w:rsidP="0014104A">
      <w:pPr>
        <w:jc w:val="both"/>
        <w:rPr>
          <w:bdr w:val="none" w:sz="0" w:space="0" w:color="auto"/>
          <w:lang w:val="pt-BR" w:eastAsia="pt-BR"/>
        </w:rPr>
      </w:pPr>
      <w:r w:rsidRPr="00F505EE">
        <w:rPr>
          <w:b/>
          <w:bdr w:val="none" w:sz="0" w:space="0" w:color="auto"/>
          <w:lang w:val="pt-BR" w:eastAsia="pt-BR"/>
        </w:rPr>
        <w:t>Palavras chave:</w:t>
      </w:r>
      <w:r>
        <w:rPr>
          <w:bdr w:val="none" w:sz="0" w:space="0" w:color="auto"/>
          <w:lang w:val="pt-BR" w:eastAsia="pt-BR"/>
        </w:rPr>
        <w:t xml:space="preserve"> Desempenho escolar, Efeito de pares, Variáveis Instrumentais.</w:t>
      </w:r>
    </w:p>
    <w:p w:rsidR="00C93AF6" w:rsidRDefault="00C93AF6" w:rsidP="0014104A">
      <w:pPr>
        <w:jc w:val="both"/>
        <w:rPr>
          <w:bdr w:val="none" w:sz="0" w:space="0" w:color="auto"/>
          <w:lang w:val="pt-BR" w:eastAsia="pt-BR"/>
        </w:rPr>
      </w:pPr>
    </w:p>
    <w:p w:rsidR="00C93AF6" w:rsidRDefault="00C11704" w:rsidP="00C93AF6">
      <w:pPr>
        <w:jc w:val="both"/>
        <w:rPr>
          <w:b/>
          <w:bdr w:val="none" w:sz="0" w:space="0" w:color="auto"/>
          <w:lang w:val="pt-BR" w:eastAsia="pt-BR"/>
        </w:rPr>
      </w:pPr>
      <w:r>
        <w:rPr>
          <w:b/>
          <w:bdr w:val="none" w:sz="0" w:space="0" w:color="auto"/>
          <w:lang w:val="pt-BR" w:eastAsia="pt-BR"/>
        </w:rPr>
        <w:t>JEL: I20, I24, I</w:t>
      </w:r>
      <w:r w:rsidR="00C93AF6" w:rsidRPr="00C43AC5">
        <w:rPr>
          <w:b/>
          <w:bdr w:val="none" w:sz="0" w:space="0" w:color="auto"/>
          <w:lang w:val="pt-BR" w:eastAsia="pt-BR"/>
        </w:rPr>
        <w:t>25, C13</w:t>
      </w:r>
    </w:p>
    <w:p w:rsidR="00C93AF6" w:rsidRPr="00C93AF6" w:rsidRDefault="00C93AF6" w:rsidP="0014104A">
      <w:pPr>
        <w:jc w:val="both"/>
        <w:rPr>
          <w:bdr w:val="none" w:sz="0" w:space="0" w:color="auto"/>
          <w:lang w:val="pt-BR" w:eastAsia="pt-BR"/>
        </w:rPr>
      </w:pPr>
      <w:r w:rsidRPr="00C93AF6">
        <w:rPr>
          <w:b/>
          <w:lang w:val="pt-BR"/>
        </w:rPr>
        <w:t>Submeter à Área 12:</w:t>
      </w:r>
      <w:r w:rsidRPr="00C93AF6">
        <w:rPr>
          <w:lang w:val="pt-BR"/>
        </w:rPr>
        <w:t xml:space="preserve"> </w:t>
      </w:r>
      <w:r w:rsidRPr="00C93AF6">
        <w:rPr>
          <w:b/>
          <w:lang w:val="pt-BR"/>
        </w:rPr>
        <w:t>Economia Social e Demografia Econômica</w:t>
      </w:r>
    </w:p>
    <w:p w:rsidR="00C3319E" w:rsidRPr="00924C3F" w:rsidRDefault="00C3319E" w:rsidP="00785128">
      <w:pPr>
        <w:rPr>
          <w:bdr w:val="none" w:sz="0" w:space="0" w:color="auto"/>
          <w:lang w:val="pt-BR" w:eastAsia="pt-BR"/>
        </w:rPr>
      </w:pPr>
      <w:r w:rsidRPr="00924C3F">
        <w:rPr>
          <w:bdr w:val="none" w:sz="0" w:space="0" w:color="auto"/>
          <w:lang w:val="pt-BR" w:eastAsia="pt-BR"/>
        </w:rPr>
        <w:br w:type="page"/>
      </w:r>
    </w:p>
    <w:p w:rsidR="00C93AF6" w:rsidRPr="00C3319E" w:rsidRDefault="00C93AF6" w:rsidP="00C93AF6">
      <w:pPr>
        <w:jc w:val="center"/>
        <w:rPr>
          <w:b/>
          <w:bdr w:val="none" w:sz="0" w:space="0" w:color="auto"/>
          <w:lang w:eastAsia="pt-BR"/>
        </w:rPr>
      </w:pPr>
      <w:r w:rsidRPr="00FD215D">
        <w:rPr>
          <w:b/>
          <w:lang w:val="en-US"/>
        </w:rPr>
        <w:lastRenderedPageBreak/>
        <w:t xml:space="preserve">Peer effects and scholastic achievement: </w:t>
      </w:r>
      <w:r>
        <w:rPr>
          <w:b/>
          <w:lang w:val="en-US"/>
        </w:rPr>
        <w:t>evidence of causal effects using age at school entry as exogenous variation for peer quality</w:t>
      </w:r>
    </w:p>
    <w:p w:rsidR="00C93AF6" w:rsidRPr="00C93AF6" w:rsidRDefault="00C93AF6" w:rsidP="00785128">
      <w:pPr>
        <w:jc w:val="both"/>
        <w:rPr>
          <w:b/>
          <w:bdr w:val="none" w:sz="0" w:space="0" w:color="auto"/>
          <w:lang w:eastAsia="pt-BR"/>
        </w:rPr>
      </w:pPr>
    </w:p>
    <w:p w:rsidR="00D82BC9" w:rsidRDefault="00DC50C6" w:rsidP="00785128">
      <w:pPr>
        <w:jc w:val="both"/>
        <w:rPr>
          <w:b/>
          <w:bdr w:val="none" w:sz="0" w:space="0" w:color="auto"/>
          <w:lang w:val="en-US" w:eastAsia="pt-BR"/>
        </w:rPr>
      </w:pPr>
      <w:r>
        <w:rPr>
          <w:b/>
          <w:bdr w:val="none" w:sz="0" w:space="0" w:color="auto"/>
          <w:lang w:val="en-US" w:eastAsia="pt-BR"/>
        </w:rPr>
        <w:t>1 Introduction</w:t>
      </w:r>
      <w:r w:rsidR="00D82BC9" w:rsidRPr="00D82BC9">
        <w:rPr>
          <w:b/>
          <w:bdr w:val="none" w:sz="0" w:space="0" w:color="auto"/>
          <w:lang w:val="en-US" w:eastAsia="pt-BR"/>
        </w:rPr>
        <w:t xml:space="preserve"> </w:t>
      </w:r>
    </w:p>
    <w:p w:rsidR="0062270F" w:rsidRPr="00D82BC9" w:rsidRDefault="0062270F" w:rsidP="00785128">
      <w:pPr>
        <w:jc w:val="both"/>
        <w:rPr>
          <w:b/>
          <w:bdr w:val="none" w:sz="0" w:space="0" w:color="auto"/>
          <w:lang w:val="en-US" w:eastAsia="pt-BR"/>
        </w:rPr>
      </w:pPr>
    </w:p>
    <w:p w:rsidR="00D82BC9" w:rsidRPr="00D82BC9" w:rsidRDefault="00D82BC9" w:rsidP="00785128">
      <w:pPr>
        <w:ind w:firstLine="720"/>
        <w:jc w:val="both"/>
        <w:rPr>
          <w:bdr w:val="none" w:sz="0" w:space="0" w:color="auto"/>
          <w:lang w:val="en-US" w:eastAsia="pt-BR"/>
        </w:rPr>
      </w:pPr>
      <w:r w:rsidRPr="00D82BC9">
        <w:rPr>
          <w:bdr w:val="none" w:sz="0" w:space="0" w:color="auto"/>
          <w:lang w:val="en-US" w:eastAsia="pt-BR"/>
        </w:rPr>
        <w:t>One of the prominent issues within the economics of education is devoted to understanding the role of peers in educational outcomes</w:t>
      </w:r>
      <w:r w:rsidRPr="00D82BC9">
        <w:rPr>
          <w:bdr w:val="none" w:sz="0" w:space="0" w:color="auto"/>
          <w:vertAlign w:val="superscript"/>
          <w:lang w:val="pt-BR" w:eastAsia="pt-BR"/>
        </w:rPr>
        <w:footnoteReference w:id="1"/>
      </w:r>
      <w:r w:rsidRPr="00D82BC9">
        <w:rPr>
          <w:bdr w:val="none" w:sz="0" w:space="0" w:color="auto"/>
          <w:lang w:val="en-US" w:eastAsia="pt-BR"/>
        </w:rPr>
        <w:t xml:space="preserve">. The </w:t>
      </w:r>
      <w:r w:rsidR="00C15942" w:rsidRPr="00D82BC9">
        <w:rPr>
          <w:bdr w:val="none" w:sz="0" w:space="0" w:color="auto"/>
          <w:lang w:val="en-US" w:eastAsia="pt-BR"/>
        </w:rPr>
        <w:t>behavioral</w:t>
      </w:r>
      <w:r w:rsidRPr="00D82BC9">
        <w:rPr>
          <w:bdr w:val="none" w:sz="0" w:space="0" w:color="auto"/>
          <w:lang w:val="en-US" w:eastAsia="pt-BR"/>
        </w:rPr>
        <w:t xml:space="preserve"> influence received from friends in the social interaction process might affect educational </w:t>
      </w:r>
      <w:r w:rsidR="00E25518">
        <w:rPr>
          <w:bdr w:val="none" w:sz="0" w:space="0" w:color="auto"/>
          <w:lang w:val="en-US" w:eastAsia="pt-BR"/>
        </w:rPr>
        <w:t>results</w:t>
      </w:r>
      <w:r w:rsidRPr="00D82BC9">
        <w:rPr>
          <w:bdr w:val="none" w:sz="0" w:space="0" w:color="auto"/>
          <w:lang w:val="en-US" w:eastAsia="pt-BR"/>
        </w:rPr>
        <w:t xml:space="preserve"> not only during the schooling period, but also latter in life, having an effect on standards of educational attainment to employment decisions. Friends are a source of interaction, motivation and aspiration in the learning process and their influence operates on slightly distinct mechanisms. For example, in a more subtle way, students can benefit from externalities of knowledge created by discussions and questions from other classmates. Peer effects can also be disseminated by imitation or contagion, in which case students have individual motivations for displaying a behavior/performance that is consistent with the group in which he or she is inserted. </w:t>
      </w:r>
    </w:p>
    <w:p w:rsidR="000C7B24" w:rsidRDefault="00C15942" w:rsidP="00785128">
      <w:pPr>
        <w:ind w:firstLine="720"/>
        <w:jc w:val="both"/>
        <w:rPr>
          <w:bdr w:val="none" w:sz="0" w:space="0" w:color="auto"/>
          <w:lang w:val="en-US" w:eastAsia="pt-BR"/>
        </w:rPr>
      </w:pPr>
      <w:r>
        <w:rPr>
          <w:bdr w:val="none" w:sz="0" w:space="0" w:color="auto"/>
          <w:lang w:val="en-US" w:eastAsia="pt-BR"/>
        </w:rPr>
        <w:t>I</w:t>
      </w:r>
      <w:r w:rsidR="00D82BC9" w:rsidRPr="00D82BC9">
        <w:rPr>
          <w:bdr w:val="none" w:sz="0" w:space="0" w:color="auto"/>
          <w:lang w:val="en-US" w:eastAsia="pt-BR"/>
        </w:rPr>
        <w:t xml:space="preserve">f </w:t>
      </w:r>
      <w:r>
        <w:rPr>
          <w:bdr w:val="none" w:sz="0" w:space="0" w:color="auto"/>
          <w:lang w:val="en-US" w:eastAsia="pt-BR"/>
        </w:rPr>
        <w:t>the</w:t>
      </w:r>
      <w:r w:rsidR="00D82BC9" w:rsidRPr="00D82BC9">
        <w:rPr>
          <w:bdr w:val="none" w:sz="0" w:space="0" w:color="auto"/>
          <w:lang w:val="en-US" w:eastAsia="pt-BR"/>
        </w:rPr>
        <w:t xml:space="preserve"> individual academic performance increases as the average class performance increases, then peer effects act as a social multiplier providing, as a result, implications for educational policies</w:t>
      </w:r>
      <w:r>
        <w:rPr>
          <w:bdr w:val="none" w:sz="0" w:space="0" w:color="auto"/>
          <w:lang w:val="en-US" w:eastAsia="pt-BR"/>
        </w:rPr>
        <w:t xml:space="preserve"> (</w:t>
      </w:r>
      <w:proofErr w:type="spellStart"/>
      <w:r w:rsidRPr="006E6C99">
        <w:rPr>
          <w:bdr w:val="none" w:sz="0" w:space="0" w:color="auto"/>
          <w:lang w:val="en-US" w:eastAsia="pt-BR"/>
        </w:rPr>
        <w:t>Manski</w:t>
      </w:r>
      <w:proofErr w:type="spellEnd"/>
      <w:r w:rsidRPr="006E6C99">
        <w:rPr>
          <w:bdr w:val="none" w:sz="0" w:space="0" w:color="auto"/>
          <w:lang w:val="en-US" w:eastAsia="pt-BR"/>
        </w:rPr>
        <w:t>, 1993)</w:t>
      </w:r>
      <w:r w:rsidR="00D82BC9" w:rsidRPr="006E6C99">
        <w:rPr>
          <w:bdr w:val="none" w:sz="0" w:space="0" w:color="auto"/>
          <w:lang w:val="en-US" w:eastAsia="pt-BR"/>
        </w:rPr>
        <w:t>. These policies can guide group formation, and can be applied to school unit organization or to the whole educational system design. Would it be better to mix students with different academic performances</w:t>
      </w:r>
      <w:r w:rsidR="00D82BC9" w:rsidRPr="00D82BC9">
        <w:rPr>
          <w:bdr w:val="none" w:sz="0" w:space="0" w:color="auto"/>
          <w:lang w:val="en-US" w:eastAsia="pt-BR"/>
        </w:rPr>
        <w:t xml:space="preserve"> instead of segregating them? Do schools that separate students by gender raise students’ academic performance? Should students of different ages be in the same class, or is the coexistence between younger and older students not beneficial? Should the child study in the neighborhood where he/ she </w:t>
      </w:r>
      <w:proofErr w:type="gramStart"/>
      <w:r w:rsidR="00D82BC9" w:rsidRPr="00D82BC9">
        <w:rPr>
          <w:bdr w:val="none" w:sz="0" w:space="0" w:color="auto"/>
          <w:lang w:val="en-US" w:eastAsia="pt-BR"/>
        </w:rPr>
        <w:t>lives</w:t>
      </w:r>
      <w:proofErr w:type="gramEnd"/>
      <w:r w:rsidR="00D82BC9" w:rsidRPr="00D82BC9">
        <w:rPr>
          <w:bdr w:val="none" w:sz="0" w:space="0" w:color="auto"/>
          <w:lang w:val="en-US" w:eastAsia="pt-BR"/>
        </w:rPr>
        <w:t>? Does mixing students with special needs with other students improve the outcome of the former without impacting the performance of the latter? Questions like these support the development of educational policies and are important to school managers, parents, students and the society as a whole to consider.</w:t>
      </w:r>
    </w:p>
    <w:p w:rsidR="00D82BC9" w:rsidRDefault="00D82BC9" w:rsidP="00785128">
      <w:pPr>
        <w:ind w:firstLine="720"/>
        <w:jc w:val="both"/>
        <w:rPr>
          <w:bdr w:val="none" w:sz="0" w:space="0" w:color="auto"/>
          <w:lang w:val="en-US" w:eastAsia="pt-BR"/>
        </w:rPr>
      </w:pPr>
      <w:r w:rsidRPr="00D82BC9">
        <w:rPr>
          <w:bdr w:val="none" w:sz="0" w:space="0" w:color="auto"/>
          <w:lang w:val="en-US" w:eastAsia="pt-BR"/>
        </w:rPr>
        <w:t xml:space="preserve">Empirical identification of peer effects, however, is an arduous exercise. As first noted by </w:t>
      </w:r>
      <w:proofErr w:type="spellStart"/>
      <w:r w:rsidRPr="00D82BC9">
        <w:rPr>
          <w:bdr w:val="none" w:sz="0" w:space="0" w:color="auto"/>
          <w:lang w:val="en-US" w:eastAsia="pt-BR"/>
        </w:rPr>
        <w:t>Manski</w:t>
      </w:r>
      <w:proofErr w:type="spellEnd"/>
      <w:r w:rsidRPr="00D82BC9">
        <w:rPr>
          <w:bdr w:val="none" w:sz="0" w:space="0" w:color="auto"/>
          <w:lang w:val="en-US" w:eastAsia="pt-BR"/>
        </w:rPr>
        <w:t xml:space="preserve"> (1993), and after by many other authors, the greatest difficulty is to properly separate endogenous peer effects, from other contextual or correlated effects. In educational contexts, endogenous peer effects represent the influence of peer’s academic outcomes on individual achievement. The contextual effect captures the effects of exogenous peers attributes, such as age, gender, race, etc, on individual outcome. And the correlated or confounding effects correspond to non-observable characteristics shared by individuals in the same group that are correlated with the peer variable of interest. These common traits occur either for being exposed to the same institutional environment, or for </w:t>
      </w:r>
      <w:proofErr w:type="spellStart"/>
      <w:r w:rsidRPr="00D82BC9">
        <w:rPr>
          <w:bdr w:val="none" w:sz="0" w:space="0" w:color="auto"/>
          <w:lang w:val="en-US" w:eastAsia="pt-BR"/>
        </w:rPr>
        <w:t>homophily</w:t>
      </w:r>
      <w:proofErr w:type="spellEnd"/>
      <w:r w:rsidRPr="00D82BC9">
        <w:rPr>
          <w:bdr w:val="none" w:sz="0" w:space="0" w:color="auto"/>
          <w:lang w:val="en-US" w:eastAsia="pt-BR"/>
        </w:rPr>
        <w:t>,</w:t>
      </w:r>
      <w:r w:rsidRPr="00D82BC9" w:rsidDel="00FE3217">
        <w:rPr>
          <w:bdr w:val="none" w:sz="0" w:space="0" w:color="auto"/>
          <w:lang w:val="en-US" w:eastAsia="pt-BR"/>
        </w:rPr>
        <w:t xml:space="preserve"> </w:t>
      </w:r>
      <w:r w:rsidRPr="00D82BC9">
        <w:rPr>
          <w:bdr w:val="none" w:sz="0" w:space="0" w:color="auto"/>
          <w:lang w:val="en-US" w:eastAsia="pt-BR"/>
        </w:rPr>
        <w:t xml:space="preserve">which is the propensity of people with similar attributes to associate with each other. </w:t>
      </w:r>
    </w:p>
    <w:p w:rsidR="002E4A20" w:rsidRDefault="00E550BE" w:rsidP="00785128">
      <w:pPr>
        <w:ind w:firstLine="720"/>
        <w:jc w:val="both"/>
        <w:rPr>
          <w:lang w:val="en-US"/>
        </w:rPr>
      </w:pPr>
      <w:r>
        <w:rPr>
          <w:bdr w:val="none" w:sz="0" w:space="0" w:color="auto"/>
          <w:lang w:val="en-US" w:eastAsia="pt-BR"/>
        </w:rPr>
        <w:t>Despite</w:t>
      </w:r>
      <w:r w:rsidR="00AA1F24">
        <w:rPr>
          <w:bdr w:val="none" w:sz="0" w:space="0" w:color="auto"/>
          <w:lang w:val="en-US" w:eastAsia="pt-BR"/>
        </w:rPr>
        <w:t xml:space="preserve"> the fact that the role of peers in educational outcomes has already been vastly exploited in the</w:t>
      </w:r>
      <w:r w:rsidR="00B675BB">
        <w:rPr>
          <w:bdr w:val="none" w:sz="0" w:space="0" w:color="auto"/>
          <w:lang w:val="en-US" w:eastAsia="pt-BR"/>
        </w:rPr>
        <w:t xml:space="preserve"> international literature</w:t>
      </w:r>
      <w:r w:rsidR="00AA1F24">
        <w:rPr>
          <w:rStyle w:val="Refdenotaderodap"/>
          <w:bdr w:val="none" w:sz="0" w:space="0" w:color="auto"/>
          <w:lang w:val="en-US" w:eastAsia="pt-BR"/>
        </w:rPr>
        <w:footnoteReference w:id="2"/>
      </w:r>
      <w:r w:rsidR="00AA1F24">
        <w:rPr>
          <w:bdr w:val="none" w:sz="0" w:space="0" w:color="auto"/>
          <w:lang w:val="en-US" w:eastAsia="pt-BR"/>
        </w:rPr>
        <w:t xml:space="preserve">, in Brazil such </w:t>
      </w:r>
      <w:r w:rsidR="00B675BB">
        <w:rPr>
          <w:bdr w:val="none" w:sz="0" w:space="0" w:color="auto"/>
          <w:lang w:val="en-US" w:eastAsia="pt-BR"/>
        </w:rPr>
        <w:t>literature is still scarce</w:t>
      </w:r>
      <w:r>
        <w:rPr>
          <w:bdr w:val="none" w:sz="0" w:space="0" w:color="auto"/>
          <w:lang w:val="en-US" w:eastAsia="pt-BR"/>
        </w:rPr>
        <w:t xml:space="preserve"> with few exceptions, such as the </w:t>
      </w:r>
      <w:r w:rsidR="00B675BB">
        <w:rPr>
          <w:bdr w:val="none" w:sz="0" w:space="0" w:color="auto"/>
          <w:lang w:val="en-US" w:eastAsia="pt-BR"/>
        </w:rPr>
        <w:t xml:space="preserve">works of </w:t>
      </w:r>
      <w:proofErr w:type="spellStart"/>
      <w:r w:rsidRPr="00241A7B">
        <w:rPr>
          <w:bdr w:val="none" w:sz="0" w:space="0" w:color="auto"/>
          <w:lang w:val="en-US" w:eastAsia="pt-BR"/>
        </w:rPr>
        <w:t>Raposo</w:t>
      </w:r>
      <w:proofErr w:type="spellEnd"/>
      <w:r w:rsidRPr="00241A7B">
        <w:rPr>
          <w:bdr w:val="none" w:sz="0" w:space="0" w:color="auto"/>
          <w:lang w:val="en-US" w:eastAsia="pt-BR"/>
        </w:rPr>
        <w:t xml:space="preserve"> (2015)</w:t>
      </w:r>
      <w:r w:rsidR="00241A7B" w:rsidRPr="00241A7B">
        <w:rPr>
          <w:bdr w:val="none" w:sz="0" w:space="0" w:color="auto"/>
          <w:lang w:val="en-US" w:eastAsia="pt-BR"/>
        </w:rPr>
        <w:t xml:space="preserve">, </w:t>
      </w:r>
      <w:proofErr w:type="spellStart"/>
      <w:r w:rsidR="00767B72">
        <w:rPr>
          <w:bdr w:val="none" w:sz="0" w:space="0" w:color="auto"/>
          <w:lang w:val="en-US" w:eastAsia="pt-BR"/>
        </w:rPr>
        <w:t>Firpo</w:t>
      </w:r>
      <w:proofErr w:type="spellEnd"/>
      <w:r w:rsidR="00767B72">
        <w:rPr>
          <w:bdr w:val="none" w:sz="0" w:space="0" w:color="auto"/>
          <w:lang w:val="en-US" w:eastAsia="pt-BR"/>
        </w:rPr>
        <w:t xml:space="preserve"> </w:t>
      </w:r>
      <w:r w:rsidR="00767B72" w:rsidRPr="00767B72">
        <w:rPr>
          <w:i/>
          <w:bdr w:val="none" w:sz="0" w:space="0" w:color="auto"/>
          <w:lang w:val="en-US" w:eastAsia="pt-BR"/>
        </w:rPr>
        <w:t>et al.</w:t>
      </w:r>
      <w:r w:rsidR="00767B72">
        <w:rPr>
          <w:bdr w:val="none" w:sz="0" w:space="0" w:color="auto"/>
          <w:lang w:val="en-US" w:eastAsia="pt-BR"/>
        </w:rPr>
        <w:t xml:space="preserve"> (2015), </w:t>
      </w:r>
      <w:r w:rsidR="00241A7B">
        <w:t>Oliveira (201</w:t>
      </w:r>
      <w:r w:rsidR="00894241">
        <w:t>5</w:t>
      </w:r>
      <w:r w:rsidR="00241A7B">
        <w:t xml:space="preserve">), </w:t>
      </w:r>
      <w:proofErr w:type="spellStart"/>
      <w:r w:rsidR="00241A7B">
        <w:t>Koppensteiner</w:t>
      </w:r>
      <w:proofErr w:type="spellEnd"/>
      <w:r w:rsidR="00241A7B">
        <w:t xml:space="preserve"> (2012) and </w:t>
      </w:r>
      <w:r w:rsidRPr="00241A7B">
        <w:rPr>
          <w:bdr w:val="none" w:sz="0" w:space="0" w:color="auto"/>
          <w:lang w:val="en-US" w:eastAsia="pt-BR"/>
        </w:rPr>
        <w:t xml:space="preserve">Pinto </w:t>
      </w:r>
      <w:r w:rsidR="00241A7B" w:rsidRPr="00241A7B">
        <w:rPr>
          <w:bdr w:val="none" w:sz="0" w:space="0" w:color="auto"/>
          <w:lang w:val="en-US" w:eastAsia="pt-BR"/>
        </w:rPr>
        <w:t>(2008)</w:t>
      </w:r>
      <w:r w:rsidR="00B675BB" w:rsidRPr="00241A7B">
        <w:rPr>
          <w:bdr w:val="none" w:sz="0" w:space="0" w:color="auto"/>
          <w:lang w:val="en-US" w:eastAsia="pt-BR"/>
        </w:rPr>
        <w:t xml:space="preserve">. </w:t>
      </w:r>
      <w:r w:rsidR="007212C5" w:rsidRPr="00241A7B">
        <w:rPr>
          <w:bdr w:val="none" w:sz="0" w:space="0" w:color="auto"/>
          <w:lang w:val="en-US" w:eastAsia="pt-BR"/>
        </w:rPr>
        <w:t>The</w:t>
      </w:r>
      <w:r w:rsidR="007212C5">
        <w:rPr>
          <w:bdr w:val="none" w:sz="0" w:space="0" w:color="auto"/>
          <w:lang w:val="en-US" w:eastAsia="pt-BR"/>
        </w:rPr>
        <w:t xml:space="preserve"> present paper </w:t>
      </w:r>
      <w:r w:rsidR="00EE0BF0">
        <w:rPr>
          <w:bdr w:val="none" w:sz="0" w:space="0" w:color="auto"/>
          <w:lang w:val="en-US" w:eastAsia="pt-BR"/>
        </w:rPr>
        <w:t>contributes with</w:t>
      </w:r>
      <w:r w:rsidR="00B675BB">
        <w:rPr>
          <w:bdr w:val="none" w:sz="0" w:space="0" w:color="auto"/>
          <w:lang w:val="en-US" w:eastAsia="pt-BR"/>
        </w:rPr>
        <w:t xml:space="preserve"> additional evidence </w:t>
      </w:r>
      <w:r w:rsidR="002C247C">
        <w:rPr>
          <w:bdr w:val="none" w:sz="0" w:space="0" w:color="auto"/>
          <w:lang w:val="en-US" w:eastAsia="pt-BR"/>
        </w:rPr>
        <w:t xml:space="preserve">for the Brazilian context </w:t>
      </w:r>
      <w:r w:rsidR="00EE0BF0">
        <w:rPr>
          <w:bdr w:val="none" w:sz="0" w:space="0" w:color="auto"/>
          <w:lang w:val="en-US" w:eastAsia="pt-BR"/>
        </w:rPr>
        <w:t>and address</w:t>
      </w:r>
      <w:r w:rsidR="002A1330">
        <w:rPr>
          <w:bdr w:val="none" w:sz="0" w:space="0" w:color="auto"/>
          <w:lang w:val="en-US" w:eastAsia="pt-BR"/>
        </w:rPr>
        <w:t>es</w:t>
      </w:r>
      <w:r w:rsidR="00EE0BF0">
        <w:rPr>
          <w:bdr w:val="none" w:sz="0" w:space="0" w:color="auto"/>
          <w:lang w:val="en-US" w:eastAsia="pt-BR"/>
        </w:rPr>
        <w:t xml:space="preserve"> the identi</w:t>
      </w:r>
      <w:r w:rsidR="002A1330">
        <w:rPr>
          <w:bdr w:val="none" w:sz="0" w:space="0" w:color="auto"/>
          <w:lang w:val="en-US" w:eastAsia="pt-BR"/>
        </w:rPr>
        <w:t>fi</w:t>
      </w:r>
      <w:r w:rsidR="00EE0BF0">
        <w:rPr>
          <w:bdr w:val="none" w:sz="0" w:space="0" w:color="auto"/>
          <w:lang w:val="en-US" w:eastAsia="pt-BR"/>
        </w:rPr>
        <w:t xml:space="preserve">cation issues building on the </w:t>
      </w:r>
      <w:r w:rsidR="006671B1" w:rsidRPr="00065ABC">
        <w:rPr>
          <w:lang w:val="en-US"/>
        </w:rPr>
        <w:t>use of a</w:t>
      </w:r>
      <w:r w:rsidR="006671B1">
        <w:rPr>
          <w:lang w:val="en-US"/>
        </w:rPr>
        <w:t>n instrumental</w:t>
      </w:r>
      <w:r w:rsidR="006671B1" w:rsidRPr="00065ABC">
        <w:rPr>
          <w:lang w:val="en-US"/>
        </w:rPr>
        <w:t xml:space="preserve"> variable </w:t>
      </w:r>
      <w:r w:rsidR="003255EE">
        <w:rPr>
          <w:lang w:val="en-US"/>
        </w:rPr>
        <w:t xml:space="preserve">(IV) </w:t>
      </w:r>
      <w:r w:rsidR="006671B1" w:rsidRPr="00065ABC">
        <w:rPr>
          <w:lang w:val="en-US"/>
        </w:rPr>
        <w:t>which determines</w:t>
      </w:r>
      <w:r w:rsidR="006671B1">
        <w:rPr>
          <w:lang w:val="en-US"/>
        </w:rPr>
        <w:t xml:space="preserve"> peer</w:t>
      </w:r>
      <w:r w:rsidR="006671B1" w:rsidRPr="00065ABC">
        <w:rPr>
          <w:lang w:val="en-US"/>
        </w:rPr>
        <w:t>s</w:t>
      </w:r>
      <w:r w:rsidR="006671B1">
        <w:rPr>
          <w:lang w:val="en-US"/>
        </w:rPr>
        <w:t>’</w:t>
      </w:r>
      <w:r w:rsidR="006671B1" w:rsidRPr="00065ABC">
        <w:rPr>
          <w:lang w:val="en-US"/>
        </w:rPr>
        <w:t xml:space="preserve"> </w:t>
      </w:r>
      <w:r w:rsidR="00AA4D49">
        <w:rPr>
          <w:lang w:val="en-US"/>
        </w:rPr>
        <w:t xml:space="preserve">educational </w:t>
      </w:r>
      <w:r w:rsidR="006671B1" w:rsidRPr="00065ABC">
        <w:rPr>
          <w:lang w:val="en-US"/>
        </w:rPr>
        <w:t>performance at school</w:t>
      </w:r>
      <w:r w:rsidR="006671B1">
        <w:rPr>
          <w:lang w:val="en-US"/>
        </w:rPr>
        <w:t>,</w:t>
      </w:r>
      <w:r w:rsidR="006671B1" w:rsidRPr="00065ABC">
        <w:rPr>
          <w:lang w:val="en-US"/>
        </w:rPr>
        <w:t xml:space="preserve"> but which is nonetheless exogenous </w:t>
      </w:r>
      <w:r w:rsidR="006671B1">
        <w:rPr>
          <w:lang w:val="en-US"/>
        </w:rPr>
        <w:t xml:space="preserve">to any unobserved factor related to the potential individual </w:t>
      </w:r>
      <w:r w:rsidR="006671B1">
        <w:rPr>
          <w:lang w:val="en-US"/>
        </w:rPr>
        <w:lastRenderedPageBreak/>
        <w:t>outcome</w:t>
      </w:r>
      <w:r w:rsidR="006671B1" w:rsidRPr="00065ABC">
        <w:rPr>
          <w:lang w:val="en-US"/>
        </w:rPr>
        <w:t xml:space="preserve">. Specifically, </w:t>
      </w:r>
      <w:r w:rsidR="006671B1">
        <w:rPr>
          <w:lang w:val="en-US"/>
        </w:rPr>
        <w:t>the instruments being considered here are the proportions of peers born in the first or second sem</w:t>
      </w:r>
      <w:r w:rsidR="006671B1" w:rsidRPr="00B05B3B">
        <w:rPr>
          <w:lang w:val="en-US"/>
        </w:rPr>
        <w:t xml:space="preserve">ester of the year, as proposed by the work of </w:t>
      </w:r>
      <w:proofErr w:type="spellStart"/>
      <w:r w:rsidR="006671B1" w:rsidRPr="00B05B3B">
        <w:rPr>
          <w:bdr w:val="none" w:sz="0" w:space="0" w:color="auto"/>
          <w:lang w:val="en-US" w:eastAsia="pt-BR"/>
        </w:rPr>
        <w:t>Goux</w:t>
      </w:r>
      <w:proofErr w:type="spellEnd"/>
      <w:r w:rsidR="006671B1" w:rsidRPr="00B05B3B">
        <w:rPr>
          <w:bdr w:val="none" w:sz="0" w:space="0" w:color="auto"/>
          <w:lang w:val="en-US" w:eastAsia="pt-BR"/>
        </w:rPr>
        <w:t xml:space="preserve"> and </w:t>
      </w:r>
      <w:proofErr w:type="spellStart"/>
      <w:r w:rsidR="006671B1" w:rsidRPr="00B05B3B">
        <w:rPr>
          <w:bdr w:val="none" w:sz="0" w:space="0" w:color="auto"/>
          <w:lang w:val="en-US" w:eastAsia="pt-BR"/>
        </w:rPr>
        <w:t>Maurin</w:t>
      </w:r>
      <w:proofErr w:type="spellEnd"/>
      <w:r w:rsidR="006671B1" w:rsidRPr="00B05B3B">
        <w:rPr>
          <w:bdr w:val="none" w:sz="0" w:space="0" w:color="auto"/>
          <w:lang w:val="en-US" w:eastAsia="pt-BR"/>
        </w:rPr>
        <w:t xml:space="preserve"> (2007)</w:t>
      </w:r>
      <w:r w:rsidR="006A1855" w:rsidRPr="00B05B3B">
        <w:rPr>
          <w:rStyle w:val="Refdenotaderodap"/>
          <w:bdr w:val="none" w:sz="0" w:space="0" w:color="auto"/>
          <w:lang w:val="en-US" w:eastAsia="pt-BR"/>
        </w:rPr>
        <w:footnoteReference w:id="3"/>
      </w:r>
      <w:r w:rsidR="006671B1" w:rsidRPr="00B05B3B">
        <w:rPr>
          <w:lang w:val="en-US"/>
        </w:rPr>
        <w:t>.</w:t>
      </w:r>
      <w:r w:rsidR="00DC50C6" w:rsidRPr="00B05B3B">
        <w:rPr>
          <w:lang w:val="en-US"/>
        </w:rPr>
        <w:t xml:space="preserve"> </w:t>
      </w:r>
    </w:p>
    <w:p w:rsidR="000868B0" w:rsidRPr="0010756B" w:rsidRDefault="00DC50C6" w:rsidP="00785128">
      <w:pPr>
        <w:ind w:firstLine="720"/>
        <w:jc w:val="both"/>
        <w:rPr>
          <w:lang w:val="en-US"/>
        </w:rPr>
      </w:pPr>
      <w:r w:rsidRPr="00B05B3B">
        <w:rPr>
          <w:lang w:val="en-US"/>
        </w:rPr>
        <w:t>The intuition behind such instrument is based on the relative age literature, which demonstrates that date of birth within the year is an important determinant of educational achievement and, at the same time, it is plausibly exogenous to the quality of the student’s peers.</w:t>
      </w:r>
      <w:r w:rsidR="008D75C4">
        <w:rPr>
          <w:lang w:val="en-US"/>
        </w:rPr>
        <w:t xml:space="preserve"> </w:t>
      </w:r>
      <w:r w:rsidR="000868B0">
        <w:rPr>
          <w:lang w:val="en-US"/>
        </w:rPr>
        <w:t xml:space="preserve">The idea is that </w:t>
      </w:r>
      <w:r w:rsidR="000868B0" w:rsidRPr="00D74864">
        <w:t xml:space="preserve">educational </w:t>
      </w:r>
      <w:r w:rsidR="000868B0">
        <w:t>achievement</w:t>
      </w:r>
      <w:r w:rsidR="000868B0" w:rsidRPr="00D74864">
        <w:t xml:space="preserve"> is related to age at school entry </w:t>
      </w:r>
      <w:r w:rsidR="000868B0">
        <w:t xml:space="preserve">because of the age variation induced by compulsory school attendance laws. </w:t>
      </w:r>
      <w:r w:rsidR="00901D74">
        <w:rPr>
          <w:lang w:val="en-US"/>
        </w:rPr>
        <w:t>In many countries there</w:t>
      </w:r>
      <w:r w:rsidR="00901D74" w:rsidRPr="00B05B3B">
        <w:rPr>
          <w:lang w:val="en-US"/>
        </w:rPr>
        <w:t xml:space="preserve"> are attendance laws that define </w:t>
      </w:r>
      <w:r w:rsidR="000868B0" w:rsidRPr="00B05B3B">
        <w:rPr>
          <w:lang w:val="en-US"/>
        </w:rPr>
        <w:t xml:space="preserve">the </w:t>
      </w:r>
      <w:r w:rsidR="00901D74" w:rsidRPr="00B05B3B">
        <w:t>age</w:t>
      </w:r>
      <w:r w:rsidR="00901D74" w:rsidRPr="00D74864">
        <w:t xml:space="preserve"> at school entry </w:t>
      </w:r>
      <w:r w:rsidR="00901D74">
        <w:t xml:space="preserve">based on a specified </w:t>
      </w:r>
      <w:r w:rsidR="00B05B3B">
        <w:t>cut-off</w:t>
      </w:r>
      <w:r w:rsidR="00901D74">
        <w:t xml:space="preserve"> date, </w:t>
      </w:r>
      <w:r w:rsidR="006C2CE7">
        <w:t>which induce some</w:t>
      </w:r>
      <w:r w:rsidR="00901D74">
        <w:t xml:space="preserve"> </w:t>
      </w:r>
      <w:r w:rsidR="00901D74" w:rsidRPr="00D74864">
        <w:t xml:space="preserve">children </w:t>
      </w:r>
      <w:r w:rsidR="006C2CE7">
        <w:t xml:space="preserve">to </w:t>
      </w:r>
      <w:r w:rsidR="00901D74" w:rsidRPr="00D74864">
        <w:t>enter at a</w:t>
      </w:r>
      <w:r w:rsidR="006C2CE7">
        <w:t xml:space="preserve"> relatively</w:t>
      </w:r>
      <w:r w:rsidR="00901D74" w:rsidRPr="00D74864">
        <w:t xml:space="preserve"> older </w:t>
      </w:r>
      <w:r w:rsidR="006C2CE7">
        <w:t xml:space="preserve">(or younger) </w:t>
      </w:r>
      <w:r w:rsidR="00901D74" w:rsidRPr="00D74864">
        <w:t>age</w:t>
      </w:r>
      <w:r w:rsidR="006C2CE7">
        <w:t>. For instance</w:t>
      </w:r>
      <w:r w:rsidR="00AC5825">
        <w:t>,</w:t>
      </w:r>
      <w:r w:rsidR="006C2CE7">
        <w:t xml:space="preserve"> in Brazil </w:t>
      </w:r>
      <w:r w:rsidR="00391C0C">
        <w:t xml:space="preserve">there is a Federal law </w:t>
      </w:r>
      <w:r w:rsidR="00C026F5">
        <w:t>establishing that</w:t>
      </w:r>
      <w:r w:rsidR="00391C0C">
        <w:t xml:space="preserve"> a child </w:t>
      </w:r>
      <w:r w:rsidR="00C026F5">
        <w:t xml:space="preserve">should </w:t>
      </w:r>
      <w:r w:rsidR="00391C0C">
        <w:t>enter in the 1</w:t>
      </w:r>
      <w:r w:rsidR="00391C0C" w:rsidRPr="00391C0C">
        <w:rPr>
          <w:vertAlign w:val="superscript"/>
        </w:rPr>
        <w:t>st</w:t>
      </w:r>
      <w:r w:rsidR="00391C0C">
        <w:t xml:space="preserve"> year of </w:t>
      </w:r>
      <w:r w:rsidR="00C026F5">
        <w:t>school</w:t>
      </w:r>
      <w:r w:rsidR="00391C0C">
        <w:t xml:space="preserve"> if he/ she turns six years old until </w:t>
      </w:r>
      <w:r w:rsidR="00AA0FE5">
        <w:t>the beginning of the school year (which usually occurs in March)</w:t>
      </w:r>
      <w:r w:rsidR="003A59A2">
        <w:rPr>
          <w:rStyle w:val="Refdenotaderodap"/>
        </w:rPr>
        <w:footnoteReference w:id="4"/>
      </w:r>
      <w:r w:rsidR="000868B0">
        <w:t>, those born after that should wait until the next year</w:t>
      </w:r>
      <w:r w:rsidR="00391C0C">
        <w:t xml:space="preserve">. </w:t>
      </w:r>
      <w:r w:rsidR="002F5766">
        <w:t xml:space="preserve">In Chile and other Latin American countries this </w:t>
      </w:r>
      <w:r w:rsidR="00B05B3B">
        <w:t>cut-off</w:t>
      </w:r>
      <w:r w:rsidR="002F5766">
        <w:t xml:space="preserve"> </w:t>
      </w:r>
      <w:r w:rsidR="0067660D">
        <w:t>is the first semester of the year</w:t>
      </w:r>
      <w:r w:rsidR="002F5766">
        <w:t xml:space="preserve">. In the US and other </w:t>
      </w:r>
      <w:r w:rsidR="002F5766" w:rsidRPr="003A59A2">
        <w:t>European</w:t>
      </w:r>
      <w:r w:rsidR="00901D74" w:rsidRPr="003A59A2">
        <w:t xml:space="preserve"> </w:t>
      </w:r>
      <w:r w:rsidR="002F5766" w:rsidRPr="003A59A2">
        <w:t xml:space="preserve">countries </w:t>
      </w:r>
      <w:r w:rsidR="002F5766" w:rsidRPr="003A59A2">
        <w:rPr>
          <w:lang w:val="en-US"/>
        </w:rPr>
        <w:t xml:space="preserve">attendance laws require students to enter school in the fall of the year in which they turn </w:t>
      </w:r>
      <w:r w:rsidR="0010756B">
        <w:rPr>
          <w:lang w:val="en-US"/>
        </w:rPr>
        <w:t>six</w:t>
      </w:r>
      <w:r w:rsidR="002F5766" w:rsidRPr="003A59A2">
        <w:rPr>
          <w:lang w:val="en-US"/>
        </w:rPr>
        <w:t xml:space="preserve">. </w:t>
      </w:r>
    </w:p>
    <w:p w:rsidR="006671B1" w:rsidRDefault="008D75C4" w:rsidP="00785128">
      <w:pPr>
        <w:ind w:firstLine="720"/>
        <w:jc w:val="both"/>
        <w:rPr>
          <w:lang w:val="en-US"/>
        </w:rPr>
      </w:pPr>
      <w:proofErr w:type="spellStart"/>
      <w:r>
        <w:rPr>
          <w:lang w:val="en-US"/>
        </w:rPr>
        <w:t>Goux</w:t>
      </w:r>
      <w:proofErr w:type="spellEnd"/>
      <w:r>
        <w:rPr>
          <w:lang w:val="en-US"/>
        </w:rPr>
        <w:t xml:space="preserve"> and </w:t>
      </w:r>
      <w:proofErr w:type="spellStart"/>
      <w:r>
        <w:rPr>
          <w:lang w:val="en-US"/>
        </w:rPr>
        <w:t>Maurin</w:t>
      </w:r>
      <w:proofErr w:type="spellEnd"/>
      <w:r>
        <w:rPr>
          <w:lang w:val="en-US"/>
        </w:rPr>
        <w:t xml:space="preserve"> (2007) find </w:t>
      </w:r>
      <w:r w:rsidRPr="00E751C8">
        <w:rPr>
          <w:lang w:val="en-US"/>
        </w:rPr>
        <w:t>t</w:t>
      </w:r>
      <w:r>
        <w:rPr>
          <w:lang w:val="en-US"/>
        </w:rPr>
        <w:t xml:space="preserve">he proportion of 15 </w:t>
      </w:r>
      <w:r w:rsidRPr="00E751C8">
        <w:rPr>
          <w:lang w:val="en-US"/>
        </w:rPr>
        <w:t>year</w:t>
      </w:r>
      <w:r>
        <w:rPr>
          <w:lang w:val="en-US"/>
        </w:rPr>
        <w:t xml:space="preserve">s </w:t>
      </w:r>
      <w:r w:rsidRPr="00E751C8">
        <w:rPr>
          <w:lang w:val="en-US"/>
        </w:rPr>
        <w:t>ol</w:t>
      </w:r>
      <w:r>
        <w:rPr>
          <w:lang w:val="en-US"/>
        </w:rPr>
        <w:t xml:space="preserve">d children held back a grade in France </w:t>
      </w:r>
      <w:r w:rsidRPr="00363B00">
        <w:rPr>
          <w:rFonts w:cs="AdvPSNBAS-R"/>
          <w:lang w:val="en-US"/>
        </w:rPr>
        <w:t>is about 15 percentage points higher for children born at the end of the year – the least mature of their class – than for children born at the beginning</w:t>
      </w:r>
      <w:r w:rsidR="00471595">
        <w:rPr>
          <w:rStyle w:val="Refdenotaderodap"/>
          <w:rFonts w:cs="AdvPSNBAS-R"/>
          <w:lang w:val="en-US"/>
        </w:rPr>
        <w:footnoteReference w:id="5"/>
      </w:r>
      <w:r>
        <w:rPr>
          <w:rFonts w:cs="AdvPSNBAS-R"/>
          <w:lang w:val="en-US"/>
        </w:rPr>
        <w:t>.</w:t>
      </w:r>
      <w:r w:rsidR="00B04AC3">
        <w:rPr>
          <w:rFonts w:cs="AdvPSNBAS-R"/>
          <w:lang w:val="en-US"/>
        </w:rPr>
        <w:t xml:space="preserve"> In the case of our study, we find </w:t>
      </w:r>
      <w:r w:rsidR="00BF40C4">
        <w:rPr>
          <w:rFonts w:cs="AdvPSNBAS-R"/>
          <w:lang w:val="en-US"/>
        </w:rPr>
        <w:t>4</w:t>
      </w:r>
      <w:r w:rsidR="00BF40C4" w:rsidRPr="00BF40C4">
        <w:rPr>
          <w:rFonts w:cs="AdvPSNBAS-R"/>
          <w:vertAlign w:val="superscript"/>
          <w:lang w:val="en-US"/>
        </w:rPr>
        <w:t>th</w:t>
      </w:r>
      <w:r w:rsidR="00BF40C4">
        <w:rPr>
          <w:rFonts w:cs="AdvPSNBAS-R"/>
          <w:lang w:val="en-US"/>
        </w:rPr>
        <w:t xml:space="preserve"> graders </w:t>
      </w:r>
      <w:r w:rsidR="00B04AC3">
        <w:rPr>
          <w:rFonts w:cs="AdvPSNBAS-R"/>
          <w:lang w:val="en-US"/>
        </w:rPr>
        <w:t xml:space="preserve">students born in the second semester – relatively </w:t>
      </w:r>
      <w:r w:rsidR="00D926E2">
        <w:rPr>
          <w:rFonts w:cs="AdvPSNBAS-R"/>
          <w:lang w:val="en-US"/>
        </w:rPr>
        <w:t>older</w:t>
      </w:r>
      <w:r w:rsidR="00B04AC3">
        <w:rPr>
          <w:rFonts w:cs="AdvPSNBAS-R"/>
          <w:lang w:val="en-US"/>
        </w:rPr>
        <w:t xml:space="preserve"> in the Brazilian scholar calen</w:t>
      </w:r>
      <w:r w:rsidR="00B04AC3" w:rsidRPr="00D926E2">
        <w:rPr>
          <w:rFonts w:cs="AdvPSNBAS-R"/>
          <w:lang w:val="en-US"/>
        </w:rPr>
        <w:t>dar – tend to perform better in math and Portuguese language exams</w:t>
      </w:r>
      <w:r w:rsidR="00D926E2" w:rsidRPr="00D926E2">
        <w:rPr>
          <w:rFonts w:cs="AdvPSNBAS-R"/>
          <w:lang w:val="en-US"/>
        </w:rPr>
        <w:t xml:space="preserve"> </w:t>
      </w:r>
      <w:r w:rsidR="00B04AC3" w:rsidRPr="00C85B15">
        <w:rPr>
          <w:rFonts w:cs="AdvPSNBAS-R"/>
          <w:lang w:val="en-US"/>
        </w:rPr>
        <w:t>of</w:t>
      </w:r>
      <w:r w:rsidR="00B04AC3">
        <w:rPr>
          <w:rFonts w:cs="AdvPSNBAS-R"/>
          <w:lang w:val="en-US"/>
        </w:rPr>
        <w:t xml:space="preserve"> </w:t>
      </w:r>
      <w:proofErr w:type="spellStart"/>
      <w:r w:rsidR="00B04AC3" w:rsidRPr="00DC1F69">
        <w:rPr>
          <w:rFonts w:cs="AdvPSNBAS-R"/>
          <w:i/>
          <w:lang w:val="en-US"/>
        </w:rPr>
        <w:t>Prova</w:t>
      </w:r>
      <w:proofErr w:type="spellEnd"/>
      <w:r w:rsidR="00B04AC3" w:rsidRPr="00DC1F69">
        <w:rPr>
          <w:rFonts w:cs="AdvPSNBAS-R"/>
          <w:i/>
          <w:lang w:val="en-US"/>
        </w:rPr>
        <w:t xml:space="preserve"> </w:t>
      </w:r>
      <w:proofErr w:type="spellStart"/>
      <w:r w:rsidR="00B04AC3" w:rsidRPr="00DC1F69">
        <w:rPr>
          <w:rFonts w:cs="AdvPSNBAS-R"/>
          <w:i/>
          <w:lang w:val="en-US"/>
        </w:rPr>
        <w:t>Brasil</w:t>
      </w:r>
      <w:proofErr w:type="spellEnd"/>
      <w:r w:rsidR="00B04AC3">
        <w:rPr>
          <w:rFonts w:cs="AdvPSNBAS-R"/>
          <w:lang w:val="en-US"/>
        </w:rPr>
        <w:t xml:space="preserve">. </w:t>
      </w:r>
      <w:r w:rsidR="00B04AC3">
        <w:rPr>
          <w:lang w:val="en-US"/>
        </w:rPr>
        <w:t xml:space="preserve">Based on </w:t>
      </w:r>
      <w:r w:rsidR="00607B9E">
        <w:rPr>
          <w:lang w:val="en-US"/>
        </w:rPr>
        <w:t>such</w:t>
      </w:r>
      <w:r w:rsidR="00B04AC3">
        <w:rPr>
          <w:lang w:val="en-US"/>
        </w:rPr>
        <w:t xml:space="preserve"> evidence</w:t>
      </w:r>
      <w:r w:rsidR="00B04AC3" w:rsidRPr="007539DC">
        <w:rPr>
          <w:lang w:val="en-US"/>
        </w:rPr>
        <w:t>, one simple way to identify</w:t>
      </w:r>
      <w:r w:rsidR="00B04AC3">
        <w:rPr>
          <w:lang w:val="en-US"/>
        </w:rPr>
        <w:t xml:space="preserve"> </w:t>
      </w:r>
      <w:r w:rsidR="00B04AC3" w:rsidRPr="007539DC">
        <w:rPr>
          <w:lang w:val="en-US"/>
        </w:rPr>
        <w:t xml:space="preserve">the influence of </w:t>
      </w:r>
      <w:r w:rsidR="00B04AC3">
        <w:rPr>
          <w:lang w:val="en-US"/>
        </w:rPr>
        <w:t>scholar peer effects</w:t>
      </w:r>
      <w:r w:rsidR="000868B0">
        <w:rPr>
          <w:lang w:val="en-US"/>
        </w:rPr>
        <w:t>, in the present paper,</w:t>
      </w:r>
      <w:r w:rsidR="00B04AC3">
        <w:rPr>
          <w:lang w:val="en-US"/>
        </w:rPr>
        <w:t xml:space="preserve"> </w:t>
      </w:r>
      <w:r w:rsidR="00B04AC3" w:rsidRPr="007539DC">
        <w:rPr>
          <w:lang w:val="en-US"/>
        </w:rPr>
        <w:t xml:space="preserve">is to test whether </w:t>
      </w:r>
      <w:r w:rsidR="00B04AC3">
        <w:rPr>
          <w:lang w:val="en-US"/>
        </w:rPr>
        <w:t>student</w:t>
      </w:r>
      <w:r w:rsidR="00B04AC3" w:rsidRPr="007539DC">
        <w:rPr>
          <w:lang w:val="en-US"/>
        </w:rPr>
        <w:t xml:space="preserve">'s performance at school is affected by the distribution of dates of birth within the year of the other </w:t>
      </w:r>
      <w:r w:rsidR="00B04AC3">
        <w:rPr>
          <w:lang w:val="en-US"/>
        </w:rPr>
        <w:t>peers from</w:t>
      </w:r>
      <w:r w:rsidR="00B04AC3" w:rsidRPr="007539DC">
        <w:rPr>
          <w:lang w:val="en-US"/>
        </w:rPr>
        <w:t xml:space="preserve"> the same </w:t>
      </w:r>
      <w:r w:rsidR="00BF40C4">
        <w:rPr>
          <w:lang w:val="en-US"/>
        </w:rPr>
        <w:t>school, u</w:t>
      </w:r>
      <w:r w:rsidR="00787093">
        <w:rPr>
          <w:lang w:val="en-US"/>
        </w:rPr>
        <w:t>sing data</w:t>
      </w:r>
      <w:r w:rsidR="00B04AC3">
        <w:rPr>
          <w:lang w:val="en-US"/>
        </w:rPr>
        <w:t xml:space="preserve"> from</w:t>
      </w:r>
      <w:r w:rsidR="00BF40C4">
        <w:rPr>
          <w:lang w:val="en-US"/>
        </w:rPr>
        <w:t xml:space="preserve"> the</w:t>
      </w:r>
      <w:r w:rsidR="00B04AC3">
        <w:rPr>
          <w:lang w:val="en-US"/>
        </w:rPr>
        <w:t xml:space="preserve"> </w:t>
      </w:r>
      <w:proofErr w:type="spellStart"/>
      <w:r w:rsidR="00B04AC3" w:rsidRPr="00B04AC3">
        <w:rPr>
          <w:i/>
          <w:lang w:val="en-US"/>
        </w:rPr>
        <w:t>Prova</w:t>
      </w:r>
      <w:proofErr w:type="spellEnd"/>
      <w:r w:rsidR="00B04AC3" w:rsidRPr="00B04AC3">
        <w:rPr>
          <w:i/>
          <w:lang w:val="en-US"/>
        </w:rPr>
        <w:t xml:space="preserve"> </w:t>
      </w:r>
      <w:proofErr w:type="spellStart"/>
      <w:r w:rsidR="00B04AC3" w:rsidRPr="00B04AC3">
        <w:rPr>
          <w:i/>
          <w:lang w:val="en-US"/>
        </w:rPr>
        <w:t>Brasil</w:t>
      </w:r>
      <w:proofErr w:type="spellEnd"/>
      <w:r w:rsidR="00B04AC3">
        <w:rPr>
          <w:lang w:val="en-US"/>
        </w:rPr>
        <w:t xml:space="preserve"> exams for the year of 2013. </w:t>
      </w:r>
    </w:p>
    <w:p w:rsidR="004E3564" w:rsidRPr="00D82BC9" w:rsidRDefault="004E3564" w:rsidP="00785128">
      <w:pPr>
        <w:ind w:firstLine="708"/>
        <w:jc w:val="both"/>
        <w:rPr>
          <w:bdr w:val="none" w:sz="0" w:space="0" w:color="auto"/>
          <w:lang w:val="en-US" w:eastAsia="pt-BR"/>
        </w:rPr>
      </w:pPr>
      <w:r>
        <w:rPr>
          <w:bdr w:val="none" w:sz="0" w:space="0" w:color="auto"/>
          <w:lang w:val="en-US" w:eastAsia="pt-BR"/>
        </w:rPr>
        <w:t>The rest of the</w:t>
      </w:r>
      <w:r w:rsidRPr="00D82BC9">
        <w:rPr>
          <w:bdr w:val="none" w:sz="0" w:space="0" w:color="auto"/>
          <w:lang w:val="en-US" w:eastAsia="pt-BR"/>
        </w:rPr>
        <w:t xml:space="preserve"> paper is organized </w:t>
      </w:r>
      <w:r w:rsidRPr="002D0065">
        <w:rPr>
          <w:bdr w:val="none" w:sz="0" w:space="0" w:color="auto"/>
          <w:lang w:val="en-US" w:eastAsia="pt-BR"/>
        </w:rPr>
        <w:t>into five additional sections.</w:t>
      </w:r>
      <w:r w:rsidRPr="00D82BC9">
        <w:rPr>
          <w:bdr w:val="none" w:sz="0" w:space="0" w:color="auto"/>
          <w:lang w:val="en-US" w:eastAsia="pt-BR"/>
        </w:rPr>
        <w:t xml:space="preserve"> Section </w:t>
      </w:r>
      <w:r>
        <w:rPr>
          <w:bdr w:val="none" w:sz="0" w:space="0" w:color="auto"/>
          <w:lang w:val="en-US" w:eastAsia="pt-BR"/>
        </w:rPr>
        <w:t>two</w:t>
      </w:r>
      <w:r w:rsidRPr="00D82BC9">
        <w:rPr>
          <w:bdr w:val="none" w:sz="0" w:space="0" w:color="auto"/>
          <w:lang w:val="en-US" w:eastAsia="pt-BR"/>
        </w:rPr>
        <w:t xml:space="preserve"> </w:t>
      </w:r>
      <w:r>
        <w:rPr>
          <w:bdr w:val="none" w:sz="0" w:space="0" w:color="auto"/>
          <w:lang w:val="en-US" w:eastAsia="pt-BR"/>
        </w:rPr>
        <w:t>presents the IV i</w:t>
      </w:r>
      <w:r w:rsidRPr="00311FCD">
        <w:rPr>
          <w:bCs/>
          <w:bdr w:val="none" w:sz="0" w:space="0" w:color="auto"/>
          <w:lang w:val="en-US" w:eastAsia="pt-BR"/>
        </w:rPr>
        <w:t xml:space="preserve">dentification </w:t>
      </w:r>
      <w:r>
        <w:rPr>
          <w:bCs/>
          <w:bdr w:val="none" w:sz="0" w:space="0" w:color="auto"/>
          <w:lang w:val="en-US" w:eastAsia="pt-BR"/>
        </w:rPr>
        <w:t xml:space="preserve">strategies </w:t>
      </w:r>
      <w:r w:rsidRPr="00311FCD">
        <w:rPr>
          <w:bCs/>
          <w:bdr w:val="none" w:sz="0" w:space="0" w:color="auto"/>
          <w:lang w:val="en-US" w:eastAsia="pt-BR"/>
        </w:rPr>
        <w:t>using information on peer’s date of birth</w:t>
      </w:r>
      <w:r w:rsidRPr="00D82BC9">
        <w:rPr>
          <w:bdr w:val="none" w:sz="0" w:space="0" w:color="auto"/>
          <w:lang w:val="en-US" w:eastAsia="pt-BR"/>
        </w:rPr>
        <w:t xml:space="preserve"> to estimate peer effect</w:t>
      </w:r>
      <w:r>
        <w:rPr>
          <w:bdr w:val="none" w:sz="0" w:space="0" w:color="auto"/>
          <w:lang w:val="en-US" w:eastAsia="pt-BR"/>
        </w:rPr>
        <w:t>s on academic performance. T</w:t>
      </w:r>
      <w:r w:rsidRPr="00D82BC9">
        <w:rPr>
          <w:bdr w:val="none" w:sz="0" w:space="0" w:color="auto"/>
          <w:lang w:val="en-US" w:eastAsia="pt-BR"/>
        </w:rPr>
        <w:t xml:space="preserve">he </w:t>
      </w:r>
      <w:r>
        <w:rPr>
          <w:bdr w:val="none" w:sz="0" w:space="0" w:color="auto"/>
          <w:lang w:val="en-US" w:eastAsia="pt-BR"/>
        </w:rPr>
        <w:t>third</w:t>
      </w:r>
      <w:r w:rsidRPr="00D82BC9">
        <w:rPr>
          <w:bdr w:val="none" w:sz="0" w:space="0" w:color="auto"/>
          <w:lang w:val="en-US" w:eastAsia="pt-BR"/>
        </w:rPr>
        <w:t xml:space="preserve"> one describes </w:t>
      </w:r>
      <w:proofErr w:type="spellStart"/>
      <w:r w:rsidRPr="00311FCD">
        <w:rPr>
          <w:i/>
          <w:bdr w:val="none" w:sz="0" w:space="0" w:color="auto"/>
          <w:lang w:val="en-US" w:eastAsia="pt-BR"/>
        </w:rPr>
        <w:t>Prova</w:t>
      </w:r>
      <w:proofErr w:type="spellEnd"/>
      <w:r w:rsidRPr="00311FCD">
        <w:rPr>
          <w:i/>
          <w:bdr w:val="none" w:sz="0" w:space="0" w:color="auto"/>
          <w:lang w:val="en-US" w:eastAsia="pt-BR"/>
        </w:rPr>
        <w:t xml:space="preserve"> </w:t>
      </w:r>
      <w:proofErr w:type="spellStart"/>
      <w:r w:rsidRPr="00311FCD">
        <w:rPr>
          <w:i/>
          <w:bdr w:val="none" w:sz="0" w:space="0" w:color="auto"/>
          <w:lang w:val="en-US" w:eastAsia="pt-BR"/>
        </w:rPr>
        <w:t>Brasil</w:t>
      </w:r>
      <w:proofErr w:type="spellEnd"/>
      <w:r w:rsidRPr="00D82BC9">
        <w:rPr>
          <w:bdr w:val="none" w:sz="0" w:space="0" w:color="auto"/>
          <w:lang w:val="en-US" w:eastAsia="pt-BR"/>
        </w:rPr>
        <w:t xml:space="preserve"> dataset and offers a descriptive analysi</w:t>
      </w:r>
      <w:r>
        <w:rPr>
          <w:bdr w:val="none" w:sz="0" w:space="0" w:color="auto"/>
          <w:lang w:val="en-US" w:eastAsia="pt-BR"/>
        </w:rPr>
        <w:t xml:space="preserve">s from the sample variables use. The fourth section discusses </w:t>
      </w:r>
      <w:r w:rsidR="00A75B1A">
        <w:rPr>
          <w:bdr w:val="none" w:sz="0" w:space="0" w:color="auto"/>
          <w:lang w:val="en-US" w:eastAsia="pt-BR"/>
        </w:rPr>
        <w:t>the relationship between b</w:t>
      </w:r>
      <w:r w:rsidR="00A75B1A" w:rsidRPr="00A75B1A">
        <w:rPr>
          <w:bdr w:val="none" w:sz="0" w:space="0" w:color="auto"/>
          <w:lang w:val="en-US" w:eastAsia="pt-BR"/>
        </w:rPr>
        <w:t>irth seasonal patterns and academic achievement</w:t>
      </w:r>
      <w:r w:rsidR="00A75B1A">
        <w:rPr>
          <w:bdr w:val="none" w:sz="0" w:space="0" w:color="auto"/>
          <w:lang w:val="en-US" w:eastAsia="pt-BR"/>
        </w:rPr>
        <w:t>.</w:t>
      </w:r>
      <w:r>
        <w:rPr>
          <w:bdr w:val="none" w:sz="0" w:space="0" w:color="auto"/>
          <w:lang w:val="en-US" w:eastAsia="pt-BR"/>
        </w:rPr>
        <w:t xml:space="preserve"> </w:t>
      </w:r>
      <w:r w:rsidR="00A75B1A">
        <w:rPr>
          <w:bdr w:val="none" w:sz="0" w:space="0" w:color="auto"/>
          <w:lang w:val="en-US" w:eastAsia="pt-BR"/>
        </w:rPr>
        <w:t>Section five</w:t>
      </w:r>
      <w:r w:rsidRPr="00D82BC9">
        <w:rPr>
          <w:bdr w:val="none" w:sz="0" w:space="0" w:color="auto"/>
          <w:lang w:val="en-US" w:eastAsia="pt-BR"/>
        </w:rPr>
        <w:t xml:space="preserve"> provides the estimated results, and </w:t>
      </w:r>
      <w:r>
        <w:rPr>
          <w:bdr w:val="none" w:sz="0" w:space="0" w:color="auto"/>
          <w:lang w:val="en-US" w:eastAsia="pt-BR"/>
        </w:rPr>
        <w:t>some robustness tests to verify the validity of the instruments. F</w:t>
      </w:r>
      <w:r w:rsidRPr="00D82BC9">
        <w:rPr>
          <w:bdr w:val="none" w:sz="0" w:space="0" w:color="auto"/>
          <w:lang w:val="en-US" w:eastAsia="pt-BR"/>
        </w:rPr>
        <w:t xml:space="preserve">inally, the last </w:t>
      </w:r>
      <w:r w:rsidR="00A75B1A">
        <w:rPr>
          <w:bdr w:val="none" w:sz="0" w:space="0" w:color="auto"/>
          <w:lang w:val="en-US" w:eastAsia="pt-BR"/>
        </w:rPr>
        <w:t>one</w:t>
      </w:r>
      <w:r w:rsidRPr="00D82BC9">
        <w:rPr>
          <w:bdr w:val="none" w:sz="0" w:space="0" w:color="auto"/>
          <w:lang w:val="en-US" w:eastAsia="pt-BR"/>
        </w:rPr>
        <w:t xml:space="preserve"> brings together the main findings of the article.</w:t>
      </w:r>
    </w:p>
    <w:p w:rsidR="00D82BC9" w:rsidRPr="00C3319E" w:rsidRDefault="00D82BC9" w:rsidP="00785128">
      <w:pPr>
        <w:jc w:val="both"/>
        <w:rPr>
          <w:bdr w:val="none" w:sz="0" w:space="0" w:color="auto"/>
          <w:lang w:eastAsia="pt-BR"/>
        </w:rPr>
      </w:pPr>
    </w:p>
    <w:p w:rsidR="002D4E8E" w:rsidRDefault="00122CF4" w:rsidP="00785128">
      <w:pPr>
        <w:jc w:val="both"/>
        <w:rPr>
          <w:b/>
          <w:bCs/>
        </w:rPr>
      </w:pPr>
      <w:r>
        <w:rPr>
          <w:b/>
          <w:bCs/>
        </w:rPr>
        <w:t>2</w:t>
      </w:r>
      <w:r w:rsidR="00504F19">
        <w:rPr>
          <w:b/>
          <w:bCs/>
        </w:rPr>
        <w:t xml:space="preserve"> Identification using information on peer’s date of birth</w:t>
      </w:r>
    </w:p>
    <w:p w:rsidR="002D0065" w:rsidRDefault="002D0065" w:rsidP="00785128">
      <w:pPr>
        <w:jc w:val="both"/>
        <w:rPr>
          <w:b/>
          <w:bCs/>
        </w:rPr>
      </w:pPr>
    </w:p>
    <w:p w:rsidR="009714A1" w:rsidRDefault="00174082" w:rsidP="00785128">
      <w:pPr>
        <w:ind w:firstLine="708"/>
        <w:jc w:val="both"/>
        <w:rPr>
          <w:lang w:val="en-US"/>
        </w:rPr>
      </w:pPr>
      <w:r>
        <w:rPr>
          <w:lang w:val="en-US"/>
        </w:rPr>
        <w:t>The</w:t>
      </w:r>
      <w:r w:rsidR="00F269C5">
        <w:rPr>
          <w:lang w:val="en-US"/>
        </w:rPr>
        <w:t xml:space="preserve"> central</w:t>
      </w:r>
      <w:r>
        <w:rPr>
          <w:lang w:val="en-US"/>
        </w:rPr>
        <w:t xml:space="preserve"> question</w:t>
      </w:r>
      <w:r w:rsidR="00F269C5">
        <w:rPr>
          <w:lang w:val="en-US"/>
        </w:rPr>
        <w:t xml:space="preserve"> of this paper</w:t>
      </w:r>
      <w:r>
        <w:rPr>
          <w:lang w:val="en-US"/>
        </w:rPr>
        <w:t xml:space="preserve"> is whether student</w:t>
      </w:r>
      <w:r w:rsidR="00065ABC" w:rsidRPr="00065ABC">
        <w:rPr>
          <w:lang w:val="en-US"/>
        </w:rPr>
        <w:t xml:space="preserve">’s educational </w:t>
      </w:r>
      <w:r>
        <w:rPr>
          <w:lang w:val="en-US"/>
        </w:rPr>
        <w:t>achievement</w:t>
      </w:r>
      <w:r w:rsidR="00065ABC" w:rsidRPr="00065ABC">
        <w:rPr>
          <w:lang w:val="en-US"/>
        </w:rPr>
        <w:t xml:space="preserve"> is affected by the </w:t>
      </w:r>
      <w:r w:rsidR="00F269C5">
        <w:rPr>
          <w:lang w:val="en-US"/>
        </w:rPr>
        <w:t>performance</w:t>
      </w:r>
      <w:r w:rsidR="00065ABC" w:rsidRPr="00065ABC">
        <w:rPr>
          <w:lang w:val="en-US"/>
        </w:rPr>
        <w:t xml:space="preserve"> of other </w:t>
      </w:r>
      <w:r w:rsidR="00F269C5">
        <w:rPr>
          <w:lang w:val="en-US"/>
        </w:rPr>
        <w:t xml:space="preserve">peers from the same grade and school. </w:t>
      </w:r>
      <w:r w:rsidR="00065ABC" w:rsidRPr="00065ABC">
        <w:rPr>
          <w:lang w:val="en-US"/>
        </w:rPr>
        <w:t xml:space="preserve">The identification strategy builds on the use of </w:t>
      </w:r>
      <w:r w:rsidR="00065ABC" w:rsidRPr="00065ABC">
        <w:rPr>
          <w:lang w:val="en-US"/>
        </w:rPr>
        <w:lastRenderedPageBreak/>
        <w:t>a</w:t>
      </w:r>
      <w:r w:rsidR="006B7869">
        <w:rPr>
          <w:lang w:val="en-US"/>
        </w:rPr>
        <w:t>n instrumental</w:t>
      </w:r>
      <w:r w:rsidR="00065ABC" w:rsidRPr="00065ABC">
        <w:rPr>
          <w:lang w:val="en-US"/>
        </w:rPr>
        <w:t xml:space="preserve"> variable which determines</w:t>
      </w:r>
      <w:r w:rsidR="00065ABC">
        <w:rPr>
          <w:lang w:val="en-US"/>
        </w:rPr>
        <w:t xml:space="preserve"> </w:t>
      </w:r>
      <w:r w:rsidR="006B7869">
        <w:rPr>
          <w:lang w:val="en-US"/>
        </w:rPr>
        <w:t>peer</w:t>
      </w:r>
      <w:r w:rsidR="00065ABC" w:rsidRPr="00065ABC">
        <w:rPr>
          <w:lang w:val="en-US"/>
        </w:rPr>
        <w:t>s</w:t>
      </w:r>
      <w:r w:rsidR="00832720">
        <w:rPr>
          <w:lang w:val="en-US"/>
        </w:rPr>
        <w:t>’</w:t>
      </w:r>
      <w:r w:rsidR="00065ABC" w:rsidRPr="00065ABC">
        <w:rPr>
          <w:lang w:val="en-US"/>
        </w:rPr>
        <w:t xml:space="preserve"> performance at school</w:t>
      </w:r>
      <w:r w:rsidR="00E60DC4">
        <w:rPr>
          <w:lang w:val="en-US"/>
        </w:rPr>
        <w:t>,</w:t>
      </w:r>
      <w:r w:rsidR="00065ABC" w:rsidRPr="00065ABC">
        <w:rPr>
          <w:lang w:val="en-US"/>
        </w:rPr>
        <w:t xml:space="preserve"> but which is nonetheless exogenous </w:t>
      </w:r>
      <w:r w:rsidR="006B7869">
        <w:rPr>
          <w:lang w:val="en-US"/>
        </w:rPr>
        <w:t>to any unobserved factor related to the potential individual outcome</w:t>
      </w:r>
      <w:r w:rsidR="00065ABC" w:rsidRPr="00065ABC">
        <w:rPr>
          <w:lang w:val="en-US"/>
        </w:rPr>
        <w:t xml:space="preserve">. Specifically, </w:t>
      </w:r>
      <w:r w:rsidR="006B7869">
        <w:rPr>
          <w:lang w:val="en-US"/>
        </w:rPr>
        <w:t>the instruments being considered here are the proportions of peer</w:t>
      </w:r>
      <w:r w:rsidR="00BB7DDA">
        <w:rPr>
          <w:lang w:val="en-US"/>
        </w:rPr>
        <w:t>s</w:t>
      </w:r>
      <w:r w:rsidR="006B7869">
        <w:rPr>
          <w:lang w:val="en-US"/>
        </w:rPr>
        <w:t xml:space="preserve"> born in the first or second semester of the year</w:t>
      </w:r>
      <w:r w:rsidR="0019669B">
        <w:rPr>
          <w:lang w:val="en-US"/>
        </w:rPr>
        <w:t xml:space="preserve">, as proposed by the work </w:t>
      </w:r>
      <w:r w:rsidR="0019669B" w:rsidRPr="00124001">
        <w:rPr>
          <w:lang w:val="en-US"/>
        </w:rPr>
        <w:t xml:space="preserve">of </w:t>
      </w:r>
      <w:proofErr w:type="spellStart"/>
      <w:r w:rsidR="0019669B" w:rsidRPr="00124001">
        <w:rPr>
          <w:bdr w:val="none" w:sz="0" w:space="0" w:color="auto"/>
          <w:lang w:val="en-US" w:eastAsia="pt-BR"/>
        </w:rPr>
        <w:t>Goux</w:t>
      </w:r>
      <w:proofErr w:type="spellEnd"/>
      <w:r w:rsidR="0019669B" w:rsidRPr="00124001">
        <w:rPr>
          <w:bdr w:val="none" w:sz="0" w:space="0" w:color="auto"/>
          <w:lang w:val="en-US" w:eastAsia="pt-BR"/>
        </w:rPr>
        <w:t xml:space="preserve"> and </w:t>
      </w:r>
      <w:proofErr w:type="spellStart"/>
      <w:r w:rsidR="0019669B" w:rsidRPr="00124001">
        <w:rPr>
          <w:bdr w:val="none" w:sz="0" w:space="0" w:color="auto"/>
          <w:lang w:val="en-US" w:eastAsia="pt-BR"/>
        </w:rPr>
        <w:t>Maurin</w:t>
      </w:r>
      <w:proofErr w:type="spellEnd"/>
      <w:r w:rsidR="0019669B" w:rsidRPr="00124001">
        <w:rPr>
          <w:bdr w:val="none" w:sz="0" w:space="0" w:color="auto"/>
          <w:lang w:val="en-US" w:eastAsia="pt-BR"/>
        </w:rPr>
        <w:t xml:space="preserve"> (2007)</w:t>
      </w:r>
      <w:r w:rsidR="0019669B" w:rsidRPr="00124001">
        <w:rPr>
          <w:lang w:val="en-US"/>
        </w:rPr>
        <w:t xml:space="preserve">. </w:t>
      </w:r>
      <w:r w:rsidR="009714A1" w:rsidRPr="00124001">
        <w:rPr>
          <w:lang w:val="en-US"/>
        </w:rPr>
        <w:t>The</w:t>
      </w:r>
      <w:r w:rsidR="009706CB">
        <w:rPr>
          <w:lang w:val="en-US"/>
        </w:rPr>
        <w:t xml:space="preserve"> authors</w:t>
      </w:r>
      <w:r w:rsidR="009714A1">
        <w:rPr>
          <w:lang w:val="en-US"/>
        </w:rPr>
        <w:t xml:space="preserve"> use </w:t>
      </w:r>
      <w:r w:rsidR="009714A1" w:rsidRPr="009714A1">
        <w:rPr>
          <w:lang w:val="en-US"/>
        </w:rPr>
        <w:t xml:space="preserve">the distribution of neighbors’ dates of birth as </w:t>
      </w:r>
      <w:r w:rsidR="009714A1">
        <w:rPr>
          <w:lang w:val="en-US"/>
        </w:rPr>
        <w:t xml:space="preserve">instrumental variable to </w:t>
      </w:r>
      <w:r w:rsidR="009714A1" w:rsidRPr="009714A1">
        <w:rPr>
          <w:lang w:val="en-US"/>
        </w:rPr>
        <w:t xml:space="preserve">identify the effect of neighbors’ educational advancement on an adolescent's performance at school. </w:t>
      </w:r>
      <w:r w:rsidR="009706CB">
        <w:rPr>
          <w:lang w:val="en-US"/>
        </w:rPr>
        <w:t>Their</w:t>
      </w:r>
      <w:r w:rsidR="009714A1" w:rsidRPr="009714A1">
        <w:rPr>
          <w:lang w:val="en-US"/>
        </w:rPr>
        <w:t xml:space="preserve"> IV estimates suggest that a one standard-deviation increase in the proportion of </w:t>
      </w:r>
      <w:r w:rsidR="009706CB" w:rsidRPr="009714A1">
        <w:rPr>
          <w:lang w:val="en-US"/>
        </w:rPr>
        <w:t>neighbors</w:t>
      </w:r>
      <w:r w:rsidR="009714A1" w:rsidRPr="009714A1">
        <w:rPr>
          <w:lang w:val="en-US"/>
        </w:rPr>
        <w:t xml:space="preserve"> who have already been held back a grade at age 15 increases an adolescent's probability of grade repetition between the age of 15 and 16 by about 10</w:t>
      </w:r>
      <w:r w:rsidR="009706CB">
        <w:rPr>
          <w:lang w:val="en-US"/>
        </w:rPr>
        <w:t xml:space="preserve"> to </w:t>
      </w:r>
      <w:r w:rsidR="009714A1" w:rsidRPr="009714A1">
        <w:rPr>
          <w:lang w:val="en-US"/>
        </w:rPr>
        <w:t>15 percentage points (i.e. about 20% of a SD).</w:t>
      </w:r>
    </w:p>
    <w:p w:rsidR="007A2853" w:rsidRPr="007A2853" w:rsidRDefault="009706CB" w:rsidP="00785128">
      <w:pPr>
        <w:ind w:firstLine="708"/>
        <w:jc w:val="both"/>
        <w:rPr>
          <w:lang w:val="en-US"/>
        </w:rPr>
      </w:pPr>
      <w:r>
        <w:rPr>
          <w:lang w:val="en-US"/>
        </w:rPr>
        <w:t>Following this approach</w:t>
      </w:r>
      <w:r w:rsidRPr="007539DC">
        <w:rPr>
          <w:lang w:val="en-US"/>
        </w:rPr>
        <w:t>, one simple way to identify</w:t>
      </w:r>
      <w:r>
        <w:rPr>
          <w:lang w:val="en-US"/>
        </w:rPr>
        <w:t xml:space="preserve"> </w:t>
      </w:r>
      <w:r w:rsidRPr="007539DC">
        <w:rPr>
          <w:lang w:val="en-US"/>
        </w:rPr>
        <w:t xml:space="preserve">the influence of </w:t>
      </w:r>
      <w:r>
        <w:rPr>
          <w:lang w:val="en-US"/>
        </w:rPr>
        <w:t>scholar peer effects, in our study,</w:t>
      </w:r>
      <w:r w:rsidRPr="007539DC">
        <w:rPr>
          <w:lang w:val="en-US"/>
        </w:rPr>
        <w:t xml:space="preserve"> is to test whether </w:t>
      </w:r>
      <w:r>
        <w:rPr>
          <w:lang w:val="en-US"/>
        </w:rPr>
        <w:t>student</w:t>
      </w:r>
      <w:r w:rsidRPr="007539DC">
        <w:rPr>
          <w:lang w:val="en-US"/>
        </w:rPr>
        <w:t xml:space="preserve">'s performance at school is affected by the distribution of dates of birth within the year of the other </w:t>
      </w:r>
      <w:r>
        <w:rPr>
          <w:lang w:val="en-US"/>
        </w:rPr>
        <w:t>peers from</w:t>
      </w:r>
      <w:r w:rsidRPr="007539DC">
        <w:rPr>
          <w:lang w:val="en-US"/>
        </w:rPr>
        <w:t xml:space="preserve"> the same </w:t>
      </w:r>
      <w:r>
        <w:rPr>
          <w:lang w:val="en-US"/>
        </w:rPr>
        <w:t xml:space="preserve">school. </w:t>
      </w:r>
      <w:r w:rsidR="0064631C">
        <w:rPr>
          <w:lang w:val="en-US"/>
        </w:rPr>
        <w:t>As already mention, t</w:t>
      </w:r>
      <w:r w:rsidR="0019669B">
        <w:rPr>
          <w:lang w:val="en-US"/>
        </w:rPr>
        <w:t xml:space="preserve">he intuition behind such instrument is </w:t>
      </w:r>
      <w:r w:rsidR="00F334B9">
        <w:rPr>
          <w:lang w:val="en-US"/>
        </w:rPr>
        <w:t xml:space="preserve">based </w:t>
      </w:r>
      <w:r w:rsidR="007A2853">
        <w:rPr>
          <w:lang w:val="en-US"/>
        </w:rPr>
        <w:t>on</w:t>
      </w:r>
      <w:r w:rsidR="00F334B9">
        <w:rPr>
          <w:lang w:val="en-US"/>
        </w:rPr>
        <w:t xml:space="preserve"> the</w:t>
      </w:r>
      <w:r w:rsidR="0019669B">
        <w:rPr>
          <w:lang w:val="en-US"/>
        </w:rPr>
        <w:t xml:space="preserve"> </w:t>
      </w:r>
      <w:r w:rsidR="007A2853" w:rsidRPr="007A2853">
        <w:rPr>
          <w:lang w:val="en-US"/>
        </w:rPr>
        <w:t xml:space="preserve">compulsory school attendance laws </w:t>
      </w:r>
      <w:r w:rsidR="00F334B9">
        <w:rPr>
          <w:lang w:val="en-US"/>
        </w:rPr>
        <w:t xml:space="preserve">that </w:t>
      </w:r>
      <w:r w:rsidR="007A2853" w:rsidRPr="007A2853">
        <w:rPr>
          <w:lang w:val="en-US"/>
        </w:rPr>
        <w:t xml:space="preserve">generate variation in the child’s age at school entry, which, </w:t>
      </w:r>
      <w:r w:rsidR="00F334B9">
        <w:rPr>
          <w:lang w:val="en-US"/>
        </w:rPr>
        <w:t>in turn</w:t>
      </w:r>
      <w:r w:rsidR="007A2853" w:rsidRPr="007A2853">
        <w:rPr>
          <w:lang w:val="en-US"/>
        </w:rPr>
        <w:t>, make the date of birth within the year an important determinant of educational achievement and, at the same time, plausibly exogenous to the quality of the student’s peers.</w:t>
      </w:r>
    </w:p>
    <w:p w:rsidR="005B7275" w:rsidRDefault="0064631C" w:rsidP="00785128">
      <w:pPr>
        <w:ind w:firstLine="708"/>
        <w:jc w:val="both"/>
        <w:rPr>
          <w:lang w:val="en-US"/>
        </w:rPr>
      </w:pPr>
      <w:r>
        <w:rPr>
          <w:lang w:val="en-US"/>
        </w:rPr>
        <w:t>Based on this argument w</w:t>
      </w:r>
      <w:r w:rsidR="00DB2728">
        <w:rPr>
          <w:lang w:val="en-US"/>
        </w:rPr>
        <w:t xml:space="preserve">e propose </w:t>
      </w:r>
      <w:r w:rsidR="0062270F">
        <w:rPr>
          <w:lang w:val="en-US"/>
        </w:rPr>
        <w:t xml:space="preserve">to estimate the following system of equations based on a </w:t>
      </w:r>
      <w:r w:rsidR="00D85384">
        <w:rPr>
          <w:lang w:val="en-US"/>
        </w:rPr>
        <w:t>Two-S</w:t>
      </w:r>
      <w:r w:rsidR="0062270F">
        <w:rPr>
          <w:lang w:val="en-US"/>
        </w:rPr>
        <w:t>tep</w:t>
      </w:r>
      <w:r w:rsidR="00D85384">
        <w:rPr>
          <w:lang w:val="en-US"/>
        </w:rPr>
        <w:t xml:space="preserve"> Generalized Method of Moments</w:t>
      </w:r>
      <w:r w:rsidR="0062270F">
        <w:rPr>
          <w:lang w:val="en-US"/>
        </w:rPr>
        <w:t xml:space="preserve"> </w:t>
      </w:r>
      <w:r w:rsidR="00D85384">
        <w:rPr>
          <w:lang w:val="en-US"/>
        </w:rPr>
        <w:t>(</w:t>
      </w:r>
      <w:r w:rsidR="0062270F">
        <w:rPr>
          <w:lang w:val="en-US"/>
        </w:rPr>
        <w:t>GMM-IV</w:t>
      </w:r>
      <w:r w:rsidR="00D85384">
        <w:rPr>
          <w:lang w:val="en-US"/>
        </w:rPr>
        <w:t xml:space="preserve">) </w:t>
      </w:r>
      <w:r w:rsidR="0062270F">
        <w:rPr>
          <w:lang w:val="en-US"/>
        </w:rPr>
        <w:t>procedure</w:t>
      </w:r>
      <w:r w:rsidR="003255EE">
        <w:rPr>
          <w:lang w:val="en-US"/>
        </w:rPr>
        <w:t>:</w:t>
      </w:r>
      <w:r w:rsidR="00E60DC4" w:rsidRPr="00E252FA">
        <w:rPr>
          <w:lang w:val="en-US"/>
        </w:rPr>
        <w:t xml:space="preserve"> </w:t>
      </w:r>
    </w:p>
    <w:p w:rsidR="005B7275" w:rsidRDefault="005B7275" w:rsidP="00785128">
      <w:pPr>
        <w:jc w:val="both"/>
        <w:rPr>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53"/>
        <w:gridCol w:w="3625"/>
      </w:tblGrid>
      <w:tr w:rsidR="00506835" w:rsidTr="00123880">
        <w:tc>
          <w:tcPr>
            <w:tcW w:w="5353" w:type="dxa"/>
          </w:tcPr>
          <w:p w:rsidR="00506835" w:rsidRDefault="00D67803" w:rsidP="00785128">
            <w:pPr>
              <w:jc w:val="both"/>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acc>
                <m:r>
                  <w:rPr>
                    <w:rFonts w:ascii="Cambria Math" w:hAnsi="Cambria Math"/>
                    <w:lang w:val="en-US"/>
                  </w:rPr>
                  <m:t>=α+</m:t>
                </m:r>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ν</m:t>
                    </m:r>
                  </m:e>
                  <m:sub>
                    <m:r>
                      <w:rPr>
                        <w:rFonts w:ascii="Cambria Math" w:hAnsi="Cambria Math"/>
                        <w:lang w:val="en-US"/>
                      </w:rPr>
                      <m:t>j</m:t>
                    </m:r>
                  </m:sub>
                </m:sSub>
              </m:oMath>
            </m:oMathPara>
          </w:p>
        </w:tc>
        <w:tc>
          <w:tcPr>
            <w:tcW w:w="3625" w:type="dxa"/>
          </w:tcPr>
          <w:p w:rsidR="00506835" w:rsidRDefault="00506835" w:rsidP="00785128">
            <w:pPr>
              <w:jc w:val="right"/>
              <w:rPr>
                <w:lang w:val="en-US"/>
              </w:rPr>
            </w:pPr>
            <w:r>
              <w:rPr>
                <w:lang w:val="en-US"/>
              </w:rPr>
              <w:t>(1)</w:t>
            </w:r>
          </w:p>
        </w:tc>
      </w:tr>
      <w:tr w:rsidR="00506835" w:rsidTr="00123880">
        <w:tc>
          <w:tcPr>
            <w:tcW w:w="5353" w:type="dxa"/>
          </w:tcPr>
          <w:p w:rsidR="00506835" w:rsidRDefault="00D67803" w:rsidP="00785128">
            <w:pPr>
              <w:jc w:val="both"/>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ij</m:t>
                    </m:r>
                  </m:sub>
                </m:sSub>
                <m:r>
                  <w:rPr>
                    <w:rFonts w:ascii="Cambria Math" w:hAnsi="Cambria Math"/>
                    <w:lang w:val="en-US"/>
                  </w:rPr>
                  <m:t>=α+</m:t>
                </m:r>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m:t>
                    </m:r>
                  </m:sup>
                </m:sSup>
                <m:acc>
                  <m:accPr>
                    <m:ctrlPr>
                      <w:rPr>
                        <w:rFonts w:ascii="Cambria Math" w:hAnsi="Cambria Math"/>
                        <w:i/>
                        <w:lang w:val="en-US"/>
                      </w:rPr>
                    </m:ctrlPr>
                  </m:acc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j</m:t>
                            </m:r>
                          </m:sub>
                        </m:sSub>
                      </m:e>
                    </m:acc>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γ</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m:t>
                    </m:r>
                  </m:sup>
                </m:sSup>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ij</m:t>
                    </m:r>
                  </m:sub>
                </m:sSub>
              </m:oMath>
            </m:oMathPara>
          </w:p>
        </w:tc>
        <w:tc>
          <w:tcPr>
            <w:tcW w:w="3625" w:type="dxa"/>
          </w:tcPr>
          <w:p w:rsidR="00506835" w:rsidRDefault="00506835" w:rsidP="00785128">
            <w:pPr>
              <w:jc w:val="right"/>
              <w:rPr>
                <w:lang w:val="en-US"/>
              </w:rPr>
            </w:pPr>
            <w:r>
              <w:rPr>
                <w:lang w:val="en-US"/>
              </w:rPr>
              <w:t>(2)</w:t>
            </w:r>
          </w:p>
        </w:tc>
      </w:tr>
    </w:tbl>
    <w:p w:rsidR="005B7275" w:rsidRDefault="005B7275" w:rsidP="00785128">
      <w:pPr>
        <w:jc w:val="both"/>
        <w:rPr>
          <w:lang w:val="en-US"/>
        </w:rPr>
      </w:pPr>
    </w:p>
    <w:p w:rsidR="0061633F" w:rsidRDefault="005B7275" w:rsidP="00785128">
      <w:pPr>
        <w:jc w:val="both"/>
        <w:rPr>
          <w:lang w:val="en-US"/>
        </w:rPr>
      </w:pPr>
      <w:r>
        <w:rPr>
          <w:lang w:val="en-US"/>
        </w:rPr>
        <w:t>I</w:t>
      </w:r>
      <w:r w:rsidR="00E60DC4" w:rsidRPr="00E252FA">
        <w:rPr>
          <w:lang w:val="en-US"/>
        </w:rPr>
        <w:t xml:space="preserve">n the first step, we regress </w:t>
      </w:r>
      <w:r w:rsidR="0009543E">
        <w:rPr>
          <w:lang w:val="en-US"/>
        </w:rPr>
        <w:t>the average peer’s grade</w:t>
      </w:r>
      <w:r w:rsidR="00E60DC4" w:rsidRPr="00E252FA">
        <w:rPr>
          <w:lang w:val="en-US"/>
        </w:rPr>
        <w:t xml:space="preserve"> </w:t>
      </w:r>
      <m:oMath>
        <m:acc>
          <m:accPr>
            <m:chr m:val="̅"/>
            <m:ctrlPr>
              <w:rPr>
                <w:rFonts w:ascii="Cambria Math" w:hAnsi="Cambria Math"/>
                <w:i/>
                <w:iCs/>
                <w:lang w:val="en-US"/>
              </w:rPr>
            </m:ctrlPr>
          </m:acc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j</m:t>
                </m:r>
              </m:sub>
            </m:sSub>
          </m:e>
        </m:acc>
        <m:r>
          <w:rPr>
            <w:rFonts w:ascii="Cambria Math" w:hAnsi="Cambria Math"/>
            <w:lang w:val="en-US"/>
          </w:rPr>
          <m:t>=</m:t>
        </m:r>
        <m:nary>
          <m:naryPr>
            <m:chr m:val="∑"/>
            <m:limLoc m:val="subSup"/>
            <m:ctrlPr>
              <w:rPr>
                <w:rFonts w:ascii="Cambria Math" w:hAnsi="Cambria Math"/>
                <w:i/>
                <w:iCs/>
                <w:lang w:val="en-US"/>
              </w:rPr>
            </m:ctrlPr>
          </m:naryPr>
          <m:sub>
            <m:r>
              <w:rPr>
                <w:rFonts w:ascii="Cambria Math" w:hAnsi="Cambria Math"/>
                <w:lang w:val="en-US"/>
              </w:rPr>
              <m:t>i=1</m:t>
            </m:r>
          </m:sub>
          <m:sup>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j</m:t>
                </m:r>
              </m:sub>
            </m:sSub>
          </m:sup>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 xml:space="preserve"> </m:t>
        </m:r>
      </m:oMath>
      <w:r w:rsidR="00167B3D">
        <w:rPr>
          <w:lang w:val="en-US"/>
        </w:rPr>
        <w:t xml:space="preserve"> </w:t>
      </w:r>
      <w:r w:rsidR="00AF4E65">
        <w:rPr>
          <w:lang w:val="en-US"/>
        </w:rPr>
        <w:t xml:space="preserve">at school </w:t>
      </w:r>
      <w:r w:rsidR="00AF4E65" w:rsidRPr="00AF4E65">
        <w:rPr>
          <w:i/>
          <w:lang w:val="en-US"/>
        </w:rPr>
        <w:t>j</w:t>
      </w:r>
      <w:r w:rsidR="00BC7808">
        <w:rPr>
          <w:rStyle w:val="Refdenotaderodap"/>
          <w:i/>
          <w:lang w:val="en-US"/>
        </w:rPr>
        <w:footnoteReference w:id="6"/>
      </w:r>
      <w:r w:rsidR="0009543E">
        <w:rPr>
          <w:lang w:val="en-US"/>
        </w:rPr>
        <w:t xml:space="preserve">, </w:t>
      </w:r>
      <w:r w:rsidR="00E60DC4" w:rsidRPr="00E252FA">
        <w:rPr>
          <w:lang w:val="en-US"/>
        </w:rPr>
        <w:t xml:space="preserve">on the </w:t>
      </w:r>
      <w:r w:rsidR="0039565D">
        <w:rPr>
          <w:lang w:val="en-US"/>
        </w:rPr>
        <w:t>vector</w:t>
      </w:r>
      <w:r>
        <w:rPr>
          <w:lang w:val="en-US"/>
        </w:rPr>
        <w:t xml:space="preserve"> of instruments </w:t>
      </w:r>
      <w:proofErr w:type="spellStart"/>
      <w:r w:rsidRPr="005B7275">
        <w:rPr>
          <w:i/>
          <w:lang w:val="en-US"/>
        </w:rPr>
        <w:t>Z</w:t>
      </w:r>
      <w:r w:rsidR="0094368D" w:rsidRPr="0094368D">
        <w:rPr>
          <w:i/>
          <w:vertAlign w:val="subscript"/>
          <w:lang w:val="en-US"/>
        </w:rPr>
        <w:t>j</w:t>
      </w:r>
      <w:proofErr w:type="spellEnd"/>
      <w:r w:rsidRPr="005B7275">
        <w:rPr>
          <w:i/>
          <w:lang w:val="en-US"/>
        </w:rPr>
        <w:t xml:space="preserve"> = (PSem</w:t>
      </w:r>
      <w:r w:rsidRPr="005B7275">
        <w:rPr>
          <w:i/>
          <w:vertAlign w:val="subscript"/>
          <w:lang w:val="en-US"/>
        </w:rPr>
        <w:t>1</w:t>
      </w:r>
      <w:proofErr w:type="gramStart"/>
      <w:r w:rsidRPr="005B7275">
        <w:rPr>
          <w:i/>
          <w:vertAlign w:val="subscript"/>
          <w:lang w:val="en-US"/>
        </w:rPr>
        <w:t>,j</w:t>
      </w:r>
      <w:proofErr w:type="gramEnd"/>
      <w:r w:rsidRPr="005B7275">
        <w:rPr>
          <w:i/>
          <w:lang w:val="en-US"/>
        </w:rPr>
        <w:t>, PSem</w:t>
      </w:r>
      <w:r w:rsidRPr="005B7275">
        <w:rPr>
          <w:i/>
          <w:vertAlign w:val="subscript"/>
          <w:lang w:val="en-US"/>
        </w:rPr>
        <w:t>2,j</w:t>
      </w:r>
      <w:r w:rsidRPr="005B7275">
        <w:rPr>
          <w:i/>
          <w:lang w:val="en-US"/>
        </w:rPr>
        <w:t>,)</w:t>
      </w:r>
      <w:r>
        <w:rPr>
          <w:lang w:val="en-US"/>
        </w:rPr>
        <w:t xml:space="preserve"> composed by the </w:t>
      </w:r>
      <w:r w:rsidR="00B85726">
        <w:rPr>
          <w:lang w:val="en-US"/>
        </w:rPr>
        <w:t xml:space="preserve">proportion of </w:t>
      </w:r>
      <w:r w:rsidR="00AF4E65">
        <w:rPr>
          <w:lang w:val="en-US"/>
        </w:rPr>
        <w:t>4</w:t>
      </w:r>
      <w:r w:rsidR="00AF4E65" w:rsidRPr="00AF4E65">
        <w:rPr>
          <w:vertAlign w:val="superscript"/>
          <w:lang w:val="en-US"/>
        </w:rPr>
        <w:t>th</w:t>
      </w:r>
      <w:r w:rsidR="00AF4E65">
        <w:rPr>
          <w:lang w:val="en-US"/>
        </w:rPr>
        <w:t xml:space="preserve"> graders </w:t>
      </w:r>
      <w:r w:rsidR="00B85726">
        <w:rPr>
          <w:lang w:val="en-US"/>
        </w:rPr>
        <w:t xml:space="preserve">born in the first </w:t>
      </w:r>
      <w:r>
        <w:rPr>
          <w:lang w:val="en-US"/>
        </w:rPr>
        <w:t xml:space="preserve">and </w:t>
      </w:r>
      <w:r w:rsidR="00B85726">
        <w:rPr>
          <w:lang w:val="en-US"/>
        </w:rPr>
        <w:t>second semester of the year</w:t>
      </w:r>
      <w:r>
        <w:rPr>
          <w:lang w:val="en-US"/>
        </w:rPr>
        <w:t>, excluding the births of December as reference</w:t>
      </w:r>
      <w:r w:rsidR="000C7152">
        <w:rPr>
          <w:lang w:val="en-US"/>
        </w:rPr>
        <w:t>,</w:t>
      </w:r>
      <w:r w:rsidR="0083559F">
        <w:rPr>
          <w:lang w:val="en-US"/>
        </w:rPr>
        <w:t xml:space="preserve"> </w:t>
      </w:r>
      <w:r w:rsidR="00E60DC4" w:rsidRPr="00E252FA">
        <w:rPr>
          <w:lang w:val="en-US"/>
        </w:rPr>
        <w:t xml:space="preserve">and </w:t>
      </w:r>
      <w:r w:rsidR="0083559F">
        <w:rPr>
          <w:lang w:val="en-US"/>
        </w:rPr>
        <w:t xml:space="preserve">on </w:t>
      </w:r>
      <w:r w:rsidR="00E60DC4" w:rsidRPr="00E252FA">
        <w:rPr>
          <w:lang w:val="en-US"/>
        </w:rPr>
        <w:t xml:space="preserve">other predetermined variables </w:t>
      </w:r>
      <w:r w:rsidR="00AF4E65">
        <w:rPr>
          <w:lang w:val="en-US"/>
        </w:rPr>
        <w:t xml:space="preserve">of student </w:t>
      </w:r>
      <w:proofErr w:type="spellStart"/>
      <w:r w:rsidR="00AF4E65" w:rsidRPr="00AF4E65">
        <w:rPr>
          <w:i/>
          <w:lang w:val="en-US"/>
        </w:rPr>
        <w:t>i</w:t>
      </w:r>
      <w:proofErr w:type="spellEnd"/>
      <w:r w:rsidR="0083559F">
        <w:rPr>
          <w:lang w:val="en-US"/>
        </w:rPr>
        <w:t xml:space="preserve"> (</w:t>
      </w:r>
      <w:proofErr w:type="spellStart"/>
      <w:r w:rsidR="0083559F" w:rsidRPr="0083559F">
        <w:rPr>
          <w:i/>
          <w:lang w:val="en-US"/>
        </w:rPr>
        <w:t>X</w:t>
      </w:r>
      <w:r w:rsidR="0083559F">
        <w:rPr>
          <w:i/>
          <w:vertAlign w:val="subscript"/>
          <w:lang w:val="en-US"/>
        </w:rPr>
        <w:t>i</w:t>
      </w:r>
      <w:r w:rsidR="00D24B28">
        <w:rPr>
          <w:i/>
          <w:vertAlign w:val="subscript"/>
          <w:lang w:val="en-US"/>
        </w:rPr>
        <w:t>,j</w:t>
      </w:r>
      <w:proofErr w:type="spellEnd"/>
      <w:r w:rsidR="0083559F">
        <w:rPr>
          <w:lang w:val="en-US"/>
        </w:rPr>
        <w:t xml:space="preserve">) and school </w:t>
      </w:r>
      <w:r w:rsidR="0083559F" w:rsidRPr="0083559F">
        <w:rPr>
          <w:i/>
          <w:lang w:val="en-US"/>
        </w:rPr>
        <w:t>j</w:t>
      </w:r>
      <w:r w:rsidR="0083559F">
        <w:rPr>
          <w:lang w:val="en-US"/>
        </w:rPr>
        <w:t xml:space="preserve"> (</w:t>
      </w:r>
      <w:proofErr w:type="spellStart"/>
      <w:r w:rsidR="00D24B28">
        <w:rPr>
          <w:i/>
          <w:lang w:val="en-US"/>
        </w:rPr>
        <w:t>W</w:t>
      </w:r>
      <w:r w:rsidR="0083559F">
        <w:rPr>
          <w:i/>
          <w:vertAlign w:val="subscript"/>
          <w:lang w:val="en-US"/>
        </w:rPr>
        <w:t>j</w:t>
      </w:r>
      <w:proofErr w:type="spellEnd"/>
      <w:r w:rsidR="0083559F">
        <w:rPr>
          <w:lang w:val="en-US"/>
        </w:rPr>
        <w:t>)</w:t>
      </w:r>
      <w:r w:rsidR="00837FCC">
        <w:rPr>
          <w:lang w:val="en-US"/>
        </w:rPr>
        <w:t xml:space="preserve">, as described in </w:t>
      </w:r>
      <w:r w:rsidR="00837FCC" w:rsidRPr="00E44AB6">
        <w:rPr>
          <w:lang w:val="en-US"/>
        </w:rPr>
        <w:t xml:space="preserve">Table </w:t>
      </w:r>
      <w:r w:rsidR="00E44AB6" w:rsidRPr="00E44AB6">
        <w:rPr>
          <w:lang w:val="en-US"/>
        </w:rPr>
        <w:t>1</w:t>
      </w:r>
      <w:r w:rsidR="00D24B28">
        <w:rPr>
          <w:lang w:val="en-US"/>
        </w:rPr>
        <w:t>. In the second step</w:t>
      </w:r>
      <w:r w:rsidR="000C7152">
        <w:rPr>
          <w:lang w:val="en-US"/>
        </w:rPr>
        <w:t xml:space="preserve">, </w:t>
      </w:r>
      <w:r w:rsidR="00F87D01">
        <w:rPr>
          <w:lang w:val="en-US"/>
        </w:rPr>
        <w:t>the instrumented average grade (</w:t>
      </w:r>
      <m:oMath>
        <m:acc>
          <m:accPr>
            <m:ctrlPr>
              <w:rPr>
                <w:rFonts w:ascii="Cambria Math" w:hAnsi="Cambria Math"/>
                <w:i/>
                <w:lang w:val="en-US"/>
              </w:rPr>
            </m:ctrlPr>
          </m:acc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Y</m:t>
                    </m:r>
                  </m:e>
                </m:acc>
              </m:e>
              <m:sub>
                <m:r>
                  <w:rPr>
                    <w:rFonts w:ascii="Cambria Math" w:hAnsi="Cambria Math"/>
                    <w:lang w:val="en-US"/>
                  </w:rPr>
                  <m:t>j</m:t>
                </m:r>
              </m:sub>
            </m:sSub>
          </m:e>
        </m:acc>
      </m:oMath>
      <w:r w:rsidR="00F87D01">
        <w:rPr>
          <w:lang w:val="en-US"/>
        </w:rPr>
        <w:t>) is included to capture the effect of peer’s performance on the individual outcome of interest</w:t>
      </w:r>
      <w:r w:rsidR="00123880">
        <w:rPr>
          <w:lang w:val="en-US"/>
        </w:rPr>
        <w:t xml:space="preserve"> </w:t>
      </w:r>
      <w:proofErr w:type="spellStart"/>
      <w:r w:rsidR="00123880" w:rsidRPr="00123880">
        <w:rPr>
          <w:i/>
          <w:lang w:val="en-US"/>
        </w:rPr>
        <w:t>Y</w:t>
      </w:r>
      <w:r w:rsidR="00123880" w:rsidRPr="00123880">
        <w:rPr>
          <w:i/>
          <w:vertAlign w:val="subscript"/>
          <w:lang w:val="en-US"/>
        </w:rPr>
        <w:t>ij</w:t>
      </w:r>
      <w:proofErr w:type="spellEnd"/>
      <w:r w:rsidR="00F87D01">
        <w:rPr>
          <w:lang w:val="en-US"/>
        </w:rPr>
        <w:t>. T</w:t>
      </w:r>
      <w:r w:rsidR="00D24B28">
        <w:rPr>
          <w:lang w:val="en-US"/>
        </w:rPr>
        <w:t xml:space="preserve">here </w:t>
      </w:r>
      <w:r w:rsidR="000C7152">
        <w:rPr>
          <w:lang w:val="en-US"/>
        </w:rPr>
        <w:t xml:space="preserve">are </w:t>
      </w:r>
      <w:r w:rsidR="00D24B28">
        <w:rPr>
          <w:lang w:val="en-US"/>
        </w:rPr>
        <w:t>two target outcomes being considered</w:t>
      </w:r>
      <w:r w:rsidR="00C7665A">
        <w:rPr>
          <w:lang w:val="en-US"/>
        </w:rPr>
        <w:t xml:space="preserve"> in this study</w:t>
      </w:r>
      <w:r w:rsidR="000C7152">
        <w:rPr>
          <w:lang w:val="en-US"/>
        </w:rPr>
        <w:t>:</w:t>
      </w:r>
      <w:r w:rsidR="00D24B28">
        <w:rPr>
          <w:lang w:val="en-US"/>
        </w:rPr>
        <w:t xml:space="preserve"> the individual </w:t>
      </w:r>
      <w:r w:rsidR="000C7152">
        <w:rPr>
          <w:lang w:val="en-US"/>
        </w:rPr>
        <w:t>achievement o</w:t>
      </w:r>
      <w:r w:rsidR="00D24B28">
        <w:rPr>
          <w:lang w:val="en-US"/>
        </w:rPr>
        <w:t xml:space="preserve">n math and </w:t>
      </w:r>
      <w:r w:rsidR="000C7152">
        <w:rPr>
          <w:lang w:val="en-US"/>
        </w:rPr>
        <w:t xml:space="preserve">on </w:t>
      </w:r>
      <w:r w:rsidR="00D24B28">
        <w:rPr>
          <w:lang w:val="en-US"/>
        </w:rPr>
        <w:t xml:space="preserve">Portuguese </w:t>
      </w:r>
      <w:r w:rsidR="00837FCC">
        <w:rPr>
          <w:lang w:val="en-US"/>
        </w:rPr>
        <w:t>language</w:t>
      </w:r>
      <w:r w:rsidR="00B85726">
        <w:rPr>
          <w:lang w:val="en-US"/>
        </w:rPr>
        <w:t xml:space="preserve"> </w:t>
      </w:r>
      <w:r w:rsidR="000C7152">
        <w:rPr>
          <w:lang w:val="en-US"/>
        </w:rPr>
        <w:t xml:space="preserve">at the </w:t>
      </w:r>
      <w:proofErr w:type="spellStart"/>
      <w:r w:rsidR="000C7152" w:rsidRPr="000C7152">
        <w:rPr>
          <w:i/>
          <w:lang w:val="en-US"/>
        </w:rPr>
        <w:t>Prova</w:t>
      </w:r>
      <w:proofErr w:type="spellEnd"/>
      <w:r w:rsidR="000C7152" w:rsidRPr="000C7152">
        <w:rPr>
          <w:i/>
          <w:lang w:val="en-US"/>
        </w:rPr>
        <w:t xml:space="preserve"> </w:t>
      </w:r>
      <w:proofErr w:type="spellStart"/>
      <w:r w:rsidR="000C7152" w:rsidRPr="000C7152">
        <w:rPr>
          <w:i/>
          <w:lang w:val="en-US"/>
        </w:rPr>
        <w:t>Brasil</w:t>
      </w:r>
      <w:proofErr w:type="spellEnd"/>
      <w:r w:rsidR="000C7152">
        <w:rPr>
          <w:lang w:val="en-US"/>
        </w:rPr>
        <w:t xml:space="preserve"> exams of 2013. </w:t>
      </w:r>
    </w:p>
    <w:p w:rsidR="005B25E5" w:rsidRDefault="0007641D" w:rsidP="00785128">
      <w:pPr>
        <w:jc w:val="both"/>
        <w:rPr>
          <w:lang w:val="en-US"/>
        </w:rPr>
      </w:pPr>
      <w:r>
        <w:rPr>
          <w:lang w:val="en-US"/>
        </w:rPr>
        <w:tab/>
      </w:r>
      <w:r w:rsidR="00E503B9">
        <w:rPr>
          <w:lang w:val="en-US"/>
        </w:rPr>
        <w:t>T</w:t>
      </w:r>
      <w:r>
        <w:rPr>
          <w:lang w:val="en-US"/>
        </w:rPr>
        <w:t>wo indispensable requirements</w:t>
      </w:r>
      <w:r w:rsidR="00E503B9">
        <w:rPr>
          <w:lang w:val="en-US"/>
        </w:rPr>
        <w:t xml:space="preserve"> are necessary</w:t>
      </w:r>
      <w:r>
        <w:rPr>
          <w:lang w:val="en-US"/>
        </w:rPr>
        <w:t xml:space="preserve"> for the instrument</w:t>
      </w:r>
      <w:r w:rsidR="00506835">
        <w:rPr>
          <w:lang w:val="en-US"/>
        </w:rPr>
        <w:t>s</w:t>
      </w:r>
      <w:r>
        <w:rPr>
          <w:lang w:val="en-US"/>
        </w:rPr>
        <w:t xml:space="preserve"> to be considered </w:t>
      </w:r>
      <w:r w:rsidR="00506835">
        <w:rPr>
          <w:lang w:val="en-US"/>
        </w:rPr>
        <w:t>valid</w:t>
      </w:r>
      <w:r>
        <w:rPr>
          <w:lang w:val="en-US"/>
        </w:rPr>
        <w:t xml:space="preserve"> in the IV approach. The first </w:t>
      </w:r>
      <w:r w:rsidR="00E503B9">
        <w:rPr>
          <w:lang w:val="en-US"/>
        </w:rPr>
        <w:t>one</w:t>
      </w:r>
      <w:r>
        <w:rPr>
          <w:lang w:val="en-US"/>
        </w:rPr>
        <w:t xml:space="preserve"> </w:t>
      </w:r>
      <w:r w:rsidR="00124001">
        <w:rPr>
          <w:lang w:val="en-US"/>
        </w:rPr>
        <w:t xml:space="preserve">is the </w:t>
      </w:r>
      <w:r w:rsidR="00124001" w:rsidRPr="00124001">
        <w:rPr>
          <w:i/>
          <w:lang w:val="en-US"/>
        </w:rPr>
        <w:t>independence assumption</w:t>
      </w:r>
      <w:r w:rsidR="004F7D30">
        <w:rPr>
          <w:lang w:val="en-US"/>
        </w:rPr>
        <w:t xml:space="preserve">, which </w:t>
      </w:r>
      <w:r>
        <w:rPr>
          <w:lang w:val="en-US"/>
        </w:rPr>
        <w:t xml:space="preserve">demands the instruments </w:t>
      </w:r>
      <w:r w:rsidRPr="0007641D">
        <w:rPr>
          <w:i/>
          <w:lang w:val="en-US"/>
        </w:rPr>
        <w:t>Z</w:t>
      </w:r>
      <w:r>
        <w:rPr>
          <w:lang w:val="en-US"/>
        </w:rPr>
        <w:t xml:space="preserve"> to be randomly allocated among individuals, meaning that they are independent of all potential outc</w:t>
      </w:r>
      <w:r w:rsidR="00C22479">
        <w:rPr>
          <w:lang w:val="en-US"/>
        </w:rPr>
        <w:t>omes and treatment intensities</w:t>
      </w:r>
      <w:r w:rsidR="00E44C11">
        <w:rPr>
          <w:lang w:val="en-US"/>
        </w:rPr>
        <w:t xml:space="preserve">. It means that </w:t>
      </w:r>
      <w:r w:rsidR="00F67FDA">
        <w:rPr>
          <w:lang w:val="en-US"/>
        </w:rPr>
        <w:t xml:space="preserve">the </w:t>
      </w:r>
      <w:r w:rsidR="00E74DEE">
        <w:rPr>
          <w:lang w:val="en-US"/>
        </w:rPr>
        <w:t xml:space="preserve">instruments </w:t>
      </w:r>
      <w:r w:rsidR="00E503B9">
        <w:rPr>
          <w:lang w:val="en-US"/>
        </w:rPr>
        <w:t>should be</w:t>
      </w:r>
      <w:r w:rsidR="00E74DEE">
        <w:rPr>
          <w:lang w:val="en-US"/>
        </w:rPr>
        <w:t xml:space="preserve"> uncorrelated with </w:t>
      </w:r>
      <w:r w:rsidR="005E1F63">
        <w:rPr>
          <w:lang w:val="en-US"/>
        </w:rPr>
        <w:t xml:space="preserve">the </w:t>
      </w:r>
      <w:r w:rsidR="00F67FDA">
        <w:rPr>
          <w:lang w:val="en-US"/>
        </w:rPr>
        <w:t>error terms in equations (</w:t>
      </w:r>
      <w:r w:rsidR="00932EDB">
        <w:rPr>
          <w:lang w:val="en-US"/>
        </w:rPr>
        <w:t>1</w:t>
      </w:r>
      <w:r w:rsidR="00F67FDA">
        <w:rPr>
          <w:lang w:val="en-US"/>
        </w:rPr>
        <w:t>)</w:t>
      </w:r>
      <w:r w:rsidR="00C22479">
        <w:rPr>
          <w:lang w:val="en-US"/>
        </w:rPr>
        <w:t xml:space="preserve"> and</w:t>
      </w:r>
      <w:r w:rsidR="005E1F63">
        <w:rPr>
          <w:lang w:val="en-US"/>
        </w:rPr>
        <w:t xml:space="preserve"> (</w:t>
      </w:r>
      <w:r w:rsidR="00932EDB">
        <w:rPr>
          <w:lang w:val="en-US"/>
        </w:rPr>
        <w:t>2</w:t>
      </w:r>
      <w:r w:rsidR="005E1F63">
        <w:rPr>
          <w:lang w:val="en-US"/>
        </w:rPr>
        <w:t>). The proportion of 4</w:t>
      </w:r>
      <w:r w:rsidR="005E1F63" w:rsidRPr="00AF4E65">
        <w:rPr>
          <w:vertAlign w:val="superscript"/>
          <w:lang w:val="en-US"/>
        </w:rPr>
        <w:t>th</w:t>
      </w:r>
      <w:r w:rsidR="005E1F63">
        <w:rPr>
          <w:lang w:val="en-US"/>
        </w:rPr>
        <w:t xml:space="preserve"> graders born in the first and second semester of the year</w:t>
      </w:r>
      <w:r w:rsidR="00093F42">
        <w:rPr>
          <w:lang w:val="en-US"/>
        </w:rPr>
        <w:t xml:space="preserve"> </w:t>
      </w:r>
      <w:r w:rsidR="00A00D60">
        <w:rPr>
          <w:lang w:val="en-US"/>
        </w:rPr>
        <w:t>presents</w:t>
      </w:r>
      <w:r w:rsidR="00093F42">
        <w:rPr>
          <w:lang w:val="en-US"/>
        </w:rPr>
        <w:t xml:space="preserve"> </w:t>
      </w:r>
      <w:r w:rsidR="00A00D60">
        <w:rPr>
          <w:lang w:val="en-US"/>
        </w:rPr>
        <w:t xml:space="preserve">this </w:t>
      </w:r>
      <w:r w:rsidR="00E503B9">
        <w:rPr>
          <w:lang w:val="en-US"/>
        </w:rPr>
        <w:t>suitable</w:t>
      </w:r>
      <w:r w:rsidR="00A00D60">
        <w:rPr>
          <w:lang w:val="en-US"/>
        </w:rPr>
        <w:t xml:space="preserve"> feature, </w:t>
      </w:r>
      <w:r w:rsidR="00F07806">
        <w:rPr>
          <w:lang w:val="en-US"/>
        </w:rPr>
        <w:t>since</w:t>
      </w:r>
      <w:r w:rsidR="00A00D60">
        <w:rPr>
          <w:lang w:val="en-US"/>
        </w:rPr>
        <w:t xml:space="preserve"> it is a random event and</w:t>
      </w:r>
      <w:r w:rsidR="00AB0694">
        <w:rPr>
          <w:lang w:val="en-US"/>
        </w:rPr>
        <w:t>,</w:t>
      </w:r>
      <w:r w:rsidR="00A00D60">
        <w:rPr>
          <w:lang w:val="en-US"/>
        </w:rPr>
        <w:t xml:space="preserve"> </w:t>
      </w:r>
      <w:r w:rsidR="00E503B9">
        <w:rPr>
          <w:lang w:val="en-US"/>
        </w:rPr>
        <w:t>as such</w:t>
      </w:r>
      <w:r w:rsidR="00AB0694">
        <w:rPr>
          <w:lang w:val="en-US"/>
        </w:rPr>
        <w:t>,</w:t>
      </w:r>
      <w:r w:rsidR="00A00D60">
        <w:rPr>
          <w:lang w:val="en-US"/>
        </w:rPr>
        <w:t xml:space="preserve"> tend</w:t>
      </w:r>
      <w:r w:rsidR="00E503B9">
        <w:rPr>
          <w:lang w:val="en-US"/>
        </w:rPr>
        <w:t>s</w:t>
      </w:r>
      <w:r w:rsidR="00A00D60">
        <w:rPr>
          <w:lang w:val="en-US"/>
        </w:rPr>
        <w:t xml:space="preserve"> to be orthogonal to the error terms.</w:t>
      </w:r>
      <w:r w:rsidR="005E1F63">
        <w:rPr>
          <w:lang w:val="en-US"/>
        </w:rPr>
        <w:t xml:space="preserve"> </w:t>
      </w:r>
    </w:p>
    <w:p w:rsidR="005B25E5" w:rsidRDefault="005B25E5" w:rsidP="00785128">
      <w:pPr>
        <w:ind w:firstLine="720"/>
        <w:jc w:val="both"/>
        <w:rPr>
          <w:lang w:val="en-US"/>
        </w:rPr>
      </w:pPr>
      <w:r w:rsidRPr="00AF1B0F">
        <w:rPr>
          <w:lang w:val="en-US"/>
        </w:rPr>
        <w:t xml:space="preserve">The second condition is the </w:t>
      </w:r>
      <w:proofErr w:type="spellStart"/>
      <w:r w:rsidRPr="00AF1B0F">
        <w:rPr>
          <w:i/>
          <w:lang w:val="en-US"/>
        </w:rPr>
        <w:t>monotonicity</w:t>
      </w:r>
      <w:proofErr w:type="spellEnd"/>
      <w:r w:rsidRPr="00AF1B0F">
        <w:rPr>
          <w:i/>
          <w:lang w:val="en-US"/>
        </w:rPr>
        <w:t xml:space="preserve"> assumption</w:t>
      </w:r>
      <w:r w:rsidRPr="00AF1B0F">
        <w:rPr>
          <w:lang w:val="en-US"/>
        </w:rPr>
        <w:t>, which demands the treatment status (the peers’ average performance) to be indeed induced by the instrument status (proportion of 4</w:t>
      </w:r>
      <w:r w:rsidRPr="00AF1B0F">
        <w:rPr>
          <w:vertAlign w:val="superscript"/>
          <w:lang w:val="en-US"/>
        </w:rPr>
        <w:t>th</w:t>
      </w:r>
      <w:r w:rsidRPr="00AF1B0F">
        <w:rPr>
          <w:lang w:val="en-US"/>
        </w:rPr>
        <w:t xml:space="preserve"> graders born by semester). In the present paper, </w:t>
      </w:r>
      <w:proofErr w:type="spellStart"/>
      <w:r w:rsidRPr="00AF1B0F">
        <w:rPr>
          <w:lang w:val="en-US"/>
        </w:rPr>
        <w:t>monotonicity</w:t>
      </w:r>
      <w:proofErr w:type="spellEnd"/>
      <w:r w:rsidRPr="00AF1B0F">
        <w:rPr>
          <w:lang w:val="en-US"/>
        </w:rPr>
        <w:t xml:space="preserve"> means that schools with higher proportion of students born in the second semester should performance at least as well (or better) as they would have performed had they concentrate more students born in the first semester. It is worthwhile to remember that the date of birth within the year is an important determinant of educational achievement only because of the variation in the child’s age at school entry, which is exogenously defined by attendance laws. As a consequence, the intended effect of our instrument is a local average treatment effect (LATE) identified only over the subpopulation of compliers. Here the compliers are the students who turned 6 years old by the beginning of the academic year and enrolled in the 1</w:t>
      </w:r>
      <w:r w:rsidRPr="00AF1B0F">
        <w:rPr>
          <w:vertAlign w:val="superscript"/>
          <w:lang w:val="en-US"/>
        </w:rPr>
        <w:t>st</w:t>
      </w:r>
      <w:r w:rsidRPr="00AF1B0F">
        <w:rPr>
          <w:lang w:val="en-US"/>
        </w:rPr>
        <w:t xml:space="preserve"> grade, as well as those who had to wait one more year to start school if they turned 6 after this period. Notice that this compliance rule, due to the </w:t>
      </w:r>
      <w:proofErr w:type="spellStart"/>
      <w:r w:rsidRPr="00AF1B0F">
        <w:rPr>
          <w:lang w:val="en-US"/>
        </w:rPr>
        <w:t>monotonicity</w:t>
      </w:r>
      <w:proofErr w:type="spellEnd"/>
      <w:r w:rsidRPr="00AF1B0F">
        <w:rPr>
          <w:lang w:val="en-US"/>
        </w:rPr>
        <w:t xml:space="preserve"> assumption, could be violated if students (or their parents) manage to defy the legal age entrance at school. Suppose for instance parents share </w:t>
      </w:r>
      <w:r w:rsidRPr="00AF1B0F">
        <w:rPr>
          <w:lang w:val="en-US"/>
        </w:rPr>
        <w:lastRenderedPageBreak/>
        <w:t>the beliefs it is better to enter school at a relatively older age and a child who turn 6</w:t>
      </w:r>
      <w:r w:rsidR="0000231E" w:rsidRPr="00AF1B0F">
        <w:rPr>
          <w:lang w:val="en-US"/>
        </w:rPr>
        <w:t xml:space="preserve"> years old in March, would be he</w:t>
      </w:r>
      <w:r w:rsidRPr="00AF1B0F">
        <w:rPr>
          <w:lang w:val="en-US"/>
        </w:rPr>
        <w:t>ld on one more year before start the 1</w:t>
      </w:r>
      <w:r w:rsidRPr="00AF1B0F">
        <w:rPr>
          <w:vertAlign w:val="superscript"/>
          <w:lang w:val="en-US"/>
        </w:rPr>
        <w:t>st</w:t>
      </w:r>
      <w:r w:rsidRPr="00AF1B0F">
        <w:rPr>
          <w:lang w:val="en-US"/>
        </w:rPr>
        <w:t xml:space="preserve"> grade. This same child would begin the 1</w:t>
      </w:r>
      <w:r w:rsidRPr="00AF1B0F">
        <w:rPr>
          <w:vertAlign w:val="superscript"/>
          <w:lang w:val="en-US"/>
        </w:rPr>
        <w:t>st</w:t>
      </w:r>
      <w:r w:rsidRPr="00AF1B0F">
        <w:rPr>
          <w:lang w:val="en-US"/>
        </w:rPr>
        <w:t xml:space="preserve"> grade relatively older breaking down the instrument status, in which children born in the first semester should be relatively younger. This sort of manipulation turns down the compliance rule and the IV approach is no longer valid.</w:t>
      </w:r>
      <w:r>
        <w:rPr>
          <w:lang w:val="en-US"/>
        </w:rPr>
        <w:t xml:space="preserve"> </w:t>
      </w:r>
    </w:p>
    <w:p w:rsidR="005B25E5" w:rsidRDefault="005B25E5" w:rsidP="00785128">
      <w:pPr>
        <w:ind w:firstLine="720"/>
        <w:jc w:val="both"/>
        <w:rPr>
          <w:lang w:val="en-US"/>
        </w:rPr>
      </w:pPr>
      <w:r>
        <w:rPr>
          <w:lang w:val="en-US"/>
        </w:rPr>
        <w:t xml:space="preserve">The independence and </w:t>
      </w:r>
      <w:proofErr w:type="spellStart"/>
      <w:r>
        <w:rPr>
          <w:lang w:val="en-US"/>
        </w:rPr>
        <w:t>monotonicity</w:t>
      </w:r>
      <w:proofErr w:type="spellEnd"/>
      <w:r>
        <w:rPr>
          <w:lang w:val="en-US"/>
        </w:rPr>
        <w:t xml:space="preserve"> assumptions cannot be directly checked </w:t>
      </w:r>
      <w:r w:rsidRPr="003D7559">
        <w:rPr>
          <w:lang w:val="en-US"/>
        </w:rPr>
        <w:t>because it involves unobservable variables</w:t>
      </w:r>
      <w:r>
        <w:rPr>
          <w:rStyle w:val="Refdenotaderodap"/>
          <w:lang w:val="en-US"/>
        </w:rPr>
        <w:footnoteReference w:id="7"/>
      </w:r>
      <w:r w:rsidRPr="003D7559">
        <w:rPr>
          <w:lang w:val="en-US"/>
        </w:rPr>
        <w:t xml:space="preserve">. Nevertheless, there are some testable implications that can be used as robustness tests, which will be presented in </w:t>
      </w:r>
      <w:r w:rsidR="000F75CB">
        <w:rPr>
          <w:lang w:val="en-US"/>
        </w:rPr>
        <w:t>S</w:t>
      </w:r>
      <w:r w:rsidR="000F75CB" w:rsidRPr="000F75CB">
        <w:rPr>
          <w:lang w:val="en-US"/>
        </w:rPr>
        <w:t>ection 5.1</w:t>
      </w:r>
      <w:r w:rsidRPr="003D7559">
        <w:rPr>
          <w:lang w:val="en-US"/>
        </w:rPr>
        <w:t xml:space="preserve">. </w:t>
      </w:r>
    </w:p>
    <w:p w:rsidR="00F02C79" w:rsidRDefault="00F02C79" w:rsidP="00785128">
      <w:pPr>
        <w:jc w:val="both"/>
        <w:rPr>
          <w:lang w:val="en-US"/>
        </w:rPr>
      </w:pPr>
    </w:p>
    <w:p w:rsidR="00122CF4" w:rsidRPr="002366C1" w:rsidRDefault="00E44AB6" w:rsidP="00785128">
      <w:pPr>
        <w:jc w:val="both"/>
        <w:rPr>
          <w:lang w:val="en-US"/>
        </w:rPr>
      </w:pPr>
      <w:bookmarkStart w:id="0" w:name="_Toc419455416"/>
      <w:r w:rsidRPr="004E3564">
        <w:rPr>
          <w:b/>
          <w:bCs/>
          <w:lang w:val="en-US"/>
        </w:rPr>
        <w:t>3</w:t>
      </w:r>
      <w:r w:rsidR="00122CF4" w:rsidRPr="004E3564">
        <w:rPr>
          <w:b/>
          <w:bCs/>
          <w:lang w:val="en-US"/>
        </w:rPr>
        <w:t xml:space="preserve"> </w:t>
      </w:r>
      <w:bookmarkEnd w:id="0"/>
      <w:r w:rsidR="00122CF4" w:rsidRPr="004E3564">
        <w:rPr>
          <w:b/>
          <w:bCs/>
          <w:lang w:val="en-US"/>
        </w:rPr>
        <w:t>The dataset and descriptive statistics of the variables</w:t>
      </w:r>
      <w:r w:rsidR="00122CF4">
        <w:rPr>
          <w:b/>
          <w:bCs/>
          <w:lang w:val="en-US"/>
        </w:rPr>
        <w:t xml:space="preserve"> </w:t>
      </w:r>
    </w:p>
    <w:p w:rsidR="00122CF4" w:rsidRPr="002366C1" w:rsidRDefault="00122CF4" w:rsidP="00785128">
      <w:pPr>
        <w:jc w:val="both"/>
        <w:rPr>
          <w:lang w:val="en-US"/>
        </w:rPr>
      </w:pPr>
    </w:p>
    <w:p w:rsidR="00122CF4" w:rsidRPr="00C617A8" w:rsidRDefault="00122CF4" w:rsidP="00785128">
      <w:pPr>
        <w:ind w:firstLine="708"/>
        <w:jc w:val="both"/>
        <w:rPr>
          <w:lang w:val="en-US"/>
        </w:rPr>
      </w:pPr>
      <w:r w:rsidRPr="00535645">
        <w:rPr>
          <w:lang w:val="en-US"/>
        </w:rPr>
        <w:t>Th</w:t>
      </w:r>
      <w:r w:rsidR="005B0182">
        <w:rPr>
          <w:lang w:val="en-US"/>
        </w:rPr>
        <w:t>is</w:t>
      </w:r>
      <w:r w:rsidRPr="00535645">
        <w:rPr>
          <w:lang w:val="en-US"/>
        </w:rPr>
        <w:t xml:space="preserve"> paper uses data from the </w:t>
      </w:r>
      <w:r>
        <w:rPr>
          <w:lang w:val="en-US"/>
        </w:rPr>
        <w:t xml:space="preserve">Brazilian </w:t>
      </w:r>
      <w:r w:rsidRPr="00756A6C">
        <w:t xml:space="preserve">National System to Evaluate Basic Education </w:t>
      </w:r>
      <w:r w:rsidRPr="00535645">
        <w:rPr>
          <w:lang w:val="en-US"/>
        </w:rPr>
        <w:t xml:space="preserve">also known as </w:t>
      </w:r>
      <w:proofErr w:type="spellStart"/>
      <w:r w:rsidRPr="00535645">
        <w:rPr>
          <w:i/>
          <w:lang w:val="en-US"/>
        </w:rPr>
        <w:t>Prova</w:t>
      </w:r>
      <w:proofErr w:type="spellEnd"/>
      <w:r w:rsidRPr="00535645">
        <w:rPr>
          <w:i/>
          <w:lang w:val="en-US"/>
        </w:rPr>
        <w:t xml:space="preserve"> </w:t>
      </w:r>
      <w:proofErr w:type="spellStart"/>
      <w:r w:rsidRPr="00535645">
        <w:rPr>
          <w:i/>
          <w:lang w:val="en-US"/>
        </w:rPr>
        <w:t>Brasil</w:t>
      </w:r>
      <w:proofErr w:type="spellEnd"/>
      <w:r w:rsidRPr="00535645">
        <w:rPr>
          <w:lang w:val="en-US"/>
        </w:rPr>
        <w:t xml:space="preserve">, for the year of 2013. Created in 2005 by the </w:t>
      </w:r>
      <w:r w:rsidRPr="008C49AE">
        <w:rPr>
          <w:i/>
          <w:lang w:val="en-US"/>
        </w:rPr>
        <w:t xml:space="preserve">National Institute of Educational Research </w:t>
      </w:r>
      <w:proofErr w:type="spellStart"/>
      <w:r w:rsidRPr="008C49AE">
        <w:rPr>
          <w:i/>
          <w:lang w:val="en-US"/>
        </w:rPr>
        <w:t>Anísio</w:t>
      </w:r>
      <w:proofErr w:type="spellEnd"/>
      <w:r w:rsidRPr="008C49AE">
        <w:rPr>
          <w:i/>
          <w:lang w:val="en-US"/>
        </w:rPr>
        <w:t xml:space="preserve"> Teixeira</w:t>
      </w:r>
      <w:r>
        <w:rPr>
          <w:lang w:val="en-US"/>
        </w:rPr>
        <w:t xml:space="preserve"> from the </w:t>
      </w:r>
      <w:r w:rsidRPr="00535645">
        <w:rPr>
          <w:lang w:val="en-US"/>
        </w:rPr>
        <w:t>Brazilian Ministry of Education</w:t>
      </w:r>
      <w:r>
        <w:rPr>
          <w:lang w:val="en-US"/>
        </w:rPr>
        <w:t xml:space="preserve"> (MEC/ </w:t>
      </w:r>
      <w:proofErr w:type="spellStart"/>
      <w:r>
        <w:rPr>
          <w:lang w:val="en-US"/>
        </w:rPr>
        <w:t>Inep</w:t>
      </w:r>
      <w:proofErr w:type="spellEnd"/>
      <w:r>
        <w:rPr>
          <w:lang w:val="en-US"/>
        </w:rPr>
        <w:t>)</w:t>
      </w:r>
      <w:r w:rsidRPr="00535645">
        <w:rPr>
          <w:lang w:val="en-US"/>
        </w:rPr>
        <w:t xml:space="preserve">, the </w:t>
      </w:r>
      <w:proofErr w:type="spellStart"/>
      <w:r w:rsidRPr="00535645">
        <w:rPr>
          <w:i/>
          <w:lang w:val="en-US"/>
        </w:rPr>
        <w:t>Prova</w:t>
      </w:r>
      <w:proofErr w:type="spellEnd"/>
      <w:r w:rsidRPr="00535645">
        <w:rPr>
          <w:i/>
          <w:lang w:val="en-US"/>
        </w:rPr>
        <w:t xml:space="preserve"> </w:t>
      </w:r>
      <w:proofErr w:type="spellStart"/>
      <w:r w:rsidRPr="00535645">
        <w:rPr>
          <w:i/>
          <w:lang w:val="en-US"/>
        </w:rPr>
        <w:t>Brasil</w:t>
      </w:r>
      <w:proofErr w:type="spellEnd"/>
      <w:r w:rsidRPr="00535645">
        <w:rPr>
          <w:lang w:val="en-US"/>
        </w:rPr>
        <w:t xml:space="preserve"> evaluation consists of a census assessment involving students from 4</w:t>
      </w:r>
      <w:r w:rsidRPr="00535645">
        <w:rPr>
          <w:vertAlign w:val="superscript"/>
          <w:lang w:val="en-US"/>
        </w:rPr>
        <w:t>th</w:t>
      </w:r>
      <w:r w:rsidRPr="00535645">
        <w:rPr>
          <w:lang w:val="en-US"/>
        </w:rPr>
        <w:t xml:space="preserve"> and 8</w:t>
      </w:r>
      <w:r w:rsidRPr="00535645">
        <w:rPr>
          <w:vertAlign w:val="superscript"/>
          <w:lang w:val="en-US"/>
        </w:rPr>
        <w:t>th</w:t>
      </w:r>
      <w:r w:rsidRPr="00535645">
        <w:rPr>
          <w:lang w:val="en-US"/>
        </w:rPr>
        <w:t xml:space="preserve"> grades </w:t>
      </w:r>
      <w:r w:rsidRPr="004B4B92">
        <w:rPr>
          <w:lang w:val="en-US"/>
        </w:rPr>
        <w:t>of elementary schools</w:t>
      </w:r>
      <w:r w:rsidRPr="00535645">
        <w:rPr>
          <w:lang w:val="en-US"/>
        </w:rPr>
        <w:t xml:space="preserve"> in Brazil, and offers a nationwide measurement of the quality of education. Schools with at least twenty students enrolled in the assessed grades are eligible </w:t>
      </w:r>
      <w:r>
        <w:rPr>
          <w:lang w:val="en-US"/>
        </w:rPr>
        <w:t xml:space="preserve">to participate in the assessment </w:t>
      </w:r>
      <w:r w:rsidRPr="00535645">
        <w:rPr>
          <w:lang w:val="en-US"/>
        </w:rPr>
        <w:t>and their pupils are su</w:t>
      </w:r>
      <w:r w:rsidR="005B0182">
        <w:rPr>
          <w:lang w:val="en-US"/>
        </w:rPr>
        <w:t>bmitted to two types of exams: m</w:t>
      </w:r>
      <w:r w:rsidRPr="00535645">
        <w:rPr>
          <w:lang w:val="en-US"/>
        </w:rPr>
        <w:t>athematic</w:t>
      </w:r>
      <w:r>
        <w:rPr>
          <w:lang w:val="en-US"/>
        </w:rPr>
        <w:t>s</w:t>
      </w:r>
      <w:r w:rsidR="005B0182">
        <w:rPr>
          <w:lang w:val="en-US"/>
        </w:rPr>
        <w:t xml:space="preserve"> and Portuguese l</w:t>
      </w:r>
      <w:r w:rsidRPr="00535645">
        <w:rPr>
          <w:lang w:val="en-US"/>
        </w:rPr>
        <w:t xml:space="preserve">anguage. At the end of the tests, the student answers a questionnaire containing questions about </w:t>
      </w:r>
      <w:r>
        <w:rPr>
          <w:lang w:val="en-US"/>
        </w:rPr>
        <w:t>date of birth, age and sex, as well as, scholar history, studying habits and family socioeconomic background</w:t>
      </w:r>
      <w:r w:rsidRPr="00535645">
        <w:rPr>
          <w:lang w:val="en-US"/>
        </w:rPr>
        <w:t>. Inter</w:t>
      </w:r>
      <w:r w:rsidRPr="00C617A8">
        <w:rPr>
          <w:lang w:val="en-US"/>
        </w:rPr>
        <w:t xml:space="preserve">viewers also administer two other questionnaires for the school Principals and teachers, in which they collect a large set of information on internal and external aspects of </w:t>
      </w:r>
      <w:r>
        <w:rPr>
          <w:lang w:val="en-US"/>
        </w:rPr>
        <w:t xml:space="preserve">the </w:t>
      </w:r>
      <w:r w:rsidRPr="00C617A8">
        <w:rPr>
          <w:lang w:val="en-US"/>
        </w:rPr>
        <w:t xml:space="preserve">school environment. </w:t>
      </w:r>
    </w:p>
    <w:p w:rsidR="00122CF4" w:rsidRDefault="00122CF4" w:rsidP="00785128">
      <w:pPr>
        <w:ind w:firstLine="708"/>
        <w:jc w:val="both"/>
        <w:rPr>
          <w:lang w:val="en-US"/>
        </w:rPr>
      </w:pPr>
      <w:r>
        <w:rPr>
          <w:lang w:val="en-US"/>
        </w:rPr>
        <w:t xml:space="preserve">For the present </w:t>
      </w:r>
      <w:r w:rsidRPr="004338FA">
        <w:rPr>
          <w:lang w:val="en-US"/>
        </w:rPr>
        <w:t>study we consider</w:t>
      </w:r>
      <w:r>
        <w:rPr>
          <w:lang w:val="en-US"/>
        </w:rPr>
        <w:t xml:space="preserve"> </w:t>
      </w:r>
      <w:r w:rsidRPr="004338FA">
        <w:rPr>
          <w:lang w:val="en-US"/>
        </w:rPr>
        <w:t>only</w:t>
      </w:r>
      <w:r>
        <w:rPr>
          <w:lang w:val="en-US"/>
        </w:rPr>
        <w:t xml:space="preserve"> the </w:t>
      </w:r>
      <w:r w:rsidRPr="004338FA">
        <w:rPr>
          <w:lang w:val="en-US"/>
        </w:rPr>
        <w:t>sample</w:t>
      </w:r>
      <w:r>
        <w:rPr>
          <w:lang w:val="en-US"/>
        </w:rPr>
        <w:t xml:space="preserve"> of</w:t>
      </w:r>
      <w:r w:rsidRPr="004338FA">
        <w:rPr>
          <w:lang w:val="en-US"/>
        </w:rPr>
        <w:t xml:space="preserve"> </w:t>
      </w:r>
      <w:r>
        <w:rPr>
          <w:lang w:val="en-US"/>
        </w:rPr>
        <w:t>4</w:t>
      </w:r>
      <w:r w:rsidRPr="004338FA">
        <w:rPr>
          <w:vertAlign w:val="superscript"/>
          <w:lang w:val="en-US"/>
        </w:rPr>
        <w:t>th</w:t>
      </w:r>
      <w:r>
        <w:rPr>
          <w:lang w:val="en-US"/>
        </w:rPr>
        <w:t xml:space="preserve"> grade students from </w:t>
      </w:r>
      <w:r w:rsidRPr="004338FA">
        <w:rPr>
          <w:lang w:val="en-US"/>
        </w:rPr>
        <w:t xml:space="preserve">public schools that had at least </w:t>
      </w:r>
      <w:r>
        <w:rPr>
          <w:lang w:val="en-US"/>
        </w:rPr>
        <w:t>ten</w:t>
      </w:r>
      <w:r w:rsidRPr="004338FA">
        <w:rPr>
          <w:lang w:val="en-US"/>
        </w:rPr>
        <w:t xml:space="preserve"> students being evaluated</w:t>
      </w:r>
      <w:r>
        <w:rPr>
          <w:lang w:val="en-US"/>
        </w:rPr>
        <w:t xml:space="preserve"> in the </w:t>
      </w:r>
      <w:proofErr w:type="spellStart"/>
      <w:r w:rsidRPr="004338FA">
        <w:rPr>
          <w:i/>
          <w:lang w:val="en-US"/>
        </w:rPr>
        <w:t>Prova</w:t>
      </w:r>
      <w:proofErr w:type="spellEnd"/>
      <w:r w:rsidRPr="004338FA">
        <w:rPr>
          <w:i/>
          <w:lang w:val="en-US"/>
        </w:rPr>
        <w:t xml:space="preserve"> </w:t>
      </w:r>
      <w:proofErr w:type="spellStart"/>
      <w:r w:rsidRPr="004338FA">
        <w:rPr>
          <w:i/>
          <w:lang w:val="en-US"/>
        </w:rPr>
        <w:t>Brasil</w:t>
      </w:r>
      <w:proofErr w:type="spellEnd"/>
      <w:r>
        <w:rPr>
          <w:lang w:val="en-US"/>
        </w:rPr>
        <w:t xml:space="preserve"> exams of 2013.</w:t>
      </w:r>
      <w:r w:rsidRPr="004338FA">
        <w:rPr>
          <w:lang w:val="en-US"/>
        </w:rPr>
        <w:t xml:space="preserve"> </w:t>
      </w:r>
      <w:r w:rsidRPr="00535645">
        <w:rPr>
          <w:lang w:val="en-US"/>
        </w:rPr>
        <w:t xml:space="preserve">After the exclusion of individuals with inadequate or missing information, the final sample </w:t>
      </w:r>
      <w:r w:rsidR="00266C04" w:rsidRPr="00535645">
        <w:rPr>
          <w:lang w:val="en-US"/>
        </w:rPr>
        <w:t>consists</w:t>
      </w:r>
      <w:r w:rsidR="00266C04">
        <w:rPr>
          <w:lang w:val="en-US"/>
        </w:rPr>
        <w:t xml:space="preserve"> </w:t>
      </w:r>
      <w:r w:rsidRPr="00535645">
        <w:rPr>
          <w:lang w:val="en-US"/>
        </w:rPr>
        <w:t>of 599</w:t>
      </w:r>
      <w:r>
        <w:rPr>
          <w:lang w:val="en-US"/>
        </w:rPr>
        <w:t>,</w:t>
      </w:r>
      <w:r w:rsidRPr="00535645">
        <w:rPr>
          <w:lang w:val="en-US"/>
        </w:rPr>
        <w:t xml:space="preserve">103 </w:t>
      </w:r>
      <w:r>
        <w:rPr>
          <w:lang w:val="en-US"/>
        </w:rPr>
        <w:t>students from 4</w:t>
      </w:r>
      <w:r w:rsidRPr="005D2BB8">
        <w:rPr>
          <w:vertAlign w:val="superscript"/>
          <w:lang w:val="en-US"/>
        </w:rPr>
        <w:t>th</w:t>
      </w:r>
      <w:r>
        <w:rPr>
          <w:lang w:val="en-US"/>
        </w:rPr>
        <w:t xml:space="preserve"> grade and 35,707 schools distributed over the 26 Brazilian states and the Federal District. </w:t>
      </w:r>
    </w:p>
    <w:p w:rsidR="00122CF4" w:rsidRPr="00266C04" w:rsidRDefault="00122CF4" w:rsidP="00785128">
      <w:pPr>
        <w:ind w:firstLine="708"/>
        <w:jc w:val="both"/>
      </w:pPr>
      <w:r w:rsidRPr="00C83821">
        <w:t xml:space="preserve">Table 1 presents the definition and descriptive statistics of the variables selected for the estimated models of this paper. The scale of the </w:t>
      </w:r>
      <w:proofErr w:type="spellStart"/>
      <w:r w:rsidRPr="00C83821">
        <w:rPr>
          <w:i/>
        </w:rPr>
        <w:t>Prova</w:t>
      </w:r>
      <w:proofErr w:type="spellEnd"/>
      <w:r w:rsidRPr="00C83821">
        <w:rPr>
          <w:i/>
        </w:rPr>
        <w:t xml:space="preserve"> </w:t>
      </w:r>
      <w:proofErr w:type="spellStart"/>
      <w:r w:rsidRPr="00C83821">
        <w:rPr>
          <w:i/>
        </w:rPr>
        <w:t>Brasil</w:t>
      </w:r>
      <w:proofErr w:type="spellEnd"/>
      <w:r w:rsidRPr="00C83821">
        <w:t xml:space="preserve"> evaluations ranges from 0 to 500</w:t>
      </w:r>
      <w:r>
        <w:t xml:space="preserve"> and indicates in which position the student of a given school unit is located. Such position reveals the skills the students have already acquired in the learning process, or those that are still being developed. For the 4</w:t>
      </w:r>
      <w:r w:rsidRPr="000860AF">
        <w:rPr>
          <w:vertAlign w:val="superscript"/>
        </w:rPr>
        <w:t>th</w:t>
      </w:r>
      <w:r>
        <w:t xml:space="preserve"> grade, the minimum desired level for mathematics should be 225, while in Portuguese language this inferior limit should be 200. </w:t>
      </w:r>
      <w:r w:rsidRPr="00266C04">
        <w:t>In the case of our sample, as presented in Table 1, the 4</w:t>
      </w:r>
      <w:r w:rsidRPr="00266C04">
        <w:rPr>
          <w:vertAlign w:val="superscript"/>
        </w:rPr>
        <w:t>th</w:t>
      </w:r>
      <w:r w:rsidRPr="00266C04">
        <w:t xml:space="preserve"> graders achieve in average below the minimum level</w:t>
      </w:r>
      <w:r w:rsidR="00266C04" w:rsidRPr="00266C04">
        <w:t xml:space="preserve"> for the math evaluation</w:t>
      </w:r>
      <w:r w:rsidRPr="00266C04">
        <w:t>, with mean grade of 21</w:t>
      </w:r>
      <w:r w:rsidR="00444CAF" w:rsidRPr="00266C04">
        <w:t>8</w:t>
      </w:r>
      <w:r w:rsidRPr="00266C04">
        <w:t xml:space="preserve"> in mathematics</w:t>
      </w:r>
      <w:r w:rsidR="00266C04">
        <w:t>,</w:t>
      </w:r>
      <w:r w:rsidRPr="00266C04">
        <w:t xml:space="preserve"> and </w:t>
      </w:r>
      <w:r w:rsidR="00266C04">
        <w:t>reach</w:t>
      </w:r>
      <w:r w:rsidR="00266C04" w:rsidRPr="00266C04">
        <w:t xml:space="preserve"> the minimum desired level </w:t>
      </w:r>
      <w:r w:rsidRPr="00266C04">
        <w:t>in Portuguese language</w:t>
      </w:r>
      <w:r w:rsidR="00266C04" w:rsidRPr="00266C04">
        <w:t>, with average grade of 200.</w:t>
      </w:r>
    </w:p>
    <w:p w:rsidR="00122CF4" w:rsidRPr="00122CF4" w:rsidRDefault="00122CF4" w:rsidP="00785128">
      <w:pPr>
        <w:jc w:val="both"/>
        <w:rPr>
          <w:lang w:val="en-US"/>
        </w:rPr>
      </w:pPr>
    </w:p>
    <w:p w:rsidR="00122CF4" w:rsidRPr="00122CF4" w:rsidRDefault="00122CF4" w:rsidP="00785128">
      <w:pPr>
        <w:ind w:firstLine="708"/>
        <w:jc w:val="both"/>
        <w:rPr>
          <w:lang w:val="en-US"/>
        </w:rPr>
        <w:sectPr w:rsidR="00122CF4" w:rsidRPr="00122CF4" w:rsidSect="00785128">
          <w:headerReference w:type="default" r:id="rId9"/>
          <w:pgSz w:w="12240" w:h="15840"/>
          <w:pgMar w:top="1134" w:right="851" w:bottom="1134" w:left="851" w:header="720" w:footer="720" w:gutter="0"/>
          <w:cols w:space="720"/>
        </w:sectPr>
      </w:pPr>
    </w:p>
    <w:p w:rsidR="00122CF4" w:rsidRPr="000F75CB" w:rsidRDefault="00122CF4" w:rsidP="00785128">
      <w:pPr>
        <w:jc w:val="both"/>
        <w:rPr>
          <w:b/>
          <w:bCs/>
          <w:sz w:val="20"/>
          <w:szCs w:val="20"/>
        </w:rPr>
      </w:pPr>
      <w:r w:rsidRPr="000F75CB">
        <w:rPr>
          <w:b/>
          <w:bCs/>
          <w:sz w:val="20"/>
          <w:szCs w:val="20"/>
        </w:rPr>
        <w:lastRenderedPageBreak/>
        <w:t>Table 1</w:t>
      </w:r>
    </w:p>
    <w:p w:rsidR="00122CF4" w:rsidRPr="000F75CB" w:rsidRDefault="00122CF4" w:rsidP="00785128">
      <w:pPr>
        <w:jc w:val="both"/>
        <w:rPr>
          <w:b/>
          <w:bCs/>
          <w:sz w:val="20"/>
          <w:szCs w:val="20"/>
        </w:rPr>
      </w:pPr>
      <w:r w:rsidRPr="000F75CB">
        <w:rPr>
          <w:b/>
          <w:bCs/>
          <w:sz w:val="20"/>
          <w:szCs w:val="20"/>
        </w:rPr>
        <w:t>Definition and descriptive statistics of the variables</w:t>
      </w:r>
    </w:p>
    <w:tbl>
      <w:tblPr>
        <w:tblW w:w="13680" w:type="dxa"/>
        <w:jc w:val="center"/>
        <w:tblInd w:w="57" w:type="dxa"/>
        <w:tblCellMar>
          <w:left w:w="70" w:type="dxa"/>
          <w:right w:w="70" w:type="dxa"/>
        </w:tblCellMar>
        <w:tblLook w:val="04A0"/>
      </w:tblPr>
      <w:tblGrid>
        <w:gridCol w:w="3841"/>
        <w:gridCol w:w="7052"/>
        <w:gridCol w:w="1551"/>
        <w:gridCol w:w="1236"/>
      </w:tblGrid>
      <w:tr w:rsidR="00122CF4" w:rsidRPr="00105D42" w:rsidTr="006D0014">
        <w:trPr>
          <w:trHeight w:val="600"/>
          <w:tblHeader/>
          <w:jc w:val="center"/>
        </w:trPr>
        <w:tc>
          <w:tcPr>
            <w:tcW w:w="3841" w:type="dxa"/>
            <w:tcBorders>
              <w:top w:val="single" w:sz="12" w:space="0" w:color="auto"/>
              <w:left w:val="nil"/>
              <w:bottom w:val="single" w:sz="12" w:space="0" w:color="auto"/>
              <w:right w:val="nil"/>
            </w:tcBorders>
            <w:shd w:val="clear" w:color="auto" w:fill="auto"/>
            <w:vAlign w:val="bottom"/>
            <w:hideMark/>
          </w:tcPr>
          <w:p w:rsidR="00122CF4" w:rsidRPr="00105D42" w:rsidRDefault="00122CF4" w:rsidP="00785128">
            <w:pPr>
              <w:jc w:val="center"/>
              <w:rPr>
                <w:b/>
                <w:bCs/>
                <w:sz w:val="20"/>
                <w:szCs w:val="20"/>
                <w:lang w:eastAsia="pt-BR"/>
              </w:rPr>
            </w:pPr>
          </w:p>
        </w:tc>
        <w:tc>
          <w:tcPr>
            <w:tcW w:w="7052" w:type="dxa"/>
            <w:tcBorders>
              <w:top w:val="single" w:sz="12" w:space="0" w:color="auto"/>
              <w:left w:val="nil"/>
              <w:bottom w:val="single" w:sz="12" w:space="0" w:color="auto"/>
              <w:right w:val="nil"/>
            </w:tcBorders>
            <w:shd w:val="clear" w:color="auto" w:fill="auto"/>
            <w:vAlign w:val="bottom"/>
            <w:hideMark/>
          </w:tcPr>
          <w:p w:rsidR="00122CF4" w:rsidRPr="00105D42" w:rsidRDefault="00122CF4" w:rsidP="00785128">
            <w:pPr>
              <w:jc w:val="center"/>
              <w:rPr>
                <w:b/>
                <w:bCs/>
                <w:sz w:val="20"/>
                <w:szCs w:val="20"/>
                <w:lang w:eastAsia="pt-BR"/>
              </w:rPr>
            </w:pPr>
            <w:r w:rsidRPr="00105D42">
              <w:rPr>
                <w:b/>
                <w:bCs/>
                <w:sz w:val="20"/>
                <w:szCs w:val="20"/>
                <w:lang w:eastAsia="pt-BR"/>
              </w:rPr>
              <w:t>Definition of Variables</w:t>
            </w:r>
          </w:p>
        </w:tc>
        <w:tc>
          <w:tcPr>
            <w:tcW w:w="1551" w:type="dxa"/>
            <w:tcBorders>
              <w:top w:val="single" w:sz="12" w:space="0" w:color="auto"/>
              <w:left w:val="nil"/>
              <w:bottom w:val="single" w:sz="12" w:space="0" w:color="auto"/>
              <w:right w:val="nil"/>
            </w:tcBorders>
            <w:shd w:val="clear" w:color="auto" w:fill="auto"/>
            <w:vAlign w:val="bottom"/>
            <w:hideMark/>
          </w:tcPr>
          <w:p w:rsidR="00122CF4" w:rsidRPr="00105D42" w:rsidRDefault="00122CF4" w:rsidP="00785128">
            <w:pPr>
              <w:jc w:val="center"/>
              <w:rPr>
                <w:b/>
                <w:bCs/>
                <w:sz w:val="20"/>
                <w:szCs w:val="20"/>
                <w:lang w:eastAsia="pt-BR"/>
              </w:rPr>
            </w:pPr>
            <w:r w:rsidRPr="00105D42">
              <w:rPr>
                <w:b/>
                <w:bCs/>
                <w:sz w:val="20"/>
                <w:szCs w:val="20"/>
                <w:lang w:eastAsia="pt-BR"/>
              </w:rPr>
              <w:t>Average</w:t>
            </w:r>
          </w:p>
        </w:tc>
        <w:tc>
          <w:tcPr>
            <w:tcW w:w="1236" w:type="dxa"/>
            <w:tcBorders>
              <w:top w:val="single" w:sz="12" w:space="0" w:color="auto"/>
              <w:left w:val="nil"/>
              <w:bottom w:val="single" w:sz="12" w:space="0" w:color="auto"/>
              <w:right w:val="nil"/>
            </w:tcBorders>
            <w:shd w:val="clear" w:color="auto" w:fill="auto"/>
            <w:vAlign w:val="bottom"/>
            <w:hideMark/>
          </w:tcPr>
          <w:p w:rsidR="00122CF4" w:rsidRPr="00105D42" w:rsidRDefault="00122CF4" w:rsidP="00785128">
            <w:pPr>
              <w:jc w:val="center"/>
              <w:rPr>
                <w:b/>
                <w:bCs/>
                <w:sz w:val="20"/>
                <w:szCs w:val="20"/>
                <w:lang w:eastAsia="pt-BR"/>
              </w:rPr>
            </w:pPr>
            <w:r w:rsidRPr="00105D42">
              <w:rPr>
                <w:b/>
                <w:bCs/>
                <w:sz w:val="20"/>
                <w:szCs w:val="20"/>
                <w:lang w:eastAsia="pt-BR"/>
              </w:rPr>
              <w:t>Standard Deviation</w:t>
            </w:r>
          </w:p>
        </w:tc>
      </w:tr>
      <w:tr w:rsidR="00122CF4" w:rsidRPr="00105D42" w:rsidTr="006D0014">
        <w:trPr>
          <w:trHeight w:val="347"/>
          <w:jc w:val="center"/>
        </w:trPr>
        <w:tc>
          <w:tcPr>
            <w:tcW w:w="3841" w:type="dxa"/>
            <w:tcBorders>
              <w:top w:val="single" w:sz="12" w:space="0" w:color="auto"/>
              <w:left w:val="nil"/>
              <w:bottom w:val="single" w:sz="4" w:space="0" w:color="auto"/>
              <w:right w:val="nil"/>
            </w:tcBorders>
            <w:shd w:val="clear" w:color="auto" w:fill="auto"/>
            <w:noWrap/>
            <w:vAlign w:val="bottom"/>
            <w:hideMark/>
          </w:tcPr>
          <w:p w:rsidR="00122CF4" w:rsidRPr="00105D42" w:rsidRDefault="00122CF4" w:rsidP="00785128">
            <w:pPr>
              <w:rPr>
                <w:b/>
                <w:i/>
                <w:sz w:val="20"/>
                <w:szCs w:val="20"/>
                <w:lang w:val="pt-BR" w:eastAsia="pt-BR"/>
              </w:rPr>
            </w:pPr>
            <w:proofErr w:type="spellStart"/>
            <w:r w:rsidRPr="00105D42">
              <w:rPr>
                <w:b/>
                <w:i/>
                <w:sz w:val="20"/>
                <w:szCs w:val="20"/>
                <w:lang w:val="pt-BR" w:eastAsia="pt-BR"/>
              </w:rPr>
              <w:t>Dependent</w:t>
            </w:r>
            <w:proofErr w:type="spellEnd"/>
            <w:r w:rsidRPr="00105D42">
              <w:rPr>
                <w:b/>
                <w:i/>
                <w:sz w:val="20"/>
                <w:szCs w:val="20"/>
                <w:lang w:val="pt-BR" w:eastAsia="pt-BR"/>
              </w:rPr>
              <w:t xml:space="preserve"> </w:t>
            </w:r>
            <w:proofErr w:type="spellStart"/>
            <w:r w:rsidRPr="00105D42">
              <w:rPr>
                <w:b/>
                <w:i/>
                <w:sz w:val="20"/>
                <w:szCs w:val="20"/>
                <w:lang w:val="pt-BR" w:eastAsia="pt-BR"/>
              </w:rPr>
              <w:t>Variables</w:t>
            </w:r>
            <w:proofErr w:type="spellEnd"/>
            <w:r w:rsidRPr="00105D42">
              <w:rPr>
                <w:b/>
                <w:i/>
                <w:sz w:val="20"/>
                <w:szCs w:val="20"/>
                <w:lang w:val="pt-BR" w:eastAsia="pt-BR"/>
              </w:rPr>
              <w:t xml:space="preserve"> (Y)</w:t>
            </w:r>
          </w:p>
        </w:tc>
        <w:tc>
          <w:tcPr>
            <w:tcW w:w="7052" w:type="dxa"/>
            <w:tcBorders>
              <w:top w:val="single" w:sz="12" w:space="0" w:color="auto"/>
              <w:left w:val="nil"/>
              <w:bottom w:val="single" w:sz="4" w:space="0" w:color="auto"/>
              <w:right w:val="nil"/>
            </w:tcBorders>
            <w:shd w:val="clear" w:color="auto" w:fill="auto"/>
            <w:vAlign w:val="center"/>
            <w:hideMark/>
          </w:tcPr>
          <w:p w:rsidR="00122CF4" w:rsidRPr="00105D42" w:rsidRDefault="00122CF4" w:rsidP="00785128">
            <w:pPr>
              <w:rPr>
                <w:sz w:val="20"/>
                <w:szCs w:val="20"/>
                <w:lang w:val="en-US" w:eastAsia="pt-BR"/>
              </w:rPr>
            </w:pPr>
          </w:p>
        </w:tc>
        <w:tc>
          <w:tcPr>
            <w:tcW w:w="1551" w:type="dxa"/>
            <w:tcBorders>
              <w:top w:val="single" w:sz="12" w:space="0" w:color="auto"/>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c>
          <w:tcPr>
            <w:tcW w:w="1236" w:type="dxa"/>
            <w:tcBorders>
              <w:top w:val="single" w:sz="12" w:space="0" w:color="auto"/>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r>
      <w:tr w:rsidR="00122CF4" w:rsidRPr="00105D42" w:rsidTr="006D0014">
        <w:trPr>
          <w:trHeight w:val="556"/>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val="pt-BR" w:eastAsia="pt-BR"/>
              </w:rPr>
            </w:pPr>
            <w:proofErr w:type="spellStart"/>
            <w:r w:rsidRPr="00105D42">
              <w:rPr>
                <w:sz w:val="20"/>
                <w:szCs w:val="20"/>
                <w:lang w:val="pt-BR" w:eastAsia="pt-BR"/>
              </w:rPr>
              <w:t>Math</w:t>
            </w:r>
            <w:proofErr w:type="spellEnd"/>
            <w:r w:rsidRPr="00105D42">
              <w:rPr>
                <w:sz w:val="20"/>
                <w:szCs w:val="20"/>
                <w:lang w:val="pt-BR" w:eastAsia="pt-BR"/>
              </w:rPr>
              <w:t xml:space="preserve"> grade </w:t>
            </w:r>
            <w:proofErr w:type="spellStart"/>
            <w:r w:rsidRPr="00105D42">
              <w:rPr>
                <w:sz w:val="20"/>
                <w:szCs w:val="20"/>
                <w:lang w:val="pt-BR" w:eastAsia="pt-BR"/>
              </w:rPr>
              <w:t>at</w:t>
            </w:r>
            <w:proofErr w:type="spellEnd"/>
            <w:r w:rsidRPr="00105D42">
              <w:rPr>
                <w:sz w:val="20"/>
                <w:szCs w:val="20"/>
                <w:lang w:val="pt-BR" w:eastAsia="pt-BR"/>
              </w:rPr>
              <w:t xml:space="preserve"> </w:t>
            </w:r>
            <w:r w:rsidRPr="00105D42">
              <w:rPr>
                <w:i/>
                <w:sz w:val="20"/>
                <w:szCs w:val="20"/>
                <w:lang w:val="pt-BR" w:eastAsia="pt-BR"/>
              </w:rPr>
              <w:t xml:space="preserve">Prova Brasil </w:t>
            </w:r>
            <w:proofErr w:type="spellStart"/>
            <w:r w:rsidRPr="00105D42">
              <w:rPr>
                <w:sz w:val="20"/>
                <w:szCs w:val="20"/>
                <w:lang w:val="pt-BR" w:eastAsia="pt-BR"/>
              </w:rPr>
              <w:t>exam</w:t>
            </w:r>
            <w:proofErr w:type="spellEnd"/>
            <w:r w:rsidRPr="00105D42">
              <w:rPr>
                <w:sz w:val="20"/>
                <w:szCs w:val="20"/>
                <w:lang w:val="pt-BR" w:eastAsia="pt-BR"/>
              </w:rPr>
              <w:t xml:space="preserve"> (4</w:t>
            </w:r>
            <w:r w:rsidRPr="00105D42">
              <w:rPr>
                <w:sz w:val="20"/>
                <w:szCs w:val="20"/>
                <w:vertAlign w:val="superscript"/>
                <w:lang w:val="pt-BR" w:eastAsia="pt-BR"/>
              </w:rPr>
              <w:t>th</w:t>
            </w:r>
            <w:r w:rsidRPr="00105D42">
              <w:rPr>
                <w:sz w:val="20"/>
                <w:szCs w:val="20"/>
                <w:lang w:val="pt-BR" w:eastAsia="pt-BR"/>
              </w:rPr>
              <w:t xml:space="preserve"> grade)</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 xml:space="preserve">Grade of student </w:t>
            </w:r>
            <w:proofErr w:type="spellStart"/>
            <w:r w:rsidRPr="00105D42">
              <w:rPr>
                <w:i/>
                <w:sz w:val="20"/>
                <w:szCs w:val="20"/>
                <w:lang w:val="en-US" w:eastAsia="pt-BR"/>
              </w:rPr>
              <w:t>i</w:t>
            </w:r>
            <w:proofErr w:type="spellEnd"/>
            <w:r w:rsidRPr="00105D42">
              <w:rPr>
                <w:sz w:val="20"/>
                <w:szCs w:val="20"/>
                <w:lang w:val="en-US" w:eastAsia="pt-BR"/>
              </w:rPr>
              <w:t xml:space="preserve"> (4</w:t>
            </w:r>
            <w:r w:rsidRPr="00105D42">
              <w:rPr>
                <w:sz w:val="20"/>
                <w:szCs w:val="20"/>
                <w:vertAlign w:val="superscript"/>
                <w:lang w:val="en-US" w:eastAsia="pt-BR"/>
              </w:rPr>
              <w:t>th</w:t>
            </w:r>
            <w:r w:rsidRPr="00105D42">
              <w:rPr>
                <w:sz w:val="20"/>
                <w:szCs w:val="20"/>
                <w:lang w:val="en-US" w:eastAsia="pt-BR"/>
              </w:rPr>
              <w:t xml:space="preserve"> grade) on math test transformed to</w:t>
            </w:r>
            <w:r>
              <w:rPr>
                <w:sz w:val="20"/>
                <w:szCs w:val="20"/>
                <w:lang w:val="en-US" w:eastAsia="pt-BR"/>
              </w:rPr>
              <w:t xml:space="preserve"> the</w:t>
            </w:r>
            <w:r w:rsidRPr="00105D42">
              <w:rPr>
                <w:sz w:val="20"/>
                <w:szCs w:val="20"/>
                <w:lang w:val="en-US" w:eastAsia="pt-BR"/>
              </w:rPr>
              <w:t xml:space="preserve"> </w:t>
            </w:r>
            <w:r>
              <w:rPr>
                <w:sz w:val="20"/>
                <w:szCs w:val="20"/>
                <w:lang w:val="en-US" w:eastAsia="pt-BR"/>
              </w:rPr>
              <w:t>s</w:t>
            </w:r>
            <w:r w:rsidRPr="00105D42">
              <w:rPr>
                <w:sz w:val="20"/>
                <w:szCs w:val="20"/>
                <w:lang w:val="en-US" w:eastAsia="pt-BR"/>
              </w:rPr>
              <w:t>cale with mean = 250 and standard deviation = 50</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217.91</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51.24</w:t>
            </w:r>
          </w:p>
        </w:tc>
      </w:tr>
      <w:tr w:rsidR="00122CF4" w:rsidRPr="00105D42" w:rsidTr="006D0014">
        <w:trPr>
          <w:trHeight w:val="630"/>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val="pt-BR" w:eastAsia="pt-BR"/>
              </w:rPr>
            </w:pPr>
            <w:proofErr w:type="spellStart"/>
            <w:r w:rsidRPr="00105D42">
              <w:rPr>
                <w:sz w:val="20"/>
                <w:szCs w:val="20"/>
                <w:lang w:val="pt-BR" w:eastAsia="pt-BR"/>
              </w:rPr>
              <w:t>Portuguese</w:t>
            </w:r>
            <w:proofErr w:type="spellEnd"/>
            <w:r w:rsidRPr="00105D42">
              <w:rPr>
                <w:sz w:val="20"/>
                <w:szCs w:val="20"/>
                <w:lang w:val="pt-BR" w:eastAsia="pt-BR"/>
              </w:rPr>
              <w:t xml:space="preserve"> </w:t>
            </w:r>
            <w:proofErr w:type="spellStart"/>
            <w:r w:rsidRPr="00105D42">
              <w:rPr>
                <w:sz w:val="20"/>
                <w:szCs w:val="20"/>
                <w:lang w:val="pt-BR" w:eastAsia="pt-BR"/>
              </w:rPr>
              <w:t>Language</w:t>
            </w:r>
            <w:proofErr w:type="spellEnd"/>
            <w:r w:rsidRPr="00105D42">
              <w:rPr>
                <w:sz w:val="20"/>
                <w:szCs w:val="20"/>
                <w:lang w:val="pt-BR" w:eastAsia="pt-BR"/>
              </w:rPr>
              <w:t xml:space="preserve"> grade </w:t>
            </w:r>
            <w:proofErr w:type="spellStart"/>
            <w:r w:rsidRPr="00105D42">
              <w:rPr>
                <w:sz w:val="20"/>
                <w:szCs w:val="20"/>
                <w:lang w:val="pt-BR" w:eastAsia="pt-BR"/>
              </w:rPr>
              <w:t>at</w:t>
            </w:r>
            <w:proofErr w:type="spellEnd"/>
            <w:r w:rsidRPr="00105D42">
              <w:rPr>
                <w:sz w:val="20"/>
                <w:szCs w:val="20"/>
                <w:lang w:val="pt-BR" w:eastAsia="pt-BR"/>
              </w:rPr>
              <w:t xml:space="preserve"> </w:t>
            </w:r>
            <w:r w:rsidRPr="00105D42">
              <w:rPr>
                <w:i/>
                <w:sz w:val="20"/>
                <w:szCs w:val="20"/>
                <w:lang w:val="pt-BR" w:eastAsia="pt-BR"/>
              </w:rPr>
              <w:t xml:space="preserve">Prova Brasil </w:t>
            </w:r>
            <w:proofErr w:type="spellStart"/>
            <w:r w:rsidRPr="00105D42">
              <w:rPr>
                <w:sz w:val="20"/>
                <w:szCs w:val="20"/>
                <w:lang w:val="pt-BR" w:eastAsia="pt-BR"/>
              </w:rPr>
              <w:t>exam</w:t>
            </w:r>
            <w:proofErr w:type="spellEnd"/>
            <w:r w:rsidRPr="00105D42">
              <w:rPr>
                <w:sz w:val="20"/>
                <w:szCs w:val="20"/>
                <w:lang w:val="pt-BR" w:eastAsia="pt-BR"/>
              </w:rPr>
              <w:t xml:space="preserve"> (4</w:t>
            </w:r>
            <w:r w:rsidRPr="00105D42">
              <w:rPr>
                <w:sz w:val="20"/>
                <w:szCs w:val="20"/>
                <w:vertAlign w:val="superscript"/>
                <w:lang w:val="pt-BR" w:eastAsia="pt-BR"/>
              </w:rPr>
              <w:t>th</w:t>
            </w:r>
            <w:r w:rsidRPr="00105D42">
              <w:rPr>
                <w:sz w:val="20"/>
                <w:szCs w:val="20"/>
                <w:lang w:val="pt-BR" w:eastAsia="pt-BR"/>
              </w:rPr>
              <w:t xml:space="preserve"> grade)</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 xml:space="preserve">Grade of student </w:t>
            </w:r>
            <w:proofErr w:type="spellStart"/>
            <w:r w:rsidRPr="00105D42">
              <w:rPr>
                <w:i/>
                <w:sz w:val="20"/>
                <w:szCs w:val="20"/>
                <w:lang w:val="en-US" w:eastAsia="pt-BR"/>
              </w:rPr>
              <w:t>i</w:t>
            </w:r>
            <w:proofErr w:type="spellEnd"/>
            <w:r w:rsidRPr="00105D42">
              <w:rPr>
                <w:sz w:val="20"/>
                <w:szCs w:val="20"/>
                <w:lang w:val="en-US" w:eastAsia="pt-BR"/>
              </w:rPr>
              <w:t xml:space="preserve"> (4</w:t>
            </w:r>
            <w:r w:rsidRPr="00105D42">
              <w:rPr>
                <w:sz w:val="20"/>
                <w:szCs w:val="20"/>
                <w:vertAlign w:val="superscript"/>
                <w:lang w:val="en-US" w:eastAsia="pt-BR"/>
              </w:rPr>
              <w:t>th</w:t>
            </w:r>
            <w:r w:rsidRPr="00105D42">
              <w:rPr>
                <w:sz w:val="20"/>
                <w:szCs w:val="20"/>
                <w:lang w:val="en-US" w:eastAsia="pt-BR"/>
              </w:rPr>
              <w:t xml:space="preserve"> grade) on Portuguese language test transformed to </w:t>
            </w:r>
            <w:r>
              <w:rPr>
                <w:sz w:val="20"/>
                <w:szCs w:val="20"/>
                <w:lang w:val="en-US" w:eastAsia="pt-BR"/>
              </w:rPr>
              <w:t xml:space="preserve">the </w:t>
            </w:r>
            <w:r w:rsidRPr="00105D42">
              <w:rPr>
                <w:sz w:val="20"/>
                <w:szCs w:val="20"/>
                <w:lang w:val="en-US" w:eastAsia="pt-BR"/>
              </w:rPr>
              <w:t>scale with mean = 250 and standard deviation = 50</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200.49</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49.85</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b/>
                <w:i/>
                <w:sz w:val="20"/>
                <w:szCs w:val="20"/>
                <w:lang w:eastAsia="pt-BR"/>
              </w:rPr>
            </w:pPr>
            <w:r w:rsidRPr="00105D42">
              <w:rPr>
                <w:b/>
                <w:i/>
                <w:sz w:val="20"/>
                <w:szCs w:val="20"/>
                <w:lang w:eastAsia="pt-BR"/>
              </w:rPr>
              <w:t>Instruments (Z)</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val="en-US" w:eastAsia="pt-BR"/>
              </w:rPr>
            </w:pPr>
            <w:r w:rsidRPr="00105D42">
              <w:rPr>
                <w:sz w:val="20"/>
                <w:szCs w:val="20"/>
                <w:lang w:val="en-US"/>
              </w:rPr>
              <w:t>Proportion born in the 1</w:t>
            </w:r>
            <w:r w:rsidRPr="00105D42">
              <w:rPr>
                <w:sz w:val="20"/>
                <w:szCs w:val="20"/>
                <w:vertAlign w:val="superscript"/>
                <w:lang w:val="en-US"/>
              </w:rPr>
              <w:t>st</w:t>
            </w:r>
            <w:r w:rsidRPr="00105D42">
              <w:rPr>
                <w:sz w:val="20"/>
                <w:szCs w:val="20"/>
                <w:lang w:val="en-US"/>
              </w:rPr>
              <w:t xml:space="preserve"> semester</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Proportion of 4</w:t>
            </w:r>
            <w:r w:rsidRPr="00105D42">
              <w:rPr>
                <w:sz w:val="20"/>
                <w:szCs w:val="20"/>
                <w:vertAlign w:val="superscript"/>
                <w:lang w:val="en-US" w:eastAsia="pt-BR"/>
              </w:rPr>
              <w:t>th</w:t>
            </w:r>
            <w:r w:rsidRPr="00105D42">
              <w:rPr>
                <w:sz w:val="20"/>
                <w:szCs w:val="20"/>
                <w:lang w:val="en-US" w:eastAsia="pt-BR"/>
              </w:rPr>
              <w:t xml:space="preserve"> graders born in the first semester of the year, </w:t>
            </w:r>
            <w:r w:rsidRPr="00105D42">
              <w:rPr>
                <w:sz w:val="20"/>
                <w:szCs w:val="20"/>
                <w:lang w:val="en-US"/>
              </w:rPr>
              <w:t xml:space="preserve">at school </w:t>
            </w:r>
            <w:r w:rsidRPr="00105D42">
              <w:rPr>
                <w:i/>
                <w:sz w:val="20"/>
                <w:szCs w:val="20"/>
                <w:lang w:val="en-US"/>
              </w:rPr>
              <w:t>j</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0.53</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0.10</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val="en-US"/>
              </w:rPr>
              <w:t>Proportion born in the 2</w:t>
            </w:r>
            <w:r w:rsidRPr="00105D42">
              <w:rPr>
                <w:sz w:val="20"/>
                <w:szCs w:val="20"/>
                <w:vertAlign w:val="superscript"/>
                <w:lang w:val="en-US"/>
              </w:rPr>
              <w:t>nd</w:t>
            </w:r>
            <w:r w:rsidRPr="00105D42">
              <w:rPr>
                <w:sz w:val="20"/>
                <w:szCs w:val="20"/>
                <w:lang w:val="en-US"/>
              </w:rPr>
              <w:t xml:space="preserve"> semester</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val="en-US" w:eastAsia="pt-BR"/>
              </w:rPr>
              <w:t>Proportion of 4</w:t>
            </w:r>
            <w:r w:rsidRPr="00105D42">
              <w:rPr>
                <w:sz w:val="20"/>
                <w:szCs w:val="20"/>
                <w:vertAlign w:val="superscript"/>
                <w:lang w:val="en-US" w:eastAsia="pt-BR"/>
              </w:rPr>
              <w:t>th</w:t>
            </w:r>
            <w:r w:rsidRPr="00105D42">
              <w:rPr>
                <w:sz w:val="20"/>
                <w:szCs w:val="20"/>
                <w:lang w:val="en-US" w:eastAsia="pt-BR"/>
              </w:rPr>
              <w:t xml:space="preserve"> graders born in the second semester of the year, </w:t>
            </w:r>
            <w:r w:rsidRPr="00105D42">
              <w:rPr>
                <w:sz w:val="20"/>
                <w:szCs w:val="20"/>
                <w:lang w:val="en-US"/>
              </w:rPr>
              <w:t xml:space="preserve">at school </w:t>
            </w:r>
            <w:r w:rsidRPr="00105D42">
              <w:rPr>
                <w:i/>
                <w:sz w:val="20"/>
                <w:szCs w:val="20"/>
                <w:lang w:val="en-US"/>
              </w:rPr>
              <w:t>j</w:t>
            </w:r>
            <w:r w:rsidRPr="00105D42">
              <w:rPr>
                <w:sz w:val="20"/>
                <w:szCs w:val="20"/>
                <w:lang w:val="en-US" w:eastAsia="pt-BR"/>
              </w:rPr>
              <w:t>, excluding the births of December as reference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0.39</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0.09</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b/>
                <w:sz w:val="20"/>
                <w:szCs w:val="20"/>
                <w:lang w:eastAsia="pt-BR"/>
              </w:rPr>
            </w:pPr>
            <w:r w:rsidRPr="00105D42">
              <w:rPr>
                <w:b/>
                <w:i/>
                <w:sz w:val="20"/>
                <w:szCs w:val="20"/>
                <w:lang w:val="en-US"/>
              </w:rPr>
              <w:t xml:space="preserve">Peers’ Educational Achievement </w:t>
            </w:r>
            <m:oMath>
              <m:r>
                <m:rPr>
                  <m:sty m:val="bi"/>
                </m:rPr>
                <w:rPr>
                  <w:rFonts w:ascii="Cambria Math"/>
                  <w:sz w:val="20"/>
                  <w:szCs w:val="20"/>
                  <w:lang w:val="en-US"/>
                </w:rPr>
                <m:t>(</m:t>
              </m:r>
              <m:acc>
                <m:accPr>
                  <m:chr m:val="̅"/>
                  <m:ctrlPr>
                    <w:rPr>
                      <w:rFonts w:ascii="Cambria Math" w:hAnsi="Cambria Math"/>
                      <w:b/>
                      <w:i/>
                      <w:sz w:val="20"/>
                      <w:szCs w:val="20"/>
                      <w:lang w:val="en-US"/>
                    </w:rPr>
                  </m:ctrlPr>
                </m:accPr>
                <m:e>
                  <m:r>
                    <m:rPr>
                      <m:sty m:val="bi"/>
                    </m:rPr>
                    <w:rPr>
                      <w:rFonts w:ascii="Cambria Math" w:hAnsi="Cambria Math"/>
                      <w:sz w:val="20"/>
                      <w:szCs w:val="20"/>
                      <w:lang w:val="en-US"/>
                    </w:rPr>
                    <m:t>Y</m:t>
                  </m:r>
                </m:e>
              </m:acc>
              <m:r>
                <m:rPr>
                  <m:sty m:val="bi"/>
                </m:rPr>
                <w:rPr>
                  <w:rFonts w:ascii="Cambria Math"/>
                  <w:sz w:val="20"/>
                  <w:szCs w:val="20"/>
                  <w:lang w:val="en-US"/>
                </w:rPr>
                <m:t>)</m:t>
              </m:r>
            </m:oMath>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val="en-US" w:eastAsia="pt-BR"/>
              </w:rPr>
            </w:pPr>
            <w:r w:rsidRPr="00105D42">
              <w:rPr>
                <w:sz w:val="20"/>
                <w:szCs w:val="20"/>
                <w:lang w:val="en-US"/>
              </w:rPr>
              <w:t xml:space="preserve">Peers math grade </w:t>
            </w:r>
            <w:r w:rsidRPr="00105D42">
              <w:rPr>
                <w:sz w:val="20"/>
                <w:szCs w:val="20"/>
                <w:lang w:val="en-US" w:eastAsia="pt-BR"/>
              </w:rPr>
              <w:t>(4</w:t>
            </w:r>
            <w:r w:rsidRPr="00105D42">
              <w:rPr>
                <w:sz w:val="20"/>
                <w:szCs w:val="20"/>
                <w:vertAlign w:val="superscript"/>
                <w:lang w:val="en-US" w:eastAsia="pt-BR"/>
              </w:rPr>
              <w:t>th</w:t>
            </w:r>
            <w:r w:rsidRPr="00105D42">
              <w:rPr>
                <w:sz w:val="20"/>
                <w:szCs w:val="20"/>
                <w:lang w:val="en-US" w:eastAsia="pt-BR"/>
              </w:rPr>
              <w:t xml:space="preserve"> grade)</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val="en-US"/>
              </w:rPr>
              <w:t>Peers average math grade over 4</w:t>
            </w:r>
            <w:r w:rsidRPr="00105D42">
              <w:rPr>
                <w:sz w:val="20"/>
                <w:szCs w:val="20"/>
                <w:vertAlign w:val="superscript"/>
                <w:lang w:val="en-US"/>
              </w:rPr>
              <w:t>th</w:t>
            </w:r>
            <w:r w:rsidRPr="00105D42">
              <w:rPr>
                <w:sz w:val="20"/>
                <w:szCs w:val="20"/>
                <w:lang w:val="en-US"/>
              </w:rPr>
              <w:t xml:space="preserve"> grade students at school </w:t>
            </w:r>
            <w:r w:rsidRPr="00105D42">
              <w:rPr>
                <w:i/>
                <w:sz w:val="20"/>
                <w:szCs w:val="20"/>
                <w:lang w:val="en-US"/>
              </w:rPr>
              <w:t>j</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212.45</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27.19</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val="en-US"/>
              </w:rPr>
              <w:t xml:space="preserve">Peers Portuguese language grade </w:t>
            </w:r>
            <w:r w:rsidRPr="00105D42">
              <w:rPr>
                <w:sz w:val="20"/>
                <w:szCs w:val="20"/>
                <w:lang w:val="en-US" w:eastAsia="pt-BR"/>
              </w:rPr>
              <w:t>(4</w:t>
            </w:r>
            <w:r w:rsidRPr="00105D42">
              <w:rPr>
                <w:sz w:val="20"/>
                <w:szCs w:val="20"/>
                <w:vertAlign w:val="superscript"/>
                <w:lang w:val="en-US" w:eastAsia="pt-BR"/>
              </w:rPr>
              <w:t>th</w:t>
            </w:r>
            <w:r w:rsidRPr="00105D42">
              <w:rPr>
                <w:sz w:val="20"/>
                <w:szCs w:val="20"/>
                <w:lang w:val="en-US" w:eastAsia="pt-BR"/>
              </w:rPr>
              <w:t xml:space="preserve"> grade)</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val="en-US"/>
              </w:rPr>
              <w:t>Peers average Portuguese language grade over 4</w:t>
            </w:r>
            <w:r w:rsidRPr="00105D42">
              <w:rPr>
                <w:sz w:val="20"/>
                <w:szCs w:val="20"/>
                <w:vertAlign w:val="superscript"/>
                <w:lang w:val="en-US"/>
              </w:rPr>
              <w:t>th</w:t>
            </w:r>
            <w:r w:rsidRPr="00105D42">
              <w:rPr>
                <w:sz w:val="20"/>
                <w:szCs w:val="20"/>
                <w:lang w:val="en-US"/>
              </w:rPr>
              <w:t xml:space="preserve"> grade students at school </w:t>
            </w:r>
            <w:r w:rsidRPr="00105D42">
              <w:rPr>
                <w:i/>
                <w:sz w:val="20"/>
                <w:szCs w:val="20"/>
                <w:lang w:val="en-US"/>
              </w:rPr>
              <w:t>j</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195.98</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24.18</w:t>
            </w:r>
          </w:p>
        </w:tc>
      </w:tr>
      <w:tr w:rsidR="00122CF4" w:rsidRPr="00105D42" w:rsidTr="006D0014">
        <w:trPr>
          <w:trHeight w:val="37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b/>
                <w:i/>
                <w:sz w:val="20"/>
                <w:szCs w:val="20"/>
                <w:lang w:eastAsia="pt-BR"/>
              </w:rPr>
            </w:pPr>
            <w:r w:rsidRPr="00105D42">
              <w:rPr>
                <w:b/>
                <w:i/>
                <w:sz w:val="20"/>
                <w:szCs w:val="20"/>
                <w:lang w:val="en-US"/>
              </w:rPr>
              <w:t>Students’ Characteristics (X)</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r>
      <w:tr w:rsidR="00122CF4" w:rsidRPr="00105D42" w:rsidTr="006D0014">
        <w:trPr>
          <w:trHeight w:val="268"/>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Semester I</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students were born in the months from January to June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0.53</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0.50</w:t>
            </w:r>
          </w:p>
        </w:tc>
      </w:tr>
      <w:tr w:rsidR="00122CF4" w:rsidRPr="00105D42" w:rsidTr="006D0014">
        <w:trPr>
          <w:trHeight w:val="28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Semester II</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 xml:space="preserve">Dummy equals 1 if students were born in the months from </w:t>
            </w:r>
            <w:r w:rsidR="00A762F9">
              <w:rPr>
                <w:sz w:val="20"/>
                <w:szCs w:val="20"/>
                <w:lang w:val="en-US" w:eastAsia="pt-BR"/>
              </w:rPr>
              <w:t>July</w:t>
            </w:r>
            <w:r w:rsidRPr="00105D42">
              <w:rPr>
                <w:sz w:val="20"/>
                <w:szCs w:val="20"/>
                <w:lang w:val="en-US" w:eastAsia="pt-BR"/>
              </w:rPr>
              <w:t xml:space="preserve"> to November</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0.39</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0.49</w:t>
            </w:r>
          </w:p>
        </w:tc>
      </w:tr>
      <w:tr w:rsidR="00122CF4" w:rsidRPr="00105D42" w:rsidTr="006D0014">
        <w:trPr>
          <w:trHeight w:val="630"/>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Age</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Age of the student, takes values: 1 = 8 years old; 2 = 9 years old; 3 = 10 years old; 4 =11 years old; 5 = 12 years old; 6 = 13 years old; 7 = 14 years old  and 8 = 15 years old or more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3.87</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1.07</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Male sex</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 is male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0.53</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0.50</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White</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 xml:space="preserve">Dummy equals 1 if students declare themselves as white </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0.36</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0.48</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Mixed race</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students declare themselves as mixed race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0.48</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0.50</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Black</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students declare themselves as black</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0.10</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0.31</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Student lives with the mother</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 lives with the mother</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0.91</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0.28</w:t>
            </w:r>
          </w:p>
        </w:tc>
      </w:tr>
      <w:tr w:rsidR="00122CF4" w:rsidRPr="00105D42" w:rsidTr="006D0014">
        <w:trPr>
          <w:trHeight w:val="784"/>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Educational level (mother)</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Educational attainment, takes values: 1 = has never studied; 2 = 4</w:t>
            </w:r>
            <w:r w:rsidRPr="00105D42">
              <w:rPr>
                <w:sz w:val="20"/>
                <w:szCs w:val="20"/>
                <w:vertAlign w:val="superscript"/>
                <w:lang w:eastAsia="pt-BR"/>
              </w:rPr>
              <w:t>th</w:t>
            </w:r>
            <w:r w:rsidRPr="00105D42">
              <w:rPr>
                <w:sz w:val="20"/>
                <w:szCs w:val="20"/>
                <w:lang w:eastAsia="pt-BR"/>
              </w:rPr>
              <w:t xml:space="preserve"> grade incomplete; 3 = has finish 4</w:t>
            </w:r>
            <w:r w:rsidRPr="00105D42">
              <w:rPr>
                <w:sz w:val="20"/>
                <w:szCs w:val="20"/>
                <w:vertAlign w:val="superscript"/>
                <w:lang w:eastAsia="pt-BR"/>
              </w:rPr>
              <w:t>th</w:t>
            </w:r>
            <w:r w:rsidRPr="00105D42">
              <w:rPr>
                <w:sz w:val="20"/>
                <w:szCs w:val="20"/>
                <w:lang w:eastAsia="pt-BR"/>
              </w:rPr>
              <w:t xml:space="preserve"> grade, but hasn’t finish 8</w:t>
            </w:r>
            <w:r w:rsidRPr="00105D42">
              <w:rPr>
                <w:sz w:val="20"/>
                <w:szCs w:val="20"/>
                <w:vertAlign w:val="superscript"/>
                <w:lang w:eastAsia="pt-BR"/>
              </w:rPr>
              <w:t>th</w:t>
            </w:r>
            <w:r w:rsidRPr="00105D42">
              <w:rPr>
                <w:sz w:val="20"/>
                <w:szCs w:val="20"/>
                <w:lang w:eastAsia="pt-BR"/>
              </w:rPr>
              <w:t xml:space="preserve"> grade; 4 = has finish 8</w:t>
            </w:r>
            <w:r w:rsidRPr="00105D42">
              <w:rPr>
                <w:sz w:val="20"/>
                <w:szCs w:val="20"/>
                <w:vertAlign w:val="superscript"/>
                <w:lang w:eastAsia="pt-BR"/>
              </w:rPr>
              <w:t>th</w:t>
            </w:r>
            <w:r w:rsidRPr="00105D42">
              <w:rPr>
                <w:sz w:val="20"/>
                <w:szCs w:val="20"/>
                <w:lang w:eastAsia="pt-BR"/>
              </w:rPr>
              <w:t xml:space="preserve"> grade, but hasn’t finish high school; 5 = has completed high school; 6 =  College degree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3.92</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1.48</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Literacy (mother)</w:t>
            </w:r>
          </w:p>
        </w:tc>
        <w:tc>
          <w:tcPr>
            <w:tcW w:w="7052"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student’s mother knows how to read</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0.96</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0.21</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 xml:space="preserve">Student lives with the </w:t>
            </w:r>
            <w:r>
              <w:rPr>
                <w:sz w:val="20"/>
                <w:szCs w:val="20"/>
                <w:lang w:eastAsia="pt-BR"/>
              </w:rPr>
              <w:t>fa</w:t>
            </w:r>
            <w:r w:rsidRPr="00105D42">
              <w:rPr>
                <w:sz w:val="20"/>
                <w:szCs w:val="20"/>
                <w:lang w:eastAsia="pt-BR"/>
              </w:rPr>
              <w:t>ther</w:t>
            </w:r>
          </w:p>
        </w:tc>
        <w:tc>
          <w:tcPr>
            <w:tcW w:w="7052"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 lives with the father</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0.71</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0.45</w:t>
            </w:r>
          </w:p>
        </w:tc>
      </w:tr>
      <w:tr w:rsidR="00122CF4" w:rsidRPr="00105D42" w:rsidTr="006D0014">
        <w:trPr>
          <w:trHeight w:val="656"/>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lastRenderedPageBreak/>
              <w:t>Educational level (father)</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Educational attainment, takes values: 1 = has never studied; 2 = 4</w:t>
            </w:r>
            <w:r w:rsidRPr="00105D42">
              <w:rPr>
                <w:sz w:val="20"/>
                <w:szCs w:val="20"/>
                <w:vertAlign w:val="superscript"/>
                <w:lang w:eastAsia="pt-BR"/>
              </w:rPr>
              <w:t>th</w:t>
            </w:r>
            <w:r w:rsidRPr="00105D42">
              <w:rPr>
                <w:sz w:val="20"/>
                <w:szCs w:val="20"/>
                <w:lang w:eastAsia="pt-BR"/>
              </w:rPr>
              <w:t xml:space="preserve"> grade incomplete; 3 = has finish 4</w:t>
            </w:r>
            <w:r w:rsidRPr="00105D42">
              <w:rPr>
                <w:sz w:val="20"/>
                <w:szCs w:val="20"/>
                <w:vertAlign w:val="superscript"/>
                <w:lang w:eastAsia="pt-BR"/>
              </w:rPr>
              <w:t>th</w:t>
            </w:r>
            <w:r w:rsidRPr="00105D42">
              <w:rPr>
                <w:sz w:val="20"/>
                <w:szCs w:val="20"/>
                <w:lang w:eastAsia="pt-BR"/>
              </w:rPr>
              <w:t xml:space="preserve"> grade, but hasn’t finish 8</w:t>
            </w:r>
            <w:r w:rsidRPr="00105D42">
              <w:rPr>
                <w:sz w:val="20"/>
                <w:szCs w:val="20"/>
                <w:vertAlign w:val="superscript"/>
                <w:lang w:eastAsia="pt-BR"/>
              </w:rPr>
              <w:t>th</w:t>
            </w:r>
            <w:r w:rsidRPr="00105D42">
              <w:rPr>
                <w:sz w:val="20"/>
                <w:szCs w:val="20"/>
                <w:lang w:eastAsia="pt-BR"/>
              </w:rPr>
              <w:t xml:space="preserve"> grade; 4 = has finish 8</w:t>
            </w:r>
            <w:r w:rsidRPr="00105D42">
              <w:rPr>
                <w:sz w:val="20"/>
                <w:szCs w:val="20"/>
                <w:vertAlign w:val="superscript"/>
                <w:lang w:eastAsia="pt-BR"/>
              </w:rPr>
              <w:t>th</w:t>
            </w:r>
            <w:r w:rsidRPr="00105D42">
              <w:rPr>
                <w:sz w:val="20"/>
                <w:szCs w:val="20"/>
                <w:lang w:eastAsia="pt-BR"/>
              </w:rPr>
              <w:t xml:space="preserve"> grade, but hasn’t finish high school; 5 = has completed high school; 6 =  College degree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3.85</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1.54</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Literacy (father)</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Dummy equals 1 if student’s father knows how to read</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0.93</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0.26</w:t>
            </w:r>
          </w:p>
        </w:tc>
      </w:tr>
      <w:tr w:rsidR="00122CF4" w:rsidRPr="00105D42" w:rsidTr="006D0014">
        <w:trPr>
          <w:trHeight w:val="630"/>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proofErr w:type="spellStart"/>
            <w:r w:rsidRPr="00105D42">
              <w:rPr>
                <w:sz w:val="20"/>
                <w:szCs w:val="20"/>
                <w:lang w:eastAsia="pt-BR"/>
              </w:rPr>
              <w:t>Pre</w:t>
            </w:r>
            <w:proofErr w:type="spellEnd"/>
            <w:r w:rsidRPr="00105D42">
              <w:rPr>
                <w:sz w:val="20"/>
                <w:szCs w:val="20"/>
                <w:lang w:eastAsia="pt-BR"/>
              </w:rPr>
              <w:t xml:space="preserve"> school</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Age at which student began to frequent school, takes values:1 =  between 0 and 3 years old; 2 = between 4 and 5years old; 3 = between 6 and 7 years old; 4 = for 8 years old or more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1.82</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0.85</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val="en-US"/>
              </w:rPr>
              <w:t>Grade repetition</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Variable takes values: 1 = has never repeated; 2 = has repeated one grade; 3 =  has repeated two grades or more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1.33</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0.60</w:t>
            </w:r>
          </w:p>
        </w:tc>
      </w:tr>
      <w:tr w:rsidR="00122CF4" w:rsidRPr="00105D42" w:rsidTr="006D0014">
        <w:trPr>
          <w:trHeight w:val="478"/>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val="en-US"/>
              </w:rPr>
              <w:t>Frequency student has already abandoned school</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val="en-US" w:eastAsia="pt-BR"/>
              </w:rPr>
            </w:pPr>
            <w:r w:rsidRPr="00105D42">
              <w:rPr>
                <w:sz w:val="20"/>
                <w:szCs w:val="20"/>
                <w:lang w:val="en-US" w:eastAsia="pt-BR"/>
              </w:rPr>
              <w:t>Variable takes values: 1 = has never abandoned; 2 = has abandoned one year; 3 =  has abandoned two years or more</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1.09</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0.33</w:t>
            </w:r>
          </w:p>
        </w:tc>
      </w:tr>
      <w:tr w:rsidR="00122CF4" w:rsidRPr="00105D42" w:rsidTr="006D0014">
        <w:trPr>
          <w:trHeight w:val="28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b/>
                <w:i/>
                <w:sz w:val="20"/>
                <w:szCs w:val="20"/>
                <w:lang w:eastAsia="pt-BR"/>
              </w:rPr>
            </w:pPr>
            <w:r w:rsidRPr="00105D42">
              <w:rPr>
                <w:b/>
                <w:i/>
                <w:sz w:val="20"/>
                <w:szCs w:val="20"/>
                <w:lang w:eastAsia="pt-BR"/>
              </w:rPr>
              <w:t>Schools’ Characteristics (W)</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 xml:space="preserve">Number of enrolled students </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 xml:space="preserve">Total number of enrolled students at the school </w:t>
            </w:r>
            <w:r w:rsidRPr="00105D42">
              <w:rPr>
                <w:i/>
                <w:sz w:val="20"/>
                <w:szCs w:val="20"/>
                <w:lang w:eastAsia="pt-BR"/>
              </w:rPr>
              <w:t>j</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674.12</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41.22</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val="en-US"/>
              </w:rPr>
              <w:t>Day-shift classes</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 xml:space="preserve">Classes take place between 7am to 12am </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0.57</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0.49</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Pr>
                <w:sz w:val="20"/>
                <w:szCs w:val="20"/>
                <w:lang w:val="en-US"/>
              </w:rPr>
              <w:t>Afternoon</w:t>
            </w:r>
            <w:r w:rsidRPr="00105D42">
              <w:rPr>
                <w:sz w:val="20"/>
                <w:szCs w:val="20"/>
                <w:lang w:val="en-US"/>
              </w:rPr>
              <w:t>-shift classes</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Classes take place between 1pm to 5pm</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0.43</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0.49</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Pr>
                <w:sz w:val="20"/>
                <w:szCs w:val="20"/>
                <w:lang w:val="en-US"/>
              </w:rPr>
              <w:t>Night</w:t>
            </w:r>
            <w:r w:rsidRPr="00105D42">
              <w:rPr>
                <w:sz w:val="20"/>
                <w:szCs w:val="20"/>
                <w:lang w:val="en-US"/>
              </w:rPr>
              <w:t>-shift classes</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Classes take place between 6pm to 10pm</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0.00</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0.01</w:t>
            </w:r>
          </w:p>
        </w:tc>
      </w:tr>
      <w:tr w:rsidR="00122CF4" w:rsidRPr="00105D42" w:rsidTr="006D0014">
        <w:trPr>
          <w:trHeight w:val="315"/>
          <w:jc w:val="center"/>
        </w:trPr>
        <w:tc>
          <w:tcPr>
            <w:tcW w:w="3841" w:type="dxa"/>
            <w:tcBorders>
              <w:top w:val="nil"/>
              <w:left w:val="nil"/>
              <w:bottom w:val="single" w:sz="4"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Federal schools</w:t>
            </w:r>
          </w:p>
        </w:tc>
        <w:tc>
          <w:tcPr>
            <w:tcW w:w="7052" w:type="dxa"/>
            <w:tcBorders>
              <w:top w:val="nil"/>
              <w:left w:val="nil"/>
              <w:bottom w:val="single" w:sz="4"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The school is under the responsibility of Federal Government</w:t>
            </w:r>
          </w:p>
        </w:tc>
        <w:tc>
          <w:tcPr>
            <w:tcW w:w="1551"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0.00</w:t>
            </w:r>
          </w:p>
        </w:tc>
        <w:tc>
          <w:tcPr>
            <w:tcW w:w="1236" w:type="dxa"/>
            <w:tcBorders>
              <w:top w:val="nil"/>
              <w:left w:val="nil"/>
              <w:bottom w:val="single" w:sz="4"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0.03</w:t>
            </w:r>
          </w:p>
        </w:tc>
      </w:tr>
      <w:tr w:rsidR="00122CF4" w:rsidRPr="00105D42" w:rsidTr="006D0014">
        <w:trPr>
          <w:trHeight w:val="330"/>
          <w:jc w:val="center"/>
        </w:trPr>
        <w:tc>
          <w:tcPr>
            <w:tcW w:w="3841" w:type="dxa"/>
            <w:tcBorders>
              <w:top w:val="nil"/>
              <w:left w:val="nil"/>
              <w:bottom w:val="single" w:sz="2"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State schools</w:t>
            </w:r>
          </w:p>
        </w:tc>
        <w:tc>
          <w:tcPr>
            <w:tcW w:w="7052" w:type="dxa"/>
            <w:tcBorders>
              <w:top w:val="single" w:sz="4" w:space="0" w:color="auto"/>
              <w:left w:val="nil"/>
              <w:bottom w:val="single" w:sz="2"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The school is under the responsibility of State Government</w:t>
            </w:r>
          </w:p>
        </w:tc>
        <w:tc>
          <w:tcPr>
            <w:tcW w:w="1551" w:type="dxa"/>
            <w:tcBorders>
              <w:top w:val="single" w:sz="4" w:space="0" w:color="auto"/>
              <w:left w:val="nil"/>
              <w:bottom w:val="single" w:sz="2"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0.23</w:t>
            </w:r>
          </w:p>
        </w:tc>
        <w:tc>
          <w:tcPr>
            <w:tcW w:w="1236" w:type="dxa"/>
            <w:tcBorders>
              <w:top w:val="single" w:sz="4" w:space="0" w:color="auto"/>
              <w:left w:val="nil"/>
              <w:bottom w:val="single" w:sz="2"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0.42</w:t>
            </w:r>
          </w:p>
        </w:tc>
      </w:tr>
      <w:tr w:rsidR="00122CF4" w:rsidRPr="00105D42" w:rsidTr="006D0014">
        <w:trPr>
          <w:trHeight w:val="330"/>
          <w:jc w:val="center"/>
        </w:trPr>
        <w:tc>
          <w:tcPr>
            <w:tcW w:w="3841" w:type="dxa"/>
            <w:tcBorders>
              <w:top w:val="single" w:sz="2" w:space="0" w:color="auto"/>
              <w:left w:val="nil"/>
              <w:bottom w:val="single" w:sz="2"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Municipal schools</w:t>
            </w:r>
          </w:p>
        </w:tc>
        <w:tc>
          <w:tcPr>
            <w:tcW w:w="7052" w:type="dxa"/>
            <w:tcBorders>
              <w:top w:val="single" w:sz="2" w:space="0" w:color="auto"/>
              <w:left w:val="nil"/>
              <w:bottom w:val="single" w:sz="2"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The school is under the responsibility of Municipal Government</w:t>
            </w:r>
          </w:p>
        </w:tc>
        <w:tc>
          <w:tcPr>
            <w:tcW w:w="1551" w:type="dxa"/>
            <w:tcBorders>
              <w:top w:val="single" w:sz="2" w:space="0" w:color="auto"/>
              <w:left w:val="nil"/>
              <w:bottom w:val="single" w:sz="2"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0.76</w:t>
            </w:r>
          </w:p>
        </w:tc>
        <w:tc>
          <w:tcPr>
            <w:tcW w:w="1236" w:type="dxa"/>
            <w:tcBorders>
              <w:top w:val="single" w:sz="2" w:space="0" w:color="auto"/>
              <w:left w:val="nil"/>
              <w:bottom w:val="single" w:sz="2"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0.42</w:t>
            </w:r>
          </w:p>
        </w:tc>
      </w:tr>
      <w:tr w:rsidR="00122CF4" w:rsidRPr="00105D42" w:rsidTr="006D0014">
        <w:trPr>
          <w:trHeight w:val="330"/>
          <w:jc w:val="center"/>
        </w:trPr>
        <w:tc>
          <w:tcPr>
            <w:tcW w:w="3841" w:type="dxa"/>
            <w:tcBorders>
              <w:top w:val="single" w:sz="2" w:space="0" w:color="auto"/>
              <w:left w:val="nil"/>
              <w:bottom w:val="single" w:sz="12" w:space="0" w:color="auto"/>
              <w:right w:val="nil"/>
            </w:tcBorders>
            <w:shd w:val="clear" w:color="auto" w:fill="auto"/>
            <w:noWrap/>
            <w:vAlign w:val="bottom"/>
            <w:hideMark/>
          </w:tcPr>
          <w:p w:rsidR="00122CF4" w:rsidRPr="00105D42" w:rsidRDefault="00122CF4" w:rsidP="00785128">
            <w:pPr>
              <w:rPr>
                <w:sz w:val="20"/>
                <w:szCs w:val="20"/>
                <w:lang w:eastAsia="pt-BR"/>
              </w:rPr>
            </w:pPr>
            <w:r w:rsidRPr="00105D42">
              <w:rPr>
                <w:sz w:val="20"/>
                <w:szCs w:val="20"/>
                <w:lang w:eastAsia="pt-BR"/>
              </w:rPr>
              <w:t>Urbana</w:t>
            </w:r>
          </w:p>
        </w:tc>
        <w:tc>
          <w:tcPr>
            <w:tcW w:w="7052" w:type="dxa"/>
            <w:tcBorders>
              <w:top w:val="single" w:sz="2" w:space="0" w:color="auto"/>
              <w:left w:val="nil"/>
              <w:bottom w:val="single" w:sz="12" w:space="0" w:color="auto"/>
              <w:right w:val="nil"/>
            </w:tcBorders>
            <w:shd w:val="clear" w:color="auto" w:fill="auto"/>
            <w:vAlign w:val="bottom"/>
            <w:hideMark/>
          </w:tcPr>
          <w:p w:rsidR="00122CF4" w:rsidRPr="00105D42" w:rsidRDefault="00122CF4" w:rsidP="00785128">
            <w:pPr>
              <w:rPr>
                <w:sz w:val="20"/>
                <w:szCs w:val="20"/>
                <w:lang w:eastAsia="pt-BR"/>
              </w:rPr>
            </w:pPr>
            <w:r w:rsidRPr="00105D42">
              <w:rPr>
                <w:sz w:val="20"/>
                <w:szCs w:val="20"/>
                <w:lang w:eastAsia="pt-BR"/>
              </w:rPr>
              <w:t>The school is located in urban area</w:t>
            </w:r>
          </w:p>
        </w:tc>
        <w:tc>
          <w:tcPr>
            <w:tcW w:w="1551" w:type="dxa"/>
            <w:tcBorders>
              <w:top w:val="single" w:sz="2" w:space="0" w:color="auto"/>
              <w:left w:val="nil"/>
              <w:bottom w:val="single" w:sz="12"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0.91</w:t>
            </w:r>
          </w:p>
        </w:tc>
        <w:tc>
          <w:tcPr>
            <w:tcW w:w="1236" w:type="dxa"/>
            <w:tcBorders>
              <w:top w:val="single" w:sz="2" w:space="0" w:color="auto"/>
              <w:left w:val="nil"/>
              <w:bottom w:val="single" w:sz="12" w:space="0" w:color="auto"/>
              <w:right w:val="nil"/>
            </w:tcBorders>
            <w:shd w:val="clear" w:color="auto" w:fill="auto"/>
            <w:noWrap/>
            <w:vAlign w:val="bottom"/>
            <w:hideMark/>
          </w:tcPr>
          <w:p w:rsidR="00122CF4" w:rsidRPr="00105D42" w:rsidRDefault="00122CF4" w:rsidP="00785128">
            <w:pPr>
              <w:jc w:val="center"/>
              <w:rPr>
                <w:sz w:val="20"/>
                <w:szCs w:val="20"/>
                <w:lang w:eastAsia="pt-BR"/>
              </w:rPr>
            </w:pPr>
            <w:r w:rsidRPr="00105D42">
              <w:rPr>
                <w:sz w:val="20"/>
                <w:szCs w:val="20"/>
                <w:lang w:eastAsia="pt-BR"/>
              </w:rPr>
              <w:t>0.28</w:t>
            </w:r>
          </w:p>
        </w:tc>
      </w:tr>
      <w:tr w:rsidR="00122CF4" w:rsidRPr="00105D42" w:rsidTr="006D0014">
        <w:trPr>
          <w:trHeight w:val="152"/>
          <w:jc w:val="center"/>
        </w:trPr>
        <w:tc>
          <w:tcPr>
            <w:tcW w:w="3841" w:type="dxa"/>
            <w:tcBorders>
              <w:top w:val="single" w:sz="12" w:space="0" w:color="auto"/>
              <w:left w:val="nil"/>
              <w:bottom w:val="single" w:sz="12" w:space="0" w:color="auto"/>
              <w:right w:val="nil"/>
            </w:tcBorders>
            <w:shd w:val="clear" w:color="auto" w:fill="auto"/>
            <w:noWrap/>
            <w:vAlign w:val="bottom"/>
            <w:hideMark/>
          </w:tcPr>
          <w:p w:rsidR="00122CF4" w:rsidRPr="007D4C8B" w:rsidRDefault="00122CF4" w:rsidP="00785128">
            <w:pPr>
              <w:rPr>
                <w:b/>
                <w:sz w:val="20"/>
                <w:szCs w:val="20"/>
                <w:lang w:eastAsia="pt-BR"/>
              </w:rPr>
            </w:pPr>
            <w:r w:rsidRPr="007D4C8B">
              <w:rPr>
                <w:b/>
                <w:sz w:val="20"/>
                <w:szCs w:val="20"/>
                <w:lang w:val="en-US"/>
              </w:rPr>
              <w:t xml:space="preserve">Nº of observations: </w:t>
            </w:r>
            <w:r w:rsidRPr="007D4C8B">
              <w:rPr>
                <w:b/>
                <w:bCs/>
                <w:iCs/>
                <w:sz w:val="20"/>
                <w:szCs w:val="20"/>
                <w:lang w:eastAsia="pt-BR"/>
              </w:rPr>
              <w:t>599</w:t>
            </w:r>
            <w:r w:rsidRPr="007D4C8B">
              <w:rPr>
                <w:b/>
                <w:bCs/>
                <w:iCs/>
                <w:sz w:val="20"/>
                <w:szCs w:val="20"/>
              </w:rPr>
              <w:t>,</w:t>
            </w:r>
            <w:r w:rsidRPr="007D4C8B">
              <w:rPr>
                <w:b/>
                <w:bCs/>
                <w:iCs/>
                <w:sz w:val="20"/>
                <w:szCs w:val="20"/>
                <w:lang w:eastAsia="pt-BR"/>
              </w:rPr>
              <w:t>103</w:t>
            </w:r>
          </w:p>
        </w:tc>
        <w:tc>
          <w:tcPr>
            <w:tcW w:w="7052" w:type="dxa"/>
            <w:tcBorders>
              <w:top w:val="single" w:sz="12" w:space="0" w:color="auto"/>
              <w:left w:val="nil"/>
              <w:bottom w:val="single" w:sz="12" w:space="0" w:color="auto"/>
              <w:right w:val="nil"/>
            </w:tcBorders>
            <w:shd w:val="clear" w:color="auto" w:fill="auto"/>
            <w:vAlign w:val="bottom"/>
            <w:hideMark/>
          </w:tcPr>
          <w:p w:rsidR="00122CF4" w:rsidRPr="00105D42" w:rsidRDefault="00122CF4" w:rsidP="00785128">
            <w:pPr>
              <w:rPr>
                <w:sz w:val="20"/>
                <w:szCs w:val="20"/>
                <w:lang w:eastAsia="pt-BR"/>
              </w:rPr>
            </w:pPr>
          </w:p>
        </w:tc>
        <w:tc>
          <w:tcPr>
            <w:tcW w:w="1551" w:type="dxa"/>
            <w:tcBorders>
              <w:top w:val="single" w:sz="12" w:space="0" w:color="auto"/>
              <w:left w:val="nil"/>
              <w:bottom w:val="single" w:sz="12"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c>
          <w:tcPr>
            <w:tcW w:w="1236" w:type="dxa"/>
            <w:tcBorders>
              <w:top w:val="single" w:sz="12" w:space="0" w:color="auto"/>
              <w:left w:val="nil"/>
              <w:bottom w:val="single" w:sz="12" w:space="0" w:color="auto"/>
              <w:right w:val="nil"/>
            </w:tcBorders>
            <w:shd w:val="clear" w:color="auto" w:fill="auto"/>
            <w:noWrap/>
            <w:vAlign w:val="bottom"/>
            <w:hideMark/>
          </w:tcPr>
          <w:p w:rsidR="00122CF4" w:rsidRPr="00105D42" w:rsidRDefault="00122CF4" w:rsidP="00785128">
            <w:pPr>
              <w:jc w:val="center"/>
              <w:rPr>
                <w:sz w:val="20"/>
                <w:szCs w:val="20"/>
                <w:lang w:eastAsia="pt-BR"/>
              </w:rPr>
            </w:pPr>
          </w:p>
        </w:tc>
      </w:tr>
    </w:tbl>
    <w:p w:rsidR="00122CF4" w:rsidRPr="007D4C8B" w:rsidRDefault="00122CF4" w:rsidP="00785128">
      <w:pPr>
        <w:jc w:val="both"/>
        <w:rPr>
          <w:bCs/>
          <w:sz w:val="20"/>
          <w:lang w:val="pt-BR"/>
        </w:rPr>
      </w:pPr>
      <w:r w:rsidRPr="007D4C8B">
        <w:rPr>
          <w:bCs/>
          <w:sz w:val="20"/>
          <w:lang w:val="pt-BR"/>
        </w:rPr>
        <w:t xml:space="preserve">Source: MEC/ </w:t>
      </w:r>
      <w:proofErr w:type="spellStart"/>
      <w:r w:rsidRPr="007D4C8B">
        <w:rPr>
          <w:bCs/>
          <w:sz w:val="20"/>
          <w:lang w:val="pt-BR"/>
        </w:rPr>
        <w:t>Inep</w:t>
      </w:r>
      <w:proofErr w:type="spellEnd"/>
      <w:r w:rsidRPr="007D4C8B">
        <w:rPr>
          <w:bCs/>
          <w:sz w:val="20"/>
          <w:lang w:val="pt-BR"/>
        </w:rPr>
        <w:t xml:space="preserve"> (2013).</w:t>
      </w:r>
    </w:p>
    <w:p w:rsidR="00122CF4" w:rsidRPr="00B61EE8" w:rsidRDefault="00122CF4" w:rsidP="00785128">
      <w:pPr>
        <w:jc w:val="both"/>
        <w:rPr>
          <w:b/>
          <w:bCs/>
          <w:color w:val="FF0000"/>
          <w:sz w:val="20"/>
          <w:lang w:val="pt-BR"/>
        </w:rPr>
        <w:sectPr w:rsidR="00122CF4" w:rsidRPr="00B61EE8" w:rsidSect="00785128">
          <w:pgSz w:w="15840" w:h="12240" w:orient="landscape" w:code="1"/>
          <w:pgMar w:top="1134" w:right="851" w:bottom="1134" w:left="851" w:header="720" w:footer="720" w:gutter="0"/>
          <w:cols w:space="720"/>
        </w:sectPr>
      </w:pPr>
    </w:p>
    <w:p w:rsidR="00156016" w:rsidRDefault="00156016" w:rsidP="00785128">
      <w:pPr>
        <w:jc w:val="both"/>
        <w:rPr>
          <w:b/>
          <w:lang w:val="en-US"/>
        </w:rPr>
      </w:pPr>
      <w:r w:rsidRPr="008041B0">
        <w:rPr>
          <w:b/>
          <w:lang w:val="en-US"/>
        </w:rPr>
        <w:lastRenderedPageBreak/>
        <w:t xml:space="preserve">4 </w:t>
      </w:r>
      <w:r>
        <w:rPr>
          <w:b/>
          <w:lang w:val="en-US"/>
        </w:rPr>
        <w:t>Birth seasonal patterns and academic achievement</w:t>
      </w:r>
    </w:p>
    <w:p w:rsidR="000F75CB" w:rsidRPr="008041B0" w:rsidRDefault="000F75CB" w:rsidP="00785128">
      <w:pPr>
        <w:jc w:val="both"/>
        <w:rPr>
          <w:b/>
          <w:lang w:val="en-US"/>
        </w:rPr>
      </w:pPr>
    </w:p>
    <w:p w:rsidR="00156016" w:rsidRDefault="00156016" w:rsidP="00785128">
      <w:pPr>
        <w:ind w:firstLine="709"/>
        <w:jc w:val="both"/>
        <w:rPr>
          <w:lang w:val="en-US"/>
        </w:rPr>
      </w:pPr>
      <w:r w:rsidRPr="008A42A9">
        <w:rPr>
          <w:lang w:val="en-US"/>
        </w:rPr>
        <w:t>The systemic and regular variation in the b</w:t>
      </w:r>
      <w:r>
        <w:rPr>
          <w:lang w:val="en-US"/>
        </w:rPr>
        <w:t xml:space="preserve">irth number along the year is an observed phenomenon in most of the populations. Specifically, it has been documented two seasonal patterns that characterize several countries – the European pattern, with birth concentration in their spring season, reaching a peak in the month of April, and the American pattern, with birth concentration between July and September, both patterns having in common a secondary peak in </w:t>
      </w:r>
      <w:r w:rsidRPr="00437CE9">
        <w:rPr>
          <w:lang w:val="en-US"/>
        </w:rPr>
        <w:t>September (</w:t>
      </w:r>
      <w:r w:rsidR="00437CE9" w:rsidRPr="00437CE9">
        <w:rPr>
          <w:lang w:val="en-US"/>
        </w:rPr>
        <w:t>Lam and</w:t>
      </w:r>
      <w:r w:rsidRPr="00437CE9">
        <w:rPr>
          <w:lang w:val="en-US"/>
        </w:rPr>
        <w:t xml:space="preserve"> </w:t>
      </w:r>
      <w:proofErr w:type="spellStart"/>
      <w:r w:rsidRPr="00437CE9">
        <w:rPr>
          <w:lang w:val="en-US"/>
        </w:rPr>
        <w:t>Miron</w:t>
      </w:r>
      <w:proofErr w:type="spellEnd"/>
      <w:r w:rsidRPr="00437CE9">
        <w:rPr>
          <w:lang w:val="en-US"/>
        </w:rPr>
        <w:t>, 19</w:t>
      </w:r>
      <w:r w:rsidR="00437CE9" w:rsidRPr="00437CE9">
        <w:rPr>
          <w:lang w:val="en-US"/>
        </w:rPr>
        <w:t>87</w:t>
      </w:r>
      <w:r w:rsidRPr="008A42A9">
        <w:rPr>
          <w:lang w:val="en-US"/>
        </w:rPr>
        <w:t>)</w:t>
      </w:r>
      <w:r>
        <w:rPr>
          <w:lang w:val="en-US"/>
        </w:rPr>
        <w:t xml:space="preserve">. </w:t>
      </w:r>
    </w:p>
    <w:p w:rsidR="00156016" w:rsidRPr="005132A8" w:rsidRDefault="00156016" w:rsidP="00785128">
      <w:pPr>
        <w:ind w:firstLine="709"/>
        <w:jc w:val="both"/>
        <w:rPr>
          <w:lang w:val="en-US"/>
        </w:rPr>
      </w:pPr>
      <w:r w:rsidRPr="005132A8">
        <w:rPr>
          <w:lang w:val="en-US"/>
        </w:rPr>
        <w:t xml:space="preserve">In Brazil, </w:t>
      </w:r>
      <w:proofErr w:type="spellStart"/>
      <w:r w:rsidRPr="00437CE9">
        <w:rPr>
          <w:lang w:val="en-US"/>
        </w:rPr>
        <w:t>Moreira</w:t>
      </w:r>
      <w:proofErr w:type="spellEnd"/>
      <w:r w:rsidRPr="00437CE9">
        <w:rPr>
          <w:lang w:val="en-US"/>
        </w:rPr>
        <w:t xml:space="preserve"> (2013)</w:t>
      </w:r>
      <w:r w:rsidRPr="005132A8">
        <w:rPr>
          <w:lang w:val="en-US"/>
        </w:rPr>
        <w:t xml:space="preserve"> </w:t>
      </w:r>
      <w:r>
        <w:rPr>
          <w:lang w:val="en-US"/>
        </w:rPr>
        <w:t>identifies,</w:t>
      </w:r>
      <w:r w:rsidRPr="005132A8">
        <w:rPr>
          <w:lang w:val="en-US"/>
        </w:rPr>
        <w:t xml:space="preserve"> for </w:t>
      </w:r>
      <w:r>
        <w:rPr>
          <w:lang w:val="en-US"/>
        </w:rPr>
        <w:t xml:space="preserve">the </w:t>
      </w:r>
      <w:r w:rsidRPr="005132A8">
        <w:rPr>
          <w:lang w:val="en-US"/>
        </w:rPr>
        <w:t xml:space="preserve">births registered in the period of 2000 to 2010, a birth concentration between the months </w:t>
      </w:r>
      <w:r>
        <w:rPr>
          <w:lang w:val="en-US"/>
        </w:rPr>
        <w:t>of</w:t>
      </w:r>
      <w:r w:rsidRPr="005132A8">
        <w:rPr>
          <w:lang w:val="en-US"/>
        </w:rPr>
        <w:t xml:space="preserve"> March</w:t>
      </w:r>
      <w:r>
        <w:rPr>
          <w:lang w:val="en-US"/>
        </w:rPr>
        <w:t xml:space="preserve"> and May</w:t>
      </w:r>
      <w:r>
        <w:rPr>
          <w:rStyle w:val="Refdenotaderodap"/>
          <w:lang w:val="en-US"/>
        </w:rPr>
        <w:footnoteReference w:id="8"/>
      </w:r>
      <w:r>
        <w:rPr>
          <w:lang w:val="en-US"/>
        </w:rPr>
        <w:t xml:space="preserve"> and also a secondary peak in September. </w:t>
      </w:r>
    </w:p>
    <w:p w:rsidR="00156016" w:rsidRDefault="00156016" w:rsidP="00785128">
      <w:pPr>
        <w:ind w:firstLine="709"/>
        <w:jc w:val="both"/>
        <w:rPr>
          <w:lang w:val="en-US"/>
        </w:rPr>
      </w:pPr>
      <w:r w:rsidRPr="005C2889">
        <w:rPr>
          <w:lang w:val="en-US"/>
        </w:rPr>
        <w:t xml:space="preserve">In the case </w:t>
      </w:r>
      <w:r>
        <w:rPr>
          <w:lang w:val="en-US"/>
        </w:rPr>
        <w:t xml:space="preserve">of </w:t>
      </w:r>
      <w:r w:rsidRPr="005C2889">
        <w:rPr>
          <w:lang w:val="en-US"/>
        </w:rPr>
        <w:t xml:space="preserve">our </w:t>
      </w:r>
      <w:r>
        <w:rPr>
          <w:lang w:val="en-US"/>
        </w:rPr>
        <w:t>study</w:t>
      </w:r>
      <w:r w:rsidRPr="005C2889">
        <w:rPr>
          <w:lang w:val="en-US"/>
        </w:rPr>
        <w:t>, Figure 1 presents the distribution of 4</w:t>
      </w:r>
      <w:r w:rsidRPr="00156016">
        <w:rPr>
          <w:vertAlign w:val="superscript"/>
          <w:lang w:val="en-US"/>
        </w:rPr>
        <w:t>th</w:t>
      </w:r>
      <w:r>
        <w:rPr>
          <w:lang w:val="en-US"/>
        </w:rPr>
        <w:t xml:space="preserve"> </w:t>
      </w:r>
      <w:r w:rsidRPr="005C2889">
        <w:rPr>
          <w:lang w:val="en-US"/>
        </w:rPr>
        <w:t>graders born by month</w:t>
      </w:r>
      <w:r>
        <w:rPr>
          <w:lang w:val="en-US"/>
        </w:rPr>
        <w:t>.</w:t>
      </w:r>
      <w:r w:rsidRPr="005C2889">
        <w:rPr>
          <w:lang w:val="en-US"/>
        </w:rPr>
        <w:t xml:space="preserve"> </w:t>
      </w:r>
      <w:r>
        <w:rPr>
          <w:lang w:val="en-US"/>
        </w:rPr>
        <w:t xml:space="preserve">It shows a birth concentration in the period of March to May, which is consistent with </w:t>
      </w:r>
      <w:proofErr w:type="spellStart"/>
      <w:r>
        <w:rPr>
          <w:lang w:val="en-US"/>
        </w:rPr>
        <w:t>Moreira</w:t>
      </w:r>
      <w:proofErr w:type="spellEnd"/>
      <w:r>
        <w:rPr>
          <w:lang w:val="en-US"/>
        </w:rPr>
        <w:t xml:space="preserve"> (2013</w:t>
      </w:r>
      <w:r w:rsidR="00867871">
        <w:rPr>
          <w:lang w:val="en-US"/>
        </w:rPr>
        <w:t>)</w:t>
      </w:r>
      <w:r>
        <w:rPr>
          <w:lang w:val="en-US"/>
        </w:rPr>
        <w:t xml:space="preserve"> and a secondary peak in the months of December and January. </w:t>
      </w:r>
    </w:p>
    <w:p w:rsidR="00AC5825" w:rsidRDefault="00AC5825" w:rsidP="00785128">
      <w:pPr>
        <w:ind w:firstLine="709"/>
        <w:jc w:val="both"/>
        <w:rPr>
          <w:lang w:val="en-U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978"/>
      </w:tblGrid>
      <w:tr w:rsidR="00601953" w:rsidTr="006D0014">
        <w:trPr>
          <w:jc w:val="center"/>
        </w:trPr>
        <w:tc>
          <w:tcPr>
            <w:tcW w:w="8978" w:type="dxa"/>
          </w:tcPr>
          <w:p w:rsidR="00601953" w:rsidRPr="00385874" w:rsidRDefault="00601953" w:rsidP="00785128">
            <w:pPr>
              <w:keepNext/>
              <w:keepLines/>
              <w:jc w:val="center"/>
              <w:rPr>
                <w:lang w:val="en-US"/>
              </w:rPr>
            </w:pPr>
            <w:r w:rsidRPr="00385874">
              <w:rPr>
                <w:lang w:val="en-US"/>
              </w:rPr>
              <w:t xml:space="preserve">Figure </w:t>
            </w:r>
            <w:r w:rsidR="000F75CB" w:rsidRPr="00385874">
              <w:rPr>
                <w:lang w:val="en-US"/>
              </w:rPr>
              <w:t>1</w:t>
            </w:r>
          </w:p>
          <w:p w:rsidR="00601953" w:rsidRPr="000F75CB" w:rsidRDefault="00385874" w:rsidP="00385874">
            <w:pPr>
              <w:keepNext/>
              <w:keepLines/>
              <w:jc w:val="center"/>
              <w:rPr>
                <w:lang w:val="en-US"/>
              </w:rPr>
            </w:pPr>
            <w:r w:rsidRPr="00385874">
              <w:rPr>
                <w:lang w:val="en-US"/>
              </w:rPr>
              <w:t>Birth distribution of 4</w:t>
            </w:r>
            <w:r w:rsidRPr="00385874">
              <w:rPr>
                <w:vertAlign w:val="superscript"/>
                <w:lang w:val="en-US"/>
              </w:rPr>
              <w:t>th</w:t>
            </w:r>
            <w:r w:rsidRPr="00385874">
              <w:rPr>
                <w:lang w:val="en-US"/>
              </w:rPr>
              <w:t xml:space="preserve"> graders by month</w:t>
            </w:r>
          </w:p>
        </w:tc>
      </w:tr>
      <w:tr w:rsidR="00601953" w:rsidTr="006D0014">
        <w:trPr>
          <w:jc w:val="center"/>
        </w:trPr>
        <w:tc>
          <w:tcPr>
            <w:tcW w:w="8978" w:type="dxa"/>
          </w:tcPr>
          <w:p w:rsidR="00601953" w:rsidRPr="000F75CB" w:rsidRDefault="00601953" w:rsidP="00785128">
            <w:pPr>
              <w:keepNext/>
              <w:keepLines/>
              <w:jc w:val="center"/>
              <w:rPr>
                <w:lang w:val="en-US"/>
              </w:rPr>
            </w:pPr>
            <w:r w:rsidRPr="000F75CB">
              <w:rPr>
                <w:noProof/>
                <w:lang w:val="pt-BR" w:eastAsia="pt-BR"/>
              </w:rPr>
              <w:drawing>
                <wp:inline distT="0" distB="0" distL="0" distR="0">
                  <wp:extent cx="3537198" cy="2574099"/>
                  <wp:effectExtent l="19050" t="0" r="6102" b="0"/>
                  <wp:docPr id="4" name="Imagem 3" descr="Distribuição_mês_nascim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ição_mês_nascimento.png"/>
                          <pic:cNvPicPr/>
                        </pic:nvPicPr>
                        <pic:blipFill>
                          <a:blip r:embed="rId10" cstate="print"/>
                          <a:stretch>
                            <a:fillRect/>
                          </a:stretch>
                        </pic:blipFill>
                        <pic:spPr>
                          <a:xfrm>
                            <a:off x="0" y="0"/>
                            <a:ext cx="3538837" cy="2575292"/>
                          </a:xfrm>
                          <a:prstGeom prst="rect">
                            <a:avLst/>
                          </a:prstGeom>
                        </pic:spPr>
                      </pic:pic>
                    </a:graphicData>
                  </a:graphic>
                </wp:inline>
              </w:drawing>
            </w:r>
          </w:p>
        </w:tc>
      </w:tr>
      <w:tr w:rsidR="00601953" w:rsidRPr="000E1D15" w:rsidTr="006D0014">
        <w:trPr>
          <w:jc w:val="center"/>
        </w:trPr>
        <w:tc>
          <w:tcPr>
            <w:tcW w:w="8978" w:type="dxa"/>
          </w:tcPr>
          <w:p w:rsidR="00601953" w:rsidRPr="007D3666" w:rsidRDefault="00F10BB3" w:rsidP="00F10BB3">
            <w:pPr>
              <w:keepNext/>
              <w:keepLines/>
              <w:jc w:val="both"/>
              <w:rPr>
                <w:lang w:val="en-US"/>
              </w:rPr>
            </w:pPr>
            <w:r w:rsidRPr="000F75CB">
              <w:rPr>
                <w:lang w:val="en-US"/>
              </w:rPr>
              <w:tab/>
            </w:r>
            <w:r w:rsidRPr="000F75CB">
              <w:rPr>
                <w:lang w:val="en-US"/>
              </w:rPr>
              <w:tab/>
              <w:t xml:space="preserve">    </w:t>
            </w:r>
            <w:r w:rsidR="00601953" w:rsidRPr="007D3666">
              <w:rPr>
                <w:lang w:val="en-US"/>
              </w:rPr>
              <w:t>Source:</w:t>
            </w:r>
            <w:r w:rsidR="007D3666" w:rsidRPr="007D3666">
              <w:rPr>
                <w:lang w:val="en-US"/>
              </w:rPr>
              <w:t xml:space="preserve"> </w:t>
            </w:r>
            <w:r w:rsidR="007D3666" w:rsidRPr="007D3666">
              <w:t xml:space="preserve">Original compilation based on </w:t>
            </w:r>
            <w:r w:rsidR="007D3666" w:rsidRPr="007D3666">
              <w:rPr>
                <w:bCs/>
                <w:lang w:val="en-US"/>
              </w:rPr>
              <w:t xml:space="preserve">MEC/ </w:t>
            </w:r>
            <w:proofErr w:type="spellStart"/>
            <w:r w:rsidR="007D3666" w:rsidRPr="007D3666">
              <w:rPr>
                <w:bCs/>
                <w:lang w:val="en-US"/>
              </w:rPr>
              <w:t>Inep</w:t>
            </w:r>
            <w:proofErr w:type="spellEnd"/>
            <w:r w:rsidR="007D3666" w:rsidRPr="007D3666">
              <w:rPr>
                <w:bCs/>
                <w:lang w:val="en-US"/>
              </w:rPr>
              <w:t xml:space="preserve"> (2013).</w:t>
            </w:r>
          </w:p>
        </w:tc>
      </w:tr>
    </w:tbl>
    <w:p w:rsidR="00601953" w:rsidRDefault="00601953" w:rsidP="00785128">
      <w:pPr>
        <w:jc w:val="both"/>
        <w:rPr>
          <w:lang w:val="en-US"/>
        </w:rPr>
      </w:pPr>
    </w:p>
    <w:p w:rsidR="00076341" w:rsidRDefault="00156016" w:rsidP="00785128">
      <w:pPr>
        <w:ind w:firstLine="709"/>
        <w:jc w:val="both"/>
        <w:rPr>
          <w:lang w:val="en-US"/>
        </w:rPr>
      </w:pPr>
      <w:r>
        <w:rPr>
          <w:lang w:val="en-US"/>
        </w:rPr>
        <w:t xml:space="preserve">In the demographics </w:t>
      </w:r>
      <w:r w:rsidRPr="00437CE9">
        <w:rPr>
          <w:lang w:val="en-US"/>
        </w:rPr>
        <w:t>literature, there are several classes of explanations to the phenomenon of birth seas</w:t>
      </w:r>
      <w:r w:rsidR="00271F57" w:rsidRPr="00437CE9">
        <w:rPr>
          <w:lang w:val="en-US"/>
        </w:rPr>
        <w:t>onality, but with no consensus [</w:t>
      </w:r>
      <w:proofErr w:type="spellStart"/>
      <w:r w:rsidRPr="00437CE9">
        <w:rPr>
          <w:lang w:val="en-US"/>
        </w:rPr>
        <w:t>Doblhammer</w:t>
      </w:r>
      <w:proofErr w:type="spellEnd"/>
      <w:r w:rsidRPr="00437CE9">
        <w:rPr>
          <w:lang w:val="en-US"/>
        </w:rPr>
        <w:t xml:space="preserve"> </w:t>
      </w:r>
      <w:r w:rsidRPr="00437CE9">
        <w:rPr>
          <w:i/>
          <w:lang w:val="en-US"/>
        </w:rPr>
        <w:t>et al.</w:t>
      </w:r>
      <w:r w:rsidRPr="00437CE9">
        <w:rPr>
          <w:lang w:val="en-US"/>
        </w:rPr>
        <w:t xml:space="preserve"> (1999)</w:t>
      </w:r>
      <w:r w:rsidR="00271F57" w:rsidRPr="00437CE9">
        <w:rPr>
          <w:lang w:val="en-US"/>
        </w:rPr>
        <w:t>, Cummings (2014)]</w:t>
      </w:r>
      <w:r w:rsidRPr="00437CE9">
        <w:rPr>
          <w:lang w:val="en-US"/>
        </w:rPr>
        <w:t>. More recently, it has grown a literature focusing on the effect of environmental aspects, such as daily luminosity (photoperiod), on the birth variability over the time (</w:t>
      </w:r>
      <w:r w:rsidR="00972F1F" w:rsidRPr="00437CE9">
        <w:rPr>
          <w:lang w:val="en-US"/>
        </w:rPr>
        <w:t>Cumming, 2009, 2012</w:t>
      </w:r>
      <w:r w:rsidRPr="00437CE9">
        <w:rPr>
          <w:lang w:val="en-US"/>
        </w:rPr>
        <w:t>).</w:t>
      </w:r>
      <w:r>
        <w:rPr>
          <w:lang w:val="en-US"/>
        </w:rPr>
        <w:t xml:space="preserve"> </w:t>
      </w:r>
      <w:proofErr w:type="spellStart"/>
      <w:r w:rsidRPr="000C04ED">
        <w:rPr>
          <w:lang w:val="en-US"/>
        </w:rPr>
        <w:t>Moreira</w:t>
      </w:r>
      <w:proofErr w:type="spellEnd"/>
      <w:r w:rsidRPr="000C04ED">
        <w:rPr>
          <w:lang w:val="en-US"/>
        </w:rPr>
        <w:t xml:space="preserve"> (2013) also highlights biological factors (e.g.: endometrial receptivity, semen </w:t>
      </w:r>
      <w:r>
        <w:rPr>
          <w:lang w:val="en-US"/>
        </w:rPr>
        <w:t>quality and</w:t>
      </w:r>
      <w:r w:rsidRPr="000C04ED">
        <w:rPr>
          <w:lang w:val="en-US"/>
        </w:rPr>
        <w:t xml:space="preserve"> </w:t>
      </w:r>
      <w:r>
        <w:rPr>
          <w:lang w:val="en-US"/>
        </w:rPr>
        <w:t>ovulation rates</w:t>
      </w:r>
      <w:r w:rsidR="00897A0F">
        <w:rPr>
          <w:lang w:val="en-US"/>
        </w:rPr>
        <w:t>).</w:t>
      </w:r>
    </w:p>
    <w:p w:rsidR="00076341" w:rsidRPr="00AF1B0F" w:rsidRDefault="00076341" w:rsidP="00785128">
      <w:pPr>
        <w:ind w:firstLine="709"/>
        <w:jc w:val="both"/>
        <w:rPr>
          <w:lang w:val="en-US"/>
        </w:rPr>
      </w:pPr>
      <w:r w:rsidRPr="00AF1B0F">
        <w:rPr>
          <w:lang w:val="en-US"/>
        </w:rPr>
        <w:t>I</w:t>
      </w:r>
      <w:r w:rsidRPr="00AF1B0F">
        <w:t xml:space="preserve">n the epidemiological literature, there are studies demonstrating associations between birth seasonality and birth outcomes (preterm birth, stillbirth and low birth weight), and also between birth seasonality and disease incidence [Martinez-Bakker </w:t>
      </w:r>
      <w:r w:rsidRPr="00AF1B0F">
        <w:rPr>
          <w:i/>
        </w:rPr>
        <w:t>et al.</w:t>
      </w:r>
      <w:r w:rsidRPr="00AF1B0F">
        <w:t xml:space="preserve"> (2015); </w:t>
      </w:r>
      <w:r w:rsidR="00972F1F" w:rsidRPr="00AF1B0F">
        <w:t xml:space="preserve">Almond and </w:t>
      </w:r>
      <w:proofErr w:type="spellStart"/>
      <w:r w:rsidR="00972F1F" w:rsidRPr="00AF1B0F">
        <w:t>Mazumder</w:t>
      </w:r>
      <w:proofErr w:type="spellEnd"/>
      <w:r w:rsidR="00972F1F" w:rsidRPr="00AF1B0F">
        <w:t xml:space="preserve"> (2011); </w:t>
      </w:r>
      <w:r w:rsidRPr="00AF1B0F">
        <w:t xml:space="preserve">Strand </w:t>
      </w:r>
      <w:r w:rsidRPr="00AF1B0F">
        <w:rPr>
          <w:i/>
        </w:rPr>
        <w:t>et al.</w:t>
      </w:r>
      <w:r w:rsidRPr="00AF1B0F">
        <w:t xml:space="preserve"> (2011)</w:t>
      </w:r>
      <w:r w:rsidR="00972F1F" w:rsidRPr="00AF1B0F">
        <w:t xml:space="preserve">; </w:t>
      </w:r>
      <w:proofErr w:type="spellStart"/>
      <w:r w:rsidR="00972F1F" w:rsidRPr="00AF1B0F">
        <w:t>Barreca</w:t>
      </w:r>
      <w:proofErr w:type="spellEnd"/>
      <w:r w:rsidR="00972F1F" w:rsidRPr="00AF1B0F">
        <w:t xml:space="preserve"> (2010)</w:t>
      </w:r>
      <w:r w:rsidRPr="00AF1B0F">
        <w:t xml:space="preserve">]. These effects might, in turn, affect educational outcomes and the linkage mechanism between the instruments and academic performance could be due, not only to the relative age effect, but also through its impact on health status. </w:t>
      </w:r>
      <w:r w:rsidR="00897A0F" w:rsidRPr="00AF1B0F">
        <w:t xml:space="preserve">For instance, in Brazil </w:t>
      </w:r>
      <w:proofErr w:type="spellStart"/>
      <w:r w:rsidR="00897A0F" w:rsidRPr="00AF1B0F">
        <w:rPr>
          <w:lang w:val="en-US"/>
        </w:rPr>
        <w:t>Pinedo</w:t>
      </w:r>
      <w:proofErr w:type="spellEnd"/>
      <w:r w:rsidR="00897A0F" w:rsidRPr="00AF1B0F">
        <w:rPr>
          <w:lang w:val="en-US"/>
        </w:rPr>
        <w:t xml:space="preserve"> and Bermudez (2016)</w:t>
      </w:r>
      <w:r w:rsidR="0034288E" w:rsidRPr="00AF1B0F">
        <w:t xml:space="preserve"> demonstrate </w:t>
      </w:r>
      <w:r w:rsidR="00E11E75" w:rsidRPr="00AF1B0F">
        <w:t>an association</w:t>
      </w:r>
      <w:r w:rsidR="0034288E" w:rsidRPr="00AF1B0F">
        <w:t xml:space="preserve"> between</w:t>
      </w:r>
      <w:r w:rsidR="00D063B5" w:rsidRPr="00AF1B0F">
        <w:t xml:space="preserve"> children born in the months of December and January</w:t>
      </w:r>
      <w:r w:rsidR="0034288E" w:rsidRPr="00AF1B0F">
        <w:t xml:space="preserve"> </w:t>
      </w:r>
      <w:r w:rsidR="00D063B5" w:rsidRPr="00AF1B0F">
        <w:t>and poor</w:t>
      </w:r>
      <w:r w:rsidR="0035508C" w:rsidRPr="00AF1B0F">
        <w:t xml:space="preserve"> birth outcomes and </w:t>
      </w:r>
      <w:r w:rsidR="00D063B5" w:rsidRPr="00AF1B0F">
        <w:t xml:space="preserve">argue such outcomes are related to climate conditions, </w:t>
      </w:r>
      <w:r w:rsidR="00F94E93" w:rsidRPr="00AF1B0F">
        <w:t>such as high levels of temperature, humidity and rain</w:t>
      </w:r>
      <w:r w:rsidR="003E3A73" w:rsidRPr="00AF1B0F">
        <w:t>fall</w:t>
      </w:r>
      <w:r w:rsidR="00122C1B" w:rsidRPr="00AF1B0F">
        <w:t>,</w:t>
      </w:r>
      <w:r w:rsidR="00F94E93" w:rsidRPr="00AF1B0F">
        <w:t xml:space="preserve"> which favour </w:t>
      </w:r>
      <w:r w:rsidR="00E11E75" w:rsidRPr="00AF1B0F">
        <w:t xml:space="preserve">the spread of </w:t>
      </w:r>
      <w:r w:rsidR="00F94E93" w:rsidRPr="00AF1B0F">
        <w:t>viruses and disease</w:t>
      </w:r>
      <w:r w:rsidR="00E11E75" w:rsidRPr="00AF1B0F">
        <w:t>s</w:t>
      </w:r>
      <w:r w:rsidR="0035508C" w:rsidRPr="00AF1B0F">
        <w:t>.</w:t>
      </w:r>
      <w:r w:rsidR="00E11E75" w:rsidRPr="00AF1B0F">
        <w:t xml:space="preserve"> </w:t>
      </w:r>
    </w:p>
    <w:p w:rsidR="00156016" w:rsidRPr="002770BC" w:rsidRDefault="0000231E" w:rsidP="00785128">
      <w:pPr>
        <w:ind w:firstLine="709"/>
        <w:jc w:val="both"/>
        <w:rPr>
          <w:lang w:val="en-US"/>
        </w:rPr>
      </w:pPr>
      <w:r w:rsidRPr="00AF1B0F">
        <w:rPr>
          <w:lang w:val="en-US"/>
        </w:rPr>
        <w:lastRenderedPageBreak/>
        <w:t>There</w:t>
      </w:r>
      <w:r w:rsidR="00122C1B" w:rsidRPr="00AF1B0F">
        <w:rPr>
          <w:lang w:val="en-US"/>
        </w:rPr>
        <w:t xml:space="preserve"> is</w:t>
      </w:r>
      <w:r w:rsidRPr="00AF1B0F">
        <w:rPr>
          <w:lang w:val="en-US"/>
        </w:rPr>
        <w:t xml:space="preserve"> also</w:t>
      </w:r>
      <w:r w:rsidR="00122C1B" w:rsidRPr="00AF1B0F">
        <w:rPr>
          <w:lang w:val="en-US"/>
        </w:rPr>
        <w:t xml:space="preserve"> </w:t>
      </w:r>
      <w:r w:rsidR="00BD1734" w:rsidRPr="00AF1B0F">
        <w:rPr>
          <w:lang w:val="en-US"/>
        </w:rPr>
        <w:t>a related literature that focuses</w:t>
      </w:r>
      <w:r w:rsidR="00122C1B" w:rsidRPr="00AF1B0F">
        <w:rPr>
          <w:lang w:val="en-US"/>
        </w:rPr>
        <w:t xml:space="preserve"> on the potential linkage between birth events and socio-cultural aspects (</w:t>
      </w:r>
      <w:proofErr w:type="spellStart"/>
      <w:r w:rsidR="00D12A36" w:rsidRPr="00AF1B0F">
        <w:rPr>
          <w:lang w:val="en-US"/>
        </w:rPr>
        <w:t>Pinedo</w:t>
      </w:r>
      <w:proofErr w:type="spellEnd"/>
      <w:r w:rsidR="00D12A36" w:rsidRPr="00AF1B0F">
        <w:rPr>
          <w:lang w:val="en-US"/>
        </w:rPr>
        <w:t xml:space="preserve"> and Bermudez, 2016</w:t>
      </w:r>
      <w:r w:rsidR="00122C1B" w:rsidRPr="00AF1B0F">
        <w:rPr>
          <w:lang w:val="en-US"/>
        </w:rPr>
        <w:t xml:space="preserve">), </w:t>
      </w:r>
      <w:r w:rsidR="00156016" w:rsidRPr="00AF1B0F">
        <w:rPr>
          <w:lang w:val="en-US"/>
        </w:rPr>
        <w:t xml:space="preserve">which </w:t>
      </w:r>
      <w:r w:rsidR="00D12A36" w:rsidRPr="00AF1B0F">
        <w:rPr>
          <w:lang w:val="en-US"/>
        </w:rPr>
        <w:t>is</w:t>
      </w:r>
      <w:r w:rsidR="00156016" w:rsidRPr="00AF1B0F">
        <w:rPr>
          <w:lang w:val="en-US"/>
        </w:rPr>
        <w:t xml:space="preserve"> particularly problematic for the purpose of our identification strategy</w:t>
      </w:r>
      <w:r w:rsidR="00D12A36" w:rsidRPr="00AF1B0F">
        <w:rPr>
          <w:lang w:val="en-US"/>
        </w:rPr>
        <w:t xml:space="preserve">, since birth seasonality </w:t>
      </w:r>
      <w:r w:rsidRPr="00AF1B0F">
        <w:rPr>
          <w:lang w:val="en-US"/>
        </w:rPr>
        <w:t xml:space="preserve">could </w:t>
      </w:r>
      <w:r w:rsidR="00D12A36" w:rsidRPr="00AF1B0F">
        <w:rPr>
          <w:lang w:val="en-US"/>
        </w:rPr>
        <w:t>rather</w:t>
      </w:r>
      <w:r w:rsidRPr="00AF1B0F">
        <w:rPr>
          <w:lang w:val="en-US"/>
        </w:rPr>
        <w:t xml:space="preserve"> be</w:t>
      </w:r>
      <w:r w:rsidR="00D12A36" w:rsidRPr="00AF1B0F">
        <w:rPr>
          <w:lang w:val="en-US"/>
        </w:rPr>
        <w:t xml:space="preserve"> reflecting family background</w:t>
      </w:r>
      <w:r w:rsidR="00156016" w:rsidRPr="00AF1B0F">
        <w:rPr>
          <w:lang w:val="en-US"/>
        </w:rPr>
        <w:t xml:space="preserve">. However, this has not been empirically observed. For instance, Lam and </w:t>
      </w:r>
      <w:proofErr w:type="spellStart"/>
      <w:r w:rsidR="00156016" w:rsidRPr="00AF1B0F">
        <w:rPr>
          <w:lang w:val="en-US"/>
        </w:rPr>
        <w:t>Miron</w:t>
      </w:r>
      <w:proofErr w:type="spellEnd"/>
      <w:r w:rsidR="00156016" w:rsidRPr="00AF1B0F">
        <w:rPr>
          <w:lang w:val="en-US"/>
        </w:rPr>
        <w:t xml:space="preserve"> (1987) find that the seasonal pattern of children’s births is unrelated to the wealth and marital status of their parents </w:t>
      </w:r>
      <w:r w:rsidR="00266C04" w:rsidRPr="00AF1B0F">
        <w:rPr>
          <w:lang w:val="en-US"/>
        </w:rPr>
        <w:t>for several countries’ populations</w:t>
      </w:r>
      <w:r w:rsidR="00156016" w:rsidRPr="00AF1B0F">
        <w:rPr>
          <w:lang w:val="en-US"/>
        </w:rPr>
        <w:t xml:space="preserve">. In Brazil, </w:t>
      </w:r>
      <w:proofErr w:type="spellStart"/>
      <w:r w:rsidR="00156016" w:rsidRPr="00AF1B0F">
        <w:rPr>
          <w:lang w:val="en-US"/>
        </w:rPr>
        <w:t>Moreira</w:t>
      </w:r>
      <w:proofErr w:type="spellEnd"/>
      <w:r w:rsidR="00156016" w:rsidRPr="00AF1B0F">
        <w:rPr>
          <w:lang w:val="en-US"/>
        </w:rPr>
        <w:t xml:space="preserve"> (2013) does not find statistically significant differences of birth patterns among populations from different geographic regions, neither among socio-demographics characteristics of the mother, such as, age, marital status, education and occupation. According to this author, these evidences suggest that Brazilian conceptions are rather related to daily luminosity (photoperiod). As a result, the period of birth, in itself, should not be correlated with educational outcome, suggesting that this variable is plausibly exogenous for the purposes of this paper.</w:t>
      </w:r>
    </w:p>
    <w:p w:rsidR="00526E35" w:rsidRDefault="00156016" w:rsidP="00785128">
      <w:pPr>
        <w:ind w:firstLine="709"/>
        <w:jc w:val="both"/>
        <w:rPr>
          <w:lang w:val="en-US"/>
        </w:rPr>
      </w:pPr>
      <w:r>
        <w:t xml:space="preserve">However, as already explained, </w:t>
      </w:r>
      <w:r>
        <w:rPr>
          <w:lang w:val="en-US"/>
        </w:rPr>
        <w:t xml:space="preserve">the </w:t>
      </w:r>
      <w:r w:rsidRPr="007A2853">
        <w:rPr>
          <w:lang w:val="en-US"/>
        </w:rPr>
        <w:t xml:space="preserve">compulsory school attendance laws generate variation in the child’s age at school entry, </w:t>
      </w:r>
      <w:r>
        <w:t xml:space="preserve">which induce some </w:t>
      </w:r>
      <w:r w:rsidRPr="00D74864">
        <w:t xml:space="preserve">children </w:t>
      </w:r>
      <w:r>
        <w:t xml:space="preserve">to </w:t>
      </w:r>
      <w:r w:rsidRPr="00D74864">
        <w:t>enter at a</w:t>
      </w:r>
      <w:r>
        <w:t xml:space="preserve"> relatively</w:t>
      </w:r>
      <w:r w:rsidRPr="00D74864">
        <w:t xml:space="preserve"> older </w:t>
      </w:r>
      <w:r>
        <w:t xml:space="preserve">(or younger) </w:t>
      </w:r>
      <w:r w:rsidRPr="00D74864">
        <w:t>age</w:t>
      </w:r>
      <w:r>
        <w:t>. This,</w:t>
      </w:r>
      <w:r w:rsidRPr="007A2853">
        <w:rPr>
          <w:lang w:val="en-US"/>
        </w:rPr>
        <w:t xml:space="preserve"> </w:t>
      </w:r>
      <w:r>
        <w:rPr>
          <w:lang w:val="en-US"/>
        </w:rPr>
        <w:t>in turn</w:t>
      </w:r>
      <w:r w:rsidRPr="007A2853">
        <w:rPr>
          <w:lang w:val="en-US"/>
        </w:rPr>
        <w:t>, make</w:t>
      </w:r>
      <w:r>
        <w:rPr>
          <w:lang w:val="en-US"/>
        </w:rPr>
        <w:t>s</w:t>
      </w:r>
      <w:r w:rsidRPr="007A2853">
        <w:rPr>
          <w:lang w:val="en-US"/>
        </w:rPr>
        <w:t xml:space="preserve"> the date of birth within the year an important determinant of educational achievement and, at the same time, plausibly exogenous.</w:t>
      </w:r>
      <w:r>
        <w:rPr>
          <w:lang w:val="en-US"/>
        </w:rPr>
        <w:t xml:space="preserve"> </w:t>
      </w:r>
    </w:p>
    <w:p w:rsidR="00156016" w:rsidRPr="00B5717C" w:rsidRDefault="00156016" w:rsidP="00785128">
      <w:pPr>
        <w:ind w:firstLine="709"/>
        <w:jc w:val="both"/>
        <w:rPr>
          <w:lang w:val="en-US"/>
        </w:rPr>
      </w:pPr>
      <w:r>
        <w:rPr>
          <w:lang w:val="en-US"/>
        </w:rPr>
        <w:t>In Brazil</w:t>
      </w:r>
      <w:r w:rsidR="000E1D15">
        <w:rPr>
          <w:lang w:val="en-US"/>
        </w:rPr>
        <w:t>,</w:t>
      </w:r>
      <w:r>
        <w:rPr>
          <w:lang w:val="en-US"/>
        </w:rPr>
        <w:t xml:space="preserve"> b</w:t>
      </w:r>
      <w:r w:rsidR="00212671">
        <w:rPr>
          <w:lang w:val="en-US"/>
        </w:rPr>
        <w:t xml:space="preserve">ecause of </w:t>
      </w:r>
      <w:r w:rsidR="00212671" w:rsidRPr="000F75CB">
        <w:rPr>
          <w:lang w:val="en-US"/>
        </w:rPr>
        <w:t>the Federal law of 20</w:t>
      </w:r>
      <w:r w:rsidRPr="000F75CB">
        <w:rPr>
          <w:lang w:val="en-US"/>
        </w:rPr>
        <w:t>0</w:t>
      </w:r>
      <w:r w:rsidR="00212671" w:rsidRPr="000F75CB">
        <w:rPr>
          <w:lang w:val="en-US"/>
        </w:rPr>
        <w:t>8</w:t>
      </w:r>
      <w:r w:rsidRPr="000F75CB">
        <w:rPr>
          <w:lang w:val="en-US"/>
        </w:rPr>
        <w:t>, children</w:t>
      </w:r>
      <w:r>
        <w:rPr>
          <w:lang w:val="en-US"/>
        </w:rPr>
        <w:t xml:space="preserve"> born after March start school relatively older</w:t>
      </w:r>
      <w:r w:rsidR="008B145E" w:rsidRPr="005E37CC">
        <w:rPr>
          <w:rStyle w:val="Refdenotaderodap"/>
          <w:lang w:val="en-US"/>
        </w:rPr>
        <w:footnoteReference w:id="9"/>
      </w:r>
      <w:r w:rsidR="005E37CC" w:rsidRPr="005E37CC">
        <w:rPr>
          <w:lang w:val="en-US"/>
        </w:rPr>
        <w:t>.</w:t>
      </w:r>
      <w:r>
        <w:rPr>
          <w:lang w:val="en-US"/>
        </w:rPr>
        <w:t xml:space="preserve"> </w:t>
      </w:r>
      <w:r w:rsidR="00526E35">
        <w:rPr>
          <w:lang w:val="en-US"/>
        </w:rPr>
        <w:t>Provided that o</w:t>
      </w:r>
      <w:r>
        <w:rPr>
          <w:lang w:val="en-US"/>
        </w:rPr>
        <w:t>ur sample is composed of children who entered schoo</w:t>
      </w:r>
      <w:r w:rsidR="00526E35">
        <w:rPr>
          <w:lang w:val="en-US"/>
        </w:rPr>
        <w:t>l when the Federal law of 2008 was still present;</w:t>
      </w:r>
      <w:r>
        <w:rPr>
          <w:lang w:val="en-US"/>
        </w:rPr>
        <w:t xml:space="preserve"> we have found a significant correlation between period of birth and educational achievement. Specifically, students born in the second semester (relatively older) achieve systematically better in math and Portuguese language tests of </w:t>
      </w:r>
      <w:proofErr w:type="spellStart"/>
      <w:r w:rsidRPr="00032302">
        <w:rPr>
          <w:i/>
          <w:lang w:val="en-US"/>
        </w:rPr>
        <w:t>Prova</w:t>
      </w:r>
      <w:proofErr w:type="spellEnd"/>
      <w:r w:rsidRPr="00032302">
        <w:rPr>
          <w:i/>
          <w:lang w:val="en-US"/>
        </w:rPr>
        <w:t xml:space="preserve"> </w:t>
      </w:r>
      <w:proofErr w:type="spellStart"/>
      <w:r w:rsidRPr="00032302">
        <w:rPr>
          <w:i/>
          <w:lang w:val="en-US"/>
        </w:rPr>
        <w:t>Brasil</w:t>
      </w:r>
      <w:proofErr w:type="spellEnd"/>
      <w:r>
        <w:rPr>
          <w:lang w:val="en-US"/>
        </w:rPr>
        <w:t xml:space="preserve">, as illustrated in Table </w:t>
      </w:r>
      <w:r w:rsidR="000F75CB">
        <w:rPr>
          <w:lang w:val="en-US"/>
        </w:rPr>
        <w:t>2</w:t>
      </w:r>
      <w:r>
        <w:rPr>
          <w:lang w:val="en-US"/>
        </w:rPr>
        <w:t>. The same is observed for those born in the 3</w:t>
      </w:r>
      <w:r w:rsidRPr="00032302">
        <w:rPr>
          <w:vertAlign w:val="superscript"/>
          <w:lang w:val="en-US"/>
        </w:rPr>
        <w:t>rd</w:t>
      </w:r>
      <w:r>
        <w:rPr>
          <w:lang w:val="en-US"/>
        </w:rPr>
        <w:t xml:space="preserve"> quarter and in the period of September to November. </w:t>
      </w:r>
    </w:p>
    <w:p w:rsidR="00864F44" w:rsidRDefault="00864F44" w:rsidP="00785128">
      <w:pPr>
        <w:jc w:val="both"/>
        <w:rPr>
          <w:lang w:val="en-U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61"/>
        <w:gridCol w:w="1984"/>
        <w:gridCol w:w="2633"/>
      </w:tblGrid>
      <w:tr w:rsidR="000A45B3" w:rsidRPr="00A247B1" w:rsidTr="006D0014">
        <w:trPr>
          <w:jc w:val="center"/>
        </w:trPr>
        <w:tc>
          <w:tcPr>
            <w:tcW w:w="8978" w:type="dxa"/>
            <w:gridSpan w:val="3"/>
            <w:tcBorders>
              <w:bottom w:val="single" w:sz="4" w:space="0" w:color="auto"/>
            </w:tcBorders>
          </w:tcPr>
          <w:p w:rsidR="000A45B3" w:rsidRPr="00A247B1" w:rsidRDefault="000F75CB" w:rsidP="00785128">
            <w:pPr>
              <w:keepNext/>
              <w:keepLines/>
              <w:jc w:val="center"/>
              <w:rPr>
                <w:sz w:val="20"/>
                <w:szCs w:val="20"/>
                <w:lang w:val="en-US"/>
              </w:rPr>
            </w:pPr>
            <w:r>
              <w:rPr>
                <w:sz w:val="20"/>
                <w:szCs w:val="20"/>
                <w:lang w:val="en-US"/>
              </w:rPr>
              <w:lastRenderedPageBreak/>
              <w:t>Table 2</w:t>
            </w:r>
          </w:p>
          <w:p w:rsidR="000A45B3" w:rsidRPr="00FA586F" w:rsidRDefault="00FA586F" w:rsidP="00785128">
            <w:pPr>
              <w:keepNext/>
              <w:keepLines/>
              <w:jc w:val="center"/>
              <w:rPr>
                <w:sz w:val="20"/>
                <w:szCs w:val="20"/>
                <w:lang w:val="en-US"/>
              </w:rPr>
            </w:pPr>
            <w:r w:rsidRPr="00FA586F">
              <w:rPr>
                <w:sz w:val="20"/>
                <w:szCs w:val="20"/>
                <w:lang w:val="en-US"/>
              </w:rPr>
              <w:t>Correlations between period of birth and educational achievement</w:t>
            </w:r>
          </w:p>
        </w:tc>
      </w:tr>
      <w:tr w:rsidR="00864F44" w:rsidRPr="00A247B1" w:rsidTr="006D0014">
        <w:trPr>
          <w:jc w:val="center"/>
        </w:trPr>
        <w:tc>
          <w:tcPr>
            <w:tcW w:w="4361" w:type="dxa"/>
            <w:tcBorders>
              <w:top w:val="single" w:sz="4" w:space="0" w:color="auto"/>
              <w:bottom w:val="single" w:sz="4" w:space="0" w:color="auto"/>
            </w:tcBorders>
          </w:tcPr>
          <w:p w:rsidR="00864F44" w:rsidRPr="00A247B1" w:rsidRDefault="00864F44" w:rsidP="00785128">
            <w:pPr>
              <w:keepNext/>
              <w:keepLines/>
              <w:jc w:val="both"/>
              <w:rPr>
                <w:sz w:val="20"/>
                <w:szCs w:val="20"/>
                <w:lang w:val="en-US"/>
              </w:rPr>
            </w:pPr>
          </w:p>
        </w:tc>
        <w:tc>
          <w:tcPr>
            <w:tcW w:w="1984" w:type="dxa"/>
            <w:tcBorders>
              <w:top w:val="single" w:sz="4" w:space="0" w:color="auto"/>
              <w:bottom w:val="single" w:sz="4" w:space="0" w:color="auto"/>
            </w:tcBorders>
          </w:tcPr>
          <w:p w:rsidR="00864F44" w:rsidRPr="00A247B1" w:rsidRDefault="00864F44" w:rsidP="00785128">
            <w:pPr>
              <w:keepNext/>
              <w:keepLines/>
              <w:jc w:val="center"/>
              <w:rPr>
                <w:sz w:val="20"/>
                <w:szCs w:val="20"/>
                <w:lang w:val="en-US"/>
              </w:rPr>
            </w:pPr>
            <w:r w:rsidRPr="00A247B1">
              <w:rPr>
                <w:b/>
                <w:bCs/>
                <w:color w:val="000000"/>
                <w:sz w:val="20"/>
                <w:szCs w:val="20"/>
                <w:lang w:eastAsia="pt-BR"/>
              </w:rPr>
              <w:t>Math</w:t>
            </w:r>
          </w:p>
        </w:tc>
        <w:tc>
          <w:tcPr>
            <w:tcW w:w="2633" w:type="dxa"/>
            <w:tcBorders>
              <w:top w:val="single" w:sz="4" w:space="0" w:color="auto"/>
              <w:left w:val="nil"/>
              <w:bottom w:val="single" w:sz="4" w:space="0" w:color="auto"/>
            </w:tcBorders>
          </w:tcPr>
          <w:p w:rsidR="00864F44" w:rsidRPr="00A247B1" w:rsidRDefault="00864F44" w:rsidP="00785128">
            <w:pPr>
              <w:keepNext/>
              <w:keepLines/>
              <w:jc w:val="center"/>
              <w:rPr>
                <w:sz w:val="20"/>
                <w:szCs w:val="20"/>
                <w:lang w:val="en-US"/>
              </w:rPr>
            </w:pPr>
            <w:r w:rsidRPr="00A247B1">
              <w:rPr>
                <w:b/>
                <w:bCs/>
                <w:color w:val="000000"/>
                <w:sz w:val="20"/>
                <w:szCs w:val="20"/>
                <w:lang w:eastAsia="pt-BR"/>
              </w:rPr>
              <w:t>Portuguese Language</w:t>
            </w:r>
          </w:p>
        </w:tc>
      </w:tr>
      <w:tr w:rsidR="00A7720F" w:rsidRPr="00A247B1" w:rsidTr="006D0014">
        <w:trPr>
          <w:jc w:val="center"/>
        </w:trPr>
        <w:tc>
          <w:tcPr>
            <w:tcW w:w="4361" w:type="dxa"/>
            <w:tcBorders>
              <w:top w:val="single" w:sz="4" w:space="0" w:color="auto"/>
              <w:bottom w:val="single" w:sz="4" w:space="0" w:color="auto"/>
            </w:tcBorders>
            <w:vAlign w:val="bottom"/>
          </w:tcPr>
          <w:p w:rsidR="00A7720F" w:rsidRPr="00A247B1" w:rsidRDefault="00A7720F" w:rsidP="00785128">
            <w:pPr>
              <w:keepNext/>
              <w:keepLines/>
              <w:rPr>
                <w:sz w:val="20"/>
                <w:szCs w:val="20"/>
                <w:lang w:val="en-US"/>
              </w:rPr>
            </w:pPr>
            <w:r w:rsidRPr="00A247B1">
              <w:rPr>
                <w:bCs/>
                <w:i/>
                <w:iCs/>
                <w:color w:val="000000"/>
                <w:sz w:val="20"/>
                <w:szCs w:val="20"/>
                <w:lang w:eastAsia="pt-BR"/>
              </w:rPr>
              <w:t>Model 1</w:t>
            </w:r>
          </w:p>
        </w:tc>
        <w:tc>
          <w:tcPr>
            <w:tcW w:w="1984" w:type="dxa"/>
            <w:tcBorders>
              <w:top w:val="single" w:sz="4" w:space="0" w:color="auto"/>
              <w:bottom w:val="single" w:sz="4" w:space="0" w:color="auto"/>
            </w:tcBorders>
            <w:vAlign w:val="bottom"/>
          </w:tcPr>
          <w:p w:rsidR="00A7720F" w:rsidRPr="00A247B1" w:rsidRDefault="00A7720F" w:rsidP="00785128">
            <w:pPr>
              <w:keepNext/>
              <w:keepLines/>
              <w:rPr>
                <w:sz w:val="20"/>
                <w:szCs w:val="20"/>
                <w:lang w:val="en-US"/>
              </w:rPr>
            </w:pPr>
          </w:p>
        </w:tc>
        <w:tc>
          <w:tcPr>
            <w:tcW w:w="2633" w:type="dxa"/>
            <w:tcBorders>
              <w:top w:val="single" w:sz="4" w:space="0" w:color="auto"/>
              <w:left w:val="nil"/>
              <w:bottom w:val="single" w:sz="4" w:space="0" w:color="auto"/>
            </w:tcBorders>
            <w:vAlign w:val="bottom"/>
          </w:tcPr>
          <w:p w:rsidR="00A7720F" w:rsidRPr="00A247B1" w:rsidRDefault="00A7720F" w:rsidP="00785128">
            <w:pPr>
              <w:keepNext/>
              <w:keepLines/>
              <w:rPr>
                <w:sz w:val="20"/>
                <w:szCs w:val="20"/>
                <w:lang w:val="en-US"/>
              </w:rPr>
            </w:pPr>
          </w:p>
        </w:tc>
      </w:tr>
      <w:tr w:rsidR="000B7DA5" w:rsidRPr="00A247B1" w:rsidTr="006D0014">
        <w:trPr>
          <w:jc w:val="center"/>
        </w:trPr>
        <w:tc>
          <w:tcPr>
            <w:tcW w:w="4361" w:type="dxa"/>
            <w:tcBorders>
              <w:top w:val="single" w:sz="4" w:space="0" w:color="auto"/>
            </w:tcBorders>
            <w:vAlign w:val="center"/>
          </w:tcPr>
          <w:p w:rsidR="000B7DA5"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0B7DA5" w:rsidRPr="00A247B1">
              <w:rPr>
                <w:color w:val="000000"/>
                <w:sz w:val="20"/>
                <w:szCs w:val="20"/>
                <w:lang w:eastAsia="pt-BR"/>
              </w:rPr>
              <w:t>1</w:t>
            </w:r>
            <w:r w:rsidR="000B7DA5" w:rsidRPr="00A247B1">
              <w:rPr>
                <w:color w:val="000000"/>
                <w:sz w:val="20"/>
                <w:szCs w:val="20"/>
                <w:vertAlign w:val="superscript"/>
                <w:lang w:eastAsia="pt-BR"/>
              </w:rPr>
              <w:t>st</w:t>
            </w:r>
            <w:r w:rsidR="000B7DA5" w:rsidRPr="00A247B1">
              <w:rPr>
                <w:color w:val="000000"/>
                <w:sz w:val="20"/>
                <w:szCs w:val="20"/>
                <w:lang w:eastAsia="pt-BR"/>
              </w:rPr>
              <w:t xml:space="preserve"> semester</w:t>
            </w:r>
            <w:r w:rsidRPr="00A247B1">
              <w:rPr>
                <w:color w:val="000000"/>
                <w:sz w:val="20"/>
                <w:szCs w:val="20"/>
                <w:lang w:eastAsia="pt-BR"/>
              </w:rPr>
              <w:t xml:space="preserve"> </w:t>
            </w:r>
            <w:r w:rsidRPr="00A247B1">
              <w:rPr>
                <w:i/>
                <w:color w:val="000000"/>
                <w:sz w:val="20"/>
                <w:szCs w:val="20"/>
                <w:lang w:eastAsia="pt-BR"/>
              </w:rPr>
              <w:t>(dummy)</w:t>
            </w:r>
          </w:p>
        </w:tc>
        <w:tc>
          <w:tcPr>
            <w:tcW w:w="1984" w:type="dxa"/>
            <w:tcBorders>
              <w:top w:val="single" w:sz="4" w:space="0" w:color="auto"/>
            </w:tcBorders>
            <w:vAlign w:val="bottom"/>
          </w:tcPr>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1.98</w:t>
            </w:r>
          </w:p>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(0.23)</w:t>
            </w:r>
          </w:p>
        </w:tc>
        <w:tc>
          <w:tcPr>
            <w:tcW w:w="2633" w:type="dxa"/>
            <w:tcBorders>
              <w:top w:val="single" w:sz="4" w:space="0" w:color="auto"/>
              <w:left w:val="nil"/>
            </w:tcBorders>
            <w:vAlign w:val="bottom"/>
          </w:tcPr>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1.64</w:t>
            </w:r>
          </w:p>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(0.22)</w:t>
            </w:r>
          </w:p>
        </w:tc>
      </w:tr>
      <w:tr w:rsidR="000B7DA5" w:rsidRPr="00A247B1" w:rsidTr="006D0014">
        <w:trPr>
          <w:jc w:val="center"/>
        </w:trPr>
        <w:tc>
          <w:tcPr>
            <w:tcW w:w="4361" w:type="dxa"/>
            <w:vAlign w:val="center"/>
          </w:tcPr>
          <w:p w:rsidR="000B7DA5"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0B7DA5" w:rsidRPr="00A247B1">
              <w:rPr>
                <w:color w:val="000000"/>
                <w:sz w:val="20"/>
                <w:szCs w:val="20"/>
                <w:lang w:eastAsia="pt-BR"/>
              </w:rPr>
              <w:t>2</w:t>
            </w:r>
            <w:r w:rsidR="000B7DA5" w:rsidRPr="00A247B1">
              <w:rPr>
                <w:color w:val="000000"/>
                <w:sz w:val="20"/>
                <w:szCs w:val="20"/>
                <w:vertAlign w:val="superscript"/>
                <w:lang w:eastAsia="pt-BR"/>
              </w:rPr>
              <w:t>nd</w:t>
            </w:r>
            <w:r w:rsidR="000B7DA5" w:rsidRPr="00A247B1">
              <w:rPr>
                <w:color w:val="000000"/>
                <w:sz w:val="20"/>
                <w:szCs w:val="20"/>
                <w:lang w:eastAsia="pt-BR"/>
              </w:rPr>
              <w:t xml:space="preserve"> semester</w:t>
            </w:r>
            <w:r w:rsidRPr="00A247B1">
              <w:rPr>
                <w:color w:val="000000"/>
                <w:sz w:val="20"/>
                <w:szCs w:val="20"/>
                <w:lang w:eastAsia="pt-BR"/>
              </w:rPr>
              <w:t xml:space="preserve"> </w:t>
            </w:r>
            <w:r w:rsidRPr="00A247B1">
              <w:rPr>
                <w:i/>
                <w:color w:val="000000"/>
                <w:sz w:val="20"/>
                <w:szCs w:val="20"/>
                <w:lang w:eastAsia="pt-BR"/>
              </w:rPr>
              <w:t>(dummy, December is reference)</w:t>
            </w:r>
          </w:p>
        </w:tc>
        <w:tc>
          <w:tcPr>
            <w:tcW w:w="1984" w:type="dxa"/>
            <w:vAlign w:val="bottom"/>
          </w:tcPr>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3.95</w:t>
            </w:r>
          </w:p>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(0.23)</w:t>
            </w:r>
          </w:p>
        </w:tc>
        <w:tc>
          <w:tcPr>
            <w:tcW w:w="2633" w:type="dxa"/>
            <w:tcBorders>
              <w:left w:val="nil"/>
            </w:tcBorders>
            <w:vAlign w:val="bottom"/>
          </w:tcPr>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3.38</w:t>
            </w:r>
          </w:p>
          <w:p w:rsidR="000B7DA5" w:rsidRPr="00A247B1" w:rsidRDefault="000B7DA5" w:rsidP="00785128">
            <w:pPr>
              <w:keepNext/>
              <w:keepLines/>
              <w:jc w:val="center"/>
              <w:rPr>
                <w:color w:val="000000"/>
                <w:sz w:val="20"/>
                <w:szCs w:val="20"/>
                <w:lang w:eastAsia="pt-BR"/>
              </w:rPr>
            </w:pPr>
            <w:r w:rsidRPr="00A247B1">
              <w:rPr>
                <w:color w:val="000000"/>
                <w:sz w:val="20"/>
                <w:szCs w:val="20"/>
                <w:lang w:eastAsia="pt-BR"/>
              </w:rPr>
              <w:t>(0.23)</w:t>
            </w:r>
          </w:p>
        </w:tc>
      </w:tr>
      <w:tr w:rsidR="000B7DA5" w:rsidRPr="00A247B1" w:rsidTr="006D0014">
        <w:trPr>
          <w:jc w:val="center"/>
        </w:trPr>
        <w:tc>
          <w:tcPr>
            <w:tcW w:w="4361" w:type="dxa"/>
            <w:vAlign w:val="center"/>
          </w:tcPr>
          <w:p w:rsidR="000B7DA5" w:rsidRPr="00A247B1" w:rsidRDefault="001E4E0D" w:rsidP="00785128">
            <w:pPr>
              <w:keepNext/>
              <w:keepLines/>
              <w:rPr>
                <w:iCs/>
                <w:color w:val="000000"/>
                <w:sz w:val="20"/>
                <w:szCs w:val="20"/>
                <w:lang w:eastAsia="pt-BR"/>
              </w:rPr>
            </w:pPr>
            <w:r w:rsidRPr="00A247B1">
              <w:rPr>
                <w:iCs/>
                <w:color w:val="000000"/>
                <w:sz w:val="20"/>
                <w:szCs w:val="20"/>
                <w:lang w:eastAsia="pt-BR"/>
              </w:rPr>
              <w:t>Additional c</w:t>
            </w:r>
            <w:r w:rsidR="000B7DA5" w:rsidRPr="00A247B1">
              <w:rPr>
                <w:iCs/>
                <w:color w:val="000000"/>
                <w:sz w:val="20"/>
                <w:szCs w:val="20"/>
                <w:lang w:eastAsia="pt-BR"/>
              </w:rPr>
              <w:t>ontrols</w:t>
            </w:r>
            <w:r w:rsidRPr="00A247B1">
              <w:rPr>
                <w:iCs/>
                <w:color w:val="000000"/>
                <w:sz w:val="20"/>
                <w:szCs w:val="20"/>
                <w:vertAlign w:val="superscript"/>
                <w:lang w:eastAsia="pt-BR"/>
              </w:rPr>
              <w:t>*</w:t>
            </w:r>
          </w:p>
        </w:tc>
        <w:tc>
          <w:tcPr>
            <w:tcW w:w="1984" w:type="dxa"/>
          </w:tcPr>
          <w:p w:rsidR="000B7DA5" w:rsidRPr="00A247B1" w:rsidRDefault="000B7DA5" w:rsidP="00785128">
            <w:pPr>
              <w:keepNext/>
              <w:keepLines/>
              <w:jc w:val="center"/>
              <w:rPr>
                <w:sz w:val="20"/>
                <w:szCs w:val="20"/>
                <w:lang w:val="en-US"/>
              </w:rPr>
            </w:pPr>
            <w:r w:rsidRPr="00A247B1">
              <w:rPr>
                <w:sz w:val="20"/>
                <w:szCs w:val="20"/>
                <w:lang w:val="en-US"/>
              </w:rPr>
              <w:t>Yes</w:t>
            </w:r>
          </w:p>
        </w:tc>
        <w:tc>
          <w:tcPr>
            <w:tcW w:w="2633" w:type="dxa"/>
            <w:tcBorders>
              <w:left w:val="nil"/>
            </w:tcBorders>
            <w:vAlign w:val="bottom"/>
          </w:tcPr>
          <w:p w:rsidR="000B7DA5" w:rsidRPr="00A247B1" w:rsidRDefault="005406DC" w:rsidP="00785128">
            <w:pPr>
              <w:keepNext/>
              <w:keepLines/>
              <w:jc w:val="center"/>
              <w:rPr>
                <w:color w:val="000000"/>
                <w:sz w:val="20"/>
                <w:szCs w:val="20"/>
                <w:lang w:eastAsia="pt-BR"/>
              </w:rPr>
            </w:pPr>
            <w:r w:rsidRPr="00A247B1">
              <w:rPr>
                <w:color w:val="000000"/>
                <w:sz w:val="20"/>
                <w:szCs w:val="20"/>
                <w:lang w:eastAsia="pt-BR"/>
              </w:rPr>
              <w:t>Yes</w:t>
            </w:r>
          </w:p>
        </w:tc>
      </w:tr>
      <w:tr w:rsidR="000B7DA5" w:rsidRPr="00A247B1" w:rsidTr="006D0014">
        <w:trPr>
          <w:jc w:val="center"/>
        </w:trPr>
        <w:tc>
          <w:tcPr>
            <w:tcW w:w="4361" w:type="dxa"/>
            <w:vAlign w:val="center"/>
          </w:tcPr>
          <w:p w:rsidR="000B7DA5" w:rsidRPr="00A247B1" w:rsidRDefault="000B7DA5" w:rsidP="00785128">
            <w:pPr>
              <w:keepNext/>
              <w:keepLines/>
              <w:rPr>
                <w:bCs/>
                <w:i/>
                <w:color w:val="000000"/>
                <w:sz w:val="20"/>
                <w:szCs w:val="20"/>
                <w:lang w:eastAsia="pt-BR"/>
              </w:rPr>
            </w:pPr>
            <w:r w:rsidRPr="00A247B1">
              <w:rPr>
                <w:bCs/>
                <w:i/>
                <w:color w:val="000000"/>
                <w:sz w:val="20"/>
                <w:szCs w:val="20"/>
                <w:lang w:eastAsia="pt-BR"/>
              </w:rPr>
              <w:t>R</w:t>
            </w:r>
            <w:r w:rsidRPr="00A247B1">
              <w:rPr>
                <w:bCs/>
                <w:i/>
                <w:color w:val="000000"/>
                <w:sz w:val="20"/>
                <w:szCs w:val="20"/>
                <w:vertAlign w:val="superscript"/>
                <w:lang w:eastAsia="pt-BR"/>
              </w:rPr>
              <w:t>2</w:t>
            </w:r>
          </w:p>
        </w:tc>
        <w:tc>
          <w:tcPr>
            <w:tcW w:w="1984" w:type="dxa"/>
          </w:tcPr>
          <w:p w:rsidR="000B7DA5" w:rsidRPr="00A247B1" w:rsidRDefault="000B7DA5" w:rsidP="00785128">
            <w:pPr>
              <w:keepNext/>
              <w:keepLines/>
              <w:jc w:val="center"/>
              <w:rPr>
                <w:sz w:val="20"/>
                <w:szCs w:val="20"/>
                <w:lang w:val="en-US"/>
              </w:rPr>
            </w:pPr>
            <w:r w:rsidRPr="00A247B1">
              <w:rPr>
                <w:sz w:val="20"/>
                <w:szCs w:val="20"/>
                <w:lang w:val="en-US"/>
              </w:rPr>
              <w:t>0.23</w:t>
            </w:r>
          </w:p>
        </w:tc>
        <w:tc>
          <w:tcPr>
            <w:tcW w:w="2633" w:type="dxa"/>
            <w:tcBorders>
              <w:left w:val="nil"/>
            </w:tcBorders>
            <w:vAlign w:val="bottom"/>
          </w:tcPr>
          <w:p w:rsidR="000B7DA5" w:rsidRPr="00A247B1" w:rsidRDefault="005406DC" w:rsidP="00785128">
            <w:pPr>
              <w:keepNext/>
              <w:keepLines/>
              <w:jc w:val="center"/>
              <w:rPr>
                <w:color w:val="000000"/>
                <w:sz w:val="20"/>
                <w:szCs w:val="20"/>
                <w:lang w:eastAsia="pt-BR"/>
              </w:rPr>
            </w:pPr>
            <w:r w:rsidRPr="00A247B1">
              <w:rPr>
                <w:color w:val="000000"/>
                <w:sz w:val="20"/>
                <w:szCs w:val="20"/>
                <w:lang w:eastAsia="pt-BR"/>
              </w:rPr>
              <w:t>0.24</w:t>
            </w:r>
          </w:p>
        </w:tc>
      </w:tr>
      <w:tr w:rsidR="00E10609" w:rsidRPr="00A247B1" w:rsidTr="006D0014">
        <w:trPr>
          <w:jc w:val="center"/>
        </w:trPr>
        <w:tc>
          <w:tcPr>
            <w:tcW w:w="4361" w:type="dxa"/>
            <w:tcBorders>
              <w:bottom w:val="single" w:sz="4" w:space="0" w:color="auto"/>
            </w:tcBorders>
            <w:vAlign w:val="center"/>
          </w:tcPr>
          <w:p w:rsidR="00E10609" w:rsidRPr="00A247B1" w:rsidRDefault="00E10609" w:rsidP="00785128">
            <w:pPr>
              <w:keepNext/>
              <w:keepLines/>
              <w:rPr>
                <w:bCs/>
                <w:color w:val="000000"/>
                <w:sz w:val="20"/>
                <w:szCs w:val="20"/>
                <w:lang w:eastAsia="pt-BR"/>
              </w:rPr>
            </w:pPr>
            <w:r w:rsidRPr="00A247B1">
              <w:rPr>
                <w:bCs/>
                <w:color w:val="000000"/>
                <w:sz w:val="20"/>
                <w:szCs w:val="20"/>
                <w:lang w:eastAsia="pt-BR"/>
              </w:rPr>
              <w:t>Nº of observations</w:t>
            </w:r>
          </w:p>
        </w:tc>
        <w:tc>
          <w:tcPr>
            <w:tcW w:w="4617" w:type="dxa"/>
            <w:gridSpan w:val="2"/>
            <w:tcBorders>
              <w:bottom w:val="single" w:sz="4" w:space="0" w:color="auto"/>
            </w:tcBorders>
          </w:tcPr>
          <w:p w:rsidR="00E10609" w:rsidRPr="00A247B1" w:rsidRDefault="00E10609" w:rsidP="00785128">
            <w:pPr>
              <w:keepNext/>
              <w:keepLines/>
              <w:jc w:val="center"/>
              <w:rPr>
                <w:color w:val="000000"/>
                <w:sz w:val="20"/>
                <w:szCs w:val="20"/>
                <w:lang w:eastAsia="pt-BR"/>
              </w:rPr>
            </w:pPr>
            <w:r w:rsidRPr="00A247B1">
              <w:rPr>
                <w:sz w:val="20"/>
                <w:szCs w:val="20"/>
                <w:lang w:val="en-US"/>
              </w:rPr>
              <w:t>599,103</w:t>
            </w:r>
          </w:p>
        </w:tc>
      </w:tr>
      <w:tr w:rsidR="00A7720F" w:rsidRPr="00A247B1" w:rsidTr="006D0014">
        <w:trPr>
          <w:jc w:val="center"/>
        </w:trPr>
        <w:tc>
          <w:tcPr>
            <w:tcW w:w="4361" w:type="dxa"/>
            <w:tcBorders>
              <w:top w:val="single" w:sz="4" w:space="0" w:color="auto"/>
              <w:bottom w:val="single" w:sz="4" w:space="0" w:color="auto"/>
            </w:tcBorders>
            <w:vAlign w:val="center"/>
          </w:tcPr>
          <w:p w:rsidR="00A7720F" w:rsidRPr="00A247B1" w:rsidRDefault="00A7720F" w:rsidP="00785128">
            <w:pPr>
              <w:keepNext/>
              <w:keepLines/>
              <w:rPr>
                <w:sz w:val="20"/>
                <w:szCs w:val="20"/>
                <w:lang w:val="en-US"/>
              </w:rPr>
            </w:pPr>
            <w:r w:rsidRPr="00A247B1">
              <w:rPr>
                <w:bCs/>
                <w:i/>
                <w:iCs/>
                <w:color w:val="000000"/>
                <w:sz w:val="20"/>
                <w:szCs w:val="20"/>
                <w:lang w:eastAsia="pt-BR"/>
              </w:rPr>
              <w:t>Model 2</w:t>
            </w:r>
          </w:p>
        </w:tc>
        <w:tc>
          <w:tcPr>
            <w:tcW w:w="1984" w:type="dxa"/>
            <w:tcBorders>
              <w:top w:val="single" w:sz="4" w:space="0" w:color="auto"/>
              <w:bottom w:val="single" w:sz="4" w:space="0" w:color="auto"/>
            </w:tcBorders>
            <w:vAlign w:val="bottom"/>
          </w:tcPr>
          <w:p w:rsidR="00A7720F" w:rsidRPr="00A247B1" w:rsidRDefault="00A7720F" w:rsidP="00785128">
            <w:pPr>
              <w:keepNext/>
              <w:keepLines/>
              <w:rPr>
                <w:sz w:val="20"/>
                <w:szCs w:val="20"/>
                <w:lang w:val="en-US"/>
              </w:rPr>
            </w:pPr>
          </w:p>
        </w:tc>
        <w:tc>
          <w:tcPr>
            <w:tcW w:w="2633" w:type="dxa"/>
            <w:tcBorders>
              <w:top w:val="single" w:sz="4" w:space="0" w:color="auto"/>
              <w:left w:val="nil"/>
              <w:bottom w:val="single" w:sz="4" w:space="0" w:color="auto"/>
            </w:tcBorders>
            <w:vAlign w:val="bottom"/>
          </w:tcPr>
          <w:p w:rsidR="00A7720F" w:rsidRPr="00A247B1" w:rsidRDefault="00A7720F" w:rsidP="00785128">
            <w:pPr>
              <w:keepNext/>
              <w:keepLines/>
              <w:rPr>
                <w:sz w:val="20"/>
                <w:szCs w:val="20"/>
                <w:lang w:val="en-US"/>
              </w:rPr>
            </w:pPr>
          </w:p>
        </w:tc>
      </w:tr>
      <w:tr w:rsidR="0005626A" w:rsidRPr="00A247B1" w:rsidTr="006D0014">
        <w:trPr>
          <w:jc w:val="center"/>
        </w:trPr>
        <w:tc>
          <w:tcPr>
            <w:tcW w:w="4361" w:type="dxa"/>
            <w:tcBorders>
              <w:top w:val="single" w:sz="4" w:space="0" w:color="auto"/>
            </w:tcBorders>
            <w:vAlign w:val="center"/>
          </w:tcPr>
          <w:p w:rsidR="0005626A"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05626A" w:rsidRPr="00A247B1">
              <w:rPr>
                <w:color w:val="000000"/>
                <w:sz w:val="20"/>
                <w:szCs w:val="20"/>
                <w:lang w:eastAsia="pt-BR"/>
              </w:rPr>
              <w:t>January to April</w:t>
            </w:r>
            <w:r w:rsidRPr="00A247B1">
              <w:rPr>
                <w:color w:val="000000"/>
                <w:sz w:val="20"/>
                <w:szCs w:val="20"/>
                <w:lang w:eastAsia="pt-BR"/>
              </w:rPr>
              <w:t xml:space="preserve"> </w:t>
            </w:r>
            <w:r w:rsidRPr="00A247B1">
              <w:rPr>
                <w:i/>
                <w:color w:val="000000"/>
                <w:sz w:val="20"/>
                <w:szCs w:val="20"/>
                <w:lang w:eastAsia="pt-BR"/>
              </w:rPr>
              <w:t>(dummy)</w:t>
            </w:r>
          </w:p>
        </w:tc>
        <w:tc>
          <w:tcPr>
            <w:tcW w:w="1984" w:type="dxa"/>
            <w:tcBorders>
              <w:top w:val="single" w:sz="4" w:space="0" w:color="auto"/>
            </w:tcBorders>
            <w:vAlign w:val="bottom"/>
          </w:tcPr>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1.79</w:t>
            </w:r>
          </w:p>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(0.23)</w:t>
            </w:r>
          </w:p>
        </w:tc>
        <w:tc>
          <w:tcPr>
            <w:tcW w:w="2633" w:type="dxa"/>
            <w:tcBorders>
              <w:top w:val="single" w:sz="4" w:space="0" w:color="auto"/>
              <w:left w:val="nil"/>
            </w:tcBorders>
            <w:vAlign w:val="bottom"/>
          </w:tcPr>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1.52</w:t>
            </w:r>
          </w:p>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(0.23)</w:t>
            </w:r>
          </w:p>
        </w:tc>
      </w:tr>
      <w:tr w:rsidR="0005626A" w:rsidRPr="00A247B1" w:rsidTr="006D0014">
        <w:trPr>
          <w:jc w:val="center"/>
        </w:trPr>
        <w:tc>
          <w:tcPr>
            <w:tcW w:w="4361" w:type="dxa"/>
            <w:vAlign w:val="center"/>
          </w:tcPr>
          <w:p w:rsidR="0005626A"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05626A" w:rsidRPr="00A247B1">
              <w:rPr>
                <w:color w:val="000000"/>
                <w:sz w:val="20"/>
                <w:szCs w:val="20"/>
                <w:lang w:eastAsia="pt-BR"/>
              </w:rPr>
              <w:t>May to August</w:t>
            </w:r>
            <w:r w:rsidRPr="00A247B1">
              <w:rPr>
                <w:color w:val="000000"/>
                <w:sz w:val="20"/>
                <w:szCs w:val="20"/>
                <w:lang w:eastAsia="pt-BR"/>
              </w:rPr>
              <w:t xml:space="preserve"> </w:t>
            </w:r>
            <w:r w:rsidRPr="00A247B1">
              <w:rPr>
                <w:i/>
                <w:color w:val="000000"/>
                <w:sz w:val="20"/>
                <w:szCs w:val="20"/>
                <w:lang w:eastAsia="pt-BR"/>
              </w:rPr>
              <w:t>(dummy)</w:t>
            </w:r>
          </w:p>
        </w:tc>
        <w:tc>
          <w:tcPr>
            <w:tcW w:w="1984" w:type="dxa"/>
            <w:vAlign w:val="bottom"/>
          </w:tcPr>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3.24</w:t>
            </w:r>
          </w:p>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(0.24)</w:t>
            </w:r>
          </w:p>
        </w:tc>
        <w:tc>
          <w:tcPr>
            <w:tcW w:w="2633" w:type="dxa"/>
            <w:tcBorders>
              <w:left w:val="nil"/>
            </w:tcBorders>
            <w:vAlign w:val="bottom"/>
          </w:tcPr>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2.77</w:t>
            </w:r>
          </w:p>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(0.23)</w:t>
            </w:r>
          </w:p>
        </w:tc>
      </w:tr>
      <w:tr w:rsidR="0005626A" w:rsidRPr="00A247B1" w:rsidTr="006D0014">
        <w:trPr>
          <w:jc w:val="center"/>
        </w:trPr>
        <w:tc>
          <w:tcPr>
            <w:tcW w:w="4361" w:type="dxa"/>
            <w:vAlign w:val="center"/>
          </w:tcPr>
          <w:p w:rsidR="0005626A"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05626A" w:rsidRPr="00A247B1">
              <w:rPr>
                <w:color w:val="000000"/>
                <w:sz w:val="20"/>
                <w:szCs w:val="20"/>
                <w:lang w:eastAsia="pt-BR"/>
              </w:rPr>
              <w:t>September to November</w:t>
            </w:r>
            <w:r w:rsidRPr="00A247B1">
              <w:rPr>
                <w:color w:val="000000"/>
                <w:sz w:val="20"/>
                <w:szCs w:val="20"/>
                <w:lang w:eastAsia="pt-BR"/>
              </w:rPr>
              <w:t xml:space="preserve"> </w:t>
            </w:r>
            <w:r w:rsidRPr="00A247B1">
              <w:rPr>
                <w:i/>
                <w:color w:val="000000"/>
                <w:sz w:val="20"/>
                <w:szCs w:val="20"/>
                <w:lang w:eastAsia="pt-BR"/>
              </w:rPr>
              <w:t>(dummy, December is reference)</w:t>
            </w:r>
          </w:p>
        </w:tc>
        <w:tc>
          <w:tcPr>
            <w:tcW w:w="1984" w:type="dxa"/>
            <w:vAlign w:val="bottom"/>
          </w:tcPr>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3.74</w:t>
            </w:r>
          </w:p>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(0.25)</w:t>
            </w:r>
          </w:p>
        </w:tc>
        <w:tc>
          <w:tcPr>
            <w:tcW w:w="2633" w:type="dxa"/>
            <w:tcBorders>
              <w:left w:val="nil"/>
            </w:tcBorders>
            <w:vAlign w:val="bottom"/>
          </w:tcPr>
          <w:p w:rsidR="0005626A" w:rsidRPr="00A247B1" w:rsidRDefault="0005626A" w:rsidP="00785128">
            <w:pPr>
              <w:keepNext/>
              <w:keepLines/>
              <w:jc w:val="center"/>
              <w:rPr>
                <w:color w:val="000000"/>
                <w:sz w:val="20"/>
                <w:szCs w:val="20"/>
                <w:lang w:eastAsia="pt-BR"/>
              </w:rPr>
            </w:pPr>
            <w:r w:rsidRPr="00A247B1">
              <w:rPr>
                <w:color w:val="000000"/>
                <w:sz w:val="20"/>
                <w:szCs w:val="20"/>
                <w:lang w:eastAsia="pt-BR"/>
              </w:rPr>
              <w:t>3.09</w:t>
            </w:r>
          </w:p>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(0.24)</w:t>
            </w:r>
          </w:p>
        </w:tc>
      </w:tr>
      <w:tr w:rsidR="0005626A" w:rsidRPr="00A247B1" w:rsidTr="006D0014">
        <w:trPr>
          <w:jc w:val="center"/>
        </w:trPr>
        <w:tc>
          <w:tcPr>
            <w:tcW w:w="4361" w:type="dxa"/>
            <w:vAlign w:val="center"/>
          </w:tcPr>
          <w:p w:rsidR="0005626A" w:rsidRPr="00A247B1" w:rsidRDefault="0005626A" w:rsidP="00785128">
            <w:pPr>
              <w:keepNext/>
              <w:keepLines/>
              <w:rPr>
                <w:iCs/>
                <w:color w:val="000000"/>
                <w:sz w:val="20"/>
                <w:szCs w:val="20"/>
                <w:lang w:eastAsia="pt-BR"/>
              </w:rPr>
            </w:pPr>
            <w:r w:rsidRPr="00A247B1">
              <w:rPr>
                <w:iCs/>
                <w:color w:val="000000"/>
                <w:sz w:val="20"/>
                <w:szCs w:val="20"/>
                <w:lang w:eastAsia="pt-BR"/>
              </w:rPr>
              <w:t xml:space="preserve">Additional </w:t>
            </w:r>
            <w:r w:rsidR="001E4E0D" w:rsidRPr="00A247B1">
              <w:rPr>
                <w:iCs/>
                <w:color w:val="000000"/>
                <w:sz w:val="20"/>
                <w:szCs w:val="20"/>
                <w:lang w:eastAsia="pt-BR"/>
              </w:rPr>
              <w:t>c</w:t>
            </w:r>
            <w:r w:rsidRPr="00A247B1">
              <w:rPr>
                <w:iCs/>
                <w:color w:val="000000"/>
                <w:sz w:val="20"/>
                <w:szCs w:val="20"/>
                <w:lang w:eastAsia="pt-BR"/>
              </w:rPr>
              <w:t>ontrols</w:t>
            </w:r>
          </w:p>
        </w:tc>
        <w:tc>
          <w:tcPr>
            <w:tcW w:w="1984" w:type="dxa"/>
          </w:tcPr>
          <w:p w:rsidR="0005626A" w:rsidRPr="00A247B1" w:rsidRDefault="0005626A" w:rsidP="00785128">
            <w:pPr>
              <w:keepNext/>
              <w:keepLines/>
              <w:jc w:val="center"/>
              <w:rPr>
                <w:sz w:val="20"/>
                <w:szCs w:val="20"/>
                <w:lang w:val="en-US"/>
              </w:rPr>
            </w:pPr>
            <w:r w:rsidRPr="00A247B1">
              <w:rPr>
                <w:sz w:val="20"/>
                <w:szCs w:val="20"/>
                <w:lang w:val="en-US"/>
              </w:rPr>
              <w:t>Yes</w:t>
            </w:r>
          </w:p>
        </w:tc>
        <w:tc>
          <w:tcPr>
            <w:tcW w:w="2633" w:type="dxa"/>
            <w:tcBorders>
              <w:left w:val="nil"/>
            </w:tcBorders>
            <w:vAlign w:val="bottom"/>
          </w:tcPr>
          <w:p w:rsidR="0005626A" w:rsidRPr="00A247B1" w:rsidRDefault="003B0C28" w:rsidP="00785128">
            <w:pPr>
              <w:keepNext/>
              <w:keepLines/>
              <w:jc w:val="center"/>
              <w:rPr>
                <w:color w:val="000000"/>
                <w:sz w:val="20"/>
                <w:szCs w:val="20"/>
                <w:lang w:eastAsia="pt-BR"/>
              </w:rPr>
            </w:pPr>
            <w:r w:rsidRPr="00A247B1">
              <w:rPr>
                <w:color w:val="000000"/>
                <w:sz w:val="20"/>
                <w:szCs w:val="20"/>
                <w:lang w:eastAsia="pt-BR"/>
              </w:rPr>
              <w:t>Yes</w:t>
            </w:r>
          </w:p>
        </w:tc>
      </w:tr>
      <w:tr w:rsidR="0005626A" w:rsidRPr="00A247B1" w:rsidTr="006D0014">
        <w:trPr>
          <w:jc w:val="center"/>
        </w:trPr>
        <w:tc>
          <w:tcPr>
            <w:tcW w:w="4361" w:type="dxa"/>
            <w:vAlign w:val="center"/>
          </w:tcPr>
          <w:p w:rsidR="0005626A" w:rsidRPr="00A247B1" w:rsidRDefault="0005626A" w:rsidP="00785128">
            <w:pPr>
              <w:keepNext/>
              <w:keepLines/>
              <w:rPr>
                <w:bCs/>
                <w:i/>
                <w:color w:val="000000"/>
                <w:sz w:val="20"/>
                <w:szCs w:val="20"/>
                <w:lang w:eastAsia="pt-BR"/>
              </w:rPr>
            </w:pPr>
            <w:r w:rsidRPr="00A247B1">
              <w:rPr>
                <w:bCs/>
                <w:i/>
                <w:color w:val="000000"/>
                <w:sz w:val="20"/>
                <w:szCs w:val="20"/>
                <w:lang w:eastAsia="pt-BR"/>
              </w:rPr>
              <w:t>R</w:t>
            </w:r>
            <w:r w:rsidRPr="00A247B1">
              <w:rPr>
                <w:bCs/>
                <w:i/>
                <w:color w:val="000000"/>
                <w:sz w:val="20"/>
                <w:szCs w:val="20"/>
                <w:vertAlign w:val="superscript"/>
                <w:lang w:eastAsia="pt-BR"/>
              </w:rPr>
              <w:t>2</w:t>
            </w:r>
          </w:p>
        </w:tc>
        <w:tc>
          <w:tcPr>
            <w:tcW w:w="1984" w:type="dxa"/>
          </w:tcPr>
          <w:p w:rsidR="0005626A" w:rsidRPr="00A247B1" w:rsidRDefault="0005626A" w:rsidP="00785128">
            <w:pPr>
              <w:keepNext/>
              <w:keepLines/>
              <w:jc w:val="center"/>
              <w:rPr>
                <w:sz w:val="20"/>
                <w:szCs w:val="20"/>
                <w:lang w:val="en-US"/>
              </w:rPr>
            </w:pPr>
            <w:r w:rsidRPr="00A247B1">
              <w:rPr>
                <w:sz w:val="20"/>
                <w:szCs w:val="20"/>
                <w:lang w:val="en-US"/>
              </w:rPr>
              <w:t>0.23</w:t>
            </w:r>
          </w:p>
        </w:tc>
        <w:tc>
          <w:tcPr>
            <w:tcW w:w="2633" w:type="dxa"/>
            <w:tcBorders>
              <w:left w:val="nil"/>
            </w:tcBorders>
            <w:vAlign w:val="bottom"/>
          </w:tcPr>
          <w:p w:rsidR="0005626A" w:rsidRPr="00A247B1" w:rsidRDefault="003B0C28" w:rsidP="00785128">
            <w:pPr>
              <w:keepNext/>
              <w:keepLines/>
              <w:jc w:val="center"/>
              <w:rPr>
                <w:color w:val="000000"/>
                <w:sz w:val="20"/>
                <w:szCs w:val="20"/>
                <w:lang w:eastAsia="pt-BR"/>
              </w:rPr>
            </w:pPr>
            <w:r w:rsidRPr="00A247B1">
              <w:rPr>
                <w:color w:val="000000"/>
                <w:sz w:val="20"/>
                <w:szCs w:val="20"/>
                <w:lang w:eastAsia="pt-BR"/>
              </w:rPr>
              <w:t>0.24</w:t>
            </w:r>
          </w:p>
        </w:tc>
      </w:tr>
      <w:tr w:rsidR="00E10609" w:rsidRPr="00A247B1" w:rsidTr="006D0014">
        <w:trPr>
          <w:jc w:val="center"/>
        </w:trPr>
        <w:tc>
          <w:tcPr>
            <w:tcW w:w="4361" w:type="dxa"/>
            <w:tcBorders>
              <w:bottom w:val="single" w:sz="4" w:space="0" w:color="auto"/>
            </w:tcBorders>
            <w:vAlign w:val="center"/>
          </w:tcPr>
          <w:p w:rsidR="00E10609" w:rsidRPr="00A247B1" w:rsidRDefault="00E10609" w:rsidP="00785128">
            <w:pPr>
              <w:keepNext/>
              <w:keepLines/>
              <w:rPr>
                <w:bCs/>
                <w:color w:val="000000"/>
                <w:sz w:val="20"/>
                <w:szCs w:val="20"/>
                <w:lang w:eastAsia="pt-BR"/>
              </w:rPr>
            </w:pPr>
            <w:r w:rsidRPr="00A247B1">
              <w:rPr>
                <w:bCs/>
                <w:color w:val="000000"/>
                <w:sz w:val="20"/>
                <w:szCs w:val="20"/>
                <w:lang w:eastAsia="pt-BR"/>
              </w:rPr>
              <w:t>Nº of observations</w:t>
            </w:r>
          </w:p>
        </w:tc>
        <w:tc>
          <w:tcPr>
            <w:tcW w:w="4617" w:type="dxa"/>
            <w:gridSpan w:val="2"/>
            <w:tcBorders>
              <w:bottom w:val="single" w:sz="4" w:space="0" w:color="auto"/>
            </w:tcBorders>
          </w:tcPr>
          <w:p w:rsidR="00E10609" w:rsidRPr="00A247B1" w:rsidRDefault="00E10609" w:rsidP="00785128">
            <w:pPr>
              <w:keepNext/>
              <w:keepLines/>
              <w:jc w:val="center"/>
              <w:rPr>
                <w:color w:val="000000"/>
                <w:sz w:val="20"/>
                <w:szCs w:val="20"/>
                <w:lang w:eastAsia="pt-BR"/>
              </w:rPr>
            </w:pPr>
            <w:r w:rsidRPr="00A247B1">
              <w:rPr>
                <w:sz w:val="20"/>
                <w:szCs w:val="20"/>
                <w:lang w:val="en-US"/>
              </w:rPr>
              <w:t>599,103</w:t>
            </w:r>
          </w:p>
        </w:tc>
      </w:tr>
      <w:tr w:rsidR="00A7720F" w:rsidRPr="00A247B1" w:rsidTr="006D0014">
        <w:trPr>
          <w:jc w:val="center"/>
        </w:trPr>
        <w:tc>
          <w:tcPr>
            <w:tcW w:w="4361" w:type="dxa"/>
            <w:tcBorders>
              <w:top w:val="single" w:sz="4" w:space="0" w:color="auto"/>
              <w:bottom w:val="single" w:sz="4" w:space="0" w:color="auto"/>
            </w:tcBorders>
            <w:vAlign w:val="center"/>
          </w:tcPr>
          <w:p w:rsidR="00A7720F" w:rsidRPr="00A247B1" w:rsidRDefault="00A7720F" w:rsidP="00785128">
            <w:pPr>
              <w:keepNext/>
              <w:keepLines/>
              <w:rPr>
                <w:color w:val="000000"/>
                <w:sz w:val="20"/>
                <w:szCs w:val="20"/>
                <w:lang w:eastAsia="pt-BR"/>
              </w:rPr>
            </w:pPr>
            <w:r w:rsidRPr="00A247B1">
              <w:rPr>
                <w:bCs/>
                <w:i/>
                <w:iCs/>
                <w:color w:val="000000"/>
                <w:sz w:val="20"/>
                <w:szCs w:val="20"/>
                <w:lang w:eastAsia="pt-BR"/>
              </w:rPr>
              <w:t>Model 3</w:t>
            </w:r>
          </w:p>
        </w:tc>
        <w:tc>
          <w:tcPr>
            <w:tcW w:w="1984" w:type="dxa"/>
            <w:tcBorders>
              <w:top w:val="single" w:sz="4" w:space="0" w:color="auto"/>
              <w:bottom w:val="single" w:sz="4" w:space="0" w:color="auto"/>
            </w:tcBorders>
            <w:vAlign w:val="bottom"/>
          </w:tcPr>
          <w:p w:rsidR="00A7720F" w:rsidRPr="00A247B1" w:rsidRDefault="00A7720F" w:rsidP="00785128">
            <w:pPr>
              <w:keepNext/>
              <w:keepLines/>
              <w:rPr>
                <w:color w:val="000000"/>
                <w:sz w:val="20"/>
                <w:szCs w:val="20"/>
                <w:lang w:eastAsia="pt-BR"/>
              </w:rPr>
            </w:pPr>
          </w:p>
        </w:tc>
        <w:tc>
          <w:tcPr>
            <w:tcW w:w="2633" w:type="dxa"/>
            <w:tcBorders>
              <w:top w:val="single" w:sz="4" w:space="0" w:color="auto"/>
              <w:left w:val="nil"/>
              <w:bottom w:val="single" w:sz="4" w:space="0" w:color="auto"/>
            </w:tcBorders>
            <w:vAlign w:val="bottom"/>
          </w:tcPr>
          <w:p w:rsidR="00A7720F" w:rsidRPr="00A247B1" w:rsidRDefault="00A7720F" w:rsidP="00785128">
            <w:pPr>
              <w:keepNext/>
              <w:keepLines/>
              <w:rPr>
                <w:color w:val="000000"/>
                <w:sz w:val="20"/>
                <w:szCs w:val="20"/>
                <w:lang w:eastAsia="pt-BR"/>
              </w:rPr>
            </w:pPr>
          </w:p>
        </w:tc>
      </w:tr>
      <w:tr w:rsidR="003B0C28" w:rsidRPr="00A247B1" w:rsidTr="006D0014">
        <w:trPr>
          <w:jc w:val="center"/>
        </w:trPr>
        <w:tc>
          <w:tcPr>
            <w:tcW w:w="4361" w:type="dxa"/>
            <w:tcBorders>
              <w:top w:val="single" w:sz="4" w:space="0" w:color="auto"/>
            </w:tcBorders>
            <w:vAlign w:val="center"/>
          </w:tcPr>
          <w:p w:rsidR="003B0C28"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3B0C28" w:rsidRPr="00A247B1">
              <w:rPr>
                <w:color w:val="000000"/>
                <w:sz w:val="20"/>
                <w:szCs w:val="20"/>
                <w:lang w:eastAsia="pt-BR"/>
              </w:rPr>
              <w:t>1</w:t>
            </w:r>
            <w:r w:rsidR="003B0C28" w:rsidRPr="00A247B1">
              <w:rPr>
                <w:color w:val="000000"/>
                <w:sz w:val="20"/>
                <w:szCs w:val="20"/>
                <w:vertAlign w:val="superscript"/>
                <w:lang w:eastAsia="pt-BR"/>
              </w:rPr>
              <w:t>st</w:t>
            </w:r>
            <w:r w:rsidR="003B0C28" w:rsidRPr="00A247B1">
              <w:rPr>
                <w:color w:val="000000"/>
                <w:sz w:val="20"/>
                <w:szCs w:val="20"/>
                <w:lang w:eastAsia="pt-BR"/>
              </w:rPr>
              <w:t xml:space="preserve"> quarter</w:t>
            </w:r>
            <w:r w:rsidRPr="00A247B1">
              <w:rPr>
                <w:color w:val="000000"/>
                <w:sz w:val="20"/>
                <w:szCs w:val="20"/>
                <w:lang w:eastAsia="pt-BR"/>
              </w:rPr>
              <w:t xml:space="preserve"> </w:t>
            </w:r>
            <w:r w:rsidRPr="00A247B1">
              <w:rPr>
                <w:i/>
                <w:color w:val="000000"/>
                <w:sz w:val="20"/>
                <w:szCs w:val="20"/>
                <w:lang w:eastAsia="pt-BR"/>
              </w:rPr>
              <w:t>(dummy)</w:t>
            </w:r>
          </w:p>
        </w:tc>
        <w:tc>
          <w:tcPr>
            <w:tcW w:w="1984" w:type="dxa"/>
            <w:tcBorders>
              <w:top w:val="single" w:sz="4" w:space="0" w:color="auto"/>
            </w:tcBorders>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1.57</w:t>
            </w:r>
          </w:p>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(0.24)</w:t>
            </w:r>
          </w:p>
        </w:tc>
        <w:tc>
          <w:tcPr>
            <w:tcW w:w="2633" w:type="dxa"/>
            <w:tcBorders>
              <w:top w:val="single" w:sz="4" w:space="0" w:color="auto"/>
              <w:left w:val="nil"/>
            </w:tcBorders>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1.29</w:t>
            </w:r>
          </w:p>
          <w:p w:rsidR="000A45B3" w:rsidRPr="00A247B1" w:rsidRDefault="000A45B3" w:rsidP="00785128">
            <w:pPr>
              <w:keepNext/>
              <w:keepLines/>
              <w:jc w:val="center"/>
              <w:rPr>
                <w:color w:val="000000"/>
                <w:sz w:val="20"/>
                <w:szCs w:val="20"/>
                <w:lang w:eastAsia="pt-BR"/>
              </w:rPr>
            </w:pPr>
            <w:r w:rsidRPr="00A247B1">
              <w:rPr>
                <w:color w:val="000000"/>
                <w:sz w:val="20"/>
                <w:szCs w:val="20"/>
                <w:lang w:eastAsia="pt-BR"/>
              </w:rPr>
              <w:t>(0.23)</w:t>
            </w:r>
          </w:p>
        </w:tc>
      </w:tr>
      <w:tr w:rsidR="003B0C28" w:rsidRPr="00A247B1" w:rsidTr="006D0014">
        <w:trPr>
          <w:jc w:val="center"/>
        </w:trPr>
        <w:tc>
          <w:tcPr>
            <w:tcW w:w="4361" w:type="dxa"/>
            <w:vAlign w:val="center"/>
          </w:tcPr>
          <w:p w:rsidR="003B0C28"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3B0C28" w:rsidRPr="00A247B1">
              <w:rPr>
                <w:color w:val="000000"/>
                <w:sz w:val="20"/>
                <w:szCs w:val="20"/>
                <w:lang w:eastAsia="pt-BR"/>
              </w:rPr>
              <w:t>2</w:t>
            </w:r>
            <w:r w:rsidR="003B0C28" w:rsidRPr="00A247B1">
              <w:rPr>
                <w:color w:val="000000"/>
                <w:sz w:val="20"/>
                <w:szCs w:val="20"/>
                <w:vertAlign w:val="superscript"/>
                <w:lang w:eastAsia="pt-BR"/>
              </w:rPr>
              <w:t>nd</w:t>
            </w:r>
            <w:r w:rsidR="003B0C28" w:rsidRPr="00A247B1">
              <w:rPr>
                <w:color w:val="000000"/>
                <w:sz w:val="20"/>
                <w:szCs w:val="20"/>
                <w:lang w:eastAsia="pt-BR"/>
              </w:rPr>
              <w:t xml:space="preserve"> quarter</w:t>
            </w:r>
            <w:r w:rsidRPr="00A247B1">
              <w:rPr>
                <w:color w:val="000000"/>
                <w:sz w:val="20"/>
                <w:szCs w:val="20"/>
                <w:lang w:eastAsia="pt-BR"/>
              </w:rPr>
              <w:t xml:space="preserve"> </w:t>
            </w:r>
            <w:r w:rsidRPr="00A247B1">
              <w:rPr>
                <w:i/>
                <w:color w:val="000000"/>
                <w:sz w:val="20"/>
                <w:szCs w:val="20"/>
                <w:lang w:eastAsia="pt-BR"/>
              </w:rPr>
              <w:t>(dummy)</w:t>
            </w:r>
          </w:p>
        </w:tc>
        <w:tc>
          <w:tcPr>
            <w:tcW w:w="1984" w:type="dxa"/>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2.41</w:t>
            </w:r>
          </w:p>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(0.24)</w:t>
            </w:r>
          </w:p>
        </w:tc>
        <w:tc>
          <w:tcPr>
            <w:tcW w:w="2633" w:type="dxa"/>
            <w:tcBorders>
              <w:left w:val="nil"/>
            </w:tcBorders>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2.01</w:t>
            </w:r>
          </w:p>
          <w:p w:rsidR="000A45B3" w:rsidRPr="00A247B1" w:rsidRDefault="000A45B3" w:rsidP="00785128">
            <w:pPr>
              <w:keepNext/>
              <w:keepLines/>
              <w:jc w:val="center"/>
              <w:rPr>
                <w:color w:val="000000"/>
                <w:sz w:val="20"/>
                <w:szCs w:val="20"/>
                <w:lang w:eastAsia="pt-BR"/>
              </w:rPr>
            </w:pPr>
            <w:r w:rsidRPr="00A247B1">
              <w:rPr>
                <w:color w:val="000000"/>
                <w:sz w:val="20"/>
                <w:szCs w:val="20"/>
                <w:lang w:eastAsia="pt-BR"/>
              </w:rPr>
              <w:t>(0.23)</w:t>
            </w:r>
          </w:p>
        </w:tc>
      </w:tr>
      <w:tr w:rsidR="003B0C28" w:rsidRPr="00A247B1" w:rsidTr="006D0014">
        <w:trPr>
          <w:jc w:val="center"/>
        </w:trPr>
        <w:tc>
          <w:tcPr>
            <w:tcW w:w="4361" w:type="dxa"/>
            <w:vAlign w:val="center"/>
          </w:tcPr>
          <w:p w:rsidR="003B0C28"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3B0C28" w:rsidRPr="00A247B1">
              <w:rPr>
                <w:color w:val="000000"/>
                <w:sz w:val="20"/>
                <w:szCs w:val="20"/>
                <w:lang w:eastAsia="pt-BR"/>
              </w:rPr>
              <w:t>3</w:t>
            </w:r>
            <w:r w:rsidR="003B0C28" w:rsidRPr="00A247B1">
              <w:rPr>
                <w:color w:val="000000"/>
                <w:sz w:val="20"/>
                <w:szCs w:val="20"/>
                <w:vertAlign w:val="superscript"/>
                <w:lang w:eastAsia="pt-BR"/>
              </w:rPr>
              <w:t>rd</w:t>
            </w:r>
            <w:r w:rsidR="003B0C28" w:rsidRPr="00A247B1">
              <w:rPr>
                <w:color w:val="000000"/>
                <w:sz w:val="20"/>
                <w:szCs w:val="20"/>
                <w:lang w:eastAsia="pt-BR"/>
              </w:rPr>
              <w:t xml:space="preserve"> quarter</w:t>
            </w:r>
            <w:r w:rsidRPr="00A247B1">
              <w:rPr>
                <w:color w:val="000000"/>
                <w:sz w:val="20"/>
                <w:szCs w:val="20"/>
                <w:lang w:eastAsia="pt-BR"/>
              </w:rPr>
              <w:t xml:space="preserve"> </w:t>
            </w:r>
            <w:r w:rsidRPr="00A247B1">
              <w:rPr>
                <w:i/>
                <w:color w:val="000000"/>
                <w:sz w:val="20"/>
                <w:szCs w:val="20"/>
                <w:lang w:eastAsia="pt-BR"/>
              </w:rPr>
              <w:t>(dummy)</w:t>
            </w:r>
          </w:p>
        </w:tc>
        <w:tc>
          <w:tcPr>
            <w:tcW w:w="1984" w:type="dxa"/>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4.49</w:t>
            </w:r>
          </w:p>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(0.25)</w:t>
            </w:r>
          </w:p>
        </w:tc>
        <w:tc>
          <w:tcPr>
            <w:tcW w:w="2633" w:type="dxa"/>
            <w:tcBorders>
              <w:left w:val="nil"/>
            </w:tcBorders>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3.91</w:t>
            </w:r>
          </w:p>
          <w:p w:rsidR="000A45B3" w:rsidRPr="00A247B1" w:rsidRDefault="000A45B3" w:rsidP="00785128">
            <w:pPr>
              <w:keepNext/>
              <w:keepLines/>
              <w:jc w:val="center"/>
              <w:rPr>
                <w:color w:val="000000"/>
                <w:sz w:val="20"/>
                <w:szCs w:val="20"/>
                <w:lang w:eastAsia="pt-BR"/>
              </w:rPr>
            </w:pPr>
            <w:r w:rsidRPr="00A247B1">
              <w:rPr>
                <w:color w:val="000000"/>
                <w:sz w:val="20"/>
                <w:szCs w:val="20"/>
                <w:lang w:eastAsia="pt-BR"/>
              </w:rPr>
              <w:t>(0.24)</w:t>
            </w:r>
          </w:p>
        </w:tc>
      </w:tr>
      <w:tr w:rsidR="003B0C28" w:rsidRPr="00A247B1" w:rsidTr="006D0014">
        <w:trPr>
          <w:jc w:val="center"/>
        </w:trPr>
        <w:tc>
          <w:tcPr>
            <w:tcW w:w="4361" w:type="dxa"/>
            <w:vAlign w:val="center"/>
          </w:tcPr>
          <w:p w:rsidR="003B0C28" w:rsidRPr="00A247B1" w:rsidRDefault="00F50C79" w:rsidP="00785128">
            <w:pPr>
              <w:keepNext/>
              <w:keepLines/>
              <w:rPr>
                <w:color w:val="000000"/>
                <w:sz w:val="20"/>
                <w:szCs w:val="20"/>
                <w:lang w:eastAsia="pt-BR"/>
              </w:rPr>
            </w:pPr>
            <w:r w:rsidRPr="00A247B1">
              <w:rPr>
                <w:color w:val="000000"/>
                <w:sz w:val="20"/>
                <w:szCs w:val="20"/>
                <w:lang w:eastAsia="pt-BR"/>
              </w:rPr>
              <w:t xml:space="preserve">Born </w:t>
            </w:r>
            <w:r w:rsidR="003B0C28" w:rsidRPr="00A247B1">
              <w:rPr>
                <w:color w:val="000000"/>
                <w:sz w:val="20"/>
                <w:szCs w:val="20"/>
                <w:lang w:eastAsia="pt-BR"/>
              </w:rPr>
              <w:t>4</w:t>
            </w:r>
            <w:r w:rsidR="003B0C28" w:rsidRPr="00A247B1">
              <w:rPr>
                <w:color w:val="000000"/>
                <w:sz w:val="20"/>
                <w:szCs w:val="20"/>
                <w:vertAlign w:val="superscript"/>
                <w:lang w:eastAsia="pt-BR"/>
              </w:rPr>
              <w:t>th</w:t>
            </w:r>
            <w:r w:rsidR="003B0C28" w:rsidRPr="00A247B1">
              <w:rPr>
                <w:color w:val="000000"/>
                <w:sz w:val="20"/>
                <w:szCs w:val="20"/>
                <w:lang w:eastAsia="pt-BR"/>
              </w:rPr>
              <w:t xml:space="preserve"> quarter</w:t>
            </w:r>
            <w:r w:rsidRPr="00A247B1">
              <w:rPr>
                <w:color w:val="000000"/>
                <w:sz w:val="20"/>
                <w:szCs w:val="20"/>
                <w:lang w:eastAsia="pt-BR"/>
              </w:rPr>
              <w:t xml:space="preserve"> </w:t>
            </w:r>
            <w:r w:rsidRPr="00A247B1">
              <w:rPr>
                <w:i/>
                <w:color w:val="000000"/>
                <w:sz w:val="20"/>
                <w:szCs w:val="20"/>
                <w:lang w:eastAsia="pt-BR"/>
              </w:rPr>
              <w:t>(dummy, December is reference)</w:t>
            </w:r>
          </w:p>
        </w:tc>
        <w:tc>
          <w:tcPr>
            <w:tcW w:w="1984" w:type="dxa"/>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3.18</w:t>
            </w:r>
          </w:p>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(0.26)</w:t>
            </w:r>
          </w:p>
        </w:tc>
        <w:tc>
          <w:tcPr>
            <w:tcW w:w="2633" w:type="dxa"/>
            <w:tcBorders>
              <w:left w:val="nil"/>
            </w:tcBorders>
            <w:vAlign w:val="bottom"/>
          </w:tcPr>
          <w:p w:rsidR="003B0C28" w:rsidRPr="00A247B1" w:rsidRDefault="003B0C28" w:rsidP="00785128">
            <w:pPr>
              <w:keepNext/>
              <w:keepLines/>
              <w:jc w:val="center"/>
              <w:rPr>
                <w:color w:val="000000"/>
                <w:sz w:val="20"/>
                <w:szCs w:val="20"/>
                <w:lang w:eastAsia="pt-BR"/>
              </w:rPr>
            </w:pPr>
            <w:r w:rsidRPr="00A247B1">
              <w:rPr>
                <w:color w:val="000000"/>
                <w:sz w:val="20"/>
                <w:szCs w:val="20"/>
                <w:lang w:eastAsia="pt-BR"/>
              </w:rPr>
              <w:t>2.63</w:t>
            </w:r>
          </w:p>
          <w:p w:rsidR="000A45B3" w:rsidRPr="00A247B1" w:rsidRDefault="000A45B3" w:rsidP="00785128">
            <w:pPr>
              <w:keepNext/>
              <w:keepLines/>
              <w:jc w:val="center"/>
              <w:rPr>
                <w:color w:val="000000"/>
                <w:sz w:val="20"/>
                <w:szCs w:val="20"/>
                <w:lang w:eastAsia="pt-BR"/>
              </w:rPr>
            </w:pPr>
            <w:r w:rsidRPr="00A247B1">
              <w:rPr>
                <w:color w:val="000000"/>
                <w:sz w:val="20"/>
                <w:szCs w:val="20"/>
                <w:lang w:eastAsia="pt-BR"/>
              </w:rPr>
              <w:t>(0.25)</w:t>
            </w:r>
          </w:p>
        </w:tc>
      </w:tr>
      <w:tr w:rsidR="000A45B3" w:rsidRPr="00A247B1" w:rsidTr="006D0014">
        <w:trPr>
          <w:jc w:val="center"/>
        </w:trPr>
        <w:tc>
          <w:tcPr>
            <w:tcW w:w="4361" w:type="dxa"/>
            <w:vAlign w:val="center"/>
          </w:tcPr>
          <w:p w:rsidR="000A45B3" w:rsidRPr="00A247B1" w:rsidRDefault="001E4E0D" w:rsidP="00785128">
            <w:pPr>
              <w:keepNext/>
              <w:keepLines/>
              <w:rPr>
                <w:iCs/>
                <w:color w:val="000000"/>
                <w:sz w:val="20"/>
                <w:szCs w:val="20"/>
                <w:lang w:eastAsia="pt-BR"/>
              </w:rPr>
            </w:pPr>
            <w:r w:rsidRPr="00A247B1">
              <w:rPr>
                <w:iCs/>
                <w:color w:val="000000"/>
                <w:sz w:val="20"/>
                <w:szCs w:val="20"/>
                <w:lang w:eastAsia="pt-BR"/>
              </w:rPr>
              <w:t>Additional c</w:t>
            </w:r>
            <w:r w:rsidR="000A45B3" w:rsidRPr="00A247B1">
              <w:rPr>
                <w:iCs/>
                <w:color w:val="000000"/>
                <w:sz w:val="20"/>
                <w:szCs w:val="20"/>
                <w:lang w:eastAsia="pt-BR"/>
              </w:rPr>
              <w:t>ontrols</w:t>
            </w:r>
          </w:p>
        </w:tc>
        <w:tc>
          <w:tcPr>
            <w:tcW w:w="1984" w:type="dxa"/>
          </w:tcPr>
          <w:p w:rsidR="000A45B3" w:rsidRPr="00A247B1" w:rsidRDefault="000A45B3" w:rsidP="00785128">
            <w:pPr>
              <w:keepNext/>
              <w:keepLines/>
              <w:jc w:val="center"/>
              <w:rPr>
                <w:sz w:val="20"/>
                <w:szCs w:val="20"/>
                <w:lang w:val="en-US"/>
              </w:rPr>
            </w:pPr>
            <w:r w:rsidRPr="00A247B1">
              <w:rPr>
                <w:sz w:val="20"/>
                <w:szCs w:val="20"/>
                <w:lang w:val="en-US"/>
              </w:rPr>
              <w:t>Yes</w:t>
            </w:r>
          </w:p>
        </w:tc>
        <w:tc>
          <w:tcPr>
            <w:tcW w:w="2633" w:type="dxa"/>
            <w:tcBorders>
              <w:left w:val="nil"/>
            </w:tcBorders>
            <w:vAlign w:val="bottom"/>
          </w:tcPr>
          <w:p w:rsidR="000A45B3" w:rsidRPr="00A247B1" w:rsidRDefault="000A45B3" w:rsidP="00785128">
            <w:pPr>
              <w:keepNext/>
              <w:keepLines/>
              <w:jc w:val="center"/>
              <w:rPr>
                <w:color w:val="000000"/>
                <w:sz w:val="20"/>
                <w:szCs w:val="20"/>
                <w:lang w:eastAsia="pt-BR"/>
              </w:rPr>
            </w:pPr>
            <w:r w:rsidRPr="00A247B1">
              <w:rPr>
                <w:color w:val="000000"/>
                <w:sz w:val="20"/>
                <w:szCs w:val="20"/>
                <w:lang w:eastAsia="pt-BR"/>
              </w:rPr>
              <w:t>Yes</w:t>
            </w:r>
          </w:p>
        </w:tc>
      </w:tr>
      <w:tr w:rsidR="000A45B3" w:rsidRPr="00A247B1" w:rsidTr="006D0014">
        <w:trPr>
          <w:jc w:val="center"/>
        </w:trPr>
        <w:tc>
          <w:tcPr>
            <w:tcW w:w="4361" w:type="dxa"/>
            <w:vAlign w:val="center"/>
          </w:tcPr>
          <w:p w:rsidR="000A45B3" w:rsidRPr="00A247B1" w:rsidRDefault="000A45B3" w:rsidP="00785128">
            <w:pPr>
              <w:keepNext/>
              <w:keepLines/>
              <w:rPr>
                <w:bCs/>
                <w:i/>
                <w:color w:val="000000"/>
                <w:sz w:val="20"/>
                <w:szCs w:val="20"/>
                <w:lang w:eastAsia="pt-BR"/>
              </w:rPr>
            </w:pPr>
            <w:r w:rsidRPr="00A247B1">
              <w:rPr>
                <w:bCs/>
                <w:i/>
                <w:color w:val="000000"/>
                <w:sz w:val="20"/>
                <w:szCs w:val="20"/>
                <w:lang w:eastAsia="pt-BR"/>
              </w:rPr>
              <w:t>R</w:t>
            </w:r>
            <w:r w:rsidRPr="00A247B1">
              <w:rPr>
                <w:bCs/>
                <w:i/>
                <w:color w:val="000000"/>
                <w:sz w:val="20"/>
                <w:szCs w:val="20"/>
                <w:vertAlign w:val="superscript"/>
                <w:lang w:eastAsia="pt-BR"/>
              </w:rPr>
              <w:t>2</w:t>
            </w:r>
          </w:p>
        </w:tc>
        <w:tc>
          <w:tcPr>
            <w:tcW w:w="1984" w:type="dxa"/>
          </w:tcPr>
          <w:p w:rsidR="000A45B3" w:rsidRPr="00A247B1" w:rsidRDefault="000A45B3" w:rsidP="00785128">
            <w:pPr>
              <w:keepNext/>
              <w:keepLines/>
              <w:jc w:val="center"/>
              <w:rPr>
                <w:sz w:val="20"/>
                <w:szCs w:val="20"/>
                <w:lang w:val="en-US"/>
              </w:rPr>
            </w:pPr>
            <w:r w:rsidRPr="00A247B1">
              <w:rPr>
                <w:sz w:val="20"/>
                <w:szCs w:val="20"/>
                <w:lang w:val="en-US"/>
              </w:rPr>
              <w:t>0.23</w:t>
            </w:r>
          </w:p>
        </w:tc>
        <w:tc>
          <w:tcPr>
            <w:tcW w:w="2633" w:type="dxa"/>
            <w:tcBorders>
              <w:left w:val="nil"/>
            </w:tcBorders>
            <w:vAlign w:val="bottom"/>
          </w:tcPr>
          <w:p w:rsidR="000A45B3" w:rsidRPr="00A247B1" w:rsidRDefault="000A45B3" w:rsidP="00785128">
            <w:pPr>
              <w:keepNext/>
              <w:keepLines/>
              <w:jc w:val="center"/>
              <w:rPr>
                <w:color w:val="000000"/>
                <w:sz w:val="20"/>
                <w:szCs w:val="20"/>
                <w:lang w:eastAsia="pt-BR"/>
              </w:rPr>
            </w:pPr>
            <w:r w:rsidRPr="00A247B1">
              <w:rPr>
                <w:color w:val="000000"/>
                <w:sz w:val="20"/>
                <w:szCs w:val="20"/>
                <w:lang w:eastAsia="pt-BR"/>
              </w:rPr>
              <w:t>0.24</w:t>
            </w:r>
          </w:p>
        </w:tc>
      </w:tr>
      <w:tr w:rsidR="00E10609" w:rsidRPr="00A247B1" w:rsidTr="006D0014">
        <w:trPr>
          <w:jc w:val="center"/>
        </w:trPr>
        <w:tc>
          <w:tcPr>
            <w:tcW w:w="4361" w:type="dxa"/>
            <w:tcBorders>
              <w:bottom w:val="single" w:sz="4" w:space="0" w:color="auto"/>
            </w:tcBorders>
            <w:vAlign w:val="center"/>
          </w:tcPr>
          <w:p w:rsidR="00E10609" w:rsidRPr="00A247B1" w:rsidRDefault="00E10609" w:rsidP="00785128">
            <w:pPr>
              <w:keepNext/>
              <w:keepLines/>
              <w:rPr>
                <w:sz w:val="20"/>
                <w:szCs w:val="20"/>
                <w:lang w:val="en-US"/>
              </w:rPr>
            </w:pPr>
            <w:r w:rsidRPr="00A247B1">
              <w:rPr>
                <w:bCs/>
                <w:color w:val="000000"/>
                <w:sz w:val="20"/>
                <w:szCs w:val="20"/>
                <w:lang w:eastAsia="pt-BR"/>
              </w:rPr>
              <w:t>Nº of observations</w:t>
            </w:r>
          </w:p>
        </w:tc>
        <w:tc>
          <w:tcPr>
            <w:tcW w:w="4617" w:type="dxa"/>
            <w:gridSpan w:val="2"/>
            <w:tcBorders>
              <w:bottom w:val="single" w:sz="4" w:space="0" w:color="auto"/>
            </w:tcBorders>
          </w:tcPr>
          <w:p w:rsidR="00E10609" w:rsidRPr="00A247B1" w:rsidRDefault="00E10609" w:rsidP="00785128">
            <w:pPr>
              <w:keepNext/>
              <w:keepLines/>
              <w:jc w:val="center"/>
              <w:rPr>
                <w:color w:val="000000"/>
                <w:sz w:val="20"/>
                <w:szCs w:val="20"/>
                <w:lang w:eastAsia="pt-BR"/>
              </w:rPr>
            </w:pPr>
            <w:r w:rsidRPr="00A247B1">
              <w:rPr>
                <w:sz w:val="20"/>
                <w:szCs w:val="20"/>
                <w:lang w:val="en-US"/>
              </w:rPr>
              <w:t>599,103</w:t>
            </w:r>
          </w:p>
        </w:tc>
      </w:tr>
      <w:tr w:rsidR="00B60153" w:rsidRPr="00A247B1" w:rsidTr="006D0014">
        <w:trPr>
          <w:jc w:val="center"/>
        </w:trPr>
        <w:tc>
          <w:tcPr>
            <w:tcW w:w="8978" w:type="dxa"/>
            <w:gridSpan w:val="3"/>
            <w:tcBorders>
              <w:top w:val="single" w:sz="4" w:space="0" w:color="auto"/>
            </w:tcBorders>
          </w:tcPr>
          <w:p w:rsidR="00B60153" w:rsidRPr="00A247B1" w:rsidRDefault="007D3666" w:rsidP="00785128">
            <w:pPr>
              <w:keepNext/>
              <w:keepLines/>
              <w:rPr>
                <w:color w:val="000000"/>
                <w:sz w:val="20"/>
                <w:szCs w:val="20"/>
                <w:lang w:eastAsia="pt-BR"/>
              </w:rPr>
            </w:pPr>
            <w:r>
              <w:rPr>
                <w:sz w:val="20"/>
                <w:szCs w:val="20"/>
                <w:lang w:val="en-US"/>
              </w:rPr>
              <w:t>Source:</w:t>
            </w:r>
            <w:r w:rsidRPr="007D3666">
              <w:rPr>
                <w:sz w:val="20"/>
                <w:szCs w:val="20"/>
                <w:lang w:val="en-US"/>
              </w:rPr>
              <w:t xml:space="preserve"> Original compilation based on </w:t>
            </w:r>
            <w:r w:rsidRPr="007D3666">
              <w:rPr>
                <w:bCs/>
                <w:sz w:val="20"/>
                <w:szCs w:val="20"/>
                <w:lang w:val="en-US"/>
              </w:rPr>
              <w:t xml:space="preserve">MEC/ </w:t>
            </w:r>
            <w:proofErr w:type="spellStart"/>
            <w:r w:rsidRPr="007D3666">
              <w:rPr>
                <w:bCs/>
                <w:sz w:val="20"/>
                <w:szCs w:val="20"/>
                <w:lang w:val="en-US"/>
              </w:rPr>
              <w:t>Inep</w:t>
            </w:r>
            <w:proofErr w:type="spellEnd"/>
            <w:r w:rsidRPr="007D3666">
              <w:rPr>
                <w:bCs/>
                <w:sz w:val="20"/>
                <w:szCs w:val="20"/>
                <w:lang w:val="en-US"/>
              </w:rPr>
              <w:t xml:space="preserve"> (2013).</w:t>
            </w:r>
          </w:p>
        </w:tc>
      </w:tr>
      <w:tr w:rsidR="00B60153" w:rsidRPr="00A247B1" w:rsidTr="006D0014">
        <w:trPr>
          <w:jc w:val="center"/>
        </w:trPr>
        <w:tc>
          <w:tcPr>
            <w:tcW w:w="8978" w:type="dxa"/>
            <w:gridSpan w:val="3"/>
          </w:tcPr>
          <w:p w:rsidR="00B60153" w:rsidRPr="00A247B1" w:rsidRDefault="00B60153" w:rsidP="000F75CB">
            <w:pPr>
              <w:keepNext/>
              <w:keepLines/>
              <w:rPr>
                <w:sz w:val="20"/>
                <w:szCs w:val="20"/>
                <w:lang w:val="en-US"/>
              </w:rPr>
            </w:pPr>
            <w:r w:rsidRPr="00A247B1">
              <w:rPr>
                <w:sz w:val="20"/>
                <w:szCs w:val="20"/>
                <w:lang w:val="en-US"/>
              </w:rPr>
              <w:t xml:space="preserve">* Additional controls include </w:t>
            </w:r>
            <w:r w:rsidR="00A7720F" w:rsidRPr="00A247B1">
              <w:rPr>
                <w:sz w:val="20"/>
                <w:szCs w:val="20"/>
                <w:lang w:val="en-US"/>
              </w:rPr>
              <w:t>proportions of 4</w:t>
            </w:r>
            <w:r w:rsidR="00A7720F" w:rsidRPr="00A247B1">
              <w:rPr>
                <w:sz w:val="20"/>
                <w:szCs w:val="20"/>
                <w:vertAlign w:val="superscript"/>
                <w:lang w:val="en-US"/>
              </w:rPr>
              <w:t>th</w:t>
            </w:r>
            <w:r w:rsidR="00A7720F" w:rsidRPr="00A247B1">
              <w:rPr>
                <w:sz w:val="20"/>
                <w:szCs w:val="20"/>
                <w:lang w:val="en-US"/>
              </w:rPr>
              <w:t xml:space="preserve"> graders at school </w:t>
            </w:r>
            <w:r w:rsidR="00A7720F" w:rsidRPr="00A247B1">
              <w:rPr>
                <w:i/>
                <w:sz w:val="20"/>
                <w:szCs w:val="20"/>
                <w:lang w:val="en-US"/>
              </w:rPr>
              <w:t>j</w:t>
            </w:r>
            <w:r w:rsidR="00A7720F" w:rsidRPr="00A247B1">
              <w:rPr>
                <w:sz w:val="20"/>
                <w:szCs w:val="20"/>
                <w:lang w:val="en-US"/>
              </w:rPr>
              <w:t xml:space="preserve"> born according to the period of the year considered in each model, </w:t>
            </w:r>
            <w:r w:rsidRPr="00A247B1">
              <w:rPr>
                <w:sz w:val="20"/>
                <w:szCs w:val="20"/>
                <w:lang w:val="en-US"/>
              </w:rPr>
              <w:t xml:space="preserve">student </w:t>
            </w:r>
            <w:proofErr w:type="spellStart"/>
            <w:r w:rsidRPr="00A247B1">
              <w:rPr>
                <w:i/>
                <w:sz w:val="20"/>
                <w:szCs w:val="20"/>
                <w:lang w:val="en-US"/>
              </w:rPr>
              <w:t>i</w:t>
            </w:r>
            <w:proofErr w:type="spellEnd"/>
            <w:r w:rsidRPr="00A247B1">
              <w:rPr>
                <w:sz w:val="20"/>
                <w:szCs w:val="20"/>
                <w:lang w:val="en-US"/>
              </w:rPr>
              <w:t xml:space="preserve"> (</w:t>
            </w:r>
            <w:proofErr w:type="spellStart"/>
            <w:r w:rsidRPr="00A247B1">
              <w:rPr>
                <w:i/>
                <w:sz w:val="20"/>
                <w:szCs w:val="20"/>
                <w:lang w:val="en-US"/>
              </w:rPr>
              <w:t>X</w:t>
            </w:r>
            <w:r w:rsidRPr="00A247B1">
              <w:rPr>
                <w:i/>
                <w:sz w:val="20"/>
                <w:szCs w:val="20"/>
                <w:vertAlign w:val="subscript"/>
                <w:lang w:val="en-US"/>
              </w:rPr>
              <w:t>i,j</w:t>
            </w:r>
            <w:proofErr w:type="spellEnd"/>
            <w:r w:rsidRPr="00A247B1">
              <w:rPr>
                <w:sz w:val="20"/>
                <w:szCs w:val="20"/>
                <w:lang w:val="en-US"/>
              </w:rPr>
              <w:t xml:space="preserve">) and school </w:t>
            </w:r>
            <w:r w:rsidRPr="00A247B1">
              <w:rPr>
                <w:i/>
                <w:sz w:val="20"/>
                <w:szCs w:val="20"/>
                <w:lang w:val="en-US"/>
              </w:rPr>
              <w:t>j</w:t>
            </w:r>
            <w:r w:rsidRPr="00A247B1">
              <w:rPr>
                <w:sz w:val="20"/>
                <w:szCs w:val="20"/>
                <w:lang w:val="en-US"/>
              </w:rPr>
              <w:t xml:space="preserve"> (</w:t>
            </w:r>
            <w:proofErr w:type="spellStart"/>
            <w:r w:rsidRPr="00A247B1">
              <w:rPr>
                <w:i/>
                <w:sz w:val="20"/>
                <w:szCs w:val="20"/>
                <w:lang w:val="en-US"/>
              </w:rPr>
              <w:t>W</w:t>
            </w:r>
            <w:r w:rsidRPr="00A247B1">
              <w:rPr>
                <w:i/>
                <w:sz w:val="20"/>
                <w:szCs w:val="20"/>
                <w:vertAlign w:val="subscript"/>
                <w:lang w:val="en-US"/>
              </w:rPr>
              <w:t>j</w:t>
            </w:r>
            <w:proofErr w:type="spellEnd"/>
            <w:r w:rsidRPr="00A247B1">
              <w:rPr>
                <w:sz w:val="20"/>
                <w:szCs w:val="20"/>
                <w:lang w:val="en-US"/>
              </w:rPr>
              <w:t xml:space="preserve">) characteristics described in </w:t>
            </w:r>
            <w:r w:rsidRPr="000F75CB">
              <w:rPr>
                <w:sz w:val="20"/>
                <w:szCs w:val="20"/>
                <w:lang w:val="en-US"/>
              </w:rPr>
              <w:t xml:space="preserve">Table </w:t>
            </w:r>
            <w:r w:rsidR="000F75CB" w:rsidRPr="000F75CB">
              <w:rPr>
                <w:sz w:val="20"/>
                <w:szCs w:val="20"/>
                <w:lang w:val="en-US"/>
              </w:rPr>
              <w:t>1</w:t>
            </w:r>
            <w:r w:rsidR="00A7720F" w:rsidRPr="00A247B1">
              <w:rPr>
                <w:sz w:val="20"/>
                <w:szCs w:val="20"/>
                <w:lang w:val="en-US"/>
              </w:rPr>
              <w:t>, as well as, S</w:t>
            </w:r>
            <w:r w:rsidRPr="00A247B1">
              <w:rPr>
                <w:sz w:val="20"/>
                <w:szCs w:val="20"/>
                <w:lang w:val="en-US"/>
              </w:rPr>
              <w:t>tate dummies.</w:t>
            </w:r>
          </w:p>
        </w:tc>
      </w:tr>
    </w:tbl>
    <w:p w:rsidR="00864F44" w:rsidRDefault="00864F44" w:rsidP="00785128">
      <w:pPr>
        <w:jc w:val="both"/>
        <w:rPr>
          <w:lang w:val="en-US"/>
        </w:rPr>
      </w:pPr>
    </w:p>
    <w:p w:rsidR="00737FD6" w:rsidRPr="003D7559" w:rsidRDefault="00737FD6" w:rsidP="00785128">
      <w:pPr>
        <w:jc w:val="both"/>
        <w:rPr>
          <w:lang w:val="en-US"/>
        </w:rPr>
      </w:pPr>
    </w:p>
    <w:p w:rsidR="00123880" w:rsidRDefault="008041B0" w:rsidP="00785128">
      <w:pPr>
        <w:jc w:val="both"/>
        <w:rPr>
          <w:b/>
          <w:bCs/>
        </w:rPr>
      </w:pPr>
      <w:r>
        <w:rPr>
          <w:b/>
          <w:bCs/>
        </w:rPr>
        <w:t>5</w:t>
      </w:r>
      <w:r w:rsidR="00123880">
        <w:rPr>
          <w:b/>
          <w:bCs/>
        </w:rPr>
        <w:t xml:space="preserve"> Results</w:t>
      </w:r>
    </w:p>
    <w:p w:rsidR="00AC5825" w:rsidRDefault="00AC5825" w:rsidP="00785128">
      <w:pPr>
        <w:jc w:val="both"/>
        <w:rPr>
          <w:b/>
          <w:bCs/>
        </w:rPr>
      </w:pPr>
    </w:p>
    <w:p w:rsidR="00AA56CE" w:rsidRDefault="003654B5" w:rsidP="00785128">
      <w:pPr>
        <w:jc w:val="both"/>
        <w:rPr>
          <w:bCs/>
        </w:rPr>
      </w:pPr>
      <w:r w:rsidRPr="003654B5">
        <w:rPr>
          <w:bCs/>
        </w:rPr>
        <w:tab/>
      </w:r>
      <w:r>
        <w:rPr>
          <w:bCs/>
        </w:rPr>
        <w:t xml:space="preserve">Given the </w:t>
      </w:r>
      <w:r>
        <w:rPr>
          <w:lang w:val="en-US"/>
        </w:rPr>
        <w:t>significant correlation between the period of birth and individual educational achievement</w:t>
      </w:r>
      <w:r>
        <w:rPr>
          <w:bCs/>
        </w:rPr>
        <w:t xml:space="preserve">, we now test if peers’ birth distribution can be used as an instrumental variable to detect the </w:t>
      </w:r>
      <w:r w:rsidR="006F343B">
        <w:rPr>
          <w:bCs/>
        </w:rPr>
        <w:t xml:space="preserve">peers’ </w:t>
      </w:r>
      <w:r w:rsidR="00EA1B31">
        <w:rPr>
          <w:bCs/>
        </w:rPr>
        <w:t xml:space="preserve">academic </w:t>
      </w:r>
      <w:r w:rsidR="006F343B">
        <w:rPr>
          <w:bCs/>
        </w:rPr>
        <w:t>influence</w:t>
      </w:r>
      <w:r w:rsidR="006F343B" w:rsidRPr="000F75CB">
        <w:rPr>
          <w:bCs/>
        </w:rPr>
        <w:t xml:space="preserve">. </w:t>
      </w:r>
      <w:r w:rsidR="000F75CB" w:rsidRPr="000F75CB">
        <w:rPr>
          <w:bCs/>
        </w:rPr>
        <w:t>Table 3</w:t>
      </w:r>
      <w:r w:rsidR="006F343B">
        <w:rPr>
          <w:bCs/>
        </w:rPr>
        <w:t xml:space="preserve"> presents the results of IV and OLS estima</w:t>
      </w:r>
      <w:r w:rsidR="00B02E09">
        <w:rPr>
          <w:bCs/>
        </w:rPr>
        <w:t>tions,</w:t>
      </w:r>
      <w:r w:rsidR="006F343B">
        <w:rPr>
          <w:bCs/>
        </w:rPr>
        <w:t xml:space="preserve"> for math and Por</w:t>
      </w:r>
      <w:r w:rsidR="005D4FC7">
        <w:rPr>
          <w:bCs/>
        </w:rPr>
        <w:t>tuguese language exams</w:t>
      </w:r>
      <w:r w:rsidR="00AA56CE">
        <w:rPr>
          <w:bCs/>
        </w:rPr>
        <w:t xml:space="preserve">. </w:t>
      </w:r>
      <w:r w:rsidR="002F4D47">
        <w:t>As</w:t>
      </w:r>
      <w:r w:rsidR="005D4FC7">
        <w:t xml:space="preserve"> an initial exercise</w:t>
      </w:r>
      <w:r w:rsidR="002F4D47">
        <w:t xml:space="preserve"> we</w:t>
      </w:r>
      <w:r w:rsidR="005D4FC7">
        <w:t xml:space="preserve"> investigate the correlation between individual performance and </w:t>
      </w:r>
      <w:r w:rsidR="002F4D47">
        <w:t>peers’ performance</w:t>
      </w:r>
      <w:r w:rsidR="005D4FC7">
        <w:t xml:space="preserve">. The positive and significant coefficient shows that an individual’s academic performance and the academic performance of their </w:t>
      </w:r>
      <w:r w:rsidR="002F4D47">
        <w:t>peers</w:t>
      </w:r>
      <w:r w:rsidR="005D4FC7">
        <w:t xml:space="preserve"> are directly correlated</w:t>
      </w:r>
      <w:r w:rsidR="002F4D47">
        <w:t>, in both math and language evaluations</w:t>
      </w:r>
      <w:r w:rsidR="00AA56CE">
        <w:t xml:space="preserve"> </w:t>
      </w:r>
      <w:r w:rsidR="00AA56CE">
        <w:rPr>
          <w:bCs/>
        </w:rPr>
        <w:t xml:space="preserve">(columns 3 and 6 of </w:t>
      </w:r>
      <w:r w:rsidR="000F75CB" w:rsidRPr="000F75CB">
        <w:rPr>
          <w:bCs/>
        </w:rPr>
        <w:t>Table 3</w:t>
      </w:r>
      <w:r w:rsidR="00AA56CE">
        <w:rPr>
          <w:bCs/>
        </w:rPr>
        <w:t>).</w:t>
      </w:r>
      <w:r w:rsidR="0012409F">
        <w:rPr>
          <w:bCs/>
        </w:rPr>
        <w:t xml:space="preserve"> </w:t>
      </w:r>
    </w:p>
    <w:p w:rsidR="005D4FC7" w:rsidRDefault="00AA56CE" w:rsidP="00785128">
      <w:pPr>
        <w:jc w:val="both"/>
      </w:pPr>
      <w:r>
        <w:tab/>
        <w:t>C</w:t>
      </w:r>
      <w:r w:rsidRPr="00D56B97">
        <w:t xml:space="preserve">olumns </w:t>
      </w:r>
      <w:r>
        <w:t>(1),</w:t>
      </w:r>
      <w:r w:rsidRPr="00D56B97">
        <w:t xml:space="preserve"> </w:t>
      </w:r>
      <w:r>
        <w:t>(2), (4) and (5)</w:t>
      </w:r>
      <w:r w:rsidRPr="00D56B97">
        <w:t xml:space="preserve"> </w:t>
      </w:r>
      <w:r>
        <w:t xml:space="preserve">of </w:t>
      </w:r>
      <w:r w:rsidR="000F75CB" w:rsidRPr="000F75CB">
        <w:t>Table 3</w:t>
      </w:r>
      <w:r>
        <w:t xml:space="preserve"> provide</w:t>
      </w:r>
      <w:r w:rsidRPr="00D56B97">
        <w:t xml:space="preserve"> results of </w:t>
      </w:r>
      <w:r w:rsidRPr="00437CE9">
        <w:t xml:space="preserve">the </w:t>
      </w:r>
      <w:r w:rsidR="0000231E" w:rsidRPr="00437CE9">
        <w:t>GMM</w:t>
      </w:r>
      <w:r w:rsidRPr="00437CE9">
        <w:t>-IV</w:t>
      </w:r>
      <w:r>
        <w:t xml:space="preserve"> estimations</w:t>
      </w:r>
      <w:r w:rsidRPr="00D56B97">
        <w:t>.</w:t>
      </w:r>
      <w:r w:rsidR="00241923">
        <w:t xml:space="preserve"> The first comment to notice is the strong </w:t>
      </w:r>
      <w:r w:rsidR="001661A2">
        <w:t xml:space="preserve">and significant </w:t>
      </w:r>
      <w:r w:rsidR="00241923">
        <w:t xml:space="preserve">correlation of the </w:t>
      </w:r>
      <w:r w:rsidR="00461C7A">
        <w:t>instruments with the potentially endogen</w:t>
      </w:r>
      <w:r w:rsidR="001661A2">
        <w:t>ous variable (peers’</w:t>
      </w:r>
      <w:r w:rsidR="00461C7A">
        <w:t xml:space="preserve"> achievement</w:t>
      </w:r>
      <w:r w:rsidR="001661A2">
        <w:t>)</w:t>
      </w:r>
      <w:r w:rsidR="00461C7A">
        <w:t xml:space="preserve"> </w:t>
      </w:r>
      <w:r w:rsidR="00E23611">
        <w:t>provided by the first-stage regressions (</w:t>
      </w:r>
      <w:r w:rsidR="00461C7A">
        <w:t>columns 1 and 4)</w:t>
      </w:r>
      <w:r w:rsidR="00E23611">
        <w:t>. Schools with high proportions of peers born in the 2</w:t>
      </w:r>
      <w:r w:rsidR="00E23611" w:rsidRPr="00E23611">
        <w:rPr>
          <w:vertAlign w:val="superscript"/>
        </w:rPr>
        <w:t>nd</w:t>
      </w:r>
      <w:r w:rsidR="00E23611">
        <w:t xml:space="preserve"> semester tend to </w:t>
      </w:r>
      <w:r w:rsidR="00573BAA">
        <w:t>perform better</w:t>
      </w:r>
      <w:r w:rsidR="000175A9">
        <w:t>,</w:t>
      </w:r>
      <w:r w:rsidR="00573BAA">
        <w:t xml:space="preserve"> in</w:t>
      </w:r>
      <w:r w:rsidR="00E23611">
        <w:t xml:space="preserve"> average</w:t>
      </w:r>
      <w:r w:rsidR="000175A9">
        <w:t>,</w:t>
      </w:r>
      <w:r w:rsidR="00E23611">
        <w:t xml:space="preserve"> </w:t>
      </w:r>
      <w:r w:rsidR="00573BAA">
        <w:t>than those that concentrate child</w:t>
      </w:r>
      <w:r w:rsidR="001661A2">
        <w:t xml:space="preserve">ren born in the </w:t>
      </w:r>
      <w:r w:rsidR="002015FD">
        <w:t>1</w:t>
      </w:r>
      <w:r w:rsidR="002015FD" w:rsidRPr="002015FD">
        <w:rPr>
          <w:vertAlign w:val="superscript"/>
        </w:rPr>
        <w:t>st</w:t>
      </w:r>
      <w:r w:rsidR="002015FD">
        <w:t xml:space="preserve"> </w:t>
      </w:r>
      <w:r w:rsidR="001661A2">
        <w:t xml:space="preserve">semester, even after </w:t>
      </w:r>
      <w:r w:rsidR="000175A9">
        <w:t>the inclusion of</w:t>
      </w:r>
      <w:r w:rsidR="001661A2">
        <w:t xml:space="preserve"> </w:t>
      </w:r>
      <w:r w:rsidR="005D4FF2">
        <w:t xml:space="preserve">state dummies, </w:t>
      </w:r>
      <w:r w:rsidR="001661A2">
        <w:t xml:space="preserve">the student period of birth and a wide range of individual socioeconomic and school features. </w:t>
      </w:r>
      <w:r w:rsidR="00A951A2">
        <w:t xml:space="preserve">These findings capture the relative age effect on </w:t>
      </w:r>
      <w:r w:rsidR="00A951A2">
        <w:lastRenderedPageBreak/>
        <w:t>the quality of peers, induced</w:t>
      </w:r>
      <w:r w:rsidR="00870025">
        <w:t xml:space="preserve"> here </w:t>
      </w:r>
      <w:r w:rsidR="00A951A2">
        <w:t xml:space="preserve">by the exogenous variation </w:t>
      </w:r>
      <w:r w:rsidR="00CD389E">
        <w:t xml:space="preserve">of the age at school entry defined by attendance laws. </w:t>
      </w:r>
    </w:p>
    <w:p w:rsidR="005468FE" w:rsidRDefault="00B25D5D" w:rsidP="00785128">
      <w:pPr>
        <w:jc w:val="both"/>
      </w:pPr>
      <w:r>
        <w:tab/>
        <w:t xml:space="preserve">The instrumented peers’ academic performance </w:t>
      </w:r>
      <w:r w:rsidR="00F90970">
        <w:t>is</w:t>
      </w:r>
      <w:r>
        <w:t xml:space="preserve"> then used in the second-stage </w:t>
      </w:r>
      <w:r w:rsidR="006E76D0">
        <w:t>regressions</w:t>
      </w:r>
      <w:r>
        <w:t xml:space="preserve"> to capture educational peer effects on individual achievement. Columns </w:t>
      </w:r>
      <w:r w:rsidR="006E76D0">
        <w:t>(</w:t>
      </w:r>
      <w:r>
        <w:t>2</w:t>
      </w:r>
      <w:r w:rsidR="006E76D0">
        <w:t>)</w:t>
      </w:r>
      <w:r>
        <w:t xml:space="preserve"> and </w:t>
      </w:r>
      <w:r w:rsidR="006E76D0">
        <w:t>(</w:t>
      </w:r>
      <w:r>
        <w:t>5</w:t>
      </w:r>
      <w:r w:rsidR="006E76D0">
        <w:t xml:space="preserve">) of Table </w:t>
      </w:r>
      <w:r w:rsidR="000F75CB">
        <w:t>3</w:t>
      </w:r>
      <w:r>
        <w:t xml:space="preserve"> exhibit the results. For the math evaluation, </w:t>
      </w:r>
      <w:r w:rsidR="00580EE8">
        <w:t xml:space="preserve">the positive and significant coefficient </w:t>
      </w:r>
      <w:r w:rsidR="00B22048" w:rsidRPr="00B22048">
        <w:rPr>
          <w:i/>
        </w:rPr>
        <w:t>(</w:t>
      </w:r>
      <m:oMath>
        <m:acc>
          <m:accPr>
            <m:ctrlPr>
              <w:rPr>
                <w:rFonts w:ascii="Cambria Math" w:hAnsi="Cambria Math"/>
                <w:i/>
              </w:rPr>
            </m:ctrlPr>
          </m:accPr>
          <m:e>
            <m:r>
              <w:rPr>
                <w:rFonts w:ascii="Cambria Math" w:hAnsi="Cambria Math"/>
              </w:rPr>
              <m:t>β</m:t>
            </m:r>
          </m:e>
        </m:acc>
        <m:r>
          <w:rPr>
            <w:rFonts w:ascii="Cambria Math" w:hAnsi="Cambria Math"/>
          </w:rPr>
          <m:t>=0.6</m:t>
        </m:r>
      </m:oMath>
      <w:r w:rsidR="00B22048" w:rsidRPr="00B22048">
        <w:rPr>
          <w:i/>
        </w:rPr>
        <w:t>)</w:t>
      </w:r>
      <w:r w:rsidR="00580EE8">
        <w:t xml:space="preserve"> </w:t>
      </w:r>
      <w:r w:rsidR="00092E6B">
        <w:t xml:space="preserve">and its corresponding standardized coefficient </w:t>
      </w:r>
      <w:r w:rsidR="00092E6B" w:rsidRPr="00092E6B">
        <w:rPr>
          <w:i/>
        </w:rPr>
        <w:t>(</w:t>
      </w:r>
      <m:oMath>
        <m:acc>
          <m:accPr>
            <m:ctrlPr>
              <w:rPr>
                <w:rFonts w:ascii="Cambria Math" w:hAnsi="Cambria Math"/>
                <w:i/>
              </w:rPr>
            </m:ctrlPr>
          </m:accPr>
          <m:e>
            <m:r>
              <w:rPr>
                <w:rFonts w:ascii="Cambria Math" w:hAnsi="Cambria Math"/>
              </w:rPr>
              <m:t>b</m:t>
            </m:r>
          </m:e>
        </m:acc>
        <m:r>
          <w:rPr>
            <w:rFonts w:ascii="Cambria Math" w:hAnsi="Cambria Math"/>
          </w:rPr>
          <m:t>=0.32</m:t>
        </m:r>
      </m:oMath>
      <w:r w:rsidR="00092E6B" w:rsidRPr="00092E6B">
        <w:rPr>
          <w:i/>
        </w:rPr>
        <w:t>)</w:t>
      </w:r>
      <w:r w:rsidR="00092E6B" w:rsidRPr="00092E6B">
        <w:rPr>
          <w:rStyle w:val="Refdenotaderodap"/>
          <w:i/>
        </w:rPr>
        <w:footnoteReference w:id="10"/>
      </w:r>
      <w:r w:rsidR="00092E6B">
        <w:t xml:space="preserve"> </w:t>
      </w:r>
      <w:r w:rsidR="00580EE8">
        <w:t>indicates that a one standard deviation increase in the peers</w:t>
      </w:r>
      <w:r w:rsidR="00F90970">
        <w:t>’</w:t>
      </w:r>
      <w:r w:rsidR="00580EE8">
        <w:t xml:space="preserve"> grade</w:t>
      </w:r>
      <w:r w:rsidR="00C92012">
        <w:t>,</w:t>
      </w:r>
      <w:r w:rsidR="00580EE8">
        <w:t xml:space="preserve"> </w:t>
      </w:r>
      <w:r w:rsidR="00B22048">
        <w:t xml:space="preserve">generates </w:t>
      </w:r>
      <w:r w:rsidR="00092E6B">
        <w:t xml:space="preserve">an </w:t>
      </w:r>
      <w:r w:rsidR="00AC5825">
        <w:t>improvement</w:t>
      </w:r>
      <w:r w:rsidR="001423CB">
        <w:t xml:space="preserve"> of</w:t>
      </w:r>
      <w:r w:rsidR="00092E6B">
        <w:t xml:space="preserve"> </w:t>
      </w:r>
      <w:r w:rsidR="001423CB">
        <w:t>32</w:t>
      </w:r>
      <w:r w:rsidR="001423CB" w:rsidRPr="000F75CB">
        <w:t xml:space="preserve">% standard deviations in </w:t>
      </w:r>
      <w:r w:rsidR="00092E6B" w:rsidRPr="000F75CB">
        <w:t>individual</w:t>
      </w:r>
      <w:r w:rsidR="00092E6B">
        <w:t xml:space="preserve"> achievement</w:t>
      </w:r>
      <w:r w:rsidR="006636E9">
        <w:t>. For the Por</w:t>
      </w:r>
      <w:r w:rsidR="00E20E41">
        <w:t>tuguese language evaluation, this</w:t>
      </w:r>
      <w:r w:rsidR="006636E9">
        <w:t xml:space="preserve"> effect represents an increase </w:t>
      </w:r>
      <w:r w:rsidR="006636E9" w:rsidRPr="0022024C">
        <w:t xml:space="preserve">of </w:t>
      </w:r>
      <w:r w:rsidR="00B22048" w:rsidRPr="0022024C">
        <w:t xml:space="preserve">30% </w:t>
      </w:r>
      <w:r w:rsidR="00B22048">
        <w:t>SD of the student grade</w:t>
      </w:r>
      <w:r w:rsidR="006636E9">
        <w:t>.</w:t>
      </w:r>
    </w:p>
    <w:p w:rsidR="003654B5" w:rsidRPr="003654B5" w:rsidRDefault="003654B5" w:rsidP="00785128">
      <w:pPr>
        <w:jc w:val="both"/>
        <w:rPr>
          <w:bCs/>
        </w:rPr>
      </w:pPr>
    </w:p>
    <w:p w:rsidR="00E3515A" w:rsidRDefault="00E3515A" w:rsidP="00785128">
      <w:pPr>
        <w:rPr>
          <w:lang w:val="en-US"/>
        </w:rPr>
      </w:pPr>
    </w:p>
    <w:tbl>
      <w:tblPr>
        <w:tblStyle w:val="Tabelacomgrade"/>
        <w:tblW w:w="9039" w:type="dxa"/>
        <w:jc w:val="center"/>
        <w:tblLayout w:type="fixed"/>
        <w:tblLook w:val="04A0"/>
      </w:tblPr>
      <w:tblGrid>
        <w:gridCol w:w="2093"/>
        <w:gridCol w:w="142"/>
        <w:gridCol w:w="992"/>
        <w:gridCol w:w="1134"/>
        <w:gridCol w:w="981"/>
        <w:gridCol w:w="236"/>
        <w:gridCol w:w="1193"/>
        <w:gridCol w:w="82"/>
        <w:gridCol w:w="1052"/>
        <w:gridCol w:w="815"/>
        <w:gridCol w:w="76"/>
        <w:gridCol w:w="101"/>
        <w:gridCol w:w="142"/>
      </w:tblGrid>
      <w:tr w:rsidR="00165BAD" w:rsidRPr="00B772EF" w:rsidTr="006D0014">
        <w:trPr>
          <w:gridAfter w:val="3"/>
          <w:wAfter w:w="319" w:type="dxa"/>
          <w:jc w:val="center"/>
        </w:trPr>
        <w:tc>
          <w:tcPr>
            <w:tcW w:w="8720" w:type="dxa"/>
            <w:gridSpan w:val="10"/>
            <w:tcBorders>
              <w:top w:val="nil"/>
              <w:left w:val="nil"/>
              <w:bottom w:val="single" w:sz="4" w:space="0" w:color="auto"/>
              <w:right w:val="nil"/>
            </w:tcBorders>
          </w:tcPr>
          <w:p w:rsidR="00165BAD" w:rsidRPr="00F970B0" w:rsidRDefault="00165BAD" w:rsidP="00785128">
            <w:pPr>
              <w:keepNext/>
              <w:keepLines/>
              <w:jc w:val="center"/>
              <w:rPr>
                <w:sz w:val="20"/>
                <w:szCs w:val="20"/>
              </w:rPr>
            </w:pPr>
            <w:r w:rsidRPr="00F970B0">
              <w:rPr>
                <w:sz w:val="20"/>
                <w:szCs w:val="20"/>
              </w:rPr>
              <w:t xml:space="preserve">Table </w:t>
            </w:r>
            <w:r w:rsidR="000F75CB">
              <w:rPr>
                <w:sz w:val="20"/>
                <w:szCs w:val="20"/>
              </w:rPr>
              <w:t>3</w:t>
            </w:r>
          </w:p>
          <w:p w:rsidR="00165BAD" w:rsidRPr="00B772EF" w:rsidRDefault="00165BAD" w:rsidP="00785128">
            <w:pPr>
              <w:keepNext/>
              <w:keepLines/>
              <w:jc w:val="center"/>
              <w:rPr>
                <w:sz w:val="20"/>
                <w:szCs w:val="20"/>
                <w:lang w:val="en-US"/>
              </w:rPr>
            </w:pPr>
            <w:r w:rsidRPr="00F970B0">
              <w:rPr>
                <w:sz w:val="20"/>
                <w:szCs w:val="20"/>
                <w:lang w:val="en-US"/>
              </w:rPr>
              <w:t>The effect of peers’ educational achievement on student’s performance at the 4</w:t>
            </w:r>
            <w:r w:rsidRPr="00F970B0">
              <w:rPr>
                <w:sz w:val="20"/>
                <w:szCs w:val="20"/>
                <w:vertAlign w:val="superscript"/>
                <w:lang w:val="en-US"/>
              </w:rPr>
              <w:t>th</w:t>
            </w:r>
            <w:r w:rsidRPr="00F970B0">
              <w:rPr>
                <w:sz w:val="20"/>
                <w:szCs w:val="20"/>
                <w:lang w:val="en-US"/>
              </w:rPr>
              <w:t xml:space="preserve"> grade: IV and OLS regressions</w:t>
            </w:r>
          </w:p>
        </w:tc>
      </w:tr>
      <w:tr w:rsidR="00165BAD" w:rsidRPr="00B772EF" w:rsidTr="006D0014">
        <w:trPr>
          <w:jc w:val="center"/>
        </w:trPr>
        <w:tc>
          <w:tcPr>
            <w:tcW w:w="2093" w:type="dxa"/>
            <w:vMerge w:val="restart"/>
            <w:tcBorders>
              <w:top w:val="single" w:sz="4" w:space="0" w:color="auto"/>
              <w:left w:val="nil"/>
              <w:right w:val="nil"/>
            </w:tcBorders>
            <w:vAlign w:val="bottom"/>
          </w:tcPr>
          <w:p w:rsidR="00165BAD" w:rsidRPr="00B772EF" w:rsidRDefault="00165BAD" w:rsidP="00785128">
            <w:pPr>
              <w:keepNext/>
              <w:keepLines/>
              <w:rPr>
                <w:sz w:val="20"/>
                <w:szCs w:val="20"/>
              </w:rPr>
            </w:pPr>
            <w:r w:rsidRPr="00B772EF">
              <w:rPr>
                <w:bCs/>
                <w:color w:val="000000"/>
                <w:sz w:val="20"/>
                <w:szCs w:val="20"/>
              </w:rPr>
              <w:t>Independent v</w:t>
            </w:r>
            <w:r w:rsidRPr="00B772EF">
              <w:rPr>
                <w:bCs/>
                <w:color w:val="000000"/>
                <w:sz w:val="20"/>
                <w:szCs w:val="20"/>
                <w:lang w:eastAsia="pt-BR"/>
              </w:rPr>
              <w:t>ariables</w:t>
            </w:r>
          </w:p>
        </w:tc>
        <w:tc>
          <w:tcPr>
            <w:tcW w:w="1134" w:type="dxa"/>
            <w:gridSpan w:val="2"/>
            <w:vMerge w:val="restart"/>
            <w:tcBorders>
              <w:top w:val="single" w:sz="4" w:space="0" w:color="auto"/>
              <w:left w:val="nil"/>
              <w:right w:val="nil"/>
            </w:tcBorders>
          </w:tcPr>
          <w:p w:rsidR="00165BAD" w:rsidRPr="00B772EF" w:rsidRDefault="00165BAD" w:rsidP="00785128">
            <w:pPr>
              <w:keepNext/>
              <w:keepLines/>
              <w:jc w:val="center"/>
              <w:rPr>
                <w:sz w:val="20"/>
                <w:szCs w:val="20"/>
                <w:lang w:val="en-US"/>
              </w:rPr>
            </w:pPr>
            <w:r w:rsidRPr="00B772EF">
              <w:rPr>
                <w:sz w:val="20"/>
                <w:szCs w:val="20"/>
                <w:lang w:val="en-US"/>
              </w:rPr>
              <w:t xml:space="preserve">Dep. </w:t>
            </w:r>
            <w:proofErr w:type="spellStart"/>
            <w:r w:rsidRPr="00B772EF">
              <w:rPr>
                <w:sz w:val="20"/>
                <w:szCs w:val="20"/>
                <w:lang w:val="en-US"/>
              </w:rPr>
              <w:t>var</w:t>
            </w:r>
            <w:proofErr w:type="spellEnd"/>
            <w:r w:rsidRPr="00B772EF">
              <w:rPr>
                <w:sz w:val="20"/>
                <w:szCs w:val="20"/>
                <w:lang w:val="en-US"/>
              </w:rPr>
              <w:t xml:space="preserve">: Peers math grade </w:t>
            </w:r>
          </w:p>
          <w:p w:rsidR="00165BAD" w:rsidRPr="00B772EF" w:rsidRDefault="00165BAD" w:rsidP="00785128">
            <w:pPr>
              <w:keepNext/>
              <w:keepLines/>
              <w:jc w:val="center"/>
              <w:rPr>
                <w:sz w:val="20"/>
                <w:szCs w:val="20"/>
                <w:lang w:val="en-US"/>
              </w:rPr>
            </w:pPr>
            <w:r w:rsidRPr="00B772EF">
              <w:rPr>
                <w:sz w:val="20"/>
                <w:szCs w:val="20"/>
                <w:lang w:val="en-US"/>
              </w:rPr>
              <w:t>(1</w:t>
            </w:r>
            <w:r w:rsidRPr="00B772EF">
              <w:rPr>
                <w:sz w:val="20"/>
                <w:szCs w:val="20"/>
                <w:vertAlign w:val="superscript"/>
                <w:lang w:val="en-US"/>
              </w:rPr>
              <w:t>st</w:t>
            </w:r>
            <w:r w:rsidRPr="00B772EF">
              <w:rPr>
                <w:sz w:val="20"/>
                <w:szCs w:val="20"/>
                <w:lang w:val="en-US"/>
              </w:rPr>
              <w:t xml:space="preserve"> stage)</w:t>
            </w:r>
          </w:p>
        </w:tc>
        <w:tc>
          <w:tcPr>
            <w:tcW w:w="2115" w:type="dxa"/>
            <w:gridSpan w:val="2"/>
            <w:tcBorders>
              <w:top w:val="single" w:sz="4" w:space="0" w:color="auto"/>
              <w:left w:val="nil"/>
              <w:bottom w:val="single" w:sz="4" w:space="0" w:color="auto"/>
              <w:right w:val="nil"/>
            </w:tcBorders>
          </w:tcPr>
          <w:p w:rsidR="00165BAD" w:rsidRPr="00B772EF" w:rsidRDefault="00165BAD" w:rsidP="00785128">
            <w:pPr>
              <w:keepNext/>
              <w:keepLines/>
              <w:jc w:val="center"/>
              <w:rPr>
                <w:sz w:val="20"/>
                <w:szCs w:val="20"/>
                <w:lang w:val="en-US"/>
              </w:rPr>
            </w:pPr>
            <w:r w:rsidRPr="00B772EF">
              <w:rPr>
                <w:sz w:val="20"/>
                <w:szCs w:val="20"/>
                <w:lang w:val="en-US"/>
              </w:rPr>
              <w:t>Dep. var.: Student math grade</w:t>
            </w:r>
          </w:p>
        </w:tc>
        <w:tc>
          <w:tcPr>
            <w:tcW w:w="236" w:type="dxa"/>
            <w:vMerge w:val="restart"/>
            <w:tcBorders>
              <w:top w:val="single" w:sz="4" w:space="0" w:color="auto"/>
              <w:left w:val="nil"/>
              <w:right w:val="nil"/>
            </w:tcBorders>
          </w:tcPr>
          <w:p w:rsidR="00165BAD" w:rsidRPr="00B772EF" w:rsidRDefault="00165BAD" w:rsidP="00785128">
            <w:pPr>
              <w:keepNext/>
              <w:keepLines/>
              <w:jc w:val="center"/>
              <w:rPr>
                <w:sz w:val="20"/>
                <w:szCs w:val="20"/>
                <w:lang w:val="en-US"/>
              </w:rPr>
            </w:pPr>
          </w:p>
        </w:tc>
        <w:tc>
          <w:tcPr>
            <w:tcW w:w="1275" w:type="dxa"/>
            <w:gridSpan w:val="2"/>
            <w:vMerge w:val="restart"/>
            <w:tcBorders>
              <w:top w:val="single" w:sz="4" w:space="0" w:color="auto"/>
              <w:left w:val="nil"/>
              <w:bottom w:val="single" w:sz="4" w:space="0" w:color="auto"/>
              <w:right w:val="nil"/>
            </w:tcBorders>
          </w:tcPr>
          <w:p w:rsidR="00165BAD" w:rsidRPr="00B772EF" w:rsidRDefault="00165BAD" w:rsidP="00785128">
            <w:pPr>
              <w:keepNext/>
              <w:keepLines/>
              <w:jc w:val="center"/>
              <w:rPr>
                <w:sz w:val="20"/>
                <w:szCs w:val="20"/>
                <w:lang w:val="en-US"/>
              </w:rPr>
            </w:pPr>
            <w:r w:rsidRPr="00B772EF">
              <w:rPr>
                <w:sz w:val="20"/>
                <w:szCs w:val="20"/>
                <w:lang w:val="en-US"/>
              </w:rPr>
              <w:t>Dep. var.: Peers Port. Lang. grade</w:t>
            </w:r>
          </w:p>
          <w:p w:rsidR="00165BAD" w:rsidRPr="00B772EF" w:rsidRDefault="00165BAD" w:rsidP="00785128">
            <w:pPr>
              <w:keepNext/>
              <w:keepLines/>
              <w:jc w:val="center"/>
              <w:rPr>
                <w:b/>
                <w:sz w:val="20"/>
                <w:szCs w:val="20"/>
                <w:lang w:val="en-US"/>
              </w:rPr>
            </w:pPr>
            <w:r w:rsidRPr="00B772EF">
              <w:rPr>
                <w:sz w:val="20"/>
                <w:szCs w:val="20"/>
                <w:lang w:val="en-US"/>
              </w:rPr>
              <w:t>(1</w:t>
            </w:r>
            <w:r w:rsidRPr="00B772EF">
              <w:rPr>
                <w:sz w:val="20"/>
                <w:szCs w:val="20"/>
                <w:vertAlign w:val="superscript"/>
                <w:lang w:val="en-US"/>
              </w:rPr>
              <w:t>st</w:t>
            </w:r>
            <w:r w:rsidRPr="00B772EF">
              <w:rPr>
                <w:sz w:val="20"/>
                <w:szCs w:val="20"/>
                <w:lang w:val="en-US"/>
              </w:rPr>
              <w:t xml:space="preserve"> stage)</w:t>
            </w:r>
          </w:p>
        </w:tc>
        <w:tc>
          <w:tcPr>
            <w:tcW w:w="2186" w:type="dxa"/>
            <w:gridSpan w:val="5"/>
            <w:tcBorders>
              <w:top w:val="single" w:sz="4" w:space="0" w:color="auto"/>
              <w:left w:val="nil"/>
              <w:bottom w:val="single" w:sz="4" w:space="0" w:color="auto"/>
              <w:right w:val="nil"/>
            </w:tcBorders>
          </w:tcPr>
          <w:p w:rsidR="00165BAD" w:rsidRPr="00B772EF" w:rsidRDefault="00165BAD" w:rsidP="00785128">
            <w:pPr>
              <w:keepNext/>
              <w:keepLines/>
              <w:jc w:val="center"/>
              <w:rPr>
                <w:sz w:val="20"/>
                <w:szCs w:val="20"/>
                <w:lang w:val="en-US"/>
              </w:rPr>
            </w:pPr>
            <w:r w:rsidRPr="00B772EF">
              <w:rPr>
                <w:sz w:val="20"/>
                <w:szCs w:val="20"/>
                <w:lang w:val="en-US"/>
              </w:rPr>
              <w:t xml:space="preserve">Dep. </w:t>
            </w:r>
            <w:proofErr w:type="spellStart"/>
            <w:r w:rsidRPr="00B772EF">
              <w:rPr>
                <w:sz w:val="20"/>
                <w:szCs w:val="20"/>
                <w:lang w:val="en-US"/>
              </w:rPr>
              <w:t>var</w:t>
            </w:r>
            <w:proofErr w:type="spellEnd"/>
            <w:r w:rsidRPr="00B772EF">
              <w:rPr>
                <w:sz w:val="20"/>
                <w:szCs w:val="20"/>
                <w:lang w:val="en-US"/>
              </w:rPr>
              <w:t>: Student Port. Lang. grade</w:t>
            </w:r>
          </w:p>
        </w:tc>
      </w:tr>
      <w:tr w:rsidR="00165BAD" w:rsidRPr="00B772EF" w:rsidTr="006D0014">
        <w:trPr>
          <w:jc w:val="center"/>
        </w:trPr>
        <w:tc>
          <w:tcPr>
            <w:tcW w:w="2093" w:type="dxa"/>
            <w:vMerge/>
            <w:tcBorders>
              <w:left w:val="nil"/>
              <w:bottom w:val="single" w:sz="4" w:space="0" w:color="auto"/>
              <w:right w:val="nil"/>
            </w:tcBorders>
          </w:tcPr>
          <w:p w:rsidR="00165BAD" w:rsidRPr="00B772EF" w:rsidRDefault="00165BAD" w:rsidP="00785128">
            <w:pPr>
              <w:keepNext/>
              <w:keepLines/>
              <w:rPr>
                <w:sz w:val="20"/>
                <w:szCs w:val="20"/>
                <w:lang w:val="en-US"/>
              </w:rPr>
            </w:pPr>
          </w:p>
        </w:tc>
        <w:tc>
          <w:tcPr>
            <w:tcW w:w="1134" w:type="dxa"/>
            <w:gridSpan w:val="2"/>
            <w:vMerge/>
            <w:tcBorders>
              <w:left w:val="nil"/>
              <w:bottom w:val="single" w:sz="4" w:space="0" w:color="auto"/>
              <w:right w:val="nil"/>
            </w:tcBorders>
          </w:tcPr>
          <w:p w:rsidR="00165BAD" w:rsidRPr="00B772EF" w:rsidRDefault="00165BAD" w:rsidP="00785128">
            <w:pPr>
              <w:keepNext/>
              <w:keepLines/>
              <w:rPr>
                <w:sz w:val="20"/>
                <w:szCs w:val="20"/>
                <w:lang w:val="en-US"/>
              </w:rPr>
            </w:pPr>
          </w:p>
        </w:tc>
        <w:tc>
          <w:tcPr>
            <w:tcW w:w="1134" w:type="dxa"/>
            <w:tcBorders>
              <w:left w:val="nil"/>
              <w:bottom w:val="single" w:sz="4" w:space="0" w:color="auto"/>
              <w:right w:val="nil"/>
            </w:tcBorders>
          </w:tcPr>
          <w:p w:rsidR="00165BAD" w:rsidRPr="00B772EF" w:rsidRDefault="00165BAD" w:rsidP="00785128">
            <w:pPr>
              <w:keepNext/>
              <w:keepLines/>
              <w:jc w:val="center"/>
              <w:rPr>
                <w:sz w:val="20"/>
                <w:szCs w:val="20"/>
                <w:lang w:val="en-US"/>
              </w:rPr>
            </w:pPr>
            <w:r w:rsidRPr="00B772EF">
              <w:rPr>
                <w:sz w:val="20"/>
                <w:szCs w:val="20"/>
                <w:lang w:val="en-US"/>
              </w:rPr>
              <w:t xml:space="preserve">IV </w:t>
            </w:r>
          </w:p>
          <w:p w:rsidR="00165BAD" w:rsidRPr="00B772EF" w:rsidRDefault="00165BAD" w:rsidP="00785128">
            <w:pPr>
              <w:keepNext/>
              <w:keepLines/>
              <w:jc w:val="center"/>
              <w:rPr>
                <w:sz w:val="20"/>
                <w:szCs w:val="20"/>
                <w:lang w:val="en-US"/>
              </w:rPr>
            </w:pPr>
            <w:r w:rsidRPr="00B772EF">
              <w:rPr>
                <w:sz w:val="20"/>
                <w:szCs w:val="20"/>
                <w:lang w:val="en-US"/>
              </w:rPr>
              <w:t>(2</w:t>
            </w:r>
            <w:r w:rsidRPr="00B772EF">
              <w:rPr>
                <w:sz w:val="20"/>
                <w:szCs w:val="20"/>
                <w:vertAlign w:val="superscript"/>
                <w:lang w:val="en-US"/>
              </w:rPr>
              <w:t>nd</w:t>
            </w:r>
            <w:r w:rsidRPr="00B772EF">
              <w:rPr>
                <w:sz w:val="20"/>
                <w:szCs w:val="20"/>
                <w:lang w:val="en-US"/>
              </w:rPr>
              <w:t xml:space="preserve"> stage)</w:t>
            </w:r>
          </w:p>
        </w:tc>
        <w:tc>
          <w:tcPr>
            <w:tcW w:w="981" w:type="dxa"/>
            <w:tcBorders>
              <w:left w:val="nil"/>
              <w:bottom w:val="single" w:sz="4" w:space="0" w:color="auto"/>
              <w:right w:val="nil"/>
            </w:tcBorders>
          </w:tcPr>
          <w:p w:rsidR="00165BAD" w:rsidRPr="00B772EF" w:rsidRDefault="00165BAD" w:rsidP="00785128">
            <w:pPr>
              <w:keepNext/>
              <w:keepLines/>
              <w:jc w:val="center"/>
              <w:rPr>
                <w:sz w:val="20"/>
                <w:szCs w:val="20"/>
                <w:lang w:val="en-US"/>
              </w:rPr>
            </w:pPr>
            <w:r>
              <w:rPr>
                <w:sz w:val="20"/>
                <w:szCs w:val="20"/>
                <w:lang w:val="en-US"/>
              </w:rPr>
              <w:t>OLS</w:t>
            </w:r>
          </w:p>
        </w:tc>
        <w:tc>
          <w:tcPr>
            <w:tcW w:w="236" w:type="dxa"/>
            <w:vMerge/>
            <w:tcBorders>
              <w:left w:val="nil"/>
              <w:bottom w:val="single" w:sz="4" w:space="0" w:color="auto"/>
              <w:right w:val="nil"/>
            </w:tcBorders>
          </w:tcPr>
          <w:p w:rsidR="00165BAD" w:rsidRPr="00B772EF" w:rsidRDefault="00165BAD" w:rsidP="00785128">
            <w:pPr>
              <w:keepNext/>
              <w:keepLines/>
              <w:rPr>
                <w:sz w:val="20"/>
                <w:szCs w:val="20"/>
                <w:lang w:val="en-US"/>
              </w:rPr>
            </w:pPr>
          </w:p>
        </w:tc>
        <w:tc>
          <w:tcPr>
            <w:tcW w:w="1275" w:type="dxa"/>
            <w:gridSpan w:val="2"/>
            <w:vMerge/>
            <w:tcBorders>
              <w:left w:val="nil"/>
              <w:bottom w:val="single" w:sz="4" w:space="0" w:color="auto"/>
              <w:right w:val="nil"/>
            </w:tcBorders>
          </w:tcPr>
          <w:p w:rsidR="00165BAD" w:rsidRPr="00B772EF" w:rsidRDefault="00165BAD" w:rsidP="00785128">
            <w:pPr>
              <w:keepNext/>
              <w:keepLines/>
              <w:jc w:val="center"/>
              <w:rPr>
                <w:sz w:val="20"/>
                <w:szCs w:val="20"/>
                <w:lang w:val="en-US"/>
              </w:rPr>
            </w:pPr>
          </w:p>
        </w:tc>
        <w:tc>
          <w:tcPr>
            <w:tcW w:w="1052" w:type="dxa"/>
            <w:tcBorders>
              <w:left w:val="nil"/>
              <w:bottom w:val="single" w:sz="4" w:space="0" w:color="auto"/>
              <w:right w:val="nil"/>
            </w:tcBorders>
          </w:tcPr>
          <w:p w:rsidR="00165BAD" w:rsidRPr="00B772EF" w:rsidRDefault="00165BAD" w:rsidP="00785128">
            <w:pPr>
              <w:keepNext/>
              <w:keepLines/>
              <w:jc w:val="center"/>
              <w:rPr>
                <w:sz w:val="20"/>
                <w:szCs w:val="20"/>
                <w:lang w:val="en-US"/>
              </w:rPr>
            </w:pPr>
            <w:r w:rsidRPr="00B772EF">
              <w:rPr>
                <w:sz w:val="20"/>
                <w:szCs w:val="20"/>
                <w:lang w:val="en-US"/>
              </w:rPr>
              <w:t>IV</w:t>
            </w:r>
          </w:p>
          <w:p w:rsidR="00165BAD" w:rsidRPr="00B772EF" w:rsidRDefault="00165BAD" w:rsidP="00785128">
            <w:pPr>
              <w:keepNext/>
              <w:keepLines/>
              <w:jc w:val="center"/>
              <w:rPr>
                <w:sz w:val="20"/>
                <w:szCs w:val="20"/>
                <w:lang w:val="en-US"/>
              </w:rPr>
            </w:pPr>
            <w:r w:rsidRPr="00B772EF">
              <w:rPr>
                <w:sz w:val="20"/>
                <w:szCs w:val="20"/>
                <w:lang w:val="en-US"/>
              </w:rPr>
              <w:t>(2</w:t>
            </w:r>
            <w:r w:rsidRPr="00B772EF">
              <w:rPr>
                <w:sz w:val="20"/>
                <w:szCs w:val="20"/>
                <w:vertAlign w:val="superscript"/>
                <w:lang w:val="en-US"/>
              </w:rPr>
              <w:t>nd</w:t>
            </w:r>
            <w:r w:rsidRPr="00B772EF">
              <w:rPr>
                <w:sz w:val="20"/>
                <w:szCs w:val="20"/>
                <w:lang w:val="en-US"/>
              </w:rPr>
              <w:t xml:space="preserve"> stage)</w:t>
            </w:r>
          </w:p>
        </w:tc>
        <w:tc>
          <w:tcPr>
            <w:tcW w:w="1134" w:type="dxa"/>
            <w:gridSpan w:val="4"/>
            <w:tcBorders>
              <w:left w:val="nil"/>
              <w:bottom w:val="single" w:sz="4" w:space="0" w:color="auto"/>
              <w:right w:val="nil"/>
            </w:tcBorders>
          </w:tcPr>
          <w:p w:rsidR="00165BAD" w:rsidRPr="00B772EF" w:rsidRDefault="00165BAD" w:rsidP="00785128">
            <w:pPr>
              <w:keepNext/>
              <w:keepLines/>
              <w:jc w:val="center"/>
              <w:rPr>
                <w:sz w:val="20"/>
                <w:szCs w:val="20"/>
                <w:lang w:val="en-US"/>
              </w:rPr>
            </w:pPr>
            <w:r>
              <w:rPr>
                <w:sz w:val="20"/>
                <w:szCs w:val="20"/>
                <w:lang w:val="en-US"/>
              </w:rPr>
              <w:t>OLS</w:t>
            </w:r>
          </w:p>
        </w:tc>
      </w:tr>
      <w:tr w:rsidR="00165BAD" w:rsidRPr="00B772EF" w:rsidTr="006D0014">
        <w:trPr>
          <w:gridAfter w:val="3"/>
          <w:wAfter w:w="319" w:type="dxa"/>
          <w:jc w:val="center"/>
        </w:trPr>
        <w:tc>
          <w:tcPr>
            <w:tcW w:w="8720" w:type="dxa"/>
            <w:gridSpan w:val="10"/>
            <w:tcBorders>
              <w:top w:val="nil"/>
              <w:left w:val="nil"/>
              <w:bottom w:val="nil"/>
              <w:right w:val="nil"/>
            </w:tcBorders>
          </w:tcPr>
          <w:p w:rsidR="00165BAD" w:rsidRPr="00B772EF" w:rsidRDefault="00165BAD" w:rsidP="00785128">
            <w:pPr>
              <w:keepNext/>
              <w:keepLines/>
              <w:rPr>
                <w:sz w:val="20"/>
                <w:szCs w:val="20"/>
                <w:lang w:val="en-US"/>
              </w:rPr>
            </w:pPr>
            <w:r w:rsidRPr="00B772EF">
              <w:rPr>
                <w:i/>
                <w:sz w:val="20"/>
                <w:szCs w:val="20"/>
                <w:lang w:val="en-US"/>
              </w:rPr>
              <w:t>Peers’ characteristics</w:t>
            </w:r>
          </w:p>
        </w:tc>
      </w:tr>
      <w:tr w:rsidR="00165BAD" w:rsidRPr="00B772EF" w:rsidTr="006D0014">
        <w:trPr>
          <w:gridAfter w:val="2"/>
          <w:wAfter w:w="243"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sz w:val="20"/>
                <w:szCs w:val="20"/>
                <w:lang w:val="en-US"/>
              </w:rPr>
              <w:t>Peers average math grade</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0.60</w:t>
            </w:r>
          </w:p>
          <w:p w:rsidR="00165BAD" w:rsidRPr="00B772EF" w:rsidRDefault="00165BAD" w:rsidP="00785128">
            <w:pPr>
              <w:keepNext/>
              <w:keepLines/>
              <w:jc w:val="center"/>
              <w:rPr>
                <w:sz w:val="20"/>
                <w:szCs w:val="20"/>
                <w:lang w:val="en-US"/>
              </w:rPr>
            </w:pPr>
            <w:r w:rsidRPr="00B772EF">
              <w:rPr>
                <w:sz w:val="20"/>
                <w:szCs w:val="20"/>
                <w:lang w:val="en-US"/>
              </w:rPr>
              <w:t>(0.06)</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0.84</w:t>
            </w:r>
          </w:p>
          <w:p w:rsidR="00165BAD" w:rsidRPr="00B772EF" w:rsidRDefault="00165BAD" w:rsidP="00785128">
            <w:pPr>
              <w:keepNext/>
              <w:keepLines/>
              <w:jc w:val="center"/>
              <w:rPr>
                <w:sz w:val="20"/>
                <w:szCs w:val="20"/>
                <w:lang w:val="en-US"/>
              </w:rPr>
            </w:pPr>
            <w:r w:rsidRPr="00B772EF">
              <w:rPr>
                <w:sz w:val="20"/>
                <w:szCs w:val="20"/>
                <w:lang w:val="en-US"/>
              </w:rPr>
              <w:t>(0.003)</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275"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05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891"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r>
      <w:tr w:rsidR="00165BAD" w:rsidRPr="00B772EF" w:rsidTr="006D0014">
        <w:trPr>
          <w:gridAfter w:val="2"/>
          <w:wAfter w:w="243"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sz w:val="20"/>
                <w:szCs w:val="20"/>
                <w:lang w:val="en-US"/>
              </w:rPr>
              <w:t>Peers average Port. Lang. grade</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275"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05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0.61</w:t>
            </w:r>
          </w:p>
          <w:p w:rsidR="00165BAD" w:rsidRPr="00B772EF" w:rsidRDefault="00165BAD" w:rsidP="00785128">
            <w:pPr>
              <w:keepNext/>
              <w:keepLines/>
              <w:jc w:val="center"/>
              <w:rPr>
                <w:sz w:val="20"/>
                <w:szCs w:val="20"/>
                <w:lang w:val="en-US"/>
              </w:rPr>
            </w:pPr>
            <w:r w:rsidRPr="00B772EF">
              <w:rPr>
                <w:sz w:val="20"/>
                <w:szCs w:val="20"/>
                <w:lang w:val="en-US"/>
              </w:rPr>
              <w:t>(0.07)</w:t>
            </w:r>
          </w:p>
        </w:tc>
        <w:tc>
          <w:tcPr>
            <w:tcW w:w="891"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0.82</w:t>
            </w:r>
          </w:p>
          <w:p w:rsidR="00165BAD" w:rsidRPr="00B772EF" w:rsidRDefault="00165BAD" w:rsidP="00785128">
            <w:pPr>
              <w:keepNext/>
              <w:keepLines/>
              <w:jc w:val="center"/>
              <w:rPr>
                <w:sz w:val="20"/>
                <w:szCs w:val="20"/>
                <w:lang w:val="en-US"/>
              </w:rPr>
            </w:pPr>
            <w:r w:rsidRPr="00B772EF">
              <w:rPr>
                <w:sz w:val="20"/>
                <w:szCs w:val="20"/>
                <w:lang w:val="en-US"/>
              </w:rPr>
              <w:t>(0.003)</w:t>
            </w:r>
          </w:p>
        </w:tc>
      </w:tr>
      <w:tr w:rsidR="00165BAD" w:rsidRPr="00B772EF" w:rsidTr="006D0014">
        <w:trPr>
          <w:gridAfter w:val="2"/>
          <w:wAfter w:w="243"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color w:val="000000"/>
                <w:sz w:val="20"/>
                <w:szCs w:val="20"/>
                <w:lang w:val="en-US"/>
              </w:rPr>
              <w:t>Proportion born in the 1</w:t>
            </w:r>
            <w:r w:rsidRPr="00B772EF">
              <w:rPr>
                <w:color w:val="000000"/>
                <w:sz w:val="20"/>
                <w:szCs w:val="20"/>
                <w:vertAlign w:val="superscript"/>
                <w:lang w:val="en-US"/>
              </w:rPr>
              <w:t>st</w:t>
            </w:r>
            <w:r w:rsidRPr="00B772EF">
              <w:rPr>
                <w:color w:val="000000"/>
                <w:sz w:val="20"/>
                <w:szCs w:val="20"/>
                <w:lang w:val="en-US"/>
              </w:rPr>
              <w:t xml:space="preserve"> semester</w:t>
            </w:r>
          </w:p>
        </w:tc>
        <w:tc>
          <w:tcPr>
            <w:tcW w:w="992" w:type="dxa"/>
            <w:tcBorders>
              <w:top w:val="nil"/>
              <w:left w:val="nil"/>
              <w:bottom w:val="nil"/>
              <w:right w:val="nil"/>
            </w:tcBorders>
            <w:vAlign w:val="center"/>
          </w:tcPr>
          <w:p w:rsidR="00165BAD" w:rsidRPr="00B772EF" w:rsidRDefault="00165BAD" w:rsidP="00785128">
            <w:pPr>
              <w:keepNext/>
              <w:keepLines/>
              <w:jc w:val="center"/>
              <w:rPr>
                <w:color w:val="000000"/>
                <w:sz w:val="20"/>
                <w:szCs w:val="20"/>
              </w:rPr>
            </w:pPr>
            <w:r w:rsidRPr="00B772EF">
              <w:rPr>
                <w:color w:val="000000"/>
                <w:sz w:val="20"/>
                <w:szCs w:val="20"/>
              </w:rPr>
              <w:t>2.60</w:t>
            </w:r>
          </w:p>
          <w:p w:rsidR="00165BAD" w:rsidRPr="00B772EF" w:rsidRDefault="00E92D6A" w:rsidP="00785128">
            <w:pPr>
              <w:keepNext/>
              <w:keepLines/>
              <w:jc w:val="center"/>
              <w:rPr>
                <w:color w:val="000000"/>
                <w:sz w:val="20"/>
                <w:szCs w:val="20"/>
                <w:lang w:eastAsia="pt-BR"/>
              </w:rPr>
            </w:pPr>
            <w:r>
              <w:rPr>
                <w:color w:val="000000"/>
                <w:sz w:val="20"/>
                <w:szCs w:val="20"/>
              </w:rPr>
              <w:t>(0.67</w:t>
            </w:r>
            <w:r w:rsidR="00165BAD" w:rsidRPr="00B772EF">
              <w:rPr>
                <w:color w:val="000000"/>
                <w:sz w:val="20"/>
                <w:szCs w:val="20"/>
              </w:rPr>
              <w:t>)</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275"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3.96</w:t>
            </w:r>
          </w:p>
          <w:p w:rsidR="00165BAD" w:rsidRPr="00B772EF" w:rsidRDefault="00165BAD" w:rsidP="00785128">
            <w:pPr>
              <w:keepNext/>
              <w:keepLines/>
              <w:jc w:val="center"/>
              <w:rPr>
                <w:sz w:val="20"/>
                <w:szCs w:val="20"/>
                <w:lang w:val="en-US"/>
              </w:rPr>
            </w:pPr>
            <w:r w:rsidRPr="00B772EF">
              <w:rPr>
                <w:sz w:val="20"/>
                <w:szCs w:val="20"/>
                <w:lang w:val="en-US"/>
              </w:rPr>
              <w:t>(0.59)</w:t>
            </w:r>
          </w:p>
        </w:tc>
        <w:tc>
          <w:tcPr>
            <w:tcW w:w="105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891"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r>
      <w:tr w:rsidR="00165BAD" w:rsidRPr="00B772EF" w:rsidTr="006D0014">
        <w:trPr>
          <w:gridAfter w:val="2"/>
          <w:wAfter w:w="243"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color w:val="000000"/>
                <w:sz w:val="20"/>
                <w:szCs w:val="20"/>
                <w:lang w:val="en-US"/>
              </w:rPr>
              <w:t>Proportion born in the 2</w:t>
            </w:r>
            <w:r w:rsidRPr="00B772EF">
              <w:rPr>
                <w:color w:val="000000"/>
                <w:sz w:val="20"/>
                <w:szCs w:val="20"/>
                <w:vertAlign w:val="superscript"/>
                <w:lang w:val="en-US"/>
              </w:rPr>
              <w:t>nd</w:t>
            </w:r>
            <w:r w:rsidRPr="00B772EF">
              <w:rPr>
                <w:color w:val="000000"/>
                <w:sz w:val="20"/>
                <w:szCs w:val="20"/>
                <w:lang w:val="en-US"/>
              </w:rPr>
              <w:t xml:space="preserve"> semester</w:t>
            </w:r>
          </w:p>
        </w:tc>
        <w:tc>
          <w:tcPr>
            <w:tcW w:w="992" w:type="dxa"/>
            <w:tcBorders>
              <w:top w:val="nil"/>
              <w:left w:val="nil"/>
              <w:bottom w:val="nil"/>
              <w:right w:val="nil"/>
            </w:tcBorders>
            <w:vAlign w:val="center"/>
          </w:tcPr>
          <w:p w:rsidR="00165BAD" w:rsidRPr="00B772EF" w:rsidRDefault="00165BAD" w:rsidP="00785128">
            <w:pPr>
              <w:keepNext/>
              <w:keepLines/>
              <w:jc w:val="center"/>
              <w:rPr>
                <w:color w:val="000000"/>
                <w:sz w:val="20"/>
                <w:szCs w:val="20"/>
              </w:rPr>
            </w:pPr>
            <w:r w:rsidRPr="00B772EF">
              <w:rPr>
                <w:color w:val="000000"/>
                <w:sz w:val="20"/>
                <w:szCs w:val="20"/>
              </w:rPr>
              <w:t>14.</w:t>
            </w:r>
            <w:r w:rsidRPr="00B772EF">
              <w:rPr>
                <w:color w:val="000000"/>
                <w:sz w:val="20"/>
                <w:szCs w:val="20"/>
                <w:lang w:eastAsia="pt-BR"/>
              </w:rPr>
              <w:t>2</w:t>
            </w:r>
            <w:r w:rsidR="00E92D6A">
              <w:rPr>
                <w:color w:val="000000"/>
                <w:sz w:val="20"/>
                <w:szCs w:val="20"/>
              </w:rPr>
              <w:t>0</w:t>
            </w:r>
          </w:p>
          <w:p w:rsidR="00165BAD" w:rsidRPr="00B772EF" w:rsidRDefault="00165BAD" w:rsidP="00785128">
            <w:pPr>
              <w:keepNext/>
              <w:keepLines/>
              <w:jc w:val="center"/>
              <w:rPr>
                <w:color w:val="000000"/>
                <w:sz w:val="20"/>
                <w:szCs w:val="20"/>
                <w:lang w:eastAsia="pt-BR"/>
              </w:rPr>
            </w:pPr>
            <w:r w:rsidRPr="00B772EF">
              <w:rPr>
                <w:color w:val="000000"/>
                <w:sz w:val="20"/>
                <w:szCs w:val="20"/>
              </w:rPr>
              <w:t>(0.72)</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275"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13.10</w:t>
            </w:r>
          </w:p>
          <w:p w:rsidR="00165BAD" w:rsidRPr="00B772EF" w:rsidRDefault="00165BAD" w:rsidP="00785128">
            <w:pPr>
              <w:keepNext/>
              <w:keepLines/>
              <w:jc w:val="center"/>
              <w:rPr>
                <w:sz w:val="20"/>
                <w:szCs w:val="20"/>
                <w:lang w:val="en-US"/>
              </w:rPr>
            </w:pPr>
            <w:r w:rsidRPr="00B772EF">
              <w:rPr>
                <w:sz w:val="20"/>
                <w:szCs w:val="20"/>
                <w:lang w:val="en-US"/>
              </w:rPr>
              <w:t>(0.63)</w:t>
            </w:r>
          </w:p>
        </w:tc>
        <w:tc>
          <w:tcPr>
            <w:tcW w:w="105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891"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r>
      <w:tr w:rsidR="00165BAD" w:rsidRPr="00B772EF" w:rsidTr="006D0014">
        <w:trPr>
          <w:gridAfter w:val="3"/>
          <w:wAfter w:w="319" w:type="dxa"/>
          <w:jc w:val="center"/>
        </w:trPr>
        <w:tc>
          <w:tcPr>
            <w:tcW w:w="8720" w:type="dxa"/>
            <w:gridSpan w:val="10"/>
            <w:tcBorders>
              <w:top w:val="nil"/>
              <w:left w:val="nil"/>
              <w:bottom w:val="nil"/>
              <w:right w:val="nil"/>
            </w:tcBorders>
            <w:vAlign w:val="center"/>
          </w:tcPr>
          <w:p w:rsidR="00165BAD" w:rsidRPr="00B772EF" w:rsidRDefault="00165BAD" w:rsidP="00785128">
            <w:pPr>
              <w:keepNext/>
              <w:keepLines/>
              <w:rPr>
                <w:sz w:val="20"/>
                <w:szCs w:val="20"/>
                <w:lang w:val="en-US"/>
              </w:rPr>
            </w:pPr>
            <w:r w:rsidRPr="00B772EF">
              <w:rPr>
                <w:i/>
                <w:sz w:val="20"/>
                <w:szCs w:val="20"/>
                <w:lang w:val="en-US"/>
              </w:rPr>
              <w:t>Individual characteristics</w:t>
            </w: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sz w:val="20"/>
                <w:szCs w:val="20"/>
                <w:lang w:val="en-US"/>
              </w:rPr>
              <w:t>Born 1</w:t>
            </w:r>
            <w:r w:rsidRPr="00B772EF">
              <w:rPr>
                <w:sz w:val="20"/>
                <w:szCs w:val="20"/>
                <w:vertAlign w:val="superscript"/>
                <w:lang w:val="en-US"/>
              </w:rPr>
              <w:t>st</w:t>
            </w:r>
            <w:r w:rsidRPr="00B772EF">
              <w:rPr>
                <w:sz w:val="20"/>
                <w:szCs w:val="20"/>
                <w:lang w:val="en-US"/>
              </w:rPr>
              <w:t xml:space="preserve"> semester</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-0.17</w:t>
            </w:r>
          </w:p>
          <w:p w:rsidR="00165BAD" w:rsidRPr="00B772EF" w:rsidRDefault="00165BAD" w:rsidP="00785128">
            <w:pPr>
              <w:keepNext/>
              <w:keepLines/>
              <w:jc w:val="center"/>
              <w:rPr>
                <w:sz w:val="20"/>
                <w:szCs w:val="20"/>
                <w:lang w:val="en-US"/>
              </w:rPr>
            </w:pPr>
            <w:r w:rsidRPr="00B772EF">
              <w:rPr>
                <w:sz w:val="20"/>
                <w:szCs w:val="20"/>
                <w:lang w:val="en-US"/>
              </w:rPr>
              <w:t>(0.10)</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2.02</w:t>
            </w:r>
          </w:p>
          <w:p w:rsidR="00165BAD" w:rsidRPr="00B772EF" w:rsidRDefault="00165BAD" w:rsidP="00785128">
            <w:pPr>
              <w:keepNext/>
              <w:keepLines/>
              <w:jc w:val="center"/>
              <w:rPr>
                <w:sz w:val="20"/>
                <w:szCs w:val="20"/>
                <w:lang w:val="en-US"/>
              </w:rPr>
            </w:pPr>
            <w:r w:rsidRPr="00B772EF">
              <w:rPr>
                <w:sz w:val="20"/>
                <w:szCs w:val="20"/>
                <w:lang w:val="en-US"/>
              </w:rPr>
              <w:t>(0.21)</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2.07</w:t>
            </w:r>
          </w:p>
          <w:p w:rsidR="00165BAD" w:rsidRPr="00B772EF" w:rsidRDefault="00165BAD" w:rsidP="00785128">
            <w:pPr>
              <w:keepNext/>
              <w:keepLines/>
              <w:jc w:val="center"/>
              <w:rPr>
                <w:sz w:val="20"/>
                <w:szCs w:val="20"/>
                <w:lang w:val="en-US"/>
              </w:rPr>
            </w:pPr>
            <w:r w:rsidRPr="00B772EF">
              <w:rPr>
                <w:sz w:val="20"/>
                <w:szCs w:val="20"/>
                <w:lang w:val="en-US"/>
              </w:rPr>
              <w:t>(3.81)</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-0.17</w:t>
            </w:r>
          </w:p>
          <w:p w:rsidR="00165BAD" w:rsidRPr="00B772EF" w:rsidRDefault="00165BAD" w:rsidP="00785128">
            <w:pPr>
              <w:keepNext/>
              <w:keepLines/>
              <w:jc w:val="center"/>
              <w:rPr>
                <w:sz w:val="20"/>
                <w:szCs w:val="20"/>
                <w:lang w:val="en-US"/>
              </w:rPr>
            </w:pPr>
            <w:r w:rsidRPr="00B772EF">
              <w:rPr>
                <w:sz w:val="20"/>
                <w:szCs w:val="20"/>
                <w:lang w:val="en-US"/>
              </w:rPr>
              <w:t>(0.09)</w:t>
            </w:r>
          </w:p>
        </w:tc>
        <w:tc>
          <w:tcPr>
            <w:tcW w:w="1134"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1.72</w:t>
            </w:r>
          </w:p>
          <w:p w:rsidR="00165BAD" w:rsidRPr="00B772EF" w:rsidRDefault="00052535" w:rsidP="00785128">
            <w:pPr>
              <w:keepNext/>
              <w:keepLines/>
              <w:jc w:val="center"/>
              <w:rPr>
                <w:sz w:val="20"/>
                <w:szCs w:val="20"/>
                <w:lang w:val="en-US"/>
              </w:rPr>
            </w:pPr>
            <w:r>
              <w:rPr>
                <w:sz w:val="20"/>
                <w:szCs w:val="20"/>
                <w:lang w:val="en-US"/>
              </w:rPr>
              <w:t>(0.20</w:t>
            </w:r>
            <w:r w:rsidR="00165BAD" w:rsidRPr="00B772EF">
              <w:rPr>
                <w:sz w:val="20"/>
                <w:szCs w:val="20"/>
                <w:lang w:val="en-US"/>
              </w:rPr>
              <w:t>)</w:t>
            </w: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1.76</w:t>
            </w:r>
          </w:p>
          <w:p w:rsidR="00165BAD" w:rsidRPr="00B772EF" w:rsidRDefault="00165BAD" w:rsidP="00785128">
            <w:pPr>
              <w:keepNext/>
              <w:keepLines/>
              <w:jc w:val="center"/>
              <w:rPr>
                <w:sz w:val="20"/>
                <w:szCs w:val="20"/>
                <w:lang w:val="en-US"/>
              </w:rPr>
            </w:pPr>
            <w:r w:rsidRPr="00B772EF">
              <w:rPr>
                <w:sz w:val="20"/>
                <w:szCs w:val="20"/>
                <w:lang w:val="en-US"/>
              </w:rPr>
              <w:t>(0.20)</w:t>
            </w: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sz w:val="20"/>
                <w:szCs w:val="20"/>
                <w:lang w:val="en-US"/>
              </w:rPr>
              <w:t>Born 2</w:t>
            </w:r>
            <w:r w:rsidRPr="00B772EF">
              <w:rPr>
                <w:sz w:val="20"/>
                <w:szCs w:val="20"/>
                <w:vertAlign w:val="superscript"/>
                <w:lang w:val="en-US"/>
              </w:rPr>
              <w:t>nd</w:t>
            </w:r>
            <w:r w:rsidRPr="00B772EF">
              <w:rPr>
                <w:sz w:val="20"/>
                <w:szCs w:val="20"/>
                <w:lang w:val="en-US"/>
              </w:rPr>
              <w:t xml:space="preserve"> semester</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0.02</w:t>
            </w:r>
          </w:p>
          <w:p w:rsidR="00165BAD" w:rsidRPr="00B772EF" w:rsidRDefault="00165BAD" w:rsidP="00785128">
            <w:pPr>
              <w:keepNext/>
              <w:keepLines/>
              <w:jc w:val="center"/>
              <w:rPr>
                <w:sz w:val="20"/>
                <w:szCs w:val="20"/>
                <w:lang w:val="en-US"/>
              </w:rPr>
            </w:pPr>
            <w:r w:rsidRPr="00B772EF">
              <w:rPr>
                <w:sz w:val="20"/>
                <w:szCs w:val="20"/>
                <w:lang w:val="en-US"/>
              </w:rPr>
              <w:t>(0.10)</w:t>
            </w:r>
          </w:p>
        </w:tc>
        <w:tc>
          <w:tcPr>
            <w:tcW w:w="1134" w:type="dxa"/>
            <w:tcBorders>
              <w:top w:val="nil"/>
              <w:left w:val="nil"/>
              <w:bottom w:val="nil"/>
              <w:right w:val="nil"/>
            </w:tcBorders>
            <w:vAlign w:val="center"/>
          </w:tcPr>
          <w:p w:rsidR="00165BAD" w:rsidRPr="00B772EF" w:rsidRDefault="00E92D6A" w:rsidP="00785128">
            <w:pPr>
              <w:keepNext/>
              <w:keepLines/>
              <w:jc w:val="center"/>
              <w:rPr>
                <w:sz w:val="20"/>
                <w:szCs w:val="20"/>
                <w:lang w:val="en-US"/>
              </w:rPr>
            </w:pPr>
            <w:r>
              <w:rPr>
                <w:sz w:val="20"/>
                <w:szCs w:val="20"/>
                <w:lang w:val="en-US"/>
              </w:rPr>
              <w:t>3.88</w:t>
            </w:r>
          </w:p>
          <w:p w:rsidR="00165BAD" w:rsidRPr="00B772EF" w:rsidRDefault="00165BAD" w:rsidP="00785128">
            <w:pPr>
              <w:keepNext/>
              <w:keepLines/>
              <w:jc w:val="center"/>
              <w:rPr>
                <w:sz w:val="20"/>
                <w:szCs w:val="20"/>
                <w:lang w:val="en-US"/>
              </w:rPr>
            </w:pPr>
            <w:r w:rsidRPr="00B772EF">
              <w:rPr>
                <w:sz w:val="20"/>
                <w:szCs w:val="20"/>
                <w:lang w:val="en-US"/>
              </w:rPr>
              <w:t>(0.22)</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3.81</w:t>
            </w:r>
          </w:p>
          <w:p w:rsidR="00165BAD" w:rsidRPr="00B772EF" w:rsidRDefault="00165BAD" w:rsidP="00785128">
            <w:pPr>
              <w:keepNext/>
              <w:keepLines/>
              <w:jc w:val="center"/>
              <w:rPr>
                <w:sz w:val="20"/>
                <w:szCs w:val="20"/>
                <w:lang w:val="en-US"/>
              </w:rPr>
            </w:pPr>
            <w:r w:rsidRPr="00B772EF">
              <w:rPr>
                <w:sz w:val="20"/>
                <w:szCs w:val="20"/>
                <w:lang w:val="en-US"/>
              </w:rPr>
              <w:t>(0.22)</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0.002</w:t>
            </w:r>
          </w:p>
          <w:p w:rsidR="00165BAD" w:rsidRPr="00B772EF" w:rsidRDefault="00165BAD" w:rsidP="00785128">
            <w:pPr>
              <w:keepNext/>
              <w:keepLines/>
              <w:jc w:val="center"/>
              <w:rPr>
                <w:sz w:val="20"/>
                <w:szCs w:val="20"/>
                <w:lang w:val="en-US"/>
              </w:rPr>
            </w:pPr>
            <w:r w:rsidRPr="00B772EF">
              <w:rPr>
                <w:sz w:val="20"/>
                <w:szCs w:val="20"/>
                <w:lang w:val="en-US"/>
              </w:rPr>
              <w:t>(0.09)</w:t>
            </w:r>
          </w:p>
        </w:tc>
        <w:tc>
          <w:tcPr>
            <w:tcW w:w="1134"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3.37</w:t>
            </w:r>
          </w:p>
          <w:p w:rsidR="00165BAD" w:rsidRPr="00B772EF" w:rsidRDefault="00165BAD" w:rsidP="00785128">
            <w:pPr>
              <w:keepNext/>
              <w:keepLines/>
              <w:jc w:val="center"/>
              <w:rPr>
                <w:sz w:val="20"/>
                <w:szCs w:val="20"/>
                <w:lang w:val="en-US"/>
              </w:rPr>
            </w:pPr>
            <w:r w:rsidRPr="00B772EF">
              <w:rPr>
                <w:sz w:val="20"/>
                <w:szCs w:val="20"/>
                <w:lang w:val="en-US"/>
              </w:rPr>
              <w:t>(0.21)</w:t>
            </w: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3.31</w:t>
            </w:r>
          </w:p>
          <w:p w:rsidR="00165BAD" w:rsidRPr="00B772EF" w:rsidRDefault="00165BAD" w:rsidP="00785128">
            <w:pPr>
              <w:keepNext/>
              <w:keepLines/>
              <w:jc w:val="center"/>
              <w:rPr>
                <w:sz w:val="20"/>
                <w:szCs w:val="20"/>
                <w:lang w:val="en-US"/>
              </w:rPr>
            </w:pPr>
            <w:r w:rsidRPr="00B772EF">
              <w:rPr>
                <w:sz w:val="20"/>
                <w:szCs w:val="20"/>
                <w:lang w:val="en-US"/>
              </w:rPr>
              <w:t>(0.21)</w:t>
            </w: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34"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sz w:val="20"/>
                <w:szCs w:val="20"/>
                <w:lang w:val="en-US"/>
              </w:rPr>
              <w:t>Additional controls</w:t>
            </w:r>
            <w:r w:rsidRPr="00B772EF">
              <w:rPr>
                <w:sz w:val="20"/>
                <w:szCs w:val="20"/>
                <w:vertAlign w:val="superscript"/>
                <w:lang w:val="en-US"/>
              </w:rPr>
              <w:t>*</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Yes</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Yes</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Yes</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Yes</w:t>
            </w:r>
          </w:p>
        </w:tc>
        <w:tc>
          <w:tcPr>
            <w:tcW w:w="1134"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Yes</w:t>
            </w: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Yes</w:t>
            </w: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34"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B772EF" w:rsidRDefault="00165BAD" w:rsidP="00785128">
            <w:pPr>
              <w:keepNext/>
              <w:keepLines/>
              <w:rPr>
                <w:sz w:val="20"/>
                <w:szCs w:val="20"/>
                <w:lang w:val="en-US"/>
              </w:rPr>
            </w:pPr>
            <w:r w:rsidRPr="00B772EF">
              <w:rPr>
                <w:sz w:val="20"/>
                <w:szCs w:val="20"/>
                <w:lang w:val="en-US"/>
              </w:rPr>
              <w:t>R</w:t>
            </w:r>
            <w:r w:rsidRPr="00B772EF">
              <w:rPr>
                <w:sz w:val="20"/>
                <w:szCs w:val="20"/>
                <w:vertAlign w:val="superscript"/>
                <w:lang w:val="en-US"/>
              </w:rPr>
              <w:t>2</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0.49</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0.3</w:t>
            </w:r>
            <w:r w:rsidR="00E92D6A">
              <w:rPr>
                <w:sz w:val="20"/>
                <w:szCs w:val="20"/>
                <w:lang w:val="en-US"/>
              </w:rPr>
              <w:t>2</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0.33</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0.48</w:t>
            </w:r>
          </w:p>
        </w:tc>
        <w:tc>
          <w:tcPr>
            <w:tcW w:w="1134"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0.31</w:t>
            </w: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0.32</w:t>
            </w: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355234" w:rsidRDefault="00165BAD" w:rsidP="00785128">
            <w:pPr>
              <w:keepNext/>
              <w:keepLines/>
              <w:rPr>
                <w:sz w:val="20"/>
                <w:szCs w:val="20"/>
                <w:highlight w:val="yellow"/>
                <w:lang w:val="en-US"/>
              </w:rPr>
            </w:pP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34" w:type="dxa"/>
            <w:tcBorders>
              <w:top w:val="nil"/>
              <w:left w:val="nil"/>
              <w:bottom w:val="nil"/>
              <w:right w:val="nil"/>
            </w:tcBorders>
            <w:vAlign w:val="center"/>
          </w:tcPr>
          <w:p w:rsidR="00165BAD" w:rsidRPr="00F02C79" w:rsidRDefault="00165BAD" w:rsidP="00785128">
            <w:pPr>
              <w:keepNext/>
              <w:keepLines/>
              <w:jc w:val="center"/>
              <w:rPr>
                <w:sz w:val="20"/>
                <w:szCs w:val="20"/>
                <w:lang w:val="en-US"/>
              </w:rPr>
            </w:pPr>
          </w:p>
        </w:tc>
        <w:tc>
          <w:tcPr>
            <w:tcW w:w="981" w:type="dxa"/>
            <w:tcBorders>
              <w:top w:val="nil"/>
              <w:left w:val="nil"/>
              <w:bottom w:val="nil"/>
              <w:right w:val="nil"/>
            </w:tcBorders>
            <w:vAlign w:val="center"/>
          </w:tcPr>
          <w:p w:rsidR="00165BAD" w:rsidRDefault="00165BAD" w:rsidP="00785128">
            <w:pPr>
              <w:keepNext/>
              <w:keepLines/>
              <w:jc w:val="center"/>
              <w:rPr>
                <w:sz w:val="20"/>
                <w:szCs w:val="20"/>
                <w:lang w:val="en-US"/>
              </w:rPr>
            </w:pP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Default="00165BAD" w:rsidP="00785128">
            <w:pPr>
              <w:keepNext/>
              <w:keepLines/>
              <w:jc w:val="center"/>
              <w:rPr>
                <w:sz w:val="20"/>
                <w:szCs w:val="20"/>
                <w:lang w:val="en-US"/>
              </w:rPr>
            </w:pPr>
          </w:p>
        </w:tc>
        <w:tc>
          <w:tcPr>
            <w:tcW w:w="1134" w:type="dxa"/>
            <w:gridSpan w:val="2"/>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992" w:type="dxa"/>
            <w:gridSpan w:val="3"/>
            <w:tcBorders>
              <w:top w:val="nil"/>
              <w:left w:val="nil"/>
              <w:bottom w:val="nil"/>
              <w:right w:val="nil"/>
            </w:tcBorders>
            <w:vAlign w:val="center"/>
          </w:tcPr>
          <w:p w:rsidR="00165BAD" w:rsidRDefault="00165BAD" w:rsidP="00785128">
            <w:pPr>
              <w:keepNext/>
              <w:keepLines/>
              <w:jc w:val="center"/>
              <w:rPr>
                <w:sz w:val="20"/>
                <w:szCs w:val="20"/>
                <w:lang w:val="en-US"/>
              </w:rPr>
            </w:pP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34376D" w:rsidRDefault="00165BAD" w:rsidP="00785128">
            <w:pPr>
              <w:keepNext/>
              <w:keepLines/>
              <w:rPr>
                <w:sz w:val="20"/>
                <w:szCs w:val="20"/>
                <w:lang w:val="en-US"/>
              </w:rPr>
            </w:pPr>
            <w:r w:rsidRPr="0034376D">
              <w:rPr>
                <w:sz w:val="20"/>
                <w:szCs w:val="20"/>
                <w:lang w:val="en-US"/>
              </w:rPr>
              <w:t>H</w:t>
            </w:r>
            <w:r w:rsidRPr="0034376D">
              <w:rPr>
                <w:sz w:val="20"/>
                <w:szCs w:val="20"/>
                <w:vertAlign w:val="subscript"/>
                <w:lang w:val="en-US"/>
              </w:rPr>
              <w:t>0</w:t>
            </w:r>
            <w:r w:rsidRPr="0034376D">
              <w:rPr>
                <w:sz w:val="20"/>
                <w:szCs w:val="20"/>
                <w:lang w:val="en-US"/>
              </w:rPr>
              <w:t xml:space="preserve"> = “Peers average math grade” exogenous</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134" w:type="dxa"/>
            <w:tcBorders>
              <w:top w:val="nil"/>
              <w:left w:val="nil"/>
              <w:bottom w:val="nil"/>
              <w:right w:val="nil"/>
            </w:tcBorders>
            <w:vAlign w:val="center"/>
          </w:tcPr>
          <w:p w:rsidR="00165BAD" w:rsidRDefault="00052535" w:rsidP="00785128">
            <w:pPr>
              <w:keepNext/>
              <w:keepLines/>
              <w:jc w:val="center"/>
              <w:rPr>
                <w:sz w:val="20"/>
                <w:szCs w:val="20"/>
                <w:lang w:val="en-US"/>
              </w:rPr>
            </w:pPr>
            <w:r>
              <w:rPr>
                <w:sz w:val="20"/>
                <w:szCs w:val="20"/>
                <w:lang w:val="en-US"/>
              </w:rPr>
              <w:t>18.69</w:t>
            </w:r>
          </w:p>
          <w:p w:rsidR="00165BAD" w:rsidRPr="00B772EF" w:rsidRDefault="00165BAD" w:rsidP="00785128">
            <w:pPr>
              <w:keepNext/>
              <w:keepLines/>
              <w:jc w:val="center"/>
              <w:rPr>
                <w:sz w:val="20"/>
                <w:szCs w:val="20"/>
                <w:lang w:val="en-US"/>
              </w:rPr>
            </w:pPr>
            <w:r w:rsidRPr="00F02C79">
              <w:rPr>
                <w:sz w:val="20"/>
                <w:szCs w:val="20"/>
                <w:lang w:val="en-US"/>
              </w:rPr>
              <w:t>(p = 0.00</w:t>
            </w:r>
            <w:r>
              <w:rPr>
                <w:sz w:val="20"/>
                <w:szCs w:val="20"/>
                <w:lang w:val="en-US"/>
              </w:rPr>
              <w:t>0</w:t>
            </w:r>
            <w:r w:rsidRPr="00F02C79">
              <w:rPr>
                <w:sz w:val="20"/>
                <w:szCs w:val="20"/>
                <w:lang w:val="en-US"/>
              </w:rPr>
              <w:t>)</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1134" w:type="dxa"/>
            <w:gridSpan w:val="2"/>
            <w:tcBorders>
              <w:top w:val="nil"/>
              <w:left w:val="nil"/>
              <w:bottom w:val="nil"/>
              <w:right w:val="nil"/>
            </w:tcBorders>
            <w:vAlign w:val="center"/>
          </w:tcPr>
          <w:p w:rsidR="00165BAD" w:rsidRPr="00B772EF" w:rsidRDefault="00AB4EA5" w:rsidP="00785128">
            <w:pPr>
              <w:keepNext/>
              <w:keepLines/>
              <w:jc w:val="center"/>
              <w:rPr>
                <w:sz w:val="20"/>
                <w:szCs w:val="20"/>
                <w:lang w:val="en-US"/>
              </w:rPr>
            </w:pPr>
            <w:r>
              <w:rPr>
                <w:sz w:val="20"/>
                <w:szCs w:val="20"/>
                <w:lang w:val="en-US"/>
              </w:rPr>
              <w:t>-</w:t>
            </w: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34376D" w:rsidRDefault="00165BAD" w:rsidP="00785128">
            <w:pPr>
              <w:keepNext/>
              <w:keepLines/>
              <w:rPr>
                <w:sz w:val="20"/>
                <w:szCs w:val="20"/>
                <w:lang w:val="en-US"/>
              </w:rPr>
            </w:pPr>
            <w:r w:rsidRPr="0034376D">
              <w:rPr>
                <w:sz w:val="20"/>
                <w:szCs w:val="20"/>
                <w:lang w:val="en-US"/>
              </w:rPr>
              <w:t>H</w:t>
            </w:r>
            <w:r w:rsidRPr="0034376D">
              <w:rPr>
                <w:sz w:val="20"/>
                <w:szCs w:val="20"/>
                <w:vertAlign w:val="subscript"/>
                <w:lang w:val="en-US"/>
              </w:rPr>
              <w:t>0</w:t>
            </w:r>
            <w:r w:rsidRPr="0034376D">
              <w:rPr>
                <w:sz w:val="20"/>
                <w:szCs w:val="20"/>
                <w:lang w:val="en-US"/>
              </w:rPr>
              <w:t xml:space="preserve"> = “Peers average Port. Lang. grade” exogenous</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134"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1134" w:type="dxa"/>
            <w:gridSpan w:val="2"/>
            <w:tcBorders>
              <w:top w:val="nil"/>
              <w:left w:val="nil"/>
              <w:bottom w:val="nil"/>
              <w:right w:val="nil"/>
            </w:tcBorders>
            <w:vAlign w:val="center"/>
          </w:tcPr>
          <w:p w:rsidR="00165BAD" w:rsidRDefault="00E7552F" w:rsidP="00785128">
            <w:pPr>
              <w:keepNext/>
              <w:keepLines/>
              <w:jc w:val="center"/>
              <w:rPr>
                <w:sz w:val="20"/>
                <w:szCs w:val="20"/>
                <w:lang w:val="en-US"/>
              </w:rPr>
            </w:pPr>
            <w:r>
              <w:rPr>
                <w:sz w:val="20"/>
                <w:szCs w:val="20"/>
                <w:lang w:val="en-US"/>
              </w:rPr>
              <w:t>9.94</w:t>
            </w:r>
          </w:p>
          <w:p w:rsidR="00165BAD" w:rsidRPr="00B772EF" w:rsidRDefault="00165BAD" w:rsidP="00785128">
            <w:pPr>
              <w:keepNext/>
              <w:keepLines/>
              <w:jc w:val="center"/>
              <w:rPr>
                <w:sz w:val="20"/>
                <w:szCs w:val="20"/>
                <w:lang w:val="en-US"/>
              </w:rPr>
            </w:pPr>
            <w:r w:rsidRPr="000D7511">
              <w:rPr>
                <w:sz w:val="20"/>
                <w:szCs w:val="20"/>
                <w:lang w:val="en-US"/>
              </w:rPr>
              <w:t>(p = 0.00</w:t>
            </w:r>
            <w:r>
              <w:rPr>
                <w:sz w:val="20"/>
                <w:szCs w:val="20"/>
                <w:lang w:val="en-US"/>
              </w:rPr>
              <w:t>2</w:t>
            </w:r>
            <w:r w:rsidRPr="000D7511">
              <w:rPr>
                <w:sz w:val="20"/>
                <w:szCs w:val="20"/>
                <w:lang w:val="en-US"/>
              </w:rPr>
              <w:t>)</w:t>
            </w: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r>
      <w:tr w:rsidR="00165BAD" w:rsidRPr="00B772EF" w:rsidTr="006D0014">
        <w:trPr>
          <w:gridAfter w:val="1"/>
          <w:wAfter w:w="142" w:type="dxa"/>
          <w:jc w:val="center"/>
        </w:trPr>
        <w:tc>
          <w:tcPr>
            <w:tcW w:w="2235" w:type="dxa"/>
            <w:gridSpan w:val="2"/>
            <w:tcBorders>
              <w:top w:val="nil"/>
              <w:left w:val="nil"/>
              <w:bottom w:val="nil"/>
              <w:right w:val="nil"/>
            </w:tcBorders>
          </w:tcPr>
          <w:p w:rsidR="00165BAD" w:rsidRPr="0034376D" w:rsidRDefault="00165BAD" w:rsidP="00785128">
            <w:pPr>
              <w:keepNext/>
              <w:keepLines/>
              <w:rPr>
                <w:sz w:val="20"/>
                <w:szCs w:val="20"/>
                <w:lang w:val="en-US"/>
              </w:rPr>
            </w:pPr>
            <w:r w:rsidRPr="0034376D">
              <w:rPr>
                <w:sz w:val="20"/>
                <w:szCs w:val="20"/>
                <w:lang w:val="en-US"/>
              </w:rPr>
              <w:t>H</w:t>
            </w:r>
            <w:r w:rsidRPr="0034376D">
              <w:rPr>
                <w:sz w:val="20"/>
                <w:szCs w:val="20"/>
                <w:vertAlign w:val="subscript"/>
                <w:lang w:val="en-US"/>
              </w:rPr>
              <w:t>0</w:t>
            </w:r>
            <w:r w:rsidRPr="0034376D">
              <w:rPr>
                <w:sz w:val="20"/>
                <w:szCs w:val="20"/>
                <w:lang w:val="en-US"/>
              </w:rPr>
              <w:t xml:space="preserve"> = Instruments jointly valid (math)</w:t>
            </w:r>
          </w:p>
        </w:tc>
        <w:tc>
          <w:tcPr>
            <w:tcW w:w="992"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134" w:type="dxa"/>
            <w:tcBorders>
              <w:top w:val="nil"/>
              <w:left w:val="nil"/>
              <w:bottom w:val="nil"/>
              <w:right w:val="nil"/>
            </w:tcBorders>
            <w:vAlign w:val="center"/>
          </w:tcPr>
          <w:p w:rsidR="00165BAD" w:rsidRDefault="00165BAD" w:rsidP="00785128">
            <w:pPr>
              <w:keepNext/>
              <w:keepLines/>
              <w:jc w:val="center"/>
              <w:rPr>
                <w:sz w:val="20"/>
                <w:szCs w:val="20"/>
                <w:lang w:val="en-US"/>
              </w:rPr>
            </w:pPr>
            <w:r w:rsidRPr="00F02C79">
              <w:rPr>
                <w:sz w:val="20"/>
                <w:szCs w:val="20"/>
                <w:lang w:val="en-US"/>
              </w:rPr>
              <w:t>3.63</w:t>
            </w:r>
          </w:p>
          <w:p w:rsidR="00165BAD" w:rsidRPr="00B772EF" w:rsidRDefault="00165BAD" w:rsidP="00785128">
            <w:pPr>
              <w:keepNext/>
              <w:keepLines/>
              <w:jc w:val="center"/>
              <w:rPr>
                <w:sz w:val="20"/>
                <w:szCs w:val="20"/>
                <w:lang w:val="en-US"/>
              </w:rPr>
            </w:pPr>
            <w:r w:rsidRPr="00F02C79">
              <w:rPr>
                <w:sz w:val="20"/>
                <w:szCs w:val="20"/>
                <w:lang w:val="en-US"/>
              </w:rPr>
              <w:t>(p = 0.0</w:t>
            </w:r>
            <w:r>
              <w:rPr>
                <w:sz w:val="20"/>
                <w:szCs w:val="20"/>
                <w:lang w:val="en-US"/>
              </w:rPr>
              <w:t>6</w:t>
            </w:r>
            <w:r w:rsidRPr="00F02C79">
              <w:rPr>
                <w:sz w:val="20"/>
                <w:szCs w:val="20"/>
                <w:lang w:val="en-US"/>
              </w:rPr>
              <w:t>)</w:t>
            </w:r>
          </w:p>
        </w:tc>
        <w:tc>
          <w:tcPr>
            <w:tcW w:w="981"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236"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1134" w:type="dxa"/>
            <w:gridSpan w:val="2"/>
            <w:tcBorders>
              <w:top w:val="nil"/>
              <w:left w:val="nil"/>
              <w:bottom w:val="nil"/>
              <w:right w:val="nil"/>
            </w:tcBorders>
            <w:vAlign w:val="center"/>
          </w:tcPr>
          <w:p w:rsidR="00165BAD" w:rsidRPr="00B772EF" w:rsidRDefault="00AB4EA5" w:rsidP="00785128">
            <w:pPr>
              <w:keepNext/>
              <w:keepLines/>
              <w:jc w:val="center"/>
              <w:rPr>
                <w:sz w:val="20"/>
                <w:szCs w:val="20"/>
                <w:lang w:val="en-US"/>
              </w:rPr>
            </w:pPr>
            <w:r>
              <w:rPr>
                <w:sz w:val="20"/>
                <w:szCs w:val="20"/>
                <w:lang w:val="en-US"/>
              </w:rPr>
              <w:t>-</w:t>
            </w:r>
          </w:p>
        </w:tc>
        <w:tc>
          <w:tcPr>
            <w:tcW w:w="992" w:type="dxa"/>
            <w:gridSpan w:val="3"/>
            <w:tcBorders>
              <w:top w:val="nil"/>
              <w:left w:val="nil"/>
              <w:bottom w:val="nil"/>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r>
      <w:tr w:rsidR="00165BAD" w:rsidRPr="00B772EF" w:rsidTr="006D0014">
        <w:trPr>
          <w:gridAfter w:val="1"/>
          <w:wAfter w:w="142" w:type="dxa"/>
          <w:jc w:val="center"/>
        </w:trPr>
        <w:tc>
          <w:tcPr>
            <w:tcW w:w="2235" w:type="dxa"/>
            <w:gridSpan w:val="2"/>
            <w:tcBorders>
              <w:top w:val="nil"/>
              <w:left w:val="nil"/>
              <w:bottom w:val="single" w:sz="4" w:space="0" w:color="auto"/>
              <w:right w:val="nil"/>
            </w:tcBorders>
          </w:tcPr>
          <w:p w:rsidR="00165BAD" w:rsidRPr="0034376D" w:rsidRDefault="00165BAD" w:rsidP="00785128">
            <w:pPr>
              <w:keepNext/>
              <w:keepLines/>
              <w:rPr>
                <w:sz w:val="20"/>
                <w:szCs w:val="20"/>
                <w:lang w:val="en-US"/>
              </w:rPr>
            </w:pPr>
            <w:r w:rsidRPr="0034376D">
              <w:rPr>
                <w:sz w:val="20"/>
                <w:szCs w:val="20"/>
                <w:lang w:val="en-US"/>
              </w:rPr>
              <w:t>H</w:t>
            </w:r>
            <w:r w:rsidRPr="0034376D">
              <w:rPr>
                <w:sz w:val="20"/>
                <w:szCs w:val="20"/>
                <w:vertAlign w:val="subscript"/>
                <w:lang w:val="en-US"/>
              </w:rPr>
              <w:t>0</w:t>
            </w:r>
            <w:r w:rsidRPr="0034376D">
              <w:rPr>
                <w:sz w:val="20"/>
                <w:szCs w:val="20"/>
                <w:lang w:val="en-US"/>
              </w:rPr>
              <w:t xml:space="preserve"> = Instruments jointly valid (Port. Lang.)</w:t>
            </w:r>
          </w:p>
        </w:tc>
        <w:tc>
          <w:tcPr>
            <w:tcW w:w="992" w:type="dxa"/>
            <w:tcBorders>
              <w:top w:val="nil"/>
              <w:left w:val="nil"/>
              <w:bottom w:val="single" w:sz="4" w:space="0" w:color="auto"/>
              <w:right w:val="nil"/>
            </w:tcBorders>
            <w:vAlign w:val="center"/>
          </w:tcPr>
          <w:p w:rsidR="00165BAD" w:rsidRPr="00B772EF" w:rsidRDefault="00165BAD" w:rsidP="00785128">
            <w:pPr>
              <w:keepNext/>
              <w:keepLines/>
              <w:jc w:val="center"/>
              <w:rPr>
                <w:sz w:val="20"/>
                <w:szCs w:val="20"/>
                <w:lang w:val="en-US"/>
              </w:rPr>
            </w:pPr>
            <w:r w:rsidRPr="00B772EF">
              <w:rPr>
                <w:sz w:val="20"/>
                <w:szCs w:val="20"/>
                <w:lang w:val="en-US"/>
              </w:rPr>
              <w:t>-</w:t>
            </w:r>
          </w:p>
        </w:tc>
        <w:tc>
          <w:tcPr>
            <w:tcW w:w="1134" w:type="dxa"/>
            <w:tcBorders>
              <w:top w:val="nil"/>
              <w:left w:val="nil"/>
              <w:bottom w:val="single" w:sz="4" w:space="0" w:color="auto"/>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981" w:type="dxa"/>
            <w:tcBorders>
              <w:top w:val="nil"/>
              <w:left w:val="nil"/>
              <w:bottom w:val="single" w:sz="4" w:space="0" w:color="auto"/>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236" w:type="dxa"/>
            <w:tcBorders>
              <w:top w:val="nil"/>
              <w:left w:val="nil"/>
              <w:bottom w:val="single" w:sz="4" w:space="0" w:color="auto"/>
              <w:right w:val="nil"/>
            </w:tcBorders>
            <w:vAlign w:val="center"/>
          </w:tcPr>
          <w:p w:rsidR="00165BAD" w:rsidRPr="00B772EF" w:rsidRDefault="00165BAD" w:rsidP="00785128">
            <w:pPr>
              <w:keepNext/>
              <w:keepLines/>
              <w:jc w:val="center"/>
              <w:rPr>
                <w:sz w:val="20"/>
                <w:szCs w:val="20"/>
                <w:lang w:val="en-US"/>
              </w:rPr>
            </w:pPr>
          </w:p>
        </w:tc>
        <w:tc>
          <w:tcPr>
            <w:tcW w:w="1193" w:type="dxa"/>
            <w:tcBorders>
              <w:top w:val="nil"/>
              <w:left w:val="nil"/>
              <w:bottom w:val="single" w:sz="4" w:space="0" w:color="auto"/>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c>
          <w:tcPr>
            <w:tcW w:w="1134" w:type="dxa"/>
            <w:gridSpan w:val="2"/>
            <w:tcBorders>
              <w:top w:val="nil"/>
              <w:left w:val="nil"/>
              <w:bottom w:val="single" w:sz="4" w:space="0" w:color="auto"/>
              <w:right w:val="nil"/>
            </w:tcBorders>
            <w:vAlign w:val="center"/>
          </w:tcPr>
          <w:p w:rsidR="00165BAD" w:rsidRDefault="00165BAD" w:rsidP="00785128">
            <w:pPr>
              <w:keepNext/>
              <w:keepLines/>
              <w:jc w:val="center"/>
              <w:rPr>
                <w:sz w:val="20"/>
                <w:szCs w:val="20"/>
                <w:lang w:val="en-US"/>
              </w:rPr>
            </w:pPr>
            <w:r>
              <w:rPr>
                <w:sz w:val="20"/>
                <w:szCs w:val="20"/>
                <w:lang w:val="en-US"/>
              </w:rPr>
              <w:t>0</w:t>
            </w:r>
            <w:r w:rsidRPr="000F1EE5">
              <w:rPr>
                <w:sz w:val="20"/>
                <w:szCs w:val="20"/>
                <w:lang w:val="en-US"/>
              </w:rPr>
              <w:t>.49</w:t>
            </w:r>
          </w:p>
          <w:p w:rsidR="00165BAD" w:rsidRPr="00B772EF" w:rsidRDefault="00165BAD" w:rsidP="00785128">
            <w:pPr>
              <w:keepNext/>
              <w:keepLines/>
              <w:jc w:val="center"/>
              <w:rPr>
                <w:sz w:val="20"/>
                <w:szCs w:val="20"/>
                <w:lang w:val="en-US"/>
              </w:rPr>
            </w:pPr>
            <w:r w:rsidRPr="000F1EE5">
              <w:rPr>
                <w:sz w:val="20"/>
                <w:szCs w:val="20"/>
                <w:lang w:val="en-US"/>
              </w:rPr>
              <w:t>(p = 0.48)</w:t>
            </w:r>
          </w:p>
        </w:tc>
        <w:tc>
          <w:tcPr>
            <w:tcW w:w="992" w:type="dxa"/>
            <w:gridSpan w:val="3"/>
            <w:tcBorders>
              <w:top w:val="nil"/>
              <w:left w:val="nil"/>
              <w:bottom w:val="single" w:sz="4" w:space="0" w:color="auto"/>
              <w:right w:val="nil"/>
            </w:tcBorders>
            <w:vAlign w:val="center"/>
          </w:tcPr>
          <w:p w:rsidR="00165BAD" w:rsidRPr="00B772EF" w:rsidRDefault="00165BAD" w:rsidP="00785128">
            <w:pPr>
              <w:keepNext/>
              <w:keepLines/>
              <w:jc w:val="center"/>
              <w:rPr>
                <w:sz w:val="20"/>
                <w:szCs w:val="20"/>
                <w:lang w:val="en-US"/>
              </w:rPr>
            </w:pPr>
            <w:r>
              <w:rPr>
                <w:sz w:val="20"/>
                <w:szCs w:val="20"/>
                <w:lang w:val="en-US"/>
              </w:rPr>
              <w:t>-</w:t>
            </w:r>
          </w:p>
        </w:tc>
      </w:tr>
      <w:tr w:rsidR="00165BAD" w:rsidRPr="00B772EF" w:rsidTr="006D0014">
        <w:trPr>
          <w:gridAfter w:val="1"/>
          <w:wAfter w:w="142" w:type="dxa"/>
          <w:jc w:val="center"/>
        </w:trPr>
        <w:tc>
          <w:tcPr>
            <w:tcW w:w="2235" w:type="dxa"/>
            <w:gridSpan w:val="2"/>
            <w:tcBorders>
              <w:left w:val="nil"/>
              <w:bottom w:val="single" w:sz="4" w:space="0" w:color="auto"/>
              <w:right w:val="nil"/>
            </w:tcBorders>
          </w:tcPr>
          <w:p w:rsidR="00165BAD" w:rsidRPr="00B772EF" w:rsidRDefault="00165BAD" w:rsidP="00785128">
            <w:pPr>
              <w:keepNext/>
              <w:keepLines/>
              <w:rPr>
                <w:sz w:val="20"/>
                <w:szCs w:val="20"/>
                <w:lang w:val="en-US"/>
              </w:rPr>
            </w:pPr>
            <w:r w:rsidRPr="00B772EF">
              <w:rPr>
                <w:sz w:val="20"/>
                <w:szCs w:val="20"/>
                <w:lang w:val="en-US"/>
              </w:rPr>
              <w:t>Nº of observations</w:t>
            </w:r>
          </w:p>
        </w:tc>
        <w:tc>
          <w:tcPr>
            <w:tcW w:w="992" w:type="dxa"/>
            <w:tcBorders>
              <w:left w:val="nil"/>
              <w:bottom w:val="single" w:sz="4" w:space="0" w:color="auto"/>
              <w:right w:val="nil"/>
            </w:tcBorders>
          </w:tcPr>
          <w:p w:rsidR="00165BAD" w:rsidRPr="00B772EF" w:rsidRDefault="00165BAD" w:rsidP="00785128">
            <w:pPr>
              <w:keepNext/>
              <w:keepLines/>
              <w:jc w:val="center"/>
              <w:rPr>
                <w:sz w:val="20"/>
                <w:szCs w:val="20"/>
                <w:lang w:val="en-US"/>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c>
          <w:tcPr>
            <w:tcW w:w="1134" w:type="dxa"/>
            <w:tcBorders>
              <w:left w:val="nil"/>
              <w:bottom w:val="single" w:sz="4" w:space="0" w:color="auto"/>
              <w:right w:val="nil"/>
            </w:tcBorders>
          </w:tcPr>
          <w:p w:rsidR="00165BAD" w:rsidRPr="00B772EF" w:rsidRDefault="00165BAD" w:rsidP="00785128">
            <w:pPr>
              <w:keepNext/>
              <w:keepLines/>
              <w:rPr>
                <w:sz w:val="20"/>
                <w:szCs w:val="20"/>
                <w:lang w:val="en-US"/>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c>
          <w:tcPr>
            <w:tcW w:w="981" w:type="dxa"/>
            <w:tcBorders>
              <w:top w:val="single" w:sz="4" w:space="0" w:color="auto"/>
              <w:left w:val="nil"/>
              <w:bottom w:val="single" w:sz="4" w:space="0" w:color="auto"/>
              <w:right w:val="nil"/>
            </w:tcBorders>
          </w:tcPr>
          <w:p w:rsidR="00165BAD" w:rsidRPr="00B772EF" w:rsidRDefault="00165BAD" w:rsidP="00785128">
            <w:pPr>
              <w:keepNext/>
              <w:keepLines/>
              <w:rPr>
                <w:sz w:val="20"/>
                <w:szCs w:val="20"/>
                <w:lang w:val="en-US"/>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c>
          <w:tcPr>
            <w:tcW w:w="236" w:type="dxa"/>
            <w:tcBorders>
              <w:top w:val="single" w:sz="4" w:space="0" w:color="auto"/>
              <w:left w:val="nil"/>
              <w:bottom w:val="single" w:sz="4" w:space="0" w:color="auto"/>
              <w:right w:val="nil"/>
            </w:tcBorders>
          </w:tcPr>
          <w:p w:rsidR="00165BAD" w:rsidRPr="00B772EF" w:rsidRDefault="00165BAD" w:rsidP="00785128">
            <w:pPr>
              <w:keepNext/>
              <w:keepLines/>
              <w:rPr>
                <w:sz w:val="20"/>
                <w:szCs w:val="20"/>
                <w:lang w:val="en-US"/>
              </w:rPr>
            </w:pPr>
          </w:p>
        </w:tc>
        <w:tc>
          <w:tcPr>
            <w:tcW w:w="1193" w:type="dxa"/>
            <w:tcBorders>
              <w:left w:val="nil"/>
              <w:bottom w:val="single" w:sz="4" w:space="0" w:color="auto"/>
              <w:right w:val="nil"/>
            </w:tcBorders>
          </w:tcPr>
          <w:p w:rsidR="00165BAD" w:rsidRPr="00B772EF" w:rsidRDefault="00165BAD" w:rsidP="00785128">
            <w:pPr>
              <w:keepNext/>
              <w:keepLines/>
              <w:jc w:val="center"/>
              <w:rPr>
                <w:sz w:val="20"/>
                <w:szCs w:val="20"/>
                <w:lang w:val="en-US"/>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c>
          <w:tcPr>
            <w:tcW w:w="1134" w:type="dxa"/>
            <w:gridSpan w:val="2"/>
            <w:tcBorders>
              <w:left w:val="nil"/>
              <w:bottom w:val="single" w:sz="4" w:space="0" w:color="auto"/>
              <w:right w:val="nil"/>
            </w:tcBorders>
          </w:tcPr>
          <w:p w:rsidR="00165BAD" w:rsidRPr="00B772EF" w:rsidRDefault="00165BAD" w:rsidP="00785128">
            <w:pPr>
              <w:keepNext/>
              <w:keepLines/>
              <w:rPr>
                <w:sz w:val="20"/>
                <w:szCs w:val="20"/>
                <w:lang w:val="en-US"/>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c>
          <w:tcPr>
            <w:tcW w:w="992" w:type="dxa"/>
            <w:gridSpan w:val="3"/>
            <w:tcBorders>
              <w:left w:val="nil"/>
              <w:bottom w:val="single" w:sz="4" w:space="0" w:color="auto"/>
              <w:right w:val="nil"/>
            </w:tcBorders>
          </w:tcPr>
          <w:p w:rsidR="00165BAD" w:rsidRPr="00B772EF" w:rsidRDefault="00165BAD" w:rsidP="00785128">
            <w:pPr>
              <w:keepNext/>
              <w:keepLines/>
              <w:rPr>
                <w:sz w:val="20"/>
                <w:szCs w:val="20"/>
                <w:lang w:val="en-US"/>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r>
      <w:tr w:rsidR="00165BAD" w:rsidRPr="00B772EF" w:rsidTr="006D0014">
        <w:trPr>
          <w:gridAfter w:val="3"/>
          <w:wAfter w:w="319" w:type="dxa"/>
          <w:jc w:val="center"/>
        </w:trPr>
        <w:tc>
          <w:tcPr>
            <w:tcW w:w="8720" w:type="dxa"/>
            <w:gridSpan w:val="10"/>
            <w:tcBorders>
              <w:top w:val="single" w:sz="4" w:space="0" w:color="auto"/>
              <w:left w:val="nil"/>
              <w:bottom w:val="nil"/>
              <w:right w:val="nil"/>
            </w:tcBorders>
          </w:tcPr>
          <w:p w:rsidR="00165BAD" w:rsidRPr="00B772EF" w:rsidRDefault="007D3666" w:rsidP="00785128">
            <w:pPr>
              <w:keepNext/>
              <w:keepLines/>
              <w:rPr>
                <w:sz w:val="20"/>
                <w:szCs w:val="20"/>
                <w:lang w:val="en-US"/>
              </w:rPr>
            </w:pPr>
            <w:r>
              <w:rPr>
                <w:sz w:val="20"/>
                <w:szCs w:val="20"/>
                <w:lang w:val="en-US"/>
              </w:rPr>
              <w:t>Source:</w:t>
            </w:r>
            <w:r w:rsidRPr="007D3666">
              <w:rPr>
                <w:sz w:val="20"/>
                <w:szCs w:val="20"/>
                <w:lang w:val="en-US"/>
              </w:rPr>
              <w:t xml:space="preserve"> Original compilation based on </w:t>
            </w:r>
            <w:r w:rsidRPr="007D3666">
              <w:rPr>
                <w:bCs/>
                <w:sz w:val="20"/>
                <w:szCs w:val="20"/>
                <w:lang w:val="en-US"/>
              </w:rPr>
              <w:t xml:space="preserve">MEC/ </w:t>
            </w:r>
            <w:proofErr w:type="spellStart"/>
            <w:r w:rsidRPr="007D3666">
              <w:rPr>
                <w:bCs/>
                <w:sz w:val="20"/>
                <w:szCs w:val="20"/>
                <w:lang w:val="en-US"/>
              </w:rPr>
              <w:t>Inep</w:t>
            </w:r>
            <w:proofErr w:type="spellEnd"/>
            <w:r w:rsidRPr="007D3666">
              <w:rPr>
                <w:bCs/>
                <w:sz w:val="20"/>
                <w:szCs w:val="20"/>
                <w:lang w:val="en-US"/>
              </w:rPr>
              <w:t xml:space="preserve"> (2013).</w:t>
            </w:r>
            <w:r w:rsidR="00165BAD">
              <w:rPr>
                <w:sz w:val="20"/>
                <w:szCs w:val="20"/>
                <w:lang w:val="en-US"/>
              </w:rPr>
              <w:t xml:space="preserve"> </w:t>
            </w:r>
          </w:p>
        </w:tc>
      </w:tr>
      <w:tr w:rsidR="00165BAD" w:rsidRPr="00AA7401" w:rsidTr="006D0014">
        <w:trPr>
          <w:gridAfter w:val="3"/>
          <w:wAfter w:w="319" w:type="dxa"/>
          <w:jc w:val="center"/>
        </w:trPr>
        <w:tc>
          <w:tcPr>
            <w:tcW w:w="8720" w:type="dxa"/>
            <w:gridSpan w:val="10"/>
            <w:tcBorders>
              <w:top w:val="nil"/>
              <w:left w:val="nil"/>
              <w:bottom w:val="nil"/>
              <w:right w:val="nil"/>
            </w:tcBorders>
          </w:tcPr>
          <w:p w:rsidR="00165BAD" w:rsidRPr="00AA7401" w:rsidRDefault="00165BAD" w:rsidP="00785128">
            <w:pPr>
              <w:keepNext/>
              <w:keepLines/>
              <w:jc w:val="both"/>
              <w:rPr>
                <w:sz w:val="20"/>
                <w:szCs w:val="20"/>
                <w:lang w:val="en-US"/>
              </w:rPr>
            </w:pPr>
            <w:r w:rsidRPr="00AA7401">
              <w:rPr>
                <w:sz w:val="20"/>
                <w:szCs w:val="20"/>
                <w:lang w:val="en-US"/>
              </w:rPr>
              <w:t xml:space="preserve">* Additional controls include student </w:t>
            </w:r>
            <w:proofErr w:type="spellStart"/>
            <w:r w:rsidRPr="00AA7401">
              <w:rPr>
                <w:i/>
                <w:sz w:val="20"/>
                <w:szCs w:val="20"/>
                <w:lang w:val="en-US"/>
              </w:rPr>
              <w:t>i</w:t>
            </w:r>
            <w:proofErr w:type="spellEnd"/>
            <w:r w:rsidRPr="00AA7401">
              <w:rPr>
                <w:sz w:val="20"/>
                <w:szCs w:val="20"/>
                <w:lang w:val="en-US"/>
              </w:rPr>
              <w:t xml:space="preserve"> (</w:t>
            </w:r>
            <w:proofErr w:type="spellStart"/>
            <w:r w:rsidRPr="00AA7401">
              <w:rPr>
                <w:i/>
                <w:sz w:val="20"/>
                <w:szCs w:val="20"/>
                <w:lang w:val="en-US"/>
              </w:rPr>
              <w:t>X</w:t>
            </w:r>
            <w:r w:rsidRPr="00AA7401">
              <w:rPr>
                <w:i/>
                <w:sz w:val="20"/>
                <w:szCs w:val="20"/>
                <w:vertAlign w:val="subscript"/>
                <w:lang w:val="en-US"/>
              </w:rPr>
              <w:t>i</w:t>
            </w:r>
            <w:proofErr w:type="gramStart"/>
            <w:r w:rsidRPr="00AA7401">
              <w:rPr>
                <w:i/>
                <w:sz w:val="20"/>
                <w:szCs w:val="20"/>
                <w:vertAlign w:val="subscript"/>
                <w:lang w:val="en-US"/>
              </w:rPr>
              <w:t>,j</w:t>
            </w:r>
            <w:proofErr w:type="spellEnd"/>
            <w:proofErr w:type="gramEnd"/>
            <w:r w:rsidRPr="00AA7401">
              <w:rPr>
                <w:sz w:val="20"/>
                <w:szCs w:val="20"/>
                <w:lang w:val="en-US"/>
              </w:rPr>
              <w:t xml:space="preserve">) and school </w:t>
            </w:r>
            <w:r w:rsidRPr="00AA7401">
              <w:rPr>
                <w:i/>
                <w:sz w:val="20"/>
                <w:szCs w:val="20"/>
                <w:lang w:val="en-US"/>
              </w:rPr>
              <w:t>j</w:t>
            </w:r>
            <w:r w:rsidRPr="00AA7401">
              <w:rPr>
                <w:sz w:val="20"/>
                <w:szCs w:val="20"/>
                <w:lang w:val="en-US"/>
              </w:rPr>
              <w:t xml:space="preserve"> (</w:t>
            </w:r>
            <w:proofErr w:type="spellStart"/>
            <w:r w:rsidRPr="00AA7401">
              <w:rPr>
                <w:i/>
                <w:sz w:val="20"/>
                <w:szCs w:val="20"/>
                <w:lang w:val="en-US"/>
              </w:rPr>
              <w:t>W</w:t>
            </w:r>
            <w:r w:rsidRPr="00AA7401">
              <w:rPr>
                <w:i/>
                <w:sz w:val="20"/>
                <w:szCs w:val="20"/>
                <w:vertAlign w:val="subscript"/>
                <w:lang w:val="en-US"/>
              </w:rPr>
              <w:t>j</w:t>
            </w:r>
            <w:proofErr w:type="spellEnd"/>
            <w:r w:rsidRPr="00AA7401">
              <w:rPr>
                <w:sz w:val="20"/>
                <w:szCs w:val="20"/>
                <w:lang w:val="en-US"/>
              </w:rPr>
              <w:t xml:space="preserve">) characteristics described in </w:t>
            </w:r>
            <w:r w:rsidR="000F75CB" w:rsidRPr="000F75CB">
              <w:rPr>
                <w:sz w:val="20"/>
                <w:szCs w:val="20"/>
                <w:lang w:val="en-US"/>
              </w:rPr>
              <w:t>Table 1</w:t>
            </w:r>
            <w:r w:rsidRPr="00AA7401">
              <w:rPr>
                <w:sz w:val="20"/>
                <w:szCs w:val="20"/>
                <w:lang w:val="en-US"/>
              </w:rPr>
              <w:t>, as well as, state dummies.</w:t>
            </w:r>
          </w:p>
          <w:p w:rsidR="00165BAD" w:rsidRPr="00AA7401" w:rsidRDefault="00165BAD" w:rsidP="00785128">
            <w:pPr>
              <w:keepNext/>
              <w:keepLines/>
              <w:jc w:val="both"/>
              <w:rPr>
                <w:sz w:val="20"/>
                <w:szCs w:val="20"/>
                <w:lang w:val="en-US"/>
              </w:rPr>
            </w:pPr>
            <w:r w:rsidRPr="00AA7401">
              <w:rPr>
                <w:sz w:val="20"/>
                <w:szCs w:val="20"/>
                <w:lang w:val="en-US"/>
              </w:rPr>
              <w:t>Note: The instruments are the proportions of peers born in the first semester (January</w:t>
            </w:r>
            <w:r>
              <w:rPr>
                <w:sz w:val="20"/>
                <w:szCs w:val="20"/>
                <w:lang w:val="en-US"/>
              </w:rPr>
              <w:t xml:space="preserve"> </w:t>
            </w:r>
            <w:r w:rsidRPr="00AA7401">
              <w:rPr>
                <w:sz w:val="20"/>
                <w:szCs w:val="20"/>
                <w:lang w:val="en-US"/>
              </w:rPr>
              <w:t>- June) and in the second semester (July – November), December being the reference.</w:t>
            </w:r>
          </w:p>
        </w:tc>
      </w:tr>
    </w:tbl>
    <w:p w:rsidR="00165BAD" w:rsidRPr="00165BAD" w:rsidRDefault="00165BAD" w:rsidP="00785128"/>
    <w:p w:rsidR="000151EB" w:rsidRDefault="000151EB" w:rsidP="00785128">
      <w:pPr>
        <w:jc w:val="both"/>
      </w:pPr>
    </w:p>
    <w:p w:rsidR="00123880" w:rsidRPr="00B66816" w:rsidRDefault="000F75CB" w:rsidP="00785128">
      <w:pPr>
        <w:jc w:val="both"/>
        <w:rPr>
          <w:i/>
        </w:rPr>
      </w:pPr>
      <w:r>
        <w:rPr>
          <w:i/>
        </w:rPr>
        <w:lastRenderedPageBreak/>
        <w:t>5</w:t>
      </w:r>
      <w:r w:rsidR="00123880" w:rsidRPr="00B66816">
        <w:rPr>
          <w:i/>
        </w:rPr>
        <w:t>.1</w:t>
      </w:r>
      <w:r w:rsidR="00781AAC">
        <w:rPr>
          <w:i/>
        </w:rPr>
        <w:t xml:space="preserve"> </w:t>
      </w:r>
      <w:proofErr w:type="spellStart"/>
      <w:r w:rsidR="003950DB">
        <w:rPr>
          <w:i/>
        </w:rPr>
        <w:t>E</w:t>
      </w:r>
      <w:r w:rsidR="00123880" w:rsidRPr="00B66816">
        <w:rPr>
          <w:i/>
        </w:rPr>
        <w:t>xogeneity</w:t>
      </w:r>
      <w:proofErr w:type="spellEnd"/>
      <w:r w:rsidR="003950DB">
        <w:rPr>
          <w:i/>
        </w:rPr>
        <w:t xml:space="preserve">, </w:t>
      </w:r>
      <w:proofErr w:type="spellStart"/>
      <w:r w:rsidR="003950DB">
        <w:rPr>
          <w:i/>
        </w:rPr>
        <w:t>o</w:t>
      </w:r>
      <w:r w:rsidR="003950DB" w:rsidRPr="00B66816">
        <w:rPr>
          <w:i/>
        </w:rPr>
        <w:t>veridentification</w:t>
      </w:r>
      <w:proofErr w:type="spellEnd"/>
      <w:r w:rsidR="00123880" w:rsidRPr="00B66816">
        <w:rPr>
          <w:i/>
        </w:rPr>
        <w:t xml:space="preserve"> and other robustness tests</w:t>
      </w:r>
    </w:p>
    <w:p w:rsidR="00B66816" w:rsidRDefault="00B66816" w:rsidP="00785128">
      <w:pPr>
        <w:jc w:val="both"/>
        <w:rPr>
          <w:lang w:val="en-US"/>
        </w:rPr>
      </w:pPr>
    </w:p>
    <w:p w:rsidR="0034376D" w:rsidRDefault="003950DB" w:rsidP="00785128">
      <w:pPr>
        <w:jc w:val="both"/>
        <w:rPr>
          <w:lang w:val="en-US"/>
        </w:rPr>
      </w:pPr>
      <w:r>
        <w:rPr>
          <w:lang w:val="en-US"/>
        </w:rPr>
        <w:tab/>
        <w:t xml:space="preserve">The </w:t>
      </w:r>
      <w:proofErr w:type="spellStart"/>
      <w:r>
        <w:rPr>
          <w:lang w:val="en-US"/>
        </w:rPr>
        <w:t>Hausman</w:t>
      </w:r>
      <w:proofErr w:type="spellEnd"/>
      <w:r>
        <w:rPr>
          <w:lang w:val="en-US"/>
        </w:rPr>
        <w:t xml:space="preserve"> tests presented in columns (2) and (5) of </w:t>
      </w:r>
      <w:r w:rsidR="000F75CB" w:rsidRPr="000F75CB">
        <w:rPr>
          <w:lang w:val="en-US"/>
        </w:rPr>
        <w:t>Table 3</w:t>
      </w:r>
      <w:r>
        <w:rPr>
          <w:lang w:val="en-US"/>
        </w:rPr>
        <w:t xml:space="preserve"> reject the null hypothesis that peer</w:t>
      </w:r>
      <w:r w:rsidR="00586C9B">
        <w:rPr>
          <w:lang w:val="en-US"/>
        </w:rPr>
        <w:t>’</w:t>
      </w:r>
      <w:r>
        <w:rPr>
          <w:lang w:val="en-US"/>
        </w:rPr>
        <w:t>s average grade is exogenous</w:t>
      </w:r>
      <w:r w:rsidR="00595065">
        <w:rPr>
          <w:lang w:val="en-US"/>
        </w:rPr>
        <w:t>. Indeed, for both types of exams, the OLS coefficients seem to overestimate the influence of peers on individual achievement, when comparing to IV (2</w:t>
      </w:r>
      <w:r w:rsidR="00595065" w:rsidRPr="00595065">
        <w:rPr>
          <w:vertAlign w:val="superscript"/>
          <w:lang w:val="en-US"/>
        </w:rPr>
        <w:t>nd</w:t>
      </w:r>
      <w:r w:rsidR="00595065">
        <w:rPr>
          <w:lang w:val="en-US"/>
        </w:rPr>
        <w:t xml:space="preserve"> stage) estimates. This is somehow expected once endogenous group selection is likely to lead to upward bias in the OLS coefficient, given that members of the same group tend to share similar </w:t>
      </w:r>
      <w:r w:rsidR="00586C9B">
        <w:rPr>
          <w:lang w:val="en-US"/>
        </w:rPr>
        <w:t xml:space="preserve">unobserved </w:t>
      </w:r>
      <w:r w:rsidR="00595065">
        <w:rPr>
          <w:lang w:val="en-US"/>
        </w:rPr>
        <w:t xml:space="preserve">attributes. </w:t>
      </w:r>
    </w:p>
    <w:p w:rsidR="00124001" w:rsidRDefault="00C7511C" w:rsidP="00785128">
      <w:pPr>
        <w:jc w:val="both"/>
        <w:rPr>
          <w:lang w:val="en-US"/>
        </w:rPr>
      </w:pPr>
      <w:r>
        <w:rPr>
          <w:lang w:val="en-US"/>
        </w:rPr>
        <w:tab/>
        <w:t xml:space="preserve">The </w:t>
      </w:r>
      <w:proofErr w:type="spellStart"/>
      <w:r>
        <w:rPr>
          <w:lang w:val="en-US"/>
        </w:rPr>
        <w:t>overidentification</w:t>
      </w:r>
      <w:proofErr w:type="spellEnd"/>
      <w:r>
        <w:rPr>
          <w:lang w:val="en-US"/>
        </w:rPr>
        <w:t xml:space="preserve"> tests</w:t>
      </w:r>
      <w:r w:rsidR="00781AAC">
        <w:rPr>
          <w:lang w:val="en-US"/>
        </w:rPr>
        <w:t xml:space="preserve"> are also implemented in order to check the validity of our instruments for peers’ academic achievement. As can be verified from columns (2) and (5) of </w:t>
      </w:r>
      <w:r w:rsidR="000F75CB" w:rsidRPr="000F75CB">
        <w:rPr>
          <w:lang w:val="en-US"/>
        </w:rPr>
        <w:t>Table 3</w:t>
      </w:r>
      <w:r w:rsidR="00781AAC">
        <w:rPr>
          <w:lang w:val="en-US"/>
        </w:rPr>
        <w:t>, the null hypothesis of the</w:t>
      </w:r>
      <w:r>
        <w:rPr>
          <w:lang w:val="en-US"/>
        </w:rPr>
        <w:t xml:space="preserve"> validity of our instruments </w:t>
      </w:r>
      <w:r w:rsidR="00781AAC">
        <w:rPr>
          <w:lang w:val="en-US"/>
        </w:rPr>
        <w:t xml:space="preserve">cannot be rejected </w:t>
      </w:r>
      <w:r w:rsidR="00283EEB">
        <w:rPr>
          <w:lang w:val="en-US"/>
        </w:rPr>
        <w:t>at 1%</w:t>
      </w:r>
      <w:r>
        <w:rPr>
          <w:lang w:val="en-US"/>
        </w:rPr>
        <w:t xml:space="preserve"> </w:t>
      </w:r>
      <w:r w:rsidR="003F3819">
        <w:rPr>
          <w:lang w:val="en-US"/>
        </w:rPr>
        <w:t>level</w:t>
      </w:r>
      <w:r>
        <w:rPr>
          <w:lang w:val="en-US"/>
        </w:rPr>
        <w:t>, for</w:t>
      </w:r>
      <w:r w:rsidR="00283EEB">
        <w:rPr>
          <w:lang w:val="en-US"/>
        </w:rPr>
        <w:t xml:space="preserve"> both</w:t>
      </w:r>
      <w:r w:rsidR="007D763B">
        <w:rPr>
          <w:lang w:val="en-US"/>
        </w:rPr>
        <w:t xml:space="preserve"> evaluations: </w:t>
      </w:r>
      <w:r>
        <w:rPr>
          <w:lang w:val="en-US"/>
        </w:rPr>
        <w:t>math</w:t>
      </w:r>
      <w:r w:rsidR="00283EEB">
        <w:rPr>
          <w:lang w:val="en-US"/>
        </w:rPr>
        <w:t xml:space="preserve"> (p-value = 0.06 &gt; 0.01)</w:t>
      </w:r>
      <w:r>
        <w:rPr>
          <w:lang w:val="en-US"/>
        </w:rPr>
        <w:t xml:space="preserve"> </w:t>
      </w:r>
      <w:r w:rsidR="00283EEB">
        <w:rPr>
          <w:lang w:val="en-US"/>
        </w:rPr>
        <w:t>and Portuguese language (p-value = 0.</w:t>
      </w:r>
      <w:r w:rsidR="00586C9B">
        <w:rPr>
          <w:lang w:val="en-US"/>
        </w:rPr>
        <w:t>49</w:t>
      </w:r>
      <w:r w:rsidR="00283EEB">
        <w:rPr>
          <w:lang w:val="en-US"/>
        </w:rPr>
        <w:t xml:space="preserve"> &gt; 0.01).</w:t>
      </w:r>
    </w:p>
    <w:p w:rsidR="005B25E5" w:rsidRDefault="009D0BAE" w:rsidP="00785128">
      <w:pPr>
        <w:jc w:val="both"/>
        <w:rPr>
          <w:lang w:val="en-US"/>
        </w:rPr>
      </w:pPr>
      <w:r>
        <w:rPr>
          <w:lang w:val="en-US"/>
        </w:rPr>
        <w:tab/>
        <w:t xml:space="preserve">The following </w:t>
      </w:r>
      <w:r w:rsidR="00C86E47" w:rsidRPr="000F75CB">
        <w:rPr>
          <w:lang w:val="en-US"/>
        </w:rPr>
        <w:t>Table</w:t>
      </w:r>
      <w:r w:rsidR="000F75CB" w:rsidRPr="000F75CB">
        <w:rPr>
          <w:lang w:val="en-US"/>
        </w:rPr>
        <w:t xml:space="preserve"> 4</w:t>
      </w:r>
      <w:r w:rsidRPr="000F75CB">
        <w:rPr>
          <w:lang w:val="en-US"/>
        </w:rPr>
        <w:t xml:space="preserve"> </w:t>
      </w:r>
      <w:r>
        <w:rPr>
          <w:lang w:val="en-US"/>
        </w:rPr>
        <w:t>present</w:t>
      </w:r>
      <w:r w:rsidR="00C86E47">
        <w:rPr>
          <w:lang w:val="en-US"/>
        </w:rPr>
        <w:t>s a</w:t>
      </w:r>
      <w:r>
        <w:rPr>
          <w:lang w:val="en-US"/>
        </w:rPr>
        <w:t xml:space="preserve"> robus</w:t>
      </w:r>
      <w:r w:rsidR="005B25E5">
        <w:rPr>
          <w:lang w:val="en-US"/>
        </w:rPr>
        <w:t>tness test</w:t>
      </w:r>
      <w:r>
        <w:rPr>
          <w:lang w:val="en-US"/>
        </w:rPr>
        <w:t xml:space="preserve"> for the independence assumption. </w:t>
      </w:r>
      <w:r w:rsidR="00C86E47">
        <w:rPr>
          <w:lang w:val="en-US"/>
        </w:rPr>
        <w:t xml:space="preserve">It </w:t>
      </w:r>
      <w:r>
        <w:rPr>
          <w:lang w:val="en-US"/>
        </w:rPr>
        <w:t>provide</w:t>
      </w:r>
      <w:r w:rsidR="00D8500C">
        <w:rPr>
          <w:lang w:val="en-US"/>
        </w:rPr>
        <w:t>s</w:t>
      </w:r>
      <w:r>
        <w:rPr>
          <w:lang w:val="en-US"/>
        </w:rPr>
        <w:t xml:space="preserve"> </w:t>
      </w:r>
      <w:r w:rsidR="00D8500C">
        <w:rPr>
          <w:lang w:val="en-US"/>
        </w:rPr>
        <w:t>a balancing test</w:t>
      </w:r>
      <w:r>
        <w:rPr>
          <w:lang w:val="en-US"/>
        </w:rPr>
        <w:t xml:space="preserve"> on observables in order to show </w:t>
      </w:r>
      <w:r w:rsidR="0063270E">
        <w:rPr>
          <w:lang w:val="en-US"/>
        </w:rPr>
        <w:t xml:space="preserve">that </w:t>
      </w:r>
      <w:r>
        <w:rPr>
          <w:lang w:val="en-US"/>
        </w:rPr>
        <w:t>there are no apparent discrepancies between schools with higher proportions of 4</w:t>
      </w:r>
      <w:r w:rsidRPr="009D0BAE">
        <w:rPr>
          <w:vertAlign w:val="superscript"/>
          <w:lang w:val="en-US"/>
        </w:rPr>
        <w:t>th</w:t>
      </w:r>
      <w:r>
        <w:rPr>
          <w:lang w:val="en-US"/>
        </w:rPr>
        <w:t xml:space="preserve"> graders </w:t>
      </w:r>
      <w:r w:rsidR="007F6CD6">
        <w:rPr>
          <w:lang w:val="en-US"/>
        </w:rPr>
        <w:t>born</w:t>
      </w:r>
      <w:r>
        <w:rPr>
          <w:lang w:val="en-US"/>
        </w:rPr>
        <w:t xml:space="preserve"> in the </w:t>
      </w:r>
      <w:r w:rsidR="007F6CD6">
        <w:rPr>
          <w:lang w:val="en-US"/>
        </w:rPr>
        <w:t>1</w:t>
      </w:r>
      <w:r w:rsidR="007F6CD6" w:rsidRPr="007F6CD6">
        <w:rPr>
          <w:vertAlign w:val="superscript"/>
          <w:lang w:val="en-US"/>
        </w:rPr>
        <w:t>st</w:t>
      </w:r>
      <w:r w:rsidR="007F6CD6">
        <w:rPr>
          <w:lang w:val="en-US"/>
        </w:rPr>
        <w:t xml:space="preserve"> (or 2</w:t>
      </w:r>
      <w:r w:rsidR="007F6CD6" w:rsidRPr="007F6CD6">
        <w:rPr>
          <w:vertAlign w:val="superscript"/>
          <w:lang w:val="en-US"/>
        </w:rPr>
        <w:t>nd</w:t>
      </w:r>
      <w:r w:rsidR="007F6CD6">
        <w:rPr>
          <w:lang w:val="en-US"/>
        </w:rPr>
        <w:t>)</w:t>
      </w:r>
      <w:r w:rsidR="00D8500C">
        <w:rPr>
          <w:lang w:val="en-US"/>
        </w:rPr>
        <w:t xml:space="preserve"> semester.</w:t>
      </w:r>
      <w:r w:rsidR="003C2008">
        <w:rPr>
          <w:lang w:val="en-US"/>
        </w:rPr>
        <w:t xml:space="preserve"> We find very similar descriptive statistics for </w:t>
      </w:r>
      <w:r w:rsidR="0063270E">
        <w:rPr>
          <w:lang w:val="en-US"/>
        </w:rPr>
        <w:t xml:space="preserve">the </w:t>
      </w:r>
      <w:r w:rsidR="003C2008">
        <w:rPr>
          <w:lang w:val="en-US"/>
        </w:rPr>
        <w:t xml:space="preserve">students and school characteristics illustrated in Table </w:t>
      </w:r>
      <w:r w:rsidR="000F75CB">
        <w:rPr>
          <w:lang w:val="en-US"/>
        </w:rPr>
        <w:t>4</w:t>
      </w:r>
      <w:r w:rsidR="003C2008">
        <w:rPr>
          <w:lang w:val="en-US"/>
        </w:rPr>
        <w:t>. Differences appear, as expected, on the</w:t>
      </w:r>
      <w:r w:rsidR="00965DBC">
        <w:rPr>
          <w:lang w:val="en-US"/>
        </w:rPr>
        <w:t xml:space="preserve"> average</w:t>
      </w:r>
      <w:r w:rsidR="003C2008">
        <w:rPr>
          <w:lang w:val="en-US"/>
        </w:rPr>
        <w:t xml:space="preserve"> proportions of 4</w:t>
      </w:r>
      <w:r w:rsidR="003C2008" w:rsidRPr="003C2008">
        <w:rPr>
          <w:vertAlign w:val="superscript"/>
          <w:lang w:val="en-US"/>
        </w:rPr>
        <w:t>th</w:t>
      </w:r>
      <w:r w:rsidR="003C2008">
        <w:rPr>
          <w:lang w:val="en-US"/>
        </w:rPr>
        <w:t xml:space="preserve"> graders by semester, and also on average age of student</w:t>
      </w:r>
      <w:r w:rsidR="00965DBC">
        <w:rPr>
          <w:lang w:val="en-US"/>
        </w:rPr>
        <w:t xml:space="preserve"> body (students born in 2</w:t>
      </w:r>
      <w:r w:rsidR="00965DBC" w:rsidRPr="00965DBC">
        <w:rPr>
          <w:vertAlign w:val="superscript"/>
          <w:lang w:val="en-US"/>
        </w:rPr>
        <w:t>nd</w:t>
      </w:r>
      <w:r w:rsidR="00965DBC">
        <w:rPr>
          <w:lang w:val="en-US"/>
        </w:rPr>
        <w:t xml:space="preserve"> semester are relatively older), which is consistent with the cut-off date for age at school entry. </w:t>
      </w:r>
      <w:r w:rsidR="0075374C">
        <w:rPr>
          <w:lang w:val="en-US"/>
        </w:rPr>
        <w:t>It should also be noticed that there are more schools with higher concentration of 4</w:t>
      </w:r>
      <w:r w:rsidR="0075374C" w:rsidRPr="0075374C">
        <w:rPr>
          <w:vertAlign w:val="superscript"/>
          <w:lang w:val="en-US"/>
        </w:rPr>
        <w:t>th</w:t>
      </w:r>
      <w:r w:rsidR="0075374C">
        <w:rPr>
          <w:lang w:val="en-US"/>
        </w:rPr>
        <w:t xml:space="preserve"> graders born in the 1</w:t>
      </w:r>
      <w:r w:rsidR="0075374C" w:rsidRPr="0075374C">
        <w:rPr>
          <w:vertAlign w:val="superscript"/>
          <w:lang w:val="en-US"/>
        </w:rPr>
        <w:t>st</w:t>
      </w:r>
      <w:r w:rsidR="0075374C">
        <w:rPr>
          <w:lang w:val="en-US"/>
        </w:rPr>
        <w:t xml:space="preserve"> </w:t>
      </w:r>
      <w:r w:rsidR="0075374C" w:rsidRPr="00C96488">
        <w:rPr>
          <w:lang w:val="en-US"/>
        </w:rPr>
        <w:t xml:space="preserve">semester </w:t>
      </w:r>
      <w:r w:rsidR="00C96488" w:rsidRPr="00C96488">
        <w:rPr>
          <w:lang w:val="en-US"/>
        </w:rPr>
        <w:t>(n = 20,381</w:t>
      </w:r>
      <w:r w:rsidR="0075374C" w:rsidRPr="00C96488">
        <w:rPr>
          <w:lang w:val="en-US"/>
        </w:rPr>
        <w:t xml:space="preserve">) </w:t>
      </w:r>
      <w:r w:rsidR="00DD6357" w:rsidRPr="00C96488">
        <w:rPr>
          <w:lang w:val="en-US"/>
        </w:rPr>
        <w:t xml:space="preserve">than </w:t>
      </w:r>
      <w:r w:rsidR="0075374C" w:rsidRPr="00C96488">
        <w:rPr>
          <w:lang w:val="en-US"/>
        </w:rPr>
        <w:t>in the 2</w:t>
      </w:r>
      <w:r w:rsidR="0075374C" w:rsidRPr="00C96488">
        <w:rPr>
          <w:vertAlign w:val="superscript"/>
          <w:lang w:val="en-US"/>
        </w:rPr>
        <w:t>nd</w:t>
      </w:r>
      <w:r w:rsidR="0075374C" w:rsidRPr="00C96488">
        <w:rPr>
          <w:lang w:val="en-US"/>
        </w:rPr>
        <w:t xml:space="preserve"> semester (</w:t>
      </w:r>
      <w:r w:rsidR="00C96488" w:rsidRPr="00C96488">
        <w:rPr>
          <w:lang w:val="en-US"/>
        </w:rPr>
        <w:t>n = 15,326</w:t>
      </w:r>
      <w:r w:rsidR="0075374C" w:rsidRPr="00C96488">
        <w:rPr>
          <w:lang w:val="en-US"/>
        </w:rPr>
        <w:t xml:space="preserve">), this finding is consistent with the birth </w:t>
      </w:r>
      <w:r w:rsidR="000F75CB" w:rsidRPr="00C96488">
        <w:rPr>
          <w:lang w:val="en-US"/>
        </w:rPr>
        <w:t>seasonality p</w:t>
      </w:r>
      <w:r w:rsidR="000F75CB">
        <w:rPr>
          <w:lang w:val="en-US"/>
        </w:rPr>
        <w:t>eaks discussed in S</w:t>
      </w:r>
      <w:r w:rsidR="0075374C">
        <w:rPr>
          <w:lang w:val="en-US"/>
        </w:rPr>
        <w:t xml:space="preserve">ection </w:t>
      </w:r>
      <w:r w:rsidR="000F75CB">
        <w:rPr>
          <w:lang w:val="en-US"/>
        </w:rPr>
        <w:t>4</w:t>
      </w:r>
      <w:r w:rsidR="0075374C">
        <w:rPr>
          <w:lang w:val="en-US"/>
        </w:rPr>
        <w:t>.</w:t>
      </w:r>
      <w:r w:rsidR="00F256BF">
        <w:rPr>
          <w:lang w:val="en-US"/>
        </w:rPr>
        <w:t xml:space="preserve"> Although </w:t>
      </w:r>
      <w:r w:rsidR="00F10BB3">
        <w:rPr>
          <w:lang w:val="en-US"/>
        </w:rPr>
        <w:t>it</w:t>
      </w:r>
      <w:r w:rsidR="00F256BF">
        <w:rPr>
          <w:lang w:val="en-US"/>
        </w:rPr>
        <w:t xml:space="preserve"> is not a direct way to test for the independence assumption, this balancing </w:t>
      </w:r>
      <w:r w:rsidR="00F256BF" w:rsidRPr="001F45BB">
        <w:rPr>
          <w:lang w:val="en-US"/>
        </w:rPr>
        <w:t xml:space="preserve">exercise on observables, together with the randomness of birth events, offer a reliable way to defend the </w:t>
      </w:r>
      <w:proofErr w:type="spellStart"/>
      <w:r w:rsidR="00F256BF" w:rsidRPr="001F45BB">
        <w:rPr>
          <w:lang w:val="en-US"/>
        </w:rPr>
        <w:t>exogeneity</w:t>
      </w:r>
      <w:proofErr w:type="spellEnd"/>
      <w:r w:rsidR="00F256BF" w:rsidRPr="001F45BB">
        <w:rPr>
          <w:lang w:val="en-US"/>
        </w:rPr>
        <w:t xml:space="preserve"> of the instruments.</w:t>
      </w:r>
      <w:r w:rsidR="00CE64BF" w:rsidRPr="001F45BB">
        <w:rPr>
          <w:lang w:val="en-US"/>
        </w:rPr>
        <w:t xml:space="preserve"> </w:t>
      </w:r>
    </w:p>
    <w:p w:rsidR="00E60458" w:rsidRPr="0080268C" w:rsidRDefault="00E60458" w:rsidP="00785128">
      <w:pPr>
        <w:rPr>
          <w:lang w:val="en-US"/>
        </w:rPr>
      </w:pPr>
    </w:p>
    <w:tbl>
      <w:tblPr>
        <w:tblStyle w:val="Tabelacomgrade"/>
        <w:tblW w:w="91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227"/>
        <w:gridCol w:w="1354"/>
        <w:gridCol w:w="1463"/>
        <w:gridCol w:w="236"/>
        <w:gridCol w:w="1724"/>
        <w:gridCol w:w="1050"/>
        <w:gridCol w:w="76"/>
      </w:tblGrid>
      <w:tr w:rsidR="00E60458" w:rsidRPr="00355234" w:rsidTr="006D0014">
        <w:trPr>
          <w:gridAfter w:val="1"/>
          <w:wAfter w:w="76" w:type="dxa"/>
          <w:jc w:val="center"/>
        </w:trPr>
        <w:tc>
          <w:tcPr>
            <w:tcW w:w="9054" w:type="dxa"/>
            <w:gridSpan w:val="6"/>
            <w:tcBorders>
              <w:bottom w:val="single" w:sz="4" w:space="0" w:color="auto"/>
            </w:tcBorders>
          </w:tcPr>
          <w:p w:rsidR="00E60458" w:rsidRPr="00F02C79" w:rsidRDefault="000F75CB" w:rsidP="00785128">
            <w:pPr>
              <w:keepNext/>
              <w:keepLines/>
              <w:jc w:val="center"/>
              <w:rPr>
                <w:sz w:val="20"/>
                <w:szCs w:val="20"/>
                <w:lang w:val="en-US"/>
              </w:rPr>
            </w:pPr>
            <w:r>
              <w:rPr>
                <w:sz w:val="20"/>
                <w:szCs w:val="20"/>
                <w:lang w:val="en-US"/>
              </w:rPr>
              <w:lastRenderedPageBreak/>
              <w:t>Table 4</w:t>
            </w:r>
          </w:p>
          <w:p w:rsidR="00E60458" w:rsidRPr="00355234" w:rsidRDefault="00E60458" w:rsidP="00785128">
            <w:pPr>
              <w:keepNext/>
              <w:keepLines/>
              <w:jc w:val="center"/>
              <w:rPr>
                <w:sz w:val="20"/>
                <w:szCs w:val="20"/>
                <w:lang w:val="en-US"/>
              </w:rPr>
            </w:pPr>
            <w:r w:rsidRPr="00355234">
              <w:rPr>
                <w:sz w:val="20"/>
                <w:szCs w:val="20"/>
                <w:lang w:val="en-US"/>
              </w:rPr>
              <w:t>Summary statistics of individual and school characteristics by schools with higher proportions of peers born by semester</w:t>
            </w:r>
          </w:p>
        </w:tc>
      </w:tr>
      <w:tr w:rsidR="00E60458" w:rsidRPr="00355234" w:rsidTr="006D0014">
        <w:trPr>
          <w:jc w:val="center"/>
        </w:trPr>
        <w:tc>
          <w:tcPr>
            <w:tcW w:w="3227" w:type="dxa"/>
            <w:tcBorders>
              <w:top w:val="single" w:sz="4" w:space="0" w:color="auto"/>
            </w:tcBorders>
          </w:tcPr>
          <w:p w:rsidR="00E60458" w:rsidRPr="00355234" w:rsidRDefault="00E60458" w:rsidP="00785128">
            <w:pPr>
              <w:keepNext/>
              <w:keepLines/>
              <w:jc w:val="both"/>
              <w:rPr>
                <w:sz w:val="20"/>
                <w:szCs w:val="20"/>
                <w:lang w:val="en-US"/>
              </w:rPr>
            </w:pPr>
          </w:p>
        </w:tc>
        <w:tc>
          <w:tcPr>
            <w:tcW w:w="2817" w:type="dxa"/>
            <w:gridSpan w:val="2"/>
            <w:tcBorders>
              <w:top w:val="single" w:sz="4" w:space="0" w:color="auto"/>
              <w:bottom w:val="single" w:sz="4" w:space="0" w:color="auto"/>
            </w:tcBorders>
          </w:tcPr>
          <w:p w:rsidR="00E60458" w:rsidRPr="00355234" w:rsidRDefault="00E60458" w:rsidP="00785128">
            <w:pPr>
              <w:keepNext/>
              <w:keepLines/>
              <w:jc w:val="center"/>
              <w:rPr>
                <w:sz w:val="20"/>
                <w:szCs w:val="20"/>
                <w:lang w:val="en-US"/>
              </w:rPr>
            </w:pPr>
            <w:r w:rsidRPr="00355234">
              <w:rPr>
                <w:sz w:val="20"/>
                <w:szCs w:val="20"/>
                <w:lang w:val="en-US"/>
              </w:rPr>
              <w:t>Higher proportion of peers born in the 1</w:t>
            </w:r>
            <w:r w:rsidRPr="00355234">
              <w:rPr>
                <w:sz w:val="20"/>
                <w:szCs w:val="20"/>
                <w:vertAlign w:val="superscript"/>
                <w:lang w:val="en-US"/>
              </w:rPr>
              <w:t>st</w:t>
            </w:r>
            <w:r w:rsidRPr="00355234">
              <w:rPr>
                <w:sz w:val="20"/>
                <w:szCs w:val="20"/>
                <w:lang w:val="en-US"/>
              </w:rPr>
              <w:t xml:space="preserve"> semester </w:t>
            </w:r>
          </w:p>
        </w:tc>
        <w:tc>
          <w:tcPr>
            <w:tcW w:w="236" w:type="dxa"/>
            <w:tcBorders>
              <w:top w:val="single" w:sz="4" w:space="0" w:color="auto"/>
              <w:right w:val="nil"/>
            </w:tcBorders>
          </w:tcPr>
          <w:p w:rsidR="00E60458" w:rsidRPr="00355234" w:rsidRDefault="00E60458" w:rsidP="00785128">
            <w:pPr>
              <w:keepNext/>
              <w:keepLines/>
              <w:jc w:val="both"/>
              <w:rPr>
                <w:sz w:val="20"/>
                <w:szCs w:val="20"/>
                <w:lang w:val="en-US"/>
              </w:rPr>
            </w:pPr>
          </w:p>
        </w:tc>
        <w:tc>
          <w:tcPr>
            <w:tcW w:w="2850" w:type="dxa"/>
            <w:gridSpan w:val="3"/>
            <w:tcBorders>
              <w:top w:val="single" w:sz="4" w:space="0" w:color="auto"/>
              <w:left w:val="nil"/>
              <w:bottom w:val="single" w:sz="4" w:space="0" w:color="auto"/>
            </w:tcBorders>
          </w:tcPr>
          <w:p w:rsidR="00E60458" w:rsidRPr="00355234" w:rsidRDefault="00E60458" w:rsidP="00785128">
            <w:pPr>
              <w:keepNext/>
              <w:keepLines/>
              <w:jc w:val="center"/>
              <w:rPr>
                <w:sz w:val="20"/>
                <w:szCs w:val="20"/>
                <w:lang w:val="en-US"/>
              </w:rPr>
            </w:pPr>
            <w:r w:rsidRPr="00355234">
              <w:rPr>
                <w:sz w:val="20"/>
                <w:szCs w:val="20"/>
                <w:lang w:val="en-US"/>
              </w:rPr>
              <w:t>Higher proportion of peers born in the 2</w:t>
            </w:r>
            <w:r w:rsidRPr="00355234">
              <w:rPr>
                <w:sz w:val="20"/>
                <w:szCs w:val="20"/>
                <w:vertAlign w:val="superscript"/>
                <w:lang w:val="en-US"/>
              </w:rPr>
              <w:t>nd</w:t>
            </w:r>
            <w:r w:rsidRPr="00355234">
              <w:rPr>
                <w:sz w:val="20"/>
                <w:szCs w:val="20"/>
                <w:lang w:val="en-US"/>
              </w:rPr>
              <w:t xml:space="preserve"> semester</w:t>
            </w:r>
            <w:r w:rsidR="008355AB" w:rsidRPr="008355AB">
              <w:rPr>
                <w:sz w:val="20"/>
                <w:szCs w:val="20"/>
                <w:vertAlign w:val="superscript"/>
                <w:lang w:val="en-US"/>
              </w:rPr>
              <w:t>*</w:t>
            </w:r>
          </w:p>
        </w:tc>
      </w:tr>
      <w:tr w:rsidR="00E60458" w:rsidRPr="00355234" w:rsidTr="006D0014">
        <w:trPr>
          <w:jc w:val="center"/>
        </w:trPr>
        <w:tc>
          <w:tcPr>
            <w:tcW w:w="3227" w:type="dxa"/>
            <w:tcBorders>
              <w:bottom w:val="single" w:sz="4" w:space="0" w:color="auto"/>
            </w:tcBorders>
          </w:tcPr>
          <w:p w:rsidR="00E60458" w:rsidRPr="00355234" w:rsidRDefault="00E60458" w:rsidP="00785128">
            <w:pPr>
              <w:keepNext/>
              <w:keepLines/>
              <w:rPr>
                <w:sz w:val="20"/>
                <w:szCs w:val="20"/>
                <w:lang w:val="en-US"/>
              </w:rPr>
            </w:pPr>
            <w:r w:rsidRPr="00355234">
              <w:rPr>
                <w:sz w:val="20"/>
                <w:szCs w:val="20"/>
                <w:lang w:val="en-US"/>
              </w:rPr>
              <w:t>Individual and school characteristics</w:t>
            </w:r>
          </w:p>
        </w:tc>
        <w:tc>
          <w:tcPr>
            <w:tcW w:w="1354" w:type="dxa"/>
            <w:tcBorders>
              <w:top w:val="single" w:sz="4" w:space="0" w:color="auto"/>
              <w:bottom w:val="single" w:sz="4" w:space="0" w:color="auto"/>
            </w:tcBorders>
            <w:vAlign w:val="bottom"/>
          </w:tcPr>
          <w:p w:rsidR="00E60458" w:rsidRPr="00355234" w:rsidRDefault="00E60458" w:rsidP="00785128">
            <w:pPr>
              <w:keepNext/>
              <w:keepLines/>
              <w:jc w:val="center"/>
              <w:rPr>
                <w:sz w:val="20"/>
                <w:szCs w:val="20"/>
                <w:lang w:val="en-US"/>
              </w:rPr>
            </w:pPr>
            <w:r w:rsidRPr="00355234">
              <w:rPr>
                <w:sz w:val="20"/>
                <w:szCs w:val="20"/>
                <w:lang w:val="en-US"/>
              </w:rPr>
              <w:t>Mean</w:t>
            </w:r>
          </w:p>
        </w:tc>
        <w:tc>
          <w:tcPr>
            <w:tcW w:w="1463" w:type="dxa"/>
            <w:tcBorders>
              <w:top w:val="single" w:sz="4" w:space="0" w:color="auto"/>
              <w:bottom w:val="single" w:sz="4" w:space="0" w:color="auto"/>
            </w:tcBorders>
            <w:vAlign w:val="bottom"/>
          </w:tcPr>
          <w:p w:rsidR="00E60458" w:rsidRPr="00355234" w:rsidRDefault="00E60458" w:rsidP="00785128">
            <w:pPr>
              <w:keepNext/>
              <w:keepLines/>
              <w:jc w:val="center"/>
              <w:rPr>
                <w:sz w:val="20"/>
                <w:szCs w:val="20"/>
                <w:lang w:val="en-US"/>
              </w:rPr>
            </w:pPr>
            <w:r w:rsidRPr="00355234">
              <w:rPr>
                <w:sz w:val="20"/>
                <w:szCs w:val="20"/>
                <w:lang w:val="en-US"/>
              </w:rPr>
              <w:t>Std. Dev.</w:t>
            </w:r>
          </w:p>
        </w:tc>
        <w:tc>
          <w:tcPr>
            <w:tcW w:w="236" w:type="dxa"/>
            <w:tcBorders>
              <w:bottom w:val="single" w:sz="4" w:space="0" w:color="auto"/>
            </w:tcBorders>
          </w:tcPr>
          <w:p w:rsidR="00E60458" w:rsidRPr="00355234" w:rsidRDefault="00E60458" w:rsidP="00785128">
            <w:pPr>
              <w:keepNext/>
              <w:keepLines/>
              <w:jc w:val="center"/>
              <w:rPr>
                <w:sz w:val="20"/>
                <w:szCs w:val="20"/>
                <w:lang w:val="en-US"/>
              </w:rPr>
            </w:pPr>
          </w:p>
        </w:tc>
        <w:tc>
          <w:tcPr>
            <w:tcW w:w="1724" w:type="dxa"/>
            <w:tcBorders>
              <w:top w:val="single" w:sz="4" w:space="0" w:color="auto"/>
              <w:bottom w:val="single" w:sz="4" w:space="0" w:color="auto"/>
            </w:tcBorders>
            <w:vAlign w:val="bottom"/>
          </w:tcPr>
          <w:p w:rsidR="00E60458" w:rsidRPr="00355234" w:rsidRDefault="00E60458" w:rsidP="00785128">
            <w:pPr>
              <w:keepNext/>
              <w:keepLines/>
              <w:jc w:val="center"/>
              <w:rPr>
                <w:sz w:val="20"/>
                <w:szCs w:val="20"/>
                <w:lang w:val="en-US"/>
              </w:rPr>
            </w:pPr>
            <w:r w:rsidRPr="00355234">
              <w:rPr>
                <w:sz w:val="20"/>
                <w:szCs w:val="20"/>
                <w:lang w:val="en-US"/>
              </w:rPr>
              <w:t>Mean</w:t>
            </w:r>
          </w:p>
        </w:tc>
        <w:tc>
          <w:tcPr>
            <w:tcW w:w="1126" w:type="dxa"/>
            <w:gridSpan w:val="2"/>
            <w:tcBorders>
              <w:top w:val="single" w:sz="4" w:space="0" w:color="auto"/>
              <w:bottom w:val="single" w:sz="4" w:space="0" w:color="auto"/>
            </w:tcBorders>
            <w:vAlign w:val="bottom"/>
          </w:tcPr>
          <w:p w:rsidR="00E60458" w:rsidRPr="00355234" w:rsidRDefault="00E60458" w:rsidP="00785128">
            <w:pPr>
              <w:keepNext/>
              <w:keepLines/>
              <w:jc w:val="center"/>
              <w:rPr>
                <w:sz w:val="20"/>
                <w:szCs w:val="20"/>
                <w:lang w:val="en-US"/>
              </w:rPr>
            </w:pPr>
            <w:r w:rsidRPr="00355234">
              <w:rPr>
                <w:sz w:val="20"/>
                <w:szCs w:val="20"/>
                <w:lang w:val="en-US"/>
              </w:rPr>
              <w:t>Std. Dev.</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eastAsia="pt-BR"/>
              </w:rPr>
              <w:t>Age</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3.69</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1.05</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4.07</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1.07</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eastAsia="pt-BR"/>
              </w:rPr>
              <w:t>Proportion of peers born in the 1</w:t>
            </w:r>
            <w:r w:rsidRPr="00355234">
              <w:rPr>
                <w:color w:val="000000"/>
                <w:sz w:val="20"/>
                <w:szCs w:val="20"/>
                <w:vertAlign w:val="superscript"/>
                <w:lang w:val="en-US" w:eastAsia="pt-BR"/>
              </w:rPr>
              <w:t>st</w:t>
            </w:r>
            <w:r w:rsidRPr="00355234">
              <w:rPr>
                <w:color w:val="000000"/>
                <w:sz w:val="20"/>
                <w:szCs w:val="20"/>
                <w:lang w:val="en-US" w:eastAsia="pt-BR"/>
              </w:rPr>
              <w:t xml:space="preserve"> semester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0.55</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0.10</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0.08</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eastAsia="pt-BR"/>
              </w:rPr>
              <w:t>Proportion of peers born in the 2</w:t>
            </w:r>
            <w:r w:rsidRPr="00355234">
              <w:rPr>
                <w:color w:val="000000"/>
                <w:sz w:val="20"/>
                <w:szCs w:val="20"/>
                <w:vertAlign w:val="superscript"/>
                <w:lang w:val="en-US" w:eastAsia="pt-BR"/>
              </w:rPr>
              <w:t>nd</w:t>
            </w:r>
            <w:r w:rsidRPr="00355234">
              <w:rPr>
                <w:color w:val="000000"/>
                <w:sz w:val="20"/>
                <w:szCs w:val="20"/>
                <w:lang w:val="en-US" w:eastAsia="pt-BR"/>
              </w:rPr>
              <w:t xml:space="preserve"> semester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0.37</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0.09</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0.08</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rPr>
              <w:t>Total number of enrolled student</w:t>
            </w:r>
            <w:r w:rsidRPr="00355234">
              <w:rPr>
                <w:color w:val="000000"/>
                <w:sz w:val="20"/>
                <w:szCs w:val="20"/>
                <w:lang w:val="en-US" w:eastAsia="pt-BR"/>
              </w:rPr>
              <w:t>s</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677.41</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412.05</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670.37</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412.44</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eastAsia="pt-BR"/>
              </w:rPr>
              <w:t>Male</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0.52</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0.50</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0.53</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0.50</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eastAsia="pt-BR"/>
              </w:rPr>
              <w:t>White</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0.36</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0.48</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0.35</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0.48</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eastAsia="pt-BR"/>
              </w:rPr>
              <w:t>Mixed race</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0.48</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0.50</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0.49</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0.50</w:t>
            </w:r>
          </w:p>
        </w:tc>
      </w:tr>
      <w:tr w:rsidR="00E60458" w:rsidRPr="00355234" w:rsidTr="006D0014">
        <w:trPr>
          <w:jc w:val="center"/>
        </w:trPr>
        <w:tc>
          <w:tcPr>
            <w:tcW w:w="3227" w:type="dxa"/>
            <w:vAlign w:val="bottom"/>
          </w:tcPr>
          <w:p w:rsidR="00E60458" w:rsidRPr="00355234" w:rsidRDefault="00E60458" w:rsidP="00785128">
            <w:pPr>
              <w:keepNext/>
              <w:keepLines/>
              <w:rPr>
                <w:color w:val="000000"/>
                <w:sz w:val="20"/>
                <w:szCs w:val="20"/>
                <w:lang w:val="en-US" w:eastAsia="pt-BR"/>
              </w:rPr>
            </w:pPr>
            <w:r w:rsidRPr="00355234">
              <w:rPr>
                <w:color w:val="000000"/>
                <w:sz w:val="20"/>
                <w:szCs w:val="20"/>
                <w:lang w:val="en-US" w:eastAsia="pt-BR"/>
              </w:rPr>
              <w:t>Black</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0.10</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0.30</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0.11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0.31</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rPr>
              <w:t>Student lives with the mother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0.91</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0.28</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0.91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0.28</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eastAsia="pt-BR"/>
              </w:rPr>
              <w:t>Educational level (mother)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3.94</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1.48</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3.91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1.48</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eastAsia="pt-BR"/>
              </w:rPr>
              <w:t>Literacy (mother)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0.96</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0.21</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0.95</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0.21</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rPr>
              <w:t>Student lives with the father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0.71</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0.45</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0.71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0.45</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eastAsia="pt-BR"/>
              </w:rPr>
              <w:t>Educational level (father)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3.87</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1.54</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3.83</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1.54</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eastAsia="pt-BR"/>
              </w:rPr>
              <w:t>Literacy (father)</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0.93</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0.26</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0.93</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0.26</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proofErr w:type="spellStart"/>
            <w:r w:rsidRPr="00355234">
              <w:rPr>
                <w:sz w:val="20"/>
                <w:szCs w:val="20"/>
                <w:lang w:val="en-US" w:eastAsia="pt-BR"/>
              </w:rPr>
              <w:t>Pre</w:t>
            </w:r>
            <w:proofErr w:type="spellEnd"/>
            <w:r w:rsidRPr="00355234">
              <w:rPr>
                <w:sz w:val="20"/>
                <w:szCs w:val="20"/>
                <w:lang w:val="en-US" w:eastAsia="pt-BR"/>
              </w:rPr>
              <w:t xml:space="preserve"> school</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1.82</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0.85</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1.83</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0.86</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rPr>
              <w:t xml:space="preserve">Grade repetition </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1.32</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0.59</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1.34</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0.61</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rPr>
              <w:t>Frequency student has already abandoned school</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1.09</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0.33</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1.09</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0.33</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rPr>
              <w:t>Day-shift classes</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0.57</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0.49</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0.57</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0.49</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rPr>
            </w:pPr>
            <w:r w:rsidRPr="00355234">
              <w:rPr>
                <w:sz w:val="20"/>
                <w:szCs w:val="20"/>
                <w:lang w:val="en-US"/>
              </w:rPr>
              <w:t>Afternoon-shift classes</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0.43</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0.49</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0.43</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0.49</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rPr>
              <w:t>Night-shift classes</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0.00</w:t>
            </w:r>
            <w:r w:rsidRPr="00355234">
              <w:rPr>
                <w:color w:val="000000"/>
                <w:sz w:val="20"/>
                <w:szCs w:val="20"/>
                <w:lang w:val="en-US"/>
              </w:rPr>
              <w:t>02</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0.01</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0.00</w:t>
            </w:r>
            <w:r w:rsidRPr="00355234">
              <w:rPr>
                <w:color w:val="000000"/>
                <w:sz w:val="20"/>
                <w:szCs w:val="20"/>
                <w:lang w:val="en-US"/>
              </w:rPr>
              <w:t>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0.01</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eastAsia="pt-BR"/>
              </w:rPr>
              <w:t>Federal</w:t>
            </w:r>
            <w:r w:rsidRPr="00355234">
              <w:rPr>
                <w:sz w:val="20"/>
                <w:szCs w:val="20"/>
                <w:lang w:val="en-US"/>
              </w:rPr>
              <w:t xml:space="preserve"> school</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0.00</w:t>
            </w:r>
            <w:r w:rsidRPr="00355234">
              <w:rPr>
                <w:color w:val="000000"/>
                <w:sz w:val="20"/>
                <w:szCs w:val="20"/>
                <w:lang w:val="en-US"/>
              </w:rPr>
              <w:t>09</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0.03</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0.00</w:t>
            </w:r>
            <w:r w:rsidRPr="00355234">
              <w:rPr>
                <w:color w:val="000000"/>
                <w:sz w:val="20"/>
                <w:szCs w:val="20"/>
                <w:lang w:val="en-US"/>
              </w:rPr>
              <w:t>1</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0.03</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rPr>
            </w:pPr>
            <w:r w:rsidRPr="00355234">
              <w:rPr>
                <w:sz w:val="20"/>
                <w:szCs w:val="20"/>
                <w:lang w:val="en-US"/>
              </w:rPr>
              <w:t>State school</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0.24</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0.43</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0.22</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rPr>
              <w:t>0.42</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eastAsia="pt-BR"/>
              </w:rPr>
            </w:pPr>
            <w:r w:rsidRPr="00355234">
              <w:rPr>
                <w:sz w:val="20"/>
                <w:szCs w:val="20"/>
                <w:lang w:val="en-US"/>
              </w:rPr>
              <w:t>Municipal school</w:t>
            </w:r>
          </w:p>
        </w:tc>
        <w:tc>
          <w:tcPr>
            <w:tcW w:w="135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0.76</w:t>
            </w:r>
          </w:p>
        </w:tc>
        <w:tc>
          <w:tcPr>
            <w:tcW w:w="1463"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0.43</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0.77</w:t>
            </w:r>
          </w:p>
        </w:tc>
        <w:tc>
          <w:tcPr>
            <w:tcW w:w="1126" w:type="dxa"/>
            <w:gridSpan w:val="2"/>
            <w:vAlign w:val="bottom"/>
          </w:tcPr>
          <w:p w:rsidR="00E60458" w:rsidRPr="00355234" w:rsidRDefault="00E60458" w:rsidP="00785128">
            <w:pPr>
              <w:keepNext/>
              <w:keepLines/>
              <w:jc w:val="center"/>
              <w:rPr>
                <w:color w:val="000000"/>
                <w:sz w:val="20"/>
                <w:szCs w:val="20"/>
                <w:lang w:val="en-US" w:eastAsia="pt-BR"/>
              </w:rPr>
            </w:pPr>
            <w:r w:rsidRPr="00355234">
              <w:rPr>
                <w:color w:val="000000"/>
                <w:sz w:val="20"/>
                <w:szCs w:val="20"/>
                <w:lang w:val="en-US" w:eastAsia="pt-BR"/>
              </w:rPr>
              <w:t>0.42</w:t>
            </w:r>
          </w:p>
        </w:tc>
      </w:tr>
      <w:tr w:rsidR="00E60458" w:rsidRPr="00355234" w:rsidTr="006D0014">
        <w:trPr>
          <w:jc w:val="center"/>
        </w:trPr>
        <w:tc>
          <w:tcPr>
            <w:tcW w:w="3227" w:type="dxa"/>
            <w:vAlign w:val="bottom"/>
          </w:tcPr>
          <w:p w:rsidR="00E60458" w:rsidRPr="00355234" w:rsidRDefault="00E60458" w:rsidP="00785128">
            <w:pPr>
              <w:keepNext/>
              <w:keepLines/>
              <w:rPr>
                <w:sz w:val="20"/>
                <w:szCs w:val="20"/>
                <w:lang w:val="en-US"/>
              </w:rPr>
            </w:pPr>
            <w:r w:rsidRPr="00355234">
              <w:rPr>
                <w:sz w:val="20"/>
                <w:szCs w:val="20"/>
                <w:lang w:val="en-US"/>
              </w:rPr>
              <w:t>Urban area</w:t>
            </w:r>
          </w:p>
        </w:tc>
        <w:tc>
          <w:tcPr>
            <w:tcW w:w="1354" w:type="dxa"/>
            <w:vAlign w:val="bottom"/>
          </w:tcPr>
          <w:p w:rsidR="00E60458" w:rsidRPr="00355234" w:rsidRDefault="00E60458" w:rsidP="00785128">
            <w:pPr>
              <w:keepNext/>
              <w:keepLines/>
              <w:jc w:val="center"/>
              <w:rPr>
                <w:sz w:val="20"/>
                <w:szCs w:val="20"/>
                <w:lang w:val="en-US"/>
              </w:rPr>
            </w:pPr>
            <w:r w:rsidRPr="00355234">
              <w:rPr>
                <w:sz w:val="20"/>
                <w:szCs w:val="20"/>
                <w:lang w:val="en-US"/>
              </w:rPr>
              <w:t>0.92</w:t>
            </w:r>
          </w:p>
        </w:tc>
        <w:tc>
          <w:tcPr>
            <w:tcW w:w="1463" w:type="dxa"/>
            <w:vAlign w:val="bottom"/>
          </w:tcPr>
          <w:p w:rsidR="00E60458" w:rsidRPr="00355234" w:rsidRDefault="00E60458" w:rsidP="00785128">
            <w:pPr>
              <w:keepNext/>
              <w:keepLines/>
              <w:jc w:val="center"/>
              <w:rPr>
                <w:sz w:val="20"/>
                <w:szCs w:val="20"/>
                <w:lang w:val="en-US"/>
              </w:rPr>
            </w:pPr>
            <w:r w:rsidRPr="00355234">
              <w:rPr>
                <w:sz w:val="20"/>
                <w:szCs w:val="20"/>
                <w:lang w:val="en-US"/>
              </w:rPr>
              <w:t>0.28</w:t>
            </w:r>
          </w:p>
        </w:tc>
        <w:tc>
          <w:tcPr>
            <w:tcW w:w="236" w:type="dxa"/>
          </w:tcPr>
          <w:p w:rsidR="00E60458" w:rsidRPr="00355234" w:rsidRDefault="00E60458" w:rsidP="00785128">
            <w:pPr>
              <w:keepNext/>
              <w:keepLines/>
              <w:jc w:val="center"/>
              <w:rPr>
                <w:sz w:val="20"/>
                <w:szCs w:val="20"/>
                <w:lang w:val="en-US"/>
              </w:rPr>
            </w:pPr>
          </w:p>
        </w:tc>
        <w:tc>
          <w:tcPr>
            <w:tcW w:w="1724" w:type="dxa"/>
            <w:vAlign w:val="bottom"/>
          </w:tcPr>
          <w:p w:rsidR="00E60458" w:rsidRPr="00355234" w:rsidRDefault="00E60458" w:rsidP="00785128">
            <w:pPr>
              <w:keepNext/>
              <w:keepLines/>
              <w:jc w:val="center"/>
              <w:rPr>
                <w:sz w:val="20"/>
                <w:szCs w:val="20"/>
                <w:lang w:val="en-US"/>
              </w:rPr>
            </w:pPr>
            <w:r w:rsidRPr="00355234">
              <w:rPr>
                <w:sz w:val="20"/>
                <w:szCs w:val="20"/>
                <w:lang w:val="en-US"/>
              </w:rPr>
              <w:t>0.91</w:t>
            </w:r>
          </w:p>
        </w:tc>
        <w:tc>
          <w:tcPr>
            <w:tcW w:w="1126" w:type="dxa"/>
            <w:gridSpan w:val="2"/>
            <w:vAlign w:val="bottom"/>
          </w:tcPr>
          <w:p w:rsidR="00E60458" w:rsidRPr="00355234" w:rsidRDefault="00E60458" w:rsidP="00785128">
            <w:pPr>
              <w:keepNext/>
              <w:keepLines/>
              <w:jc w:val="center"/>
              <w:rPr>
                <w:sz w:val="20"/>
                <w:szCs w:val="20"/>
                <w:lang w:val="en-US"/>
              </w:rPr>
            </w:pPr>
            <w:r w:rsidRPr="00355234">
              <w:rPr>
                <w:sz w:val="20"/>
                <w:szCs w:val="20"/>
                <w:lang w:val="en-US"/>
              </w:rPr>
              <w:t>0.29</w:t>
            </w:r>
          </w:p>
        </w:tc>
      </w:tr>
      <w:tr w:rsidR="00E60458" w:rsidRPr="00355234" w:rsidTr="006D0014">
        <w:trPr>
          <w:jc w:val="center"/>
        </w:trPr>
        <w:tc>
          <w:tcPr>
            <w:tcW w:w="3227" w:type="dxa"/>
            <w:tcBorders>
              <w:top w:val="single" w:sz="4" w:space="0" w:color="auto"/>
              <w:bottom w:val="single" w:sz="4" w:space="0" w:color="auto"/>
            </w:tcBorders>
          </w:tcPr>
          <w:p w:rsidR="00E60458" w:rsidRPr="00C96488" w:rsidRDefault="00E60458" w:rsidP="00785128">
            <w:pPr>
              <w:keepNext/>
              <w:keepLines/>
              <w:jc w:val="both"/>
              <w:rPr>
                <w:sz w:val="20"/>
                <w:szCs w:val="20"/>
                <w:lang w:val="en-US"/>
              </w:rPr>
            </w:pPr>
            <w:r w:rsidRPr="00C96488">
              <w:rPr>
                <w:sz w:val="20"/>
                <w:szCs w:val="20"/>
                <w:lang w:val="en-US"/>
              </w:rPr>
              <w:t>Nº of observations</w:t>
            </w:r>
          </w:p>
        </w:tc>
        <w:tc>
          <w:tcPr>
            <w:tcW w:w="2817" w:type="dxa"/>
            <w:gridSpan w:val="2"/>
            <w:tcBorders>
              <w:top w:val="single" w:sz="4" w:space="0" w:color="auto"/>
              <w:bottom w:val="single" w:sz="4" w:space="0" w:color="auto"/>
            </w:tcBorders>
            <w:vAlign w:val="bottom"/>
          </w:tcPr>
          <w:p w:rsidR="00E60458" w:rsidRPr="00C96488" w:rsidRDefault="00C96488" w:rsidP="00785128">
            <w:pPr>
              <w:keepNext/>
              <w:keepLines/>
              <w:jc w:val="center"/>
              <w:rPr>
                <w:sz w:val="20"/>
                <w:szCs w:val="20"/>
                <w:lang w:val="en-US"/>
              </w:rPr>
            </w:pPr>
            <w:r w:rsidRPr="00C96488">
              <w:rPr>
                <w:sz w:val="20"/>
                <w:szCs w:val="20"/>
                <w:lang w:val="en-US"/>
              </w:rPr>
              <w:t>20,381</w:t>
            </w:r>
          </w:p>
        </w:tc>
        <w:tc>
          <w:tcPr>
            <w:tcW w:w="236" w:type="dxa"/>
            <w:tcBorders>
              <w:top w:val="single" w:sz="4" w:space="0" w:color="auto"/>
              <w:bottom w:val="single" w:sz="4" w:space="0" w:color="auto"/>
            </w:tcBorders>
          </w:tcPr>
          <w:p w:rsidR="00E60458" w:rsidRPr="00C96488" w:rsidRDefault="00E60458" w:rsidP="00785128">
            <w:pPr>
              <w:keepNext/>
              <w:keepLines/>
              <w:jc w:val="both"/>
              <w:rPr>
                <w:sz w:val="20"/>
                <w:szCs w:val="20"/>
                <w:lang w:val="en-US"/>
              </w:rPr>
            </w:pPr>
          </w:p>
        </w:tc>
        <w:tc>
          <w:tcPr>
            <w:tcW w:w="2850" w:type="dxa"/>
            <w:gridSpan w:val="3"/>
            <w:tcBorders>
              <w:top w:val="single" w:sz="4" w:space="0" w:color="auto"/>
              <w:bottom w:val="single" w:sz="4" w:space="0" w:color="auto"/>
            </w:tcBorders>
          </w:tcPr>
          <w:p w:rsidR="00E60458" w:rsidRPr="00C96488" w:rsidRDefault="00C96488" w:rsidP="00785128">
            <w:pPr>
              <w:keepNext/>
              <w:keepLines/>
              <w:jc w:val="center"/>
              <w:rPr>
                <w:sz w:val="20"/>
                <w:szCs w:val="20"/>
                <w:lang w:val="en-US"/>
              </w:rPr>
            </w:pPr>
            <w:r w:rsidRPr="00C96488">
              <w:rPr>
                <w:sz w:val="20"/>
                <w:szCs w:val="20"/>
                <w:lang w:val="en-US"/>
              </w:rPr>
              <w:t>15,326</w:t>
            </w:r>
          </w:p>
        </w:tc>
      </w:tr>
      <w:tr w:rsidR="00E60458" w:rsidRPr="00355234" w:rsidTr="006D0014">
        <w:trPr>
          <w:gridAfter w:val="1"/>
          <w:wAfter w:w="76" w:type="dxa"/>
          <w:jc w:val="center"/>
        </w:trPr>
        <w:tc>
          <w:tcPr>
            <w:tcW w:w="9054" w:type="dxa"/>
            <w:gridSpan w:val="6"/>
            <w:tcBorders>
              <w:top w:val="single" w:sz="4" w:space="0" w:color="auto"/>
            </w:tcBorders>
          </w:tcPr>
          <w:p w:rsidR="00E60458" w:rsidRDefault="007D3666" w:rsidP="00785128">
            <w:pPr>
              <w:keepNext/>
              <w:keepLines/>
              <w:rPr>
                <w:sz w:val="20"/>
                <w:szCs w:val="20"/>
                <w:lang w:val="en-US"/>
              </w:rPr>
            </w:pPr>
            <w:r>
              <w:rPr>
                <w:sz w:val="20"/>
                <w:szCs w:val="20"/>
                <w:lang w:val="en-US"/>
              </w:rPr>
              <w:t>Source:</w:t>
            </w:r>
            <w:r w:rsidRPr="007D3666">
              <w:rPr>
                <w:sz w:val="20"/>
                <w:szCs w:val="20"/>
                <w:lang w:val="en-US"/>
              </w:rPr>
              <w:t xml:space="preserve"> Original compilation based on </w:t>
            </w:r>
            <w:r w:rsidRPr="007D3666">
              <w:rPr>
                <w:bCs/>
                <w:sz w:val="20"/>
                <w:szCs w:val="20"/>
                <w:lang w:val="en-US"/>
              </w:rPr>
              <w:t xml:space="preserve">MEC/ </w:t>
            </w:r>
            <w:proofErr w:type="spellStart"/>
            <w:r w:rsidRPr="007D3666">
              <w:rPr>
                <w:bCs/>
                <w:sz w:val="20"/>
                <w:szCs w:val="20"/>
                <w:lang w:val="en-US"/>
              </w:rPr>
              <w:t>Inep</w:t>
            </w:r>
            <w:proofErr w:type="spellEnd"/>
            <w:r w:rsidRPr="007D3666">
              <w:rPr>
                <w:bCs/>
                <w:sz w:val="20"/>
                <w:szCs w:val="20"/>
                <w:lang w:val="en-US"/>
              </w:rPr>
              <w:t xml:space="preserve"> (2013).</w:t>
            </w:r>
            <w:r w:rsidR="00E60458" w:rsidRPr="00355234">
              <w:rPr>
                <w:sz w:val="20"/>
                <w:szCs w:val="20"/>
                <w:lang w:val="en-US"/>
              </w:rPr>
              <w:t xml:space="preserve"> </w:t>
            </w:r>
          </w:p>
          <w:p w:rsidR="007F6CD6" w:rsidRPr="00355234" w:rsidRDefault="003C5BA2" w:rsidP="00785128">
            <w:pPr>
              <w:keepNext/>
              <w:keepLines/>
              <w:jc w:val="both"/>
              <w:rPr>
                <w:sz w:val="20"/>
                <w:szCs w:val="20"/>
                <w:lang w:val="en-US"/>
              </w:rPr>
            </w:pPr>
            <w:r w:rsidRPr="003C5BA2">
              <w:rPr>
                <w:sz w:val="20"/>
                <w:szCs w:val="20"/>
                <w:vertAlign w:val="superscript"/>
                <w:lang w:val="en-US"/>
              </w:rPr>
              <w:t>*</w:t>
            </w:r>
            <w:r w:rsidR="007F6CD6">
              <w:rPr>
                <w:sz w:val="20"/>
                <w:szCs w:val="20"/>
                <w:lang w:val="en-US"/>
              </w:rPr>
              <w:t xml:space="preserve">It is a dummy variable that takes the value </w:t>
            </w:r>
            <w:r>
              <w:rPr>
                <w:sz w:val="20"/>
                <w:szCs w:val="20"/>
                <w:lang w:val="en-US"/>
              </w:rPr>
              <w:t xml:space="preserve">1 </w:t>
            </w:r>
            <w:r w:rsidR="007F6CD6">
              <w:rPr>
                <w:sz w:val="20"/>
                <w:szCs w:val="20"/>
                <w:lang w:val="en-US"/>
              </w:rPr>
              <w:t>when the proportion of 4</w:t>
            </w:r>
            <w:r w:rsidR="007F6CD6" w:rsidRPr="007F6CD6">
              <w:rPr>
                <w:sz w:val="20"/>
                <w:szCs w:val="20"/>
                <w:vertAlign w:val="superscript"/>
                <w:lang w:val="en-US"/>
              </w:rPr>
              <w:t>th</w:t>
            </w:r>
            <w:r w:rsidR="007F6CD6">
              <w:rPr>
                <w:sz w:val="20"/>
                <w:szCs w:val="20"/>
                <w:lang w:val="en-US"/>
              </w:rPr>
              <w:t xml:space="preserve"> graders born in </w:t>
            </w:r>
            <w:r>
              <w:rPr>
                <w:sz w:val="20"/>
                <w:szCs w:val="20"/>
                <w:lang w:val="en-US"/>
              </w:rPr>
              <w:t>the 2</w:t>
            </w:r>
            <w:r w:rsidRPr="003C5BA2">
              <w:rPr>
                <w:sz w:val="20"/>
                <w:szCs w:val="20"/>
                <w:vertAlign w:val="superscript"/>
                <w:lang w:val="en-US"/>
              </w:rPr>
              <w:t>nd</w:t>
            </w:r>
            <w:r>
              <w:rPr>
                <w:sz w:val="20"/>
                <w:szCs w:val="20"/>
                <w:lang w:val="en-US"/>
              </w:rPr>
              <w:t xml:space="preserve"> </w:t>
            </w:r>
            <w:r w:rsidR="007F6CD6">
              <w:rPr>
                <w:sz w:val="20"/>
                <w:szCs w:val="20"/>
                <w:lang w:val="en-US"/>
              </w:rPr>
              <w:t>semester</w:t>
            </w:r>
            <w:r>
              <w:rPr>
                <w:sz w:val="20"/>
                <w:szCs w:val="20"/>
                <w:lang w:val="en-US"/>
              </w:rPr>
              <w:t xml:space="preserve">, for each school, </w:t>
            </w:r>
            <w:r w:rsidR="007F6CD6">
              <w:rPr>
                <w:sz w:val="20"/>
                <w:szCs w:val="20"/>
                <w:lang w:val="en-US"/>
              </w:rPr>
              <w:t>is at least as high as the proportion of 4</w:t>
            </w:r>
            <w:r w:rsidR="007F6CD6" w:rsidRPr="007F6CD6">
              <w:rPr>
                <w:sz w:val="20"/>
                <w:szCs w:val="20"/>
                <w:vertAlign w:val="superscript"/>
                <w:lang w:val="en-US"/>
              </w:rPr>
              <w:t>th</w:t>
            </w:r>
            <w:r w:rsidR="007F6CD6">
              <w:rPr>
                <w:sz w:val="20"/>
                <w:szCs w:val="20"/>
                <w:lang w:val="en-US"/>
              </w:rPr>
              <w:t xml:space="preserve"> graders born in the </w:t>
            </w:r>
            <w:r>
              <w:rPr>
                <w:sz w:val="20"/>
                <w:szCs w:val="20"/>
                <w:lang w:val="en-US"/>
              </w:rPr>
              <w:t>1</w:t>
            </w:r>
            <w:r w:rsidRPr="003C5BA2">
              <w:rPr>
                <w:sz w:val="20"/>
                <w:szCs w:val="20"/>
                <w:vertAlign w:val="superscript"/>
                <w:lang w:val="en-US"/>
              </w:rPr>
              <w:t>st</w:t>
            </w:r>
            <w:r w:rsidR="007F6CD6">
              <w:rPr>
                <w:sz w:val="20"/>
                <w:szCs w:val="20"/>
                <w:lang w:val="en-US"/>
              </w:rPr>
              <w:t xml:space="preserve"> semester</w:t>
            </w:r>
            <w:r w:rsidR="008355AB">
              <w:rPr>
                <w:sz w:val="20"/>
                <w:szCs w:val="20"/>
                <w:lang w:val="en-US"/>
              </w:rPr>
              <w:t>; and the value 0 otherwise.</w:t>
            </w:r>
          </w:p>
        </w:tc>
      </w:tr>
    </w:tbl>
    <w:p w:rsidR="00E60458" w:rsidRDefault="00E60458" w:rsidP="00785128"/>
    <w:p w:rsidR="0090322C" w:rsidRDefault="0090322C" w:rsidP="0090322C">
      <w:pPr>
        <w:ind w:firstLine="720"/>
        <w:jc w:val="both"/>
        <w:rPr>
          <w:lang w:val="en-US"/>
        </w:rPr>
      </w:pPr>
      <w:r w:rsidRPr="00AF1B0F">
        <w:rPr>
          <w:lang w:val="en-US"/>
        </w:rPr>
        <w:t xml:space="preserve">The </w:t>
      </w:r>
      <w:proofErr w:type="spellStart"/>
      <w:r w:rsidRPr="00AF1B0F">
        <w:rPr>
          <w:lang w:val="en-US"/>
        </w:rPr>
        <w:t>monotonicity</w:t>
      </w:r>
      <w:proofErr w:type="spellEnd"/>
      <w:r w:rsidRPr="00AF1B0F">
        <w:rPr>
          <w:lang w:val="en-US"/>
        </w:rPr>
        <w:t xml:space="preserve"> assumption also cannot be directly checked</w:t>
      </w:r>
      <w:r w:rsidR="000F75CB" w:rsidRPr="00AF1B0F">
        <w:rPr>
          <w:lang w:val="en-US"/>
        </w:rPr>
        <w:t>,</w:t>
      </w:r>
      <w:r w:rsidRPr="00AF1B0F">
        <w:rPr>
          <w:lang w:val="en-US"/>
        </w:rPr>
        <w:t xml:space="preserve"> because again it involves unobservable variables, o</w:t>
      </w:r>
      <w:proofErr w:type="spellStart"/>
      <w:r w:rsidRPr="00AF1B0F">
        <w:t>nly</w:t>
      </w:r>
      <w:proofErr w:type="spellEnd"/>
      <w:r w:rsidRPr="00AF1B0F">
        <w:t xml:space="preserve"> one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r>
                  <w:rPr>
                    <w:rFonts w:ascii="Cambria Math"/>
                  </w:rPr>
                  <m:t>1</m:t>
                </m:r>
              </m:sub>
            </m:sSub>
          </m:e>
        </m:acc>
      </m:oMath>
      <w:r w:rsidRPr="00AF1B0F">
        <w:t xml:space="preserve"> (</w:t>
      </w:r>
      <w:proofErr w:type="gramStart"/>
      <w:r w:rsidRPr="00AF1B0F">
        <w:t xml:space="preserve">or </w:t>
      </w:r>
      <m:oMath>
        <w:proofErr w:type="gramEnd"/>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r>
                  <w:rPr>
                    <w:rFonts w:ascii="Cambria Math"/>
                  </w:rPr>
                  <m:t>0</m:t>
                </m:r>
              </m:sub>
            </m:sSub>
          </m:e>
        </m:acc>
      </m:oMath>
      <w:r w:rsidRPr="00AF1B0F">
        <w:t>) is observed. However, we propose a test that consists on restricting the estimated models over the subpopulation of compliers, in which we identify only students who enrolled in the 1</w:t>
      </w:r>
      <w:r w:rsidRPr="00AF1B0F">
        <w:rPr>
          <w:vertAlign w:val="superscript"/>
        </w:rPr>
        <w:t>st</w:t>
      </w:r>
      <w:r w:rsidRPr="00AF1B0F">
        <w:t xml:space="preserve"> grade </w:t>
      </w:r>
      <w:r w:rsidRPr="00AF1B0F">
        <w:rPr>
          <w:lang w:val="en-US"/>
        </w:rPr>
        <w:t>when they turned 6 years old by March, as well as those who had to wait one more year to start school if they turned 6 after this period.</w:t>
      </w:r>
      <w:r w:rsidRPr="00AF1B0F">
        <w:t xml:space="preserve"> The subsample of compliers is restricted to </w:t>
      </w:r>
      <w:r w:rsidRPr="00AF1B0F">
        <w:rPr>
          <w:lang w:val="en-US"/>
        </w:rPr>
        <w:t>330,406</w:t>
      </w:r>
      <w:r w:rsidRPr="00AF1B0F">
        <w:t xml:space="preserve"> individuals, representing 55% of our sample. </w:t>
      </w:r>
      <w:r w:rsidR="000F75CB" w:rsidRPr="00AF1B0F">
        <w:t>Table 5</w:t>
      </w:r>
      <w:r w:rsidRPr="00AF1B0F">
        <w:t xml:space="preserve"> presents the results and it shows the peer effects coefficients reduce in the restricted sample, for both types of evaluations; however they are not statistically different from those of the complete sample, as illustrated by the test F. This kind of exercise provides an indirect way of proving </w:t>
      </w:r>
      <w:r w:rsidR="00A11BB7" w:rsidRPr="00AF1B0F">
        <w:t xml:space="preserve">that </w:t>
      </w:r>
      <w:r w:rsidRPr="00AF1B0F">
        <w:t>the treatment intensity (peers</w:t>
      </w:r>
      <w:r w:rsidR="00E16F6B" w:rsidRPr="00AF1B0F">
        <w:t>’</w:t>
      </w:r>
      <w:r w:rsidRPr="00AF1B0F">
        <w:t xml:space="preserve"> average performance) responds robustly to the instruments and, as such, we assume there is no reason to expect schools to respond differently to the instrument status.</w:t>
      </w:r>
      <w:r>
        <w:t xml:space="preserve"> </w:t>
      </w:r>
    </w:p>
    <w:p w:rsidR="0090322C" w:rsidRPr="0090322C" w:rsidRDefault="0090322C" w:rsidP="00785128">
      <w:pPr>
        <w:rPr>
          <w:lang w:val="en-US"/>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1651"/>
        <w:gridCol w:w="1630"/>
        <w:gridCol w:w="109"/>
        <w:gridCol w:w="1687"/>
        <w:gridCol w:w="156"/>
        <w:gridCol w:w="1640"/>
      </w:tblGrid>
      <w:tr w:rsidR="004F14B5" w:rsidRPr="004F14B5" w:rsidTr="0090322C">
        <w:trPr>
          <w:jc w:val="center"/>
        </w:trPr>
        <w:tc>
          <w:tcPr>
            <w:tcW w:w="9108" w:type="dxa"/>
            <w:gridSpan w:val="7"/>
            <w:tcBorders>
              <w:bottom w:val="single" w:sz="4" w:space="0" w:color="auto"/>
            </w:tcBorders>
          </w:tcPr>
          <w:p w:rsidR="004F14B5" w:rsidRDefault="004F14B5" w:rsidP="00785128">
            <w:pPr>
              <w:keepNext/>
              <w:keepLines/>
              <w:jc w:val="center"/>
              <w:rPr>
                <w:sz w:val="20"/>
                <w:szCs w:val="20"/>
              </w:rPr>
            </w:pPr>
            <w:r w:rsidRPr="00F970B0">
              <w:rPr>
                <w:sz w:val="20"/>
                <w:szCs w:val="20"/>
              </w:rPr>
              <w:lastRenderedPageBreak/>
              <w:t xml:space="preserve">Table </w:t>
            </w:r>
            <w:r w:rsidR="000F75CB">
              <w:rPr>
                <w:sz w:val="20"/>
                <w:szCs w:val="20"/>
              </w:rPr>
              <w:t>5</w:t>
            </w:r>
          </w:p>
          <w:p w:rsidR="004F14B5" w:rsidRPr="004F14B5" w:rsidRDefault="004F14B5" w:rsidP="00511833">
            <w:pPr>
              <w:keepNext/>
              <w:keepLines/>
              <w:jc w:val="center"/>
              <w:rPr>
                <w:sz w:val="20"/>
                <w:szCs w:val="20"/>
              </w:rPr>
            </w:pPr>
            <w:r>
              <w:rPr>
                <w:sz w:val="20"/>
                <w:szCs w:val="20"/>
              </w:rPr>
              <w:t xml:space="preserve">IV regressions for the </w:t>
            </w:r>
            <w:r w:rsidRPr="00F970B0">
              <w:rPr>
                <w:sz w:val="20"/>
                <w:szCs w:val="20"/>
                <w:lang w:val="en-US"/>
              </w:rPr>
              <w:t>effect of peers’ educational achievement on student’s performance</w:t>
            </w:r>
            <w:r>
              <w:rPr>
                <w:sz w:val="20"/>
                <w:szCs w:val="20"/>
              </w:rPr>
              <w:t xml:space="preserve"> over the </w:t>
            </w:r>
            <w:r w:rsidR="00511833">
              <w:rPr>
                <w:sz w:val="20"/>
                <w:szCs w:val="20"/>
              </w:rPr>
              <w:t>restricted (</w:t>
            </w:r>
            <w:r>
              <w:rPr>
                <w:sz w:val="20"/>
                <w:szCs w:val="20"/>
              </w:rPr>
              <w:t>complier</w:t>
            </w:r>
            <w:r w:rsidR="00511833">
              <w:rPr>
                <w:sz w:val="20"/>
                <w:szCs w:val="20"/>
              </w:rPr>
              <w:t>) and unrestricted</w:t>
            </w:r>
            <w:r>
              <w:rPr>
                <w:sz w:val="20"/>
                <w:szCs w:val="20"/>
              </w:rPr>
              <w:t xml:space="preserve"> </w:t>
            </w:r>
            <w:r w:rsidR="00511833">
              <w:rPr>
                <w:sz w:val="20"/>
                <w:szCs w:val="20"/>
              </w:rPr>
              <w:t>sample</w:t>
            </w:r>
          </w:p>
        </w:tc>
      </w:tr>
      <w:tr w:rsidR="0080268C" w:rsidRPr="004F14B5" w:rsidTr="0090322C">
        <w:trPr>
          <w:jc w:val="center"/>
        </w:trPr>
        <w:tc>
          <w:tcPr>
            <w:tcW w:w="2235" w:type="dxa"/>
            <w:vMerge w:val="restart"/>
            <w:tcBorders>
              <w:top w:val="single" w:sz="4" w:space="0" w:color="auto"/>
            </w:tcBorders>
            <w:vAlign w:val="bottom"/>
          </w:tcPr>
          <w:p w:rsidR="0080268C" w:rsidRPr="004F14B5" w:rsidRDefault="0080268C" w:rsidP="0080268C">
            <w:pPr>
              <w:keepNext/>
              <w:keepLines/>
              <w:rPr>
                <w:sz w:val="20"/>
                <w:szCs w:val="20"/>
              </w:rPr>
            </w:pPr>
            <w:r w:rsidRPr="004F14B5">
              <w:rPr>
                <w:bCs/>
                <w:color w:val="000000"/>
                <w:sz w:val="20"/>
                <w:szCs w:val="20"/>
              </w:rPr>
              <w:t>Independent v</w:t>
            </w:r>
            <w:r w:rsidRPr="004F14B5">
              <w:rPr>
                <w:bCs/>
                <w:color w:val="000000"/>
                <w:sz w:val="20"/>
                <w:szCs w:val="20"/>
                <w:lang w:eastAsia="pt-BR"/>
              </w:rPr>
              <w:t>ariables</w:t>
            </w:r>
          </w:p>
        </w:tc>
        <w:tc>
          <w:tcPr>
            <w:tcW w:w="3390" w:type="dxa"/>
            <w:gridSpan w:val="3"/>
            <w:tcBorders>
              <w:top w:val="single" w:sz="4" w:space="0" w:color="auto"/>
              <w:bottom w:val="single" w:sz="4" w:space="0" w:color="auto"/>
            </w:tcBorders>
          </w:tcPr>
          <w:p w:rsidR="0080268C" w:rsidRDefault="0080268C" w:rsidP="00785128">
            <w:pPr>
              <w:keepNext/>
              <w:keepLines/>
              <w:jc w:val="center"/>
              <w:rPr>
                <w:sz w:val="20"/>
                <w:szCs w:val="20"/>
                <w:lang w:val="en-US"/>
              </w:rPr>
            </w:pPr>
            <w:r w:rsidRPr="004F14B5">
              <w:rPr>
                <w:sz w:val="20"/>
                <w:szCs w:val="20"/>
                <w:lang w:val="en-US"/>
              </w:rPr>
              <w:t>Dep. var.: Student math grade</w:t>
            </w:r>
            <w:r>
              <w:rPr>
                <w:sz w:val="20"/>
                <w:szCs w:val="20"/>
                <w:lang w:val="en-US"/>
              </w:rPr>
              <w:t xml:space="preserve"> </w:t>
            </w:r>
          </w:p>
          <w:p w:rsidR="0080268C" w:rsidRPr="004F14B5" w:rsidRDefault="0080268C" w:rsidP="00785128">
            <w:pPr>
              <w:keepNext/>
              <w:keepLines/>
              <w:jc w:val="center"/>
              <w:rPr>
                <w:sz w:val="20"/>
                <w:szCs w:val="20"/>
              </w:rPr>
            </w:pPr>
            <w:r>
              <w:rPr>
                <w:sz w:val="20"/>
                <w:szCs w:val="20"/>
                <w:lang w:val="en-US"/>
              </w:rPr>
              <w:t>(2</w:t>
            </w:r>
            <w:r w:rsidRPr="0080268C">
              <w:rPr>
                <w:sz w:val="20"/>
                <w:szCs w:val="20"/>
                <w:vertAlign w:val="superscript"/>
                <w:lang w:val="en-US"/>
              </w:rPr>
              <w:t>nd</w:t>
            </w:r>
            <w:r>
              <w:rPr>
                <w:sz w:val="20"/>
                <w:szCs w:val="20"/>
                <w:lang w:val="en-US"/>
              </w:rPr>
              <w:t xml:space="preserve"> stage)</w:t>
            </w:r>
          </w:p>
        </w:tc>
        <w:tc>
          <w:tcPr>
            <w:tcW w:w="3483" w:type="dxa"/>
            <w:gridSpan w:val="3"/>
            <w:tcBorders>
              <w:top w:val="single" w:sz="4" w:space="0" w:color="auto"/>
              <w:bottom w:val="single" w:sz="4" w:space="0" w:color="auto"/>
            </w:tcBorders>
          </w:tcPr>
          <w:p w:rsidR="0080268C" w:rsidRDefault="0080268C" w:rsidP="00785128">
            <w:pPr>
              <w:keepNext/>
              <w:keepLines/>
              <w:jc w:val="center"/>
              <w:rPr>
                <w:sz w:val="20"/>
                <w:szCs w:val="20"/>
                <w:lang w:val="en-US"/>
              </w:rPr>
            </w:pPr>
            <w:r w:rsidRPr="004F14B5">
              <w:rPr>
                <w:sz w:val="20"/>
                <w:szCs w:val="20"/>
                <w:lang w:val="en-US"/>
              </w:rPr>
              <w:t xml:space="preserve">Dep. </w:t>
            </w:r>
            <w:proofErr w:type="spellStart"/>
            <w:r w:rsidRPr="004F14B5">
              <w:rPr>
                <w:sz w:val="20"/>
                <w:szCs w:val="20"/>
                <w:lang w:val="en-US"/>
              </w:rPr>
              <w:t>var</w:t>
            </w:r>
            <w:proofErr w:type="spellEnd"/>
            <w:r w:rsidRPr="004F14B5">
              <w:rPr>
                <w:sz w:val="20"/>
                <w:szCs w:val="20"/>
                <w:lang w:val="en-US"/>
              </w:rPr>
              <w:t>: Student Port. Lang. grade</w:t>
            </w:r>
            <w:r>
              <w:rPr>
                <w:sz w:val="20"/>
                <w:szCs w:val="20"/>
                <w:lang w:val="en-US"/>
              </w:rPr>
              <w:t xml:space="preserve"> </w:t>
            </w:r>
          </w:p>
          <w:p w:rsidR="0080268C" w:rsidRPr="004F14B5" w:rsidRDefault="0080268C" w:rsidP="00785128">
            <w:pPr>
              <w:keepNext/>
              <w:keepLines/>
              <w:jc w:val="center"/>
              <w:rPr>
                <w:sz w:val="20"/>
                <w:szCs w:val="20"/>
              </w:rPr>
            </w:pPr>
            <w:r>
              <w:rPr>
                <w:sz w:val="20"/>
                <w:szCs w:val="20"/>
                <w:lang w:val="en-US"/>
              </w:rPr>
              <w:t>(2</w:t>
            </w:r>
            <w:r w:rsidRPr="0080268C">
              <w:rPr>
                <w:sz w:val="20"/>
                <w:szCs w:val="20"/>
                <w:vertAlign w:val="superscript"/>
                <w:lang w:val="en-US"/>
              </w:rPr>
              <w:t>nd</w:t>
            </w:r>
            <w:r>
              <w:rPr>
                <w:sz w:val="20"/>
                <w:szCs w:val="20"/>
                <w:lang w:val="en-US"/>
              </w:rPr>
              <w:t xml:space="preserve"> stage)</w:t>
            </w:r>
          </w:p>
        </w:tc>
      </w:tr>
      <w:tr w:rsidR="004F14B5" w:rsidRPr="004F14B5" w:rsidTr="0090322C">
        <w:trPr>
          <w:jc w:val="center"/>
        </w:trPr>
        <w:tc>
          <w:tcPr>
            <w:tcW w:w="2235" w:type="dxa"/>
            <w:vMerge/>
          </w:tcPr>
          <w:p w:rsidR="004F14B5" w:rsidRPr="004F14B5" w:rsidRDefault="004F14B5" w:rsidP="00785128">
            <w:pPr>
              <w:keepNext/>
              <w:keepLines/>
              <w:rPr>
                <w:sz w:val="20"/>
                <w:szCs w:val="20"/>
              </w:rPr>
            </w:pPr>
          </w:p>
        </w:tc>
        <w:tc>
          <w:tcPr>
            <w:tcW w:w="1651" w:type="dxa"/>
            <w:tcBorders>
              <w:bottom w:val="single" w:sz="4" w:space="0" w:color="auto"/>
            </w:tcBorders>
            <w:vAlign w:val="bottom"/>
          </w:tcPr>
          <w:p w:rsidR="004F14B5" w:rsidRPr="004F14B5" w:rsidRDefault="0080268C" w:rsidP="0080268C">
            <w:pPr>
              <w:keepNext/>
              <w:keepLines/>
              <w:jc w:val="center"/>
              <w:rPr>
                <w:sz w:val="20"/>
                <w:szCs w:val="20"/>
              </w:rPr>
            </w:pPr>
            <w:r>
              <w:rPr>
                <w:sz w:val="20"/>
                <w:szCs w:val="20"/>
              </w:rPr>
              <w:t>Unrestricted</w:t>
            </w:r>
          </w:p>
        </w:tc>
        <w:tc>
          <w:tcPr>
            <w:tcW w:w="1739" w:type="dxa"/>
            <w:gridSpan w:val="2"/>
            <w:tcBorders>
              <w:bottom w:val="single" w:sz="4" w:space="0" w:color="auto"/>
            </w:tcBorders>
            <w:vAlign w:val="bottom"/>
          </w:tcPr>
          <w:p w:rsidR="004F14B5" w:rsidRPr="004F14B5" w:rsidRDefault="0080268C" w:rsidP="0080268C">
            <w:pPr>
              <w:keepNext/>
              <w:keepLines/>
              <w:jc w:val="center"/>
              <w:rPr>
                <w:sz w:val="20"/>
                <w:szCs w:val="20"/>
              </w:rPr>
            </w:pPr>
            <w:r>
              <w:rPr>
                <w:sz w:val="20"/>
                <w:szCs w:val="20"/>
              </w:rPr>
              <w:t>Restricted (compliers)</w:t>
            </w:r>
          </w:p>
        </w:tc>
        <w:tc>
          <w:tcPr>
            <w:tcW w:w="1843" w:type="dxa"/>
            <w:gridSpan w:val="2"/>
            <w:tcBorders>
              <w:bottom w:val="single" w:sz="4" w:space="0" w:color="auto"/>
            </w:tcBorders>
            <w:vAlign w:val="bottom"/>
          </w:tcPr>
          <w:p w:rsidR="004F14B5" w:rsidRPr="004F14B5" w:rsidRDefault="0080268C" w:rsidP="0080268C">
            <w:pPr>
              <w:keepNext/>
              <w:keepLines/>
              <w:jc w:val="center"/>
              <w:rPr>
                <w:sz w:val="20"/>
                <w:szCs w:val="20"/>
              </w:rPr>
            </w:pPr>
            <w:r>
              <w:rPr>
                <w:sz w:val="20"/>
                <w:szCs w:val="20"/>
              </w:rPr>
              <w:t>Unrestricted</w:t>
            </w:r>
          </w:p>
        </w:tc>
        <w:tc>
          <w:tcPr>
            <w:tcW w:w="1640" w:type="dxa"/>
            <w:tcBorders>
              <w:bottom w:val="single" w:sz="4" w:space="0" w:color="auto"/>
            </w:tcBorders>
            <w:vAlign w:val="bottom"/>
          </w:tcPr>
          <w:p w:rsidR="004F14B5" w:rsidRPr="004F14B5" w:rsidRDefault="0080268C" w:rsidP="0080268C">
            <w:pPr>
              <w:keepNext/>
              <w:keepLines/>
              <w:jc w:val="center"/>
              <w:rPr>
                <w:sz w:val="20"/>
                <w:szCs w:val="20"/>
              </w:rPr>
            </w:pPr>
            <w:r>
              <w:rPr>
                <w:sz w:val="20"/>
                <w:szCs w:val="20"/>
              </w:rPr>
              <w:t>Restricted (compliers)</w:t>
            </w:r>
          </w:p>
        </w:tc>
      </w:tr>
      <w:tr w:rsidR="005933D7" w:rsidRPr="004F14B5" w:rsidTr="0090322C">
        <w:trPr>
          <w:jc w:val="center"/>
        </w:trPr>
        <w:tc>
          <w:tcPr>
            <w:tcW w:w="9108" w:type="dxa"/>
            <w:gridSpan w:val="7"/>
            <w:tcBorders>
              <w:top w:val="single" w:sz="4" w:space="0" w:color="auto"/>
            </w:tcBorders>
          </w:tcPr>
          <w:p w:rsidR="005933D7" w:rsidRPr="004F14B5" w:rsidRDefault="005933D7" w:rsidP="00785128">
            <w:pPr>
              <w:keepNext/>
              <w:keepLines/>
              <w:rPr>
                <w:sz w:val="20"/>
                <w:szCs w:val="20"/>
              </w:rPr>
            </w:pPr>
            <w:r w:rsidRPr="004F14B5">
              <w:rPr>
                <w:i/>
                <w:sz w:val="20"/>
                <w:szCs w:val="20"/>
                <w:lang w:val="en-US"/>
              </w:rPr>
              <w:t>Peers’ characteristics</w:t>
            </w: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Peers average math grade</w:t>
            </w:r>
          </w:p>
        </w:tc>
        <w:tc>
          <w:tcPr>
            <w:tcW w:w="1651" w:type="dxa"/>
            <w:vAlign w:val="center"/>
          </w:tcPr>
          <w:p w:rsidR="00D91331" w:rsidRPr="00B772EF" w:rsidRDefault="00D91331" w:rsidP="00D91331">
            <w:pPr>
              <w:keepNext/>
              <w:keepLines/>
              <w:jc w:val="center"/>
              <w:rPr>
                <w:sz w:val="20"/>
                <w:szCs w:val="20"/>
                <w:lang w:val="en-US"/>
              </w:rPr>
            </w:pPr>
            <w:r w:rsidRPr="00B772EF">
              <w:rPr>
                <w:sz w:val="20"/>
                <w:szCs w:val="20"/>
                <w:lang w:val="en-US"/>
              </w:rPr>
              <w:t>0.60</w:t>
            </w:r>
          </w:p>
          <w:p w:rsidR="00D91331" w:rsidRPr="004F14B5" w:rsidRDefault="00D91331" w:rsidP="00D91331">
            <w:pPr>
              <w:keepNext/>
              <w:keepLines/>
              <w:jc w:val="center"/>
              <w:rPr>
                <w:sz w:val="20"/>
                <w:szCs w:val="20"/>
              </w:rPr>
            </w:pPr>
            <w:r w:rsidRPr="00B772EF">
              <w:rPr>
                <w:sz w:val="20"/>
                <w:szCs w:val="20"/>
                <w:lang w:val="en-US"/>
              </w:rPr>
              <w:t>(0.06)</w:t>
            </w:r>
          </w:p>
        </w:tc>
        <w:tc>
          <w:tcPr>
            <w:tcW w:w="1630" w:type="dxa"/>
            <w:vAlign w:val="center"/>
          </w:tcPr>
          <w:p w:rsidR="00D91331" w:rsidRDefault="00D91331" w:rsidP="00785128">
            <w:pPr>
              <w:keepNext/>
              <w:keepLines/>
              <w:jc w:val="center"/>
              <w:rPr>
                <w:sz w:val="20"/>
                <w:szCs w:val="20"/>
              </w:rPr>
            </w:pPr>
            <w:r>
              <w:rPr>
                <w:sz w:val="20"/>
                <w:szCs w:val="20"/>
              </w:rPr>
              <w:t>0.51</w:t>
            </w:r>
          </w:p>
          <w:p w:rsidR="00D91331" w:rsidRPr="004F14B5" w:rsidRDefault="00D91331" w:rsidP="00785128">
            <w:pPr>
              <w:keepNext/>
              <w:keepLines/>
              <w:jc w:val="center"/>
              <w:rPr>
                <w:sz w:val="20"/>
                <w:szCs w:val="20"/>
              </w:rPr>
            </w:pPr>
            <w:r>
              <w:rPr>
                <w:sz w:val="20"/>
                <w:szCs w:val="20"/>
              </w:rPr>
              <w:t>(0.08)</w:t>
            </w:r>
          </w:p>
        </w:tc>
        <w:tc>
          <w:tcPr>
            <w:tcW w:w="1796" w:type="dxa"/>
            <w:gridSpan w:val="2"/>
            <w:vAlign w:val="center"/>
          </w:tcPr>
          <w:p w:rsidR="00D91331" w:rsidRPr="00B772EF" w:rsidRDefault="00D91331" w:rsidP="009F01E9">
            <w:pPr>
              <w:keepNext/>
              <w:keepLines/>
              <w:jc w:val="center"/>
              <w:rPr>
                <w:sz w:val="20"/>
                <w:szCs w:val="20"/>
                <w:lang w:val="en-US"/>
              </w:rPr>
            </w:pPr>
            <w:r w:rsidRPr="00B772EF">
              <w:rPr>
                <w:sz w:val="20"/>
                <w:szCs w:val="20"/>
                <w:lang w:val="en-US"/>
              </w:rPr>
              <w:t>-</w:t>
            </w:r>
          </w:p>
        </w:tc>
        <w:tc>
          <w:tcPr>
            <w:tcW w:w="1796" w:type="dxa"/>
            <w:gridSpan w:val="2"/>
            <w:vAlign w:val="center"/>
          </w:tcPr>
          <w:p w:rsidR="00D91331" w:rsidRPr="004F14B5" w:rsidRDefault="00D91331" w:rsidP="00785128">
            <w:pPr>
              <w:keepNext/>
              <w:keepLines/>
              <w:jc w:val="center"/>
              <w:rPr>
                <w:sz w:val="20"/>
                <w:szCs w:val="20"/>
              </w:rPr>
            </w:pPr>
            <w:r>
              <w:rPr>
                <w:sz w:val="20"/>
                <w:szCs w:val="20"/>
              </w:rPr>
              <w:t>-</w:t>
            </w: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Peers average Port. Lang. grade</w:t>
            </w:r>
          </w:p>
        </w:tc>
        <w:tc>
          <w:tcPr>
            <w:tcW w:w="1651" w:type="dxa"/>
            <w:vAlign w:val="center"/>
          </w:tcPr>
          <w:p w:rsidR="00D91331" w:rsidRPr="004F14B5" w:rsidRDefault="00A326DF" w:rsidP="00785128">
            <w:pPr>
              <w:keepNext/>
              <w:keepLines/>
              <w:jc w:val="center"/>
              <w:rPr>
                <w:sz w:val="20"/>
                <w:szCs w:val="20"/>
              </w:rPr>
            </w:pPr>
            <w:r>
              <w:rPr>
                <w:sz w:val="20"/>
                <w:szCs w:val="20"/>
              </w:rPr>
              <w:t>-</w:t>
            </w:r>
          </w:p>
        </w:tc>
        <w:tc>
          <w:tcPr>
            <w:tcW w:w="1630" w:type="dxa"/>
            <w:vAlign w:val="center"/>
          </w:tcPr>
          <w:p w:rsidR="00D91331" w:rsidRPr="004F14B5" w:rsidRDefault="00D91331" w:rsidP="00785128">
            <w:pPr>
              <w:keepNext/>
              <w:keepLines/>
              <w:jc w:val="center"/>
              <w:rPr>
                <w:sz w:val="20"/>
                <w:szCs w:val="20"/>
              </w:rPr>
            </w:pPr>
            <w:r>
              <w:rPr>
                <w:sz w:val="20"/>
                <w:szCs w:val="20"/>
              </w:rPr>
              <w:t>-</w:t>
            </w:r>
          </w:p>
        </w:tc>
        <w:tc>
          <w:tcPr>
            <w:tcW w:w="1796" w:type="dxa"/>
            <w:gridSpan w:val="2"/>
            <w:vAlign w:val="center"/>
          </w:tcPr>
          <w:p w:rsidR="00D91331" w:rsidRPr="00B772EF" w:rsidRDefault="00D91331" w:rsidP="009F01E9">
            <w:pPr>
              <w:keepNext/>
              <w:keepLines/>
              <w:jc w:val="center"/>
              <w:rPr>
                <w:sz w:val="20"/>
                <w:szCs w:val="20"/>
                <w:lang w:val="en-US"/>
              </w:rPr>
            </w:pPr>
            <w:r w:rsidRPr="00B772EF">
              <w:rPr>
                <w:sz w:val="20"/>
                <w:szCs w:val="20"/>
                <w:lang w:val="en-US"/>
              </w:rPr>
              <w:t>0.61</w:t>
            </w:r>
          </w:p>
          <w:p w:rsidR="00D91331" w:rsidRPr="00B772EF" w:rsidRDefault="00D91331" w:rsidP="009F01E9">
            <w:pPr>
              <w:keepNext/>
              <w:keepLines/>
              <w:jc w:val="center"/>
              <w:rPr>
                <w:sz w:val="20"/>
                <w:szCs w:val="20"/>
                <w:lang w:val="en-US"/>
              </w:rPr>
            </w:pPr>
            <w:r w:rsidRPr="00B772EF">
              <w:rPr>
                <w:sz w:val="20"/>
                <w:szCs w:val="20"/>
                <w:lang w:val="en-US"/>
              </w:rPr>
              <w:t>(0.07)</w:t>
            </w:r>
          </w:p>
        </w:tc>
        <w:tc>
          <w:tcPr>
            <w:tcW w:w="1796" w:type="dxa"/>
            <w:gridSpan w:val="2"/>
            <w:vAlign w:val="center"/>
          </w:tcPr>
          <w:p w:rsidR="00D91331" w:rsidRDefault="004B504B" w:rsidP="00785128">
            <w:pPr>
              <w:keepNext/>
              <w:keepLines/>
              <w:jc w:val="center"/>
              <w:rPr>
                <w:sz w:val="20"/>
                <w:szCs w:val="20"/>
              </w:rPr>
            </w:pPr>
            <w:r>
              <w:rPr>
                <w:sz w:val="20"/>
                <w:szCs w:val="20"/>
              </w:rPr>
              <w:t>0.53</w:t>
            </w:r>
          </w:p>
          <w:p w:rsidR="00D91331" w:rsidRPr="004F14B5" w:rsidRDefault="00D91331" w:rsidP="00785128">
            <w:pPr>
              <w:keepNext/>
              <w:keepLines/>
              <w:jc w:val="center"/>
              <w:rPr>
                <w:sz w:val="20"/>
                <w:szCs w:val="20"/>
              </w:rPr>
            </w:pPr>
            <w:r>
              <w:rPr>
                <w:sz w:val="20"/>
                <w:szCs w:val="20"/>
              </w:rPr>
              <w:t>(0.10)</w:t>
            </w:r>
          </w:p>
        </w:tc>
      </w:tr>
      <w:tr w:rsidR="005933D7" w:rsidRPr="004F14B5" w:rsidTr="0090322C">
        <w:trPr>
          <w:jc w:val="center"/>
        </w:trPr>
        <w:tc>
          <w:tcPr>
            <w:tcW w:w="9108" w:type="dxa"/>
            <w:gridSpan w:val="7"/>
            <w:vAlign w:val="center"/>
          </w:tcPr>
          <w:p w:rsidR="005933D7" w:rsidRPr="004F14B5" w:rsidRDefault="005933D7" w:rsidP="00785128">
            <w:pPr>
              <w:keepNext/>
              <w:keepLines/>
              <w:rPr>
                <w:sz w:val="20"/>
                <w:szCs w:val="20"/>
              </w:rPr>
            </w:pPr>
            <w:r w:rsidRPr="004F14B5">
              <w:rPr>
                <w:i/>
                <w:sz w:val="20"/>
                <w:szCs w:val="20"/>
                <w:lang w:val="en-US"/>
              </w:rPr>
              <w:t>Individual characteristics</w:t>
            </w: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Born 1</w:t>
            </w:r>
            <w:r w:rsidRPr="004F14B5">
              <w:rPr>
                <w:sz w:val="20"/>
                <w:szCs w:val="20"/>
                <w:vertAlign w:val="superscript"/>
                <w:lang w:val="en-US"/>
              </w:rPr>
              <w:t>st</w:t>
            </w:r>
            <w:r w:rsidRPr="004F14B5">
              <w:rPr>
                <w:sz w:val="20"/>
                <w:szCs w:val="20"/>
                <w:lang w:val="en-US"/>
              </w:rPr>
              <w:t xml:space="preserve"> semester</w:t>
            </w:r>
          </w:p>
        </w:tc>
        <w:tc>
          <w:tcPr>
            <w:tcW w:w="1651" w:type="dxa"/>
            <w:vAlign w:val="center"/>
          </w:tcPr>
          <w:p w:rsidR="00D91331" w:rsidRPr="00B772EF" w:rsidRDefault="00D91331" w:rsidP="009F01E9">
            <w:pPr>
              <w:keepNext/>
              <w:keepLines/>
              <w:jc w:val="center"/>
              <w:rPr>
                <w:sz w:val="20"/>
                <w:szCs w:val="20"/>
                <w:lang w:val="en-US"/>
              </w:rPr>
            </w:pPr>
            <w:r w:rsidRPr="00B772EF">
              <w:rPr>
                <w:sz w:val="20"/>
                <w:szCs w:val="20"/>
                <w:lang w:val="en-US"/>
              </w:rPr>
              <w:t>2.02</w:t>
            </w:r>
          </w:p>
          <w:p w:rsidR="00D91331" w:rsidRPr="00B772EF" w:rsidRDefault="00D91331" w:rsidP="009F01E9">
            <w:pPr>
              <w:keepNext/>
              <w:keepLines/>
              <w:jc w:val="center"/>
              <w:rPr>
                <w:sz w:val="20"/>
                <w:szCs w:val="20"/>
                <w:lang w:val="en-US"/>
              </w:rPr>
            </w:pPr>
            <w:r w:rsidRPr="00B772EF">
              <w:rPr>
                <w:sz w:val="20"/>
                <w:szCs w:val="20"/>
                <w:lang w:val="en-US"/>
              </w:rPr>
              <w:t>(0.21)</w:t>
            </w:r>
          </w:p>
        </w:tc>
        <w:tc>
          <w:tcPr>
            <w:tcW w:w="1630" w:type="dxa"/>
            <w:vAlign w:val="center"/>
          </w:tcPr>
          <w:p w:rsidR="00D91331" w:rsidRDefault="00D91331" w:rsidP="00785128">
            <w:pPr>
              <w:keepNext/>
              <w:keepLines/>
              <w:jc w:val="center"/>
              <w:rPr>
                <w:sz w:val="20"/>
                <w:szCs w:val="20"/>
              </w:rPr>
            </w:pPr>
            <w:r>
              <w:rPr>
                <w:sz w:val="20"/>
                <w:szCs w:val="20"/>
              </w:rPr>
              <w:t>0.79</w:t>
            </w:r>
          </w:p>
          <w:p w:rsidR="00D91331" w:rsidRPr="004F14B5" w:rsidRDefault="00D91331" w:rsidP="00785128">
            <w:pPr>
              <w:keepNext/>
              <w:keepLines/>
              <w:jc w:val="center"/>
              <w:rPr>
                <w:sz w:val="20"/>
                <w:szCs w:val="20"/>
              </w:rPr>
            </w:pPr>
            <w:r>
              <w:rPr>
                <w:sz w:val="20"/>
                <w:szCs w:val="20"/>
              </w:rPr>
              <w:t>(0.29)</w:t>
            </w:r>
          </w:p>
        </w:tc>
        <w:tc>
          <w:tcPr>
            <w:tcW w:w="1796" w:type="dxa"/>
            <w:gridSpan w:val="2"/>
            <w:vAlign w:val="center"/>
          </w:tcPr>
          <w:p w:rsidR="00D91331" w:rsidRPr="00B772EF" w:rsidRDefault="00D91331" w:rsidP="009F01E9">
            <w:pPr>
              <w:keepNext/>
              <w:keepLines/>
              <w:jc w:val="center"/>
              <w:rPr>
                <w:sz w:val="20"/>
                <w:szCs w:val="20"/>
                <w:lang w:val="en-US"/>
              </w:rPr>
            </w:pPr>
            <w:r w:rsidRPr="00B772EF">
              <w:rPr>
                <w:sz w:val="20"/>
                <w:szCs w:val="20"/>
                <w:lang w:val="en-US"/>
              </w:rPr>
              <w:t>1.72</w:t>
            </w:r>
          </w:p>
          <w:p w:rsidR="00D91331" w:rsidRPr="00B772EF" w:rsidRDefault="0020259D" w:rsidP="009F01E9">
            <w:pPr>
              <w:keepNext/>
              <w:keepLines/>
              <w:jc w:val="center"/>
              <w:rPr>
                <w:sz w:val="20"/>
                <w:szCs w:val="20"/>
                <w:lang w:val="en-US"/>
              </w:rPr>
            </w:pPr>
            <w:r>
              <w:rPr>
                <w:sz w:val="20"/>
                <w:szCs w:val="20"/>
                <w:lang w:val="en-US"/>
              </w:rPr>
              <w:t>(0.20</w:t>
            </w:r>
            <w:r w:rsidR="00D91331" w:rsidRPr="00B772EF">
              <w:rPr>
                <w:sz w:val="20"/>
                <w:szCs w:val="20"/>
                <w:lang w:val="en-US"/>
              </w:rPr>
              <w:t>)</w:t>
            </w:r>
          </w:p>
        </w:tc>
        <w:tc>
          <w:tcPr>
            <w:tcW w:w="1796" w:type="dxa"/>
            <w:gridSpan w:val="2"/>
            <w:vAlign w:val="center"/>
          </w:tcPr>
          <w:p w:rsidR="00D91331" w:rsidRDefault="00D91331" w:rsidP="00785128">
            <w:pPr>
              <w:keepNext/>
              <w:keepLines/>
              <w:jc w:val="center"/>
              <w:rPr>
                <w:sz w:val="20"/>
                <w:szCs w:val="20"/>
              </w:rPr>
            </w:pPr>
            <w:r>
              <w:rPr>
                <w:sz w:val="20"/>
                <w:szCs w:val="20"/>
              </w:rPr>
              <w:t>0.01</w:t>
            </w:r>
          </w:p>
          <w:p w:rsidR="00D91331" w:rsidRPr="004F14B5" w:rsidRDefault="00D91331" w:rsidP="00785128">
            <w:pPr>
              <w:keepNext/>
              <w:keepLines/>
              <w:jc w:val="center"/>
              <w:rPr>
                <w:sz w:val="20"/>
                <w:szCs w:val="20"/>
              </w:rPr>
            </w:pPr>
            <w:r>
              <w:rPr>
                <w:sz w:val="20"/>
                <w:szCs w:val="20"/>
              </w:rPr>
              <w:t>(0.30)</w:t>
            </w: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Born 2</w:t>
            </w:r>
            <w:r w:rsidRPr="004F14B5">
              <w:rPr>
                <w:sz w:val="20"/>
                <w:szCs w:val="20"/>
                <w:vertAlign w:val="superscript"/>
                <w:lang w:val="en-US"/>
              </w:rPr>
              <w:t>nd</w:t>
            </w:r>
            <w:r w:rsidRPr="004F14B5">
              <w:rPr>
                <w:sz w:val="20"/>
                <w:szCs w:val="20"/>
                <w:lang w:val="en-US"/>
              </w:rPr>
              <w:t xml:space="preserve"> semester</w:t>
            </w:r>
          </w:p>
        </w:tc>
        <w:tc>
          <w:tcPr>
            <w:tcW w:w="1651" w:type="dxa"/>
            <w:vAlign w:val="center"/>
          </w:tcPr>
          <w:p w:rsidR="00D91331" w:rsidRPr="00B772EF" w:rsidRDefault="0020259D" w:rsidP="009F01E9">
            <w:pPr>
              <w:keepNext/>
              <w:keepLines/>
              <w:jc w:val="center"/>
              <w:rPr>
                <w:sz w:val="20"/>
                <w:szCs w:val="20"/>
                <w:lang w:val="en-US"/>
              </w:rPr>
            </w:pPr>
            <w:r>
              <w:rPr>
                <w:sz w:val="20"/>
                <w:szCs w:val="20"/>
                <w:lang w:val="en-US"/>
              </w:rPr>
              <w:t>3.88</w:t>
            </w:r>
          </w:p>
          <w:p w:rsidR="00D91331" w:rsidRPr="00B772EF" w:rsidRDefault="00D91331" w:rsidP="009F01E9">
            <w:pPr>
              <w:keepNext/>
              <w:keepLines/>
              <w:jc w:val="center"/>
              <w:rPr>
                <w:sz w:val="20"/>
                <w:szCs w:val="20"/>
                <w:lang w:val="en-US"/>
              </w:rPr>
            </w:pPr>
            <w:r w:rsidRPr="00B772EF">
              <w:rPr>
                <w:sz w:val="20"/>
                <w:szCs w:val="20"/>
                <w:lang w:val="en-US"/>
              </w:rPr>
              <w:t>(0.22)</w:t>
            </w:r>
          </w:p>
        </w:tc>
        <w:tc>
          <w:tcPr>
            <w:tcW w:w="1630" w:type="dxa"/>
            <w:vAlign w:val="center"/>
          </w:tcPr>
          <w:p w:rsidR="00D91331" w:rsidRDefault="00D91331" w:rsidP="00785128">
            <w:pPr>
              <w:keepNext/>
              <w:keepLines/>
              <w:jc w:val="center"/>
              <w:rPr>
                <w:sz w:val="20"/>
                <w:szCs w:val="20"/>
              </w:rPr>
            </w:pPr>
            <w:r>
              <w:rPr>
                <w:sz w:val="20"/>
                <w:szCs w:val="20"/>
              </w:rPr>
              <w:t>2.32</w:t>
            </w:r>
          </w:p>
          <w:p w:rsidR="00D91331" w:rsidRPr="004F14B5" w:rsidRDefault="00D91331" w:rsidP="00785128">
            <w:pPr>
              <w:keepNext/>
              <w:keepLines/>
              <w:jc w:val="center"/>
              <w:rPr>
                <w:sz w:val="20"/>
                <w:szCs w:val="20"/>
              </w:rPr>
            </w:pPr>
            <w:r>
              <w:rPr>
                <w:sz w:val="20"/>
                <w:szCs w:val="20"/>
              </w:rPr>
              <w:t>(0.36)</w:t>
            </w:r>
          </w:p>
        </w:tc>
        <w:tc>
          <w:tcPr>
            <w:tcW w:w="1796" w:type="dxa"/>
            <w:gridSpan w:val="2"/>
            <w:vAlign w:val="center"/>
          </w:tcPr>
          <w:p w:rsidR="00D91331" w:rsidRPr="00B772EF" w:rsidRDefault="00D91331" w:rsidP="009F01E9">
            <w:pPr>
              <w:keepNext/>
              <w:keepLines/>
              <w:jc w:val="center"/>
              <w:rPr>
                <w:sz w:val="20"/>
                <w:szCs w:val="20"/>
                <w:lang w:val="en-US"/>
              </w:rPr>
            </w:pPr>
            <w:r w:rsidRPr="00B772EF">
              <w:rPr>
                <w:sz w:val="20"/>
                <w:szCs w:val="20"/>
                <w:lang w:val="en-US"/>
              </w:rPr>
              <w:t>3.37</w:t>
            </w:r>
          </w:p>
          <w:p w:rsidR="00D91331" w:rsidRPr="00B772EF" w:rsidRDefault="00D91331" w:rsidP="009F01E9">
            <w:pPr>
              <w:keepNext/>
              <w:keepLines/>
              <w:jc w:val="center"/>
              <w:rPr>
                <w:sz w:val="20"/>
                <w:szCs w:val="20"/>
                <w:lang w:val="en-US"/>
              </w:rPr>
            </w:pPr>
            <w:r w:rsidRPr="00B772EF">
              <w:rPr>
                <w:sz w:val="20"/>
                <w:szCs w:val="20"/>
                <w:lang w:val="en-US"/>
              </w:rPr>
              <w:t>(0.21)</w:t>
            </w:r>
          </w:p>
        </w:tc>
        <w:tc>
          <w:tcPr>
            <w:tcW w:w="1796" w:type="dxa"/>
            <w:gridSpan w:val="2"/>
            <w:vAlign w:val="center"/>
          </w:tcPr>
          <w:p w:rsidR="00D91331" w:rsidRDefault="00D91331" w:rsidP="00785128">
            <w:pPr>
              <w:keepNext/>
              <w:keepLines/>
              <w:jc w:val="center"/>
              <w:rPr>
                <w:sz w:val="20"/>
                <w:szCs w:val="20"/>
              </w:rPr>
            </w:pPr>
            <w:r>
              <w:rPr>
                <w:sz w:val="20"/>
                <w:szCs w:val="20"/>
              </w:rPr>
              <w:t>1.49</w:t>
            </w:r>
          </w:p>
          <w:p w:rsidR="00D91331" w:rsidRPr="004F14B5" w:rsidRDefault="00D91331" w:rsidP="00785128">
            <w:pPr>
              <w:keepNext/>
              <w:keepLines/>
              <w:jc w:val="center"/>
              <w:rPr>
                <w:sz w:val="20"/>
                <w:szCs w:val="20"/>
              </w:rPr>
            </w:pPr>
            <w:r>
              <w:rPr>
                <w:sz w:val="20"/>
                <w:szCs w:val="20"/>
              </w:rPr>
              <w:t>(0.36)</w:t>
            </w:r>
          </w:p>
        </w:tc>
      </w:tr>
      <w:tr w:rsidR="0022747D" w:rsidRPr="004F14B5" w:rsidTr="0090322C">
        <w:trPr>
          <w:jc w:val="center"/>
        </w:trPr>
        <w:tc>
          <w:tcPr>
            <w:tcW w:w="2235" w:type="dxa"/>
          </w:tcPr>
          <w:p w:rsidR="0022747D" w:rsidRPr="004F14B5" w:rsidRDefault="0022747D" w:rsidP="00785128">
            <w:pPr>
              <w:keepNext/>
              <w:keepLines/>
              <w:rPr>
                <w:sz w:val="20"/>
                <w:szCs w:val="20"/>
                <w:lang w:val="en-US"/>
              </w:rPr>
            </w:pPr>
          </w:p>
        </w:tc>
        <w:tc>
          <w:tcPr>
            <w:tcW w:w="1651" w:type="dxa"/>
            <w:vAlign w:val="center"/>
          </w:tcPr>
          <w:p w:rsidR="0022747D" w:rsidRPr="004F14B5" w:rsidRDefault="0022747D" w:rsidP="00785128">
            <w:pPr>
              <w:keepNext/>
              <w:keepLines/>
              <w:jc w:val="center"/>
              <w:rPr>
                <w:sz w:val="20"/>
                <w:szCs w:val="20"/>
              </w:rPr>
            </w:pPr>
          </w:p>
        </w:tc>
        <w:tc>
          <w:tcPr>
            <w:tcW w:w="1630" w:type="dxa"/>
            <w:vAlign w:val="center"/>
          </w:tcPr>
          <w:p w:rsidR="0022747D" w:rsidRPr="004F14B5" w:rsidRDefault="0022747D" w:rsidP="00785128">
            <w:pPr>
              <w:keepNext/>
              <w:keepLines/>
              <w:jc w:val="center"/>
              <w:rPr>
                <w:sz w:val="20"/>
                <w:szCs w:val="20"/>
              </w:rPr>
            </w:pPr>
          </w:p>
        </w:tc>
        <w:tc>
          <w:tcPr>
            <w:tcW w:w="1796" w:type="dxa"/>
            <w:gridSpan w:val="2"/>
            <w:vAlign w:val="center"/>
          </w:tcPr>
          <w:p w:rsidR="0022747D" w:rsidRPr="004F14B5" w:rsidRDefault="0022747D" w:rsidP="00785128">
            <w:pPr>
              <w:keepNext/>
              <w:keepLines/>
              <w:jc w:val="center"/>
              <w:rPr>
                <w:sz w:val="20"/>
                <w:szCs w:val="20"/>
              </w:rPr>
            </w:pPr>
          </w:p>
        </w:tc>
        <w:tc>
          <w:tcPr>
            <w:tcW w:w="1796" w:type="dxa"/>
            <w:gridSpan w:val="2"/>
            <w:vAlign w:val="center"/>
          </w:tcPr>
          <w:p w:rsidR="0022747D" w:rsidRPr="004F14B5" w:rsidRDefault="0022747D" w:rsidP="00785128">
            <w:pPr>
              <w:keepNext/>
              <w:keepLines/>
              <w:jc w:val="center"/>
              <w:rPr>
                <w:sz w:val="20"/>
                <w:szCs w:val="20"/>
              </w:rPr>
            </w:pPr>
          </w:p>
        </w:tc>
      </w:tr>
      <w:tr w:rsidR="0022747D" w:rsidRPr="004F14B5" w:rsidTr="0090322C">
        <w:trPr>
          <w:jc w:val="center"/>
        </w:trPr>
        <w:tc>
          <w:tcPr>
            <w:tcW w:w="2235" w:type="dxa"/>
          </w:tcPr>
          <w:p w:rsidR="0022747D" w:rsidRPr="004F14B5" w:rsidRDefault="0022747D" w:rsidP="00785128">
            <w:pPr>
              <w:keepNext/>
              <w:keepLines/>
              <w:rPr>
                <w:sz w:val="20"/>
                <w:szCs w:val="20"/>
                <w:lang w:val="en-US"/>
              </w:rPr>
            </w:pPr>
            <w:r w:rsidRPr="004F14B5">
              <w:rPr>
                <w:sz w:val="20"/>
                <w:szCs w:val="20"/>
                <w:lang w:val="en-US"/>
              </w:rPr>
              <w:t>Additional controls</w:t>
            </w:r>
            <w:r w:rsidRPr="004F14B5">
              <w:rPr>
                <w:sz w:val="20"/>
                <w:szCs w:val="20"/>
                <w:vertAlign w:val="superscript"/>
                <w:lang w:val="en-US"/>
              </w:rPr>
              <w:t>*</w:t>
            </w:r>
          </w:p>
        </w:tc>
        <w:tc>
          <w:tcPr>
            <w:tcW w:w="1651" w:type="dxa"/>
            <w:vAlign w:val="center"/>
          </w:tcPr>
          <w:p w:rsidR="0022747D" w:rsidRPr="004F14B5" w:rsidRDefault="00D91331" w:rsidP="00785128">
            <w:pPr>
              <w:keepNext/>
              <w:keepLines/>
              <w:jc w:val="center"/>
              <w:rPr>
                <w:sz w:val="20"/>
                <w:szCs w:val="20"/>
              </w:rPr>
            </w:pPr>
            <w:r>
              <w:rPr>
                <w:sz w:val="20"/>
                <w:szCs w:val="20"/>
              </w:rPr>
              <w:t>Yes</w:t>
            </w:r>
          </w:p>
        </w:tc>
        <w:tc>
          <w:tcPr>
            <w:tcW w:w="1630" w:type="dxa"/>
            <w:vAlign w:val="center"/>
          </w:tcPr>
          <w:p w:rsidR="0022747D" w:rsidRPr="004F14B5" w:rsidRDefault="00D91331" w:rsidP="00785128">
            <w:pPr>
              <w:keepNext/>
              <w:keepLines/>
              <w:jc w:val="center"/>
              <w:rPr>
                <w:sz w:val="20"/>
                <w:szCs w:val="20"/>
              </w:rPr>
            </w:pPr>
            <w:r>
              <w:rPr>
                <w:sz w:val="20"/>
                <w:szCs w:val="20"/>
              </w:rPr>
              <w:t>Yes</w:t>
            </w:r>
          </w:p>
        </w:tc>
        <w:tc>
          <w:tcPr>
            <w:tcW w:w="1796" w:type="dxa"/>
            <w:gridSpan w:val="2"/>
            <w:tcBorders>
              <w:left w:val="nil"/>
            </w:tcBorders>
            <w:vAlign w:val="center"/>
          </w:tcPr>
          <w:p w:rsidR="0022747D" w:rsidRPr="004F14B5" w:rsidRDefault="00D91331" w:rsidP="00785128">
            <w:pPr>
              <w:keepNext/>
              <w:keepLines/>
              <w:jc w:val="center"/>
              <w:rPr>
                <w:sz w:val="20"/>
                <w:szCs w:val="20"/>
              </w:rPr>
            </w:pPr>
            <w:r>
              <w:rPr>
                <w:sz w:val="20"/>
                <w:szCs w:val="20"/>
              </w:rPr>
              <w:t>Yes</w:t>
            </w:r>
          </w:p>
        </w:tc>
        <w:tc>
          <w:tcPr>
            <w:tcW w:w="1796" w:type="dxa"/>
            <w:gridSpan w:val="2"/>
            <w:tcBorders>
              <w:left w:val="nil"/>
            </w:tcBorders>
            <w:vAlign w:val="center"/>
          </w:tcPr>
          <w:p w:rsidR="0022747D" w:rsidRPr="004F14B5" w:rsidRDefault="00D91331" w:rsidP="00785128">
            <w:pPr>
              <w:keepNext/>
              <w:keepLines/>
              <w:jc w:val="center"/>
              <w:rPr>
                <w:sz w:val="20"/>
                <w:szCs w:val="20"/>
              </w:rPr>
            </w:pPr>
            <w:r>
              <w:rPr>
                <w:sz w:val="20"/>
                <w:szCs w:val="20"/>
              </w:rPr>
              <w:t>Yes</w:t>
            </w:r>
          </w:p>
        </w:tc>
      </w:tr>
      <w:tr w:rsidR="0022747D" w:rsidRPr="004F14B5" w:rsidTr="0090322C">
        <w:trPr>
          <w:jc w:val="center"/>
        </w:trPr>
        <w:tc>
          <w:tcPr>
            <w:tcW w:w="2235" w:type="dxa"/>
          </w:tcPr>
          <w:p w:rsidR="0022747D" w:rsidRPr="004F14B5" w:rsidRDefault="0022747D" w:rsidP="00785128">
            <w:pPr>
              <w:keepNext/>
              <w:keepLines/>
              <w:rPr>
                <w:sz w:val="20"/>
                <w:szCs w:val="20"/>
                <w:lang w:val="en-US"/>
              </w:rPr>
            </w:pPr>
          </w:p>
        </w:tc>
        <w:tc>
          <w:tcPr>
            <w:tcW w:w="1651" w:type="dxa"/>
            <w:vAlign w:val="center"/>
          </w:tcPr>
          <w:p w:rsidR="0022747D" w:rsidRPr="004F14B5" w:rsidRDefault="0022747D" w:rsidP="00785128">
            <w:pPr>
              <w:keepNext/>
              <w:keepLines/>
              <w:jc w:val="center"/>
              <w:rPr>
                <w:sz w:val="20"/>
                <w:szCs w:val="20"/>
              </w:rPr>
            </w:pPr>
          </w:p>
        </w:tc>
        <w:tc>
          <w:tcPr>
            <w:tcW w:w="1630" w:type="dxa"/>
            <w:vAlign w:val="center"/>
          </w:tcPr>
          <w:p w:rsidR="0022747D" w:rsidRPr="004F14B5" w:rsidRDefault="0022747D" w:rsidP="00785128">
            <w:pPr>
              <w:keepNext/>
              <w:keepLines/>
              <w:jc w:val="center"/>
              <w:rPr>
                <w:sz w:val="20"/>
                <w:szCs w:val="20"/>
              </w:rPr>
            </w:pPr>
          </w:p>
        </w:tc>
        <w:tc>
          <w:tcPr>
            <w:tcW w:w="1796" w:type="dxa"/>
            <w:gridSpan w:val="2"/>
            <w:tcBorders>
              <w:left w:val="nil"/>
            </w:tcBorders>
            <w:vAlign w:val="center"/>
          </w:tcPr>
          <w:p w:rsidR="0022747D" w:rsidRPr="004F14B5" w:rsidRDefault="0022747D" w:rsidP="00785128">
            <w:pPr>
              <w:keepNext/>
              <w:keepLines/>
              <w:jc w:val="center"/>
              <w:rPr>
                <w:sz w:val="20"/>
                <w:szCs w:val="20"/>
              </w:rPr>
            </w:pPr>
          </w:p>
        </w:tc>
        <w:tc>
          <w:tcPr>
            <w:tcW w:w="1796" w:type="dxa"/>
            <w:gridSpan w:val="2"/>
            <w:tcBorders>
              <w:left w:val="nil"/>
            </w:tcBorders>
            <w:vAlign w:val="center"/>
          </w:tcPr>
          <w:p w:rsidR="0022747D" w:rsidRPr="004F14B5" w:rsidRDefault="0022747D" w:rsidP="00785128">
            <w:pPr>
              <w:keepNext/>
              <w:keepLines/>
              <w:jc w:val="center"/>
              <w:rPr>
                <w:sz w:val="20"/>
                <w:szCs w:val="20"/>
              </w:rPr>
            </w:pP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R</w:t>
            </w:r>
            <w:r w:rsidRPr="004F14B5">
              <w:rPr>
                <w:sz w:val="20"/>
                <w:szCs w:val="20"/>
                <w:vertAlign w:val="superscript"/>
                <w:lang w:val="en-US"/>
              </w:rPr>
              <w:t>2</w:t>
            </w:r>
          </w:p>
        </w:tc>
        <w:tc>
          <w:tcPr>
            <w:tcW w:w="1651" w:type="dxa"/>
            <w:vAlign w:val="center"/>
          </w:tcPr>
          <w:p w:rsidR="00D91331" w:rsidRPr="00B772EF" w:rsidRDefault="00D91331" w:rsidP="009F01E9">
            <w:pPr>
              <w:keepNext/>
              <w:keepLines/>
              <w:jc w:val="center"/>
              <w:rPr>
                <w:sz w:val="20"/>
                <w:szCs w:val="20"/>
                <w:lang w:val="en-US"/>
              </w:rPr>
            </w:pPr>
            <w:r w:rsidRPr="00B772EF">
              <w:rPr>
                <w:sz w:val="20"/>
                <w:szCs w:val="20"/>
                <w:lang w:val="en-US"/>
              </w:rPr>
              <w:t>0.3</w:t>
            </w:r>
            <w:r w:rsidR="0020259D">
              <w:rPr>
                <w:sz w:val="20"/>
                <w:szCs w:val="20"/>
                <w:lang w:val="en-US"/>
              </w:rPr>
              <w:t>2</w:t>
            </w:r>
          </w:p>
        </w:tc>
        <w:tc>
          <w:tcPr>
            <w:tcW w:w="1630" w:type="dxa"/>
            <w:vAlign w:val="center"/>
          </w:tcPr>
          <w:p w:rsidR="00D91331" w:rsidRPr="004F14B5" w:rsidRDefault="00D91331" w:rsidP="00785128">
            <w:pPr>
              <w:keepNext/>
              <w:keepLines/>
              <w:jc w:val="center"/>
              <w:rPr>
                <w:sz w:val="20"/>
                <w:szCs w:val="20"/>
              </w:rPr>
            </w:pPr>
            <w:r>
              <w:rPr>
                <w:sz w:val="20"/>
                <w:szCs w:val="20"/>
              </w:rPr>
              <w:t>0.29</w:t>
            </w:r>
          </w:p>
        </w:tc>
        <w:tc>
          <w:tcPr>
            <w:tcW w:w="1796" w:type="dxa"/>
            <w:gridSpan w:val="2"/>
            <w:tcBorders>
              <w:left w:val="nil"/>
            </w:tcBorders>
            <w:vAlign w:val="center"/>
          </w:tcPr>
          <w:p w:rsidR="00D91331" w:rsidRPr="00B772EF" w:rsidRDefault="00D91331" w:rsidP="009F01E9">
            <w:pPr>
              <w:keepNext/>
              <w:keepLines/>
              <w:jc w:val="center"/>
              <w:rPr>
                <w:sz w:val="20"/>
                <w:szCs w:val="20"/>
                <w:lang w:val="en-US"/>
              </w:rPr>
            </w:pPr>
            <w:r w:rsidRPr="00B772EF">
              <w:rPr>
                <w:sz w:val="20"/>
                <w:szCs w:val="20"/>
                <w:lang w:val="en-US"/>
              </w:rPr>
              <w:t>0.31</w:t>
            </w:r>
          </w:p>
        </w:tc>
        <w:tc>
          <w:tcPr>
            <w:tcW w:w="1796" w:type="dxa"/>
            <w:gridSpan w:val="2"/>
            <w:tcBorders>
              <w:left w:val="nil"/>
            </w:tcBorders>
            <w:vAlign w:val="center"/>
          </w:tcPr>
          <w:p w:rsidR="00D91331" w:rsidRPr="004F14B5" w:rsidRDefault="00D91331" w:rsidP="00785128">
            <w:pPr>
              <w:keepNext/>
              <w:keepLines/>
              <w:jc w:val="center"/>
              <w:rPr>
                <w:sz w:val="20"/>
                <w:szCs w:val="20"/>
              </w:rPr>
            </w:pPr>
            <w:r>
              <w:rPr>
                <w:sz w:val="20"/>
                <w:szCs w:val="20"/>
              </w:rPr>
              <w:t>0.28</w:t>
            </w:r>
          </w:p>
        </w:tc>
      </w:tr>
      <w:tr w:rsidR="00D91331" w:rsidRPr="004F14B5" w:rsidTr="0090322C">
        <w:trPr>
          <w:jc w:val="center"/>
        </w:trPr>
        <w:tc>
          <w:tcPr>
            <w:tcW w:w="2235" w:type="dxa"/>
          </w:tcPr>
          <w:p w:rsidR="00D91331" w:rsidRPr="004F14B5" w:rsidRDefault="00D91331" w:rsidP="00785128">
            <w:pPr>
              <w:keepNext/>
              <w:keepLines/>
              <w:rPr>
                <w:sz w:val="20"/>
                <w:szCs w:val="20"/>
                <w:highlight w:val="yellow"/>
                <w:lang w:val="en-US"/>
              </w:rPr>
            </w:pPr>
          </w:p>
        </w:tc>
        <w:tc>
          <w:tcPr>
            <w:tcW w:w="1651" w:type="dxa"/>
            <w:vAlign w:val="center"/>
          </w:tcPr>
          <w:p w:rsidR="00D91331" w:rsidRPr="00F02C79" w:rsidRDefault="00D91331" w:rsidP="009F01E9">
            <w:pPr>
              <w:keepNext/>
              <w:keepLines/>
              <w:jc w:val="center"/>
              <w:rPr>
                <w:sz w:val="20"/>
                <w:szCs w:val="20"/>
                <w:lang w:val="en-US"/>
              </w:rPr>
            </w:pPr>
          </w:p>
        </w:tc>
        <w:tc>
          <w:tcPr>
            <w:tcW w:w="1630" w:type="dxa"/>
            <w:vAlign w:val="center"/>
          </w:tcPr>
          <w:p w:rsidR="00D91331" w:rsidRPr="004F14B5" w:rsidRDefault="00D91331" w:rsidP="00785128">
            <w:pPr>
              <w:keepNext/>
              <w:keepLines/>
              <w:jc w:val="center"/>
              <w:rPr>
                <w:sz w:val="20"/>
                <w:szCs w:val="20"/>
              </w:rPr>
            </w:pPr>
          </w:p>
        </w:tc>
        <w:tc>
          <w:tcPr>
            <w:tcW w:w="1796" w:type="dxa"/>
            <w:gridSpan w:val="2"/>
            <w:tcBorders>
              <w:left w:val="nil"/>
            </w:tcBorders>
            <w:vAlign w:val="center"/>
          </w:tcPr>
          <w:p w:rsidR="00D91331" w:rsidRPr="00B772EF" w:rsidRDefault="00D91331" w:rsidP="009F01E9">
            <w:pPr>
              <w:keepNext/>
              <w:keepLines/>
              <w:jc w:val="center"/>
              <w:rPr>
                <w:sz w:val="20"/>
                <w:szCs w:val="20"/>
                <w:lang w:val="en-US"/>
              </w:rPr>
            </w:pPr>
          </w:p>
        </w:tc>
        <w:tc>
          <w:tcPr>
            <w:tcW w:w="1796" w:type="dxa"/>
            <w:gridSpan w:val="2"/>
            <w:tcBorders>
              <w:left w:val="nil"/>
            </w:tcBorders>
            <w:vAlign w:val="center"/>
          </w:tcPr>
          <w:p w:rsidR="00D91331" w:rsidRPr="004F14B5" w:rsidRDefault="00D91331" w:rsidP="00785128">
            <w:pPr>
              <w:keepNext/>
              <w:keepLines/>
              <w:jc w:val="center"/>
              <w:rPr>
                <w:sz w:val="20"/>
                <w:szCs w:val="20"/>
              </w:rPr>
            </w:pP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H</w:t>
            </w:r>
            <w:r w:rsidRPr="004F14B5">
              <w:rPr>
                <w:sz w:val="20"/>
                <w:szCs w:val="20"/>
                <w:vertAlign w:val="subscript"/>
                <w:lang w:val="en-US"/>
              </w:rPr>
              <w:t>0</w:t>
            </w:r>
            <w:r w:rsidRPr="004F14B5">
              <w:rPr>
                <w:sz w:val="20"/>
                <w:szCs w:val="20"/>
                <w:lang w:val="en-US"/>
              </w:rPr>
              <w:t xml:space="preserve"> = “Peers average math grade” exogenous</w:t>
            </w:r>
          </w:p>
        </w:tc>
        <w:tc>
          <w:tcPr>
            <w:tcW w:w="1651" w:type="dxa"/>
            <w:vAlign w:val="center"/>
          </w:tcPr>
          <w:p w:rsidR="00D91331" w:rsidRDefault="0020259D" w:rsidP="009F01E9">
            <w:pPr>
              <w:keepNext/>
              <w:keepLines/>
              <w:jc w:val="center"/>
              <w:rPr>
                <w:sz w:val="20"/>
                <w:szCs w:val="20"/>
                <w:lang w:val="en-US"/>
              </w:rPr>
            </w:pPr>
            <w:r>
              <w:rPr>
                <w:sz w:val="20"/>
                <w:szCs w:val="20"/>
                <w:lang w:val="en-US"/>
              </w:rPr>
              <w:t>18.69</w:t>
            </w:r>
          </w:p>
          <w:p w:rsidR="00D91331" w:rsidRPr="00B772EF" w:rsidRDefault="00D91331" w:rsidP="009F01E9">
            <w:pPr>
              <w:keepNext/>
              <w:keepLines/>
              <w:jc w:val="center"/>
              <w:rPr>
                <w:sz w:val="20"/>
                <w:szCs w:val="20"/>
                <w:lang w:val="en-US"/>
              </w:rPr>
            </w:pPr>
            <w:r w:rsidRPr="00F02C79">
              <w:rPr>
                <w:sz w:val="20"/>
                <w:szCs w:val="20"/>
                <w:lang w:val="en-US"/>
              </w:rPr>
              <w:t>(p = 0.00</w:t>
            </w:r>
            <w:r>
              <w:rPr>
                <w:sz w:val="20"/>
                <w:szCs w:val="20"/>
                <w:lang w:val="en-US"/>
              </w:rPr>
              <w:t>0</w:t>
            </w:r>
            <w:r w:rsidRPr="00F02C79">
              <w:rPr>
                <w:sz w:val="20"/>
                <w:szCs w:val="20"/>
                <w:lang w:val="en-US"/>
              </w:rPr>
              <w:t>)</w:t>
            </w:r>
          </w:p>
        </w:tc>
        <w:tc>
          <w:tcPr>
            <w:tcW w:w="1630" w:type="dxa"/>
            <w:vAlign w:val="center"/>
          </w:tcPr>
          <w:p w:rsidR="00D91331" w:rsidRDefault="004B504B" w:rsidP="00785128">
            <w:pPr>
              <w:keepNext/>
              <w:keepLines/>
              <w:jc w:val="center"/>
              <w:rPr>
                <w:sz w:val="20"/>
                <w:szCs w:val="20"/>
              </w:rPr>
            </w:pPr>
            <w:r>
              <w:rPr>
                <w:sz w:val="20"/>
                <w:szCs w:val="20"/>
              </w:rPr>
              <w:t>15.43</w:t>
            </w:r>
          </w:p>
          <w:p w:rsidR="00D91331" w:rsidRPr="004F14B5" w:rsidRDefault="00D91331" w:rsidP="00D91331">
            <w:pPr>
              <w:keepNext/>
              <w:keepLines/>
              <w:jc w:val="center"/>
              <w:rPr>
                <w:sz w:val="20"/>
                <w:szCs w:val="20"/>
              </w:rPr>
            </w:pPr>
            <w:r>
              <w:rPr>
                <w:sz w:val="20"/>
                <w:szCs w:val="20"/>
              </w:rPr>
              <w:t>(p=0.000)</w:t>
            </w:r>
          </w:p>
        </w:tc>
        <w:tc>
          <w:tcPr>
            <w:tcW w:w="1796" w:type="dxa"/>
            <w:gridSpan w:val="2"/>
            <w:tcBorders>
              <w:left w:val="nil"/>
            </w:tcBorders>
            <w:vAlign w:val="center"/>
          </w:tcPr>
          <w:p w:rsidR="00D91331" w:rsidRPr="00B772EF" w:rsidRDefault="00D91331" w:rsidP="009F01E9">
            <w:pPr>
              <w:keepNext/>
              <w:keepLines/>
              <w:jc w:val="center"/>
              <w:rPr>
                <w:sz w:val="20"/>
                <w:szCs w:val="20"/>
                <w:lang w:val="en-US"/>
              </w:rPr>
            </w:pPr>
            <w:r>
              <w:rPr>
                <w:sz w:val="20"/>
                <w:szCs w:val="20"/>
                <w:lang w:val="en-US"/>
              </w:rPr>
              <w:t>-</w:t>
            </w:r>
          </w:p>
        </w:tc>
        <w:tc>
          <w:tcPr>
            <w:tcW w:w="1796" w:type="dxa"/>
            <w:gridSpan w:val="2"/>
            <w:tcBorders>
              <w:left w:val="nil"/>
            </w:tcBorders>
            <w:vAlign w:val="center"/>
          </w:tcPr>
          <w:p w:rsidR="00D91331" w:rsidRPr="004F14B5" w:rsidRDefault="00A326DF" w:rsidP="00785128">
            <w:pPr>
              <w:keepNext/>
              <w:keepLines/>
              <w:jc w:val="center"/>
              <w:rPr>
                <w:sz w:val="20"/>
                <w:szCs w:val="20"/>
              </w:rPr>
            </w:pPr>
            <w:r>
              <w:rPr>
                <w:sz w:val="20"/>
                <w:szCs w:val="20"/>
              </w:rPr>
              <w:t>-</w:t>
            </w: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H</w:t>
            </w:r>
            <w:r w:rsidRPr="004F14B5">
              <w:rPr>
                <w:sz w:val="20"/>
                <w:szCs w:val="20"/>
                <w:vertAlign w:val="subscript"/>
                <w:lang w:val="en-US"/>
              </w:rPr>
              <w:t>0</w:t>
            </w:r>
            <w:r w:rsidRPr="004F14B5">
              <w:rPr>
                <w:sz w:val="20"/>
                <w:szCs w:val="20"/>
                <w:lang w:val="en-US"/>
              </w:rPr>
              <w:t xml:space="preserve"> = “Peers average Port. Lang. grade” exogenous</w:t>
            </w:r>
          </w:p>
        </w:tc>
        <w:tc>
          <w:tcPr>
            <w:tcW w:w="1651" w:type="dxa"/>
            <w:vAlign w:val="center"/>
          </w:tcPr>
          <w:p w:rsidR="00D91331" w:rsidRPr="00B772EF" w:rsidRDefault="00D91331" w:rsidP="009F01E9">
            <w:pPr>
              <w:keepNext/>
              <w:keepLines/>
              <w:jc w:val="center"/>
              <w:rPr>
                <w:sz w:val="20"/>
                <w:szCs w:val="20"/>
                <w:lang w:val="en-US"/>
              </w:rPr>
            </w:pPr>
            <w:r>
              <w:rPr>
                <w:sz w:val="20"/>
                <w:szCs w:val="20"/>
                <w:lang w:val="en-US"/>
              </w:rPr>
              <w:t>-</w:t>
            </w:r>
          </w:p>
        </w:tc>
        <w:tc>
          <w:tcPr>
            <w:tcW w:w="1630" w:type="dxa"/>
            <w:vAlign w:val="center"/>
          </w:tcPr>
          <w:p w:rsidR="00D91331" w:rsidRPr="004F14B5" w:rsidRDefault="00D91331" w:rsidP="00785128">
            <w:pPr>
              <w:keepNext/>
              <w:keepLines/>
              <w:jc w:val="center"/>
              <w:rPr>
                <w:sz w:val="20"/>
                <w:szCs w:val="20"/>
              </w:rPr>
            </w:pPr>
            <w:r>
              <w:rPr>
                <w:sz w:val="20"/>
                <w:szCs w:val="20"/>
              </w:rPr>
              <w:t>-</w:t>
            </w:r>
          </w:p>
        </w:tc>
        <w:tc>
          <w:tcPr>
            <w:tcW w:w="1796" w:type="dxa"/>
            <w:gridSpan w:val="2"/>
            <w:tcBorders>
              <w:left w:val="nil"/>
            </w:tcBorders>
            <w:vAlign w:val="center"/>
          </w:tcPr>
          <w:p w:rsidR="00D91331" w:rsidRDefault="0020259D" w:rsidP="009F01E9">
            <w:pPr>
              <w:keepNext/>
              <w:keepLines/>
              <w:jc w:val="center"/>
              <w:rPr>
                <w:sz w:val="20"/>
                <w:szCs w:val="20"/>
                <w:lang w:val="en-US"/>
              </w:rPr>
            </w:pPr>
            <w:r>
              <w:rPr>
                <w:sz w:val="20"/>
                <w:szCs w:val="20"/>
                <w:lang w:val="en-US"/>
              </w:rPr>
              <w:t>9.94</w:t>
            </w:r>
          </w:p>
          <w:p w:rsidR="00D91331" w:rsidRPr="00B772EF" w:rsidRDefault="00D91331" w:rsidP="009F01E9">
            <w:pPr>
              <w:keepNext/>
              <w:keepLines/>
              <w:jc w:val="center"/>
              <w:rPr>
                <w:sz w:val="20"/>
                <w:szCs w:val="20"/>
                <w:lang w:val="en-US"/>
              </w:rPr>
            </w:pPr>
            <w:r w:rsidRPr="000D7511">
              <w:rPr>
                <w:sz w:val="20"/>
                <w:szCs w:val="20"/>
                <w:lang w:val="en-US"/>
              </w:rPr>
              <w:t>(p = 0.00</w:t>
            </w:r>
            <w:r>
              <w:rPr>
                <w:sz w:val="20"/>
                <w:szCs w:val="20"/>
                <w:lang w:val="en-US"/>
              </w:rPr>
              <w:t>2</w:t>
            </w:r>
            <w:r w:rsidRPr="000D7511">
              <w:rPr>
                <w:sz w:val="20"/>
                <w:szCs w:val="20"/>
                <w:lang w:val="en-US"/>
              </w:rPr>
              <w:t>)</w:t>
            </w:r>
          </w:p>
        </w:tc>
        <w:tc>
          <w:tcPr>
            <w:tcW w:w="1796" w:type="dxa"/>
            <w:gridSpan w:val="2"/>
            <w:tcBorders>
              <w:left w:val="nil"/>
            </w:tcBorders>
            <w:vAlign w:val="center"/>
          </w:tcPr>
          <w:p w:rsidR="00D91331" w:rsidRDefault="004B504B" w:rsidP="00785128">
            <w:pPr>
              <w:keepNext/>
              <w:keepLines/>
              <w:jc w:val="center"/>
              <w:rPr>
                <w:sz w:val="20"/>
                <w:szCs w:val="20"/>
              </w:rPr>
            </w:pPr>
            <w:r>
              <w:rPr>
                <w:sz w:val="20"/>
                <w:szCs w:val="20"/>
              </w:rPr>
              <w:t>9.36</w:t>
            </w:r>
          </w:p>
          <w:p w:rsidR="00D91331" w:rsidRPr="004F14B5" w:rsidRDefault="00D91331" w:rsidP="00785128">
            <w:pPr>
              <w:keepNext/>
              <w:keepLines/>
              <w:jc w:val="center"/>
              <w:rPr>
                <w:sz w:val="20"/>
                <w:szCs w:val="20"/>
              </w:rPr>
            </w:pPr>
            <w:r>
              <w:rPr>
                <w:sz w:val="20"/>
                <w:szCs w:val="20"/>
              </w:rPr>
              <w:t>(p=0.002)</w:t>
            </w: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H</w:t>
            </w:r>
            <w:r w:rsidRPr="004F14B5">
              <w:rPr>
                <w:sz w:val="20"/>
                <w:szCs w:val="20"/>
                <w:vertAlign w:val="subscript"/>
                <w:lang w:val="en-US"/>
              </w:rPr>
              <w:t>0</w:t>
            </w:r>
            <w:r w:rsidRPr="004F14B5">
              <w:rPr>
                <w:sz w:val="20"/>
                <w:szCs w:val="20"/>
                <w:lang w:val="en-US"/>
              </w:rPr>
              <w:t xml:space="preserve"> = Instruments jointly valid (math)</w:t>
            </w:r>
          </w:p>
        </w:tc>
        <w:tc>
          <w:tcPr>
            <w:tcW w:w="1651" w:type="dxa"/>
            <w:vAlign w:val="center"/>
          </w:tcPr>
          <w:p w:rsidR="00D91331" w:rsidRDefault="00D91331" w:rsidP="009F01E9">
            <w:pPr>
              <w:keepNext/>
              <w:keepLines/>
              <w:jc w:val="center"/>
              <w:rPr>
                <w:sz w:val="20"/>
                <w:szCs w:val="20"/>
                <w:lang w:val="en-US"/>
              </w:rPr>
            </w:pPr>
            <w:r w:rsidRPr="00F02C79">
              <w:rPr>
                <w:sz w:val="20"/>
                <w:szCs w:val="20"/>
                <w:lang w:val="en-US"/>
              </w:rPr>
              <w:t>3.63</w:t>
            </w:r>
          </w:p>
          <w:p w:rsidR="00D91331" w:rsidRPr="00B772EF" w:rsidRDefault="00D91331" w:rsidP="009F01E9">
            <w:pPr>
              <w:keepNext/>
              <w:keepLines/>
              <w:jc w:val="center"/>
              <w:rPr>
                <w:sz w:val="20"/>
                <w:szCs w:val="20"/>
                <w:lang w:val="en-US"/>
              </w:rPr>
            </w:pPr>
            <w:r w:rsidRPr="00F02C79">
              <w:rPr>
                <w:sz w:val="20"/>
                <w:szCs w:val="20"/>
                <w:lang w:val="en-US"/>
              </w:rPr>
              <w:t>(p = 0.0</w:t>
            </w:r>
            <w:r>
              <w:rPr>
                <w:sz w:val="20"/>
                <w:szCs w:val="20"/>
                <w:lang w:val="en-US"/>
              </w:rPr>
              <w:t>6</w:t>
            </w:r>
            <w:r w:rsidRPr="00F02C79">
              <w:rPr>
                <w:sz w:val="20"/>
                <w:szCs w:val="20"/>
                <w:lang w:val="en-US"/>
              </w:rPr>
              <w:t>)</w:t>
            </w:r>
          </w:p>
        </w:tc>
        <w:tc>
          <w:tcPr>
            <w:tcW w:w="1630" w:type="dxa"/>
            <w:vAlign w:val="center"/>
          </w:tcPr>
          <w:p w:rsidR="00D91331" w:rsidRDefault="00D91331" w:rsidP="00785128">
            <w:pPr>
              <w:keepNext/>
              <w:keepLines/>
              <w:jc w:val="center"/>
              <w:rPr>
                <w:sz w:val="20"/>
                <w:szCs w:val="20"/>
              </w:rPr>
            </w:pPr>
            <w:r>
              <w:rPr>
                <w:sz w:val="20"/>
                <w:szCs w:val="20"/>
              </w:rPr>
              <w:t>0.37</w:t>
            </w:r>
          </w:p>
          <w:p w:rsidR="00D91331" w:rsidRPr="004F14B5" w:rsidRDefault="00D91331" w:rsidP="00785128">
            <w:pPr>
              <w:keepNext/>
              <w:keepLines/>
              <w:jc w:val="center"/>
              <w:rPr>
                <w:sz w:val="20"/>
                <w:szCs w:val="20"/>
              </w:rPr>
            </w:pPr>
            <w:r>
              <w:rPr>
                <w:sz w:val="20"/>
                <w:szCs w:val="20"/>
              </w:rPr>
              <w:t>(p=0.54)</w:t>
            </w:r>
          </w:p>
        </w:tc>
        <w:tc>
          <w:tcPr>
            <w:tcW w:w="1796" w:type="dxa"/>
            <w:gridSpan w:val="2"/>
            <w:tcBorders>
              <w:left w:val="nil"/>
            </w:tcBorders>
            <w:vAlign w:val="center"/>
          </w:tcPr>
          <w:p w:rsidR="00D91331" w:rsidRPr="00B772EF" w:rsidRDefault="00D91331" w:rsidP="009F01E9">
            <w:pPr>
              <w:keepNext/>
              <w:keepLines/>
              <w:jc w:val="center"/>
              <w:rPr>
                <w:sz w:val="20"/>
                <w:szCs w:val="20"/>
                <w:lang w:val="en-US"/>
              </w:rPr>
            </w:pPr>
            <w:r>
              <w:rPr>
                <w:sz w:val="20"/>
                <w:szCs w:val="20"/>
                <w:lang w:val="en-US"/>
              </w:rPr>
              <w:t>-</w:t>
            </w:r>
          </w:p>
        </w:tc>
        <w:tc>
          <w:tcPr>
            <w:tcW w:w="1796" w:type="dxa"/>
            <w:gridSpan w:val="2"/>
            <w:tcBorders>
              <w:left w:val="nil"/>
            </w:tcBorders>
            <w:vAlign w:val="center"/>
          </w:tcPr>
          <w:p w:rsidR="00D91331" w:rsidRPr="004F14B5" w:rsidRDefault="00A326DF" w:rsidP="00785128">
            <w:pPr>
              <w:keepNext/>
              <w:keepLines/>
              <w:jc w:val="center"/>
              <w:rPr>
                <w:sz w:val="20"/>
                <w:szCs w:val="20"/>
              </w:rPr>
            </w:pPr>
            <w:r>
              <w:rPr>
                <w:sz w:val="20"/>
                <w:szCs w:val="20"/>
              </w:rPr>
              <w:t>-</w:t>
            </w:r>
          </w:p>
        </w:tc>
      </w:tr>
      <w:tr w:rsidR="00D91331" w:rsidRPr="004F14B5" w:rsidTr="0090322C">
        <w:trPr>
          <w:jc w:val="center"/>
        </w:trPr>
        <w:tc>
          <w:tcPr>
            <w:tcW w:w="2235" w:type="dxa"/>
          </w:tcPr>
          <w:p w:rsidR="00D91331" w:rsidRPr="004F14B5" w:rsidRDefault="00D91331" w:rsidP="00785128">
            <w:pPr>
              <w:keepNext/>
              <w:keepLines/>
              <w:rPr>
                <w:sz w:val="20"/>
                <w:szCs w:val="20"/>
                <w:lang w:val="en-US"/>
              </w:rPr>
            </w:pPr>
            <w:r w:rsidRPr="004F14B5">
              <w:rPr>
                <w:sz w:val="20"/>
                <w:szCs w:val="20"/>
                <w:lang w:val="en-US"/>
              </w:rPr>
              <w:t>H</w:t>
            </w:r>
            <w:r w:rsidRPr="004F14B5">
              <w:rPr>
                <w:sz w:val="20"/>
                <w:szCs w:val="20"/>
                <w:vertAlign w:val="subscript"/>
                <w:lang w:val="en-US"/>
              </w:rPr>
              <w:t>0</w:t>
            </w:r>
            <w:r w:rsidRPr="004F14B5">
              <w:rPr>
                <w:sz w:val="20"/>
                <w:szCs w:val="20"/>
                <w:lang w:val="en-US"/>
              </w:rPr>
              <w:t xml:space="preserve"> = Instruments jointly valid (Port. Lang.)</w:t>
            </w:r>
          </w:p>
        </w:tc>
        <w:tc>
          <w:tcPr>
            <w:tcW w:w="1651" w:type="dxa"/>
            <w:vAlign w:val="center"/>
          </w:tcPr>
          <w:p w:rsidR="00D91331" w:rsidRPr="00B772EF" w:rsidRDefault="00D91331" w:rsidP="009F01E9">
            <w:pPr>
              <w:keepNext/>
              <w:keepLines/>
              <w:jc w:val="center"/>
              <w:rPr>
                <w:sz w:val="20"/>
                <w:szCs w:val="20"/>
                <w:lang w:val="en-US"/>
              </w:rPr>
            </w:pPr>
            <w:r>
              <w:rPr>
                <w:sz w:val="20"/>
                <w:szCs w:val="20"/>
                <w:lang w:val="en-US"/>
              </w:rPr>
              <w:t>-</w:t>
            </w:r>
          </w:p>
        </w:tc>
        <w:tc>
          <w:tcPr>
            <w:tcW w:w="1630" w:type="dxa"/>
            <w:vAlign w:val="center"/>
          </w:tcPr>
          <w:p w:rsidR="00D91331" w:rsidRPr="004F14B5" w:rsidRDefault="00D91331" w:rsidP="00785128">
            <w:pPr>
              <w:keepNext/>
              <w:keepLines/>
              <w:jc w:val="center"/>
              <w:rPr>
                <w:sz w:val="20"/>
                <w:szCs w:val="20"/>
              </w:rPr>
            </w:pPr>
            <w:r>
              <w:rPr>
                <w:sz w:val="20"/>
                <w:szCs w:val="20"/>
              </w:rPr>
              <w:t>-</w:t>
            </w:r>
          </w:p>
        </w:tc>
        <w:tc>
          <w:tcPr>
            <w:tcW w:w="1796" w:type="dxa"/>
            <w:gridSpan w:val="2"/>
            <w:tcBorders>
              <w:left w:val="nil"/>
            </w:tcBorders>
            <w:vAlign w:val="center"/>
          </w:tcPr>
          <w:p w:rsidR="00D91331" w:rsidRDefault="00D91331" w:rsidP="009F01E9">
            <w:pPr>
              <w:keepNext/>
              <w:keepLines/>
              <w:jc w:val="center"/>
              <w:rPr>
                <w:sz w:val="20"/>
                <w:szCs w:val="20"/>
                <w:lang w:val="en-US"/>
              </w:rPr>
            </w:pPr>
            <w:r>
              <w:rPr>
                <w:sz w:val="20"/>
                <w:szCs w:val="20"/>
                <w:lang w:val="en-US"/>
              </w:rPr>
              <w:t>0</w:t>
            </w:r>
            <w:r w:rsidRPr="000F1EE5">
              <w:rPr>
                <w:sz w:val="20"/>
                <w:szCs w:val="20"/>
                <w:lang w:val="en-US"/>
              </w:rPr>
              <w:t>.49</w:t>
            </w:r>
          </w:p>
          <w:p w:rsidR="00D91331" w:rsidRPr="00B772EF" w:rsidRDefault="00D91331" w:rsidP="009F01E9">
            <w:pPr>
              <w:keepNext/>
              <w:keepLines/>
              <w:jc w:val="center"/>
              <w:rPr>
                <w:sz w:val="20"/>
                <w:szCs w:val="20"/>
                <w:lang w:val="en-US"/>
              </w:rPr>
            </w:pPr>
            <w:r w:rsidRPr="000F1EE5">
              <w:rPr>
                <w:sz w:val="20"/>
                <w:szCs w:val="20"/>
                <w:lang w:val="en-US"/>
              </w:rPr>
              <w:t>(p = 0.48)</w:t>
            </w:r>
          </w:p>
        </w:tc>
        <w:tc>
          <w:tcPr>
            <w:tcW w:w="1796" w:type="dxa"/>
            <w:gridSpan w:val="2"/>
            <w:tcBorders>
              <w:left w:val="nil"/>
            </w:tcBorders>
            <w:vAlign w:val="center"/>
          </w:tcPr>
          <w:p w:rsidR="00D91331" w:rsidRDefault="00D91331" w:rsidP="00785128">
            <w:pPr>
              <w:keepNext/>
              <w:keepLines/>
              <w:jc w:val="center"/>
              <w:rPr>
                <w:sz w:val="20"/>
                <w:szCs w:val="20"/>
              </w:rPr>
            </w:pPr>
            <w:r>
              <w:rPr>
                <w:sz w:val="20"/>
                <w:szCs w:val="20"/>
              </w:rPr>
              <w:t>0.36</w:t>
            </w:r>
          </w:p>
          <w:p w:rsidR="00D91331" w:rsidRPr="004F14B5" w:rsidRDefault="00D91331" w:rsidP="00785128">
            <w:pPr>
              <w:keepNext/>
              <w:keepLines/>
              <w:jc w:val="center"/>
              <w:rPr>
                <w:sz w:val="20"/>
                <w:szCs w:val="20"/>
              </w:rPr>
            </w:pPr>
            <w:r>
              <w:rPr>
                <w:sz w:val="20"/>
                <w:szCs w:val="20"/>
              </w:rPr>
              <w:t>(p=0.55)</w:t>
            </w:r>
          </w:p>
        </w:tc>
      </w:tr>
      <w:tr w:rsidR="0090322C" w:rsidRPr="004F14B5" w:rsidTr="009F01E9">
        <w:trPr>
          <w:jc w:val="center"/>
        </w:trPr>
        <w:tc>
          <w:tcPr>
            <w:tcW w:w="2235" w:type="dxa"/>
            <w:tcBorders>
              <w:bottom w:val="single" w:sz="4" w:space="0" w:color="auto"/>
            </w:tcBorders>
          </w:tcPr>
          <w:p w:rsidR="0090322C" w:rsidRPr="004F14B5" w:rsidRDefault="0090322C" w:rsidP="00511833">
            <w:pPr>
              <w:keepNext/>
              <w:keepLines/>
              <w:rPr>
                <w:sz w:val="20"/>
                <w:szCs w:val="20"/>
                <w:lang w:val="en-US"/>
              </w:rPr>
            </w:pPr>
            <w:r>
              <w:rPr>
                <w:sz w:val="20"/>
                <w:szCs w:val="20"/>
                <w:lang w:val="en-US"/>
              </w:rPr>
              <w:t>H</w:t>
            </w:r>
            <w:r w:rsidRPr="00511833">
              <w:rPr>
                <w:sz w:val="20"/>
                <w:szCs w:val="20"/>
                <w:vertAlign w:val="subscript"/>
                <w:lang w:val="en-US"/>
              </w:rPr>
              <w:t>0</w:t>
            </w:r>
            <w:r>
              <w:rPr>
                <w:sz w:val="20"/>
                <w:szCs w:val="20"/>
                <w:lang w:val="en-US"/>
              </w:rPr>
              <w:t>= “Equal coefficients”</w:t>
            </w:r>
          </w:p>
        </w:tc>
        <w:tc>
          <w:tcPr>
            <w:tcW w:w="3281" w:type="dxa"/>
            <w:gridSpan w:val="2"/>
            <w:tcBorders>
              <w:bottom w:val="single" w:sz="4" w:space="0" w:color="auto"/>
            </w:tcBorders>
            <w:vAlign w:val="center"/>
          </w:tcPr>
          <w:p w:rsidR="0090322C" w:rsidRPr="0090322C" w:rsidRDefault="00D67803" w:rsidP="0090322C">
            <w:pPr>
              <w:keepNext/>
              <w:keepLines/>
              <w:jc w:val="center"/>
              <w:rPr>
                <w:sz w:val="18"/>
                <w:szCs w:val="18"/>
              </w:rPr>
            </w:pPr>
            <m:oMathPara>
              <m:oMath>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stat.</m:t>
                    </m:r>
                  </m:sub>
                </m:sSub>
                <m:r>
                  <w:rPr>
                    <w:rFonts w:ascii="Cambria Math" w:hAnsi="Cambria Math"/>
                    <w:sz w:val="18"/>
                    <w:szCs w:val="18"/>
                    <w:lang w:val="en-US"/>
                  </w:rPr>
                  <m:t>=0.023≱</m:t>
                </m:r>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(tab)</m:t>
                    </m:r>
                  </m:sub>
                </m:sSub>
                <m:r>
                  <w:rPr>
                    <w:rFonts w:ascii="Cambria Math" w:hAnsi="Cambria Math"/>
                    <w:sz w:val="18"/>
                    <w:szCs w:val="18"/>
                    <w:lang w:val="en-US"/>
                  </w:rPr>
                  <m:t>=1.16</m:t>
                </m:r>
              </m:oMath>
            </m:oMathPara>
          </w:p>
        </w:tc>
        <w:tc>
          <w:tcPr>
            <w:tcW w:w="3592" w:type="dxa"/>
            <w:gridSpan w:val="4"/>
            <w:tcBorders>
              <w:left w:val="nil"/>
              <w:bottom w:val="single" w:sz="4" w:space="0" w:color="auto"/>
            </w:tcBorders>
            <w:vAlign w:val="center"/>
          </w:tcPr>
          <w:p w:rsidR="0090322C" w:rsidRPr="0090322C" w:rsidRDefault="00D67803" w:rsidP="0090322C">
            <w:pPr>
              <w:keepNext/>
              <w:keepLines/>
              <w:jc w:val="center"/>
              <w:rPr>
                <w:sz w:val="18"/>
                <w:szCs w:val="18"/>
              </w:rPr>
            </w:pPr>
            <m:oMathPara>
              <m:oMath>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stat.</m:t>
                    </m:r>
                  </m:sub>
                </m:sSub>
                <m:r>
                  <w:rPr>
                    <w:rFonts w:ascii="Cambria Math" w:hAnsi="Cambria Math"/>
                    <w:sz w:val="18"/>
                    <w:szCs w:val="18"/>
                    <w:lang w:val="en-US"/>
                  </w:rPr>
                  <m:t>=0.023≱</m:t>
                </m:r>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(tab)</m:t>
                    </m:r>
                  </m:sub>
                </m:sSub>
                <m:r>
                  <w:rPr>
                    <w:rFonts w:ascii="Cambria Math" w:hAnsi="Cambria Math"/>
                    <w:sz w:val="18"/>
                    <w:szCs w:val="18"/>
                    <w:lang w:val="en-US"/>
                  </w:rPr>
                  <m:t>=1.16</m:t>
                </m:r>
              </m:oMath>
            </m:oMathPara>
          </w:p>
        </w:tc>
      </w:tr>
      <w:tr w:rsidR="00D91331" w:rsidRPr="004F14B5" w:rsidTr="0090322C">
        <w:trPr>
          <w:jc w:val="center"/>
        </w:trPr>
        <w:tc>
          <w:tcPr>
            <w:tcW w:w="2235" w:type="dxa"/>
            <w:tcBorders>
              <w:top w:val="single" w:sz="4" w:space="0" w:color="auto"/>
              <w:bottom w:val="single" w:sz="4" w:space="0" w:color="auto"/>
            </w:tcBorders>
          </w:tcPr>
          <w:p w:rsidR="00D91331" w:rsidRPr="004F14B5" w:rsidRDefault="00D91331" w:rsidP="00785128">
            <w:pPr>
              <w:keepNext/>
              <w:keepLines/>
              <w:rPr>
                <w:sz w:val="20"/>
                <w:szCs w:val="20"/>
                <w:lang w:val="en-US"/>
              </w:rPr>
            </w:pPr>
            <w:r w:rsidRPr="004F14B5">
              <w:rPr>
                <w:sz w:val="20"/>
                <w:szCs w:val="20"/>
                <w:lang w:val="en-US"/>
              </w:rPr>
              <w:t>Nº of observations</w:t>
            </w:r>
          </w:p>
        </w:tc>
        <w:tc>
          <w:tcPr>
            <w:tcW w:w="1651" w:type="dxa"/>
            <w:tcBorders>
              <w:top w:val="single" w:sz="4" w:space="0" w:color="auto"/>
              <w:bottom w:val="single" w:sz="4" w:space="0" w:color="auto"/>
            </w:tcBorders>
          </w:tcPr>
          <w:p w:rsidR="00D91331" w:rsidRPr="004F14B5" w:rsidRDefault="00D91331" w:rsidP="00785128">
            <w:pPr>
              <w:keepNext/>
              <w:keepLines/>
              <w:jc w:val="center"/>
              <w:rPr>
                <w:sz w:val="20"/>
                <w:szCs w:val="20"/>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c>
          <w:tcPr>
            <w:tcW w:w="1630" w:type="dxa"/>
            <w:tcBorders>
              <w:top w:val="single" w:sz="4" w:space="0" w:color="auto"/>
              <w:bottom w:val="single" w:sz="4" w:space="0" w:color="auto"/>
            </w:tcBorders>
          </w:tcPr>
          <w:p w:rsidR="00D91331" w:rsidRPr="004F14B5" w:rsidRDefault="00D91331" w:rsidP="00785128">
            <w:pPr>
              <w:keepNext/>
              <w:keepLines/>
              <w:jc w:val="center"/>
              <w:rPr>
                <w:sz w:val="20"/>
                <w:szCs w:val="20"/>
              </w:rPr>
            </w:pPr>
            <w:r>
              <w:rPr>
                <w:sz w:val="20"/>
                <w:szCs w:val="20"/>
              </w:rPr>
              <w:t>330,406</w:t>
            </w:r>
          </w:p>
        </w:tc>
        <w:tc>
          <w:tcPr>
            <w:tcW w:w="1796" w:type="dxa"/>
            <w:gridSpan w:val="2"/>
            <w:tcBorders>
              <w:top w:val="single" w:sz="4" w:space="0" w:color="auto"/>
              <w:left w:val="nil"/>
              <w:bottom w:val="single" w:sz="4" w:space="0" w:color="auto"/>
            </w:tcBorders>
          </w:tcPr>
          <w:p w:rsidR="00D91331" w:rsidRPr="004F14B5" w:rsidRDefault="00D91331" w:rsidP="00785128">
            <w:pPr>
              <w:keepNext/>
              <w:keepLines/>
              <w:jc w:val="center"/>
              <w:rPr>
                <w:sz w:val="20"/>
                <w:szCs w:val="20"/>
              </w:rPr>
            </w:pPr>
            <w:r w:rsidRPr="00B772EF">
              <w:rPr>
                <w:bCs/>
                <w:iCs/>
                <w:color w:val="000000"/>
                <w:sz w:val="20"/>
                <w:szCs w:val="20"/>
                <w:lang w:eastAsia="pt-BR"/>
              </w:rPr>
              <w:t>599</w:t>
            </w:r>
            <w:r w:rsidRPr="00B772EF">
              <w:rPr>
                <w:bCs/>
                <w:iCs/>
                <w:color w:val="000000"/>
                <w:sz w:val="20"/>
                <w:szCs w:val="20"/>
              </w:rPr>
              <w:t>,</w:t>
            </w:r>
            <w:r w:rsidRPr="00B772EF">
              <w:rPr>
                <w:bCs/>
                <w:iCs/>
                <w:color w:val="000000"/>
                <w:sz w:val="20"/>
                <w:szCs w:val="20"/>
                <w:lang w:eastAsia="pt-BR"/>
              </w:rPr>
              <w:t>103</w:t>
            </w:r>
          </w:p>
        </w:tc>
        <w:tc>
          <w:tcPr>
            <w:tcW w:w="1796" w:type="dxa"/>
            <w:gridSpan w:val="2"/>
            <w:tcBorders>
              <w:top w:val="single" w:sz="4" w:space="0" w:color="auto"/>
              <w:left w:val="nil"/>
              <w:bottom w:val="single" w:sz="4" w:space="0" w:color="auto"/>
            </w:tcBorders>
          </w:tcPr>
          <w:p w:rsidR="00D91331" w:rsidRPr="004F14B5" w:rsidRDefault="00D91331" w:rsidP="00785128">
            <w:pPr>
              <w:keepNext/>
              <w:keepLines/>
              <w:jc w:val="center"/>
              <w:rPr>
                <w:sz w:val="20"/>
                <w:szCs w:val="20"/>
              </w:rPr>
            </w:pPr>
            <w:r>
              <w:rPr>
                <w:sz w:val="20"/>
                <w:szCs w:val="20"/>
              </w:rPr>
              <w:t>330,406</w:t>
            </w:r>
          </w:p>
        </w:tc>
      </w:tr>
      <w:tr w:rsidR="0022747D" w:rsidRPr="004F14B5" w:rsidTr="0090322C">
        <w:trPr>
          <w:jc w:val="center"/>
        </w:trPr>
        <w:tc>
          <w:tcPr>
            <w:tcW w:w="9108" w:type="dxa"/>
            <w:gridSpan w:val="7"/>
            <w:tcBorders>
              <w:top w:val="single" w:sz="4" w:space="0" w:color="auto"/>
            </w:tcBorders>
          </w:tcPr>
          <w:p w:rsidR="0022747D" w:rsidRPr="004F14B5" w:rsidRDefault="00AF1B0F" w:rsidP="00785128">
            <w:pPr>
              <w:keepNext/>
              <w:keepLines/>
              <w:rPr>
                <w:sz w:val="20"/>
                <w:szCs w:val="20"/>
                <w:lang w:val="en-US"/>
              </w:rPr>
            </w:pPr>
            <w:r>
              <w:rPr>
                <w:sz w:val="20"/>
                <w:szCs w:val="20"/>
                <w:lang w:val="en-US"/>
              </w:rPr>
              <w:t>Source:</w:t>
            </w:r>
            <w:r w:rsidRPr="007D3666">
              <w:rPr>
                <w:sz w:val="20"/>
                <w:szCs w:val="20"/>
                <w:lang w:val="en-US"/>
              </w:rPr>
              <w:t xml:space="preserve"> Original compilation based on </w:t>
            </w:r>
            <w:r w:rsidRPr="007D3666">
              <w:rPr>
                <w:bCs/>
                <w:sz w:val="20"/>
                <w:szCs w:val="20"/>
                <w:lang w:val="en-US"/>
              </w:rPr>
              <w:t xml:space="preserve">MEC/ </w:t>
            </w:r>
            <w:proofErr w:type="spellStart"/>
            <w:r w:rsidRPr="007D3666">
              <w:rPr>
                <w:bCs/>
                <w:sz w:val="20"/>
                <w:szCs w:val="20"/>
                <w:lang w:val="en-US"/>
              </w:rPr>
              <w:t>Inep</w:t>
            </w:r>
            <w:proofErr w:type="spellEnd"/>
            <w:r w:rsidRPr="007D3666">
              <w:rPr>
                <w:bCs/>
                <w:sz w:val="20"/>
                <w:szCs w:val="20"/>
                <w:lang w:val="en-US"/>
              </w:rPr>
              <w:t xml:space="preserve"> (2013).</w:t>
            </w:r>
            <w:r w:rsidR="0022747D" w:rsidRPr="004F14B5">
              <w:rPr>
                <w:sz w:val="20"/>
                <w:szCs w:val="20"/>
                <w:lang w:val="en-US"/>
              </w:rPr>
              <w:t xml:space="preserve"> </w:t>
            </w:r>
          </w:p>
        </w:tc>
      </w:tr>
      <w:tr w:rsidR="0022747D" w:rsidRPr="004F14B5" w:rsidTr="0090322C">
        <w:trPr>
          <w:jc w:val="center"/>
        </w:trPr>
        <w:tc>
          <w:tcPr>
            <w:tcW w:w="9108" w:type="dxa"/>
            <w:gridSpan w:val="7"/>
          </w:tcPr>
          <w:p w:rsidR="005933D7" w:rsidRPr="00AA7401" w:rsidRDefault="005933D7" w:rsidP="00785128">
            <w:pPr>
              <w:keepNext/>
              <w:keepLines/>
              <w:jc w:val="both"/>
              <w:rPr>
                <w:sz w:val="20"/>
                <w:szCs w:val="20"/>
                <w:lang w:val="en-US"/>
              </w:rPr>
            </w:pPr>
            <w:r w:rsidRPr="00AA7401">
              <w:rPr>
                <w:sz w:val="20"/>
                <w:szCs w:val="20"/>
                <w:lang w:val="en-US"/>
              </w:rPr>
              <w:t>* Additional controls include</w:t>
            </w:r>
            <w:r>
              <w:rPr>
                <w:sz w:val="20"/>
                <w:szCs w:val="20"/>
                <w:lang w:val="en-US"/>
              </w:rPr>
              <w:t xml:space="preserve"> same variables as the model </w:t>
            </w:r>
            <w:r w:rsidR="00A11BB7" w:rsidRPr="00A11BB7">
              <w:rPr>
                <w:sz w:val="20"/>
                <w:szCs w:val="20"/>
                <w:lang w:val="en-US"/>
              </w:rPr>
              <w:t>of Table 3</w:t>
            </w:r>
            <w:r w:rsidRPr="00AA7401">
              <w:rPr>
                <w:sz w:val="20"/>
                <w:szCs w:val="20"/>
                <w:lang w:val="en-US"/>
              </w:rPr>
              <w:t>.</w:t>
            </w:r>
          </w:p>
          <w:p w:rsidR="0022747D" w:rsidRPr="004F14B5" w:rsidRDefault="005933D7" w:rsidP="00D91331">
            <w:pPr>
              <w:keepNext/>
              <w:keepLines/>
              <w:rPr>
                <w:sz w:val="20"/>
                <w:szCs w:val="20"/>
              </w:rPr>
            </w:pPr>
            <w:r w:rsidRPr="00AA7401">
              <w:rPr>
                <w:sz w:val="20"/>
                <w:szCs w:val="20"/>
                <w:lang w:val="en-US"/>
              </w:rPr>
              <w:t>Note: The instruments are the proportions of peers born in the first semester (January</w:t>
            </w:r>
            <w:r>
              <w:rPr>
                <w:sz w:val="20"/>
                <w:szCs w:val="20"/>
                <w:lang w:val="en-US"/>
              </w:rPr>
              <w:t xml:space="preserve"> </w:t>
            </w:r>
            <w:r w:rsidRPr="00AA7401">
              <w:rPr>
                <w:sz w:val="20"/>
                <w:szCs w:val="20"/>
                <w:lang w:val="en-US"/>
              </w:rPr>
              <w:t>- June) and in the second semester (July – November), December being the reference.</w:t>
            </w:r>
          </w:p>
        </w:tc>
      </w:tr>
    </w:tbl>
    <w:p w:rsidR="00B63E63" w:rsidRPr="002C6CF0" w:rsidRDefault="00B63E63" w:rsidP="00785128">
      <w:pPr>
        <w:rPr>
          <w:highlight w:val="yellow"/>
        </w:rPr>
      </w:pPr>
      <w:bookmarkStart w:id="1" w:name="_Toc419455425"/>
    </w:p>
    <w:p w:rsidR="002D4E8E" w:rsidRPr="00D46938" w:rsidRDefault="000F75CB" w:rsidP="00785128">
      <w:pPr>
        <w:jc w:val="both"/>
      </w:pPr>
      <w:r w:rsidRPr="00D46938">
        <w:rPr>
          <w:b/>
          <w:bCs/>
        </w:rPr>
        <w:t>6</w:t>
      </w:r>
      <w:r w:rsidR="00BF647B" w:rsidRPr="00D46938">
        <w:rPr>
          <w:b/>
          <w:bCs/>
        </w:rPr>
        <w:t xml:space="preserve"> </w:t>
      </w:r>
      <w:bookmarkEnd w:id="1"/>
      <w:r w:rsidR="00D41F07" w:rsidRPr="00D46938">
        <w:rPr>
          <w:b/>
          <w:bCs/>
        </w:rPr>
        <w:t xml:space="preserve">Final </w:t>
      </w:r>
      <w:r w:rsidR="00545C1C" w:rsidRPr="00D46938">
        <w:rPr>
          <w:b/>
          <w:bCs/>
        </w:rPr>
        <w:t>c</w:t>
      </w:r>
      <w:r w:rsidR="00D41F07" w:rsidRPr="00D46938">
        <w:rPr>
          <w:b/>
          <w:bCs/>
        </w:rPr>
        <w:t>onsiderations</w:t>
      </w:r>
    </w:p>
    <w:p w:rsidR="00A71ED4" w:rsidRDefault="00A71ED4" w:rsidP="00785128">
      <w:pPr>
        <w:rPr>
          <w:highlight w:val="yellow"/>
        </w:rPr>
      </w:pPr>
    </w:p>
    <w:p w:rsidR="00822D19" w:rsidRDefault="00822D19" w:rsidP="008809A7">
      <w:pPr>
        <w:ind w:firstLine="720"/>
        <w:jc w:val="both"/>
      </w:pPr>
      <w:r w:rsidRPr="00241A7B">
        <w:rPr>
          <w:bdr w:val="none" w:sz="0" w:space="0" w:color="auto"/>
          <w:lang w:val="en-US" w:eastAsia="pt-BR"/>
        </w:rPr>
        <w:t>The</w:t>
      </w:r>
      <w:r>
        <w:rPr>
          <w:bdr w:val="none" w:sz="0" w:space="0" w:color="auto"/>
          <w:lang w:val="en-US" w:eastAsia="pt-BR"/>
        </w:rPr>
        <w:t xml:space="preserve"> present paper contributes with new evidence </w:t>
      </w:r>
      <w:r w:rsidR="008809A7">
        <w:rPr>
          <w:bdr w:val="none" w:sz="0" w:space="0" w:color="auto"/>
          <w:lang w:val="en-US" w:eastAsia="pt-BR"/>
        </w:rPr>
        <w:t>for</w:t>
      </w:r>
      <w:r>
        <w:rPr>
          <w:bdr w:val="none" w:sz="0" w:space="0" w:color="auto"/>
          <w:lang w:val="en-US" w:eastAsia="pt-BR"/>
        </w:rPr>
        <w:t xml:space="preserve"> the role of peer effects in the Brazilian public school system. Using data from</w:t>
      </w:r>
      <w:r w:rsidR="008809A7">
        <w:rPr>
          <w:bdr w:val="none" w:sz="0" w:space="0" w:color="auto"/>
          <w:lang w:val="en-US" w:eastAsia="pt-BR"/>
        </w:rPr>
        <w:t xml:space="preserve"> the</w:t>
      </w:r>
      <w:r>
        <w:rPr>
          <w:bdr w:val="none" w:sz="0" w:space="0" w:color="auto"/>
          <w:lang w:val="en-US" w:eastAsia="pt-BR"/>
        </w:rPr>
        <w:t xml:space="preserve"> </w:t>
      </w:r>
      <w:proofErr w:type="spellStart"/>
      <w:r w:rsidRPr="00B04AC3">
        <w:rPr>
          <w:i/>
          <w:lang w:val="en-US"/>
        </w:rPr>
        <w:t>Prova</w:t>
      </w:r>
      <w:proofErr w:type="spellEnd"/>
      <w:r w:rsidRPr="00B04AC3">
        <w:rPr>
          <w:i/>
          <w:lang w:val="en-US"/>
        </w:rPr>
        <w:t xml:space="preserve"> </w:t>
      </w:r>
      <w:proofErr w:type="spellStart"/>
      <w:r w:rsidRPr="00B04AC3">
        <w:rPr>
          <w:i/>
          <w:lang w:val="en-US"/>
        </w:rPr>
        <w:t>Brasil</w:t>
      </w:r>
      <w:proofErr w:type="spellEnd"/>
      <w:r>
        <w:rPr>
          <w:lang w:val="en-US"/>
        </w:rPr>
        <w:t xml:space="preserve"> exams for the year of 2013, </w:t>
      </w:r>
      <w:r w:rsidR="00CB1DE5">
        <w:rPr>
          <w:lang w:val="en-US"/>
        </w:rPr>
        <w:t>we investigate the</w:t>
      </w:r>
      <w:r w:rsidR="00924C3F">
        <w:rPr>
          <w:lang w:val="en-US"/>
        </w:rPr>
        <w:t xml:space="preserve"> dissemination of peer effects o</w:t>
      </w:r>
      <w:r w:rsidR="00CB1DE5">
        <w:rPr>
          <w:lang w:val="en-US"/>
        </w:rPr>
        <w:t>n academic achievement for the 4</w:t>
      </w:r>
      <w:r w:rsidR="00CB1DE5" w:rsidRPr="00CB1DE5">
        <w:rPr>
          <w:vertAlign w:val="superscript"/>
          <w:lang w:val="en-US"/>
        </w:rPr>
        <w:t>th</w:t>
      </w:r>
      <w:r w:rsidR="00CB1DE5">
        <w:rPr>
          <w:lang w:val="en-US"/>
        </w:rPr>
        <w:t xml:space="preserve"> grade students. O</w:t>
      </w:r>
      <w:r w:rsidR="008809A7">
        <w:rPr>
          <w:lang w:val="en-US"/>
        </w:rPr>
        <w:t>ur</w:t>
      </w:r>
      <w:r w:rsidR="008809A7" w:rsidRPr="00065ABC">
        <w:rPr>
          <w:lang w:val="en-US"/>
        </w:rPr>
        <w:t xml:space="preserve"> identification strategy builds on the use of a</w:t>
      </w:r>
      <w:r w:rsidR="008809A7">
        <w:rPr>
          <w:lang w:val="en-US"/>
        </w:rPr>
        <w:t>n IV approach, in which the instruments are the proportions of peers born in the first or second semester of the year.</w:t>
      </w:r>
      <w:r w:rsidR="004C1259">
        <w:rPr>
          <w:lang w:val="en-US"/>
        </w:rPr>
        <w:t xml:space="preserve"> </w:t>
      </w:r>
      <w:r w:rsidR="004C1259" w:rsidRPr="00B05B3B">
        <w:rPr>
          <w:lang w:val="en-US"/>
        </w:rPr>
        <w:t xml:space="preserve">The </w:t>
      </w:r>
      <w:r w:rsidR="004C1259">
        <w:rPr>
          <w:lang w:val="en-US"/>
        </w:rPr>
        <w:t xml:space="preserve">idea behind the instruments is that </w:t>
      </w:r>
      <w:r w:rsidR="004C1259" w:rsidRPr="00D74864">
        <w:t xml:space="preserve">educational </w:t>
      </w:r>
      <w:r w:rsidR="004C1259">
        <w:t>achievement</w:t>
      </w:r>
      <w:r w:rsidR="004C1259" w:rsidRPr="00D74864">
        <w:t xml:space="preserve"> is related to age at school entry </w:t>
      </w:r>
      <w:r w:rsidR="004C1259">
        <w:t>because of the age variation induced by compulsory school attendance laws. In Brazil</w:t>
      </w:r>
      <w:r w:rsidR="00CB1DE5">
        <w:t>, children born in the second semester start school at a relatively older age</w:t>
      </w:r>
      <w:r w:rsidR="007670A9">
        <w:t>,</w:t>
      </w:r>
      <w:r w:rsidR="00CB1DE5">
        <w:t xml:space="preserve"> because of the </w:t>
      </w:r>
      <w:r w:rsidR="007670A9">
        <w:t>Federal laws (</w:t>
      </w:r>
      <w:proofErr w:type="spellStart"/>
      <w:r w:rsidR="007670A9">
        <w:t>Brasil</w:t>
      </w:r>
      <w:proofErr w:type="spellEnd"/>
      <w:r w:rsidR="007670A9">
        <w:t>, 2008 and 2010).</w:t>
      </w:r>
    </w:p>
    <w:p w:rsidR="005A7B37" w:rsidRDefault="00E10949" w:rsidP="005A7B37">
      <w:pPr>
        <w:ind w:firstLine="720"/>
        <w:jc w:val="both"/>
        <w:rPr>
          <w:highlight w:val="yellow"/>
        </w:rPr>
      </w:pPr>
      <w:r>
        <w:t>The results demonstrate that schools with high proportions of peers born in the 2</w:t>
      </w:r>
      <w:r w:rsidRPr="00E23611">
        <w:rPr>
          <w:vertAlign w:val="superscript"/>
        </w:rPr>
        <w:t>nd</w:t>
      </w:r>
      <w:r>
        <w:t xml:space="preserve"> semester tend to perform better, in average, than those that concentrate children born in the 1</w:t>
      </w:r>
      <w:r w:rsidRPr="002015FD">
        <w:rPr>
          <w:vertAlign w:val="superscript"/>
        </w:rPr>
        <w:t>st</w:t>
      </w:r>
      <w:r>
        <w:t xml:space="preserve"> semester, even after the inclusion of a wide range of control variables. </w:t>
      </w:r>
      <w:r w:rsidR="00B56F55">
        <w:t xml:space="preserve">For the math evaluation, a one standard deviation increase in the peers’ </w:t>
      </w:r>
      <w:r w:rsidR="005A7B37">
        <w:t>grade</w:t>
      </w:r>
      <w:r w:rsidR="00B56F55">
        <w:t xml:space="preserve"> generates an improvement of 32</w:t>
      </w:r>
      <w:r w:rsidR="00B56F55" w:rsidRPr="000F75CB">
        <w:t>% standard deviations in individual</w:t>
      </w:r>
      <w:r w:rsidR="00B56F55">
        <w:t xml:space="preserve"> achievement. For the Portuguese language evaluation, this effect represents an increase </w:t>
      </w:r>
      <w:r w:rsidR="00B56F55" w:rsidRPr="0022024C">
        <w:t xml:space="preserve">of 30% </w:t>
      </w:r>
      <w:r w:rsidR="00B56F55">
        <w:t>SD of the student grade.</w:t>
      </w:r>
      <w:r w:rsidR="005A7B37">
        <w:t xml:space="preserve"> </w:t>
      </w:r>
      <w:proofErr w:type="spellStart"/>
      <w:r w:rsidR="005A7B37" w:rsidRPr="005A7B37">
        <w:rPr>
          <w:lang w:val="en-US"/>
        </w:rPr>
        <w:t>Exogeneity</w:t>
      </w:r>
      <w:proofErr w:type="spellEnd"/>
      <w:r w:rsidR="005A7B37" w:rsidRPr="005A7B37">
        <w:rPr>
          <w:lang w:val="en-US"/>
        </w:rPr>
        <w:t xml:space="preserve">, </w:t>
      </w:r>
      <w:proofErr w:type="spellStart"/>
      <w:r w:rsidR="005A7B37" w:rsidRPr="005A7B37">
        <w:rPr>
          <w:lang w:val="en-US"/>
        </w:rPr>
        <w:t>overidentification</w:t>
      </w:r>
      <w:proofErr w:type="spellEnd"/>
      <w:r w:rsidR="005A7B37" w:rsidRPr="005A7B37">
        <w:rPr>
          <w:lang w:val="en-US"/>
        </w:rPr>
        <w:t xml:space="preserve"> and other robustness tests </w:t>
      </w:r>
      <w:r w:rsidR="005A7B37">
        <w:rPr>
          <w:lang w:val="en-US"/>
        </w:rPr>
        <w:t xml:space="preserve">favored the strength </w:t>
      </w:r>
      <w:r w:rsidR="005A7B37" w:rsidRPr="001F45BB">
        <w:rPr>
          <w:lang w:val="en-US"/>
        </w:rPr>
        <w:t>of the instruments.</w:t>
      </w:r>
    </w:p>
    <w:p w:rsidR="00706245" w:rsidRDefault="00706245" w:rsidP="00706245">
      <w:pPr>
        <w:ind w:firstLine="720"/>
        <w:jc w:val="both"/>
        <w:rPr>
          <w:bdr w:val="none" w:sz="0" w:space="0" w:color="auto"/>
          <w:lang w:val="en-US" w:eastAsia="pt-BR"/>
        </w:rPr>
      </w:pPr>
      <w:r>
        <w:lastRenderedPageBreak/>
        <w:t xml:space="preserve">To better understand the role of peer effects in the school environment is a key issue to </w:t>
      </w:r>
      <w:r>
        <w:rPr>
          <w:bdr w:val="none" w:sz="0" w:space="0" w:color="auto"/>
          <w:lang w:val="en-US" w:eastAsia="pt-BR"/>
        </w:rPr>
        <w:t>improve</w:t>
      </w:r>
      <w:r w:rsidRPr="00D82BC9">
        <w:rPr>
          <w:bdr w:val="none" w:sz="0" w:space="0" w:color="auto"/>
          <w:lang w:val="en-US" w:eastAsia="pt-BR"/>
        </w:rPr>
        <w:t xml:space="preserve"> the development of educational policies</w:t>
      </w:r>
      <w:r>
        <w:rPr>
          <w:bdr w:val="none" w:sz="0" w:space="0" w:color="auto"/>
          <w:lang w:val="en-US" w:eastAsia="pt-BR"/>
        </w:rPr>
        <w:t>. Further research is needed to help understanding the mechanisms</w:t>
      </w:r>
      <w:r w:rsidRPr="00D82BC9">
        <w:rPr>
          <w:bdr w:val="none" w:sz="0" w:space="0" w:color="auto"/>
          <w:lang w:val="en-US" w:eastAsia="pt-BR"/>
        </w:rPr>
        <w:t xml:space="preserve"> </w:t>
      </w:r>
      <w:r>
        <w:t xml:space="preserve">through which children </w:t>
      </w:r>
      <w:r w:rsidR="00703EA2">
        <w:t>influence each other</w:t>
      </w:r>
      <w:r w:rsidR="00D26F5D">
        <w:t>,</w:t>
      </w:r>
      <w:r w:rsidR="00703EA2">
        <w:t xml:space="preserve"> in order to better prescribe classroom interventions which takes advantage of the peer effects dissemination.</w:t>
      </w:r>
    </w:p>
    <w:p w:rsidR="0090322C" w:rsidRPr="00706245" w:rsidRDefault="0090322C" w:rsidP="00785128">
      <w:pPr>
        <w:rPr>
          <w:highlight w:val="yellow"/>
          <w:lang w:val="en-US"/>
        </w:rPr>
      </w:pPr>
    </w:p>
    <w:p w:rsidR="0090322C" w:rsidRPr="00F07806" w:rsidRDefault="0090322C" w:rsidP="00785128">
      <w:pPr>
        <w:rPr>
          <w:highlight w:val="yellow"/>
        </w:rPr>
      </w:pPr>
    </w:p>
    <w:p w:rsidR="00C719FC" w:rsidRPr="00FA0C5E" w:rsidRDefault="00C719FC" w:rsidP="00785128">
      <w:pPr>
        <w:jc w:val="both"/>
        <w:rPr>
          <w:b/>
          <w:bCs/>
          <w:bdr w:val="none" w:sz="0" w:space="0" w:color="auto"/>
          <w:lang w:val="en-US" w:eastAsia="pt-BR"/>
        </w:rPr>
      </w:pPr>
      <w:r w:rsidRPr="00FA0C5E">
        <w:rPr>
          <w:b/>
          <w:bCs/>
          <w:bdr w:val="none" w:sz="0" w:space="0" w:color="auto"/>
          <w:lang w:val="en-US" w:eastAsia="pt-BR"/>
        </w:rPr>
        <w:t>References</w:t>
      </w:r>
    </w:p>
    <w:p w:rsidR="00C719FC" w:rsidRPr="00F07806" w:rsidRDefault="00C719FC" w:rsidP="00785128">
      <w:pPr>
        <w:jc w:val="both"/>
        <w:rPr>
          <w:b/>
          <w:highlight w:val="yellow"/>
          <w:bdr w:val="none" w:sz="0" w:space="0" w:color="auto"/>
          <w:lang w:val="en-US" w:eastAsia="pt-BR"/>
        </w:rPr>
      </w:pPr>
    </w:p>
    <w:p w:rsidR="00FA0C5E" w:rsidRDefault="00FA0C5E" w:rsidP="00785128">
      <w:pPr>
        <w:ind w:left="426" w:hanging="426"/>
        <w:jc w:val="both"/>
        <w:rPr>
          <w:lang w:val="en-US"/>
        </w:rPr>
      </w:pPr>
      <w:proofErr w:type="gramStart"/>
      <w:r w:rsidRPr="00004361">
        <w:rPr>
          <w:lang w:val="en-US"/>
        </w:rPr>
        <w:t>ALLEN, J., AND BARNSLEY, R., 1993.</w:t>
      </w:r>
      <w:proofErr w:type="gramEnd"/>
      <w:r w:rsidRPr="00004361">
        <w:rPr>
          <w:lang w:val="en-US"/>
        </w:rPr>
        <w:t xml:space="preserve"> Streams and Tiers: The Interaction of Ability, Maturity and Training in System with Age-Dependent Recursive Selection. </w:t>
      </w:r>
      <w:r w:rsidRPr="004865DF">
        <w:rPr>
          <w:i/>
          <w:lang w:val="en-US"/>
        </w:rPr>
        <w:t>Journal of Human Resources</w:t>
      </w:r>
      <w:r w:rsidRPr="00004361">
        <w:rPr>
          <w:lang w:val="en-US"/>
        </w:rPr>
        <w:t>, vol. 28(3), pp. 649-659.</w:t>
      </w:r>
    </w:p>
    <w:p w:rsidR="00004361" w:rsidRPr="00004361" w:rsidRDefault="00004361" w:rsidP="00785128">
      <w:pPr>
        <w:ind w:left="426" w:hanging="426"/>
        <w:jc w:val="both"/>
        <w:rPr>
          <w:lang w:val="en-US"/>
        </w:rPr>
      </w:pPr>
      <w:proofErr w:type="gramStart"/>
      <w:r w:rsidRPr="00004361">
        <w:rPr>
          <w:lang w:val="en-US"/>
        </w:rPr>
        <w:t xml:space="preserve">ALMOND, D.; MAZUMDER, B. </w:t>
      </w:r>
      <w:r>
        <w:rPr>
          <w:lang w:val="en-US"/>
        </w:rPr>
        <w:t>2011.</w:t>
      </w:r>
      <w:proofErr w:type="gramEnd"/>
      <w:r>
        <w:rPr>
          <w:lang w:val="en-US"/>
        </w:rPr>
        <w:t xml:space="preserve"> </w:t>
      </w:r>
      <w:r w:rsidRPr="00004361">
        <w:rPr>
          <w:lang w:val="en-US"/>
        </w:rPr>
        <w:t xml:space="preserve">Health Capital and the Prenatal Environment: The Effect of Ramadan Observance </w:t>
      </w:r>
      <w:proofErr w:type="gramStart"/>
      <w:r w:rsidRPr="00004361">
        <w:rPr>
          <w:lang w:val="en-US"/>
        </w:rPr>
        <w:t>During</w:t>
      </w:r>
      <w:proofErr w:type="gramEnd"/>
      <w:r w:rsidRPr="00004361">
        <w:rPr>
          <w:lang w:val="en-US"/>
        </w:rPr>
        <w:t xml:space="preserve"> Pregnancy. </w:t>
      </w:r>
      <w:r w:rsidRPr="004865DF">
        <w:rPr>
          <w:bCs/>
          <w:i/>
          <w:lang w:val="en-US"/>
        </w:rPr>
        <w:t>American Economic Journal: Applied Economics</w:t>
      </w:r>
      <w:r w:rsidRPr="00004361">
        <w:rPr>
          <w:lang w:val="en-US"/>
        </w:rPr>
        <w:t>, v.</w:t>
      </w:r>
      <w:r>
        <w:rPr>
          <w:lang w:val="en-US"/>
        </w:rPr>
        <w:t xml:space="preserve"> 3, n. 4, p. 56–85.</w:t>
      </w:r>
    </w:p>
    <w:p w:rsidR="00FA0C5E" w:rsidRPr="00004361" w:rsidRDefault="00FA0C5E" w:rsidP="00785128">
      <w:pPr>
        <w:ind w:left="426" w:hanging="426"/>
        <w:jc w:val="both"/>
        <w:rPr>
          <w:lang w:val="en-US"/>
        </w:rPr>
      </w:pPr>
      <w:proofErr w:type="gramStart"/>
      <w:r w:rsidRPr="00004361">
        <w:rPr>
          <w:lang w:val="en-US"/>
        </w:rPr>
        <w:t>ANGRIST, J. D., AND KRUEGER, A. B., 1991.</w:t>
      </w:r>
      <w:proofErr w:type="gramEnd"/>
      <w:r w:rsidRPr="00004361">
        <w:rPr>
          <w:lang w:val="en-US"/>
        </w:rPr>
        <w:t xml:space="preserve"> Does Compulsory </w:t>
      </w:r>
      <w:proofErr w:type="spellStart"/>
      <w:r w:rsidRPr="00004361">
        <w:rPr>
          <w:lang w:val="en-US"/>
        </w:rPr>
        <w:t>Schooll</w:t>
      </w:r>
      <w:proofErr w:type="spellEnd"/>
      <w:r w:rsidRPr="00004361">
        <w:rPr>
          <w:lang w:val="en-US"/>
        </w:rPr>
        <w:t xml:space="preserve"> Attendance Affect Schooling and Earnings? </w:t>
      </w:r>
      <w:proofErr w:type="gramStart"/>
      <w:r w:rsidRPr="00004361">
        <w:rPr>
          <w:lang w:val="en-US"/>
        </w:rPr>
        <w:t>Quarterly Journal of Economics, 106, 979-1014.</w:t>
      </w:r>
      <w:proofErr w:type="gramEnd"/>
    </w:p>
    <w:p w:rsidR="00FA0C5E" w:rsidRPr="00004361" w:rsidRDefault="00FA0C5E" w:rsidP="00785128">
      <w:pPr>
        <w:ind w:left="426" w:hanging="426"/>
        <w:jc w:val="both"/>
        <w:rPr>
          <w:lang w:val="en-US"/>
        </w:rPr>
      </w:pPr>
      <w:proofErr w:type="gramStart"/>
      <w:r w:rsidRPr="00004361">
        <w:rPr>
          <w:lang w:val="en-US"/>
        </w:rPr>
        <w:t>___, 1992.</w:t>
      </w:r>
      <w:proofErr w:type="gramEnd"/>
      <w:r w:rsidRPr="00004361">
        <w:rPr>
          <w:lang w:val="en-US"/>
        </w:rPr>
        <w:t xml:space="preserve"> The Effect of Age at School Entry on Educational Attainment: An Application of Instrumental Variables with Moments from Two Samples. </w:t>
      </w:r>
      <w:proofErr w:type="gramStart"/>
      <w:r w:rsidRPr="004865DF">
        <w:rPr>
          <w:i/>
          <w:lang w:val="en-US"/>
        </w:rPr>
        <w:t>Journal of American Statistical Association</w:t>
      </w:r>
      <w:r w:rsidRPr="00004361">
        <w:rPr>
          <w:lang w:val="en-US"/>
        </w:rPr>
        <w:t>, vol. 87, No418, pp.328-336.</w:t>
      </w:r>
      <w:proofErr w:type="gramEnd"/>
    </w:p>
    <w:p w:rsidR="00FA0C5E" w:rsidRPr="00004361" w:rsidRDefault="00FA0C5E" w:rsidP="00785128">
      <w:pPr>
        <w:ind w:left="426" w:hanging="426"/>
        <w:jc w:val="both"/>
        <w:rPr>
          <w:lang w:val="en-US"/>
        </w:rPr>
      </w:pPr>
      <w:proofErr w:type="gramStart"/>
      <w:r w:rsidRPr="00004361">
        <w:rPr>
          <w:lang w:val="en-US"/>
        </w:rPr>
        <w:t>ANGRIST, J. D., AND IMBENS, G. W., 1995.</w:t>
      </w:r>
      <w:proofErr w:type="gramEnd"/>
      <w:r w:rsidRPr="00004361">
        <w:rPr>
          <w:lang w:val="en-US"/>
        </w:rPr>
        <w:t xml:space="preserve"> Two-Stage Least Squares </w:t>
      </w:r>
      <w:proofErr w:type="spellStart"/>
      <w:r w:rsidRPr="00004361">
        <w:rPr>
          <w:lang w:val="en-US"/>
        </w:rPr>
        <w:t>Stimation</w:t>
      </w:r>
      <w:proofErr w:type="spellEnd"/>
      <w:r w:rsidRPr="00004361">
        <w:rPr>
          <w:lang w:val="en-US"/>
        </w:rPr>
        <w:t xml:space="preserve"> of Average Causal Effects in Models with Variable Treatment Intensity. </w:t>
      </w:r>
      <w:r w:rsidRPr="004865DF">
        <w:rPr>
          <w:i/>
          <w:lang w:val="en-US"/>
        </w:rPr>
        <w:t>Journal of the American Statistical Association</w:t>
      </w:r>
      <w:r w:rsidRPr="00004361">
        <w:rPr>
          <w:lang w:val="en-US"/>
        </w:rPr>
        <w:t>, vol. 90, No. 430, pp. 431-442.</w:t>
      </w:r>
    </w:p>
    <w:p w:rsidR="00FA0C5E" w:rsidRPr="00004361" w:rsidRDefault="00FA0C5E" w:rsidP="00785128">
      <w:pPr>
        <w:ind w:left="426" w:hanging="426"/>
        <w:jc w:val="both"/>
        <w:rPr>
          <w:lang w:val="en-US"/>
        </w:rPr>
      </w:pPr>
      <w:r w:rsidRPr="00004361">
        <w:rPr>
          <w:lang w:val="en-US"/>
        </w:rPr>
        <w:t xml:space="preserve">BADEV, A., 2014. Discrete games in endogenous networks: theory and policy. </w:t>
      </w:r>
      <w:r w:rsidRPr="00004361">
        <w:rPr>
          <w:lang w:val="pt-BR"/>
        </w:rPr>
        <w:t>Disponível em: &lt;</w:t>
      </w:r>
      <w:r w:rsidR="00D67803">
        <w:fldChar w:fldCharType="begin"/>
      </w:r>
      <w:r w:rsidR="00D67803" w:rsidRPr="00985197">
        <w:rPr>
          <w:lang w:val="pt-BR"/>
        </w:rPr>
        <w:instrText>HYPERLINK "http://www.antonbadev.com/papers/discr_games_endog_networks.pdf"</w:instrText>
      </w:r>
      <w:r w:rsidR="00D67803">
        <w:fldChar w:fldCharType="separate"/>
      </w:r>
      <w:r w:rsidRPr="00004361">
        <w:rPr>
          <w:lang w:val="pt-BR"/>
        </w:rPr>
        <w:t>http://www.antonbadev.com/papers/discr_games_endog_networks.pdf</w:t>
      </w:r>
      <w:r w:rsidR="00D67803">
        <w:fldChar w:fldCharType="end"/>
      </w:r>
      <w:r w:rsidRPr="00004361">
        <w:rPr>
          <w:lang w:val="pt-BR"/>
        </w:rPr>
        <w:t xml:space="preserve">&gt;. </w:t>
      </w:r>
      <w:proofErr w:type="spellStart"/>
      <w:r w:rsidRPr="00004361">
        <w:rPr>
          <w:lang w:val="en-US"/>
        </w:rPr>
        <w:t>Acesso</w:t>
      </w:r>
      <w:proofErr w:type="spellEnd"/>
      <w:r w:rsidRPr="00004361">
        <w:rPr>
          <w:lang w:val="en-US"/>
        </w:rPr>
        <w:t xml:space="preserve"> </w:t>
      </w:r>
      <w:proofErr w:type="spellStart"/>
      <w:r w:rsidRPr="00004361">
        <w:rPr>
          <w:lang w:val="en-US"/>
        </w:rPr>
        <w:t>em</w:t>
      </w:r>
      <w:proofErr w:type="spellEnd"/>
      <w:r w:rsidRPr="00004361">
        <w:rPr>
          <w:lang w:val="en-US"/>
        </w:rPr>
        <w:t xml:space="preserve">: 4 </w:t>
      </w:r>
      <w:proofErr w:type="spellStart"/>
      <w:proofErr w:type="gramStart"/>
      <w:r w:rsidRPr="00004361">
        <w:rPr>
          <w:lang w:val="en-US"/>
        </w:rPr>
        <w:t>jul</w:t>
      </w:r>
      <w:proofErr w:type="spellEnd"/>
      <w:proofErr w:type="gramEnd"/>
      <w:r w:rsidRPr="00004361">
        <w:rPr>
          <w:lang w:val="en-US"/>
        </w:rPr>
        <w:t>. 2014.</w:t>
      </w:r>
    </w:p>
    <w:p w:rsidR="00FA0C5E" w:rsidRPr="00004361" w:rsidRDefault="00FA0C5E" w:rsidP="00785128">
      <w:pPr>
        <w:ind w:left="426" w:hanging="426"/>
        <w:jc w:val="both"/>
        <w:rPr>
          <w:lang w:val="en-US"/>
        </w:rPr>
      </w:pPr>
      <w:proofErr w:type="gramStart"/>
      <w:r w:rsidRPr="00004361">
        <w:rPr>
          <w:lang w:val="en-US"/>
        </w:rPr>
        <w:t>BALLESTER, C., CALVÓ-ARMENGOL, A. AND ZENOU, Y.</w:t>
      </w:r>
      <w:proofErr w:type="gramEnd"/>
      <w:r w:rsidRPr="00004361">
        <w:rPr>
          <w:lang w:val="en-US"/>
        </w:rPr>
        <w:t xml:space="preserve"> Who’s who in </w:t>
      </w:r>
      <w:proofErr w:type="gramStart"/>
      <w:r w:rsidRPr="00004361">
        <w:rPr>
          <w:lang w:val="en-US"/>
        </w:rPr>
        <w:t>networks.</w:t>
      </w:r>
      <w:proofErr w:type="gramEnd"/>
      <w:r w:rsidRPr="00004361">
        <w:rPr>
          <w:lang w:val="en-US"/>
        </w:rPr>
        <w:t xml:space="preserve"> </w:t>
      </w:r>
      <w:proofErr w:type="gramStart"/>
      <w:r w:rsidRPr="00004361">
        <w:rPr>
          <w:lang w:val="en-US"/>
        </w:rPr>
        <w:t>wanted</w:t>
      </w:r>
      <w:proofErr w:type="gramEnd"/>
      <w:r w:rsidRPr="00004361">
        <w:rPr>
          <w:lang w:val="en-US"/>
        </w:rPr>
        <w:t xml:space="preserve">: the key player. </w:t>
      </w:r>
      <w:proofErr w:type="spellStart"/>
      <w:r w:rsidRPr="004865DF">
        <w:rPr>
          <w:i/>
          <w:lang w:val="en-US"/>
        </w:rPr>
        <w:t>Econometrica</w:t>
      </w:r>
      <w:proofErr w:type="spellEnd"/>
      <w:r w:rsidRPr="00004361">
        <w:rPr>
          <w:lang w:val="en-US"/>
        </w:rPr>
        <w:t>, v. 74(5), p. 1403–1417, September, 2006.</w:t>
      </w:r>
    </w:p>
    <w:p w:rsidR="00FA0C5E" w:rsidRDefault="00FA0C5E" w:rsidP="00785128">
      <w:pPr>
        <w:ind w:left="426" w:hanging="426"/>
        <w:jc w:val="both"/>
        <w:rPr>
          <w:lang w:val="en-US"/>
        </w:rPr>
      </w:pPr>
      <w:proofErr w:type="gramStart"/>
      <w:r w:rsidRPr="00004361">
        <w:rPr>
          <w:lang w:val="en-US"/>
        </w:rPr>
        <w:t>BARNSLEY, R. H., THOMPSON, A. H., AND BARNSLEY, P. E., 1985.</w:t>
      </w:r>
      <w:proofErr w:type="gramEnd"/>
      <w:r w:rsidRPr="00004361">
        <w:rPr>
          <w:lang w:val="en-US"/>
        </w:rPr>
        <w:t xml:space="preserve"> Hockey Success and Birth Date: The Relative Age Effect. </w:t>
      </w:r>
      <w:r w:rsidRPr="004865DF">
        <w:rPr>
          <w:i/>
          <w:lang w:val="en-US"/>
        </w:rPr>
        <w:t>Canadian Association for Health, Physical Education, and Recreation Journal</w:t>
      </w:r>
      <w:r w:rsidRPr="00004361">
        <w:rPr>
          <w:lang w:val="en-US"/>
        </w:rPr>
        <w:t>, vol. 51, pp.23-28.</w:t>
      </w:r>
    </w:p>
    <w:p w:rsidR="003F0B66" w:rsidRPr="00004361" w:rsidRDefault="003F0B66" w:rsidP="00785128">
      <w:pPr>
        <w:ind w:left="426" w:hanging="426"/>
        <w:jc w:val="both"/>
        <w:rPr>
          <w:lang w:val="en-US"/>
        </w:rPr>
      </w:pPr>
      <w:r w:rsidRPr="003F0B66">
        <w:rPr>
          <w:lang w:val="en-US"/>
        </w:rPr>
        <w:t xml:space="preserve">BARRECA, A. I. </w:t>
      </w:r>
      <w:r>
        <w:rPr>
          <w:lang w:val="en-US"/>
        </w:rPr>
        <w:t xml:space="preserve">2010. </w:t>
      </w:r>
      <w:proofErr w:type="gramStart"/>
      <w:r w:rsidRPr="003F0B66">
        <w:rPr>
          <w:lang w:val="en-US"/>
        </w:rPr>
        <w:t xml:space="preserve">The Long-Term Economic Impact of In </w:t>
      </w:r>
      <w:proofErr w:type="spellStart"/>
      <w:r w:rsidRPr="003F0B66">
        <w:rPr>
          <w:lang w:val="en-US"/>
        </w:rPr>
        <w:t>Utero</w:t>
      </w:r>
      <w:proofErr w:type="spellEnd"/>
      <w:r w:rsidRPr="003F0B66">
        <w:rPr>
          <w:lang w:val="en-US"/>
        </w:rPr>
        <w:t xml:space="preserve"> and Postnatal Exposure to Malaria.</w:t>
      </w:r>
      <w:proofErr w:type="gramEnd"/>
      <w:r w:rsidRPr="003F0B66">
        <w:rPr>
          <w:lang w:val="en-US"/>
        </w:rPr>
        <w:t xml:space="preserve"> </w:t>
      </w:r>
      <w:r w:rsidRPr="004865DF">
        <w:rPr>
          <w:bCs/>
          <w:i/>
          <w:lang w:val="en-US"/>
        </w:rPr>
        <w:t>Journal of Human Resources</w:t>
      </w:r>
      <w:r w:rsidRPr="003F0B66">
        <w:rPr>
          <w:lang w:val="en-US"/>
        </w:rPr>
        <w:t xml:space="preserve">, v. </w:t>
      </w:r>
      <w:proofErr w:type="gramStart"/>
      <w:r w:rsidRPr="003F0B66">
        <w:rPr>
          <w:lang w:val="en-US"/>
        </w:rPr>
        <w:t>45 ,</w:t>
      </w:r>
      <w:proofErr w:type="gramEnd"/>
      <w:r w:rsidRPr="003F0B66">
        <w:rPr>
          <w:lang w:val="en-US"/>
        </w:rPr>
        <w:t xml:space="preserve"> n. 4 , p. 865–892.</w:t>
      </w:r>
    </w:p>
    <w:p w:rsidR="00FA0C5E" w:rsidRDefault="00FA0C5E" w:rsidP="00785128">
      <w:pPr>
        <w:ind w:left="426" w:hanging="426"/>
        <w:jc w:val="both"/>
        <w:rPr>
          <w:lang w:val="en-US"/>
        </w:rPr>
      </w:pPr>
      <w:proofErr w:type="gramStart"/>
      <w:r w:rsidRPr="00004361">
        <w:rPr>
          <w:lang w:val="en-US"/>
        </w:rPr>
        <w:t>BRAMOULLÉ, Y., DJEBBARI, H. AND FORTIN, B., 2009.</w:t>
      </w:r>
      <w:proofErr w:type="gramEnd"/>
      <w:r w:rsidRPr="00004361">
        <w:rPr>
          <w:lang w:val="en-US"/>
        </w:rPr>
        <w:t xml:space="preserve"> </w:t>
      </w:r>
      <w:proofErr w:type="gramStart"/>
      <w:r w:rsidRPr="00004361">
        <w:rPr>
          <w:lang w:val="en-US"/>
        </w:rPr>
        <w:t>Identification of peer effects through social networks.</w:t>
      </w:r>
      <w:proofErr w:type="gramEnd"/>
      <w:r w:rsidRPr="00004361">
        <w:rPr>
          <w:lang w:val="en-US"/>
        </w:rPr>
        <w:t xml:space="preserve"> </w:t>
      </w:r>
      <w:r w:rsidRPr="004865DF">
        <w:rPr>
          <w:i/>
          <w:lang w:val="en-US"/>
        </w:rPr>
        <w:t>Journal of Econometrics</w:t>
      </w:r>
      <w:r w:rsidRPr="00004361">
        <w:rPr>
          <w:lang w:val="en-US"/>
        </w:rPr>
        <w:t>, v. 150, p. 41-55.</w:t>
      </w:r>
    </w:p>
    <w:p w:rsidR="008846E7" w:rsidRPr="007F01CC" w:rsidRDefault="008846E7" w:rsidP="008846E7">
      <w:pPr>
        <w:ind w:left="426" w:hanging="426"/>
        <w:jc w:val="both"/>
        <w:rPr>
          <w:bCs/>
          <w:lang w:val="pt-BR"/>
        </w:rPr>
      </w:pPr>
      <w:r w:rsidRPr="008846E7">
        <w:rPr>
          <w:bCs/>
          <w:lang w:val="pt-BR"/>
        </w:rPr>
        <w:t>BRASIL. Ministério da Educação. Resolução CNE/CEB n. 6, de 20 out. 2010.</w:t>
      </w:r>
      <w:r w:rsidRPr="008846E7">
        <w:rPr>
          <w:b/>
          <w:bCs/>
          <w:lang w:val="pt-BR"/>
        </w:rPr>
        <w:t xml:space="preserve"> </w:t>
      </w:r>
      <w:r w:rsidRPr="008846E7">
        <w:rPr>
          <w:bCs/>
          <w:lang w:val="pt-BR"/>
        </w:rPr>
        <w:t xml:space="preserve"> Define Diretrizes Operacionais para a matrícula no Ensino Fundamental e na Educação Infantil.</w:t>
      </w:r>
      <w:r w:rsidRPr="008846E7">
        <w:rPr>
          <w:bCs/>
          <w:i/>
          <w:lang w:val="pt-BR"/>
        </w:rPr>
        <w:t xml:space="preserve"> Diário Oficial da União,</w:t>
      </w:r>
      <w:r w:rsidRPr="008846E7">
        <w:rPr>
          <w:bCs/>
          <w:lang w:val="pt-BR"/>
        </w:rPr>
        <w:t xml:space="preserve"> Brasília, 21 out. 2010, Seção 1, p. 17. Disponível em: &lt;</w:t>
      </w:r>
      <w:proofErr w:type="gramStart"/>
      <w:r w:rsidRPr="00E57C74">
        <w:rPr>
          <w:bCs/>
          <w:lang w:val="pt-BR"/>
        </w:rPr>
        <w:t>http://portal.mec.gov.br/index.</w:t>
      </w:r>
      <w:proofErr w:type="gramEnd"/>
      <w:r w:rsidRPr="00E57C74">
        <w:rPr>
          <w:bCs/>
          <w:lang w:val="pt-BR"/>
        </w:rPr>
        <w:t>php?</w:t>
      </w:r>
      <w:proofErr w:type="gramStart"/>
      <w:r w:rsidRPr="00E57C74">
        <w:rPr>
          <w:bCs/>
          <w:lang w:val="pt-BR"/>
        </w:rPr>
        <w:t>option</w:t>
      </w:r>
      <w:proofErr w:type="gramEnd"/>
      <w:r w:rsidRPr="00E57C74">
        <w:rPr>
          <w:bCs/>
          <w:lang w:val="pt-BR"/>
        </w:rPr>
        <w:t>=com_content&amp;id=14906&amp;Itemid=866</w:t>
      </w:r>
      <w:r w:rsidRPr="008846E7">
        <w:rPr>
          <w:lang w:val="pt-BR"/>
        </w:rPr>
        <w:t>&gt;</w:t>
      </w:r>
      <w:r w:rsidRPr="008846E7">
        <w:rPr>
          <w:bCs/>
          <w:lang w:val="pt-BR"/>
        </w:rPr>
        <w:t xml:space="preserve">. </w:t>
      </w:r>
      <w:r w:rsidRPr="007F01CC">
        <w:rPr>
          <w:bCs/>
          <w:lang w:val="pt-BR"/>
        </w:rPr>
        <w:t>Acesso em: 21 jan. 2015.</w:t>
      </w:r>
    </w:p>
    <w:p w:rsidR="007F01CC" w:rsidRPr="007F01CC" w:rsidRDefault="007F01CC" w:rsidP="007F01CC">
      <w:pPr>
        <w:ind w:left="426" w:hanging="426"/>
        <w:jc w:val="both"/>
        <w:rPr>
          <w:bCs/>
          <w:lang w:val="pt-BR"/>
        </w:rPr>
      </w:pPr>
      <w:r w:rsidRPr="008846E7">
        <w:rPr>
          <w:bCs/>
          <w:lang w:val="pt-BR"/>
        </w:rPr>
        <w:t>BRASIL. Ministério da Educação. Resoluç</w:t>
      </w:r>
      <w:r w:rsidR="00DB2B2C">
        <w:rPr>
          <w:bCs/>
          <w:lang w:val="pt-BR"/>
        </w:rPr>
        <w:t>ão CNE/CEB n. 4</w:t>
      </w:r>
      <w:r>
        <w:rPr>
          <w:bCs/>
          <w:lang w:val="pt-BR"/>
        </w:rPr>
        <w:t xml:space="preserve">, de 20 </w:t>
      </w:r>
      <w:r w:rsidR="00DB2B2C">
        <w:rPr>
          <w:bCs/>
          <w:lang w:val="pt-BR"/>
        </w:rPr>
        <w:t>fev</w:t>
      </w:r>
      <w:r>
        <w:rPr>
          <w:bCs/>
          <w:lang w:val="pt-BR"/>
        </w:rPr>
        <w:t>. 2008</w:t>
      </w:r>
      <w:r w:rsidRPr="008846E7">
        <w:rPr>
          <w:bCs/>
          <w:lang w:val="pt-BR"/>
        </w:rPr>
        <w:t>.</w:t>
      </w:r>
      <w:r w:rsidRPr="008846E7">
        <w:rPr>
          <w:b/>
          <w:bCs/>
          <w:lang w:val="pt-BR"/>
        </w:rPr>
        <w:t xml:space="preserve"> </w:t>
      </w:r>
      <w:r w:rsidRPr="008846E7">
        <w:rPr>
          <w:bCs/>
          <w:lang w:val="pt-BR"/>
        </w:rPr>
        <w:t xml:space="preserve"> Define </w:t>
      </w:r>
      <w:r w:rsidRPr="007F01CC">
        <w:rPr>
          <w:lang w:val="pt-BR"/>
        </w:rPr>
        <w:t xml:space="preserve">Orientação </w:t>
      </w:r>
      <w:r>
        <w:rPr>
          <w:lang w:val="pt-BR"/>
        </w:rPr>
        <w:t>sobre Os Três Anos Iniciais d</w:t>
      </w:r>
      <w:r w:rsidRPr="007F01CC">
        <w:rPr>
          <w:lang w:val="pt-BR"/>
        </w:rPr>
        <w:t xml:space="preserve">o Ensino Fundamental </w:t>
      </w:r>
      <w:r>
        <w:rPr>
          <w:lang w:val="pt-BR"/>
        </w:rPr>
        <w:t>d</w:t>
      </w:r>
      <w:r w:rsidRPr="007F01CC">
        <w:rPr>
          <w:lang w:val="pt-BR"/>
        </w:rPr>
        <w:t>e Nove Ano</w:t>
      </w:r>
      <w:r>
        <w:rPr>
          <w:lang w:val="pt-BR"/>
        </w:rPr>
        <w:t>s</w:t>
      </w:r>
      <w:r w:rsidRPr="008846E7">
        <w:rPr>
          <w:bCs/>
          <w:lang w:val="pt-BR"/>
        </w:rPr>
        <w:t>.</w:t>
      </w:r>
      <w:r w:rsidRPr="008846E7">
        <w:rPr>
          <w:bCs/>
          <w:i/>
          <w:lang w:val="pt-BR"/>
        </w:rPr>
        <w:t xml:space="preserve"> Diário Oficial da União,</w:t>
      </w:r>
      <w:r w:rsidRPr="008846E7">
        <w:rPr>
          <w:bCs/>
          <w:lang w:val="pt-BR"/>
        </w:rPr>
        <w:t xml:space="preserve"> Brasília, </w:t>
      </w:r>
      <w:r>
        <w:rPr>
          <w:bCs/>
          <w:lang w:val="pt-BR"/>
        </w:rPr>
        <w:t>10 Jun</w:t>
      </w:r>
      <w:r w:rsidRPr="008846E7">
        <w:rPr>
          <w:bCs/>
          <w:lang w:val="pt-BR"/>
        </w:rPr>
        <w:t>.</w:t>
      </w:r>
      <w:r>
        <w:rPr>
          <w:bCs/>
          <w:lang w:val="pt-BR"/>
        </w:rPr>
        <w:t xml:space="preserve"> 2008</w:t>
      </w:r>
      <w:r w:rsidRPr="008846E7">
        <w:rPr>
          <w:bCs/>
          <w:lang w:val="pt-BR"/>
        </w:rPr>
        <w:t>, Disponível em: &lt;</w:t>
      </w:r>
      <w:r w:rsidRPr="007F01CC">
        <w:rPr>
          <w:lang w:val="pt-BR"/>
        </w:rPr>
        <w:t xml:space="preserve"> http://portal.mec.gov.br/cne/arquivos/pdf/2008/pceb004_08.pdf</w:t>
      </w:r>
      <w:r w:rsidRPr="008846E7">
        <w:rPr>
          <w:lang w:val="pt-BR"/>
        </w:rPr>
        <w:t>&gt;</w:t>
      </w:r>
      <w:r w:rsidRPr="008846E7">
        <w:rPr>
          <w:bCs/>
          <w:lang w:val="pt-BR"/>
        </w:rPr>
        <w:t xml:space="preserve">. </w:t>
      </w:r>
      <w:r w:rsidRPr="007F01CC">
        <w:rPr>
          <w:bCs/>
          <w:lang w:val="pt-BR"/>
        </w:rPr>
        <w:t>Acesso em: 2</w:t>
      </w:r>
      <w:r>
        <w:rPr>
          <w:bCs/>
          <w:lang w:val="pt-BR"/>
        </w:rPr>
        <w:t>0</w:t>
      </w:r>
      <w:r w:rsidRPr="007F01CC">
        <w:rPr>
          <w:bCs/>
          <w:lang w:val="pt-BR"/>
        </w:rPr>
        <w:t xml:space="preserve"> j</w:t>
      </w:r>
      <w:r>
        <w:rPr>
          <w:bCs/>
          <w:lang w:val="pt-BR"/>
        </w:rPr>
        <w:t>u</w:t>
      </w:r>
      <w:r w:rsidRPr="007F01CC">
        <w:rPr>
          <w:bCs/>
          <w:lang w:val="pt-BR"/>
        </w:rPr>
        <w:t>n. 201</w:t>
      </w:r>
      <w:r>
        <w:rPr>
          <w:bCs/>
          <w:lang w:val="pt-BR"/>
        </w:rPr>
        <w:t>6</w:t>
      </w:r>
      <w:r w:rsidRPr="007F01CC">
        <w:rPr>
          <w:bCs/>
          <w:lang w:val="pt-BR"/>
        </w:rPr>
        <w:t>.</w:t>
      </w:r>
    </w:p>
    <w:p w:rsidR="00FA0C5E" w:rsidRPr="00004361" w:rsidRDefault="00FA0C5E" w:rsidP="00785128">
      <w:pPr>
        <w:ind w:left="426" w:hanging="426"/>
        <w:jc w:val="both"/>
        <w:rPr>
          <w:lang w:val="en-US"/>
        </w:rPr>
      </w:pPr>
      <w:r w:rsidRPr="00004361">
        <w:rPr>
          <w:lang w:val="pt-BR"/>
        </w:rPr>
        <w:t>CALVÓ-ARMENGOL, A., PATACCHINI, E. AND ZENOU, Y</w:t>
      </w:r>
      <w:proofErr w:type="gramStart"/>
      <w:r w:rsidRPr="00004361">
        <w:rPr>
          <w:lang w:val="pt-BR"/>
        </w:rPr>
        <w:t>.,</w:t>
      </w:r>
      <w:proofErr w:type="gramEnd"/>
      <w:r w:rsidRPr="00004361">
        <w:rPr>
          <w:lang w:val="pt-BR"/>
        </w:rPr>
        <w:t xml:space="preserve"> 2009. </w:t>
      </w:r>
      <w:r w:rsidRPr="00004361">
        <w:rPr>
          <w:lang w:val="en-US"/>
        </w:rPr>
        <w:t xml:space="preserve">Peer effects and social networks in education. </w:t>
      </w:r>
      <w:r w:rsidRPr="004865DF">
        <w:rPr>
          <w:i/>
          <w:lang w:val="en-US"/>
        </w:rPr>
        <w:t>The Review of Economic Studies</w:t>
      </w:r>
      <w:r w:rsidRPr="00004361">
        <w:rPr>
          <w:lang w:val="en-US"/>
        </w:rPr>
        <w:t>, v. 76(4), p. 1239-1267.</w:t>
      </w:r>
    </w:p>
    <w:p w:rsidR="00FA0C5E" w:rsidRPr="00004361" w:rsidRDefault="00FA0C5E" w:rsidP="00785128">
      <w:pPr>
        <w:ind w:left="426" w:hanging="426"/>
        <w:jc w:val="both"/>
        <w:rPr>
          <w:lang w:val="pt-BR"/>
        </w:rPr>
      </w:pPr>
      <w:proofErr w:type="gramStart"/>
      <w:r w:rsidRPr="00004361">
        <w:rPr>
          <w:lang w:val="en-US"/>
        </w:rPr>
        <w:t>CASE, A. C., AND KATZ, L. F., 1991.</w:t>
      </w:r>
      <w:proofErr w:type="gramEnd"/>
      <w:r w:rsidRPr="00004361">
        <w:rPr>
          <w:lang w:val="en-US"/>
        </w:rPr>
        <w:t xml:space="preserve"> The company you keep: the effects of family and neighborhood on disadvantaged youths. </w:t>
      </w:r>
      <w:r w:rsidRPr="004865DF">
        <w:rPr>
          <w:i/>
          <w:lang w:val="pt-BR"/>
        </w:rPr>
        <w:t xml:space="preserve">NBER </w:t>
      </w:r>
      <w:proofErr w:type="spellStart"/>
      <w:r w:rsidRPr="004865DF">
        <w:rPr>
          <w:i/>
          <w:lang w:val="pt-BR"/>
        </w:rPr>
        <w:t>Working</w:t>
      </w:r>
      <w:proofErr w:type="spellEnd"/>
      <w:r w:rsidRPr="004865DF">
        <w:rPr>
          <w:i/>
          <w:lang w:val="pt-BR"/>
        </w:rPr>
        <w:t xml:space="preserve"> </w:t>
      </w:r>
      <w:proofErr w:type="spellStart"/>
      <w:r w:rsidRPr="004865DF">
        <w:rPr>
          <w:i/>
          <w:lang w:val="pt-BR"/>
        </w:rPr>
        <w:t>Paper</w:t>
      </w:r>
      <w:proofErr w:type="spellEnd"/>
      <w:r w:rsidRPr="00004361">
        <w:rPr>
          <w:lang w:val="pt-BR"/>
        </w:rPr>
        <w:t xml:space="preserve"> 3705.</w:t>
      </w:r>
    </w:p>
    <w:p w:rsidR="00FA0C5E" w:rsidRPr="00004361" w:rsidRDefault="00FA0C5E" w:rsidP="00785128">
      <w:pPr>
        <w:ind w:left="426" w:hanging="426"/>
        <w:jc w:val="both"/>
        <w:rPr>
          <w:lang w:val="en-US"/>
        </w:rPr>
      </w:pPr>
      <w:r w:rsidRPr="00004361">
        <w:rPr>
          <w:lang w:val="en-US"/>
        </w:rPr>
        <w:t xml:space="preserve">CUMMINGS, D. R., 2009. Changes in European birth seasonality related to changes in regional sunshine. </w:t>
      </w:r>
      <w:r w:rsidRPr="004865DF">
        <w:rPr>
          <w:i/>
          <w:lang w:val="en-US"/>
        </w:rPr>
        <w:t>Biological Rhythm Research</w:t>
      </w:r>
      <w:r w:rsidRPr="00004361">
        <w:rPr>
          <w:lang w:val="en-US"/>
        </w:rPr>
        <w:t xml:space="preserve">, </w:t>
      </w:r>
      <w:hyperlink r:id="rId11" w:anchor="vol_40" w:history="1">
        <w:r w:rsidRPr="00004361">
          <w:rPr>
            <w:lang w:val="en-US"/>
          </w:rPr>
          <w:t>40</w:t>
        </w:r>
      </w:hyperlink>
      <w:proofErr w:type="gramStart"/>
      <w:r w:rsidRPr="00004361">
        <w:rPr>
          <w:lang w:val="en-US"/>
        </w:rPr>
        <w:t>,153</w:t>
      </w:r>
      <w:proofErr w:type="gramEnd"/>
      <w:r w:rsidRPr="00004361">
        <w:rPr>
          <w:lang w:val="en-US"/>
        </w:rPr>
        <w:t>-168.</w:t>
      </w:r>
    </w:p>
    <w:p w:rsidR="00FA0C5E" w:rsidRPr="00004361" w:rsidRDefault="00FA0C5E" w:rsidP="00785128">
      <w:pPr>
        <w:ind w:left="426" w:hanging="426"/>
        <w:jc w:val="both"/>
        <w:rPr>
          <w:lang w:val="en-US"/>
        </w:rPr>
      </w:pPr>
      <w:proofErr w:type="gramStart"/>
      <w:r w:rsidRPr="00004361">
        <w:rPr>
          <w:lang w:val="en-US"/>
        </w:rPr>
        <w:lastRenderedPageBreak/>
        <w:t>__________., 2012.</w:t>
      </w:r>
      <w:proofErr w:type="gramEnd"/>
      <w:r w:rsidRPr="00004361">
        <w:rPr>
          <w:lang w:val="en-US"/>
        </w:rPr>
        <w:t xml:space="preserve"> </w:t>
      </w:r>
      <w:proofErr w:type="gramStart"/>
      <w:r w:rsidRPr="00004361">
        <w:rPr>
          <w:lang w:val="en-US"/>
        </w:rPr>
        <w:t>Canadian birth seasonality and its possible association with seasonal brightness.</w:t>
      </w:r>
      <w:proofErr w:type="gramEnd"/>
      <w:r w:rsidRPr="00004361">
        <w:rPr>
          <w:lang w:val="en-US"/>
        </w:rPr>
        <w:t xml:space="preserve"> </w:t>
      </w:r>
      <w:r w:rsidRPr="004865DF">
        <w:rPr>
          <w:i/>
          <w:lang w:val="en-US"/>
        </w:rPr>
        <w:t>Canadian Studies in Population</w:t>
      </w:r>
      <w:r w:rsidRPr="00004361">
        <w:rPr>
          <w:lang w:val="en-US"/>
        </w:rPr>
        <w:t>, 39, 45–62.</w:t>
      </w:r>
    </w:p>
    <w:p w:rsidR="00FA0C5E" w:rsidRPr="00004361" w:rsidRDefault="00FA0C5E" w:rsidP="00785128">
      <w:pPr>
        <w:ind w:left="426" w:hanging="426"/>
        <w:jc w:val="both"/>
        <w:rPr>
          <w:lang w:val="en-US"/>
        </w:rPr>
      </w:pPr>
      <w:proofErr w:type="gramStart"/>
      <w:r w:rsidRPr="00004361">
        <w:rPr>
          <w:lang w:val="en-US"/>
        </w:rPr>
        <w:t>__________., 2014.</w:t>
      </w:r>
      <w:proofErr w:type="gramEnd"/>
      <w:r w:rsidRPr="00004361">
        <w:rPr>
          <w:lang w:val="en-US"/>
        </w:rPr>
        <w:t xml:space="preserve"> Seasonality Updated in 28 European/ Mediterranean Countries: A Continuing Enigma. </w:t>
      </w:r>
      <w:r w:rsidRPr="004865DF">
        <w:rPr>
          <w:i/>
          <w:lang w:val="en-US"/>
        </w:rPr>
        <w:t>America Journal of Human Biology</w:t>
      </w:r>
      <w:r w:rsidRPr="00004361">
        <w:rPr>
          <w:lang w:val="en-US"/>
        </w:rPr>
        <w:t>, v. 26, 424–426.</w:t>
      </w:r>
    </w:p>
    <w:p w:rsidR="00FA0C5E" w:rsidRPr="00004361" w:rsidRDefault="00FA0C5E" w:rsidP="00785128">
      <w:pPr>
        <w:ind w:left="426" w:hanging="426"/>
        <w:jc w:val="both"/>
        <w:rPr>
          <w:lang w:val="en-US"/>
        </w:rPr>
      </w:pPr>
      <w:proofErr w:type="gramStart"/>
      <w:r w:rsidRPr="00004361">
        <w:rPr>
          <w:lang w:val="en-US"/>
        </w:rPr>
        <w:t>DING, W AND LEHRER, S. F., 2007.</w:t>
      </w:r>
      <w:proofErr w:type="gramEnd"/>
      <w:r w:rsidRPr="00004361">
        <w:rPr>
          <w:lang w:val="en-US"/>
        </w:rPr>
        <w:t xml:space="preserve"> Do peers affect student achievement in china's secondary schools? </w:t>
      </w:r>
      <w:r w:rsidRPr="004865DF">
        <w:rPr>
          <w:i/>
          <w:lang w:val="en-US"/>
        </w:rPr>
        <w:t>The Review of Economics and Statistics</w:t>
      </w:r>
      <w:r w:rsidRPr="00004361">
        <w:rPr>
          <w:lang w:val="en-US"/>
        </w:rPr>
        <w:t>, v. 89(2), p. 300-312.</w:t>
      </w:r>
    </w:p>
    <w:p w:rsidR="00FA0C5E" w:rsidRPr="00004361" w:rsidRDefault="00FA0C5E" w:rsidP="00785128">
      <w:pPr>
        <w:ind w:left="426" w:hanging="426"/>
        <w:jc w:val="both"/>
        <w:rPr>
          <w:lang w:val="en-US"/>
        </w:rPr>
      </w:pPr>
      <w:proofErr w:type="gramStart"/>
      <w:r w:rsidRPr="00004361">
        <w:rPr>
          <w:lang w:val="en-US"/>
        </w:rPr>
        <w:t>DOBLHAMMER, G., RODGERS, J. L., AND RAU, R., 1999.</w:t>
      </w:r>
      <w:proofErr w:type="gramEnd"/>
      <w:r w:rsidRPr="00004361">
        <w:rPr>
          <w:lang w:val="en-US"/>
        </w:rPr>
        <w:t xml:space="preserve"> Seasonality of Birth in Nineteenth and Twentieth Century Austria: Steps </w:t>
      </w:r>
      <w:proofErr w:type="gramStart"/>
      <w:r w:rsidRPr="00004361">
        <w:rPr>
          <w:lang w:val="en-US"/>
        </w:rPr>
        <w:t>Toward</w:t>
      </w:r>
      <w:proofErr w:type="gramEnd"/>
      <w:r w:rsidRPr="00004361">
        <w:rPr>
          <w:lang w:val="en-US"/>
        </w:rPr>
        <w:t xml:space="preserve"> a Unified Theory of Human Reproductive Seasonality. Germany: Max Planck Institute for Demographic Research, </w:t>
      </w:r>
      <w:r w:rsidRPr="004865DF">
        <w:rPr>
          <w:i/>
          <w:lang w:val="en-US"/>
        </w:rPr>
        <w:t>MPIDIR Working Paper</w:t>
      </w:r>
      <w:r w:rsidRPr="00004361">
        <w:rPr>
          <w:lang w:val="en-US"/>
        </w:rPr>
        <w:t xml:space="preserve"> WP 1999-013.</w:t>
      </w:r>
    </w:p>
    <w:p w:rsidR="00FA0C5E" w:rsidRPr="00004361" w:rsidRDefault="00FA0C5E" w:rsidP="00785128">
      <w:pPr>
        <w:ind w:left="426" w:hanging="426"/>
        <w:jc w:val="both"/>
        <w:rPr>
          <w:lang w:val="en-US"/>
        </w:rPr>
      </w:pPr>
      <w:proofErr w:type="gramStart"/>
      <w:r w:rsidRPr="00004361">
        <w:rPr>
          <w:lang w:val="en-US"/>
        </w:rPr>
        <w:t>DUFLO, E.; DUPAS, P. AND KREMER, M., 2008.</w:t>
      </w:r>
      <w:proofErr w:type="gramEnd"/>
      <w:r w:rsidRPr="00004361">
        <w:rPr>
          <w:lang w:val="en-US"/>
        </w:rPr>
        <w:t xml:space="preserve"> Peer effects, teacher incentives, and the impact of tracking: evidence from a randomized evaluation in Kenya. </w:t>
      </w:r>
      <w:proofErr w:type="gramStart"/>
      <w:r w:rsidRPr="004865DF">
        <w:rPr>
          <w:i/>
          <w:lang w:val="en-US"/>
        </w:rPr>
        <w:t>NBER Working Paper</w:t>
      </w:r>
      <w:r w:rsidRPr="00004361">
        <w:rPr>
          <w:lang w:val="en-US"/>
        </w:rPr>
        <w:t xml:space="preserve"> 14475.</w:t>
      </w:r>
      <w:proofErr w:type="gramEnd"/>
    </w:p>
    <w:p w:rsidR="00FA0C5E" w:rsidRPr="00004361" w:rsidRDefault="00FA0C5E" w:rsidP="00785128">
      <w:pPr>
        <w:ind w:left="426" w:hanging="426"/>
        <w:jc w:val="both"/>
        <w:rPr>
          <w:lang w:val="en-US"/>
        </w:rPr>
      </w:pPr>
      <w:proofErr w:type="gramStart"/>
      <w:r w:rsidRPr="00004361">
        <w:rPr>
          <w:lang w:val="en-US"/>
        </w:rPr>
        <w:t>EISENKOPF, G., HESSAMI, Z., FISCHBACHER, U., AND HEINRICH, U., 2011.</w:t>
      </w:r>
      <w:proofErr w:type="gramEnd"/>
      <w:r w:rsidRPr="00004361">
        <w:rPr>
          <w:lang w:val="en-US"/>
        </w:rPr>
        <w:t xml:space="preserve"> Academic performance and single-sex schooling: evidence from a natural experiment in Switzerland. </w:t>
      </w:r>
      <w:proofErr w:type="spellStart"/>
      <w:r w:rsidRPr="004865DF">
        <w:rPr>
          <w:i/>
          <w:lang w:val="en-US"/>
        </w:rPr>
        <w:t>CESifo</w:t>
      </w:r>
      <w:proofErr w:type="spellEnd"/>
      <w:r w:rsidRPr="004865DF">
        <w:rPr>
          <w:i/>
          <w:lang w:val="en-US"/>
        </w:rPr>
        <w:t xml:space="preserve"> working paper: Economics of Education</w:t>
      </w:r>
      <w:r w:rsidRPr="00004361">
        <w:rPr>
          <w:lang w:val="en-US"/>
        </w:rPr>
        <w:t>, 3592.</w:t>
      </w:r>
    </w:p>
    <w:p w:rsidR="00FA0C5E" w:rsidRPr="00004361" w:rsidRDefault="00FA0C5E" w:rsidP="00785128">
      <w:pPr>
        <w:ind w:left="426" w:hanging="426"/>
        <w:jc w:val="both"/>
        <w:rPr>
          <w:lang w:val="en-US"/>
        </w:rPr>
      </w:pPr>
      <w:proofErr w:type="gramStart"/>
      <w:r w:rsidRPr="00004361">
        <w:rPr>
          <w:lang w:val="en-US"/>
        </w:rPr>
        <w:t>EVANS, W. N., OATES, W. E. AND SCHWAB, R. M.</w:t>
      </w:r>
      <w:r w:rsidR="00FE371E" w:rsidRPr="00004361">
        <w:rPr>
          <w:lang w:val="en-US"/>
        </w:rPr>
        <w:t xml:space="preserve"> 1992.</w:t>
      </w:r>
      <w:proofErr w:type="gramEnd"/>
      <w:r w:rsidRPr="00004361">
        <w:rPr>
          <w:lang w:val="en-US"/>
        </w:rPr>
        <w:t xml:space="preserve"> Measuring peer group effects: a study of teenage behavior. </w:t>
      </w:r>
      <w:r w:rsidRPr="004865DF">
        <w:rPr>
          <w:i/>
          <w:lang w:val="en-US"/>
        </w:rPr>
        <w:t>Journal of Political Economy</w:t>
      </w:r>
      <w:r w:rsidRPr="00004361">
        <w:rPr>
          <w:lang w:val="en-US"/>
        </w:rPr>
        <w:t>, v.</w:t>
      </w:r>
      <w:r w:rsidR="00FE371E" w:rsidRPr="00004361">
        <w:rPr>
          <w:lang w:val="en-US"/>
        </w:rPr>
        <w:t xml:space="preserve"> 100(5), p. 966-991</w:t>
      </w:r>
    </w:p>
    <w:p w:rsidR="00C827AA" w:rsidRPr="00894241" w:rsidRDefault="00C827AA" w:rsidP="00FE371E">
      <w:pPr>
        <w:ind w:left="426" w:hanging="426"/>
        <w:jc w:val="both"/>
        <w:rPr>
          <w:b/>
          <w:bCs/>
          <w:lang w:val="en-US"/>
        </w:rPr>
      </w:pPr>
      <w:proofErr w:type="gramStart"/>
      <w:r w:rsidRPr="00894241">
        <w:rPr>
          <w:lang w:val="en-US"/>
        </w:rPr>
        <w:t xml:space="preserve">FIRPO, </w:t>
      </w:r>
      <w:r w:rsidR="00FE371E" w:rsidRPr="00894241">
        <w:rPr>
          <w:lang w:val="en-US"/>
        </w:rPr>
        <w:t>S., JALES, H. AND PINTO, C.</w:t>
      </w:r>
      <w:r w:rsidRPr="00894241">
        <w:rPr>
          <w:lang w:val="en-US"/>
        </w:rPr>
        <w:t xml:space="preserve"> </w:t>
      </w:r>
      <w:r w:rsidR="00FE371E" w:rsidRPr="00894241">
        <w:rPr>
          <w:lang w:val="en-US"/>
        </w:rPr>
        <w:t>2015.</w:t>
      </w:r>
      <w:proofErr w:type="gramEnd"/>
      <w:r w:rsidR="00FE371E" w:rsidRPr="00894241">
        <w:rPr>
          <w:lang w:val="en-US"/>
        </w:rPr>
        <w:t xml:space="preserve"> </w:t>
      </w:r>
      <w:r w:rsidRPr="00894241">
        <w:rPr>
          <w:bCs/>
          <w:lang w:val="en-US"/>
        </w:rPr>
        <w:t>Measuring peer effects in the Brazilian school system</w:t>
      </w:r>
      <w:r w:rsidR="00FE371E" w:rsidRPr="00894241">
        <w:rPr>
          <w:bCs/>
          <w:lang w:val="en-US"/>
        </w:rPr>
        <w:t xml:space="preserve">. </w:t>
      </w:r>
      <w:r w:rsidR="00FE371E" w:rsidRPr="004865DF">
        <w:rPr>
          <w:bCs/>
          <w:i/>
          <w:lang w:val="en-US"/>
        </w:rPr>
        <w:t>Applied Economics</w:t>
      </w:r>
      <w:r w:rsidR="00FE371E" w:rsidRPr="00894241">
        <w:rPr>
          <w:bCs/>
          <w:lang w:val="en-US"/>
        </w:rPr>
        <w:t xml:space="preserve">, </w:t>
      </w:r>
      <w:proofErr w:type="gramStart"/>
      <w:r w:rsidR="00FE371E" w:rsidRPr="00894241">
        <w:rPr>
          <w:bCs/>
          <w:lang w:val="en-US"/>
        </w:rPr>
        <w:t>v.47(</w:t>
      </w:r>
      <w:proofErr w:type="gramEnd"/>
      <w:r w:rsidR="00FE371E" w:rsidRPr="00894241">
        <w:rPr>
          <w:bCs/>
          <w:lang w:val="en-US"/>
        </w:rPr>
        <w:t>32)</w:t>
      </w:r>
      <w:r w:rsidR="008510CC" w:rsidRPr="00894241">
        <w:rPr>
          <w:bCs/>
          <w:lang w:val="en-US"/>
        </w:rPr>
        <w:t>.</w:t>
      </w:r>
    </w:p>
    <w:p w:rsidR="00FA0C5E" w:rsidRPr="00004361" w:rsidRDefault="00FA0C5E" w:rsidP="00785128">
      <w:pPr>
        <w:ind w:left="426" w:hanging="426"/>
        <w:jc w:val="both"/>
        <w:rPr>
          <w:lang w:val="en-US"/>
        </w:rPr>
      </w:pPr>
      <w:proofErr w:type="gramStart"/>
      <w:r w:rsidRPr="00004361">
        <w:rPr>
          <w:lang w:val="en-US"/>
        </w:rPr>
        <w:t>GOUX, D., AND MAURIN, E., 2007.</w:t>
      </w:r>
      <w:proofErr w:type="gramEnd"/>
      <w:r w:rsidRPr="00004361">
        <w:rPr>
          <w:lang w:val="en-US"/>
        </w:rPr>
        <w:t xml:space="preserve"> Close </w:t>
      </w:r>
      <w:proofErr w:type="spellStart"/>
      <w:r w:rsidRPr="00004361">
        <w:rPr>
          <w:lang w:val="en-US"/>
        </w:rPr>
        <w:t>Neighbours</w:t>
      </w:r>
      <w:proofErr w:type="spellEnd"/>
      <w:r w:rsidRPr="00004361">
        <w:rPr>
          <w:lang w:val="en-US"/>
        </w:rPr>
        <w:t xml:space="preserve"> Matters: </w:t>
      </w:r>
      <w:proofErr w:type="spellStart"/>
      <w:r w:rsidRPr="00004361">
        <w:rPr>
          <w:lang w:val="en-US"/>
        </w:rPr>
        <w:t>Neighbourhood</w:t>
      </w:r>
      <w:proofErr w:type="spellEnd"/>
      <w:r w:rsidRPr="00004361">
        <w:rPr>
          <w:lang w:val="en-US"/>
        </w:rPr>
        <w:t xml:space="preserve"> Effects on Early Performance at School. </w:t>
      </w:r>
      <w:proofErr w:type="gramStart"/>
      <w:r w:rsidRPr="004865DF">
        <w:rPr>
          <w:i/>
          <w:lang w:val="en-US"/>
        </w:rPr>
        <w:t>The Economic Journal</w:t>
      </w:r>
      <w:r w:rsidRPr="00004361">
        <w:rPr>
          <w:lang w:val="en-US"/>
        </w:rPr>
        <w:t>, vol.117, No.523, pp.1193-1215.</w:t>
      </w:r>
      <w:proofErr w:type="gramEnd"/>
    </w:p>
    <w:p w:rsidR="00FA0C5E" w:rsidRPr="00004361" w:rsidRDefault="00FA0C5E" w:rsidP="00785128">
      <w:pPr>
        <w:ind w:left="426" w:hanging="426"/>
        <w:jc w:val="both"/>
        <w:rPr>
          <w:lang w:val="en-US"/>
        </w:rPr>
      </w:pPr>
      <w:proofErr w:type="gramStart"/>
      <w:r w:rsidRPr="00004361">
        <w:rPr>
          <w:lang w:val="en-US"/>
        </w:rPr>
        <w:t>HANUSHEK, E. A., KAIN, J. F., MARKMAN, J. M. AND RIVKIN, S. G., 2003.</w:t>
      </w:r>
      <w:proofErr w:type="gramEnd"/>
      <w:r w:rsidRPr="00004361">
        <w:rPr>
          <w:lang w:val="en-US"/>
        </w:rPr>
        <w:t xml:space="preserve"> Does peer ability affect student achievement?</w:t>
      </w:r>
      <w:r w:rsidRPr="00004361">
        <w:rPr>
          <w:b/>
          <w:lang w:val="en-US"/>
        </w:rPr>
        <w:t xml:space="preserve"> </w:t>
      </w:r>
      <w:r w:rsidRPr="00004361">
        <w:rPr>
          <w:i/>
          <w:lang w:val="en-US"/>
        </w:rPr>
        <w:t>Journal of Applied Econometrics</w:t>
      </w:r>
      <w:r w:rsidRPr="00004361">
        <w:rPr>
          <w:lang w:val="en-US"/>
        </w:rPr>
        <w:t>, v. 18(5), pages 527-544.</w:t>
      </w:r>
    </w:p>
    <w:p w:rsidR="00FA0C5E" w:rsidRPr="00004361" w:rsidRDefault="00FA0C5E" w:rsidP="00785128">
      <w:pPr>
        <w:ind w:left="426" w:hanging="426"/>
        <w:jc w:val="both"/>
        <w:rPr>
          <w:lang w:val="en-US"/>
        </w:rPr>
      </w:pPr>
      <w:r w:rsidRPr="00004361">
        <w:rPr>
          <w:lang w:val="en-US"/>
        </w:rPr>
        <w:t xml:space="preserve">KOPPENSTEINER, M. F., 2012. Class assignment and peer group effects: evidence from Brazilian primary schools. </w:t>
      </w:r>
      <w:proofErr w:type="gramStart"/>
      <w:r w:rsidRPr="00004361">
        <w:rPr>
          <w:lang w:val="en-US"/>
        </w:rPr>
        <w:t>Working Paper No. 12/03 - University of Leicester, UK.</w:t>
      </w:r>
      <w:proofErr w:type="gramEnd"/>
    </w:p>
    <w:p w:rsidR="00FA0C5E" w:rsidRPr="00004361" w:rsidRDefault="00FA0C5E" w:rsidP="00785128">
      <w:pPr>
        <w:ind w:left="426" w:hanging="426"/>
        <w:jc w:val="both"/>
        <w:rPr>
          <w:lang w:val="en-US"/>
        </w:rPr>
      </w:pPr>
      <w:r w:rsidRPr="00004361">
        <w:rPr>
          <w:lang w:val="en-US"/>
        </w:rPr>
        <w:t xml:space="preserve">LAM, D., MIRON, J., 1987. </w:t>
      </w:r>
      <w:proofErr w:type="gramStart"/>
      <w:r w:rsidRPr="00004361">
        <w:rPr>
          <w:lang w:val="en-US"/>
        </w:rPr>
        <w:t>The Seasonality of Births in Human Populations.</w:t>
      </w:r>
      <w:proofErr w:type="gramEnd"/>
      <w:r w:rsidRPr="00004361">
        <w:rPr>
          <w:lang w:val="en-US"/>
        </w:rPr>
        <w:t xml:space="preserve"> </w:t>
      </w:r>
      <w:r w:rsidRPr="004865DF">
        <w:rPr>
          <w:i/>
          <w:lang w:val="en-US"/>
        </w:rPr>
        <w:t>Research Report 87-114</w:t>
      </w:r>
      <w:r w:rsidRPr="00004361">
        <w:rPr>
          <w:lang w:val="en-US"/>
        </w:rPr>
        <w:t>, University of Michigan, Population Studies Center.</w:t>
      </w:r>
    </w:p>
    <w:p w:rsidR="00FA0C5E" w:rsidRDefault="00FA0C5E" w:rsidP="00785128">
      <w:pPr>
        <w:ind w:left="426" w:hanging="426"/>
        <w:jc w:val="both"/>
        <w:rPr>
          <w:lang w:val="en-US"/>
        </w:rPr>
      </w:pPr>
      <w:r w:rsidRPr="00894241">
        <w:rPr>
          <w:lang w:val="en-US"/>
        </w:rPr>
        <w:t xml:space="preserve">MANSKI, C. F., 1993. Identification of endogenous social effects: the reflection problem. </w:t>
      </w:r>
      <w:r w:rsidRPr="004865DF">
        <w:rPr>
          <w:i/>
          <w:lang w:val="en-US"/>
        </w:rPr>
        <w:t>The Review of Economic Studies</w:t>
      </w:r>
      <w:r w:rsidRPr="00894241">
        <w:rPr>
          <w:lang w:val="en-US"/>
        </w:rPr>
        <w:t>, v. 60(3), p. 531-542, Jul., 1993.</w:t>
      </w:r>
    </w:p>
    <w:p w:rsidR="00F0367D" w:rsidRPr="00F0367D" w:rsidRDefault="00F0367D" w:rsidP="00F0367D">
      <w:pPr>
        <w:ind w:left="426" w:hanging="426"/>
        <w:jc w:val="both"/>
        <w:rPr>
          <w:lang w:val="en-US"/>
        </w:rPr>
      </w:pPr>
      <w:proofErr w:type="gramStart"/>
      <w:r w:rsidRPr="00F0367D">
        <w:rPr>
          <w:bCs/>
          <w:lang w:val="en-US"/>
        </w:rPr>
        <w:t>MARTINEZ-BAKKER</w:t>
      </w:r>
      <w:r w:rsidRPr="00F0367D">
        <w:rPr>
          <w:lang w:val="en-US"/>
        </w:rPr>
        <w:t xml:space="preserve">, </w:t>
      </w:r>
      <w:r>
        <w:rPr>
          <w:lang w:val="en-US"/>
        </w:rPr>
        <w:t xml:space="preserve">M. </w:t>
      </w:r>
      <w:r w:rsidRPr="00F0367D">
        <w:rPr>
          <w:lang w:val="en-US"/>
        </w:rPr>
        <w:t>KING,</w:t>
      </w:r>
      <w:r>
        <w:rPr>
          <w:lang w:val="en-US"/>
        </w:rPr>
        <w:t xml:space="preserve"> A.</w:t>
      </w:r>
      <w:proofErr w:type="gramEnd"/>
      <w:r>
        <w:rPr>
          <w:lang w:val="en-US"/>
        </w:rPr>
        <w:t xml:space="preserve"> A</w:t>
      </w:r>
      <w:r w:rsidRPr="00F0367D">
        <w:rPr>
          <w:lang w:val="en-US"/>
        </w:rPr>
        <w:t xml:space="preserve"> AND ROHANI</w:t>
      </w:r>
      <w:r>
        <w:rPr>
          <w:lang w:val="en-US"/>
        </w:rPr>
        <w:t>, P.</w:t>
      </w:r>
      <w:r w:rsidRPr="00F0367D">
        <w:rPr>
          <w:lang w:val="en-US"/>
        </w:rPr>
        <w:t xml:space="preserve"> 2015. </w:t>
      </w:r>
      <w:proofErr w:type="gramStart"/>
      <w:r w:rsidRPr="00F0367D">
        <w:rPr>
          <w:lang w:val="en-US"/>
        </w:rPr>
        <w:t>Unraveling the transmission ecology of polio.</w:t>
      </w:r>
      <w:proofErr w:type="gramEnd"/>
      <w:r w:rsidRPr="00F0367D">
        <w:rPr>
          <w:lang w:val="en-US"/>
        </w:rPr>
        <w:t xml:space="preserve"> </w:t>
      </w:r>
      <w:proofErr w:type="spellStart"/>
      <w:r w:rsidRPr="004865DF">
        <w:rPr>
          <w:i/>
          <w:lang w:val="en-US"/>
        </w:rPr>
        <w:t>Plos</w:t>
      </w:r>
      <w:proofErr w:type="spellEnd"/>
      <w:r w:rsidRPr="004865DF">
        <w:rPr>
          <w:i/>
          <w:lang w:val="en-US"/>
        </w:rPr>
        <w:t xml:space="preserve"> Biology</w:t>
      </w:r>
      <w:r w:rsidRPr="00F0367D">
        <w:rPr>
          <w:lang w:val="en-US"/>
        </w:rPr>
        <w:t>, 13(6):</w:t>
      </w:r>
      <w:r>
        <w:rPr>
          <w:lang w:val="en-US"/>
        </w:rPr>
        <w:t xml:space="preserve"> </w:t>
      </w:r>
      <w:r w:rsidRPr="00F0367D">
        <w:rPr>
          <w:lang w:val="en-US"/>
        </w:rPr>
        <w:t>E1002172</w:t>
      </w:r>
      <w:r>
        <w:rPr>
          <w:lang w:val="en-US"/>
        </w:rPr>
        <w:t>.</w:t>
      </w:r>
    </w:p>
    <w:p w:rsidR="00FA0C5E" w:rsidRPr="00004361" w:rsidRDefault="00FA0C5E" w:rsidP="00785128">
      <w:pPr>
        <w:ind w:left="426" w:hanging="426"/>
        <w:jc w:val="both"/>
        <w:rPr>
          <w:lang w:val="pt-BR"/>
        </w:rPr>
      </w:pPr>
      <w:r w:rsidRPr="00004361">
        <w:rPr>
          <w:lang w:val="en-US"/>
        </w:rPr>
        <w:t xml:space="preserve">MELE, A., 2010. </w:t>
      </w:r>
      <w:proofErr w:type="gramStart"/>
      <w:r w:rsidRPr="00004361">
        <w:rPr>
          <w:lang w:val="en-US"/>
        </w:rPr>
        <w:t>A</w:t>
      </w:r>
      <w:r w:rsidRPr="00004361">
        <w:rPr>
          <w:bCs/>
          <w:lang w:val="en-US"/>
        </w:rPr>
        <w:t xml:space="preserve"> structural model of segregation in social networks</w:t>
      </w:r>
      <w:r w:rsidRPr="00004361">
        <w:rPr>
          <w:lang w:val="en-US"/>
        </w:rPr>
        <w:t>.</w:t>
      </w:r>
      <w:proofErr w:type="gramEnd"/>
      <w:r w:rsidRPr="00004361">
        <w:rPr>
          <w:lang w:val="en-US"/>
        </w:rPr>
        <w:t xml:space="preserve"> </w:t>
      </w:r>
      <w:proofErr w:type="spellStart"/>
      <w:r w:rsidRPr="00004361">
        <w:rPr>
          <w:i/>
          <w:lang w:val="pt-BR"/>
        </w:rPr>
        <w:t>Working</w:t>
      </w:r>
      <w:proofErr w:type="spellEnd"/>
      <w:r w:rsidRPr="00004361">
        <w:rPr>
          <w:i/>
          <w:lang w:val="pt-BR"/>
        </w:rPr>
        <w:t xml:space="preserve"> </w:t>
      </w:r>
      <w:proofErr w:type="spellStart"/>
      <w:r w:rsidRPr="00004361">
        <w:rPr>
          <w:i/>
          <w:lang w:val="pt-BR"/>
        </w:rPr>
        <w:t>Papers</w:t>
      </w:r>
      <w:proofErr w:type="spellEnd"/>
      <w:r w:rsidRPr="00004361">
        <w:rPr>
          <w:i/>
          <w:lang w:val="pt-BR"/>
        </w:rPr>
        <w:t xml:space="preserve"> 10-16</w:t>
      </w:r>
      <w:r w:rsidRPr="00004361">
        <w:rPr>
          <w:lang w:val="pt-BR"/>
        </w:rPr>
        <w:t xml:space="preserve">, NET </w:t>
      </w:r>
      <w:proofErr w:type="spellStart"/>
      <w:r w:rsidRPr="00004361">
        <w:rPr>
          <w:lang w:val="pt-BR"/>
        </w:rPr>
        <w:t>Institute</w:t>
      </w:r>
      <w:proofErr w:type="spellEnd"/>
      <w:r w:rsidRPr="00004361">
        <w:rPr>
          <w:lang w:val="pt-BR"/>
        </w:rPr>
        <w:t>.</w:t>
      </w:r>
    </w:p>
    <w:p w:rsidR="00FA0C5E" w:rsidRPr="00004361" w:rsidRDefault="00FA0C5E" w:rsidP="00785128">
      <w:pPr>
        <w:ind w:left="426" w:hanging="426"/>
        <w:jc w:val="both"/>
        <w:rPr>
          <w:lang w:val="pt-BR"/>
        </w:rPr>
      </w:pPr>
      <w:r w:rsidRPr="00004361">
        <w:rPr>
          <w:lang w:val="pt-BR"/>
        </w:rPr>
        <w:t xml:space="preserve">MOREIRA, M. M., 2013. Sazonalidade dos Nascimentos no Brasil - 2000-2010. XXIX </w:t>
      </w:r>
      <w:proofErr w:type="spellStart"/>
      <w:r w:rsidRPr="00004361">
        <w:rPr>
          <w:lang w:val="pt-BR"/>
        </w:rPr>
        <w:t>Congreso</w:t>
      </w:r>
      <w:proofErr w:type="spellEnd"/>
      <w:r w:rsidRPr="00004361">
        <w:rPr>
          <w:lang w:val="pt-BR"/>
        </w:rPr>
        <w:t xml:space="preserve"> </w:t>
      </w:r>
      <w:proofErr w:type="spellStart"/>
      <w:r w:rsidRPr="00004361">
        <w:rPr>
          <w:lang w:val="pt-BR"/>
        </w:rPr>
        <w:t>Latinoamericano</w:t>
      </w:r>
      <w:proofErr w:type="spellEnd"/>
      <w:r w:rsidRPr="00004361">
        <w:rPr>
          <w:lang w:val="pt-BR"/>
        </w:rPr>
        <w:t xml:space="preserve"> de Sociologia, 2013, Chile. Anais do XXIX </w:t>
      </w:r>
      <w:proofErr w:type="spellStart"/>
      <w:r w:rsidRPr="00004361">
        <w:rPr>
          <w:lang w:val="pt-BR"/>
        </w:rPr>
        <w:t>Congreso</w:t>
      </w:r>
      <w:proofErr w:type="spellEnd"/>
      <w:r w:rsidRPr="00004361">
        <w:rPr>
          <w:lang w:val="pt-BR"/>
        </w:rPr>
        <w:t xml:space="preserve"> </w:t>
      </w:r>
      <w:proofErr w:type="spellStart"/>
      <w:r w:rsidRPr="00004361">
        <w:rPr>
          <w:lang w:val="pt-BR"/>
        </w:rPr>
        <w:t>Latinoamericano</w:t>
      </w:r>
      <w:proofErr w:type="spellEnd"/>
      <w:r w:rsidRPr="00004361">
        <w:rPr>
          <w:lang w:val="pt-BR"/>
        </w:rPr>
        <w:t xml:space="preserve"> de Sociologia.</w:t>
      </w:r>
    </w:p>
    <w:p w:rsidR="00FA0C5E" w:rsidRPr="00894241" w:rsidRDefault="00FA0C5E" w:rsidP="00785128">
      <w:pPr>
        <w:ind w:left="426" w:hanging="426"/>
        <w:jc w:val="both"/>
        <w:rPr>
          <w:lang w:val="en-US"/>
        </w:rPr>
      </w:pPr>
      <w:r w:rsidRPr="00894241">
        <w:rPr>
          <w:lang w:val="pt-BR"/>
        </w:rPr>
        <w:t xml:space="preserve">OLIVEIRA, V. R., 2015. O Impacto da Formação das Turmas sobre o Desempenho dos Alunos: Evidências para as Escolas Públicas Brasileiras. In: Fernando de Aquino Fonseca Neto; Álvaro </w:t>
      </w:r>
      <w:proofErr w:type="spellStart"/>
      <w:r w:rsidRPr="00894241">
        <w:rPr>
          <w:lang w:val="pt-BR"/>
        </w:rPr>
        <w:t>Barrantes</w:t>
      </w:r>
      <w:proofErr w:type="spellEnd"/>
      <w:r w:rsidRPr="00894241">
        <w:rPr>
          <w:lang w:val="pt-BR"/>
        </w:rPr>
        <w:t xml:space="preserve"> </w:t>
      </w:r>
      <w:proofErr w:type="spellStart"/>
      <w:r w:rsidRPr="00894241">
        <w:rPr>
          <w:lang w:val="pt-BR"/>
        </w:rPr>
        <w:t>Hidalgo</w:t>
      </w:r>
      <w:proofErr w:type="spellEnd"/>
      <w:r w:rsidRPr="00894241">
        <w:rPr>
          <w:lang w:val="pt-BR"/>
        </w:rPr>
        <w:t xml:space="preserve">. (Org.). III Encontro Pernambucano de Economia Políticas para o Desenvolvimento Estadual. </w:t>
      </w:r>
      <w:r w:rsidRPr="00894241">
        <w:rPr>
          <w:lang w:val="en-US"/>
        </w:rPr>
        <w:t xml:space="preserve">1ed.Recife: </w:t>
      </w:r>
      <w:proofErr w:type="spellStart"/>
      <w:r w:rsidRPr="00894241">
        <w:rPr>
          <w:lang w:val="en-US"/>
        </w:rPr>
        <w:t>Villalux</w:t>
      </w:r>
      <w:proofErr w:type="spellEnd"/>
      <w:r w:rsidRPr="00894241">
        <w:rPr>
          <w:lang w:val="en-US"/>
        </w:rPr>
        <w:t>, v. 1, p. 99-116.</w:t>
      </w:r>
    </w:p>
    <w:p w:rsidR="00FA0C5E" w:rsidRPr="00004361" w:rsidRDefault="00FA0C5E" w:rsidP="00785128">
      <w:pPr>
        <w:ind w:left="426" w:hanging="426"/>
        <w:jc w:val="both"/>
        <w:rPr>
          <w:bCs/>
          <w:lang w:val="en-US"/>
        </w:rPr>
      </w:pPr>
      <w:proofErr w:type="gramStart"/>
      <w:r w:rsidRPr="00004361">
        <w:rPr>
          <w:lang w:val="en-US"/>
        </w:rPr>
        <w:t>OOSTERBEEK, H. AND VAN EWIJK, R., 2014.</w:t>
      </w:r>
      <w:proofErr w:type="gramEnd"/>
      <w:r w:rsidRPr="00004361">
        <w:rPr>
          <w:lang w:val="en-US"/>
        </w:rPr>
        <w:t xml:space="preserve"> Gender peer effects in university:</w:t>
      </w:r>
      <w:r w:rsidRPr="00004361">
        <w:rPr>
          <w:bCs/>
          <w:lang w:val="en-US"/>
        </w:rPr>
        <w:t xml:space="preserve"> evidence from a randomized experiment. </w:t>
      </w:r>
      <w:r w:rsidRPr="00004361">
        <w:rPr>
          <w:bCs/>
          <w:i/>
          <w:lang w:val="en-US"/>
        </w:rPr>
        <w:t>Economics of Education Review</w:t>
      </w:r>
      <w:r w:rsidRPr="00004361">
        <w:rPr>
          <w:bCs/>
          <w:lang w:val="en-US"/>
        </w:rPr>
        <w:t>, v. 38, p. 51-63.</w:t>
      </w:r>
    </w:p>
    <w:p w:rsidR="00FA0C5E" w:rsidRPr="00004361" w:rsidRDefault="00FA0C5E" w:rsidP="00785128">
      <w:pPr>
        <w:ind w:left="426" w:hanging="426"/>
        <w:jc w:val="both"/>
        <w:rPr>
          <w:bCs/>
          <w:lang w:val="en-US"/>
        </w:rPr>
      </w:pPr>
      <w:r w:rsidRPr="00004361">
        <w:rPr>
          <w:bCs/>
          <w:lang w:val="pt-BR"/>
        </w:rPr>
        <w:t>PATACCHINI, E, RAINONE, E AND ZENOU, Y</w:t>
      </w:r>
      <w:proofErr w:type="gramStart"/>
      <w:r w:rsidRPr="00004361">
        <w:rPr>
          <w:bCs/>
          <w:lang w:val="pt-BR"/>
        </w:rPr>
        <w:t>.,</w:t>
      </w:r>
      <w:proofErr w:type="gramEnd"/>
      <w:r w:rsidRPr="00004361">
        <w:rPr>
          <w:bCs/>
          <w:lang w:val="pt-BR"/>
        </w:rPr>
        <w:t xml:space="preserve"> 2011. </w:t>
      </w:r>
      <w:proofErr w:type="gramStart"/>
      <w:r w:rsidRPr="00004361">
        <w:rPr>
          <w:bCs/>
          <w:lang w:val="en-US"/>
        </w:rPr>
        <w:t xml:space="preserve">Dynamic aspects of teenage friendships and educational attainment, </w:t>
      </w:r>
      <w:r w:rsidRPr="00004361">
        <w:rPr>
          <w:bCs/>
          <w:i/>
          <w:lang w:val="en-US"/>
        </w:rPr>
        <w:t>CEPR Discussion Paper</w:t>
      </w:r>
      <w:r w:rsidRPr="00004361">
        <w:rPr>
          <w:bCs/>
          <w:lang w:val="en-US"/>
        </w:rPr>
        <w:t xml:space="preserve"> 8223.</w:t>
      </w:r>
      <w:proofErr w:type="gramEnd"/>
    </w:p>
    <w:p w:rsidR="00FA0C5E" w:rsidRPr="00004361" w:rsidRDefault="00FA0C5E" w:rsidP="00785128">
      <w:pPr>
        <w:ind w:left="426" w:hanging="426"/>
        <w:jc w:val="both"/>
        <w:rPr>
          <w:bCs/>
          <w:lang w:val="pt-BR"/>
        </w:rPr>
      </w:pPr>
      <w:proofErr w:type="gramStart"/>
      <w:r w:rsidRPr="00004361">
        <w:rPr>
          <w:bCs/>
          <w:lang w:val="en-US"/>
        </w:rPr>
        <w:t>PATACCHINI, E. AND VENANZONI, G., 2014.</w:t>
      </w:r>
      <w:proofErr w:type="gramEnd"/>
      <w:r w:rsidRPr="00004361">
        <w:rPr>
          <w:bCs/>
          <w:lang w:val="en-US"/>
        </w:rPr>
        <w:t xml:space="preserve"> Peer effects in the demand for housing quality. </w:t>
      </w:r>
      <w:proofErr w:type="spellStart"/>
      <w:r w:rsidRPr="00004361">
        <w:rPr>
          <w:bCs/>
          <w:i/>
          <w:lang w:val="pt-BR"/>
        </w:rPr>
        <w:t>Journal</w:t>
      </w:r>
      <w:proofErr w:type="spellEnd"/>
      <w:r w:rsidRPr="00004361">
        <w:rPr>
          <w:bCs/>
          <w:i/>
          <w:lang w:val="pt-BR"/>
        </w:rPr>
        <w:t xml:space="preserve"> </w:t>
      </w:r>
      <w:proofErr w:type="spellStart"/>
      <w:r w:rsidRPr="00004361">
        <w:rPr>
          <w:bCs/>
          <w:i/>
          <w:lang w:val="pt-BR"/>
        </w:rPr>
        <w:t>of</w:t>
      </w:r>
      <w:proofErr w:type="spellEnd"/>
      <w:r w:rsidRPr="00004361">
        <w:rPr>
          <w:bCs/>
          <w:i/>
          <w:lang w:val="pt-BR"/>
        </w:rPr>
        <w:t xml:space="preserve"> </w:t>
      </w:r>
      <w:proofErr w:type="spellStart"/>
      <w:r w:rsidRPr="00004361">
        <w:rPr>
          <w:bCs/>
          <w:i/>
          <w:lang w:val="pt-BR"/>
        </w:rPr>
        <w:t>Urban</w:t>
      </w:r>
      <w:proofErr w:type="spellEnd"/>
      <w:r w:rsidRPr="00004361">
        <w:rPr>
          <w:bCs/>
          <w:i/>
          <w:lang w:val="pt-BR"/>
        </w:rPr>
        <w:t xml:space="preserve"> </w:t>
      </w:r>
      <w:proofErr w:type="spellStart"/>
      <w:r w:rsidRPr="00004361">
        <w:rPr>
          <w:bCs/>
          <w:i/>
          <w:lang w:val="pt-BR"/>
        </w:rPr>
        <w:t>Economics</w:t>
      </w:r>
      <w:proofErr w:type="spellEnd"/>
      <w:r w:rsidRPr="00004361">
        <w:rPr>
          <w:bCs/>
          <w:lang w:val="pt-BR"/>
        </w:rPr>
        <w:t>, v. 83, p. 6–17.</w:t>
      </w:r>
    </w:p>
    <w:p w:rsidR="00511A21" w:rsidRPr="00004361" w:rsidRDefault="00511A21" w:rsidP="00785128">
      <w:pPr>
        <w:ind w:left="426" w:hanging="426"/>
        <w:jc w:val="both"/>
        <w:rPr>
          <w:bCs/>
          <w:lang w:val="en-US"/>
        </w:rPr>
      </w:pPr>
      <w:proofErr w:type="gramStart"/>
      <w:r w:rsidRPr="00004361">
        <w:rPr>
          <w:bCs/>
          <w:iCs/>
          <w:lang w:val="en-US"/>
        </w:rPr>
        <w:t>PINEDO</w:t>
      </w:r>
      <w:r w:rsidRPr="00004361">
        <w:rPr>
          <w:bCs/>
          <w:lang w:val="en-US"/>
        </w:rPr>
        <w:t xml:space="preserve">, W. J. I. AND </w:t>
      </w:r>
      <w:r w:rsidRPr="00004361">
        <w:rPr>
          <w:bCs/>
          <w:iCs/>
          <w:lang w:val="en-US"/>
        </w:rPr>
        <w:t>BERMUDEZ</w:t>
      </w:r>
      <w:r w:rsidRPr="00004361">
        <w:rPr>
          <w:bCs/>
          <w:lang w:val="en-US"/>
        </w:rPr>
        <w:t>, B. C., 201</w:t>
      </w:r>
      <w:r w:rsidR="000470D2" w:rsidRPr="00004361">
        <w:rPr>
          <w:bCs/>
          <w:lang w:val="en-US"/>
        </w:rPr>
        <w:t>5</w:t>
      </w:r>
      <w:r w:rsidRPr="00004361">
        <w:rPr>
          <w:bCs/>
          <w:lang w:val="en-US"/>
        </w:rPr>
        <w:t>.</w:t>
      </w:r>
      <w:proofErr w:type="gramEnd"/>
      <w:r w:rsidRPr="00004361">
        <w:rPr>
          <w:bCs/>
          <w:lang w:val="en-US"/>
        </w:rPr>
        <w:t xml:space="preserve"> Month of birth and socioeconomic outcomes of adults: evidence from Brazil, </w:t>
      </w:r>
      <w:proofErr w:type="spellStart"/>
      <w:r w:rsidRPr="00004361">
        <w:rPr>
          <w:bCs/>
          <w:lang w:val="en-US"/>
        </w:rPr>
        <w:t>Anais</w:t>
      </w:r>
      <w:proofErr w:type="spellEnd"/>
      <w:r w:rsidRPr="00004361">
        <w:rPr>
          <w:bCs/>
          <w:lang w:val="en-US"/>
        </w:rPr>
        <w:t xml:space="preserve"> do XLIII </w:t>
      </w:r>
      <w:proofErr w:type="spellStart"/>
      <w:r w:rsidRPr="00004361">
        <w:rPr>
          <w:bCs/>
          <w:lang w:val="en-US"/>
        </w:rPr>
        <w:t>Encontro</w:t>
      </w:r>
      <w:proofErr w:type="spellEnd"/>
      <w:r w:rsidRPr="00004361">
        <w:rPr>
          <w:bCs/>
          <w:lang w:val="en-US"/>
        </w:rPr>
        <w:t xml:space="preserve"> </w:t>
      </w:r>
      <w:proofErr w:type="spellStart"/>
      <w:r w:rsidRPr="00004361">
        <w:rPr>
          <w:bCs/>
          <w:lang w:val="en-US"/>
        </w:rPr>
        <w:t>Nacional</w:t>
      </w:r>
      <w:proofErr w:type="spellEnd"/>
      <w:r w:rsidRPr="00004361">
        <w:rPr>
          <w:bCs/>
          <w:lang w:val="en-US"/>
        </w:rPr>
        <w:t xml:space="preserve"> de </w:t>
      </w:r>
      <w:proofErr w:type="spellStart"/>
      <w:r w:rsidRPr="00004361">
        <w:rPr>
          <w:bCs/>
          <w:lang w:val="en-US"/>
        </w:rPr>
        <w:t>Economia</w:t>
      </w:r>
      <w:proofErr w:type="spellEnd"/>
      <w:r w:rsidRPr="00004361">
        <w:rPr>
          <w:bCs/>
          <w:lang w:val="en-US"/>
        </w:rPr>
        <w:t xml:space="preserve"> [Proceedings of the 43rd Brazilian Economics Meeting], ANPEC - </w:t>
      </w:r>
      <w:proofErr w:type="spellStart"/>
      <w:r w:rsidRPr="00004361">
        <w:rPr>
          <w:bCs/>
          <w:lang w:val="en-US"/>
        </w:rPr>
        <w:t>Associação</w:t>
      </w:r>
      <w:proofErr w:type="spellEnd"/>
      <w:r w:rsidRPr="00004361">
        <w:rPr>
          <w:bCs/>
          <w:lang w:val="en-US"/>
        </w:rPr>
        <w:t xml:space="preserve"> </w:t>
      </w:r>
      <w:proofErr w:type="spellStart"/>
      <w:r w:rsidRPr="00004361">
        <w:rPr>
          <w:bCs/>
          <w:lang w:val="en-US"/>
        </w:rPr>
        <w:t>Nacional</w:t>
      </w:r>
      <w:proofErr w:type="spellEnd"/>
      <w:r w:rsidRPr="00004361">
        <w:rPr>
          <w:bCs/>
          <w:lang w:val="en-US"/>
        </w:rPr>
        <w:t xml:space="preserve"> dos </w:t>
      </w:r>
      <w:proofErr w:type="spellStart"/>
      <w:r w:rsidRPr="00004361">
        <w:rPr>
          <w:bCs/>
          <w:lang w:val="en-US"/>
        </w:rPr>
        <w:t>Centros</w:t>
      </w:r>
      <w:proofErr w:type="spellEnd"/>
      <w:r w:rsidRPr="00004361">
        <w:rPr>
          <w:bCs/>
          <w:lang w:val="en-US"/>
        </w:rPr>
        <w:t xml:space="preserve"> de </w:t>
      </w:r>
      <w:proofErr w:type="spellStart"/>
      <w:r w:rsidRPr="00004361">
        <w:rPr>
          <w:bCs/>
          <w:lang w:val="en-US"/>
        </w:rPr>
        <w:t>Pósgraduação</w:t>
      </w:r>
      <w:proofErr w:type="spellEnd"/>
      <w:r w:rsidRPr="00004361">
        <w:rPr>
          <w:bCs/>
          <w:lang w:val="en-US"/>
        </w:rPr>
        <w:t xml:space="preserve"> </w:t>
      </w:r>
      <w:proofErr w:type="spellStart"/>
      <w:r w:rsidRPr="00004361">
        <w:rPr>
          <w:bCs/>
          <w:lang w:val="en-US"/>
        </w:rPr>
        <w:t>em</w:t>
      </w:r>
      <w:proofErr w:type="spellEnd"/>
      <w:r w:rsidRPr="00004361">
        <w:rPr>
          <w:bCs/>
          <w:lang w:val="en-US"/>
        </w:rPr>
        <w:t xml:space="preserve"> </w:t>
      </w:r>
      <w:proofErr w:type="spellStart"/>
      <w:r w:rsidRPr="00004361">
        <w:rPr>
          <w:bCs/>
          <w:lang w:val="en-US"/>
        </w:rPr>
        <w:t>Economia</w:t>
      </w:r>
      <w:proofErr w:type="spellEnd"/>
      <w:r w:rsidRPr="00004361">
        <w:rPr>
          <w:bCs/>
          <w:lang w:val="en-US"/>
        </w:rPr>
        <w:t xml:space="preserve"> [Brazilian Association of Graduate Programs in Economics]</w:t>
      </w:r>
      <w:r w:rsidR="000470D2" w:rsidRPr="00004361">
        <w:rPr>
          <w:bCs/>
          <w:lang w:val="en-US"/>
        </w:rPr>
        <w:t>.</w:t>
      </w:r>
    </w:p>
    <w:p w:rsidR="000470D2" w:rsidRPr="00004361" w:rsidRDefault="000470D2" w:rsidP="000470D2">
      <w:pPr>
        <w:ind w:left="426" w:hanging="426"/>
        <w:jc w:val="both"/>
        <w:rPr>
          <w:bCs/>
          <w:lang w:val="pt-BR"/>
        </w:rPr>
      </w:pPr>
      <w:proofErr w:type="gramStart"/>
      <w:r w:rsidRPr="00004361">
        <w:rPr>
          <w:bCs/>
          <w:lang w:val="en-US"/>
        </w:rPr>
        <w:lastRenderedPageBreak/>
        <w:t>PINTO, C. C. X., 2008.</w:t>
      </w:r>
      <w:proofErr w:type="gramEnd"/>
      <w:r w:rsidRPr="00004361">
        <w:rPr>
          <w:bCs/>
          <w:lang w:val="en-US"/>
        </w:rPr>
        <w:t xml:space="preserve"> </w:t>
      </w:r>
      <w:proofErr w:type="spellStart"/>
      <w:proofErr w:type="gramStart"/>
      <w:r w:rsidRPr="00004361">
        <w:rPr>
          <w:bCs/>
          <w:lang w:val="en-US"/>
        </w:rPr>
        <w:t>Semiparametric</w:t>
      </w:r>
      <w:proofErr w:type="spellEnd"/>
      <w:r w:rsidRPr="00004361">
        <w:rPr>
          <w:bCs/>
          <w:lang w:val="en-US"/>
        </w:rPr>
        <w:t xml:space="preserve"> estimation of peer effects.</w:t>
      </w:r>
      <w:proofErr w:type="gramEnd"/>
      <w:r w:rsidRPr="00004361">
        <w:rPr>
          <w:bCs/>
          <w:lang w:val="en-US"/>
        </w:rPr>
        <w:t xml:space="preserve"> </w:t>
      </w:r>
      <w:r w:rsidRPr="00004361">
        <w:rPr>
          <w:bCs/>
          <w:lang w:val="pt-BR"/>
        </w:rPr>
        <w:t xml:space="preserve">Tese de Doutorado - </w:t>
      </w:r>
      <w:proofErr w:type="spellStart"/>
      <w:r w:rsidRPr="00004361">
        <w:rPr>
          <w:bCs/>
          <w:lang w:val="pt-BR"/>
        </w:rPr>
        <w:t>University</w:t>
      </w:r>
      <w:proofErr w:type="spellEnd"/>
      <w:r w:rsidRPr="00004361">
        <w:rPr>
          <w:bCs/>
          <w:lang w:val="pt-BR"/>
        </w:rPr>
        <w:t xml:space="preserve"> </w:t>
      </w:r>
      <w:proofErr w:type="spellStart"/>
      <w:r w:rsidRPr="00004361">
        <w:rPr>
          <w:bCs/>
          <w:lang w:val="pt-BR"/>
        </w:rPr>
        <w:t>of</w:t>
      </w:r>
      <w:proofErr w:type="spellEnd"/>
      <w:r w:rsidRPr="00004361">
        <w:rPr>
          <w:bCs/>
          <w:lang w:val="pt-BR"/>
        </w:rPr>
        <w:t xml:space="preserve"> </w:t>
      </w:r>
      <w:proofErr w:type="spellStart"/>
      <w:r w:rsidRPr="00004361">
        <w:rPr>
          <w:bCs/>
          <w:lang w:val="pt-BR"/>
        </w:rPr>
        <w:t>California</w:t>
      </w:r>
      <w:proofErr w:type="spellEnd"/>
      <w:r w:rsidRPr="00004361">
        <w:rPr>
          <w:bCs/>
          <w:lang w:val="pt-BR"/>
        </w:rPr>
        <w:t>, Berkeley.</w:t>
      </w:r>
    </w:p>
    <w:p w:rsidR="00FA0C5E" w:rsidRPr="00894241" w:rsidRDefault="00FA0C5E" w:rsidP="00785128">
      <w:pPr>
        <w:ind w:left="426" w:hanging="426"/>
        <w:jc w:val="both"/>
        <w:rPr>
          <w:bCs/>
          <w:lang w:val="pt-BR"/>
        </w:rPr>
      </w:pPr>
      <w:r w:rsidRPr="00894241">
        <w:rPr>
          <w:bCs/>
          <w:lang w:val="pt-BR"/>
        </w:rPr>
        <w:t>RAPOSO, I. P. A., 2015. O papel da rede de amizades e da formação aleatória de turmas por faixa etária sobre o desempenho. Tese de Doutorado – Universidade Federal de Pernambuco.</w:t>
      </w:r>
    </w:p>
    <w:p w:rsidR="00FA0C5E" w:rsidRDefault="00FA0C5E" w:rsidP="00785128">
      <w:pPr>
        <w:ind w:left="426" w:hanging="426"/>
        <w:jc w:val="both"/>
        <w:rPr>
          <w:lang w:val="pt-BR"/>
        </w:rPr>
      </w:pPr>
      <w:r w:rsidRPr="00004361">
        <w:rPr>
          <w:lang w:val="pt-BR"/>
        </w:rPr>
        <w:t xml:space="preserve">SACERDOTE, B., 2001. </w:t>
      </w:r>
      <w:proofErr w:type="spellStart"/>
      <w:r w:rsidRPr="00004361">
        <w:rPr>
          <w:lang w:val="pt-BR"/>
        </w:rPr>
        <w:t>Peer</w:t>
      </w:r>
      <w:proofErr w:type="spellEnd"/>
      <w:r w:rsidRPr="00004361">
        <w:rPr>
          <w:lang w:val="pt-BR"/>
        </w:rPr>
        <w:t xml:space="preserve"> </w:t>
      </w:r>
      <w:proofErr w:type="spellStart"/>
      <w:r w:rsidRPr="00004361">
        <w:rPr>
          <w:lang w:val="pt-BR"/>
        </w:rPr>
        <w:t>effects</w:t>
      </w:r>
      <w:proofErr w:type="spellEnd"/>
      <w:r w:rsidRPr="00004361">
        <w:rPr>
          <w:lang w:val="pt-BR"/>
        </w:rPr>
        <w:t xml:space="preserve"> </w:t>
      </w:r>
      <w:proofErr w:type="spellStart"/>
      <w:r w:rsidRPr="00004361">
        <w:rPr>
          <w:lang w:val="pt-BR"/>
        </w:rPr>
        <w:t>with</w:t>
      </w:r>
      <w:proofErr w:type="spellEnd"/>
      <w:r w:rsidRPr="00004361">
        <w:rPr>
          <w:lang w:val="pt-BR"/>
        </w:rPr>
        <w:t xml:space="preserve"> </w:t>
      </w:r>
      <w:proofErr w:type="spellStart"/>
      <w:r w:rsidRPr="00004361">
        <w:rPr>
          <w:lang w:val="pt-BR"/>
        </w:rPr>
        <w:t>random</w:t>
      </w:r>
      <w:proofErr w:type="spellEnd"/>
      <w:r w:rsidRPr="00004361">
        <w:rPr>
          <w:lang w:val="pt-BR"/>
        </w:rPr>
        <w:t xml:space="preserve"> </w:t>
      </w:r>
      <w:proofErr w:type="spellStart"/>
      <w:r w:rsidRPr="00004361">
        <w:rPr>
          <w:lang w:val="pt-BR"/>
        </w:rPr>
        <w:t>assignment</w:t>
      </w:r>
      <w:proofErr w:type="spellEnd"/>
      <w:r w:rsidRPr="00004361">
        <w:rPr>
          <w:lang w:val="pt-BR"/>
        </w:rPr>
        <w:t xml:space="preserve">: </w:t>
      </w:r>
      <w:proofErr w:type="spellStart"/>
      <w:r w:rsidRPr="00004361">
        <w:rPr>
          <w:lang w:val="pt-BR"/>
        </w:rPr>
        <w:t>results</w:t>
      </w:r>
      <w:proofErr w:type="spellEnd"/>
      <w:r w:rsidRPr="00004361">
        <w:rPr>
          <w:lang w:val="pt-BR"/>
        </w:rPr>
        <w:t xml:space="preserve"> for </w:t>
      </w:r>
      <w:proofErr w:type="spellStart"/>
      <w:r w:rsidRPr="00004361">
        <w:rPr>
          <w:lang w:val="pt-BR"/>
        </w:rPr>
        <w:t>Dartmouth</w:t>
      </w:r>
      <w:proofErr w:type="spellEnd"/>
      <w:r w:rsidRPr="00004361">
        <w:rPr>
          <w:lang w:val="pt-BR"/>
        </w:rPr>
        <w:t xml:space="preserve"> </w:t>
      </w:r>
      <w:proofErr w:type="spellStart"/>
      <w:r w:rsidRPr="00004361">
        <w:rPr>
          <w:lang w:val="pt-BR"/>
        </w:rPr>
        <w:t>rommates</w:t>
      </w:r>
      <w:proofErr w:type="spellEnd"/>
      <w:r w:rsidRPr="00004361">
        <w:rPr>
          <w:lang w:val="pt-BR"/>
        </w:rPr>
        <w:t xml:space="preserve">. </w:t>
      </w:r>
      <w:proofErr w:type="spellStart"/>
      <w:r w:rsidRPr="00004361">
        <w:rPr>
          <w:i/>
          <w:lang w:val="pt-BR"/>
        </w:rPr>
        <w:t>The</w:t>
      </w:r>
      <w:proofErr w:type="spellEnd"/>
      <w:r w:rsidRPr="00004361">
        <w:rPr>
          <w:i/>
          <w:lang w:val="pt-BR"/>
        </w:rPr>
        <w:t xml:space="preserve"> </w:t>
      </w:r>
      <w:proofErr w:type="spellStart"/>
      <w:r w:rsidRPr="00004361">
        <w:rPr>
          <w:i/>
          <w:lang w:val="pt-BR"/>
        </w:rPr>
        <w:t>Quartely</w:t>
      </w:r>
      <w:proofErr w:type="spellEnd"/>
      <w:r w:rsidRPr="00004361">
        <w:rPr>
          <w:i/>
          <w:lang w:val="pt-BR"/>
        </w:rPr>
        <w:t xml:space="preserve"> </w:t>
      </w:r>
      <w:proofErr w:type="spellStart"/>
      <w:r w:rsidRPr="00004361">
        <w:rPr>
          <w:i/>
          <w:lang w:val="pt-BR"/>
        </w:rPr>
        <w:t>Journal</w:t>
      </w:r>
      <w:proofErr w:type="spellEnd"/>
      <w:r w:rsidRPr="00004361">
        <w:rPr>
          <w:i/>
          <w:lang w:val="pt-BR"/>
        </w:rPr>
        <w:t xml:space="preserve"> </w:t>
      </w:r>
      <w:proofErr w:type="spellStart"/>
      <w:r w:rsidRPr="00004361">
        <w:rPr>
          <w:i/>
          <w:lang w:val="pt-BR"/>
        </w:rPr>
        <w:t>of</w:t>
      </w:r>
      <w:proofErr w:type="spellEnd"/>
      <w:r w:rsidRPr="00004361">
        <w:rPr>
          <w:i/>
          <w:lang w:val="pt-BR"/>
        </w:rPr>
        <w:t xml:space="preserve"> </w:t>
      </w:r>
      <w:proofErr w:type="spellStart"/>
      <w:r w:rsidRPr="00004361">
        <w:rPr>
          <w:i/>
          <w:lang w:val="pt-BR"/>
        </w:rPr>
        <w:t>Economics</w:t>
      </w:r>
      <w:proofErr w:type="spellEnd"/>
      <w:r w:rsidRPr="00004361">
        <w:rPr>
          <w:lang w:val="pt-BR"/>
        </w:rPr>
        <w:t>, v. 116(2), p. 681-704.</w:t>
      </w:r>
    </w:p>
    <w:p w:rsidR="00004361" w:rsidRPr="00004361" w:rsidRDefault="00004361" w:rsidP="00785128">
      <w:pPr>
        <w:ind w:left="426" w:hanging="426"/>
        <w:jc w:val="both"/>
        <w:rPr>
          <w:lang w:val="en-US"/>
        </w:rPr>
      </w:pPr>
      <w:proofErr w:type="gramStart"/>
      <w:r w:rsidRPr="00004361">
        <w:rPr>
          <w:lang w:val="en-US"/>
        </w:rPr>
        <w:t xml:space="preserve">STRAND, L. B.; BARNETT, A. G.; TONG, S. </w:t>
      </w:r>
      <w:r>
        <w:rPr>
          <w:lang w:val="en-US"/>
        </w:rPr>
        <w:t>2011.</w:t>
      </w:r>
      <w:proofErr w:type="gramEnd"/>
      <w:r>
        <w:rPr>
          <w:lang w:val="en-US"/>
        </w:rPr>
        <w:t xml:space="preserve"> </w:t>
      </w:r>
      <w:r w:rsidRPr="00004361">
        <w:rPr>
          <w:lang w:val="en-US"/>
        </w:rPr>
        <w:t xml:space="preserve">The influence of season and ambient temperature on birth outcomes: A review of the epidemiological literature. </w:t>
      </w:r>
      <w:r w:rsidRPr="004865DF">
        <w:rPr>
          <w:bCs/>
          <w:i/>
          <w:lang w:val="en-US"/>
        </w:rPr>
        <w:t>Environmental Research</w:t>
      </w:r>
      <w:r w:rsidRPr="00004361">
        <w:rPr>
          <w:lang w:val="en-US"/>
        </w:rPr>
        <w:t>, v. 1</w:t>
      </w:r>
      <w:r>
        <w:rPr>
          <w:lang w:val="en-US"/>
        </w:rPr>
        <w:t>11, n. 3, p. 451–462.</w:t>
      </w:r>
    </w:p>
    <w:p w:rsidR="00FA0C5E" w:rsidRPr="00004361" w:rsidRDefault="00FA0C5E" w:rsidP="00785128">
      <w:pPr>
        <w:ind w:left="426" w:hanging="426"/>
        <w:jc w:val="both"/>
        <w:rPr>
          <w:lang w:val="en-US"/>
        </w:rPr>
      </w:pPr>
      <w:r w:rsidRPr="00004361">
        <w:rPr>
          <w:lang w:val="en-US"/>
        </w:rPr>
        <w:t xml:space="preserve">SUND, K., 2009. Estimating peer effects in Swedish high school using school, teacher, and student fixed effects. </w:t>
      </w:r>
      <w:r w:rsidRPr="00004361">
        <w:rPr>
          <w:i/>
          <w:lang w:val="en-US"/>
        </w:rPr>
        <w:t>Economics of Education Review</w:t>
      </w:r>
      <w:r w:rsidRPr="00004361">
        <w:rPr>
          <w:lang w:val="en-US"/>
        </w:rPr>
        <w:t>, v. 28, p. 329–336.</w:t>
      </w:r>
    </w:p>
    <w:p w:rsidR="00FA0C5E" w:rsidRPr="00004361" w:rsidRDefault="00FA0C5E" w:rsidP="00785128">
      <w:pPr>
        <w:ind w:left="426" w:hanging="426"/>
        <w:jc w:val="both"/>
        <w:rPr>
          <w:lang w:val="en-US"/>
        </w:rPr>
      </w:pPr>
      <w:proofErr w:type="gramStart"/>
      <w:r w:rsidRPr="00004361">
        <w:rPr>
          <w:lang w:val="en-US"/>
        </w:rPr>
        <w:t>VIGDOR, J. L. AND NECHYBA, T. J., 2007.</w:t>
      </w:r>
      <w:proofErr w:type="gramEnd"/>
      <w:r w:rsidRPr="00004361">
        <w:rPr>
          <w:lang w:val="en-US"/>
        </w:rPr>
        <w:t xml:space="preserve"> Peer effects in North Carolina public schools.</w:t>
      </w:r>
      <w:r w:rsidRPr="00004361">
        <w:rPr>
          <w:b/>
          <w:lang w:val="en-US"/>
        </w:rPr>
        <w:t xml:space="preserve"> </w:t>
      </w:r>
      <w:r w:rsidRPr="00004361">
        <w:rPr>
          <w:lang w:val="en-US"/>
        </w:rPr>
        <w:t xml:space="preserve">In: WOESSMANN, L; PETERSON, P. E (editors). </w:t>
      </w:r>
      <w:r w:rsidRPr="00004361">
        <w:rPr>
          <w:i/>
          <w:lang w:val="en-US"/>
        </w:rPr>
        <w:t>Schools and the equal opportunity problem</w:t>
      </w:r>
      <w:r w:rsidRPr="00004361">
        <w:rPr>
          <w:lang w:val="en-US"/>
        </w:rPr>
        <w:t>, p. 73-102, MIT Press.</w:t>
      </w:r>
    </w:p>
    <w:p w:rsidR="00FA0C5E" w:rsidRPr="002B3CB1" w:rsidRDefault="00FA0C5E" w:rsidP="00785128">
      <w:pPr>
        <w:ind w:left="426" w:hanging="426"/>
        <w:jc w:val="both"/>
        <w:rPr>
          <w:lang w:val="en-US"/>
        </w:rPr>
      </w:pPr>
      <w:r w:rsidRPr="00004361">
        <w:rPr>
          <w:lang w:val="en-US"/>
        </w:rPr>
        <w:t xml:space="preserve">ZIMMERMAN, D. J., 2003. Peer effects in academic outcomes: evidence from a natural experiment. </w:t>
      </w:r>
      <w:r w:rsidRPr="00004361">
        <w:rPr>
          <w:i/>
          <w:lang w:val="en-US"/>
        </w:rPr>
        <w:t>The Review of Economics and Statistics,</w:t>
      </w:r>
      <w:r w:rsidRPr="00004361">
        <w:rPr>
          <w:lang w:val="en-US"/>
        </w:rPr>
        <w:t xml:space="preserve"> v. 85(1), p. 9-23.</w:t>
      </w:r>
    </w:p>
    <w:p w:rsidR="00474D96" w:rsidRDefault="00474D96">
      <w:pPr>
        <w:rPr>
          <w:bdr w:val="none" w:sz="0" w:space="0" w:color="auto"/>
          <w:lang w:val="en-US" w:eastAsia="pt-BR"/>
        </w:rPr>
        <w:sectPr w:rsidR="00474D96" w:rsidSect="00785128">
          <w:headerReference w:type="default" r:id="rId12"/>
          <w:pgSz w:w="12240" w:h="15840"/>
          <w:pgMar w:top="1134" w:right="851" w:bottom="1134" w:left="851" w:header="720" w:footer="720" w:gutter="0"/>
          <w:cols w:space="720"/>
        </w:sectPr>
      </w:pPr>
    </w:p>
    <w:p w:rsidR="00266C04" w:rsidRDefault="00266C04" w:rsidP="00785128">
      <w:pPr>
        <w:jc w:val="both"/>
        <w:rPr>
          <w:b/>
          <w:bCs/>
          <w:bdr w:val="none" w:sz="0" w:space="0" w:color="auto"/>
          <w:lang w:val="en-US" w:eastAsia="pt-BR"/>
        </w:rPr>
      </w:pPr>
      <w:r>
        <w:rPr>
          <w:b/>
          <w:bCs/>
          <w:bdr w:val="none" w:sz="0" w:space="0" w:color="auto"/>
          <w:lang w:val="en-US" w:eastAsia="pt-BR"/>
        </w:rPr>
        <w:lastRenderedPageBreak/>
        <w:t>Annex</w:t>
      </w:r>
    </w:p>
    <w:p w:rsidR="00266C04" w:rsidRDefault="00266C04" w:rsidP="00785128">
      <w:pPr>
        <w:jc w:val="both"/>
        <w:rPr>
          <w:b/>
          <w:bCs/>
          <w:bdr w:val="none" w:sz="0" w:space="0" w:color="auto"/>
          <w:lang w:val="en-US" w:eastAsia="pt-BR"/>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82"/>
        <w:gridCol w:w="1189"/>
        <w:gridCol w:w="2115"/>
        <w:gridCol w:w="3260"/>
        <w:gridCol w:w="5742"/>
      </w:tblGrid>
      <w:tr w:rsidR="00474D96" w:rsidRPr="007D3E55" w:rsidTr="00474D96">
        <w:trPr>
          <w:jc w:val="center"/>
        </w:trPr>
        <w:tc>
          <w:tcPr>
            <w:tcW w:w="8046" w:type="dxa"/>
            <w:gridSpan w:val="4"/>
            <w:tcBorders>
              <w:bottom w:val="single" w:sz="4" w:space="0" w:color="auto"/>
            </w:tcBorders>
          </w:tcPr>
          <w:p w:rsidR="00474D96" w:rsidRDefault="00474D96" w:rsidP="00DF5BD2">
            <w:pPr>
              <w:rPr>
                <w:b/>
                <w:bCs/>
                <w:sz w:val="18"/>
                <w:szCs w:val="18"/>
                <w:bdr w:val="none" w:sz="0" w:space="0" w:color="auto"/>
                <w:lang w:val="en-US" w:eastAsia="pt-BR"/>
              </w:rPr>
            </w:pPr>
            <w:r>
              <w:rPr>
                <w:b/>
                <w:bCs/>
                <w:sz w:val="18"/>
                <w:szCs w:val="18"/>
                <w:bdr w:val="none" w:sz="0" w:space="0" w:color="auto"/>
                <w:lang w:val="en-US" w:eastAsia="pt-BR"/>
              </w:rPr>
              <w:t>Table A1</w:t>
            </w:r>
          </w:p>
          <w:p w:rsidR="00474D96" w:rsidRPr="007D3E55" w:rsidRDefault="00474D96" w:rsidP="00DF5BD2">
            <w:pPr>
              <w:rPr>
                <w:b/>
                <w:bCs/>
                <w:sz w:val="18"/>
                <w:szCs w:val="18"/>
                <w:bdr w:val="none" w:sz="0" w:space="0" w:color="auto"/>
                <w:lang w:val="en-US" w:eastAsia="pt-BR"/>
              </w:rPr>
            </w:pPr>
            <w:r>
              <w:rPr>
                <w:b/>
                <w:bCs/>
                <w:sz w:val="18"/>
                <w:szCs w:val="18"/>
                <w:bdr w:val="none" w:sz="0" w:space="0" w:color="auto"/>
                <w:lang w:val="en-US" w:eastAsia="pt-BR"/>
              </w:rPr>
              <w:t>Brazilian laws regarding minimum age for school entry in 2009</w:t>
            </w:r>
          </w:p>
        </w:tc>
        <w:tc>
          <w:tcPr>
            <w:tcW w:w="5742" w:type="dxa"/>
            <w:tcBorders>
              <w:bottom w:val="single" w:sz="4" w:space="0" w:color="auto"/>
            </w:tcBorders>
          </w:tcPr>
          <w:p w:rsidR="00474D96" w:rsidRDefault="00474D96" w:rsidP="00785128">
            <w:pPr>
              <w:jc w:val="center"/>
              <w:rPr>
                <w:b/>
                <w:bCs/>
                <w:sz w:val="18"/>
                <w:szCs w:val="18"/>
                <w:bdr w:val="none" w:sz="0" w:space="0" w:color="auto"/>
                <w:lang w:val="en-US" w:eastAsia="pt-BR"/>
              </w:rPr>
            </w:pPr>
          </w:p>
        </w:tc>
      </w:tr>
      <w:tr w:rsidR="00474D96" w:rsidRPr="007D3E55" w:rsidTr="00DF5BD2">
        <w:trPr>
          <w:jc w:val="center"/>
        </w:trPr>
        <w:tc>
          <w:tcPr>
            <w:tcW w:w="1482" w:type="dxa"/>
            <w:tcBorders>
              <w:top w:val="single" w:sz="4" w:space="0" w:color="auto"/>
              <w:bottom w:val="single" w:sz="4" w:space="0" w:color="auto"/>
            </w:tcBorders>
            <w:vAlign w:val="bottom"/>
          </w:tcPr>
          <w:p w:rsidR="00474D96" w:rsidRPr="00DF5BD2" w:rsidRDefault="00474D96" w:rsidP="00785128">
            <w:pPr>
              <w:rPr>
                <w:b/>
                <w:color w:val="000000"/>
                <w:sz w:val="18"/>
                <w:szCs w:val="18"/>
              </w:rPr>
            </w:pPr>
            <w:r w:rsidRPr="00DF5BD2">
              <w:rPr>
                <w:b/>
                <w:color w:val="000000"/>
                <w:sz w:val="18"/>
                <w:szCs w:val="18"/>
              </w:rPr>
              <w:t>State</w:t>
            </w:r>
          </w:p>
        </w:tc>
        <w:tc>
          <w:tcPr>
            <w:tcW w:w="1189" w:type="dxa"/>
            <w:tcBorders>
              <w:top w:val="single" w:sz="4" w:space="0" w:color="auto"/>
              <w:bottom w:val="single" w:sz="4" w:space="0" w:color="auto"/>
            </w:tcBorders>
            <w:vAlign w:val="bottom"/>
          </w:tcPr>
          <w:p w:rsidR="00474D96" w:rsidRPr="00DF5BD2" w:rsidRDefault="00474D96" w:rsidP="00785128">
            <w:pPr>
              <w:jc w:val="center"/>
              <w:rPr>
                <w:b/>
                <w:color w:val="000000"/>
                <w:sz w:val="18"/>
                <w:szCs w:val="18"/>
              </w:rPr>
            </w:pPr>
            <w:r w:rsidRPr="00DF5BD2">
              <w:rPr>
                <w:b/>
                <w:color w:val="000000"/>
                <w:sz w:val="18"/>
                <w:szCs w:val="18"/>
              </w:rPr>
              <w:t>First grade entry age</w:t>
            </w:r>
          </w:p>
        </w:tc>
        <w:tc>
          <w:tcPr>
            <w:tcW w:w="2115" w:type="dxa"/>
            <w:tcBorders>
              <w:top w:val="single" w:sz="4" w:space="0" w:color="auto"/>
              <w:bottom w:val="single" w:sz="4" w:space="0" w:color="auto"/>
            </w:tcBorders>
            <w:vAlign w:val="bottom"/>
          </w:tcPr>
          <w:p w:rsidR="00474D96" w:rsidRPr="00DF5BD2" w:rsidRDefault="00474D96" w:rsidP="00785128">
            <w:pPr>
              <w:jc w:val="center"/>
              <w:rPr>
                <w:b/>
                <w:color w:val="000000"/>
                <w:sz w:val="18"/>
                <w:szCs w:val="18"/>
              </w:rPr>
            </w:pPr>
            <w:r w:rsidRPr="00DF5BD2">
              <w:rPr>
                <w:b/>
                <w:color w:val="000000"/>
                <w:sz w:val="18"/>
                <w:szCs w:val="18"/>
              </w:rPr>
              <w:t xml:space="preserve">Birthday </w:t>
            </w:r>
            <w:proofErr w:type="spellStart"/>
            <w:r w:rsidRPr="00DF5BD2">
              <w:rPr>
                <w:b/>
                <w:color w:val="000000"/>
                <w:sz w:val="18"/>
                <w:szCs w:val="18"/>
              </w:rPr>
              <w:t>cutoff</w:t>
            </w:r>
            <w:proofErr w:type="spellEnd"/>
          </w:p>
        </w:tc>
        <w:tc>
          <w:tcPr>
            <w:tcW w:w="3260" w:type="dxa"/>
            <w:tcBorders>
              <w:top w:val="single" w:sz="4" w:space="0" w:color="auto"/>
              <w:bottom w:val="single" w:sz="4" w:space="0" w:color="auto"/>
            </w:tcBorders>
            <w:vAlign w:val="bottom"/>
          </w:tcPr>
          <w:p w:rsidR="00474D96" w:rsidRPr="00DF5BD2" w:rsidRDefault="00474D96" w:rsidP="00785128">
            <w:pPr>
              <w:jc w:val="center"/>
              <w:rPr>
                <w:b/>
                <w:color w:val="000000"/>
                <w:sz w:val="18"/>
                <w:szCs w:val="18"/>
              </w:rPr>
            </w:pPr>
            <w:r w:rsidRPr="00DF5BD2">
              <w:rPr>
                <w:b/>
                <w:color w:val="000000"/>
                <w:sz w:val="18"/>
                <w:szCs w:val="18"/>
              </w:rPr>
              <w:t>Statute</w:t>
            </w:r>
          </w:p>
        </w:tc>
        <w:tc>
          <w:tcPr>
            <w:tcW w:w="5742" w:type="dxa"/>
            <w:tcBorders>
              <w:top w:val="single" w:sz="4" w:space="0" w:color="auto"/>
              <w:bottom w:val="single" w:sz="4" w:space="0" w:color="auto"/>
            </w:tcBorders>
            <w:vAlign w:val="bottom"/>
          </w:tcPr>
          <w:p w:rsidR="00474D96" w:rsidRPr="00DF5BD2" w:rsidRDefault="00474D96" w:rsidP="00474D96">
            <w:pPr>
              <w:jc w:val="center"/>
              <w:rPr>
                <w:b/>
                <w:color w:val="000000"/>
                <w:sz w:val="18"/>
                <w:szCs w:val="18"/>
              </w:rPr>
            </w:pPr>
            <w:r w:rsidRPr="00DF5BD2">
              <w:rPr>
                <w:b/>
                <w:color w:val="000000"/>
                <w:sz w:val="18"/>
                <w:szCs w:val="18"/>
              </w:rPr>
              <w:t>Source</w:t>
            </w:r>
          </w:p>
        </w:tc>
      </w:tr>
      <w:tr w:rsidR="00474D96" w:rsidRPr="00474D96" w:rsidTr="00DF5BD2">
        <w:trPr>
          <w:jc w:val="center"/>
        </w:trPr>
        <w:tc>
          <w:tcPr>
            <w:tcW w:w="1482" w:type="dxa"/>
            <w:tcBorders>
              <w:top w:val="single" w:sz="4" w:space="0" w:color="auto"/>
              <w:bottom w:val="dotted" w:sz="4" w:space="0" w:color="auto"/>
            </w:tcBorders>
            <w:vAlign w:val="center"/>
          </w:tcPr>
          <w:p w:rsidR="00474D96" w:rsidRPr="007D3E55" w:rsidRDefault="00474D96" w:rsidP="00875A3C">
            <w:pPr>
              <w:rPr>
                <w:color w:val="000000"/>
                <w:sz w:val="18"/>
                <w:szCs w:val="18"/>
              </w:rPr>
            </w:pPr>
            <w:r w:rsidRPr="007D3E55">
              <w:rPr>
                <w:color w:val="000000"/>
                <w:sz w:val="18"/>
                <w:szCs w:val="18"/>
              </w:rPr>
              <w:t>Paraná</w:t>
            </w:r>
          </w:p>
        </w:tc>
        <w:tc>
          <w:tcPr>
            <w:tcW w:w="1189" w:type="dxa"/>
            <w:tcBorders>
              <w:top w:val="single"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single"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31-December</w:t>
            </w:r>
          </w:p>
        </w:tc>
        <w:tc>
          <w:tcPr>
            <w:tcW w:w="3260" w:type="dxa"/>
            <w:tcBorders>
              <w:top w:val="single" w:sz="4" w:space="0" w:color="auto"/>
              <w:bottom w:val="dotted" w:sz="4" w:space="0" w:color="auto"/>
            </w:tcBorders>
            <w:vAlign w:val="center"/>
          </w:tcPr>
          <w:p w:rsidR="00474D96" w:rsidRPr="007D3E55" w:rsidRDefault="00474D96" w:rsidP="00DF5BD2">
            <w:pPr>
              <w:jc w:val="center"/>
              <w:rPr>
                <w:color w:val="000000"/>
                <w:sz w:val="18"/>
                <w:szCs w:val="18"/>
              </w:rPr>
            </w:pPr>
            <w:r w:rsidRPr="007D3E55">
              <w:rPr>
                <w:color w:val="000000"/>
                <w:sz w:val="18"/>
                <w:szCs w:val="18"/>
              </w:rPr>
              <w:t>LEI Nº 16.049 DE 19/02/2009</w:t>
            </w:r>
          </w:p>
        </w:tc>
        <w:tc>
          <w:tcPr>
            <w:tcW w:w="5742" w:type="dxa"/>
            <w:tcBorders>
              <w:top w:val="single" w:sz="4" w:space="0" w:color="auto"/>
              <w:bottom w:val="dotted" w:sz="4" w:space="0" w:color="auto"/>
            </w:tcBorders>
            <w:vAlign w:val="center"/>
          </w:tcPr>
          <w:p w:rsidR="00474D96" w:rsidRPr="00474D96" w:rsidRDefault="00474D96" w:rsidP="00DF5BD2">
            <w:pPr>
              <w:rPr>
                <w:color w:val="000000"/>
                <w:sz w:val="18"/>
                <w:szCs w:val="18"/>
                <w:lang w:val="pt-BR"/>
              </w:rPr>
            </w:pPr>
            <w:r w:rsidRPr="00474D96">
              <w:rPr>
                <w:color w:val="000000"/>
                <w:sz w:val="18"/>
                <w:szCs w:val="18"/>
                <w:lang w:val="pt-BR"/>
              </w:rPr>
              <w:t>Lei 16049 - 19 de Fevereiro de 2009</w:t>
            </w:r>
            <w:r>
              <w:rPr>
                <w:color w:val="000000"/>
                <w:sz w:val="18"/>
                <w:szCs w:val="18"/>
                <w:lang w:val="pt-BR"/>
              </w:rPr>
              <w:t>. P</w:t>
            </w:r>
            <w:r w:rsidRPr="00474D96">
              <w:rPr>
                <w:color w:val="000000"/>
                <w:sz w:val="18"/>
                <w:szCs w:val="18"/>
                <w:lang w:val="pt-BR"/>
              </w:rPr>
              <w:t>ublicado no</w:t>
            </w:r>
            <w:r>
              <w:rPr>
                <w:color w:val="000000"/>
                <w:sz w:val="18"/>
                <w:szCs w:val="18"/>
                <w:lang w:val="pt-BR"/>
              </w:rPr>
              <w:t xml:space="preserve"> </w:t>
            </w:r>
            <w:r w:rsidRPr="00474D96">
              <w:rPr>
                <w:color w:val="000000"/>
                <w:sz w:val="18"/>
                <w:szCs w:val="18"/>
                <w:lang w:val="pt-BR"/>
              </w:rPr>
              <w:t>Diário Oficial nº. 7915</w:t>
            </w:r>
            <w:r>
              <w:rPr>
                <w:color w:val="000000"/>
                <w:sz w:val="18"/>
                <w:szCs w:val="18"/>
                <w:lang w:val="pt-BR"/>
              </w:rPr>
              <w:t xml:space="preserve"> </w:t>
            </w:r>
            <w:r w:rsidRPr="00474D96">
              <w:rPr>
                <w:color w:val="000000"/>
                <w:sz w:val="18"/>
                <w:szCs w:val="18"/>
                <w:lang w:val="pt-BR"/>
              </w:rPr>
              <w:t>de 19 de Fevereiro de 2009</w:t>
            </w:r>
            <w:r>
              <w:rPr>
                <w:color w:val="000000"/>
                <w:sz w:val="18"/>
                <w:szCs w:val="18"/>
                <w:lang w:val="pt-BR"/>
              </w:rPr>
              <w:t xml:space="preserve">. </w:t>
            </w:r>
            <w:r w:rsidRPr="00474D96">
              <w:rPr>
                <w:bCs/>
                <w:color w:val="000000"/>
                <w:sz w:val="18"/>
                <w:szCs w:val="18"/>
                <w:lang w:val="pt-BR"/>
              </w:rPr>
              <w:t>Disponível em: &lt;</w:t>
            </w:r>
            <w:proofErr w:type="gramStart"/>
            <w:r w:rsidRPr="00474D96">
              <w:rPr>
                <w:color w:val="000000"/>
                <w:sz w:val="18"/>
                <w:szCs w:val="18"/>
                <w:lang w:val="pt-BR"/>
              </w:rPr>
              <w:t>http://www.legislacao.pr.gov.br/legislacao/listarAtosAno.</w:t>
            </w:r>
            <w:proofErr w:type="gramEnd"/>
            <w:r w:rsidRPr="00474D96">
              <w:rPr>
                <w:color w:val="000000"/>
                <w:sz w:val="18"/>
                <w:szCs w:val="18"/>
                <w:lang w:val="pt-BR"/>
              </w:rPr>
              <w:t>do?</w:t>
            </w:r>
            <w:proofErr w:type="gramStart"/>
            <w:r w:rsidRPr="00474D96">
              <w:rPr>
                <w:color w:val="000000"/>
                <w:sz w:val="18"/>
                <w:szCs w:val="18"/>
                <w:lang w:val="pt-BR"/>
              </w:rPr>
              <w:t>action</w:t>
            </w:r>
            <w:proofErr w:type="gramEnd"/>
            <w:r w:rsidRPr="00474D96">
              <w:rPr>
                <w:color w:val="000000"/>
                <w:sz w:val="18"/>
                <w:szCs w:val="18"/>
                <w:lang w:val="pt-BR"/>
              </w:rPr>
              <w:t>=exibir&amp;codAto=19943&gt;</w:t>
            </w:r>
            <w:r w:rsidRPr="00474D96">
              <w:rPr>
                <w:bCs/>
                <w:color w:val="000000"/>
                <w:sz w:val="18"/>
                <w:szCs w:val="18"/>
                <w:lang w:val="pt-BR"/>
              </w:rPr>
              <w:t>. Acesso em: 20 jun. 2016.</w:t>
            </w:r>
          </w:p>
        </w:tc>
      </w:tr>
      <w:tr w:rsidR="00474D96" w:rsidRPr="00437CE9" w:rsidTr="00DF5BD2">
        <w:trPr>
          <w:jc w:val="center"/>
        </w:trPr>
        <w:tc>
          <w:tcPr>
            <w:tcW w:w="1482" w:type="dxa"/>
            <w:tcBorders>
              <w:top w:val="dotted" w:sz="4" w:space="0" w:color="auto"/>
              <w:bottom w:val="dotted" w:sz="4" w:space="0" w:color="auto"/>
            </w:tcBorders>
            <w:vAlign w:val="center"/>
          </w:tcPr>
          <w:p w:rsidR="00474D96" w:rsidRPr="00474D96" w:rsidRDefault="00474D96" w:rsidP="00875A3C">
            <w:pPr>
              <w:rPr>
                <w:color w:val="000000"/>
                <w:sz w:val="18"/>
                <w:szCs w:val="18"/>
                <w:lang w:val="pt-BR"/>
              </w:rPr>
            </w:pPr>
            <w:r w:rsidRPr="00474D96">
              <w:rPr>
                <w:color w:val="000000"/>
                <w:sz w:val="18"/>
                <w:szCs w:val="18"/>
                <w:lang w:val="pt-BR"/>
              </w:rPr>
              <w:t>Rio Grande do Sul</w:t>
            </w:r>
          </w:p>
        </w:tc>
        <w:tc>
          <w:tcPr>
            <w:tcW w:w="1189" w:type="dxa"/>
            <w:tcBorders>
              <w:top w:val="dotted" w:sz="4" w:space="0" w:color="auto"/>
              <w:bottom w:val="dotted" w:sz="4" w:space="0" w:color="auto"/>
            </w:tcBorders>
            <w:vAlign w:val="center"/>
          </w:tcPr>
          <w:p w:rsidR="00474D96" w:rsidRPr="00474D96" w:rsidRDefault="00474D96" w:rsidP="00875A3C">
            <w:pPr>
              <w:jc w:val="center"/>
              <w:rPr>
                <w:color w:val="000000"/>
                <w:sz w:val="18"/>
                <w:szCs w:val="18"/>
                <w:lang w:val="pt-BR"/>
              </w:rPr>
            </w:pPr>
            <w:proofErr w:type="gramStart"/>
            <w:r w:rsidRPr="00474D96">
              <w:rPr>
                <w:color w:val="000000"/>
                <w:sz w:val="18"/>
                <w:szCs w:val="18"/>
                <w:lang w:val="pt-BR"/>
              </w:rPr>
              <w:t>6</w:t>
            </w:r>
            <w:proofErr w:type="gramEnd"/>
          </w:p>
        </w:tc>
        <w:tc>
          <w:tcPr>
            <w:tcW w:w="2115" w:type="dxa"/>
            <w:tcBorders>
              <w:top w:val="dotted" w:sz="4" w:space="0" w:color="auto"/>
              <w:bottom w:val="dotted" w:sz="4" w:space="0" w:color="auto"/>
            </w:tcBorders>
            <w:vAlign w:val="center"/>
          </w:tcPr>
          <w:p w:rsidR="00474D96" w:rsidRPr="00474D96" w:rsidRDefault="00474D96" w:rsidP="00875A3C">
            <w:pPr>
              <w:jc w:val="center"/>
              <w:rPr>
                <w:color w:val="000000"/>
                <w:sz w:val="18"/>
                <w:szCs w:val="18"/>
                <w:lang w:val="pt-BR"/>
              </w:rPr>
            </w:pPr>
            <w:proofErr w:type="spellStart"/>
            <w:r w:rsidRPr="00474D96">
              <w:rPr>
                <w:color w:val="000000"/>
                <w:sz w:val="18"/>
                <w:szCs w:val="18"/>
                <w:lang w:val="pt-BR"/>
              </w:rPr>
              <w:t>Beginning</w:t>
            </w:r>
            <w:proofErr w:type="spellEnd"/>
            <w:r w:rsidRPr="00474D96">
              <w:rPr>
                <w:color w:val="000000"/>
                <w:sz w:val="18"/>
                <w:szCs w:val="18"/>
                <w:lang w:val="pt-BR"/>
              </w:rPr>
              <w:t xml:space="preserve"> </w:t>
            </w:r>
            <w:proofErr w:type="spellStart"/>
            <w:r w:rsidRPr="00474D96">
              <w:rPr>
                <w:color w:val="000000"/>
                <w:sz w:val="18"/>
                <w:szCs w:val="18"/>
                <w:lang w:val="pt-BR"/>
              </w:rPr>
              <w:t>of</w:t>
            </w:r>
            <w:proofErr w:type="spellEnd"/>
            <w:r w:rsidRPr="00474D96">
              <w:rPr>
                <w:color w:val="000000"/>
                <w:sz w:val="18"/>
                <w:szCs w:val="18"/>
                <w:lang w:val="pt-BR"/>
              </w:rPr>
              <w:t xml:space="preserve"> </w:t>
            </w:r>
            <w:proofErr w:type="spellStart"/>
            <w:r w:rsidRPr="00474D96">
              <w:rPr>
                <w:color w:val="000000"/>
                <w:sz w:val="18"/>
                <w:szCs w:val="18"/>
                <w:lang w:val="pt-BR"/>
              </w:rPr>
              <w:t>school</w:t>
            </w:r>
            <w:proofErr w:type="spellEnd"/>
            <w:r w:rsidRPr="00474D96">
              <w:rPr>
                <w:color w:val="000000"/>
                <w:sz w:val="18"/>
                <w:szCs w:val="18"/>
                <w:lang w:val="pt-BR"/>
              </w:rPr>
              <w:t xml:space="preserve"> </w:t>
            </w:r>
            <w:proofErr w:type="spellStart"/>
            <w:r w:rsidRPr="00474D96">
              <w:rPr>
                <w:color w:val="000000"/>
                <w:sz w:val="18"/>
                <w:szCs w:val="18"/>
                <w:lang w:val="pt-BR"/>
              </w:rPr>
              <w:t>year</w:t>
            </w:r>
            <w:proofErr w:type="spellEnd"/>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lang w:val="pt-BR"/>
              </w:rPr>
            </w:pPr>
            <w:r w:rsidRPr="007D3E55">
              <w:rPr>
                <w:color w:val="000000"/>
                <w:sz w:val="18"/>
                <w:szCs w:val="18"/>
                <w:lang w:val="pt-BR"/>
              </w:rPr>
              <w:t xml:space="preserve">PARECER CNE/CEB Nº: 4/2008 </w:t>
            </w:r>
            <w:r>
              <w:rPr>
                <w:color w:val="000000"/>
                <w:sz w:val="18"/>
                <w:szCs w:val="18"/>
                <w:lang w:val="pt-BR"/>
              </w:rPr>
              <w:t>–</w:t>
            </w:r>
            <w:r w:rsidRPr="007D3E55">
              <w:rPr>
                <w:color w:val="000000"/>
                <w:sz w:val="18"/>
                <w:szCs w:val="18"/>
                <w:lang w:val="pt-BR"/>
              </w:rPr>
              <w:t xml:space="preserve"> MEC</w:t>
            </w:r>
          </w:p>
        </w:tc>
        <w:tc>
          <w:tcPr>
            <w:tcW w:w="5742" w:type="dxa"/>
            <w:vMerge w:val="restart"/>
            <w:tcBorders>
              <w:top w:val="dotted" w:sz="4" w:space="0" w:color="auto"/>
              <w:bottom w:val="dotted" w:sz="4" w:space="0" w:color="auto"/>
            </w:tcBorders>
            <w:vAlign w:val="center"/>
          </w:tcPr>
          <w:p w:rsidR="00474D96" w:rsidRPr="007D3E55" w:rsidRDefault="00474D96" w:rsidP="00DF5BD2">
            <w:pPr>
              <w:rPr>
                <w:color w:val="000000"/>
                <w:sz w:val="18"/>
                <w:szCs w:val="18"/>
                <w:lang w:val="pt-BR"/>
              </w:rPr>
            </w:pPr>
            <w:r w:rsidRPr="00474D96">
              <w:rPr>
                <w:bCs/>
                <w:color w:val="000000"/>
                <w:sz w:val="18"/>
                <w:szCs w:val="18"/>
                <w:lang w:val="pt-BR"/>
              </w:rPr>
              <w:t xml:space="preserve">BRASIL. Ministério da Educação. Resolução CNE/CEB n. 4, de 20 fev. </w:t>
            </w:r>
            <w:proofErr w:type="gramStart"/>
            <w:r w:rsidRPr="00474D96">
              <w:rPr>
                <w:bCs/>
                <w:color w:val="000000"/>
                <w:sz w:val="18"/>
                <w:szCs w:val="18"/>
                <w:lang w:val="pt-BR"/>
              </w:rPr>
              <w:t>2008</w:t>
            </w:r>
            <w:r>
              <w:rPr>
                <w:bCs/>
                <w:color w:val="000000"/>
                <w:sz w:val="18"/>
                <w:szCs w:val="18"/>
                <w:lang w:val="pt-BR"/>
              </w:rPr>
              <w:t>.</w:t>
            </w:r>
            <w:proofErr w:type="gramEnd"/>
            <w:r>
              <w:rPr>
                <w:bCs/>
                <w:color w:val="000000"/>
                <w:sz w:val="18"/>
                <w:szCs w:val="18"/>
                <w:lang w:val="pt-BR"/>
              </w:rPr>
              <w:t>Publicado no</w:t>
            </w:r>
            <w:r w:rsidRPr="00474D96">
              <w:rPr>
                <w:bCs/>
                <w:i/>
                <w:color w:val="000000"/>
                <w:sz w:val="18"/>
                <w:szCs w:val="18"/>
                <w:lang w:val="pt-BR"/>
              </w:rPr>
              <w:t xml:space="preserve"> Diário Oficial da União,</w:t>
            </w:r>
            <w:r w:rsidRPr="00474D96">
              <w:rPr>
                <w:bCs/>
                <w:color w:val="000000"/>
                <w:sz w:val="18"/>
                <w:szCs w:val="18"/>
                <w:lang w:val="pt-BR"/>
              </w:rPr>
              <w:t xml:space="preserve"> Brasília, 10 Jun. 2008, Disponível em: &lt;</w:t>
            </w:r>
            <w:r w:rsidRPr="00474D96">
              <w:rPr>
                <w:color w:val="000000"/>
                <w:sz w:val="18"/>
                <w:szCs w:val="18"/>
                <w:lang w:val="pt-BR"/>
              </w:rPr>
              <w:t>http://portal.mec.gov.br/cne/arquivos/pdf/2008/pceb004_08.pdf&gt;</w:t>
            </w:r>
            <w:r w:rsidRPr="00474D96">
              <w:rPr>
                <w:bCs/>
                <w:color w:val="000000"/>
                <w:sz w:val="18"/>
                <w:szCs w:val="18"/>
                <w:lang w:val="pt-BR"/>
              </w:rPr>
              <w:t>. Acesso em: 20 jun. 2016.</w:t>
            </w:r>
          </w:p>
        </w:tc>
      </w:tr>
      <w:tr w:rsidR="00474D96" w:rsidRPr="00C11704"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r w:rsidRPr="007D3E55">
              <w:rPr>
                <w:color w:val="000000"/>
                <w:sz w:val="18"/>
                <w:szCs w:val="18"/>
              </w:rPr>
              <w:t xml:space="preserve">Santa </w:t>
            </w:r>
            <w:proofErr w:type="spellStart"/>
            <w:r w:rsidRPr="007D3E55">
              <w:rPr>
                <w:color w:val="000000"/>
                <w:sz w:val="18"/>
                <w:szCs w:val="18"/>
              </w:rPr>
              <w:t>Catarina</w:t>
            </w:r>
            <w:proofErr w:type="spellEnd"/>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474D96" w:rsidRPr="007D3E55" w:rsidRDefault="00474D96" w:rsidP="00DF5BD2">
            <w:pPr>
              <w:rPr>
                <w:color w:val="000000"/>
                <w:sz w:val="18"/>
                <w:szCs w:val="18"/>
                <w:lang w:val="pt-BR"/>
              </w:rPr>
            </w:pPr>
          </w:p>
        </w:tc>
      </w:tr>
      <w:tr w:rsidR="00474D96" w:rsidRPr="00474D96"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r w:rsidRPr="007D3E55">
              <w:rPr>
                <w:color w:val="000000"/>
                <w:sz w:val="18"/>
                <w:szCs w:val="18"/>
              </w:rPr>
              <w:t>São Paulo</w:t>
            </w:r>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31-December</w:t>
            </w:r>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lang w:val="pt-BR"/>
              </w:rPr>
            </w:pPr>
            <w:r w:rsidRPr="007D3E55">
              <w:rPr>
                <w:color w:val="000000"/>
                <w:sz w:val="18"/>
                <w:szCs w:val="18"/>
                <w:lang w:val="pt-BR"/>
              </w:rPr>
              <w:t>DELIBERAÇÃO CEE N° 73/2008 - SÃO PAULO</w:t>
            </w:r>
          </w:p>
        </w:tc>
        <w:tc>
          <w:tcPr>
            <w:tcW w:w="5742" w:type="dxa"/>
            <w:tcBorders>
              <w:top w:val="dotted" w:sz="4" w:space="0" w:color="auto"/>
              <w:bottom w:val="dotted" w:sz="4" w:space="0" w:color="auto"/>
            </w:tcBorders>
            <w:vAlign w:val="center"/>
          </w:tcPr>
          <w:p w:rsidR="00474D96" w:rsidRPr="00474D96" w:rsidRDefault="00474D96" w:rsidP="00DF5BD2">
            <w:pPr>
              <w:rPr>
                <w:color w:val="000000"/>
                <w:sz w:val="18"/>
                <w:szCs w:val="18"/>
                <w:lang w:val="pt-BR"/>
              </w:rPr>
            </w:pPr>
            <w:r w:rsidRPr="00C11704">
              <w:rPr>
                <w:color w:val="000000"/>
                <w:sz w:val="18"/>
                <w:szCs w:val="18"/>
                <w:lang w:val="pt-BR"/>
              </w:rPr>
              <w:t xml:space="preserve">DELIBERAÇÃO CEE N° 73/2008. </w:t>
            </w:r>
            <w:r w:rsidRPr="00474D96">
              <w:rPr>
                <w:bCs/>
                <w:color w:val="000000"/>
                <w:sz w:val="18"/>
                <w:szCs w:val="18"/>
                <w:lang w:val="pt-BR"/>
              </w:rPr>
              <w:t>Disponível em: &lt;</w:t>
            </w:r>
            <w:r w:rsidRPr="00474D96">
              <w:rPr>
                <w:color w:val="000000"/>
                <w:sz w:val="18"/>
                <w:szCs w:val="18"/>
                <w:lang w:val="pt-BR"/>
              </w:rPr>
              <w:t>http://desumare.edunet.sp.gov.br/Supervisao/09/deliberacoes/deliberacao_CEE_7308.pdf&gt;</w:t>
            </w:r>
            <w:r w:rsidRPr="00474D96">
              <w:rPr>
                <w:bCs/>
                <w:color w:val="000000"/>
                <w:sz w:val="18"/>
                <w:szCs w:val="18"/>
                <w:lang w:val="pt-BR"/>
              </w:rPr>
              <w:t>. Acesso em: 20 jun. 2016.</w:t>
            </w:r>
          </w:p>
        </w:tc>
      </w:tr>
      <w:tr w:rsidR="00474D96" w:rsidRPr="00474D96"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r w:rsidRPr="007D3E55">
              <w:rPr>
                <w:color w:val="000000"/>
                <w:sz w:val="18"/>
                <w:szCs w:val="18"/>
              </w:rPr>
              <w:t xml:space="preserve">Rio de Janeiro </w:t>
            </w:r>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474D96" w:rsidRPr="00C11704" w:rsidRDefault="00474D96" w:rsidP="00DF5BD2">
            <w:pPr>
              <w:jc w:val="center"/>
              <w:rPr>
                <w:color w:val="000000"/>
                <w:sz w:val="18"/>
                <w:szCs w:val="18"/>
                <w:lang w:val="pt-BR"/>
              </w:rPr>
            </w:pPr>
            <w:r w:rsidRPr="00C11704">
              <w:rPr>
                <w:color w:val="000000"/>
                <w:sz w:val="18"/>
                <w:szCs w:val="18"/>
                <w:lang w:val="pt-BR"/>
              </w:rPr>
              <w:t>PARECER CNE/CEB Nº: 4/2008 - MEC</w:t>
            </w:r>
          </w:p>
        </w:tc>
        <w:tc>
          <w:tcPr>
            <w:tcW w:w="5742" w:type="dxa"/>
            <w:vMerge w:val="restart"/>
            <w:tcBorders>
              <w:top w:val="dotted" w:sz="4" w:space="0" w:color="auto"/>
              <w:bottom w:val="dotted" w:sz="4" w:space="0" w:color="auto"/>
            </w:tcBorders>
            <w:vAlign w:val="center"/>
          </w:tcPr>
          <w:p w:rsidR="00474D96" w:rsidRPr="00474D96" w:rsidRDefault="00474D96" w:rsidP="00DF5BD2">
            <w:pPr>
              <w:rPr>
                <w:color w:val="000000"/>
                <w:sz w:val="18"/>
                <w:szCs w:val="18"/>
                <w:lang w:val="en-US"/>
              </w:rPr>
            </w:pPr>
            <w:r w:rsidRPr="00474D96">
              <w:rPr>
                <w:bCs/>
                <w:color w:val="000000"/>
                <w:sz w:val="18"/>
                <w:szCs w:val="18"/>
                <w:lang w:val="pt-BR"/>
              </w:rPr>
              <w:t xml:space="preserve">BRASIL. Ministério da Educação. Resolução CNE/CEB n. 4, de 20 fev. </w:t>
            </w:r>
            <w:proofErr w:type="gramStart"/>
            <w:r w:rsidRPr="00474D96">
              <w:rPr>
                <w:bCs/>
                <w:color w:val="000000"/>
                <w:sz w:val="18"/>
                <w:szCs w:val="18"/>
                <w:lang w:val="pt-BR"/>
              </w:rPr>
              <w:t>2008</w:t>
            </w:r>
            <w:r>
              <w:rPr>
                <w:bCs/>
                <w:color w:val="000000"/>
                <w:sz w:val="18"/>
                <w:szCs w:val="18"/>
                <w:lang w:val="pt-BR"/>
              </w:rPr>
              <w:t>.</w:t>
            </w:r>
            <w:proofErr w:type="gramEnd"/>
            <w:r>
              <w:rPr>
                <w:bCs/>
                <w:color w:val="000000"/>
                <w:sz w:val="18"/>
                <w:szCs w:val="18"/>
                <w:lang w:val="pt-BR"/>
              </w:rPr>
              <w:t>Publicado no</w:t>
            </w:r>
            <w:r w:rsidRPr="00474D96">
              <w:rPr>
                <w:bCs/>
                <w:i/>
                <w:color w:val="000000"/>
                <w:sz w:val="18"/>
                <w:szCs w:val="18"/>
                <w:lang w:val="pt-BR"/>
              </w:rPr>
              <w:t xml:space="preserve"> Diário Oficial da União,</w:t>
            </w:r>
            <w:r w:rsidRPr="00474D96">
              <w:rPr>
                <w:bCs/>
                <w:color w:val="000000"/>
                <w:sz w:val="18"/>
                <w:szCs w:val="18"/>
                <w:lang w:val="pt-BR"/>
              </w:rPr>
              <w:t xml:space="preserve"> Brasília, 10 Jun. 2008, Disponível em: &lt;</w:t>
            </w:r>
            <w:r w:rsidRPr="00474D96">
              <w:rPr>
                <w:color w:val="000000"/>
                <w:sz w:val="18"/>
                <w:szCs w:val="18"/>
                <w:lang w:val="pt-BR"/>
              </w:rPr>
              <w:t>http://portal.mec.gov.br/cne/arquivos/pdf/2008/pceb004_08.pdf&gt;</w:t>
            </w:r>
            <w:r w:rsidRPr="00474D96">
              <w:rPr>
                <w:bCs/>
                <w:color w:val="000000"/>
                <w:sz w:val="18"/>
                <w:szCs w:val="18"/>
                <w:lang w:val="pt-BR"/>
              </w:rPr>
              <w:t>. Acesso em: 20 jun. 2016</w:t>
            </w:r>
          </w:p>
        </w:tc>
      </w:tr>
      <w:tr w:rsidR="00474D96" w:rsidRPr="00C11704"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r w:rsidRPr="007D3E55">
              <w:rPr>
                <w:color w:val="000000"/>
                <w:sz w:val="18"/>
                <w:szCs w:val="18"/>
              </w:rPr>
              <w:t xml:space="preserve">Minas </w:t>
            </w:r>
            <w:proofErr w:type="spellStart"/>
            <w:r w:rsidRPr="007D3E55">
              <w:rPr>
                <w:color w:val="000000"/>
                <w:sz w:val="18"/>
                <w:szCs w:val="18"/>
              </w:rPr>
              <w:t>Gerais</w:t>
            </w:r>
            <w:proofErr w:type="spellEnd"/>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lang w:val="pt-BR"/>
              </w:rPr>
            </w:pPr>
            <w:r w:rsidRPr="00C11704">
              <w:rPr>
                <w:color w:val="000000"/>
                <w:sz w:val="18"/>
                <w:szCs w:val="18"/>
                <w:lang w:val="pt-BR"/>
              </w:rPr>
              <w:t xml:space="preserve">PARECER </w:t>
            </w:r>
            <w:r w:rsidRPr="007D3E55">
              <w:rPr>
                <w:color w:val="000000"/>
                <w:sz w:val="18"/>
                <w:szCs w:val="18"/>
                <w:lang w:val="pt-BR"/>
              </w:rPr>
              <w:t>CNE/CEB Nº: 4/2008 - MEC</w:t>
            </w:r>
          </w:p>
        </w:tc>
        <w:tc>
          <w:tcPr>
            <w:tcW w:w="5742" w:type="dxa"/>
            <w:vMerge/>
            <w:tcBorders>
              <w:top w:val="dotted" w:sz="4" w:space="0" w:color="auto"/>
              <w:bottom w:val="dotted" w:sz="4" w:space="0" w:color="auto"/>
            </w:tcBorders>
            <w:vAlign w:val="center"/>
          </w:tcPr>
          <w:p w:rsidR="00474D96" w:rsidRPr="007D3E55" w:rsidRDefault="00474D96" w:rsidP="00DF5BD2">
            <w:pPr>
              <w:rPr>
                <w:color w:val="000000"/>
                <w:sz w:val="18"/>
                <w:szCs w:val="18"/>
                <w:lang w:val="pt-BR"/>
              </w:rPr>
            </w:pPr>
          </w:p>
        </w:tc>
      </w:tr>
      <w:tr w:rsidR="00474D96" w:rsidRPr="00474D96"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proofErr w:type="spellStart"/>
            <w:r w:rsidRPr="007D3E55">
              <w:rPr>
                <w:color w:val="000000"/>
                <w:sz w:val="18"/>
                <w:szCs w:val="18"/>
              </w:rPr>
              <w:t>Espírito</w:t>
            </w:r>
            <w:proofErr w:type="spellEnd"/>
            <w:r w:rsidRPr="007D3E55">
              <w:rPr>
                <w:color w:val="000000"/>
                <w:sz w:val="18"/>
                <w:szCs w:val="18"/>
              </w:rPr>
              <w:t xml:space="preserve"> Santo</w:t>
            </w:r>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1-March</w:t>
            </w:r>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lang w:val="pt-BR"/>
              </w:rPr>
            </w:pPr>
            <w:r w:rsidRPr="007D3E55">
              <w:rPr>
                <w:color w:val="000000"/>
                <w:sz w:val="18"/>
                <w:szCs w:val="18"/>
                <w:lang w:val="pt-BR"/>
              </w:rPr>
              <w:t>RESOLUÇÃO CEE Nº 1790/2008 - CONSELHO DE EDUCAÇÃO DO ESPÍRITO SANTO</w:t>
            </w:r>
          </w:p>
        </w:tc>
        <w:tc>
          <w:tcPr>
            <w:tcW w:w="5742" w:type="dxa"/>
            <w:tcBorders>
              <w:top w:val="dotted" w:sz="4" w:space="0" w:color="auto"/>
              <w:bottom w:val="dotted" w:sz="4" w:space="0" w:color="auto"/>
            </w:tcBorders>
            <w:vAlign w:val="center"/>
          </w:tcPr>
          <w:p w:rsidR="00474D96" w:rsidRPr="00474D96" w:rsidRDefault="00474D96" w:rsidP="00DF5BD2">
            <w:pPr>
              <w:rPr>
                <w:color w:val="000000"/>
                <w:sz w:val="18"/>
                <w:szCs w:val="18"/>
                <w:lang w:val="pt-BR"/>
              </w:rPr>
            </w:pPr>
            <w:r w:rsidRPr="00C11704">
              <w:rPr>
                <w:color w:val="000000"/>
                <w:sz w:val="18"/>
                <w:szCs w:val="18"/>
                <w:lang w:val="pt-BR"/>
              </w:rPr>
              <w:t xml:space="preserve">RESOLUÇÃO CEE Nº 1790/2008. </w:t>
            </w:r>
            <w:r w:rsidRPr="00474D96">
              <w:rPr>
                <w:color w:val="000000"/>
                <w:sz w:val="18"/>
                <w:szCs w:val="18"/>
                <w:lang w:val="pt-BR"/>
              </w:rPr>
              <w:t>Publicado no Diário Oficial em 14/11/2008</w:t>
            </w:r>
            <w:r>
              <w:rPr>
                <w:color w:val="000000"/>
                <w:sz w:val="18"/>
                <w:szCs w:val="18"/>
                <w:lang w:val="pt-BR"/>
              </w:rPr>
              <w:t xml:space="preserve">. </w:t>
            </w:r>
            <w:r w:rsidRPr="00474D96">
              <w:rPr>
                <w:bCs/>
                <w:color w:val="000000"/>
                <w:sz w:val="18"/>
                <w:szCs w:val="18"/>
                <w:lang w:val="pt-BR"/>
              </w:rPr>
              <w:t>Disponível em: &lt;</w:t>
            </w:r>
            <w:r w:rsidR="00DF5BD2" w:rsidRPr="00DF5BD2">
              <w:rPr>
                <w:color w:val="000000"/>
                <w:sz w:val="18"/>
                <w:szCs w:val="18"/>
                <w:lang w:val="pt-BR"/>
              </w:rPr>
              <w:t>http://www.cee.es.gov.br/download/res1790.pdf</w:t>
            </w:r>
            <w:r w:rsidRPr="00474D96">
              <w:rPr>
                <w:color w:val="000000"/>
                <w:sz w:val="18"/>
                <w:szCs w:val="18"/>
                <w:lang w:val="pt-BR"/>
              </w:rPr>
              <w:t>&gt;</w:t>
            </w:r>
            <w:r w:rsidRPr="00474D96">
              <w:rPr>
                <w:bCs/>
                <w:color w:val="000000"/>
                <w:sz w:val="18"/>
                <w:szCs w:val="18"/>
                <w:lang w:val="pt-BR"/>
              </w:rPr>
              <w:t>. Acesso em: 20 jun. 2016.</w:t>
            </w:r>
          </w:p>
        </w:tc>
      </w:tr>
      <w:tr w:rsidR="00DF5BD2" w:rsidRPr="00474D96"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Mato</w:t>
            </w:r>
            <w:proofErr w:type="spellEnd"/>
            <w:r w:rsidRPr="007D3E55">
              <w:rPr>
                <w:color w:val="000000"/>
                <w:sz w:val="18"/>
                <w:szCs w:val="18"/>
              </w:rPr>
              <w:t xml:space="preserve"> </w:t>
            </w:r>
            <w:proofErr w:type="spellStart"/>
            <w:r w:rsidRPr="007D3E55">
              <w:rPr>
                <w:color w:val="000000"/>
                <w:sz w:val="18"/>
                <w:szCs w:val="18"/>
              </w:rPr>
              <w:t>Grosso</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C11704" w:rsidRDefault="00DF5BD2" w:rsidP="00DF5BD2">
            <w:pPr>
              <w:jc w:val="center"/>
              <w:rPr>
                <w:color w:val="000000"/>
                <w:sz w:val="18"/>
                <w:szCs w:val="18"/>
                <w:lang w:val="pt-BR"/>
              </w:rPr>
            </w:pPr>
            <w:r w:rsidRPr="00C11704">
              <w:rPr>
                <w:color w:val="000000"/>
                <w:sz w:val="18"/>
                <w:szCs w:val="18"/>
                <w:lang w:val="pt-BR"/>
              </w:rPr>
              <w:t>PARECER CNE/CEB Nº: 4/2008 - MEC</w:t>
            </w:r>
          </w:p>
        </w:tc>
        <w:tc>
          <w:tcPr>
            <w:tcW w:w="5742" w:type="dxa"/>
            <w:vMerge w:val="restart"/>
            <w:tcBorders>
              <w:top w:val="dotted" w:sz="4" w:space="0" w:color="auto"/>
              <w:bottom w:val="dotted" w:sz="4" w:space="0" w:color="auto"/>
            </w:tcBorders>
            <w:vAlign w:val="center"/>
          </w:tcPr>
          <w:p w:rsidR="00DF5BD2" w:rsidRPr="00474D96" w:rsidRDefault="00DF5BD2" w:rsidP="00DF5BD2">
            <w:pPr>
              <w:rPr>
                <w:color w:val="000000"/>
                <w:sz w:val="18"/>
                <w:szCs w:val="18"/>
                <w:lang w:val="en-US"/>
              </w:rPr>
            </w:pPr>
            <w:r w:rsidRPr="00474D96">
              <w:rPr>
                <w:bCs/>
                <w:color w:val="000000"/>
                <w:sz w:val="18"/>
                <w:szCs w:val="18"/>
                <w:lang w:val="pt-BR"/>
              </w:rPr>
              <w:t xml:space="preserve">BRASIL. Ministério da Educação. Resolução CNE/CEB n. 4, de 20 fev. </w:t>
            </w:r>
            <w:proofErr w:type="gramStart"/>
            <w:r w:rsidRPr="00474D96">
              <w:rPr>
                <w:bCs/>
                <w:color w:val="000000"/>
                <w:sz w:val="18"/>
                <w:szCs w:val="18"/>
                <w:lang w:val="pt-BR"/>
              </w:rPr>
              <w:t>2008</w:t>
            </w:r>
            <w:r>
              <w:rPr>
                <w:bCs/>
                <w:color w:val="000000"/>
                <w:sz w:val="18"/>
                <w:szCs w:val="18"/>
                <w:lang w:val="pt-BR"/>
              </w:rPr>
              <w:t>.</w:t>
            </w:r>
            <w:proofErr w:type="gramEnd"/>
            <w:r>
              <w:rPr>
                <w:bCs/>
                <w:color w:val="000000"/>
                <w:sz w:val="18"/>
                <w:szCs w:val="18"/>
                <w:lang w:val="pt-BR"/>
              </w:rPr>
              <w:t>Publicado no</w:t>
            </w:r>
            <w:r w:rsidRPr="00474D96">
              <w:rPr>
                <w:bCs/>
                <w:i/>
                <w:color w:val="000000"/>
                <w:sz w:val="18"/>
                <w:szCs w:val="18"/>
                <w:lang w:val="pt-BR"/>
              </w:rPr>
              <w:t xml:space="preserve"> Diário Oficial da União,</w:t>
            </w:r>
            <w:r w:rsidRPr="00474D96">
              <w:rPr>
                <w:bCs/>
                <w:color w:val="000000"/>
                <w:sz w:val="18"/>
                <w:szCs w:val="18"/>
                <w:lang w:val="pt-BR"/>
              </w:rPr>
              <w:t xml:space="preserve"> Brasília, 10 Jun. 2008, Disponível em: &lt;</w:t>
            </w:r>
            <w:r w:rsidRPr="00474D96">
              <w:rPr>
                <w:color w:val="000000"/>
                <w:sz w:val="18"/>
                <w:szCs w:val="18"/>
                <w:lang w:val="pt-BR"/>
              </w:rPr>
              <w:t>http://portal.mec.gov.br/cne/arquivos/pdf/2008/pceb004_08.pdf&gt;</w:t>
            </w:r>
            <w:r w:rsidRPr="00474D96">
              <w:rPr>
                <w:bCs/>
                <w:color w:val="000000"/>
                <w:sz w:val="18"/>
                <w:szCs w:val="18"/>
                <w:lang w:val="pt-BR"/>
              </w:rPr>
              <w:t>. Acesso em: 20 jun. 2016.</w:t>
            </w: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Mato</w:t>
            </w:r>
            <w:proofErr w:type="spellEnd"/>
            <w:r w:rsidRPr="007D3E55">
              <w:rPr>
                <w:color w:val="000000"/>
                <w:sz w:val="18"/>
                <w:szCs w:val="18"/>
              </w:rPr>
              <w:t xml:space="preserve"> </w:t>
            </w:r>
            <w:proofErr w:type="spellStart"/>
            <w:r w:rsidRPr="007D3E55">
              <w:rPr>
                <w:color w:val="000000"/>
                <w:sz w:val="18"/>
                <w:szCs w:val="18"/>
              </w:rPr>
              <w:t>Grosso</w:t>
            </w:r>
            <w:proofErr w:type="spellEnd"/>
            <w:r w:rsidRPr="007D3E55">
              <w:rPr>
                <w:color w:val="000000"/>
                <w:sz w:val="18"/>
                <w:szCs w:val="18"/>
              </w:rPr>
              <w:t xml:space="preserve"> do </w:t>
            </w:r>
            <w:proofErr w:type="spellStart"/>
            <w:r w:rsidRPr="007D3E55">
              <w:rPr>
                <w:color w:val="000000"/>
                <w:sz w:val="18"/>
                <w:szCs w:val="18"/>
              </w:rPr>
              <w:t>Sul</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C11704">
              <w:rPr>
                <w:color w:val="000000"/>
                <w:sz w:val="18"/>
                <w:szCs w:val="18"/>
                <w:lang w:val="pt-BR"/>
              </w:rPr>
              <w:t>PAREC</w:t>
            </w:r>
            <w:r w:rsidRPr="007D3E55">
              <w:rPr>
                <w:color w:val="000000"/>
                <w:sz w:val="18"/>
                <w:szCs w:val="18"/>
                <w:lang w:val="pt-BR"/>
              </w:rPr>
              <w:t>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Goiás</w:t>
            </w:r>
            <w:proofErr w:type="spellEnd"/>
            <w:r w:rsidRPr="007D3E55">
              <w:rPr>
                <w:color w:val="000000"/>
                <w:sz w:val="18"/>
                <w:szCs w:val="18"/>
              </w:rPr>
              <w:t xml:space="preserve"> </w:t>
            </w:r>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r w:rsidRPr="007D3E55">
              <w:rPr>
                <w:color w:val="000000"/>
                <w:sz w:val="18"/>
                <w:szCs w:val="18"/>
              </w:rPr>
              <w:t>Distrito Federal</w:t>
            </w:r>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r w:rsidRPr="007D3E55">
              <w:rPr>
                <w:color w:val="000000"/>
                <w:sz w:val="18"/>
                <w:szCs w:val="18"/>
              </w:rPr>
              <w:t>Amazonas</w:t>
            </w:r>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r w:rsidRPr="007D3E55">
              <w:rPr>
                <w:color w:val="000000"/>
                <w:sz w:val="18"/>
                <w:szCs w:val="18"/>
              </w:rPr>
              <w:t>Acre</w:t>
            </w:r>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Amapá</w:t>
            </w:r>
            <w:proofErr w:type="spellEnd"/>
            <w:r w:rsidRPr="007D3E55">
              <w:rPr>
                <w:color w:val="000000"/>
                <w:sz w:val="18"/>
                <w:szCs w:val="18"/>
              </w:rPr>
              <w:t xml:space="preserve"> </w:t>
            </w:r>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Roraima</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Rondônia</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r w:rsidRPr="007D3E55">
              <w:rPr>
                <w:color w:val="000000"/>
                <w:sz w:val="18"/>
                <w:szCs w:val="18"/>
              </w:rPr>
              <w:t>Tocantins</w:t>
            </w:r>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Pará</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r w:rsidRPr="007D3E55">
              <w:rPr>
                <w:color w:val="000000"/>
                <w:sz w:val="18"/>
                <w:szCs w:val="18"/>
              </w:rPr>
              <w:t>Bahia</w:t>
            </w:r>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474D96" w:rsidRPr="00437CE9"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proofErr w:type="spellStart"/>
            <w:r w:rsidRPr="007D3E55">
              <w:rPr>
                <w:color w:val="000000"/>
                <w:sz w:val="18"/>
                <w:szCs w:val="18"/>
              </w:rPr>
              <w:t>Sergipe</w:t>
            </w:r>
            <w:proofErr w:type="spellEnd"/>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30-April</w:t>
            </w:r>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lang w:val="pt-BR"/>
              </w:rPr>
            </w:pPr>
            <w:r w:rsidRPr="007D3E55">
              <w:rPr>
                <w:color w:val="000000"/>
                <w:sz w:val="18"/>
                <w:szCs w:val="18"/>
                <w:lang w:val="pt-BR"/>
              </w:rPr>
              <w:t>PORTARIA N° 5957/2008 - GOVERNO DE SERGIPE</w:t>
            </w:r>
          </w:p>
        </w:tc>
        <w:tc>
          <w:tcPr>
            <w:tcW w:w="5742" w:type="dxa"/>
            <w:tcBorders>
              <w:top w:val="dotted" w:sz="4" w:space="0" w:color="auto"/>
              <w:bottom w:val="dotted" w:sz="4" w:space="0" w:color="auto"/>
            </w:tcBorders>
            <w:vAlign w:val="center"/>
          </w:tcPr>
          <w:p w:rsidR="00474D96" w:rsidRPr="007D3E55" w:rsidRDefault="00DF5BD2" w:rsidP="00DF5BD2">
            <w:pPr>
              <w:rPr>
                <w:color w:val="000000"/>
                <w:sz w:val="18"/>
                <w:szCs w:val="18"/>
                <w:lang w:val="pt-BR"/>
              </w:rPr>
            </w:pPr>
            <w:r w:rsidRPr="007D3E55">
              <w:rPr>
                <w:color w:val="000000"/>
                <w:sz w:val="18"/>
                <w:szCs w:val="18"/>
                <w:lang w:val="pt-BR"/>
              </w:rPr>
              <w:t>PORTARIA N° 5957/200</w:t>
            </w:r>
            <w:r>
              <w:rPr>
                <w:color w:val="000000"/>
                <w:sz w:val="18"/>
                <w:szCs w:val="18"/>
                <w:lang w:val="pt-BR"/>
              </w:rPr>
              <w:t xml:space="preserve">8. </w:t>
            </w:r>
            <w:r w:rsidRPr="00474D96">
              <w:rPr>
                <w:bCs/>
                <w:color w:val="000000"/>
                <w:sz w:val="18"/>
                <w:szCs w:val="18"/>
                <w:lang w:val="pt-BR"/>
              </w:rPr>
              <w:t>Disponível em: &lt;</w:t>
            </w:r>
            <w:r w:rsidRPr="00DF5BD2">
              <w:rPr>
                <w:color w:val="000000"/>
                <w:sz w:val="18"/>
                <w:szCs w:val="18"/>
                <w:lang w:val="pt-BR"/>
              </w:rPr>
              <w:t>http://seed.se.gov.br/arquivos/Portaria_Diretrizes_Escolas_Publicas_Estaduais_2009.pdf</w:t>
            </w:r>
            <w:r w:rsidRPr="00474D96">
              <w:rPr>
                <w:color w:val="000000"/>
                <w:sz w:val="18"/>
                <w:szCs w:val="18"/>
                <w:lang w:val="pt-BR"/>
              </w:rPr>
              <w:t>&gt;</w:t>
            </w:r>
            <w:r w:rsidRPr="00474D96">
              <w:rPr>
                <w:bCs/>
                <w:color w:val="000000"/>
                <w:sz w:val="18"/>
                <w:szCs w:val="18"/>
                <w:lang w:val="pt-BR"/>
              </w:rPr>
              <w:t>. Acesso em: 20 jun. 2016.</w:t>
            </w:r>
          </w:p>
        </w:tc>
      </w:tr>
      <w:tr w:rsidR="00DF5BD2" w:rsidRPr="00437CE9"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Alagoas</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val="restart"/>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r w:rsidRPr="00474D96">
              <w:rPr>
                <w:bCs/>
                <w:color w:val="000000"/>
                <w:sz w:val="18"/>
                <w:szCs w:val="18"/>
                <w:lang w:val="pt-BR"/>
              </w:rPr>
              <w:t xml:space="preserve">BRASIL. Ministério da Educação. Resolução CNE/CEB n. 4, de 20 fev. </w:t>
            </w:r>
            <w:proofErr w:type="gramStart"/>
            <w:r w:rsidRPr="00474D96">
              <w:rPr>
                <w:bCs/>
                <w:color w:val="000000"/>
                <w:sz w:val="18"/>
                <w:szCs w:val="18"/>
                <w:lang w:val="pt-BR"/>
              </w:rPr>
              <w:t>2008</w:t>
            </w:r>
            <w:r>
              <w:rPr>
                <w:bCs/>
                <w:color w:val="000000"/>
                <w:sz w:val="18"/>
                <w:szCs w:val="18"/>
                <w:lang w:val="pt-BR"/>
              </w:rPr>
              <w:t>.</w:t>
            </w:r>
            <w:proofErr w:type="gramEnd"/>
            <w:r>
              <w:rPr>
                <w:bCs/>
                <w:color w:val="000000"/>
                <w:sz w:val="18"/>
                <w:szCs w:val="18"/>
                <w:lang w:val="pt-BR"/>
              </w:rPr>
              <w:t>Publicado no</w:t>
            </w:r>
            <w:r w:rsidRPr="00474D96">
              <w:rPr>
                <w:bCs/>
                <w:i/>
                <w:color w:val="000000"/>
                <w:sz w:val="18"/>
                <w:szCs w:val="18"/>
                <w:lang w:val="pt-BR"/>
              </w:rPr>
              <w:t xml:space="preserve"> Diário Oficial da União,</w:t>
            </w:r>
            <w:r w:rsidRPr="00474D96">
              <w:rPr>
                <w:bCs/>
                <w:color w:val="000000"/>
                <w:sz w:val="18"/>
                <w:szCs w:val="18"/>
                <w:lang w:val="pt-BR"/>
              </w:rPr>
              <w:t xml:space="preserve"> Brasília, 10 Jun. 2008, Disponível em: &lt;</w:t>
            </w:r>
            <w:r w:rsidRPr="00474D96">
              <w:rPr>
                <w:color w:val="000000"/>
                <w:sz w:val="18"/>
                <w:szCs w:val="18"/>
                <w:lang w:val="pt-BR"/>
              </w:rPr>
              <w:t>http://portal.mec.gov.br/cne/arquivos/pdf/2008/pceb004_08.pdf&gt;</w:t>
            </w:r>
            <w:r w:rsidRPr="00474D96">
              <w:rPr>
                <w:bCs/>
                <w:color w:val="000000"/>
                <w:sz w:val="18"/>
                <w:szCs w:val="18"/>
                <w:lang w:val="pt-BR"/>
              </w:rPr>
              <w:t xml:space="preserve">. Acesso </w:t>
            </w:r>
            <w:r w:rsidRPr="00474D96">
              <w:rPr>
                <w:bCs/>
                <w:color w:val="000000"/>
                <w:sz w:val="18"/>
                <w:szCs w:val="18"/>
                <w:lang w:val="pt-BR"/>
              </w:rPr>
              <w:lastRenderedPageBreak/>
              <w:t>em: 20 jun. 2016.</w:t>
            </w: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Pernambuco</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proofErr w:type="spellStart"/>
            <w:r w:rsidRPr="007D3E55">
              <w:rPr>
                <w:color w:val="000000"/>
                <w:sz w:val="18"/>
                <w:szCs w:val="18"/>
              </w:rPr>
              <w:t>Paraíba</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DF5BD2" w:rsidRPr="00C11704" w:rsidTr="00DF5BD2">
        <w:trPr>
          <w:jc w:val="center"/>
        </w:trPr>
        <w:tc>
          <w:tcPr>
            <w:tcW w:w="1482" w:type="dxa"/>
            <w:tcBorders>
              <w:top w:val="dotted" w:sz="4" w:space="0" w:color="auto"/>
              <w:bottom w:val="dotted" w:sz="4" w:space="0" w:color="auto"/>
            </w:tcBorders>
            <w:vAlign w:val="center"/>
          </w:tcPr>
          <w:p w:rsidR="00DF5BD2" w:rsidRPr="007D3E55" w:rsidRDefault="00DF5BD2" w:rsidP="00875A3C">
            <w:pPr>
              <w:rPr>
                <w:color w:val="000000"/>
                <w:sz w:val="18"/>
                <w:szCs w:val="18"/>
              </w:rPr>
            </w:pPr>
            <w:r w:rsidRPr="007D3E55">
              <w:rPr>
                <w:color w:val="000000"/>
                <w:sz w:val="18"/>
                <w:szCs w:val="18"/>
              </w:rPr>
              <w:t xml:space="preserve">Rio Grande do </w:t>
            </w:r>
            <w:proofErr w:type="spellStart"/>
            <w:r w:rsidRPr="007D3E55">
              <w:rPr>
                <w:color w:val="000000"/>
                <w:sz w:val="18"/>
                <w:szCs w:val="18"/>
              </w:rPr>
              <w:lastRenderedPageBreak/>
              <w:t>Norte</w:t>
            </w:r>
            <w:proofErr w:type="spellEnd"/>
          </w:p>
        </w:tc>
        <w:tc>
          <w:tcPr>
            <w:tcW w:w="1189"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lastRenderedPageBreak/>
              <w:t>6</w:t>
            </w:r>
          </w:p>
        </w:tc>
        <w:tc>
          <w:tcPr>
            <w:tcW w:w="2115" w:type="dxa"/>
            <w:tcBorders>
              <w:top w:val="dotted" w:sz="4" w:space="0" w:color="auto"/>
              <w:bottom w:val="dotted" w:sz="4" w:space="0" w:color="auto"/>
            </w:tcBorders>
            <w:vAlign w:val="center"/>
          </w:tcPr>
          <w:p w:rsidR="00DF5BD2" w:rsidRPr="007D3E55" w:rsidRDefault="00DF5BD2" w:rsidP="00875A3C">
            <w:pPr>
              <w:jc w:val="center"/>
              <w:rPr>
                <w:color w:val="000000"/>
                <w:sz w:val="18"/>
                <w:szCs w:val="18"/>
              </w:rPr>
            </w:pPr>
            <w:r w:rsidRPr="007D3E55">
              <w:rPr>
                <w:color w:val="000000"/>
                <w:sz w:val="18"/>
                <w:szCs w:val="18"/>
              </w:rPr>
              <w:t>Beginning of school year</w:t>
            </w:r>
          </w:p>
        </w:tc>
        <w:tc>
          <w:tcPr>
            <w:tcW w:w="3260" w:type="dxa"/>
            <w:tcBorders>
              <w:top w:val="dotted" w:sz="4" w:space="0" w:color="auto"/>
              <w:bottom w:val="dotted" w:sz="4" w:space="0" w:color="auto"/>
            </w:tcBorders>
            <w:vAlign w:val="center"/>
          </w:tcPr>
          <w:p w:rsidR="00DF5BD2" w:rsidRPr="007D3E55" w:rsidRDefault="00DF5BD2" w:rsidP="00DF5BD2">
            <w:pPr>
              <w:jc w:val="center"/>
              <w:rPr>
                <w:color w:val="000000"/>
                <w:sz w:val="18"/>
                <w:szCs w:val="18"/>
                <w:lang w:val="pt-BR"/>
              </w:rPr>
            </w:pPr>
            <w:r w:rsidRPr="007D3E55">
              <w:rPr>
                <w:color w:val="000000"/>
                <w:sz w:val="18"/>
                <w:szCs w:val="18"/>
                <w:lang w:val="pt-BR"/>
              </w:rPr>
              <w:t>PARECER CNE/CEB Nº: 4/2008 - MEC</w:t>
            </w:r>
          </w:p>
        </w:tc>
        <w:tc>
          <w:tcPr>
            <w:tcW w:w="5742" w:type="dxa"/>
            <w:vMerge/>
            <w:tcBorders>
              <w:top w:val="dotted" w:sz="4" w:space="0" w:color="auto"/>
              <w:bottom w:val="dotted" w:sz="4" w:space="0" w:color="auto"/>
            </w:tcBorders>
            <w:vAlign w:val="center"/>
          </w:tcPr>
          <w:p w:rsidR="00DF5BD2" w:rsidRPr="007D3E55" w:rsidRDefault="00DF5BD2" w:rsidP="00DF5BD2">
            <w:pPr>
              <w:rPr>
                <w:color w:val="000000"/>
                <w:sz w:val="18"/>
                <w:szCs w:val="18"/>
                <w:lang w:val="pt-BR"/>
              </w:rPr>
            </w:pPr>
          </w:p>
        </w:tc>
      </w:tr>
      <w:tr w:rsidR="00474D96" w:rsidRPr="00437CE9"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proofErr w:type="spellStart"/>
            <w:r w:rsidRPr="007D3E55">
              <w:rPr>
                <w:color w:val="000000"/>
                <w:sz w:val="18"/>
                <w:szCs w:val="18"/>
              </w:rPr>
              <w:lastRenderedPageBreak/>
              <w:t>Ceará</w:t>
            </w:r>
            <w:proofErr w:type="spellEnd"/>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30-April</w:t>
            </w:r>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lang w:val="pt-BR"/>
              </w:rPr>
            </w:pPr>
            <w:r w:rsidRPr="007D3E55">
              <w:rPr>
                <w:color w:val="000000"/>
                <w:sz w:val="18"/>
                <w:szCs w:val="18"/>
                <w:lang w:val="pt-BR"/>
              </w:rPr>
              <w:t>RESOLUÇÃO Nº 0410/2006 - CONSELHO DE EDUCAÇÃO DO CEARÁ</w:t>
            </w:r>
          </w:p>
        </w:tc>
        <w:tc>
          <w:tcPr>
            <w:tcW w:w="5742" w:type="dxa"/>
            <w:tcBorders>
              <w:top w:val="dotted" w:sz="4" w:space="0" w:color="auto"/>
              <w:bottom w:val="dotted" w:sz="4" w:space="0" w:color="auto"/>
            </w:tcBorders>
            <w:vAlign w:val="center"/>
          </w:tcPr>
          <w:p w:rsidR="00474D96" w:rsidRPr="007D3E55" w:rsidRDefault="00DF5BD2" w:rsidP="00DF5BD2">
            <w:pPr>
              <w:rPr>
                <w:color w:val="000000"/>
                <w:sz w:val="18"/>
                <w:szCs w:val="18"/>
                <w:lang w:val="pt-BR"/>
              </w:rPr>
            </w:pPr>
            <w:r w:rsidRPr="007D3E55">
              <w:rPr>
                <w:color w:val="000000"/>
                <w:sz w:val="18"/>
                <w:szCs w:val="18"/>
                <w:lang w:val="pt-BR"/>
              </w:rPr>
              <w:t>RESOLUÇÃO Nº 0410/2006 - CONSELHO DE EDUCAÇÃO DO CEARÁ</w:t>
            </w:r>
            <w:r>
              <w:rPr>
                <w:color w:val="000000"/>
                <w:sz w:val="18"/>
                <w:szCs w:val="18"/>
                <w:lang w:val="pt-BR"/>
              </w:rPr>
              <w:t xml:space="preserve">. </w:t>
            </w:r>
            <w:r w:rsidRPr="00474D96">
              <w:rPr>
                <w:bCs/>
                <w:color w:val="000000"/>
                <w:sz w:val="18"/>
                <w:szCs w:val="18"/>
                <w:lang w:val="pt-BR"/>
              </w:rPr>
              <w:t>Disponível em: &lt;</w:t>
            </w:r>
            <w:r w:rsidRPr="00DF5BD2">
              <w:rPr>
                <w:lang w:val="pt-BR"/>
              </w:rPr>
              <w:t xml:space="preserve"> </w:t>
            </w:r>
            <w:proofErr w:type="gramStart"/>
            <w:r w:rsidRPr="00DF5BD2">
              <w:rPr>
                <w:color w:val="000000"/>
                <w:sz w:val="18"/>
                <w:szCs w:val="18"/>
                <w:lang w:val="pt-BR"/>
              </w:rPr>
              <w:t>http://portal.mec.gov.br/arquivos/pdf/acs_resolucao410.</w:t>
            </w:r>
            <w:proofErr w:type="gramEnd"/>
            <w:r w:rsidRPr="00DF5BD2">
              <w:rPr>
                <w:color w:val="000000"/>
                <w:sz w:val="18"/>
                <w:szCs w:val="18"/>
                <w:lang w:val="pt-BR"/>
              </w:rPr>
              <w:t>2006.pdf</w:t>
            </w:r>
            <w:r w:rsidRPr="00474D96">
              <w:rPr>
                <w:color w:val="000000"/>
                <w:sz w:val="18"/>
                <w:szCs w:val="18"/>
                <w:lang w:val="pt-BR"/>
              </w:rPr>
              <w:t>&gt;</w:t>
            </w:r>
            <w:r w:rsidRPr="00474D96">
              <w:rPr>
                <w:bCs/>
                <w:color w:val="000000"/>
                <w:sz w:val="18"/>
                <w:szCs w:val="18"/>
                <w:lang w:val="pt-BR"/>
              </w:rPr>
              <w:t>. Acesso em: 20 jun. 2016.</w:t>
            </w:r>
          </w:p>
        </w:tc>
      </w:tr>
      <w:tr w:rsidR="00474D96" w:rsidRPr="00DF5BD2" w:rsidTr="00DF5BD2">
        <w:trPr>
          <w:jc w:val="center"/>
        </w:trPr>
        <w:tc>
          <w:tcPr>
            <w:tcW w:w="1482" w:type="dxa"/>
            <w:tcBorders>
              <w:top w:val="dotted" w:sz="4" w:space="0" w:color="auto"/>
              <w:bottom w:val="dotted" w:sz="4" w:space="0" w:color="auto"/>
            </w:tcBorders>
            <w:vAlign w:val="center"/>
          </w:tcPr>
          <w:p w:rsidR="00474D96" w:rsidRPr="007D3E55" w:rsidRDefault="00474D96" w:rsidP="00875A3C">
            <w:pPr>
              <w:rPr>
                <w:color w:val="000000"/>
                <w:sz w:val="18"/>
                <w:szCs w:val="18"/>
              </w:rPr>
            </w:pPr>
            <w:proofErr w:type="spellStart"/>
            <w:r w:rsidRPr="007D3E55">
              <w:rPr>
                <w:color w:val="000000"/>
                <w:sz w:val="18"/>
                <w:szCs w:val="18"/>
              </w:rPr>
              <w:t>Piauí</w:t>
            </w:r>
            <w:proofErr w:type="spellEnd"/>
          </w:p>
        </w:tc>
        <w:tc>
          <w:tcPr>
            <w:tcW w:w="1189"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6</w:t>
            </w:r>
          </w:p>
        </w:tc>
        <w:tc>
          <w:tcPr>
            <w:tcW w:w="2115" w:type="dxa"/>
            <w:tcBorders>
              <w:top w:val="dotted" w:sz="4" w:space="0" w:color="auto"/>
              <w:bottom w:val="dotted" w:sz="4" w:space="0" w:color="auto"/>
            </w:tcBorders>
            <w:vAlign w:val="center"/>
          </w:tcPr>
          <w:p w:rsidR="00474D96" w:rsidRPr="007D3E55" w:rsidRDefault="00474D96" w:rsidP="00875A3C">
            <w:pPr>
              <w:jc w:val="center"/>
              <w:rPr>
                <w:color w:val="000000"/>
                <w:sz w:val="18"/>
                <w:szCs w:val="18"/>
              </w:rPr>
            </w:pPr>
            <w:r w:rsidRPr="007D3E55">
              <w:rPr>
                <w:color w:val="000000"/>
                <w:sz w:val="18"/>
                <w:szCs w:val="18"/>
              </w:rPr>
              <w:t>30-June</w:t>
            </w:r>
          </w:p>
        </w:tc>
        <w:tc>
          <w:tcPr>
            <w:tcW w:w="3260" w:type="dxa"/>
            <w:tcBorders>
              <w:top w:val="dotted" w:sz="4" w:space="0" w:color="auto"/>
              <w:bottom w:val="dotted" w:sz="4" w:space="0" w:color="auto"/>
            </w:tcBorders>
            <w:vAlign w:val="center"/>
          </w:tcPr>
          <w:p w:rsidR="00474D96" w:rsidRPr="007D3E55" w:rsidRDefault="00474D96" w:rsidP="00DF5BD2">
            <w:pPr>
              <w:jc w:val="center"/>
              <w:rPr>
                <w:color w:val="000000"/>
                <w:sz w:val="18"/>
                <w:szCs w:val="18"/>
              </w:rPr>
            </w:pPr>
            <w:r w:rsidRPr="007D3E55">
              <w:rPr>
                <w:color w:val="000000"/>
                <w:sz w:val="18"/>
                <w:szCs w:val="18"/>
              </w:rPr>
              <w:t>RESOLUÇÃO CEE/PI Nº 141/2007</w:t>
            </w:r>
          </w:p>
        </w:tc>
        <w:tc>
          <w:tcPr>
            <w:tcW w:w="5742" w:type="dxa"/>
            <w:tcBorders>
              <w:top w:val="dotted" w:sz="4" w:space="0" w:color="auto"/>
              <w:bottom w:val="dotted" w:sz="4" w:space="0" w:color="auto"/>
            </w:tcBorders>
            <w:vAlign w:val="center"/>
          </w:tcPr>
          <w:p w:rsidR="00474D96" w:rsidRPr="00DF5BD2" w:rsidRDefault="00DF5BD2" w:rsidP="00DF5BD2">
            <w:pPr>
              <w:rPr>
                <w:color w:val="000000"/>
                <w:sz w:val="18"/>
                <w:szCs w:val="18"/>
                <w:lang w:val="pt-BR"/>
              </w:rPr>
            </w:pPr>
            <w:r w:rsidRPr="00DF5BD2">
              <w:rPr>
                <w:color w:val="000000"/>
                <w:sz w:val="18"/>
                <w:szCs w:val="18"/>
                <w:lang w:val="pt-BR"/>
              </w:rPr>
              <w:t xml:space="preserve">RESOLUÇÃO CEE/PI Nº 141/2007. </w:t>
            </w:r>
            <w:r>
              <w:rPr>
                <w:color w:val="000000"/>
                <w:sz w:val="18"/>
                <w:szCs w:val="18"/>
                <w:lang w:val="pt-BR"/>
              </w:rPr>
              <w:t>Disponível em: &lt;</w:t>
            </w:r>
            <w:r w:rsidRPr="00DF5BD2">
              <w:rPr>
                <w:color w:val="000000"/>
                <w:sz w:val="18"/>
                <w:szCs w:val="18"/>
                <w:lang w:val="pt-BR"/>
              </w:rPr>
              <w:t>http://www.ceepi.pro.br/Normas%20CEE/2007%</w:t>
            </w:r>
            <w:proofErr w:type="gramStart"/>
            <w:r w:rsidRPr="00DF5BD2">
              <w:rPr>
                <w:color w:val="000000"/>
                <w:sz w:val="18"/>
                <w:szCs w:val="18"/>
                <w:lang w:val="pt-BR"/>
              </w:rPr>
              <w:t>20Resolu</w:t>
            </w:r>
            <w:proofErr w:type="gramEnd"/>
            <w:r w:rsidRPr="00DF5BD2">
              <w:rPr>
                <w:color w:val="000000"/>
                <w:sz w:val="18"/>
                <w:szCs w:val="18"/>
                <w:lang w:val="pt-BR"/>
              </w:rPr>
              <w:t>%C3%A7%C3%A3o%20141-%20E%20Fundamental%20%209%20anos.doc</w:t>
            </w:r>
            <w:r>
              <w:rPr>
                <w:color w:val="000000"/>
                <w:sz w:val="18"/>
                <w:szCs w:val="18"/>
                <w:lang w:val="pt-BR"/>
              </w:rPr>
              <w:t xml:space="preserve">&gt;. </w:t>
            </w:r>
            <w:r w:rsidRPr="00474D96">
              <w:rPr>
                <w:bCs/>
                <w:color w:val="000000"/>
                <w:sz w:val="18"/>
                <w:szCs w:val="18"/>
                <w:lang w:val="pt-BR"/>
              </w:rPr>
              <w:t>Acesso em: 20 jun. 2016.</w:t>
            </w:r>
          </w:p>
        </w:tc>
      </w:tr>
      <w:tr w:rsidR="00474D96" w:rsidRPr="00437CE9" w:rsidTr="00DF5BD2">
        <w:trPr>
          <w:jc w:val="center"/>
        </w:trPr>
        <w:tc>
          <w:tcPr>
            <w:tcW w:w="1482" w:type="dxa"/>
            <w:tcBorders>
              <w:top w:val="dotted" w:sz="4" w:space="0" w:color="auto"/>
              <w:bottom w:val="single" w:sz="4" w:space="0" w:color="auto"/>
            </w:tcBorders>
            <w:vAlign w:val="center"/>
          </w:tcPr>
          <w:p w:rsidR="00474D96" w:rsidRPr="00DF5BD2" w:rsidRDefault="00474D96" w:rsidP="00875A3C">
            <w:pPr>
              <w:rPr>
                <w:color w:val="000000"/>
                <w:sz w:val="18"/>
                <w:szCs w:val="18"/>
                <w:lang w:val="pt-BR"/>
              </w:rPr>
            </w:pPr>
            <w:r w:rsidRPr="00DF5BD2">
              <w:rPr>
                <w:color w:val="000000"/>
                <w:sz w:val="18"/>
                <w:szCs w:val="18"/>
                <w:lang w:val="pt-BR"/>
              </w:rPr>
              <w:t>Maranhão</w:t>
            </w:r>
          </w:p>
        </w:tc>
        <w:tc>
          <w:tcPr>
            <w:tcW w:w="1189" w:type="dxa"/>
            <w:tcBorders>
              <w:top w:val="dotted" w:sz="4" w:space="0" w:color="auto"/>
              <w:bottom w:val="single" w:sz="4" w:space="0" w:color="auto"/>
            </w:tcBorders>
            <w:vAlign w:val="center"/>
          </w:tcPr>
          <w:p w:rsidR="00474D96" w:rsidRPr="00DF5BD2" w:rsidRDefault="00474D96" w:rsidP="00875A3C">
            <w:pPr>
              <w:jc w:val="center"/>
              <w:rPr>
                <w:color w:val="000000"/>
                <w:sz w:val="18"/>
                <w:szCs w:val="18"/>
                <w:lang w:val="pt-BR"/>
              </w:rPr>
            </w:pPr>
            <w:proofErr w:type="gramStart"/>
            <w:r w:rsidRPr="00DF5BD2">
              <w:rPr>
                <w:color w:val="000000"/>
                <w:sz w:val="18"/>
                <w:szCs w:val="18"/>
                <w:lang w:val="pt-BR"/>
              </w:rPr>
              <w:t>6</w:t>
            </w:r>
            <w:proofErr w:type="gramEnd"/>
          </w:p>
        </w:tc>
        <w:tc>
          <w:tcPr>
            <w:tcW w:w="2115" w:type="dxa"/>
            <w:tcBorders>
              <w:top w:val="dotted" w:sz="4" w:space="0" w:color="auto"/>
              <w:bottom w:val="single" w:sz="4" w:space="0" w:color="auto"/>
            </w:tcBorders>
            <w:vAlign w:val="center"/>
          </w:tcPr>
          <w:p w:rsidR="00474D96" w:rsidRPr="00DF5BD2" w:rsidRDefault="00474D96" w:rsidP="00875A3C">
            <w:pPr>
              <w:jc w:val="center"/>
              <w:rPr>
                <w:color w:val="000000"/>
                <w:sz w:val="18"/>
                <w:szCs w:val="18"/>
                <w:lang w:val="pt-BR"/>
              </w:rPr>
            </w:pPr>
            <w:proofErr w:type="spellStart"/>
            <w:r w:rsidRPr="00DF5BD2">
              <w:rPr>
                <w:color w:val="000000"/>
                <w:sz w:val="18"/>
                <w:szCs w:val="18"/>
                <w:lang w:val="pt-BR"/>
              </w:rPr>
              <w:t>Beginning</w:t>
            </w:r>
            <w:proofErr w:type="spellEnd"/>
            <w:r w:rsidRPr="00DF5BD2">
              <w:rPr>
                <w:color w:val="000000"/>
                <w:sz w:val="18"/>
                <w:szCs w:val="18"/>
                <w:lang w:val="pt-BR"/>
              </w:rPr>
              <w:t xml:space="preserve"> </w:t>
            </w:r>
            <w:proofErr w:type="spellStart"/>
            <w:r w:rsidRPr="00DF5BD2">
              <w:rPr>
                <w:color w:val="000000"/>
                <w:sz w:val="18"/>
                <w:szCs w:val="18"/>
                <w:lang w:val="pt-BR"/>
              </w:rPr>
              <w:t>of</w:t>
            </w:r>
            <w:proofErr w:type="spellEnd"/>
            <w:r w:rsidRPr="00DF5BD2">
              <w:rPr>
                <w:color w:val="000000"/>
                <w:sz w:val="18"/>
                <w:szCs w:val="18"/>
                <w:lang w:val="pt-BR"/>
              </w:rPr>
              <w:t xml:space="preserve"> </w:t>
            </w:r>
            <w:proofErr w:type="spellStart"/>
            <w:r w:rsidRPr="00DF5BD2">
              <w:rPr>
                <w:color w:val="000000"/>
                <w:sz w:val="18"/>
                <w:szCs w:val="18"/>
                <w:lang w:val="pt-BR"/>
              </w:rPr>
              <w:t>school</w:t>
            </w:r>
            <w:proofErr w:type="spellEnd"/>
            <w:r w:rsidRPr="00DF5BD2">
              <w:rPr>
                <w:color w:val="000000"/>
                <w:sz w:val="18"/>
                <w:szCs w:val="18"/>
                <w:lang w:val="pt-BR"/>
              </w:rPr>
              <w:t xml:space="preserve"> </w:t>
            </w:r>
            <w:proofErr w:type="spellStart"/>
            <w:r w:rsidRPr="00DF5BD2">
              <w:rPr>
                <w:color w:val="000000"/>
                <w:sz w:val="18"/>
                <w:szCs w:val="18"/>
                <w:lang w:val="pt-BR"/>
              </w:rPr>
              <w:t>year</w:t>
            </w:r>
            <w:proofErr w:type="spellEnd"/>
          </w:p>
        </w:tc>
        <w:tc>
          <w:tcPr>
            <w:tcW w:w="3260" w:type="dxa"/>
            <w:tcBorders>
              <w:top w:val="dotted" w:sz="4" w:space="0" w:color="auto"/>
              <w:bottom w:val="single" w:sz="4" w:space="0" w:color="auto"/>
            </w:tcBorders>
            <w:vAlign w:val="center"/>
          </w:tcPr>
          <w:p w:rsidR="00474D96" w:rsidRPr="007D3E55" w:rsidRDefault="00474D96" w:rsidP="00DF5BD2">
            <w:pPr>
              <w:jc w:val="center"/>
              <w:rPr>
                <w:color w:val="000000"/>
                <w:sz w:val="18"/>
                <w:szCs w:val="18"/>
                <w:lang w:val="pt-BR"/>
              </w:rPr>
            </w:pPr>
            <w:r w:rsidRPr="007D3E55">
              <w:rPr>
                <w:color w:val="000000"/>
                <w:sz w:val="18"/>
                <w:szCs w:val="18"/>
                <w:lang w:val="pt-BR"/>
              </w:rPr>
              <w:t>PARECER CNE/CEB Nº: 4/2008 - MEC</w:t>
            </w:r>
          </w:p>
        </w:tc>
        <w:tc>
          <w:tcPr>
            <w:tcW w:w="5742" w:type="dxa"/>
            <w:tcBorders>
              <w:top w:val="dotted" w:sz="4" w:space="0" w:color="auto"/>
              <w:bottom w:val="single" w:sz="4" w:space="0" w:color="auto"/>
            </w:tcBorders>
            <w:vAlign w:val="center"/>
          </w:tcPr>
          <w:p w:rsidR="00474D96" w:rsidRPr="007D3E55" w:rsidRDefault="00DF5BD2" w:rsidP="00DF5BD2">
            <w:pPr>
              <w:rPr>
                <w:color w:val="000000"/>
                <w:sz w:val="18"/>
                <w:szCs w:val="18"/>
                <w:lang w:val="pt-BR"/>
              </w:rPr>
            </w:pPr>
            <w:r w:rsidRPr="00474D96">
              <w:rPr>
                <w:bCs/>
                <w:color w:val="000000"/>
                <w:sz w:val="18"/>
                <w:szCs w:val="18"/>
                <w:lang w:val="pt-BR"/>
              </w:rPr>
              <w:t xml:space="preserve">BRASIL. Ministério da Educação. Resolução CNE/CEB n. 4, de 20 fev. </w:t>
            </w:r>
            <w:proofErr w:type="gramStart"/>
            <w:r w:rsidRPr="00474D96">
              <w:rPr>
                <w:bCs/>
                <w:color w:val="000000"/>
                <w:sz w:val="18"/>
                <w:szCs w:val="18"/>
                <w:lang w:val="pt-BR"/>
              </w:rPr>
              <w:t>2008</w:t>
            </w:r>
            <w:r>
              <w:rPr>
                <w:bCs/>
                <w:color w:val="000000"/>
                <w:sz w:val="18"/>
                <w:szCs w:val="18"/>
                <w:lang w:val="pt-BR"/>
              </w:rPr>
              <w:t>.</w:t>
            </w:r>
            <w:proofErr w:type="gramEnd"/>
            <w:r>
              <w:rPr>
                <w:bCs/>
                <w:color w:val="000000"/>
                <w:sz w:val="18"/>
                <w:szCs w:val="18"/>
                <w:lang w:val="pt-BR"/>
              </w:rPr>
              <w:t>Publicado no</w:t>
            </w:r>
            <w:r w:rsidRPr="00474D96">
              <w:rPr>
                <w:bCs/>
                <w:i/>
                <w:color w:val="000000"/>
                <w:sz w:val="18"/>
                <w:szCs w:val="18"/>
                <w:lang w:val="pt-BR"/>
              </w:rPr>
              <w:t xml:space="preserve"> Diário Oficial da União,</w:t>
            </w:r>
            <w:r w:rsidRPr="00474D96">
              <w:rPr>
                <w:bCs/>
                <w:color w:val="000000"/>
                <w:sz w:val="18"/>
                <w:szCs w:val="18"/>
                <w:lang w:val="pt-BR"/>
              </w:rPr>
              <w:t xml:space="preserve"> Brasília, 10 Jun. 2008, Disponível em: &lt;</w:t>
            </w:r>
            <w:r w:rsidRPr="00474D96">
              <w:rPr>
                <w:color w:val="000000"/>
                <w:sz w:val="18"/>
                <w:szCs w:val="18"/>
                <w:lang w:val="pt-BR"/>
              </w:rPr>
              <w:t>http://portal.mec.gov.br/cne/arquivos/pdf/2008/pceb004_08.pdf&gt;</w:t>
            </w:r>
            <w:r w:rsidRPr="00474D96">
              <w:rPr>
                <w:bCs/>
                <w:color w:val="000000"/>
                <w:sz w:val="18"/>
                <w:szCs w:val="18"/>
                <w:lang w:val="pt-BR"/>
              </w:rPr>
              <w:t>. Acesso em: 20 jun. 2016.</w:t>
            </w:r>
          </w:p>
        </w:tc>
      </w:tr>
    </w:tbl>
    <w:p w:rsidR="00266C04" w:rsidRPr="00E27AE6" w:rsidRDefault="00266C04" w:rsidP="00785128">
      <w:pPr>
        <w:jc w:val="both"/>
        <w:rPr>
          <w:b/>
          <w:bCs/>
          <w:bdr w:val="none" w:sz="0" w:space="0" w:color="auto"/>
          <w:lang w:val="pt-BR" w:eastAsia="pt-BR"/>
        </w:rPr>
      </w:pPr>
    </w:p>
    <w:p w:rsidR="00266C04" w:rsidRPr="00E27AE6" w:rsidRDefault="00266C04" w:rsidP="00785128">
      <w:pPr>
        <w:jc w:val="both"/>
        <w:rPr>
          <w:bdr w:val="none" w:sz="0" w:space="0" w:color="auto"/>
          <w:lang w:val="pt-BR" w:eastAsia="pt-BR"/>
        </w:rPr>
      </w:pPr>
    </w:p>
    <w:sectPr w:rsidR="00266C04" w:rsidRPr="00E27AE6" w:rsidSect="00474D96">
      <w:pgSz w:w="15840" w:h="12240" w:orient="landscape"/>
      <w:pgMar w:top="851" w:right="1134" w:bottom="851" w:left="113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57A" w:rsidRDefault="0085257A" w:rsidP="00BF647B">
      <w:r>
        <w:separator/>
      </w:r>
    </w:p>
  </w:endnote>
  <w:endnote w:type="continuationSeparator" w:id="0">
    <w:p w:rsidR="0085257A" w:rsidRDefault="0085257A" w:rsidP="00BF64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NBAS-R">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57A" w:rsidRDefault="0085257A" w:rsidP="00BF647B">
      <w:r>
        <w:separator/>
      </w:r>
    </w:p>
  </w:footnote>
  <w:footnote w:type="continuationSeparator" w:id="0">
    <w:p w:rsidR="0085257A" w:rsidRDefault="0085257A" w:rsidP="00BF647B">
      <w:r>
        <w:continuationSeparator/>
      </w:r>
    </w:p>
  </w:footnote>
  <w:footnote w:id="1">
    <w:p w:rsidR="00004361" w:rsidRPr="00D74864" w:rsidRDefault="00004361" w:rsidP="00D74864">
      <w:pPr>
        <w:pStyle w:val="Textodenotaderodap"/>
        <w:jc w:val="both"/>
      </w:pPr>
      <w:r w:rsidRPr="00D74864">
        <w:rPr>
          <w:rStyle w:val="Refdenotaderodap"/>
        </w:rPr>
        <w:footnoteRef/>
      </w:r>
      <w:r w:rsidRPr="00D74864">
        <w:t xml:space="preserve"> </w:t>
      </w:r>
      <w:r w:rsidRPr="00D74864">
        <w:rPr>
          <w:lang w:val="en-GB"/>
        </w:rPr>
        <w:t>The sense of the term p</w:t>
      </w:r>
      <w:r w:rsidRPr="00D74864">
        <w:rPr>
          <w:i/>
          <w:lang w:val="en-GB"/>
        </w:rPr>
        <w:t>eers</w:t>
      </w:r>
      <w:r w:rsidRPr="00D74864">
        <w:rPr>
          <w:lang w:val="en-GB"/>
        </w:rPr>
        <w:t xml:space="preserve"> in this article refers to all members belonging to a reference group, such as: same grade, classroom, school, </w:t>
      </w:r>
      <w:r w:rsidRPr="00D74864">
        <w:t>neighborhood</w:t>
      </w:r>
      <w:r w:rsidRPr="00D74864">
        <w:rPr>
          <w:lang w:val="en-GB"/>
        </w:rPr>
        <w:t>, etc.</w:t>
      </w:r>
    </w:p>
  </w:footnote>
  <w:footnote w:id="2">
    <w:p w:rsidR="00004361" w:rsidRPr="00D74864" w:rsidRDefault="00004361" w:rsidP="00D74864">
      <w:pPr>
        <w:pStyle w:val="Textodenotaderodap"/>
        <w:jc w:val="both"/>
      </w:pPr>
      <w:r w:rsidRPr="00437CE9">
        <w:rPr>
          <w:rStyle w:val="Refdenotaderodap"/>
        </w:rPr>
        <w:footnoteRef/>
      </w:r>
      <w:r w:rsidRPr="00437CE9">
        <w:t xml:space="preserve"> Usually </w:t>
      </w:r>
      <w:r w:rsidRPr="00437CE9">
        <w:rPr>
          <w:lang w:eastAsia="pt-BR"/>
        </w:rPr>
        <w:t>the empirical identification strategies rely either on the use of (</w:t>
      </w:r>
      <w:proofErr w:type="spellStart"/>
      <w:r w:rsidRPr="00437CE9">
        <w:rPr>
          <w:lang w:eastAsia="pt-BR"/>
        </w:rPr>
        <w:t>i</w:t>
      </w:r>
      <w:proofErr w:type="spellEnd"/>
      <w:r w:rsidRPr="00437CE9">
        <w:rPr>
          <w:lang w:eastAsia="pt-BR"/>
        </w:rPr>
        <w:t>) exogenous instruments for peer’s educational outcome (</w:t>
      </w:r>
      <w:r w:rsidRPr="00437CE9">
        <w:t xml:space="preserve">Case and Katz, 1991;  Evans </w:t>
      </w:r>
      <w:r w:rsidRPr="00437CE9">
        <w:rPr>
          <w:i/>
        </w:rPr>
        <w:t xml:space="preserve">et al., </w:t>
      </w:r>
      <w:r w:rsidRPr="00437CE9">
        <w:t xml:space="preserve">1992; </w:t>
      </w:r>
      <w:proofErr w:type="spellStart"/>
      <w:r w:rsidRPr="00437CE9">
        <w:rPr>
          <w:lang w:eastAsia="pt-BR"/>
        </w:rPr>
        <w:t>Hanushek</w:t>
      </w:r>
      <w:proofErr w:type="spellEnd"/>
      <w:r w:rsidRPr="00437CE9">
        <w:rPr>
          <w:lang w:eastAsia="pt-BR"/>
        </w:rPr>
        <w:t xml:space="preserve"> </w:t>
      </w:r>
      <w:r w:rsidRPr="00437CE9">
        <w:rPr>
          <w:i/>
          <w:lang w:eastAsia="pt-BR"/>
        </w:rPr>
        <w:t>et al</w:t>
      </w:r>
      <w:r w:rsidRPr="00437CE9">
        <w:rPr>
          <w:lang w:eastAsia="pt-BR"/>
        </w:rPr>
        <w:t xml:space="preserve">., 2003; </w:t>
      </w:r>
      <w:proofErr w:type="spellStart"/>
      <w:r w:rsidRPr="00437CE9">
        <w:rPr>
          <w:lang w:eastAsia="pt-BR"/>
        </w:rPr>
        <w:t>Vigdor</w:t>
      </w:r>
      <w:proofErr w:type="spellEnd"/>
      <w:r w:rsidRPr="00437CE9">
        <w:rPr>
          <w:lang w:eastAsia="pt-BR"/>
        </w:rPr>
        <w:t xml:space="preserve"> and </w:t>
      </w:r>
      <w:proofErr w:type="spellStart"/>
      <w:r w:rsidRPr="00437CE9">
        <w:rPr>
          <w:lang w:eastAsia="pt-BR"/>
        </w:rPr>
        <w:t>Nechyba</w:t>
      </w:r>
      <w:proofErr w:type="spellEnd"/>
      <w:r w:rsidRPr="00437CE9">
        <w:rPr>
          <w:lang w:eastAsia="pt-BR"/>
        </w:rPr>
        <w:t xml:space="preserve">, 2007; Ding and Lehrer, 2007 and </w:t>
      </w:r>
      <w:proofErr w:type="spellStart"/>
      <w:r w:rsidRPr="00437CE9">
        <w:rPr>
          <w:lang w:eastAsia="pt-BR"/>
        </w:rPr>
        <w:t>Sund</w:t>
      </w:r>
      <w:proofErr w:type="spellEnd"/>
      <w:r w:rsidRPr="00437CE9">
        <w:rPr>
          <w:lang w:eastAsia="pt-BR"/>
        </w:rPr>
        <w:t>, 2009); (ii) experimental or quasi-experimental data (</w:t>
      </w:r>
      <w:proofErr w:type="spellStart"/>
      <w:r w:rsidRPr="00437CE9">
        <w:rPr>
          <w:lang w:eastAsia="pt-BR"/>
        </w:rPr>
        <w:t>Eisenkopf</w:t>
      </w:r>
      <w:proofErr w:type="spellEnd"/>
      <w:r w:rsidRPr="00437CE9">
        <w:rPr>
          <w:lang w:eastAsia="pt-BR"/>
        </w:rPr>
        <w:t xml:space="preserve"> </w:t>
      </w:r>
      <w:r w:rsidRPr="00437CE9">
        <w:rPr>
          <w:i/>
          <w:lang w:eastAsia="pt-BR"/>
        </w:rPr>
        <w:t>et al.</w:t>
      </w:r>
      <w:r w:rsidRPr="00437CE9">
        <w:rPr>
          <w:lang w:eastAsia="pt-BR"/>
        </w:rPr>
        <w:t xml:space="preserve">, 2011; </w:t>
      </w:r>
      <w:proofErr w:type="spellStart"/>
      <w:r w:rsidRPr="00437CE9">
        <w:rPr>
          <w:lang w:eastAsia="pt-BR"/>
        </w:rPr>
        <w:t>Duflo</w:t>
      </w:r>
      <w:proofErr w:type="spellEnd"/>
      <w:r w:rsidRPr="00437CE9">
        <w:rPr>
          <w:lang w:eastAsia="pt-BR"/>
        </w:rPr>
        <w:t xml:space="preserve"> </w:t>
      </w:r>
      <w:r w:rsidRPr="00437CE9">
        <w:rPr>
          <w:i/>
          <w:lang w:eastAsia="pt-BR"/>
        </w:rPr>
        <w:t>et al.,</w:t>
      </w:r>
      <w:r w:rsidRPr="00437CE9">
        <w:rPr>
          <w:lang w:eastAsia="pt-BR"/>
        </w:rPr>
        <w:t xml:space="preserve"> 2008; </w:t>
      </w:r>
      <w:proofErr w:type="spellStart"/>
      <w:r w:rsidRPr="00437CE9">
        <w:rPr>
          <w:lang w:eastAsia="pt-BR"/>
        </w:rPr>
        <w:t>Sacerdote</w:t>
      </w:r>
      <w:proofErr w:type="spellEnd"/>
      <w:r w:rsidRPr="00437CE9">
        <w:rPr>
          <w:lang w:eastAsia="pt-BR"/>
        </w:rPr>
        <w:t xml:space="preserve">, 2001; Zimmerman, 2003; and </w:t>
      </w:r>
      <w:proofErr w:type="spellStart"/>
      <w:r w:rsidRPr="00437CE9">
        <w:rPr>
          <w:lang w:eastAsia="pt-BR"/>
        </w:rPr>
        <w:t>Oosterbeek</w:t>
      </w:r>
      <w:proofErr w:type="spellEnd"/>
      <w:r w:rsidRPr="00437CE9">
        <w:rPr>
          <w:lang w:eastAsia="pt-BR"/>
        </w:rPr>
        <w:t xml:space="preserve"> and Van </w:t>
      </w:r>
      <w:proofErr w:type="spellStart"/>
      <w:r w:rsidRPr="00437CE9">
        <w:rPr>
          <w:lang w:eastAsia="pt-BR"/>
        </w:rPr>
        <w:t>Ewijk</w:t>
      </w:r>
      <w:proofErr w:type="spellEnd"/>
      <w:r w:rsidRPr="00437CE9">
        <w:rPr>
          <w:lang w:eastAsia="pt-BR"/>
        </w:rPr>
        <w:t xml:space="preserve">, 2014) and (iii) mostly recently on the architecture of social networks (e.g. </w:t>
      </w:r>
      <w:proofErr w:type="spellStart"/>
      <w:r w:rsidRPr="00437CE9">
        <w:rPr>
          <w:lang w:eastAsia="pt-BR"/>
        </w:rPr>
        <w:t>Patacchini</w:t>
      </w:r>
      <w:proofErr w:type="spellEnd"/>
      <w:r w:rsidRPr="00437CE9">
        <w:rPr>
          <w:lang w:eastAsia="pt-BR"/>
        </w:rPr>
        <w:t xml:space="preserve"> and </w:t>
      </w:r>
      <w:proofErr w:type="spellStart"/>
      <w:r w:rsidRPr="00437CE9">
        <w:rPr>
          <w:lang w:eastAsia="pt-BR"/>
        </w:rPr>
        <w:t>Venanzoni</w:t>
      </w:r>
      <w:proofErr w:type="spellEnd"/>
      <w:r w:rsidRPr="00437CE9">
        <w:rPr>
          <w:lang w:eastAsia="pt-BR"/>
        </w:rPr>
        <w:t xml:space="preserve">, 2014; </w:t>
      </w:r>
      <w:proofErr w:type="spellStart"/>
      <w:r w:rsidRPr="00437CE9">
        <w:rPr>
          <w:lang w:eastAsia="pt-BR"/>
        </w:rPr>
        <w:t>Badev</w:t>
      </w:r>
      <w:proofErr w:type="spellEnd"/>
      <w:r w:rsidRPr="00437CE9">
        <w:rPr>
          <w:lang w:eastAsia="pt-BR"/>
        </w:rPr>
        <w:t xml:space="preserve">, 2014; </w:t>
      </w:r>
      <w:proofErr w:type="spellStart"/>
      <w:r w:rsidRPr="00437CE9">
        <w:rPr>
          <w:lang w:eastAsia="pt-BR"/>
        </w:rPr>
        <w:t>Patacchini</w:t>
      </w:r>
      <w:proofErr w:type="spellEnd"/>
      <w:r w:rsidRPr="00437CE9">
        <w:rPr>
          <w:lang w:eastAsia="pt-BR"/>
        </w:rPr>
        <w:t xml:space="preserve"> </w:t>
      </w:r>
      <w:r w:rsidRPr="00437CE9">
        <w:rPr>
          <w:i/>
          <w:lang w:eastAsia="pt-BR"/>
        </w:rPr>
        <w:t>et al.</w:t>
      </w:r>
      <w:r w:rsidRPr="00437CE9">
        <w:rPr>
          <w:lang w:eastAsia="pt-BR"/>
        </w:rPr>
        <w:t xml:space="preserve">, 2011; </w:t>
      </w:r>
      <w:proofErr w:type="spellStart"/>
      <w:r w:rsidRPr="00437CE9">
        <w:rPr>
          <w:lang w:eastAsia="pt-BR"/>
        </w:rPr>
        <w:t>Mele</w:t>
      </w:r>
      <w:proofErr w:type="spellEnd"/>
      <w:r w:rsidRPr="00437CE9">
        <w:rPr>
          <w:lang w:eastAsia="pt-BR"/>
        </w:rPr>
        <w:t xml:space="preserve">, 2010; </w:t>
      </w:r>
      <w:proofErr w:type="spellStart"/>
      <w:r w:rsidRPr="00437CE9">
        <w:rPr>
          <w:lang w:eastAsia="pt-BR"/>
        </w:rPr>
        <w:t>Calvó-Armengol</w:t>
      </w:r>
      <w:proofErr w:type="spellEnd"/>
      <w:r w:rsidRPr="00437CE9">
        <w:rPr>
          <w:lang w:eastAsia="pt-BR"/>
        </w:rPr>
        <w:t xml:space="preserve"> </w:t>
      </w:r>
      <w:r w:rsidRPr="00437CE9">
        <w:rPr>
          <w:i/>
          <w:lang w:eastAsia="pt-BR"/>
        </w:rPr>
        <w:t>et al.,</w:t>
      </w:r>
      <w:r w:rsidRPr="00437CE9">
        <w:rPr>
          <w:lang w:eastAsia="pt-BR"/>
        </w:rPr>
        <w:t xml:space="preserve"> 2009; </w:t>
      </w:r>
      <w:proofErr w:type="spellStart"/>
      <w:r w:rsidRPr="00437CE9">
        <w:rPr>
          <w:lang w:eastAsia="pt-BR"/>
        </w:rPr>
        <w:t>Bramoullé</w:t>
      </w:r>
      <w:proofErr w:type="spellEnd"/>
      <w:r w:rsidRPr="00437CE9">
        <w:rPr>
          <w:lang w:eastAsia="pt-BR"/>
        </w:rPr>
        <w:t xml:space="preserve"> </w:t>
      </w:r>
      <w:r w:rsidRPr="00437CE9">
        <w:rPr>
          <w:i/>
          <w:lang w:eastAsia="pt-BR"/>
        </w:rPr>
        <w:t>et al.,</w:t>
      </w:r>
      <w:r w:rsidRPr="00437CE9">
        <w:rPr>
          <w:lang w:eastAsia="pt-BR"/>
        </w:rPr>
        <w:t xml:space="preserve"> 2009; and </w:t>
      </w:r>
      <w:proofErr w:type="spellStart"/>
      <w:r w:rsidRPr="00437CE9">
        <w:rPr>
          <w:lang w:eastAsia="pt-BR"/>
        </w:rPr>
        <w:t>Ballester</w:t>
      </w:r>
      <w:proofErr w:type="spellEnd"/>
      <w:r w:rsidRPr="00437CE9">
        <w:rPr>
          <w:lang w:eastAsia="pt-BR"/>
        </w:rPr>
        <w:t xml:space="preserve"> </w:t>
      </w:r>
      <w:r w:rsidRPr="00437CE9">
        <w:rPr>
          <w:i/>
          <w:lang w:eastAsia="pt-BR"/>
        </w:rPr>
        <w:t>et al.,</w:t>
      </w:r>
      <w:r w:rsidRPr="00437CE9">
        <w:rPr>
          <w:lang w:eastAsia="pt-BR"/>
        </w:rPr>
        <w:t xml:space="preserve"> 2006).</w:t>
      </w:r>
    </w:p>
  </w:footnote>
  <w:footnote w:id="3">
    <w:p w:rsidR="00004361" w:rsidRPr="00D74864" w:rsidRDefault="00004361" w:rsidP="00D74864">
      <w:pPr>
        <w:pStyle w:val="Textodenotaderodap"/>
        <w:keepNext/>
        <w:keepLines/>
        <w:jc w:val="both"/>
      </w:pPr>
      <w:r w:rsidRPr="00D74864">
        <w:rPr>
          <w:rStyle w:val="Refdenotaderodap"/>
        </w:rPr>
        <w:footnoteRef/>
      </w:r>
      <w:r w:rsidRPr="00D74864">
        <w:t xml:space="preserve"> Similar IV approach was firstly </w:t>
      </w:r>
      <w:r w:rsidRPr="00437CE9">
        <w:t xml:space="preserve">proposed by </w:t>
      </w:r>
      <w:proofErr w:type="spellStart"/>
      <w:r w:rsidRPr="00437CE9">
        <w:t>Angrist</w:t>
      </w:r>
      <w:proofErr w:type="spellEnd"/>
      <w:r w:rsidRPr="00437CE9">
        <w:t xml:space="preserve"> and Krueger (1991, 1992) and </w:t>
      </w:r>
      <w:proofErr w:type="spellStart"/>
      <w:r w:rsidRPr="00437CE9">
        <w:t>Angrist</w:t>
      </w:r>
      <w:proofErr w:type="spellEnd"/>
      <w:r w:rsidRPr="00437CE9">
        <w:t xml:space="preserve"> and </w:t>
      </w:r>
      <w:proofErr w:type="spellStart"/>
      <w:r w:rsidRPr="00437CE9">
        <w:t>Imbens</w:t>
      </w:r>
      <w:proofErr w:type="spellEnd"/>
      <w:r w:rsidRPr="00437CE9">
        <w:t xml:space="preserve"> (1995). </w:t>
      </w:r>
      <w:proofErr w:type="spellStart"/>
      <w:proofErr w:type="gramStart"/>
      <w:r w:rsidRPr="00437CE9">
        <w:t>Angrist</w:t>
      </w:r>
      <w:proofErr w:type="spellEnd"/>
      <w:r w:rsidRPr="00437CE9">
        <w:t xml:space="preserve"> and Krueger (1991, 1992) show that students’ quarter of birth interacts with compulsory attendance</w:t>
      </w:r>
      <w:r w:rsidRPr="00D74864">
        <w:t xml:space="preserve"> laws in the US and age at school entry to generate variation in years of schooling.</w:t>
      </w:r>
      <w:proofErr w:type="gramEnd"/>
      <w:r w:rsidRPr="00D74864">
        <w:t xml:space="preserve"> They show that educational attainment is related to age at school entry because children who enter at an older age (born in early quarters) are permitted to drop out after having completing less schooling than children who enter at a younger age. </w:t>
      </w:r>
      <w:proofErr w:type="spellStart"/>
      <w:r w:rsidRPr="00D74864">
        <w:t>Angrist</w:t>
      </w:r>
      <w:proofErr w:type="spellEnd"/>
      <w:r w:rsidRPr="00D74864">
        <w:t xml:space="preserve"> and </w:t>
      </w:r>
      <w:proofErr w:type="spellStart"/>
      <w:r w:rsidRPr="00D74864">
        <w:t>Imbens</w:t>
      </w:r>
      <w:proofErr w:type="spellEnd"/>
      <w:r w:rsidRPr="00D74864">
        <w:t xml:space="preserve"> (1995) based on such evidence also use student’s quarter of birth as an instrument for schooling in a wage equation.</w:t>
      </w:r>
    </w:p>
  </w:footnote>
  <w:footnote w:id="4">
    <w:p w:rsidR="00004361" w:rsidRPr="00437CE9" w:rsidRDefault="00004361" w:rsidP="0067660D">
      <w:pPr>
        <w:pStyle w:val="Textodenotaderodap"/>
        <w:keepNext/>
        <w:keepLines/>
        <w:jc w:val="both"/>
      </w:pPr>
      <w:r w:rsidRPr="00437CE9">
        <w:rPr>
          <w:rStyle w:val="Refdenotaderodap"/>
        </w:rPr>
        <w:footnoteRef/>
      </w:r>
      <w:r w:rsidRPr="00437CE9">
        <w:t xml:space="preserve"> According to legal guidance and standards set by the Brazilian National Board of Education / Ministry of Education in Resolution CNE/CEB 4/2008, to enter the first year of elementary education, the child must be six (6) years old by the beginning of the school year. Some States had different resolutions defined by their local boards of Education (see Table A1 of the Annex). </w:t>
      </w:r>
    </w:p>
    <w:p w:rsidR="00004361" w:rsidRPr="00437CE9" w:rsidRDefault="00004361" w:rsidP="0067660D">
      <w:pPr>
        <w:pStyle w:val="Textodenotaderodap"/>
        <w:keepNext/>
        <w:keepLines/>
        <w:jc w:val="both"/>
      </w:pPr>
      <w:r w:rsidRPr="00437CE9">
        <w:t>In the year of 2010, a new resolution explicitly defined the cut-off date on March, 31</w:t>
      </w:r>
      <w:r w:rsidRPr="00437CE9">
        <w:rPr>
          <w:vertAlign w:val="superscript"/>
        </w:rPr>
        <w:t>st</w:t>
      </w:r>
      <w:r w:rsidRPr="00437CE9">
        <w:t xml:space="preserve"> at the Resolution CNE/CEB 6/2010, according to the following articles:</w:t>
      </w:r>
    </w:p>
    <w:p w:rsidR="00004361" w:rsidRPr="00437CE9" w:rsidRDefault="00004361" w:rsidP="0067660D">
      <w:pPr>
        <w:pStyle w:val="Textodenotaderodap"/>
        <w:keepNext/>
        <w:keepLines/>
        <w:jc w:val="both"/>
      </w:pPr>
      <w:r w:rsidRPr="00437CE9">
        <w:t>Article III – To enter the first year of elementary education, the child must be six (6) years old by March 31</w:t>
      </w:r>
      <w:r w:rsidRPr="00437CE9">
        <w:rPr>
          <w:vertAlign w:val="superscript"/>
        </w:rPr>
        <w:t>st</w:t>
      </w:r>
      <w:r w:rsidRPr="00437CE9">
        <w:t xml:space="preserve"> before they are enrolled.</w:t>
      </w:r>
    </w:p>
    <w:p w:rsidR="00004361" w:rsidRPr="00437CE9" w:rsidRDefault="00004361" w:rsidP="0067660D">
      <w:pPr>
        <w:pStyle w:val="Textodenotaderodap"/>
        <w:keepNext/>
        <w:keepLines/>
        <w:jc w:val="both"/>
      </w:pPr>
      <w:r w:rsidRPr="00437CE9">
        <w:t xml:space="preserve">Article IV – Children that reach the age of six (6) years after the date set in Article III must be enrolled at pre-school. </w:t>
      </w:r>
    </w:p>
  </w:footnote>
  <w:footnote w:id="5">
    <w:p w:rsidR="00004361" w:rsidRPr="00D74864" w:rsidRDefault="00004361" w:rsidP="00F02C79">
      <w:pPr>
        <w:pStyle w:val="Textodenotaderodap"/>
        <w:keepNext/>
        <w:keepLines/>
        <w:jc w:val="both"/>
      </w:pPr>
      <w:r w:rsidRPr="00437CE9">
        <w:rPr>
          <w:rStyle w:val="Refdenotaderodap"/>
        </w:rPr>
        <w:footnoteRef/>
      </w:r>
      <w:r w:rsidRPr="00437CE9">
        <w:t xml:space="preserve"> As pointed out by </w:t>
      </w:r>
      <w:proofErr w:type="spellStart"/>
      <w:r w:rsidRPr="00437CE9">
        <w:t>Goux</w:t>
      </w:r>
      <w:proofErr w:type="spellEnd"/>
      <w:r w:rsidRPr="00437CE9">
        <w:t xml:space="preserve"> and </w:t>
      </w:r>
      <w:proofErr w:type="spellStart"/>
      <w:r w:rsidRPr="00437CE9">
        <w:t>Maurin</w:t>
      </w:r>
      <w:proofErr w:type="spellEnd"/>
      <w:r w:rsidRPr="00437CE9">
        <w:t xml:space="preserve"> (2007), there is a literature on the influence of date of birth within the year (called the relative age effect) going back a few decades (</w:t>
      </w:r>
      <w:proofErr w:type="spellStart"/>
      <w:r w:rsidRPr="00437CE9">
        <w:t>Barnsley</w:t>
      </w:r>
      <w:proofErr w:type="spellEnd"/>
      <w:r w:rsidRPr="00437CE9">
        <w:t xml:space="preserve"> et al., 1985; Allen and </w:t>
      </w:r>
      <w:proofErr w:type="spellStart"/>
      <w:r w:rsidRPr="00437CE9">
        <w:t>Barnsley</w:t>
      </w:r>
      <w:proofErr w:type="spellEnd"/>
      <w:r w:rsidRPr="00437CE9">
        <w:t>, 1993). It is shown that r</w:t>
      </w:r>
      <w:r w:rsidRPr="00D74864">
        <w:t xml:space="preserve">elative age has an impact on achievement in competitive activities (Hockey, Soccer), on achievement at school, on emotional development and even on the probability of committing suicide. </w:t>
      </w:r>
    </w:p>
  </w:footnote>
  <w:footnote w:id="6">
    <w:p w:rsidR="00004361" w:rsidRPr="00D74864" w:rsidRDefault="00004361" w:rsidP="00D74864">
      <w:pPr>
        <w:pStyle w:val="Textodenotaderodap"/>
        <w:jc w:val="both"/>
      </w:pPr>
      <w:r w:rsidRPr="00D74864">
        <w:rPr>
          <w:rStyle w:val="Refdenotaderodap"/>
        </w:rPr>
        <w:footnoteRef/>
      </w:r>
      <w:r w:rsidRPr="00D74864">
        <w:t xml:space="preserve"> Where </w:t>
      </w:r>
      <w:proofErr w:type="spellStart"/>
      <w:proofErr w:type="gramStart"/>
      <w:r w:rsidRPr="00D74864">
        <w:rPr>
          <w:i/>
        </w:rPr>
        <w:t>n</w:t>
      </w:r>
      <w:r w:rsidRPr="00D74864">
        <w:rPr>
          <w:i/>
          <w:vertAlign w:val="subscript"/>
        </w:rPr>
        <w:t>j</w:t>
      </w:r>
      <w:proofErr w:type="spellEnd"/>
      <w:proofErr w:type="gramEnd"/>
      <w:r w:rsidRPr="00D74864">
        <w:t xml:space="preserve"> is the total number of 4</w:t>
      </w:r>
      <w:r w:rsidRPr="00D74864">
        <w:rPr>
          <w:vertAlign w:val="superscript"/>
        </w:rPr>
        <w:t>th</w:t>
      </w:r>
      <w:r w:rsidRPr="00D74864">
        <w:t xml:space="preserve"> graders students at school </w:t>
      </w:r>
      <w:r w:rsidRPr="00D74864">
        <w:rPr>
          <w:i/>
        </w:rPr>
        <w:t>j</w:t>
      </w:r>
      <w:r w:rsidRPr="00D74864">
        <w:t>.</w:t>
      </w:r>
    </w:p>
  </w:footnote>
  <w:footnote w:id="7">
    <w:p w:rsidR="00004361" w:rsidRPr="00D74864" w:rsidRDefault="00004361" w:rsidP="005B25E5">
      <w:pPr>
        <w:pStyle w:val="Textodenotaderodap"/>
        <w:jc w:val="both"/>
      </w:pPr>
      <w:r w:rsidRPr="00D74864">
        <w:rPr>
          <w:rStyle w:val="Refdenotaderodap"/>
        </w:rPr>
        <w:footnoteRef/>
      </w:r>
      <w:r w:rsidRPr="00D74864">
        <w:t xml:space="preserve"> Suppose a specific school has a high proportion of students born in the second semester, and denote its average performance </w:t>
      </w:r>
      <w:proofErr w:type="gramStart"/>
      <w:r w:rsidRPr="00D74864">
        <w:t xml:space="preserve">as </w:t>
      </w:r>
      <m:oMath>
        <w:proofErr w:type="gramEnd"/>
        <m:acc>
          <m:accPr>
            <m:chr m:val="̅"/>
            <m:ctrlPr>
              <w:rPr>
                <w:rFonts w:ascii="Cambria Math" w:hAnsi="Cambria Math"/>
                <w:i/>
                <w:bdr w:val="nil"/>
                <w:lang w:eastAsia="en-GB"/>
              </w:rPr>
            </m:ctrlPr>
          </m:accPr>
          <m:e>
            <m:sSub>
              <m:sSubPr>
                <m:ctrlPr>
                  <w:rPr>
                    <w:rFonts w:ascii="Cambria Math" w:hAnsi="Cambria Math"/>
                    <w:i/>
                    <w:bdr w:val="nil"/>
                    <w:lang w:eastAsia="en-GB"/>
                  </w:rPr>
                </m:ctrlPr>
              </m:sSubPr>
              <m:e>
                <m:r>
                  <w:rPr>
                    <w:rFonts w:ascii="Cambria Math" w:hAnsi="Cambria Math"/>
                  </w:rPr>
                  <m:t>Y</m:t>
                </m:r>
              </m:e>
              <m:sub>
                <m:r>
                  <w:rPr>
                    <w:rFonts w:ascii="Cambria Math" w:hAnsi="Cambria Math"/>
                  </w:rPr>
                  <m:t>j</m:t>
                </m:r>
                <m:r>
                  <w:rPr>
                    <w:rFonts w:ascii="Cambria Math"/>
                  </w:rPr>
                  <m:t>1</m:t>
                </m:r>
              </m:sub>
            </m:sSub>
          </m:e>
        </m:acc>
      </m:oMath>
      <w:r>
        <w:t>. The non-</w:t>
      </w:r>
      <w:r w:rsidRPr="00D74864">
        <w:t xml:space="preserve">observed counterfactual </w:t>
      </w:r>
      <m:oMath>
        <m:acc>
          <m:accPr>
            <m:chr m:val="̅"/>
            <m:ctrlPr>
              <w:rPr>
                <w:rFonts w:ascii="Cambria Math" w:hAnsi="Cambria Math"/>
                <w:i/>
                <w:bdr w:val="nil"/>
                <w:lang w:eastAsia="en-GB"/>
              </w:rPr>
            </m:ctrlPr>
          </m:accPr>
          <m:e>
            <m:sSub>
              <m:sSubPr>
                <m:ctrlPr>
                  <w:rPr>
                    <w:rFonts w:ascii="Cambria Math" w:hAnsi="Cambria Math"/>
                    <w:i/>
                    <w:bdr w:val="nil"/>
                    <w:lang w:eastAsia="en-GB"/>
                  </w:rPr>
                </m:ctrlPr>
              </m:sSubPr>
              <m:e>
                <m:r>
                  <w:rPr>
                    <w:rFonts w:ascii="Cambria Math" w:hAnsi="Cambria Math"/>
                  </w:rPr>
                  <m:t>Y</m:t>
                </m:r>
              </m:e>
              <m:sub>
                <m:r>
                  <w:rPr>
                    <w:rFonts w:ascii="Cambria Math" w:hAnsi="Cambria Math"/>
                  </w:rPr>
                  <m:t>j</m:t>
                </m:r>
                <m:r>
                  <w:rPr>
                    <w:rFonts w:ascii="Cambria Math"/>
                  </w:rPr>
                  <m:t>0</m:t>
                </m:r>
              </m:sub>
            </m:sSub>
          </m:e>
        </m:acc>
      </m:oMath>
      <w:r w:rsidRPr="00D74864">
        <w:t xml:space="preserve"> for that same unit would provide its average performance had that school concentrated more students born in the first semester. However, only one of </w:t>
      </w:r>
      <m:oMath>
        <m:acc>
          <m:accPr>
            <m:chr m:val="̅"/>
            <m:ctrlPr>
              <w:rPr>
                <w:rFonts w:ascii="Cambria Math" w:hAnsi="Cambria Math"/>
                <w:i/>
                <w:bdr w:val="nil"/>
                <w:lang w:eastAsia="en-GB"/>
              </w:rPr>
            </m:ctrlPr>
          </m:accPr>
          <m:e>
            <m:sSub>
              <m:sSubPr>
                <m:ctrlPr>
                  <w:rPr>
                    <w:rFonts w:ascii="Cambria Math" w:hAnsi="Cambria Math"/>
                    <w:i/>
                    <w:bdr w:val="nil"/>
                    <w:lang w:eastAsia="en-GB"/>
                  </w:rPr>
                </m:ctrlPr>
              </m:sSubPr>
              <m:e>
                <m:r>
                  <w:rPr>
                    <w:rFonts w:ascii="Cambria Math" w:hAnsi="Cambria Math"/>
                  </w:rPr>
                  <m:t>Y</m:t>
                </m:r>
              </m:e>
              <m:sub>
                <m:r>
                  <w:rPr>
                    <w:rFonts w:ascii="Cambria Math" w:hAnsi="Cambria Math"/>
                  </w:rPr>
                  <m:t>j</m:t>
                </m:r>
                <m:r>
                  <w:rPr>
                    <w:rFonts w:ascii="Cambria Math"/>
                  </w:rPr>
                  <m:t>1</m:t>
                </m:r>
              </m:sub>
            </m:sSub>
          </m:e>
        </m:acc>
      </m:oMath>
      <w:r w:rsidRPr="00D74864">
        <w:t xml:space="preserve"> (</w:t>
      </w:r>
      <w:proofErr w:type="gramStart"/>
      <w:r w:rsidRPr="00D74864">
        <w:t xml:space="preserve">or </w:t>
      </w:r>
      <m:oMath>
        <w:proofErr w:type="gramEnd"/>
        <m:acc>
          <m:accPr>
            <m:chr m:val="̅"/>
            <m:ctrlPr>
              <w:rPr>
                <w:rFonts w:ascii="Cambria Math" w:hAnsi="Cambria Math"/>
                <w:i/>
                <w:bdr w:val="nil"/>
                <w:lang w:eastAsia="en-GB"/>
              </w:rPr>
            </m:ctrlPr>
          </m:accPr>
          <m:e>
            <m:sSub>
              <m:sSubPr>
                <m:ctrlPr>
                  <w:rPr>
                    <w:rFonts w:ascii="Cambria Math" w:hAnsi="Cambria Math"/>
                    <w:i/>
                    <w:bdr w:val="nil"/>
                    <w:lang w:eastAsia="en-GB"/>
                  </w:rPr>
                </m:ctrlPr>
              </m:sSubPr>
              <m:e>
                <m:r>
                  <w:rPr>
                    <w:rFonts w:ascii="Cambria Math" w:hAnsi="Cambria Math"/>
                  </w:rPr>
                  <m:t>Y</m:t>
                </m:r>
              </m:e>
              <m:sub>
                <m:r>
                  <w:rPr>
                    <w:rFonts w:ascii="Cambria Math" w:hAnsi="Cambria Math"/>
                  </w:rPr>
                  <m:t>j</m:t>
                </m:r>
                <m:r>
                  <w:rPr>
                    <w:rFonts w:ascii="Cambria Math"/>
                  </w:rPr>
                  <m:t>0</m:t>
                </m:r>
              </m:sub>
            </m:sSub>
          </m:e>
        </m:acc>
      </m:oMath>
      <w:r w:rsidRPr="00D74864">
        <w:t>) is observed.</w:t>
      </w:r>
    </w:p>
  </w:footnote>
  <w:footnote w:id="8">
    <w:p w:rsidR="00004361" w:rsidRPr="005132A8" w:rsidRDefault="00004361" w:rsidP="00156016">
      <w:pPr>
        <w:pStyle w:val="Textodenotaderodap"/>
      </w:pPr>
      <w:r>
        <w:rPr>
          <w:rStyle w:val="Refdenotaderodap"/>
        </w:rPr>
        <w:footnoteRef/>
      </w:r>
      <w:r w:rsidRPr="005132A8">
        <w:t xml:space="preserve"> Resultant from conceptions in the period of J</w:t>
      </w:r>
      <w:r>
        <w:t xml:space="preserve">une-August (end of </w:t>
      </w:r>
      <w:proofErr w:type="gramStart"/>
      <w:r>
        <w:t>Fall</w:t>
      </w:r>
      <w:proofErr w:type="gramEnd"/>
      <w:r>
        <w:t xml:space="preserve"> and beginning of the Winter in Brazil).</w:t>
      </w:r>
    </w:p>
  </w:footnote>
  <w:footnote w:id="9">
    <w:p w:rsidR="00004361" w:rsidRPr="008B145E" w:rsidRDefault="00004361">
      <w:pPr>
        <w:pStyle w:val="Textodenotaderodap"/>
      </w:pPr>
      <w:r>
        <w:rPr>
          <w:rStyle w:val="Refdenotaderodap"/>
        </w:rPr>
        <w:footnoteRef/>
      </w:r>
      <w:r>
        <w:t xml:space="preserve"> For our sample study, the average age at school entry in the 1</w:t>
      </w:r>
      <w:r w:rsidRPr="008B145E">
        <w:rPr>
          <w:vertAlign w:val="superscript"/>
        </w:rPr>
        <w:t>st</w:t>
      </w:r>
      <w:r>
        <w:t xml:space="preserve"> semester is 6.3 years old, while in the 2</w:t>
      </w:r>
      <w:r w:rsidRPr="008B145E">
        <w:rPr>
          <w:vertAlign w:val="superscript"/>
        </w:rPr>
        <w:t>nd</w:t>
      </w:r>
      <w:r>
        <w:t xml:space="preserve"> semester, it is 6.8. This difference is statistically significant at less than 1% level.</w:t>
      </w:r>
    </w:p>
  </w:footnote>
  <w:footnote w:id="10">
    <w:p w:rsidR="00004361" w:rsidRPr="00092E6B" w:rsidRDefault="00004361">
      <w:pPr>
        <w:pStyle w:val="Textodenotaderodap"/>
      </w:pPr>
      <w:r>
        <w:rPr>
          <w:rStyle w:val="Refdenotaderodap"/>
        </w:rPr>
        <w:footnoteRef/>
      </w:r>
      <w:r>
        <w:t xml:space="preserve"> The standardized coefficient is calculated as follows: </w:t>
      </w:r>
      <m:oMath>
        <m:acc>
          <m:accPr>
            <m:ctrlPr>
              <w:rPr>
                <w:rFonts w:ascii="Cambria Math" w:hAnsi="Cambria Math"/>
                <w:i/>
              </w:rPr>
            </m:ctrlPr>
          </m:accPr>
          <m:e>
            <m:r>
              <w:rPr>
                <w:rFonts w:ascii="Cambria Math" w:hAnsi="Cambria Math"/>
              </w:rPr>
              <m:t>b</m:t>
            </m:r>
          </m:e>
        </m:acc>
        <m:r>
          <w:rPr>
            <w:rFonts w:ascii="Cambria Math" w:hAnsi="Cambria Math"/>
          </w:rPr>
          <m:t>=</m:t>
        </m:r>
        <m:acc>
          <m:accPr>
            <m:ctrlPr>
              <w:rPr>
                <w:rFonts w:ascii="Cambria Math" w:hAnsi="Cambria Math"/>
                <w:i/>
              </w:rPr>
            </m:ctrlPr>
          </m:accPr>
          <m:e>
            <m:r>
              <w:rPr>
                <w:rFonts w:ascii="Cambria Math" w:hAnsi="Cambria Math"/>
              </w:rPr>
              <m:t>β</m:t>
            </m:r>
          </m:e>
        </m:acc>
        <m:r>
          <w:rPr>
            <w:rFonts w:ascii="Cambria Math" w:hAnsi="Cambria Math"/>
          </w:rPr>
          <m:t>*[</m:t>
        </m:r>
        <m:f>
          <m:fPr>
            <m:type m:val="lin"/>
            <m:ctrlPr>
              <w:rPr>
                <w:rFonts w:ascii="Cambria Math" w:hAnsi="Cambria Math"/>
                <w:i/>
              </w:rPr>
            </m:ctrlPr>
          </m:fPr>
          <m:num>
            <m:r>
              <w:rPr>
                <w:rFonts w:ascii="Cambria Math" w:hAnsi="Cambria Math"/>
              </w:rPr>
              <m:t>sd(</m:t>
            </m:r>
            <m:acc>
              <m:accPr>
                <m:chr m:val="̅"/>
                <m:ctrlPr>
                  <w:rPr>
                    <w:rFonts w:ascii="Cambria Math" w:hAnsi="Cambria Math"/>
                    <w:i/>
                  </w:rPr>
                </m:ctrlPr>
              </m:accPr>
              <m:e>
                <m:r>
                  <w:rPr>
                    <w:rFonts w:ascii="Cambria Math" w:hAnsi="Cambria Math"/>
                  </w:rPr>
                  <m:t>Y</m:t>
                </m:r>
              </m:e>
            </m:acc>
            <m:r>
              <w:rPr>
                <w:rFonts w:ascii="Cambria Math" w:hAnsi="Cambria Math"/>
              </w:rPr>
              <m:t>)</m:t>
            </m:r>
          </m:num>
          <m:den>
            <m:r>
              <w:rPr>
                <w:rFonts w:ascii="Cambria Math" w:hAnsi="Cambria Math"/>
              </w:rPr>
              <m:t>sd</m:t>
            </m:r>
            <m:d>
              <m:dPr>
                <m:ctrlPr>
                  <w:rPr>
                    <w:rFonts w:ascii="Cambria Math" w:hAnsi="Cambria Math"/>
                    <w:i/>
                  </w:rPr>
                </m:ctrlPr>
              </m:dPr>
              <m:e>
                <m:r>
                  <w:rPr>
                    <w:rFonts w:ascii="Cambria Math" w:hAnsi="Cambria Math"/>
                  </w:rPr>
                  <m:t>Y</m:t>
                </m:r>
              </m:e>
            </m:d>
          </m:den>
        </m:f>
        <m:r>
          <w:rPr>
            <w:rFonts w:ascii="Cambria Math" w:hAnsi="Cambria Math"/>
          </w:rPr>
          <m:t>]</m:t>
        </m:r>
      </m:oMath>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361" w:rsidRDefault="00D67803">
    <w:pPr>
      <w:pStyle w:val="Cabealho"/>
      <w:jc w:val="right"/>
    </w:pPr>
    <w:fldSimple w:instr=" PAGE   \* MERGEFORMAT ">
      <w:r w:rsidR="00985197">
        <w:rPr>
          <w:noProof/>
        </w:rPr>
        <w:t>1</w:t>
      </w:r>
    </w:fldSimple>
  </w:p>
  <w:p w:rsidR="00004361" w:rsidRDefault="00004361">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361" w:rsidRDefault="00D67803">
    <w:pPr>
      <w:pStyle w:val="Cabealho"/>
      <w:jc w:val="right"/>
    </w:pPr>
    <w:fldSimple w:instr=" PAGE   \* MERGEFORMAT ">
      <w:r w:rsidR="00985197">
        <w:rPr>
          <w:noProof/>
        </w:rPr>
        <w:t>19</w:t>
      </w:r>
    </w:fldSimple>
  </w:p>
  <w:p w:rsidR="00004361" w:rsidRDefault="00004361">
    <w:pPr>
      <w:pStyle w:val="Cabealh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2D4E8E"/>
    <w:rsid w:val="0000231E"/>
    <w:rsid w:val="00003B6C"/>
    <w:rsid w:val="000042D1"/>
    <w:rsid w:val="00004361"/>
    <w:rsid w:val="000045C8"/>
    <w:rsid w:val="00004DF8"/>
    <w:rsid w:val="00005640"/>
    <w:rsid w:val="00005CAB"/>
    <w:rsid w:val="000108CC"/>
    <w:rsid w:val="00010F41"/>
    <w:rsid w:val="00012934"/>
    <w:rsid w:val="000151EB"/>
    <w:rsid w:val="0001642C"/>
    <w:rsid w:val="00016738"/>
    <w:rsid w:val="000175A9"/>
    <w:rsid w:val="00017E93"/>
    <w:rsid w:val="0002244B"/>
    <w:rsid w:val="000244FA"/>
    <w:rsid w:val="00026A8F"/>
    <w:rsid w:val="00030608"/>
    <w:rsid w:val="0003063B"/>
    <w:rsid w:val="0003209B"/>
    <w:rsid w:val="0003531E"/>
    <w:rsid w:val="00035454"/>
    <w:rsid w:val="000359E4"/>
    <w:rsid w:val="00035AB9"/>
    <w:rsid w:val="00040D75"/>
    <w:rsid w:val="00042A32"/>
    <w:rsid w:val="0004395F"/>
    <w:rsid w:val="000448BC"/>
    <w:rsid w:val="0004663D"/>
    <w:rsid w:val="000470D2"/>
    <w:rsid w:val="00051794"/>
    <w:rsid w:val="00052535"/>
    <w:rsid w:val="00053347"/>
    <w:rsid w:val="0005337F"/>
    <w:rsid w:val="00055534"/>
    <w:rsid w:val="0005626A"/>
    <w:rsid w:val="00060CD5"/>
    <w:rsid w:val="00065ABC"/>
    <w:rsid w:val="00070200"/>
    <w:rsid w:val="00072241"/>
    <w:rsid w:val="0007281D"/>
    <w:rsid w:val="000761DD"/>
    <w:rsid w:val="00076341"/>
    <w:rsid w:val="0007641D"/>
    <w:rsid w:val="000766C6"/>
    <w:rsid w:val="000776EB"/>
    <w:rsid w:val="000777A7"/>
    <w:rsid w:val="00080CEA"/>
    <w:rsid w:val="000834CB"/>
    <w:rsid w:val="00083C95"/>
    <w:rsid w:val="00084B60"/>
    <w:rsid w:val="00084CE6"/>
    <w:rsid w:val="000860AF"/>
    <w:rsid w:val="000868B0"/>
    <w:rsid w:val="00090698"/>
    <w:rsid w:val="00092E6B"/>
    <w:rsid w:val="00093F42"/>
    <w:rsid w:val="0009543E"/>
    <w:rsid w:val="00096226"/>
    <w:rsid w:val="000A200A"/>
    <w:rsid w:val="000A3499"/>
    <w:rsid w:val="000A45B3"/>
    <w:rsid w:val="000A7996"/>
    <w:rsid w:val="000B0743"/>
    <w:rsid w:val="000B52EA"/>
    <w:rsid w:val="000B7052"/>
    <w:rsid w:val="000B7920"/>
    <w:rsid w:val="000B7DA5"/>
    <w:rsid w:val="000C0BE4"/>
    <w:rsid w:val="000C1463"/>
    <w:rsid w:val="000C2187"/>
    <w:rsid w:val="000C36BF"/>
    <w:rsid w:val="000C6DB2"/>
    <w:rsid w:val="000C7152"/>
    <w:rsid w:val="000C75C0"/>
    <w:rsid w:val="000C7B24"/>
    <w:rsid w:val="000D3183"/>
    <w:rsid w:val="000D7511"/>
    <w:rsid w:val="000E1D15"/>
    <w:rsid w:val="000E375E"/>
    <w:rsid w:val="000E3878"/>
    <w:rsid w:val="000E3986"/>
    <w:rsid w:val="000E3CF9"/>
    <w:rsid w:val="000E5690"/>
    <w:rsid w:val="000E7B93"/>
    <w:rsid w:val="000F0D60"/>
    <w:rsid w:val="000F1EE5"/>
    <w:rsid w:val="000F38AC"/>
    <w:rsid w:val="000F5384"/>
    <w:rsid w:val="000F5FD4"/>
    <w:rsid w:val="000F75CB"/>
    <w:rsid w:val="001005EE"/>
    <w:rsid w:val="00105D42"/>
    <w:rsid w:val="0010756B"/>
    <w:rsid w:val="001200AD"/>
    <w:rsid w:val="00120B7E"/>
    <w:rsid w:val="00122C1B"/>
    <w:rsid w:val="00122CF4"/>
    <w:rsid w:val="00123880"/>
    <w:rsid w:val="00124001"/>
    <w:rsid w:val="0012409F"/>
    <w:rsid w:val="00125B37"/>
    <w:rsid w:val="00126F6D"/>
    <w:rsid w:val="001276B3"/>
    <w:rsid w:val="0013032D"/>
    <w:rsid w:val="00133383"/>
    <w:rsid w:val="00134633"/>
    <w:rsid w:val="001365C7"/>
    <w:rsid w:val="00136D8F"/>
    <w:rsid w:val="00137EC2"/>
    <w:rsid w:val="0014104A"/>
    <w:rsid w:val="001423CB"/>
    <w:rsid w:val="00147CAC"/>
    <w:rsid w:val="00151979"/>
    <w:rsid w:val="00152CAF"/>
    <w:rsid w:val="00153CDB"/>
    <w:rsid w:val="00156016"/>
    <w:rsid w:val="00156118"/>
    <w:rsid w:val="00156281"/>
    <w:rsid w:val="00156B11"/>
    <w:rsid w:val="00157161"/>
    <w:rsid w:val="0015728B"/>
    <w:rsid w:val="001616D2"/>
    <w:rsid w:val="001626FB"/>
    <w:rsid w:val="00163476"/>
    <w:rsid w:val="00165BAD"/>
    <w:rsid w:val="00165D54"/>
    <w:rsid w:val="00165F27"/>
    <w:rsid w:val="001661A2"/>
    <w:rsid w:val="00167B3D"/>
    <w:rsid w:val="0017213F"/>
    <w:rsid w:val="00172537"/>
    <w:rsid w:val="00172B22"/>
    <w:rsid w:val="00174082"/>
    <w:rsid w:val="00180B3D"/>
    <w:rsid w:val="00180E6C"/>
    <w:rsid w:val="001813FA"/>
    <w:rsid w:val="001815F9"/>
    <w:rsid w:val="00182326"/>
    <w:rsid w:val="00183496"/>
    <w:rsid w:val="00183E7E"/>
    <w:rsid w:val="00184CF5"/>
    <w:rsid w:val="00187222"/>
    <w:rsid w:val="00190B3E"/>
    <w:rsid w:val="001914FE"/>
    <w:rsid w:val="001921CA"/>
    <w:rsid w:val="00192BFF"/>
    <w:rsid w:val="00194C83"/>
    <w:rsid w:val="00194E7B"/>
    <w:rsid w:val="00195CDE"/>
    <w:rsid w:val="0019669B"/>
    <w:rsid w:val="00196BB2"/>
    <w:rsid w:val="001A03BC"/>
    <w:rsid w:val="001A33BD"/>
    <w:rsid w:val="001A429F"/>
    <w:rsid w:val="001A6D69"/>
    <w:rsid w:val="001A6E8D"/>
    <w:rsid w:val="001A7254"/>
    <w:rsid w:val="001B1BC7"/>
    <w:rsid w:val="001C1184"/>
    <w:rsid w:val="001C1F61"/>
    <w:rsid w:val="001C2062"/>
    <w:rsid w:val="001C395E"/>
    <w:rsid w:val="001C4554"/>
    <w:rsid w:val="001C696F"/>
    <w:rsid w:val="001C6DA9"/>
    <w:rsid w:val="001C7B1C"/>
    <w:rsid w:val="001D11F7"/>
    <w:rsid w:val="001D5C04"/>
    <w:rsid w:val="001E3A23"/>
    <w:rsid w:val="001E4E0D"/>
    <w:rsid w:val="001E6801"/>
    <w:rsid w:val="001F1C16"/>
    <w:rsid w:val="001F45BB"/>
    <w:rsid w:val="001F484A"/>
    <w:rsid w:val="001F502F"/>
    <w:rsid w:val="001F647A"/>
    <w:rsid w:val="001F6657"/>
    <w:rsid w:val="001F667C"/>
    <w:rsid w:val="001F6951"/>
    <w:rsid w:val="001F7D50"/>
    <w:rsid w:val="002015FD"/>
    <w:rsid w:val="0020259D"/>
    <w:rsid w:val="00203E09"/>
    <w:rsid w:val="00206924"/>
    <w:rsid w:val="00210598"/>
    <w:rsid w:val="00212671"/>
    <w:rsid w:val="00214FE2"/>
    <w:rsid w:val="00216288"/>
    <w:rsid w:val="002162FC"/>
    <w:rsid w:val="002171FB"/>
    <w:rsid w:val="0022024C"/>
    <w:rsid w:val="0022111C"/>
    <w:rsid w:val="002234CA"/>
    <w:rsid w:val="00224147"/>
    <w:rsid w:val="002247E8"/>
    <w:rsid w:val="00226846"/>
    <w:rsid w:val="0022747D"/>
    <w:rsid w:val="00231246"/>
    <w:rsid w:val="00234266"/>
    <w:rsid w:val="002364CE"/>
    <w:rsid w:val="00236523"/>
    <w:rsid w:val="00237A0E"/>
    <w:rsid w:val="00241923"/>
    <w:rsid w:val="00241A7B"/>
    <w:rsid w:val="002441F2"/>
    <w:rsid w:val="002474E3"/>
    <w:rsid w:val="002501D7"/>
    <w:rsid w:val="002521DF"/>
    <w:rsid w:val="0025748F"/>
    <w:rsid w:val="002577B3"/>
    <w:rsid w:val="00264236"/>
    <w:rsid w:val="00265A1D"/>
    <w:rsid w:val="00266C04"/>
    <w:rsid w:val="00271F57"/>
    <w:rsid w:val="00277893"/>
    <w:rsid w:val="00281B5C"/>
    <w:rsid w:val="002834F5"/>
    <w:rsid w:val="00283EEB"/>
    <w:rsid w:val="00287483"/>
    <w:rsid w:val="00293E7A"/>
    <w:rsid w:val="002A11F9"/>
    <w:rsid w:val="002A1330"/>
    <w:rsid w:val="002A3AE3"/>
    <w:rsid w:val="002A7E3D"/>
    <w:rsid w:val="002B0BA3"/>
    <w:rsid w:val="002B3573"/>
    <w:rsid w:val="002B398A"/>
    <w:rsid w:val="002B587C"/>
    <w:rsid w:val="002B687F"/>
    <w:rsid w:val="002C089B"/>
    <w:rsid w:val="002C19B9"/>
    <w:rsid w:val="002C1A9B"/>
    <w:rsid w:val="002C247C"/>
    <w:rsid w:val="002C51A8"/>
    <w:rsid w:val="002C6CF0"/>
    <w:rsid w:val="002C76AA"/>
    <w:rsid w:val="002D0065"/>
    <w:rsid w:val="002D295A"/>
    <w:rsid w:val="002D2EA1"/>
    <w:rsid w:val="002D4E8E"/>
    <w:rsid w:val="002D71EB"/>
    <w:rsid w:val="002E0626"/>
    <w:rsid w:val="002E289F"/>
    <w:rsid w:val="002E2CC6"/>
    <w:rsid w:val="002E4A20"/>
    <w:rsid w:val="002E7ED6"/>
    <w:rsid w:val="002F0665"/>
    <w:rsid w:val="002F1B1C"/>
    <w:rsid w:val="002F3400"/>
    <w:rsid w:val="002F3EF9"/>
    <w:rsid w:val="002F46D7"/>
    <w:rsid w:val="002F4D47"/>
    <w:rsid w:val="002F5766"/>
    <w:rsid w:val="002F6D56"/>
    <w:rsid w:val="003004F8"/>
    <w:rsid w:val="0030494B"/>
    <w:rsid w:val="00306088"/>
    <w:rsid w:val="00311FCD"/>
    <w:rsid w:val="00314D85"/>
    <w:rsid w:val="00315FFD"/>
    <w:rsid w:val="00317B44"/>
    <w:rsid w:val="0032149E"/>
    <w:rsid w:val="00322790"/>
    <w:rsid w:val="003255EE"/>
    <w:rsid w:val="003268E0"/>
    <w:rsid w:val="00333435"/>
    <w:rsid w:val="003336EE"/>
    <w:rsid w:val="00333DD9"/>
    <w:rsid w:val="00334381"/>
    <w:rsid w:val="003343D5"/>
    <w:rsid w:val="003426E6"/>
    <w:rsid w:val="0034288E"/>
    <w:rsid w:val="0034376D"/>
    <w:rsid w:val="00352893"/>
    <w:rsid w:val="0035321D"/>
    <w:rsid w:val="0035508C"/>
    <w:rsid w:val="00355234"/>
    <w:rsid w:val="0035795A"/>
    <w:rsid w:val="00362F8C"/>
    <w:rsid w:val="003654B5"/>
    <w:rsid w:val="00365D3C"/>
    <w:rsid w:val="00366379"/>
    <w:rsid w:val="003743FF"/>
    <w:rsid w:val="003745DA"/>
    <w:rsid w:val="00380CFE"/>
    <w:rsid w:val="00385874"/>
    <w:rsid w:val="00390DBB"/>
    <w:rsid w:val="00391C0C"/>
    <w:rsid w:val="00391D26"/>
    <w:rsid w:val="00392786"/>
    <w:rsid w:val="003950DB"/>
    <w:rsid w:val="0039565D"/>
    <w:rsid w:val="00395744"/>
    <w:rsid w:val="00396C29"/>
    <w:rsid w:val="003A0B1D"/>
    <w:rsid w:val="003A5628"/>
    <w:rsid w:val="003A59A2"/>
    <w:rsid w:val="003A6AEE"/>
    <w:rsid w:val="003B03B5"/>
    <w:rsid w:val="003B0C28"/>
    <w:rsid w:val="003B1445"/>
    <w:rsid w:val="003B44CD"/>
    <w:rsid w:val="003B5FCE"/>
    <w:rsid w:val="003B6204"/>
    <w:rsid w:val="003C1600"/>
    <w:rsid w:val="003C2008"/>
    <w:rsid w:val="003C2EFB"/>
    <w:rsid w:val="003C4FF0"/>
    <w:rsid w:val="003C59B2"/>
    <w:rsid w:val="003C5BA2"/>
    <w:rsid w:val="003C67F7"/>
    <w:rsid w:val="003D405E"/>
    <w:rsid w:val="003D4121"/>
    <w:rsid w:val="003D7559"/>
    <w:rsid w:val="003E3A73"/>
    <w:rsid w:val="003E5BFA"/>
    <w:rsid w:val="003E5C8D"/>
    <w:rsid w:val="003E5DDF"/>
    <w:rsid w:val="003F0B66"/>
    <w:rsid w:val="003F2003"/>
    <w:rsid w:val="003F3819"/>
    <w:rsid w:val="00400737"/>
    <w:rsid w:val="0040149D"/>
    <w:rsid w:val="004029B0"/>
    <w:rsid w:val="00404BE3"/>
    <w:rsid w:val="00405EC6"/>
    <w:rsid w:val="00410781"/>
    <w:rsid w:val="004107EC"/>
    <w:rsid w:val="0041331C"/>
    <w:rsid w:val="00413670"/>
    <w:rsid w:val="00413F4F"/>
    <w:rsid w:val="00414E23"/>
    <w:rsid w:val="00425750"/>
    <w:rsid w:val="00427B0C"/>
    <w:rsid w:val="004317AB"/>
    <w:rsid w:val="004338FA"/>
    <w:rsid w:val="00434AE7"/>
    <w:rsid w:val="00435B06"/>
    <w:rsid w:val="0043641C"/>
    <w:rsid w:val="00437CE9"/>
    <w:rsid w:val="00441E55"/>
    <w:rsid w:val="0044220E"/>
    <w:rsid w:val="00444652"/>
    <w:rsid w:val="00444CAF"/>
    <w:rsid w:val="00445C26"/>
    <w:rsid w:val="00446C9C"/>
    <w:rsid w:val="004507B2"/>
    <w:rsid w:val="00453BE8"/>
    <w:rsid w:val="00456B96"/>
    <w:rsid w:val="004614E0"/>
    <w:rsid w:val="00461B83"/>
    <w:rsid w:val="00461C7A"/>
    <w:rsid w:val="00465712"/>
    <w:rsid w:val="00466294"/>
    <w:rsid w:val="00471595"/>
    <w:rsid w:val="00471D3A"/>
    <w:rsid w:val="00471ED9"/>
    <w:rsid w:val="00473E01"/>
    <w:rsid w:val="00474D96"/>
    <w:rsid w:val="004779D1"/>
    <w:rsid w:val="00481A60"/>
    <w:rsid w:val="004839F6"/>
    <w:rsid w:val="00483DCE"/>
    <w:rsid w:val="004865DF"/>
    <w:rsid w:val="004907F9"/>
    <w:rsid w:val="00490E1D"/>
    <w:rsid w:val="0049220A"/>
    <w:rsid w:val="00496F78"/>
    <w:rsid w:val="004A39F9"/>
    <w:rsid w:val="004A3B87"/>
    <w:rsid w:val="004A3DAF"/>
    <w:rsid w:val="004A5AED"/>
    <w:rsid w:val="004A5B79"/>
    <w:rsid w:val="004B362F"/>
    <w:rsid w:val="004B4B92"/>
    <w:rsid w:val="004B504B"/>
    <w:rsid w:val="004C1259"/>
    <w:rsid w:val="004C2F2D"/>
    <w:rsid w:val="004C3290"/>
    <w:rsid w:val="004C41AA"/>
    <w:rsid w:val="004D2864"/>
    <w:rsid w:val="004E1A48"/>
    <w:rsid w:val="004E3564"/>
    <w:rsid w:val="004E4EF5"/>
    <w:rsid w:val="004E78E5"/>
    <w:rsid w:val="004F065E"/>
    <w:rsid w:val="004F14B5"/>
    <w:rsid w:val="004F1B49"/>
    <w:rsid w:val="004F33EB"/>
    <w:rsid w:val="004F4235"/>
    <w:rsid w:val="004F7D30"/>
    <w:rsid w:val="005035FA"/>
    <w:rsid w:val="005041B7"/>
    <w:rsid w:val="00504F19"/>
    <w:rsid w:val="00505796"/>
    <w:rsid w:val="005063A1"/>
    <w:rsid w:val="00506835"/>
    <w:rsid w:val="0050721A"/>
    <w:rsid w:val="00510290"/>
    <w:rsid w:val="005116D3"/>
    <w:rsid w:val="00511833"/>
    <w:rsid w:val="00511A21"/>
    <w:rsid w:val="00513BAD"/>
    <w:rsid w:val="005170A0"/>
    <w:rsid w:val="00517496"/>
    <w:rsid w:val="00517D85"/>
    <w:rsid w:val="0052040A"/>
    <w:rsid w:val="00520ED1"/>
    <w:rsid w:val="00520ED3"/>
    <w:rsid w:val="00521B43"/>
    <w:rsid w:val="0052411A"/>
    <w:rsid w:val="00526E35"/>
    <w:rsid w:val="00530042"/>
    <w:rsid w:val="00535268"/>
    <w:rsid w:val="00535645"/>
    <w:rsid w:val="00535900"/>
    <w:rsid w:val="005406DC"/>
    <w:rsid w:val="00540C1C"/>
    <w:rsid w:val="00542283"/>
    <w:rsid w:val="00542486"/>
    <w:rsid w:val="00542E08"/>
    <w:rsid w:val="00543472"/>
    <w:rsid w:val="00545BE4"/>
    <w:rsid w:val="00545C1C"/>
    <w:rsid w:val="005468FE"/>
    <w:rsid w:val="00553060"/>
    <w:rsid w:val="0055474A"/>
    <w:rsid w:val="00557C1A"/>
    <w:rsid w:val="00564381"/>
    <w:rsid w:val="00565458"/>
    <w:rsid w:val="00566582"/>
    <w:rsid w:val="005674D2"/>
    <w:rsid w:val="00573BAA"/>
    <w:rsid w:val="00573C28"/>
    <w:rsid w:val="0057543C"/>
    <w:rsid w:val="0057564A"/>
    <w:rsid w:val="005758C9"/>
    <w:rsid w:val="00575D93"/>
    <w:rsid w:val="005766A3"/>
    <w:rsid w:val="00580EE8"/>
    <w:rsid w:val="00582BE4"/>
    <w:rsid w:val="0058338D"/>
    <w:rsid w:val="005841A9"/>
    <w:rsid w:val="005846CF"/>
    <w:rsid w:val="00586C9B"/>
    <w:rsid w:val="00587204"/>
    <w:rsid w:val="0058748D"/>
    <w:rsid w:val="005933D7"/>
    <w:rsid w:val="00593C24"/>
    <w:rsid w:val="00594147"/>
    <w:rsid w:val="00595065"/>
    <w:rsid w:val="00597812"/>
    <w:rsid w:val="005A087D"/>
    <w:rsid w:val="005A1FC1"/>
    <w:rsid w:val="005A30AB"/>
    <w:rsid w:val="005A327C"/>
    <w:rsid w:val="005A4F27"/>
    <w:rsid w:val="005A7B37"/>
    <w:rsid w:val="005B0182"/>
    <w:rsid w:val="005B2064"/>
    <w:rsid w:val="005B25E5"/>
    <w:rsid w:val="005B4863"/>
    <w:rsid w:val="005B7275"/>
    <w:rsid w:val="005B7845"/>
    <w:rsid w:val="005C0CF3"/>
    <w:rsid w:val="005C6534"/>
    <w:rsid w:val="005D18AD"/>
    <w:rsid w:val="005D22AE"/>
    <w:rsid w:val="005D2470"/>
    <w:rsid w:val="005D2BB8"/>
    <w:rsid w:val="005D428A"/>
    <w:rsid w:val="005D4E78"/>
    <w:rsid w:val="005D4FC7"/>
    <w:rsid w:val="005D4FF2"/>
    <w:rsid w:val="005D7F2E"/>
    <w:rsid w:val="005E1A48"/>
    <w:rsid w:val="005E1B46"/>
    <w:rsid w:val="005E1F63"/>
    <w:rsid w:val="005E37CC"/>
    <w:rsid w:val="005E4C8D"/>
    <w:rsid w:val="005E6BF3"/>
    <w:rsid w:val="005F22C5"/>
    <w:rsid w:val="005F2637"/>
    <w:rsid w:val="005F2FA3"/>
    <w:rsid w:val="005F3346"/>
    <w:rsid w:val="005F4476"/>
    <w:rsid w:val="005F5E5D"/>
    <w:rsid w:val="00600116"/>
    <w:rsid w:val="00601953"/>
    <w:rsid w:val="006031E2"/>
    <w:rsid w:val="00603230"/>
    <w:rsid w:val="006050D6"/>
    <w:rsid w:val="00605D32"/>
    <w:rsid w:val="00605DD1"/>
    <w:rsid w:val="00606091"/>
    <w:rsid w:val="00607B9E"/>
    <w:rsid w:val="006104C3"/>
    <w:rsid w:val="006129D8"/>
    <w:rsid w:val="00616140"/>
    <w:rsid w:val="0061633F"/>
    <w:rsid w:val="00617819"/>
    <w:rsid w:val="00617FEE"/>
    <w:rsid w:val="00621230"/>
    <w:rsid w:val="00621F3C"/>
    <w:rsid w:val="0062270F"/>
    <w:rsid w:val="0062312F"/>
    <w:rsid w:val="00624F76"/>
    <w:rsid w:val="006313B7"/>
    <w:rsid w:val="006317BB"/>
    <w:rsid w:val="00631C2B"/>
    <w:rsid w:val="0063270E"/>
    <w:rsid w:val="006336AB"/>
    <w:rsid w:val="00637971"/>
    <w:rsid w:val="00637AF8"/>
    <w:rsid w:val="00643919"/>
    <w:rsid w:val="006454A8"/>
    <w:rsid w:val="0064631C"/>
    <w:rsid w:val="00647A47"/>
    <w:rsid w:val="00650E89"/>
    <w:rsid w:val="006558A4"/>
    <w:rsid w:val="00655F1C"/>
    <w:rsid w:val="00657EF1"/>
    <w:rsid w:val="00662DEC"/>
    <w:rsid w:val="006636E9"/>
    <w:rsid w:val="00664373"/>
    <w:rsid w:val="00665AB5"/>
    <w:rsid w:val="00666C5F"/>
    <w:rsid w:val="00666DBF"/>
    <w:rsid w:val="006671B1"/>
    <w:rsid w:val="006707E8"/>
    <w:rsid w:val="00670F29"/>
    <w:rsid w:val="00674939"/>
    <w:rsid w:val="0067660D"/>
    <w:rsid w:val="00677288"/>
    <w:rsid w:val="00677A44"/>
    <w:rsid w:val="00680A65"/>
    <w:rsid w:val="006812E3"/>
    <w:rsid w:val="00681A5D"/>
    <w:rsid w:val="00686E8B"/>
    <w:rsid w:val="006874ED"/>
    <w:rsid w:val="00687A21"/>
    <w:rsid w:val="00687B4D"/>
    <w:rsid w:val="00687BD7"/>
    <w:rsid w:val="00691FE3"/>
    <w:rsid w:val="00692BD2"/>
    <w:rsid w:val="00694CAD"/>
    <w:rsid w:val="00696856"/>
    <w:rsid w:val="006A1855"/>
    <w:rsid w:val="006A36BF"/>
    <w:rsid w:val="006A6BD8"/>
    <w:rsid w:val="006B0027"/>
    <w:rsid w:val="006B346E"/>
    <w:rsid w:val="006B36D0"/>
    <w:rsid w:val="006B4EED"/>
    <w:rsid w:val="006B6D2C"/>
    <w:rsid w:val="006B7869"/>
    <w:rsid w:val="006C00E7"/>
    <w:rsid w:val="006C2CE7"/>
    <w:rsid w:val="006C35DC"/>
    <w:rsid w:val="006D0014"/>
    <w:rsid w:val="006D04C6"/>
    <w:rsid w:val="006D43A7"/>
    <w:rsid w:val="006E0E86"/>
    <w:rsid w:val="006E2975"/>
    <w:rsid w:val="006E584C"/>
    <w:rsid w:val="006E60CE"/>
    <w:rsid w:val="006E6C99"/>
    <w:rsid w:val="006E76D0"/>
    <w:rsid w:val="006F04DB"/>
    <w:rsid w:val="006F2CCA"/>
    <w:rsid w:val="006F343B"/>
    <w:rsid w:val="006F72F5"/>
    <w:rsid w:val="006F736D"/>
    <w:rsid w:val="00700B94"/>
    <w:rsid w:val="00703EA2"/>
    <w:rsid w:val="00704113"/>
    <w:rsid w:val="00706245"/>
    <w:rsid w:val="00706B24"/>
    <w:rsid w:val="00710651"/>
    <w:rsid w:val="00711CB4"/>
    <w:rsid w:val="00715DA9"/>
    <w:rsid w:val="00716979"/>
    <w:rsid w:val="007177FD"/>
    <w:rsid w:val="00717FFB"/>
    <w:rsid w:val="007212C5"/>
    <w:rsid w:val="00722F95"/>
    <w:rsid w:val="00723E77"/>
    <w:rsid w:val="00726166"/>
    <w:rsid w:val="007265A2"/>
    <w:rsid w:val="007359B6"/>
    <w:rsid w:val="00735C94"/>
    <w:rsid w:val="007377A4"/>
    <w:rsid w:val="00737FD6"/>
    <w:rsid w:val="00741333"/>
    <w:rsid w:val="0074189B"/>
    <w:rsid w:val="00746674"/>
    <w:rsid w:val="0074782B"/>
    <w:rsid w:val="00752180"/>
    <w:rsid w:val="0075276C"/>
    <w:rsid w:val="0075374C"/>
    <w:rsid w:val="007539DC"/>
    <w:rsid w:val="00753B3E"/>
    <w:rsid w:val="007562DF"/>
    <w:rsid w:val="007608E2"/>
    <w:rsid w:val="00760A5B"/>
    <w:rsid w:val="007614BC"/>
    <w:rsid w:val="00761690"/>
    <w:rsid w:val="00762CEB"/>
    <w:rsid w:val="00764B83"/>
    <w:rsid w:val="007670A9"/>
    <w:rsid w:val="00767357"/>
    <w:rsid w:val="00767B72"/>
    <w:rsid w:val="00770492"/>
    <w:rsid w:val="00771305"/>
    <w:rsid w:val="0077194F"/>
    <w:rsid w:val="007721FA"/>
    <w:rsid w:val="00773940"/>
    <w:rsid w:val="007745CE"/>
    <w:rsid w:val="00781AAC"/>
    <w:rsid w:val="00785128"/>
    <w:rsid w:val="00786944"/>
    <w:rsid w:val="00787093"/>
    <w:rsid w:val="00795DFB"/>
    <w:rsid w:val="00796803"/>
    <w:rsid w:val="007A03B3"/>
    <w:rsid w:val="007A12F7"/>
    <w:rsid w:val="007A2853"/>
    <w:rsid w:val="007A618C"/>
    <w:rsid w:val="007B136D"/>
    <w:rsid w:val="007B311D"/>
    <w:rsid w:val="007B5EA6"/>
    <w:rsid w:val="007C0E57"/>
    <w:rsid w:val="007C3E7F"/>
    <w:rsid w:val="007C48BD"/>
    <w:rsid w:val="007D3666"/>
    <w:rsid w:val="007D3E55"/>
    <w:rsid w:val="007D4C8B"/>
    <w:rsid w:val="007D5D19"/>
    <w:rsid w:val="007D6812"/>
    <w:rsid w:val="007D763B"/>
    <w:rsid w:val="007E2FCE"/>
    <w:rsid w:val="007E32C1"/>
    <w:rsid w:val="007E3A5A"/>
    <w:rsid w:val="007E4659"/>
    <w:rsid w:val="007E710E"/>
    <w:rsid w:val="007F01CC"/>
    <w:rsid w:val="007F045A"/>
    <w:rsid w:val="007F18BF"/>
    <w:rsid w:val="007F3EED"/>
    <w:rsid w:val="007F5B35"/>
    <w:rsid w:val="007F6CD6"/>
    <w:rsid w:val="0080268C"/>
    <w:rsid w:val="00802E80"/>
    <w:rsid w:val="00803789"/>
    <w:rsid w:val="008041B0"/>
    <w:rsid w:val="0080513A"/>
    <w:rsid w:val="00805199"/>
    <w:rsid w:val="0080526D"/>
    <w:rsid w:val="008053BB"/>
    <w:rsid w:val="0080560E"/>
    <w:rsid w:val="008139E2"/>
    <w:rsid w:val="00814D39"/>
    <w:rsid w:val="008153E0"/>
    <w:rsid w:val="008201C9"/>
    <w:rsid w:val="00821A98"/>
    <w:rsid w:val="00822D19"/>
    <w:rsid w:val="00824570"/>
    <w:rsid w:val="00825E43"/>
    <w:rsid w:val="00825F96"/>
    <w:rsid w:val="00832720"/>
    <w:rsid w:val="00833BC1"/>
    <w:rsid w:val="00833DE5"/>
    <w:rsid w:val="0083559F"/>
    <w:rsid w:val="008355AB"/>
    <w:rsid w:val="008358B3"/>
    <w:rsid w:val="00835B86"/>
    <w:rsid w:val="0083792F"/>
    <w:rsid w:val="00837FCC"/>
    <w:rsid w:val="008439A5"/>
    <w:rsid w:val="00847A49"/>
    <w:rsid w:val="008510CC"/>
    <w:rsid w:val="0085257A"/>
    <w:rsid w:val="0085392B"/>
    <w:rsid w:val="0085647C"/>
    <w:rsid w:val="0085679C"/>
    <w:rsid w:val="00860D95"/>
    <w:rsid w:val="00861220"/>
    <w:rsid w:val="00864A4A"/>
    <w:rsid w:val="00864F44"/>
    <w:rsid w:val="0086551A"/>
    <w:rsid w:val="00867871"/>
    <w:rsid w:val="00867D5A"/>
    <w:rsid w:val="00870025"/>
    <w:rsid w:val="00873807"/>
    <w:rsid w:val="00874703"/>
    <w:rsid w:val="00875A3C"/>
    <w:rsid w:val="008809A7"/>
    <w:rsid w:val="008846E7"/>
    <w:rsid w:val="00884CF9"/>
    <w:rsid w:val="0088603C"/>
    <w:rsid w:val="00891F43"/>
    <w:rsid w:val="0089254D"/>
    <w:rsid w:val="0089260E"/>
    <w:rsid w:val="00893A5C"/>
    <w:rsid w:val="00894241"/>
    <w:rsid w:val="00894EF6"/>
    <w:rsid w:val="00895733"/>
    <w:rsid w:val="00897A0F"/>
    <w:rsid w:val="00897E72"/>
    <w:rsid w:val="008A1683"/>
    <w:rsid w:val="008A18F7"/>
    <w:rsid w:val="008A3BB9"/>
    <w:rsid w:val="008A43F4"/>
    <w:rsid w:val="008B145E"/>
    <w:rsid w:val="008B234B"/>
    <w:rsid w:val="008B56C1"/>
    <w:rsid w:val="008B59B1"/>
    <w:rsid w:val="008B7A88"/>
    <w:rsid w:val="008C2040"/>
    <w:rsid w:val="008C2EFF"/>
    <w:rsid w:val="008C3C5D"/>
    <w:rsid w:val="008C49AE"/>
    <w:rsid w:val="008C550D"/>
    <w:rsid w:val="008C5FAC"/>
    <w:rsid w:val="008C6D87"/>
    <w:rsid w:val="008C7967"/>
    <w:rsid w:val="008D0F48"/>
    <w:rsid w:val="008D2233"/>
    <w:rsid w:val="008D3A1B"/>
    <w:rsid w:val="008D6DCD"/>
    <w:rsid w:val="008D75C4"/>
    <w:rsid w:val="008E08D8"/>
    <w:rsid w:val="008E1C77"/>
    <w:rsid w:val="008E2B9C"/>
    <w:rsid w:val="008E43D3"/>
    <w:rsid w:val="008E5A52"/>
    <w:rsid w:val="008F236B"/>
    <w:rsid w:val="008F2608"/>
    <w:rsid w:val="008F2C5A"/>
    <w:rsid w:val="008F546A"/>
    <w:rsid w:val="008F635D"/>
    <w:rsid w:val="008F743C"/>
    <w:rsid w:val="008F7F72"/>
    <w:rsid w:val="00900408"/>
    <w:rsid w:val="00900E92"/>
    <w:rsid w:val="00901D74"/>
    <w:rsid w:val="00903189"/>
    <w:rsid w:val="0090322C"/>
    <w:rsid w:val="00903958"/>
    <w:rsid w:val="00911FAD"/>
    <w:rsid w:val="00915A5C"/>
    <w:rsid w:val="00917F18"/>
    <w:rsid w:val="009211F2"/>
    <w:rsid w:val="00922289"/>
    <w:rsid w:val="00924C3F"/>
    <w:rsid w:val="00925AF0"/>
    <w:rsid w:val="00932EDB"/>
    <w:rsid w:val="00933F6B"/>
    <w:rsid w:val="00937DAD"/>
    <w:rsid w:val="0094368D"/>
    <w:rsid w:val="0094451A"/>
    <w:rsid w:val="00946B8E"/>
    <w:rsid w:val="00947CC5"/>
    <w:rsid w:val="0095107F"/>
    <w:rsid w:val="00952A76"/>
    <w:rsid w:val="00954F0B"/>
    <w:rsid w:val="009578E9"/>
    <w:rsid w:val="0096160F"/>
    <w:rsid w:val="00962565"/>
    <w:rsid w:val="00962E04"/>
    <w:rsid w:val="00963B13"/>
    <w:rsid w:val="009641B8"/>
    <w:rsid w:val="00965DBC"/>
    <w:rsid w:val="009668A3"/>
    <w:rsid w:val="00967DAE"/>
    <w:rsid w:val="009706CB"/>
    <w:rsid w:val="009714A1"/>
    <w:rsid w:val="0097202B"/>
    <w:rsid w:val="00972F1F"/>
    <w:rsid w:val="0097409E"/>
    <w:rsid w:val="0098061B"/>
    <w:rsid w:val="009815C9"/>
    <w:rsid w:val="00983AEB"/>
    <w:rsid w:val="00985197"/>
    <w:rsid w:val="009A0426"/>
    <w:rsid w:val="009A0992"/>
    <w:rsid w:val="009A10EB"/>
    <w:rsid w:val="009A1507"/>
    <w:rsid w:val="009A28D3"/>
    <w:rsid w:val="009A3F1C"/>
    <w:rsid w:val="009A48A5"/>
    <w:rsid w:val="009A4CD9"/>
    <w:rsid w:val="009A5904"/>
    <w:rsid w:val="009A6155"/>
    <w:rsid w:val="009A6863"/>
    <w:rsid w:val="009B1831"/>
    <w:rsid w:val="009B2121"/>
    <w:rsid w:val="009B2C72"/>
    <w:rsid w:val="009B4245"/>
    <w:rsid w:val="009B5443"/>
    <w:rsid w:val="009B586F"/>
    <w:rsid w:val="009C41ED"/>
    <w:rsid w:val="009C56C3"/>
    <w:rsid w:val="009C6369"/>
    <w:rsid w:val="009D0BAE"/>
    <w:rsid w:val="009D2D53"/>
    <w:rsid w:val="009D7F7F"/>
    <w:rsid w:val="009E059D"/>
    <w:rsid w:val="009E1C10"/>
    <w:rsid w:val="009E7F71"/>
    <w:rsid w:val="009F01E9"/>
    <w:rsid w:val="009F1138"/>
    <w:rsid w:val="009F3FEF"/>
    <w:rsid w:val="009F674D"/>
    <w:rsid w:val="00A00D60"/>
    <w:rsid w:val="00A03876"/>
    <w:rsid w:val="00A07220"/>
    <w:rsid w:val="00A10C18"/>
    <w:rsid w:val="00A1105E"/>
    <w:rsid w:val="00A11120"/>
    <w:rsid w:val="00A11BB7"/>
    <w:rsid w:val="00A15067"/>
    <w:rsid w:val="00A1605D"/>
    <w:rsid w:val="00A16ECA"/>
    <w:rsid w:val="00A16F8A"/>
    <w:rsid w:val="00A17A51"/>
    <w:rsid w:val="00A17FD4"/>
    <w:rsid w:val="00A20D5B"/>
    <w:rsid w:val="00A247B1"/>
    <w:rsid w:val="00A26C41"/>
    <w:rsid w:val="00A26FD2"/>
    <w:rsid w:val="00A31620"/>
    <w:rsid w:val="00A32143"/>
    <w:rsid w:val="00A326DF"/>
    <w:rsid w:val="00A35157"/>
    <w:rsid w:val="00A3739E"/>
    <w:rsid w:val="00A37EE1"/>
    <w:rsid w:val="00A439DB"/>
    <w:rsid w:val="00A43AFB"/>
    <w:rsid w:val="00A454C9"/>
    <w:rsid w:val="00A5340A"/>
    <w:rsid w:val="00A56488"/>
    <w:rsid w:val="00A57532"/>
    <w:rsid w:val="00A6091B"/>
    <w:rsid w:val="00A60D8C"/>
    <w:rsid w:val="00A61B6E"/>
    <w:rsid w:val="00A6309E"/>
    <w:rsid w:val="00A63B15"/>
    <w:rsid w:val="00A710E8"/>
    <w:rsid w:val="00A71ED4"/>
    <w:rsid w:val="00A75768"/>
    <w:rsid w:val="00A75B1A"/>
    <w:rsid w:val="00A75E75"/>
    <w:rsid w:val="00A762F9"/>
    <w:rsid w:val="00A7720F"/>
    <w:rsid w:val="00A83569"/>
    <w:rsid w:val="00A8795B"/>
    <w:rsid w:val="00A91DE0"/>
    <w:rsid w:val="00A93227"/>
    <w:rsid w:val="00A951A2"/>
    <w:rsid w:val="00A9571E"/>
    <w:rsid w:val="00A9768A"/>
    <w:rsid w:val="00A97A32"/>
    <w:rsid w:val="00AA0FE5"/>
    <w:rsid w:val="00AA1DC4"/>
    <w:rsid w:val="00AA1F24"/>
    <w:rsid w:val="00AA2A3E"/>
    <w:rsid w:val="00AA43D0"/>
    <w:rsid w:val="00AA4D49"/>
    <w:rsid w:val="00AA56CE"/>
    <w:rsid w:val="00AA645B"/>
    <w:rsid w:val="00AA7401"/>
    <w:rsid w:val="00AB0694"/>
    <w:rsid w:val="00AB0FD1"/>
    <w:rsid w:val="00AB14FA"/>
    <w:rsid w:val="00AB1C37"/>
    <w:rsid w:val="00AB3423"/>
    <w:rsid w:val="00AB3A82"/>
    <w:rsid w:val="00AB4EA5"/>
    <w:rsid w:val="00AB580A"/>
    <w:rsid w:val="00AB5E72"/>
    <w:rsid w:val="00AC1201"/>
    <w:rsid w:val="00AC306F"/>
    <w:rsid w:val="00AC4535"/>
    <w:rsid w:val="00AC4606"/>
    <w:rsid w:val="00AC4D94"/>
    <w:rsid w:val="00AC5825"/>
    <w:rsid w:val="00AC7A60"/>
    <w:rsid w:val="00AD1A33"/>
    <w:rsid w:val="00AD3779"/>
    <w:rsid w:val="00AD4D8F"/>
    <w:rsid w:val="00AD5C9A"/>
    <w:rsid w:val="00AE0824"/>
    <w:rsid w:val="00AE11E4"/>
    <w:rsid w:val="00AF186F"/>
    <w:rsid w:val="00AF1B0F"/>
    <w:rsid w:val="00AF1D62"/>
    <w:rsid w:val="00AF29AD"/>
    <w:rsid w:val="00AF4E65"/>
    <w:rsid w:val="00AF56E4"/>
    <w:rsid w:val="00B02E09"/>
    <w:rsid w:val="00B03AC4"/>
    <w:rsid w:val="00B04AC3"/>
    <w:rsid w:val="00B04F49"/>
    <w:rsid w:val="00B05B3B"/>
    <w:rsid w:val="00B10788"/>
    <w:rsid w:val="00B15D3C"/>
    <w:rsid w:val="00B20D39"/>
    <w:rsid w:val="00B21A77"/>
    <w:rsid w:val="00B22048"/>
    <w:rsid w:val="00B22D1E"/>
    <w:rsid w:val="00B249EC"/>
    <w:rsid w:val="00B24DB8"/>
    <w:rsid w:val="00B25D5D"/>
    <w:rsid w:val="00B3223B"/>
    <w:rsid w:val="00B3352A"/>
    <w:rsid w:val="00B356BB"/>
    <w:rsid w:val="00B4073F"/>
    <w:rsid w:val="00B450B6"/>
    <w:rsid w:val="00B46033"/>
    <w:rsid w:val="00B52333"/>
    <w:rsid w:val="00B53999"/>
    <w:rsid w:val="00B56F55"/>
    <w:rsid w:val="00B60153"/>
    <w:rsid w:val="00B61EE8"/>
    <w:rsid w:val="00B637A5"/>
    <w:rsid w:val="00B63E63"/>
    <w:rsid w:val="00B65086"/>
    <w:rsid w:val="00B65AD6"/>
    <w:rsid w:val="00B66514"/>
    <w:rsid w:val="00B66816"/>
    <w:rsid w:val="00B675BB"/>
    <w:rsid w:val="00B76B86"/>
    <w:rsid w:val="00B76F11"/>
    <w:rsid w:val="00B772EF"/>
    <w:rsid w:val="00B849D7"/>
    <w:rsid w:val="00B85726"/>
    <w:rsid w:val="00B859A0"/>
    <w:rsid w:val="00B87588"/>
    <w:rsid w:val="00B87AF7"/>
    <w:rsid w:val="00B90E97"/>
    <w:rsid w:val="00B92422"/>
    <w:rsid w:val="00B943EE"/>
    <w:rsid w:val="00B96127"/>
    <w:rsid w:val="00B96E47"/>
    <w:rsid w:val="00B97F55"/>
    <w:rsid w:val="00BA1BDD"/>
    <w:rsid w:val="00BA5CCE"/>
    <w:rsid w:val="00BA6F6D"/>
    <w:rsid w:val="00BB0364"/>
    <w:rsid w:val="00BB0D4A"/>
    <w:rsid w:val="00BB3CF5"/>
    <w:rsid w:val="00BB7DDA"/>
    <w:rsid w:val="00BC10C3"/>
    <w:rsid w:val="00BC1C06"/>
    <w:rsid w:val="00BC7808"/>
    <w:rsid w:val="00BD1734"/>
    <w:rsid w:val="00BD2C3A"/>
    <w:rsid w:val="00BD2F85"/>
    <w:rsid w:val="00BD6CFB"/>
    <w:rsid w:val="00BE3E3C"/>
    <w:rsid w:val="00BE4F9F"/>
    <w:rsid w:val="00BE719D"/>
    <w:rsid w:val="00BE7219"/>
    <w:rsid w:val="00BE7C29"/>
    <w:rsid w:val="00BF2203"/>
    <w:rsid w:val="00BF3C25"/>
    <w:rsid w:val="00BF40C4"/>
    <w:rsid w:val="00BF40FD"/>
    <w:rsid w:val="00BF4AF7"/>
    <w:rsid w:val="00BF647B"/>
    <w:rsid w:val="00C026F5"/>
    <w:rsid w:val="00C02A86"/>
    <w:rsid w:val="00C06C30"/>
    <w:rsid w:val="00C06DD6"/>
    <w:rsid w:val="00C109E2"/>
    <w:rsid w:val="00C11678"/>
    <w:rsid w:val="00C11704"/>
    <w:rsid w:val="00C124B6"/>
    <w:rsid w:val="00C13284"/>
    <w:rsid w:val="00C136CD"/>
    <w:rsid w:val="00C14016"/>
    <w:rsid w:val="00C15942"/>
    <w:rsid w:val="00C2066B"/>
    <w:rsid w:val="00C210FE"/>
    <w:rsid w:val="00C21886"/>
    <w:rsid w:val="00C22479"/>
    <w:rsid w:val="00C244F1"/>
    <w:rsid w:val="00C26E15"/>
    <w:rsid w:val="00C3319E"/>
    <w:rsid w:val="00C3372C"/>
    <w:rsid w:val="00C348B9"/>
    <w:rsid w:val="00C3768A"/>
    <w:rsid w:val="00C37FDF"/>
    <w:rsid w:val="00C40012"/>
    <w:rsid w:val="00C40766"/>
    <w:rsid w:val="00C40F5E"/>
    <w:rsid w:val="00C4127E"/>
    <w:rsid w:val="00C412F4"/>
    <w:rsid w:val="00C43AC5"/>
    <w:rsid w:val="00C50019"/>
    <w:rsid w:val="00C52F62"/>
    <w:rsid w:val="00C53295"/>
    <w:rsid w:val="00C53C6C"/>
    <w:rsid w:val="00C56850"/>
    <w:rsid w:val="00C56D63"/>
    <w:rsid w:val="00C617A8"/>
    <w:rsid w:val="00C62003"/>
    <w:rsid w:val="00C63765"/>
    <w:rsid w:val="00C63C22"/>
    <w:rsid w:val="00C647C1"/>
    <w:rsid w:val="00C64F64"/>
    <w:rsid w:val="00C719FC"/>
    <w:rsid w:val="00C73513"/>
    <w:rsid w:val="00C7511C"/>
    <w:rsid w:val="00C7665A"/>
    <w:rsid w:val="00C827AA"/>
    <w:rsid w:val="00C8370C"/>
    <w:rsid w:val="00C83821"/>
    <w:rsid w:val="00C85484"/>
    <w:rsid w:val="00C85B15"/>
    <w:rsid w:val="00C865C0"/>
    <w:rsid w:val="00C86E47"/>
    <w:rsid w:val="00C92012"/>
    <w:rsid w:val="00C92CA9"/>
    <w:rsid w:val="00C933EC"/>
    <w:rsid w:val="00C93AF6"/>
    <w:rsid w:val="00C941FF"/>
    <w:rsid w:val="00C96488"/>
    <w:rsid w:val="00CA0A32"/>
    <w:rsid w:val="00CA184E"/>
    <w:rsid w:val="00CA2EFB"/>
    <w:rsid w:val="00CA376B"/>
    <w:rsid w:val="00CA3977"/>
    <w:rsid w:val="00CA456B"/>
    <w:rsid w:val="00CA502C"/>
    <w:rsid w:val="00CA5A12"/>
    <w:rsid w:val="00CA5AD2"/>
    <w:rsid w:val="00CA645E"/>
    <w:rsid w:val="00CA79F7"/>
    <w:rsid w:val="00CB07EB"/>
    <w:rsid w:val="00CB1DE5"/>
    <w:rsid w:val="00CB38E6"/>
    <w:rsid w:val="00CB4163"/>
    <w:rsid w:val="00CB54B9"/>
    <w:rsid w:val="00CC044C"/>
    <w:rsid w:val="00CC3DDF"/>
    <w:rsid w:val="00CC3E9B"/>
    <w:rsid w:val="00CC43A4"/>
    <w:rsid w:val="00CC4BBD"/>
    <w:rsid w:val="00CC79C6"/>
    <w:rsid w:val="00CD2141"/>
    <w:rsid w:val="00CD389E"/>
    <w:rsid w:val="00CD74E9"/>
    <w:rsid w:val="00CE0290"/>
    <w:rsid w:val="00CE0ED1"/>
    <w:rsid w:val="00CE5226"/>
    <w:rsid w:val="00CE617B"/>
    <w:rsid w:val="00CE64BF"/>
    <w:rsid w:val="00CF0176"/>
    <w:rsid w:val="00CF24B2"/>
    <w:rsid w:val="00CF35BD"/>
    <w:rsid w:val="00CF46F0"/>
    <w:rsid w:val="00CF48C6"/>
    <w:rsid w:val="00CF544D"/>
    <w:rsid w:val="00D05157"/>
    <w:rsid w:val="00D05B51"/>
    <w:rsid w:val="00D063B5"/>
    <w:rsid w:val="00D06828"/>
    <w:rsid w:val="00D07694"/>
    <w:rsid w:val="00D11269"/>
    <w:rsid w:val="00D119BF"/>
    <w:rsid w:val="00D124B7"/>
    <w:rsid w:val="00D12A36"/>
    <w:rsid w:val="00D16E0C"/>
    <w:rsid w:val="00D20E0A"/>
    <w:rsid w:val="00D237F6"/>
    <w:rsid w:val="00D24B28"/>
    <w:rsid w:val="00D25410"/>
    <w:rsid w:val="00D26966"/>
    <w:rsid w:val="00D26F5D"/>
    <w:rsid w:val="00D31A99"/>
    <w:rsid w:val="00D32CB2"/>
    <w:rsid w:val="00D37888"/>
    <w:rsid w:val="00D41F07"/>
    <w:rsid w:val="00D42187"/>
    <w:rsid w:val="00D42970"/>
    <w:rsid w:val="00D44173"/>
    <w:rsid w:val="00D44D3B"/>
    <w:rsid w:val="00D45977"/>
    <w:rsid w:val="00D46074"/>
    <w:rsid w:val="00D46938"/>
    <w:rsid w:val="00D471DC"/>
    <w:rsid w:val="00D51145"/>
    <w:rsid w:val="00D53216"/>
    <w:rsid w:val="00D56B97"/>
    <w:rsid w:val="00D56D00"/>
    <w:rsid w:val="00D5760F"/>
    <w:rsid w:val="00D6033A"/>
    <w:rsid w:val="00D61576"/>
    <w:rsid w:val="00D66068"/>
    <w:rsid w:val="00D67803"/>
    <w:rsid w:val="00D70C90"/>
    <w:rsid w:val="00D719A4"/>
    <w:rsid w:val="00D74864"/>
    <w:rsid w:val="00D74F0F"/>
    <w:rsid w:val="00D75610"/>
    <w:rsid w:val="00D76253"/>
    <w:rsid w:val="00D81177"/>
    <w:rsid w:val="00D82A51"/>
    <w:rsid w:val="00D82A64"/>
    <w:rsid w:val="00D82BC9"/>
    <w:rsid w:val="00D83A34"/>
    <w:rsid w:val="00D8405E"/>
    <w:rsid w:val="00D8500C"/>
    <w:rsid w:val="00D85384"/>
    <w:rsid w:val="00D87656"/>
    <w:rsid w:val="00D91331"/>
    <w:rsid w:val="00D91D5C"/>
    <w:rsid w:val="00D926E2"/>
    <w:rsid w:val="00D95978"/>
    <w:rsid w:val="00DA355E"/>
    <w:rsid w:val="00DA5085"/>
    <w:rsid w:val="00DA7BAC"/>
    <w:rsid w:val="00DB0C0E"/>
    <w:rsid w:val="00DB14EC"/>
    <w:rsid w:val="00DB1949"/>
    <w:rsid w:val="00DB1BA0"/>
    <w:rsid w:val="00DB2728"/>
    <w:rsid w:val="00DB2B2C"/>
    <w:rsid w:val="00DB570B"/>
    <w:rsid w:val="00DB6DAB"/>
    <w:rsid w:val="00DB78E4"/>
    <w:rsid w:val="00DC1F69"/>
    <w:rsid w:val="00DC3920"/>
    <w:rsid w:val="00DC50C6"/>
    <w:rsid w:val="00DC5323"/>
    <w:rsid w:val="00DD1C8B"/>
    <w:rsid w:val="00DD204D"/>
    <w:rsid w:val="00DD28EC"/>
    <w:rsid w:val="00DD2F41"/>
    <w:rsid w:val="00DD4823"/>
    <w:rsid w:val="00DD49D5"/>
    <w:rsid w:val="00DD6357"/>
    <w:rsid w:val="00DD69C6"/>
    <w:rsid w:val="00DE5790"/>
    <w:rsid w:val="00DE5EC8"/>
    <w:rsid w:val="00DE7C77"/>
    <w:rsid w:val="00DF5BD2"/>
    <w:rsid w:val="00DF5D46"/>
    <w:rsid w:val="00E01C0C"/>
    <w:rsid w:val="00E03455"/>
    <w:rsid w:val="00E04F1F"/>
    <w:rsid w:val="00E07005"/>
    <w:rsid w:val="00E10021"/>
    <w:rsid w:val="00E10609"/>
    <w:rsid w:val="00E10949"/>
    <w:rsid w:val="00E11E75"/>
    <w:rsid w:val="00E16F6B"/>
    <w:rsid w:val="00E20E41"/>
    <w:rsid w:val="00E23611"/>
    <w:rsid w:val="00E25518"/>
    <w:rsid w:val="00E27AE6"/>
    <w:rsid w:val="00E27DB6"/>
    <w:rsid w:val="00E3515A"/>
    <w:rsid w:val="00E36171"/>
    <w:rsid w:val="00E4060C"/>
    <w:rsid w:val="00E41D13"/>
    <w:rsid w:val="00E42CDC"/>
    <w:rsid w:val="00E44AB6"/>
    <w:rsid w:val="00E44C11"/>
    <w:rsid w:val="00E50100"/>
    <w:rsid w:val="00E5016E"/>
    <w:rsid w:val="00E503B9"/>
    <w:rsid w:val="00E53F15"/>
    <w:rsid w:val="00E54B80"/>
    <w:rsid w:val="00E5504F"/>
    <w:rsid w:val="00E550BE"/>
    <w:rsid w:val="00E56AA1"/>
    <w:rsid w:val="00E56F16"/>
    <w:rsid w:val="00E57C74"/>
    <w:rsid w:val="00E60458"/>
    <w:rsid w:val="00E60DC4"/>
    <w:rsid w:val="00E61A55"/>
    <w:rsid w:val="00E62325"/>
    <w:rsid w:val="00E62953"/>
    <w:rsid w:val="00E632AC"/>
    <w:rsid w:val="00E64921"/>
    <w:rsid w:val="00E71BDE"/>
    <w:rsid w:val="00E72064"/>
    <w:rsid w:val="00E74DEE"/>
    <w:rsid w:val="00E751C8"/>
    <w:rsid w:val="00E7552F"/>
    <w:rsid w:val="00E80178"/>
    <w:rsid w:val="00E84AC1"/>
    <w:rsid w:val="00E85022"/>
    <w:rsid w:val="00E858FE"/>
    <w:rsid w:val="00E86A90"/>
    <w:rsid w:val="00E86BDC"/>
    <w:rsid w:val="00E900B9"/>
    <w:rsid w:val="00E912A3"/>
    <w:rsid w:val="00E92D6A"/>
    <w:rsid w:val="00E934AB"/>
    <w:rsid w:val="00E936A5"/>
    <w:rsid w:val="00E93B5A"/>
    <w:rsid w:val="00E95BA8"/>
    <w:rsid w:val="00E97870"/>
    <w:rsid w:val="00EA1B31"/>
    <w:rsid w:val="00EA1BB7"/>
    <w:rsid w:val="00EA65AE"/>
    <w:rsid w:val="00EB09C9"/>
    <w:rsid w:val="00EB17E8"/>
    <w:rsid w:val="00EB2AD9"/>
    <w:rsid w:val="00EB345F"/>
    <w:rsid w:val="00EB664D"/>
    <w:rsid w:val="00EB6D49"/>
    <w:rsid w:val="00EB7E69"/>
    <w:rsid w:val="00EC1F9B"/>
    <w:rsid w:val="00EC2032"/>
    <w:rsid w:val="00EC23DE"/>
    <w:rsid w:val="00EC39E4"/>
    <w:rsid w:val="00EC5A42"/>
    <w:rsid w:val="00EC6308"/>
    <w:rsid w:val="00EC6CA2"/>
    <w:rsid w:val="00ED01D5"/>
    <w:rsid w:val="00ED2E33"/>
    <w:rsid w:val="00ED3189"/>
    <w:rsid w:val="00ED4205"/>
    <w:rsid w:val="00ED4CDA"/>
    <w:rsid w:val="00ED6735"/>
    <w:rsid w:val="00EE044F"/>
    <w:rsid w:val="00EE0BF0"/>
    <w:rsid w:val="00EE1248"/>
    <w:rsid w:val="00EE27CA"/>
    <w:rsid w:val="00EE41E7"/>
    <w:rsid w:val="00EE572A"/>
    <w:rsid w:val="00EE5AE0"/>
    <w:rsid w:val="00EE65F2"/>
    <w:rsid w:val="00EF1B1F"/>
    <w:rsid w:val="00EF290D"/>
    <w:rsid w:val="00EF59BC"/>
    <w:rsid w:val="00EF67D3"/>
    <w:rsid w:val="00EF7E1B"/>
    <w:rsid w:val="00F02C79"/>
    <w:rsid w:val="00F0367D"/>
    <w:rsid w:val="00F044F9"/>
    <w:rsid w:val="00F04E76"/>
    <w:rsid w:val="00F059E3"/>
    <w:rsid w:val="00F07806"/>
    <w:rsid w:val="00F1025C"/>
    <w:rsid w:val="00F10BB3"/>
    <w:rsid w:val="00F1351F"/>
    <w:rsid w:val="00F154D2"/>
    <w:rsid w:val="00F21AAB"/>
    <w:rsid w:val="00F23806"/>
    <w:rsid w:val="00F256BF"/>
    <w:rsid w:val="00F269C5"/>
    <w:rsid w:val="00F334B9"/>
    <w:rsid w:val="00F34AC5"/>
    <w:rsid w:val="00F44B1E"/>
    <w:rsid w:val="00F4693D"/>
    <w:rsid w:val="00F505EE"/>
    <w:rsid w:val="00F50C79"/>
    <w:rsid w:val="00F531E4"/>
    <w:rsid w:val="00F53704"/>
    <w:rsid w:val="00F5551A"/>
    <w:rsid w:val="00F57356"/>
    <w:rsid w:val="00F611C7"/>
    <w:rsid w:val="00F67FDA"/>
    <w:rsid w:val="00F70045"/>
    <w:rsid w:val="00F73AFE"/>
    <w:rsid w:val="00F73C6D"/>
    <w:rsid w:val="00F7547D"/>
    <w:rsid w:val="00F76C34"/>
    <w:rsid w:val="00F86E56"/>
    <w:rsid w:val="00F87848"/>
    <w:rsid w:val="00F87D01"/>
    <w:rsid w:val="00F90970"/>
    <w:rsid w:val="00F94E93"/>
    <w:rsid w:val="00F970B0"/>
    <w:rsid w:val="00FA0C5E"/>
    <w:rsid w:val="00FA4394"/>
    <w:rsid w:val="00FA586F"/>
    <w:rsid w:val="00FA62C8"/>
    <w:rsid w:val="00FB0C30"/>
    <w:rsid w:val="00FB175B"/>
    <w:rsid w:val="00FB341A"/>
    <w:rsid w:val="00FB3D4C"/>
    <w:rsid w:val="00FB5375"/>
    <w:rsid w:val="00FB7C77"/>
    <w:rsid w:val="00FB7E31"/>
    <w:rsid w:val="00FC2498"/>
    <w:rsid w:val="00FC2F94"/>
    <w:rsid w:val="00FC45FE"/>
    <w:rsid w:val="00FC5349"/>
    <w:rsid w:val="00FC65D4"/>
    <w:rsid w:val="00FC6FA2"/>
    <w:rsid w:val="00FC6FA5"/>
    <w:rsid w:val="00FD13E2"/>
    <w:rsid w:val="00FD4AEE"/>
    <w:rsid w:val="00FE1FE2"/>
    <w:rsid w:val="00FE2C29"/>
    <w:rsid w:val="00FE304E"/>
    <w:rsid w:val="00FE371E"/>
    <w:rsid w:val="00FE47CB"/>
    <w:rsid w:val="00FF2D4A"/>
    <w:rsid w:val="00FF4B7B"/>
    <w:rsid w:val="00FF5BD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bdr w:val="nil"/>
      <w:lang w:val="en-GB" w:eastAsia="en-GB"/>
    </w:rPr>
  </w:style>
  <w:style w:type="paragraph" w:styleId="Ttulo1">
    <w:name w:val="heading 1"/>
    <w:basedOn w:val="Normal"/>
    <w:next w:val="Normal"/>
    <w:qFormat/>
    <w:rsid w:val="00EF7B96"/>
    <w:pPr>
      <w:keepNext/>
      <w:spacing w:before="240" w:after="60"/>
      <w:outlineLvl w:val="0"/>
    </w:pPr>
    <w:rPr>
      <w:b/>
      <w:bCs/>
      <w:kern w:val="32"/>
      <w:sz w:val="48"/>
      <w:szCs w:val="48"/>
    </w:rPr>
  </w:style>
  <w:style w:type="paragraph" w:styleId="Ttulo2">
    <w:name w:val="heading 2"/>
    <w:basedOn w:val="Normal"/>
    <w:next w:val="Normal"/>
    <w:qFormat/>
    <w:rsid w:val="00EF7B96"/>
    <w:pPr>
      <w:keepNext/>
      <w:spacing w:before="240" w:after="60"/>
      <w:outlineLvl w:val="1"/>
    </w:pPr>
    <w:rPr>
      <w:b/>
      <w:bCs/>
      <w:iCs/>
      <w:sz w:val="36"/>
      <w:szCs w:val="36"/>
    </w:rPr>
  </w:style>
  <w:style w:type="paragraph" w:styleId="Ttulo3">
    <w:name w:val="heading 3"/>
    <w:basedOn w:val="Normal"/>
    <w:next w:val="Normal"/>
    <w:qFormat/>
    <w:rsid w:val="00EF7B96"/>
    <w:pPr>
      <w:keepNext/>
      <w:spacing w:before="240" w:after="60"/>
      <w:outlineLvl w:val="2"/>
    </w:pPr>
    <w:rPr>
      <w:b/>
      <w:bCs/>
      <w:sz w:val="28"/>
      <w:szCs w:val="28"/>
    </w:rPr>
  </w:style>
  <w:style w:type="paragraph" w:styleId="Ttulo4">
    <w:name w:val="heading 4"/>
    <w:basedOn w:val="Normal"/>
    <w:next w:val="Normal"/>
    <w:qFormat/>
    <w:rsid w:val="00EF7B96"/>
    <w:pPr>
      <w:keepNext/>
      <w:spacing w:before="240" w:after="60"/>
      <w:outlineLvl w:val="3"/>
    </w:pPr>
    <w:rPr>
      <w:b/>
      <w:bCs/>
    </w:rPr>
  </w:style>
  <w:style w:type="paragraph" w:styleId="Ttulo5">
    <w:name w:val="heading 5"/>
    <w:basedOn w:val="Normal"/>
    <w:next w:val="Normal"/>
    <w:qFormat/>
    <w:rsid w:val="00EF7B96"/>
    <w:pPr>
      <w:spacing w:before="240" w:after="60"/>
      <w:outlineLvl w:val="4"/>
    </w:pPr>
    <w:rPr>
      <w:b/>
      <w:bCs/>
      <w:iCs/>
      <w:sz w:val="20"/>
      <w:szCs w:val="20"/>
    </w:rPr>
  </w:style>
  <w:style w:type="paragraph" w:styleId="Ttulo6">
    <w:name w:val="heading 6"/>
    <w:basedOn w:val="Normal"/>
    <w:next w:val="Normal"/>
    <w:qFormat/>
    <w:rsid w:val="00EF7B96"/>
    <w:pPr>
      <w:spacing w:before="240" w:after="60"/>
      <w:outlineLvl w:val="5"/>
    </w:pPr>
    <w:rPr>
      <w:b/>
      <w:bCs/>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F647B"/>
    <w:rPr>
      <w:rFonts w:ascii="Tahoma" w:hAnsi="Tahoma"/>
      <w:sz w:val="16"/>
      <w:szCs w:val="16"/>
    </w:rPr>
  </w:style>
  <w:style w:type="character" w:customStyle="1" w:styleId="TextodebaloChar">
    <w:name w:val="Texto de balão Char"/>
    <w:link w:val="Textodebalo"/>
    <w:uiPriority w:val="99"/>
    <w:semiHidden/>
    <w:rsid w:val="00BF647B"/>
    <w:rPr>
      <w:rFonts w:ascii="Tahoma" w:hAnsi="Tahoma" w:cs="Tahoma"/>
      <w:sz w:val="16"/>
      <w:szCs w:val="16"/>
      <w:bdr w:val="nil"/>
    </w:rPr>
  </w:style>
  <w:style w:type="paragraph" w:styleId="Textodenotaderodap">
    <w:name w:val="footnote text"/>
    <w:basedOn w:val="Normal"/>
    <w:link w:val="TextodenotaderodapChar"/>
    <w:semiHidden/>
    <w:rsid w:val="00BF647B"/>
    <w:rPr>
      <w:sz w:val="20"/>
      <w:szCs w:val="20"/>
      <w:bdr w:val="none" w:sz="0" w:space="0" w:color="auto"/>
      <w:lang w:val="en-US" w:eastAsia="en-NZ"/>
    </w:rPr>
  </w:style>
  <w:style w:type="character" w:customStyle="1" w:styleId="TextodenotaderodapChar">
    <w:name w:val="Texto de nota de rodapé Char"/>
    <w:link w:val="Textodenotaderodap"/>
    <w:semiHidden/>
    <w:rsid w:val="00BF647B"/>
    <w:rPr>
      <w:lang w:val="en-US" w:eastAsia="en-NZ"/>
    </w:rPr>
  </w:style>
  <w:style w:type="character" w:styleId="Refdenotaderodap">
    <w:name w:val="footnote reference"/>
    <w:semiHidden/>
    <w:rsid w:val="00BF647B"/>
    <w:rPr>
      <w:vertAlign w:val="superscript"/>
    </w:rPr>
  </w:style>
  <w:style w:type="paragraph" w:styleId="Cabealho">
    <w:name w:val="header"/>
    <w:basedOn w:val="Normal"/>
    <w:link w:val="CabealhoChar"/>
    <w:uiPriority w:val="99"/>
    <w:unhideWhenUsed/>
    <w:rsid w:val="00C719FC"/>
    <w:pPr>
      <w:tabs>
        <w:tab w:val="center" w:pos="4252"/>
        <w:tab w:val="right" w:pos="8504"/>
      </w:tabs>
    </w:pPr>
  </w:style>
  <w:style w:type="character" w:customStyle="1" w:styleId="CabealhoChar">
    <w:name w:val="Cabeçalho Char"/>
    <w:link w:val="Cabealho"/>
    <w:uiPriority w:val="99"/>
    <w:rsid w:val="00C719FC"/>
    <w:rPr>
      <w:sz w:val="24"/>
      <w:szCs w:val="24"/>
      <w:bdr w:val="nil"/>
    </w:rPr>
  </w:style>
  <w:style w:type="paragraph" w:styleId="Rodap">
    <w:name w:val="footer"/>
    <w:basedOn w:val="Normal"/>
    <w:link w:val="RodapChar"/>
    <w:uiPriority w:val="99"/>
    <w:unhideWhenUsed/>
    <w:rsid w:val="00C719FC"/>
    <w:pPr>
      <w:tabs>
        <w:tab w:val="center" w:pos="4252"/>
        <w:tab w:val="right" w:pos="8504"/>
      </w:tabs>
    </w:pPr>
  </w:style>
  <w:style w:type="character" w:customStyle="1" w:styleId="RodapChar">
    <w:name w:val="Rodapé Char"/>
    <w:link w:val="Rodap"/>
    <w:uiPriority w:val="99"/>
    <w:rsid w:val="00C719FC"/>
    <w:rPr>
      <w:sz w:val="24"/>
      <w:szCs w:val="24"/>
      <w:bdr w:val="nil"/>
    </w:rPr>
  </w:style>
  <w:style w:type="character" w:styleId="Refdecomentrio">
    <w:name w:val="annotation reference"/>
    <w:uiPriority w:val="99"/>
    <w:semiHidden/>
    <w:unhideWhenUsed/>
    <w:rsid w:val="00A75E75"/>
    <w:rPr>
      <w:sz w:val="16"/>
      <w:szCs w:val="16"/>
    </w:rPr>
  </w:style>
  <w:style w:type="paragraph" w:styleId="Textodecomentrio">
    <w:name w:val="annotation text"/>
    <w:basedOn w:val="Normal"/>
    <w:link w:val="TextodecomentrioChar"/>
    <w:uiPriority w:val="99"/>
    <w:semiHidden/>
    <w:unhideWhenUsed/>
    <w:rsid w:val="00A75E75"/>
    <w:rPr>
      <w:sz w:val="20"/>
      <w:szCs w:val="20"/>
    </w:rPr>
  </w:style>
  <w:style w:type="character" w:customStyle="1" w:styleId="TextodecomentrioChar">
    <w:name w:val="Texto de comentário Char"/>
    <w:link w:val="Textodecomentrio"/>
    <w:uiPriority w:val="99"/>
    <w:semiHidden/>
    <w:rsid w:val="00A75E75"/>
    <w:rPr>
      <w:bdr w:val="nil"/>
    </w:rPr>
  </w:style>
  <w:style w:type="paragraph" w:styleId="Assuntodocomentrio">
    <w:name w:val="annotation subject"/>
    <w:basedOn w:val="Textodecomentrio"/>
    <w:next w:val="Textodecomentrio"/>
    <w:link w:val="AssuntodocomentrioChar"/>
    <w:uiPriority w:val="99"/>
    <w:semiHidden/>
    <w:unhideWhenUsed/>
    <w:rsid w:val="00A75E75"/>
    <w:rPr>
      <w:b/>
      <w:bCs/>
    </w:rPr>
  </w:style>
  <w:style w:type="character" w:customStyle="1" w:styleId="AssuntodocomentrioChar">
    <w:name w:val="Assunto do comentário Char"/>
    <w:link w:val="Assuntodocomentrio"/>
    <w:uiPriority w:val="99"/>
    <w:semiHidden/>
    <w:rsid w:val="00A75E75"/>
    <w:rPr>
      <w:b/>
      <w:bCs/>
      <w:bdr w:val="nil"/>
    </w:rPr>
  </w:style>
  <w:style w:type="character" w:styleId="Hyperlink">
    <w:name w:val="Hyperlink"/>
    <w:basedOn w:val="Fontepargpadro"/>
    <w:uiPriority w:val="99"/>
    <w:unhideWhenUsed/>
    <w:rsid w:val="00786944"/>
    <w:rPr>
      <w:color w:val="0000FF" w:themeColor="hyperlink"/>
      <w:u w:val="single"/>
    </w:rPr>
  </w:style>
  <w:style w:type="character" w:styleId="TextodoEspaoReservado">
    <w:name w:val="Placeholder Text"/>
    <w:basedOn w:val="Fontepargpadro"/>
    <w:uiPriority w:val="99"/>
    <w:semiHidden/>
    <w:rsid w:val="000A3499"/>
    <w:rPr>
      <w:color w:val="808080"/>
    </w:rPr>
  </w:style>
  <w:style w:type="table" w:styleId="Tabelacomgrade">
    <w:name w:val="Table Grid"/>
    <w:basedOn w:val="Tabelanormal"/>
    <w:uiPriority w:val="59"/>
    <w:rsid w:val="000439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B60153"/>
    <w:pPr>
      <w:ind w:left="720"/>
      <w:contextualSpacing/>
    </w:pPr>
  </w:style>
</w:styles>
</file>

<file path=word/webSettings.xml><?xml version="1.0" encoding="utf-8"?>
<w:webSettings xmlns:r="http://schemas.openxmlformats.org/officeDocument/2006/relationships" xmlns:w="http://schemas.openxmlformats.org/wordprocessingml/2006/main">
  <w:divs>
    <w:div w:id="48774587">
      <w:bodyDiv w:val="1"/>
      <w:marLeft w:val="0"/>
      <w:marRight w:val="0"/>
      <w:marTop w:val="0"/>
      <w:marBottom w:val="0"/>
      <w:divBdr>
        <w:top w:val="none" w:sz="0" w:space="0" w:color="auto"/>
        <w:left w:val="none" w:sz="0" w:space="0" w:color="auto"/>
        <w:bottom w:val="none" w:sz="0" w:space="0" w:color="auto"/>
        <w:right w:val="none" w:sz="0" w:space="0" w:color="auto"/>
      </w:divBdr>
    </w:div>
    <w:div w:id="153887006">
      <w:bodyDiv w:val="1"/>
      <w:marLeft w:val="0"/>
      <w:marRight w:val="0"/>
      <w:marTop w:val="0"/>
      <w:marBottom w:val="0"/>
      <w:divBdr>
        <w:top w:val="none" w:sz="0" w:space="0" w:color="auto"/>
        <w:left w:val="none" w:sz="0" w:space="0" w:color="auto"/>
        <w:bottom w:val="none" w:sz="0" w:space="0" w:color="auto"/>
        <w:right w:val="none" w:sz="0" w:space="0" w:color="auto"/>
      </w:divBdr>
    </w:div>
    <w:div w:id="230046261">
      <w:bodyDiv w:val="1"/>
      <w:marLeft w:val="0"/>
      <w:marRight w:val="0"/>
      <w:marTop w:val="0"/>
      <w:marBottom w:val="0"/>
      <w:divBdr>
        <w:top w:val="none" w:sz="0" w:space="0" w:color="auto"/>
        <w:left w:val="none" w:sz="0" w:space="0" w:color="auto"/>
        <w:bottom w:val="none" w:sz="0" w:space="0" w:color="auto"/>
        <w:right w:val="none" w:sz="0" w:space="0" w:color="auto"/>
      </w:divBdr>
    </w:div>
    <w:div w:id="401870854">
      <w:bodyDiv w:val="1"/>
      <w:marLeft w:val="0"/>
      <w:marRight w:val="0"/>
      <w:marTop w:val="0"/>
      <w:marBottom w:val="0"/>
      <w:divBdr>
        <w:top w:val="none" w:sz="0" w:space="0" w:color="auto"/>
        <w:left w:val="none" w:sz="0" w:space="0" w:color="auto"/>
        <w:bottom w:val="none" w:sz="0" w:space="0" w:color="auto"/>
        <w:right w:val="none" w:sz="0" w:space="0" w:color="auto"/>
      </w:divBdr>
    </w:div>
    <w:div w:id="407655486">
      <w:bodyDiv w:val="1"/>
      <w:marLeft w:val="0"/>
      <w:marRight w:val="0"/>
      <w:marTop w:val="0"/>
      <w:marBottom w:val="0"/>
      <w:divBdr>
        <w:top w:val="none" w:sz="0" w:space="0" w:color="auto"/>
        <w:left w:val="none" w:sz="0" w:space="0" w:color="auto"/>
        <w:bottom w:val="none" w:sz="0" w:space="0" w:color="auto"/>
        <w:right w:val="none" w:sz="0" w:space="0" w:color="auto"/>
      </w:divBdr>
    </w:div>
    <w:div w:id="409158012">
      <w:bodyDiv w:val="1"/>
      <w:marLeft w:val="0"/>
      <w:marRight w:val="0"/>
      <w:marTop w:val="0"/>
      <w:marBottom w:val="0"/>
      <w:divBdr>
        <w:top w:val="none" w:sz="0" w:space="0" w:color="auto"/>
        <w:left w:val="none" w:sz="0" w:space="0" w:color="auto"/>
        <w:bottom w:val="none" w:sz="0" w:space="0" w:color="auto"/>
        <w:right w:val="none" w:sz="0" w:space="0" w:color="auto"/>
      </w:divBdr>
    </w:div>
    <w:div w:id="956760403">
      <w:bodyDiv w:val="1"/>
      <w:marLeft w:val="0"/>
      <w:marRight w:val="0"/>
      <w:marTop w:val="0"/>
      <w:marBottom w:val="0"/>
      <w:divBdr>
        <w:top w:val="none" w:sz="0" w:space="0" w:color="auto"/>
        <w:left w:val="none" w:sz="0" w:space="0" w:color="auto"/>
        <w:bottom w:val="none" w:sz="0" w:space="0" w:color="auto"/>
        <w:right w:val="none" w:sz="0" w:space="0" w:color="auto"/>
      </w:divBdr>
    </w:div>
    <w:div w:id="972098295">
      <w:bodyDiv w:val="1"/>
      <w:marLeft w:val="0"/>
      <w:marRight w:val="0"/>
      <w:marTop w:val="0"/>
      <w:marBottom w:val="0"/>
      <w:divBdr>
        <w:top w:val="none" w:sz="0" w:space="0" w:color="auto"/>
        <w:left w:val="none" w:sz="0" w:space="0" w:color="auto"/>
        <w:bottom w:val="none" w:sz="0" w:space="0" w:color="auto"/>
        <w:right w:val="none" w:sz="0" w:space="0" w:color="auto"/>
      </w:divBdr>
    </w:div>
    <w:div w:id="1565875486">
      <w:bodyDiv w:val="1"/>
      <w:marLeft w:val="0"/>
      <w:marRight w:val="0"/>
      <w:marTop w:val="0"/>
      <w:marBottom w:val="0"/>
      <w:divBdr>
        <w:top w:val="none" w:sz="0" w:space="0" w:color="auto"/>
        <w:left w:val="none" w:sz="0" w:space="0" w:color="auto"/>
        <w:bottom w:val="none" w:sz="0" w:space="0" w:color="auto"/>
        <w:right w:val="none" w:sz="0" w:space="0" w:color="auto"/>
      </w:divBdr>
    </w:div>
    <w:div w:id="1917206396">
      <w:bodyDiv w:val="1"/>
      <w:marLeft w:val="0"/>
      <w:marRight w:val="0"/>
      <w:marTop w:val="0"/>
      <w:marBottom w:val="0"/>
      <w:divBdr>
        <w:top w:val="none" w:sz="0" w:space="0" w:color="auto"/>
        <w:left w:val="none" w:sz="0" w:space="0" w:color="auto"/>
        <w:bottom w:val="none" w:sz="0" w:space="0" w:color="auto"/>
        <w:right w:val="none" w:sz="0" w:space="0" w:color="auto"/>
      </w:divBdr>
    </w:div>
    <w:div w:id="1963220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abcg@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_raposo@hot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andfonline.com/loi/nbrr20?open=40"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9EB7F-4EAB-4DE2-9EE4-980BB7861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8009</Words>
  <Characters>43251</Characters>
  <Application>Microsoft Office Word</Application>
  <DocSecurity>0</DocSecurity>
  <Lines>360</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51158</CharactersWithSpaces>
  <SharedDoc>false</SharedDoc>
  <HLinks>
    <vt:vector size="12" baseType="variant">
      <vt:variant>
        <vt:i4>6488129</vt:i4>
      </vt:variant>
      <vt:variant>
        <vt:i4>159</vt:i4>
      </vt:variant>
      <vt:variant>
        <vt:i4>0</vt:i4>
      </vt:variant>
      <vt:variant>
        <vt:i4>5</vt:i4>
      </vt:variant>
      <vt:variant>
        <vt:lpwstr>http://www.antonbadev.com/papers/discr_games_endog_networks.pdf</vt:lpwstr>
      </vt:variant>
      <vt:variant>
        <vt:lpwstr/>
      </vt:variant>
      <vt:variant>
        <vt:i4>524331</vt:i4>
      </vt:variant>
      <vt:variant>
        <vt:i4>117</vt:i4>
      </vt:variant>
      <vt:variant>
        <vt:i4>0</vt:i4>
      </vt:variant>
      <vt:variant>
        <vt:i4>5</vt:i4>
      </vt:variant>
      <vt:variant>
        <vt:lpwstr/>
      </vt:variant>
      <vt:variant>
        <vt:lpwstr>_ftn8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isabel.raposo</cp:lastModifiedBy>
  <cp:revision>2</cp:revision>
  <cp:lastPrinted>2016-06-27T15:50:00Z</cp:lastPrinted>
  <dcterms:created xsi:type="dcterms:W3CDTF">2016-07-20T17:11:00Z</dcterms:created>
  <dcterms:modified xsi:type="dcterms:W3CDTF">2016-07-20T17:11:00Z</dcterms:modified>
</cp:coreProperties>
</file>