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15F" w:rsidRDefault="0005315F" w:rsidP="003D566B">
      <w:pPr>
        <w:contextualSpacing/>
        <w:jc w:val="center"/>
        <w:rPr>
          <w:rFonts w:ascii="Times New Roman" w:eastAsia="Times New Roman" w:hAnsi="Times New Roman" w:cs="Times New Roman"/>
          <w:b/>
          <w:sz w:val="28"/>
          <w:szCs w:val="28"/>
          <w:lang w:eastAsia="pt-BR"/>
        </w:rPr>
      </w:pPr>
      <w:r>
        <w:rPr>
          <w:rFonts w:ascii="Times New Roman" w:eastAsia="Times New Roman" w:hAnsi="Times New Roman" w:cs="Times New Roman"/>
          <w:b/>
          <w:sz w:val="28"/>
          <w:szCs w:val="28"/>
          <w:lang w:eastAsia="pt-BR"/>
        </w:rPr>
        <w:t>ESTRATÉGIAS PARA O DESENVOLVIMENTO ECONÔMICO DO CANADÁ</w:t>
      </w:r>
      <w:r w:rsidR="00083843">
        <w:rPr>
          <w:rFonts w:ascii="Times New Roman" w:eastAsia="Times New Roman" w:hAnsi="Times New Roman" w:cs="Times New Roman"/>
          <w:b/>
          <w:sz w:val="28"/>
          <w:szCs w:val="28"/>
          <w:lang w:eastAsia="pt-BR"/>
        </w:rPr>
        <w:t xml:space="preserve">: OS PRIMEIROS ANOS APÓS A CONFEDERAÇÃO E A </w:t>
      </w:r>
      <w:r w:rsidR="00083843" w:rsidRPr="00083843">
        <w:rPr>
          <w:rFonts w:ascii="Times New Roman" w:eastAsia="Times New Roman" w:hAnsi="Times New Roman" w:cs="Times New Roman"/>
          <w:b/>
          <w:i/>
          <w:sz w:val="28"/>
          <w:szCs w:val="28"/>
          <w:lang w:eastAsia="pt-BR"/>
        </w:rPr>
        <w:t>NATIONAL POLICY</w:t>
      </w:r>
      <w:r>
        <w:rPr>
          <w:rFonts w:ascii="Times New Roman" w:eastAsia="Times New Roman" w:hAnsi="Times New Roman" w:cs="Times New Roman"/>
          <w:b/>
          <w:sz w:val="28"/>
          <w:szCs w:val="28"/>
          <w:lang w:eastAsia="pt-BR"/>
        </w:rPr>
        <w:t xml:space="preserve"> (1867-19</w:t>
      </w:r>
      <w:r w:rsidR="00083843">
        <w:rPr>
          <w:rFonts w:ascii="Times New Roman" w:eastAsia="Times New Roman" w:hAnsi="Times New Roman" w:cs="Times New Roman"/>
          <w:b/>
          <w:sz w:val="28"/>
          <w:szCs w:val="28"/>
          <w:lang w:eastAsia="pt-BR"/>
        </w:rPr>
        <w:t>3</w:t>
      </w:r>
      <w:r w:rsidR="00653041">
        <w:rPr>
          <w:rFonts w:ascii="Times New Roman" w:eastAsia="Times New Roman" w:hAnsi="Times New Roman" w:cs="Times New Roman"/>
          <w:b/>
          <w:sz w:val="28"/>
          <w:szCs w:val="28"/>
          <w:lang w:eastAsia="pt-BR"/>
        </w:rPr>
        <w:t>1</w:t>
      </w:r>
      <w:r>
        <w:rPr>
          <w:rFonts w:ascii="Times New Roman" w:eastAsia="Times New Roman" w:hAnsi="Times New Roman" w:cs="Times New Roman"/>
          <w:b/>
          <w:sz w:val="28"/>
          <w:szCs w:val="28"/>
          <w:lang w:eastAsia="pt-BR"/>
        </w:rPr>
        <w:t>)</w:t>
      </w:r>
    </w:p>
    <w:p w:rsidR="0005315F" w:rsidRDefault="0005315F" w:rsidP="003D566B">
      <w:pPr>
        <w:contextualSpacing/>
        <w:jc w:val="center"/>
        <w:rPr>
          <w:rFonts w:ascii="Times New Roman" w:eastAsia="Times New Roman" w:hAnsi="Times New Roman" w:cs="Times New Roman"/>
          <w:b/>
          <w:sz w:val="28"/>
          <w:szCs w:val="28"/>
          <w:lang w:eastAsia="pt-BR"/>
        </w:rPr>
      </w:pPr>
    </w:p>
    <w:p w:rsidR="00083843" w:rsidRPr="0042656C" w:rsidRDefault="00083843" w:rsidP="00083843">
      <w:pPr>
        <w:contextualSpacing/>
        <w:jc w:val="center"/>
        <w:rPr>
          <w:rFonts w:ascii="Times New Roman" w:eastAsia="Times New Roman" w:hAnsi="Times New Roman" w:cs="Times New Roman"/>
          <w:b/>
          <w:sz w:val="28"/>
          <w:szCs w:val="28"/>
          <w:lang w:eastAsia="pt-BR"/>
        </w:rPr>
      </w:pPr>
      <w:r w:rsidRPr="0042656C">
        <w:rPr>
          <w:rFonts w:ascii="Times New Roman" w:eastAsia="Times New Roman" w:hAnsi="Times New Roman" w:cs="Times New Roman"/>
          <w:b/>
          <w:sz w:val="28"/>
          <w:szCs w:val="28"/>
          <w:lang w:eastAsia="pt-BR"/>
        </w:rPr>
        <w:t>STRATEGIES FOR THE ECONOMIC DEVELOPMENT OF CANADA: THE FIRST YEARS AFTER THE CONFEDERATION AND THE NATIONAL POLICY (1867-1931)</w:t>
      </w:r>
    </w:p>
    <w:p w:rsidR="00083843" w:rsidRDefault="00083843" w:rsidP="00E8500C">
      <w:pPr>
        <w:contextualSpacing/>
        <w:jc w:val="right"/>
        <w:rPr>
          <w:rFonts w:ascii="Times New Roman" w:eastAsia="Times New Roman" w:hAnsi="Times New Roman" w:cs="Times New Roman"/>
          <w:sz w:val="24"/>
          <w:szCs w:val="24"/>
          <w:lang w:eastAsia="pt-BR"/>
        </w:rPr>
      </w:pPr>
    </w:p>
    <w:p w:rsidR="0005315F" w:rsidRDefault="00E8500C" w:rsidP="009C27BC">
      <w:pPr>
        <w:contextualSpacing/>
        <w:jc w:val="right"/>
        <w:rPr>
          <w:rFonts w:ascii="Times New Roman" w:eastAsia="Times New Roman" w:hAnsi="Times New Roman" w:cs="Times New Roman"/>
          <w:sz w:val="24"/>
          <w:szCs w:val="24"/>
          <w:lang w:eastAsia="pt-BR"/>
        </w:rPr>
      </w:pPr>
      <w:r w:rsidRPr="00BD35DA">
        <w:rPr>
          <w:rFonts w:ascii="Times New Roman" w:eastAsia="Times New Roman" w:hAnsi="Times New Roman" w:cs="Times New Roman"/>
          <w:sz w:val="24"/>
          <w:szCs w:val="24"/>
          <w:lang w:eastAsia="pt-BR"/>
        </w:rPr>
        <w:t>Carlos Vinicius Ludwig Viegas Soares</w:t>
      </w:r>
      <w:r w:rsidR="00B13C43">
        <w:rPr>
          <w:rFonts w:ascii="Times New Roman" w:eastAsia="Times New Roman" w:hAnsi="Times New Roman" w:cs="Times New Roman"/>
          <w:sz w:val="24"/>
          <w:szCs w:val="24"/>
          <w:lang w:eastAsia="pt-BR"/>
        </w:rPr>
        <w:t>*</w:t>
      </w:r>
    </w:p>
    <w:p w:rsidR="009C27BC" w:rsidRPr="001601B2" w:rsidRDefault="009C27BC" w:rsidP="009C27BC">
      <w:pPr>
        <w:contextualSpacing/>
        <w:jc w:val="right"/>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Marcelo Milan**</w:t>
      </w:r>
    </w:p>
    <w:p w:rsidR="00013C09" w:rsidRDefault="00013C09" w:rsidP="00013C09">
      <w:pPr>
        <w:spacing w:line="240" w:lineRule="auto"/>
        <w:contextualSpacing/>
        <w:jc w:val="both"/>
        <w:rPr>
          <w:rFonts w:ascii="Times New Roman" w:eastAsia="Times New Roman" w:hAnsi="Times New Roman" w:cs="Times New Roman"/>
          <w:b/>
          <w:sz w:val="24"/>
          <w:szCs w:val="24"/>
          <w:lang w:eastAsia="pt-BR"/>
        </w:rPr>
      </w:pPr>
    </w:p>
    <w:p w:rsidR="00013C09" w:rsidRDefault="00013C09" w:rsidP="00013C09">
      <w:pPr>
        <w:spacing w:line="240" w:lineRule="auto"/>
        <w:contextualSpacing/>
        <w:jc w:val="both"/>
        <w:rPr>
          <w:rFonts w:ascii="Times New Roman" w:eastAsia="Times New Roman" w:hAnsi="Times New Roman" w:cs="Times New Roman"/>
          <w:b/>
          <w:sz w:val="24"/>
          <w:szCs w:val="24"/>
          <w:lang w:eastAsia="pt-BR"/>
        </w:rPr>
      </w:pPr>
    </w:p>
    <w:p w:rsidR="00013C09" w:rsidRPr="00013C09" w:rsidRDefault="00FF7568" w:rsidP="00013C09">
      <w:pPr>
        <w:spacing w:line="240" w:lineRule="auto"/>
        <w:contextualSpacing/>
        <w:jc w:val="both"/>
        <w:rPr>
          <w:rFonts w:ascii="Calibri" w:eastAsia="Calibri" w:hAnsi="Calibri" w:cs="font237"/>
          <w:kern w:val="1"/>
        </w:rPr>
      </w:pPr>
      <w:r w:rsidRPr="00FF7568">
        <w:rPr>
          <w:rFonts w:ascii="Times New Roman" w:eastAsia="Times New Roman" w:hAnsi="Times New Roman" w:cs="Times New Roman"/>
          <w:b/>
          <w:sz w:val="24"/>
          <w:szCs w:val="24"/>
          <w:lang w:eastAsia="pt-BR"/>
        </w:rPr>
        <w:t xml:space="preserve">Resumo: </w:t>
      </w:r>
      <w:r w:rsidR="00013C09" w:rsidRPr="00013C09">
        <w:rPr>
          <w:rFonts w:ascii="Times New Roman" w:eastAsia="Times New Roman" w:hAnsi="Times New Roman" w:cs="Times New Roman"/>
          <w:kern w:val="1"/>
          <w:sz w:val="24"/>
          <w:szCs w:val="24"/>
          <w:lang w:eastAsia="pt-BR"/>
        </w:rPr>
        <w:t xml:space="preserve">Este trabalho analisa os efeitos das políticas conhecidas como </w:t>
      </w:r>
      <w:r w:rsidR="00013C09" w:rsidRPr="00013C09">
        <w:rPr>
          <w:rFonts w:ascii="Times New Roman" w:eastAsia="Times New Roman" w:hAnsi="Times New Roman" w:cs="Times New Roman"/>
          <w:i/>
          <w:kern w:val="1"/>
          <w:sz w:val="24"/>
          <w:szCs w:val="24"/>
          <w:lang w:eastAsia="pt-BR"/>
        </w:rPr>
        <w:t>National Policy,</w:t>
      </w:r>
      <w:r w:rsidR="00013C09" w:rsidRPr="00013C09">
        <w:rPr>
          <w:rFonts w:ascii="Times New Roman" w:eastAsia="Times New Roman" w:hAnsi="Times New Roman" w:cs="Times New Roman"/>
          <w:kern w:val="1"/>
          <w:sz w:val="24"/>
          <w:szCs w:val="24"/>
          <w:lang w:eastAsia="pt-BR"/>
        </w:rPr>
        <w:t xml:space="preserve"> </w:t>
      </w:r>
      <w:proofErr w:type="gramStart"/>
      <w:r w:rsidR="00013C09" w:rsidRPr="00013C09">
        <w:rPr>
          <w:rFonts w:ascii="Times New Roman" w:eastAsia="Times New Roman" w:hAnsi="Times New Roman" w:cs="Times New Roman"/>
          <w:kern w:val="1"/>
          <w:sz w:val="24"/>
          <w:szCs w:val="24"/>
          <w:lang w:eastAsia="pt-BR"/>
        </w:rPr>
        <w:t>implementadas</w:t>
      </w:r>
      <w:proofErr w:type="gramEnd"/>
      <w:r w:rsidR="00013C09" w:rsidRPr="00013C09">
        <w:rPr>
          <w:rFonts w:ascii="Times New Roman" w:eastAsia="Times New Roman" w:hAnsi="Times New Roman" w:cs="Times New Roman"/>
          <w:kern w:val="1"/>
          <w:sz w:val="24"/>
          <w:szCs w:val="24"/>
          <w:lang w:eastAsia="pt-BR"/>
        </w:rPr>
        <w:t xml:space="preserve"> pelo governo canadense para o desenvolvimento econômico daquele país nos primeiros anos após</w:t>
      </w:r>
      <w:r w:rsidR="00013C09">
        <w:rPr>
          <w:rFonts w:ascii="Times New Roman" w:eastAsia="Times New Roman" w:hAnsi="Times New Roman" w:cs="Times New Roman"/>
          <w:kern w:val="1"/>
          <w:sz w:val="24"/>
          <w:szCs w:val="24"/>
          <w:lang w:eastAsia="pt-BR"/>
        </w:rPr>
        <w:t xml:space="preserve"> a criação do Domínio do Canadá</w:t>
      </w:r>
      <w:r w:rsidR="00013C09" w:rsidRPr="00013C09">
        <w:rPr>
          <w:rFonts w:ascii="Times New Roman" w:eastAsia="Times New Roman" w:hAnsi="Times New Roman" w:cs="Times New Roman"/>
          <w:kern w:val="1"/>
          <w:sz w:val="24"/>
          <w:szCs w:val="24"/>
          <w:lang w:eastAsia="pt-BR"/>
        </w:rPr>
        <w:t xml:space="preserve">. São discutidas de forma resumida: a política comercial, que tinha por objetivo proteger a indústria canadense da competição principalmente com os Estados Unidos, a política de transportes, que neste período privilegiou a construção de ferrovias como forma de integração nacional, e a política de imigração, que visava povoar o oeste para explorar os ricos recursos naturais dessa região e criar novos mercados para a produção industrial do Canadá Central. Assim, a </w:t>
      </w:r>
      <w:r w:rsidR="00013C09" w:rsidRPr="00BC43AA">
        <w:rPr>
          <w:rFonts w:ascii="Times New Roman" w:eastAsia="Times New Roman" w:hAnsi="Times New Roman" w:cs="Times New Roman"/>
          <w:i/>
          <w:kern w:val="1"/>
          <w:sz w:val="24"/>
          <w:szCs w:val="24"/>
          <w:lang w:eastAsia="pt-BR"/>
        </w:rPr>
        <w:t>National Policy</w:t>
      </w:r>
      <w:r w:rsidR="00013C09" w:rsidRPr="00013C09">
        <w:rPr>
          <w:rFonts w:ascii="Times New Roman" w:eastAsia="Times New Roman" w:hAnsi="Times New Roman" w:cs="Times New Roman"/>
          <w:kern w:val="1"/>
          <w:sz w:val="24"/>
          <w:szCs w:val="24"/>
          <w:lang w:eastAsia="pt-BR"/>
        </w:rPr>
        <w:t xml:space="preserve"> constitui-se em um arcabouço de políticas voltadas para a transformação estrutural da economia canadense.</w:t>
      </w:r>
    </w:p>
    <w:p w:rsidR="00E71F20" w:rsidRDefault="00E71F20" w:rsidP="00E71F20">
      <w:pPr>
        <w:spacing w:line="240" w:lineRule="auto"/>
        <w:contextualSpacing/>
        <w:jc w:val="both"/>
        <w:rPr>
          <w:rFonts w:ascii="Times New Roman" w:eastAsia="Times New Roman" w:hAnsi="Times New Roman" w:cs="Times New Roman"/>
          <w:sz w:val="24"/>
          <w:szCs w:val="24"/>
          <w:lang w:eastAsia="pt-BR"/>
        </w:rPr>
      </w:pPr>
    </w:p>
    <w:p w:rsidR="009C7446" w:rsidRDefault="009C7446" w:rsidP="00E71F20">
      <w:pPr>
        <w:spacing w:line="240" w:lineRule="auto"/>
        <w:contextualSpacing/>
        <w:jc w:val="both"/>
        <w:rPr>
          <w:rFonts w:ascii="Times New Roman" w:eastAsia="Times New Roman" w:hAnsi="Times New Roman" w:cs="Times New Roman"/>
          <w:sz w:val="24"/>
          <w:szCs w:val="24"/>
          <w:lang w:eastAsia="pt-BR"/>
        </w:rPr>
      </w:pPr>
      <w:r w:rsidRPr="003540CB">
        <w:rPr>
          <w:rFonts w:ascii="Times New Roman" w:eastAsia="Times New Roman" w:hAnsi="Times New Roman" w:cs="Times New Roman"/>
          <w:b/>
          <w:sz w:val="24"/>
          <w:szCs w:val="24"/>
          <w:lang w:eastAsia="pt-BR"/>
        </w:rPr>
        <w:t>Palavras- chave</w:t>
      </w:r>
      <w:r>
        <w:rPr>
          <w:rFonts w:ascii="Times New Roman" w:eastAsia="Times New Roman" w:hAnsi="Times New Roman" w:cs="Times New Roman"/>
          <w:sz w:val="24"/>
          <w:szCs w:val="24"/>
          <w:lang w:eastAsia="pt-BR"/>
        </w:rPr>
        <w:t>: Canadá,</w:t>
      </w:r>
      <w:r w:rsidR="00742363">
        <w:rPr>
          <w:rFonts w:ascii="Times New Roman" w:eastAsia="Times New Roman" w:hAnsi="Times New Roman" w:cs="Times New Roman"/>
          <w:sz w:val="24"/>
          <w:szCs w:val="24"/>
          <w:lang w:eastAsia="pt-BR"/>
        </w:rPr>
        <w:t xml:space="preserve"> </w:t>
      </w:r>
      <w:r w:rsidR="00001645">
        <w:rPr>
          <w:rFonts w:ascii="Times New Roman" w:eastAsia="Times New Roman" w:hAnsi="Times New Roman" w:cs="Times New Roman"/>
          <w:sz w:val="24"/>
          <w:szCs w:val="24"/>
          <w:lang w:eastAsia="pt-BR"/>
        </w:rPr>
        <w:t>Confederação</w:t>
      </w:r>
      <w:r w:rsidR="00742363">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National Policy, desenvolvimento econômico, dependência econômica.</w:t>
      </w:r>
    </w:p>
    <w:p w:rsidR="009814CB" w:rsidRDefault="009814CB" w:rsidP="00FF7568">
      <w:pPr>
        <w:contextualSpacing/>
        <w:jc w:val="both"/>
        <w:rPr>
          <w:rFonts w:ascii="Times New Roman" w:eastAsia="Times New Roman" w:hAnsi="Times New Roman" w:cs="Times New Roman"/>
          <w:sz w:val="24"/>
          <w:szCs w:val="24"/>
          <w:lang w:eastAsia="pt-BR"/>
        </w:rPr>
      </w:pPr>
    </w:p>
    <w:p w:rsidR="009C7446" w:rsidRDefault="009814CB" w:rsidP="00E71F20">
      <w:pPr>
        <w:spacing w:line="240" w:lineRule="auto"/>
        <w:contextualSpacing/>
        <w:jc w:val="both"/>
        <w:rPr>
          <w:rFonts w:ascii="Times New Roman" w:eastAsia="Times New Roman" w:hAnsi="Times New Roman" w:cs="Times New Roman"/>
          <w:sz w:val="24"/>
          <w:szCs w:val="24"/>
          <w:lang w:eastAsia="pt-BR"/>
        </w:rPr>
      </w:pPr>
      <w:r w:rsidRPr="003540CB">
        <w:rPr>
          <w:rFonts w:ascii="Times New Roman" w:eastAsia="Times New Roman" w:hAnsi="Times New Roman" w:cs="Times New Roman"/>
          <w:b/>
          <w:sz w:val="24"/>
          <w:szCs w:val="24"/>
          <w:lang w:eastAsia="pt-BR"/>
        </w:rPr>
        <w:t>Abstract</w:t>
      </w:r>
      <w:r>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This</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paper</w:t>
      </w:r>
      <w:proofErr w:type="spellEnd"/>
      <w:r w:rsidR="00474957" w:rsidRPr="00474957">
        <w:rPr>
          <w:rFonts w:ascii="Times New Roman" w:eastAsia="Times New Roman" w:hAnsi="Times New Roman" w:cs="Times New Roman"/>
          <w:sz w:val="24"/>
          <w:szCs w:val="24"/>
          <w:lang w:eastAsia="pt-BR"/>
        </w:rPr>
        <w:t xml:space="preserve"> examines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effects</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of</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policies </w:t>
      </w:r>
      <w:proofErr w:type="spellStart"/>
      <w:r w:rsidR="00474957" w:rsidRPr="00474957">
        <w:rPr>
          <w:rFonts w:ascii="Times New Roman" w:eastAsia="Times New Roman" w:hAnsi="Times New Roman" w:cs="Times New Roman"/>
          <w:sz w:val="24"/>
          <w:szCs w:val="24"/>
          <w:lang w:eastAsia="pt-BR"/>
        </w:rPr>
        <w:t>known</w:t>
      </w:r>
      <w:proofErr w:type="spellEnd"/>
      <w:r w:rsidR="00474957" w:rsidRPr="00474957">
        <w:rPr>
          <w:rFonts w:ascii="Times New Roman" w:eastAsia="Times New Roman" w:hAnsi="Times New Roman" w:cs="Times New Roman"/>
          <w:sz w:val="24"/>
          <w:szCs w:val="24"/>
          <w:lang w:eastAsia="pt-BR"/>
        </w:rPr>
        <w:t xml:space="preserve"> as </w:t>
      </w:r>
      <w:proofErr w:type="spellStart"/>
      <w:r w:rsidR="00474957" w:rsidRPr="00474957">
        <w:rPr>
          <w:rFonts w:ascii="Times New Roman" w:eastAsia="Times New Roman" w:hAnsi="Times New Roman" w:cs="Times New Roman"/>
          <w:sz w:val="24"/>
          <w:szCs w:val="24"/>
          <w:lang w:eastAsia="pt-BR"/>
        </w:rPr>
        <w:t>National</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Policy</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implemented</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by</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government</w:t>
      </w:r>
      <w:proofErr w:type="spellEnd"/>
      <w:r w:rsidR="00474957" w:rsidRPr="00474957">
        <w:rPr>
          <w:rFonts w:ascii="Times New Roman" w:eastAsia="Times New Roman" w:hAnsi="Times New Roman" w:cs="Times New Roman"/>
          <w:sz w:val="24"/>
          <w:szCs w:val="24"/>
          <w:lang w:eastAsia="pt-BR"/>
        </w:rPr>
        <w:t xml:space="preserve"> of Canada for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economic</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development</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of</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that</w:t>
      </w:r>
      <w:proofErr w:type="spellEnd"/>
      <w:r w:rsidR="00474957" w:rsidRPr="00474957">
        <w:rPr>
          <w:rFonts w:ascii="Times New Roman" w:eastAsia="Times New Roman" w:hAnsi="Times New Roman" w:cs="Times New Roman"/>
          <w:sz w:val="24"/>
          <w:szCs w:val="24"/>
          <w:lang w:eastAsia="pt-BR"/>
        </w:rPr>
        <w:t xml:space="preserve"> country in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first</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years</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after</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creation</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of</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w:t>
      </w:r>
      <w:proofErr w:type="spellStart"/>
      <w:r w:rsidR="00833343" w:rsidRPr="00474957">
        <w:rPr>
          <w:rFonts w:ascii="Times New Roman" w:eastAsia="Times New Roman" w:hAnsi="Times New Roman" w:cs="Times New Roman"/>
          <w:sz w:val="24"/>
          <w:szCs w:val="24"/>
          <w:lang w:eastAsia="pt-BR"/>
        </w:rPr>
        <w:t>Dominion</w:t>
      </w:r>
      <w:proofErr w:type="spellEnd"/>
      <w:r w:rsidR="00833343" w:rsidRPr="00474957">
        <w:rPr>
          <w:rFonts w:ascii="Times New Roman" w:eastAsia="Times New Roman" w:hAnsi="Times New Roman" w:cs="Times New Roman"/>
          <w:sz w:val="24"/>
          <w:szCs w:val="24"/>
          <w:lang w:eastAsia="pt-BR"/>
        </w:rPr>
        <w:t>.</w:t>
      </w:r>
      <w:r w:rsidR="00474957" w:rsidRPr="00474957">
        <w:rPr>
          <w:rFonts w:ascii="Times New Roman" w:eastAsia="Times New Roman" w:hAnsi="Times New Roman" w:cs="Times New Roman"/>
          <w:sz w:val="24"/>
          <w:szCs w:val="24"/>
          <w:lang w:eastAsia="pt-BR"/>
        </w:rPr>
        <w:t xml:space="preserve"> The policies </w:t>
      </w:r>
      <w:proofErr w:type="spellStart"/>
      <w:r w:rsidR="00474957" w:rsidRPr="00474957">
        <w:rPr>
          <w:rFonts w:ascii="Times New Roman" w:eastAsia="Times New Roman" w:hAnsi="Times New Roman" w:cs="Times New Roman"/>
          <w:sz w:val="24"/>
          <w:szCs w:val="24"/>
          <w:lang w:eastAsia="pt-BR"/>
        </w:rPr>
        <w:t>discussed</w:t>
      </w:r>
      <w:proofErr w:type="spellEnd"/>
      <w:r w:rsidR="00474957" w:rsidRPr="00474957">
        <w:rPr>
          <w:rFonts w:ascii="Times New Roman" w:eastAsia="Times New Roman" w:hAnsi="Times New Roman" w:cs="Times New Roman"/>
          <w:sz w:val="24"/>
          <w:szCs w:val="24"/>
          <w:lang w:eastAsia="pt-BR"/>
        </w:rPr>
        <w:t xml:space="preserve"> are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trade </w:t>
      </w:r>
      <w:proofErr w:type="spellStart"/>
      <w:r w:rsidR="00474957" w:rsidRPr="00474957">
        <w:rPr>
          <w:rFonts w:ascii="Times New Roman" w:eastAsia="Times New Roman" w:hAnsi="Times New Roman" w:cs="Times New Roman"/>
          <w:sz w:val="24"/>
          <w:szCs w:val="24"/>
          <w:lang w:eastAsia="pt-BR"/>
        </w:rPr>
        <w:t>policy</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which</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aimed</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at</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protecting</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Canadian</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industry</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from</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competition</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from</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United </w:t>
      </w:r>
      <w:proofErr w:type="spellStart"/>
      <w:r w:rsidR="00474957" w:rsidRPr="00474957">
        <w:rPr>
          <w:rFonts w:ascii="Times New Roman" w:eastAsia="Times New Roman" w:hAnsi="Times New Roman" w:cs="Times New Roman"/>
          <w:sz w:val="24"/>
          <w:szCs w:val="24"/>
          <w:lang w:eastAsia="pt-BR"/>
        </w:rPr>
        <w:t>States</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transport</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policy</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which</w:t>
      </w:r>
      <w:proofErr w:type="spellEnd"/>
      <w:r w:rsidR="00474957" w:rsidRPr="00474957">
        <w:rPr>
          <w:rFonts w:ascii="Times New Roman" w:eastAsia="Times New Roman" w:hAnsi="Times New Roman" w:cs="Times New Roman"/>
          <w:sz w:val="24"/>
          <w:szCs w:val="24"/>
          <w:lang w:eastAsia="pt-BR"/>
        </w:rPr>
        <w:t xml:space="preserve"> in </w:t>
      </w:r>
      <w:proofErr w:type="spellStart"/>
      <w:r w:rsidR="00474957" w:rsidRPr="00474957">
        <w:rPr>
          <w:rFonts w:ascii="Times New Roman" w:eastAsia="Times New Roman" w:hAnsi="Times New Roman" w:cs="Times New Roman"/>
          <w:sz w:val="24"/>
          <w:szCs w:val="24"/>
          <w:lang w:eastAsia="pt-BR"/>
        </w:rPr>
        <w:t>this</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period</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emphasized</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construction</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of</w:t>
      </w:r>
      <w:proofErr w:type="spellEnd"/>
      <w:r w:rsidR="00474957" w:rsidRPr="00474957">
        <w:rPr>
          <w:rFonts w:ascii="Times New Roman" w:eastAsia="Times New Roman" w:hAnsi="Times New Roman" w:cs="Times New Roman"/>
          <w:sz w:val="24"/>
          <w:szCs w:val="24"/>
          <w:lang w:eastAsia="pt-BR"/>
        </w:rPr>
        <w:t xml:space="preserve"> railways as a </w:t>
      </w:r>
      <w:proofErr w:type="spellStart"/>
      <w:r w:rsidR="00474957" w:rsidRPr="00474957">
        <w:rPr>
          <w:rFonts w:ascii="Times New Roman" w:eastAsia="Times New Roman" w:hAnsi="Times New Roman" w:cs="Times New Roman"/>
          <w:sz w:val="24"/>
          <w:szCs w:val="24"/>
          <w:lang w:eastAsia="pt-BR"/>
        </w:rPr>
        <w:t>form</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of</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national</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integration</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and</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finally</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immigration</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policy</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which</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aimed</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at</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colonizing</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w:t>
      </w:r>
      <w:proofErr w:type="spellStart"/>
      <w:proofErr w:type="gramStart"/>
      <w:r w:rsidR="00474957" w:rsidRPr="00474957">
        <w:rPr>
          <w:rFonts w:ascii="Times New Roman" w:eastAsia="Times New Roman" w:hAnsi="Times New Roman" w:cs="Times New Roman"/>
          <w:sz w:val="24"/>
          <w:szCs w:val="24"/>
          <w:lang w:eastAsia="pt-BR"/>
        </w:rPr>
        <w:t>west</w:t>
      </w:r>
      <w:proofErr w:type="spellEnd"/>
      <w:proofErr w:type="gram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to</w:t>
      </w:r>
      <w:proofErr w:type="spellEnd"/>
      <w:r w:rsidR="00474957" w:rsidRPr="00474957">
        <w:rPr>
          <w:rFonts w:ascii="Times New Roman" w:eastAsia="Times New Roman" w:hAnsi="Times New Roman" w:cs="Times New Roman"/>
          <w:sz w:val="24"/>
          <w:szCs w:val="24"/>
          <w:lang w:eastAsia="pt-BR"/>
        </w:rPr>
        <w:t xml:space="preserve"> explore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rich</w:t>
      </w:r>
      <w:proofErr w:type="spellEnd"/>
      <w:r w:rsidR="00474957" w:rsidRPr="00474957">
        <w:rPr>
          <w:rFonts w:ascii="Times New Roman" w:eastAsia="Times New Roman" w:hAnsi="Times New Roman" w:cs="Times New Roman"/>
          <w:sz w:val="24"/>
          <w:szCs w:val="24"/>
          <w:lang w:eastAsia="pt-BR"/>
        </w:rPr>
        <w:t xml:space="preserve"> natural </w:t>
      </w:r>
      <w:proofErr w:type="spellStart"/>
      <w:r w:rsidR="00474957" w:rsidRPr="00474957">
        <w:rPr>
          <w:rFonts w:ascii="Times New Roman" w:eastAsia="Times New Roman" w:hAnsi="Times New Roman" w:cs="Times New Roman"/>
          <w:sz w:val="24"/>
          <w:szCs w:val="24"/>
          <w:lang w:eastAsia="pt-BR"/>
        </w:rPr>
        <w:t>resources</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of</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region</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and</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create</w:t>
      </w:r>
      <w:proofErr w:type="spellEnd"/>
      <w:r w:rsidR="00474957" w:rsidRPr="00474957">
        <w:rPr>
          <w:rFonts w:ascii="Times New Roman" w:eastAsia="Times New Roman" w:hAnsi="Times New Roman" w:cs="Times New Roman"/>
          <w:sz w:val="24"/>
          <w:szCs w:val="24"/>
          <w:lang w:eastAsia="pt-BR"/>
        </w:rPr>
        <w:t xml:space="preserve"> new </w:t>
      </w:r>
      <w:proofErr w:type="spellStart"/>
      <w:r w:rsidR="00474957" w:rsidRPr="00474957">
        <w:rPr>
          <w:rFonts w:ascii="Times New Roman" w:eastAsia="Times New Roman" w:hAnsi="Times New Roman" w:cs="Times New Roman"/>
          <w:sz w:val="24"/>
          <w:szCs w:val="24"/>
          <w:lang w:eastAsia="pt-BR"/>
        </w:rPr>
        <w:t>markets</w:t>
      </w:r>
      <w:proofErr w:type="spellEnd"/>
      <w:r w:rsidR="00474957" w:rsidRPr="00474957">
        <w:rPr>
          <w:rFonts w:ascii="Times New Roman" w:eastAsia="Times New Roman" w:hAnsi="Times New Roman" w:cs="Times New Roman"/>
          <w:sz w:val="24"/>
          <w:szCs w:val="24"/>
          <w:lang w:eastAsia="pt-BR"/>
        </w:rPr>
        <w:t xml:space="preserve"> for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industrial </w:t>
      </w:r>
      <w:proofErr w:type="spellStart"/>
      <w:r w:rsidR="00474957" w:rsidRPr="00474957">
        <w:rPr>
          <w:rFonts w:ascii="Times New Roman" w:eastAsia="Times New Roman" w:hAnsi="Times New Roman" w:cs="Times New Roman"/>
          <w:sz w:val="24"/>
          <w:szCs w:val="24"/>
          <w:lang w:eastAsia="pt-BR"/>
        </w:rPr>
        <w:t>production</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of</w:t>
      </w:r>
      <w:proofErr w:type="spellEnd"/>
      <w:r w:rsidR="00474957" w:rsidRPr="00474957">
        <w:rPr>
          <w:rFonts w:ascii="Times New Roman" w:eastAsia="Times New Roman" w:hAnsi="Times New Roman" w:cs="Times New Roman"/>
          <w:sz w:val="24"/>
          <w:szCs w:val="24"/>
          <w:lang w:eastAsia="pt-BR"/>
        </w:rPr>
        <w:t xml:space="preserve"> Central Canada. </w:t>
      </w:r>
      <w:proofErr w:type="spellStart"/>
      <w:r w:rsidR="00474957" w:rsidRPr="00474957">
        <w:rPr>
          <w:rFonts w:ascii="Times New Roman" w:eastAsia="Times New Roman" w:hAnsi="Times New Roman" w:cs="Times New Roman"/>
          <w:sz w:val="24"/>
          <w:szCs w:val="24"/>
          <w:lang w:eastAsia="pt-BR"/>
        </w:rPr>
        <w:t>Thus</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National</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Policy</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can</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be</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considered</w:t>
      </w:r>
      <w:proofErr w:type="spellEnd"/>
      <w:r w:rsidR="00474957" w:rsidRPr="00474957">
        <w:rPr>
          <w:rFonts w:ascii="Times New Roman" w:eastAsia="Times New Roman" w:hAnsi="Times New Roman" w:cs="Times New Roman"/>
          <w:sz w:val="24"/>
          <w:szCs w:val="24"/>
          <w:lang w:eastAsia="pt-BR"/>
        </w:rPr>
        <w:t xml:space="preserve"> a framework </w:t>
      </w:r>
      <w:proofErr w:type="spellStart"/>
      <w:r w:rsidR="00474957" w:rsidRPr="00474957">
        <w:rPr>
          <w:rFonts w:ascii="Times New Roman" w:eastAsia="Times New Roman" w:hAnsi="Times New Roman" w:cs="Times New Roman"/>
          <w:sz w:val="24"/>
          <w:szCs w:val="24"/>
          <w:lang w:eastAsia="pt-BR"/>
        </w:rPr>
        <w:t>of</w:t>
      </w:r>
      <w:proofErr w:type="spellEnd"/>
      <w:r w:rsidR="00474957" w:rsidRPr="00474957">
        <w:rPr>
          <w:rFonts w:ascii="Times New Roman" w:eastAsia="Times New Roman" w:hAnsi="Times New Roman" w:cs="Times New Roman"/>
          <w:sz w:val="24"/>
          <w:szCs w:val="24"/>
          <w:lang w:eastAsia="pt-BR"/>
        </w:rPr>
        <w:t xml:space="preserve"> policies </w:t>
      </w:r>
      <w:proofErr w:type="spellStart"/>
      <w:r w:rsidR="00474957" w:rsidRPr="00474957">
        <w:rPr>
          <w:rFonts w:ascii="Times New Roman" w:eastAsia="Times New Roman" w:hAnsi="Times New Roman" w:cs="Times New Roman"/>
          <w:sz w:val="24"/>
          <w:szCs w:val="24"/>
          <w:lang w:eastAsia="pt-BR"/>
        </w:rPr>
        <w:t>targeted</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at</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structural</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transformation</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of</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the</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canadian</w:t>
      </w:r>
      <w:proofErr w:type="spellEnd"/>
      <w:r w:rsidR="00474957" w:rsidRPr="00474957">
        <w:rPr>
          <w:rFonts w:ascii="Times New Roman" w:eastAsia="Times New Roman" w:hAnsi="Times New Roman" w:cs="Times New Roman"/>
          <w:sz w:val="24"/>
          <w:szCs w:val="24"/>
          <w:lang w:eastAsia="pt-BR"/>
        </w:rPr>
        <w:t xml:space="preserve"> </w:t>
      </w:r>
      <w:proofErr w:type="spellStart"/>
      <w:r w:rsidR="00474957" w:rsidRPr="00474957">
        <w:rPr>
          <w:rFonts w:ascii="Times New Roman" w:eastAsia="Times New Roman" w:hAnsi="Times New Roman" w:cs="Times New Roman"/>
          <w:sz w:val="24"/>
          <w:szCs w:val="24"/>
          <w:lang w:eastAsia="pt-BR"/>
        </w:rPr>
        <w:t>economy</w:t>
      </w:r>
      <w:proofErr w:type="spellEnd"/>
      <w:r w:rsidR="00474957" w:rsidRPr="00474957">
        <w:rPr>
          <w:rFonts w:ascii="Times New Roman" w:eastAsia="Times New Roman" w:hAnsi="Times New Roman" w:cs="Times New Roman"/>
          <w:sz w:val="24"/>
          <w:szCs w:val="24"/>
          <w:lang w:eastAsia="pt-BR"/>
        </w:rPr>
        <w:t>.</w:t>
      </w:r>
    </w:p>
    <w:p w:rsidR="00B80E81" w:rsidRDefault="00B80E81" w:rsidP="00FF7568">
      <w:pPr>
        <w:contextualSpacing/>
        <w:jc w:val="both"/>
        <w:rPr>
          <w:rFonts w:ascii="Times New Roman" w:eastAsia="Times New Roman" w:hAnsi="Times New Roman" w:cs="Times New Roman"/>
          <w:sz w:val="24"/>
          <w:szCs w:val="24"/>
          <w:lang w:eastAsia="pt-BR"/>
        </w:rPr>
      </w:pPr>
    </w:p>
    <w:p w:rsidR="00B80E81" w:rsidRDefault="00B80E81" w:rsidP="00E71F20">
      <w:pPr>
        <w:spacing w:line="240" w:lineRule="auto"/>
        <w:contextualSpacing/>
        <w:jc w:val="both"/>
        <w:rPr>
          <w:rFonts w:ascii="Times New Roman" w:eastAsia="Times New Roman" w:hAnsi="Times New Roman" w:cs="Times New Roman"/>
          <w:sz w:val="24"/>
          <w:szCs w:val="24"/>
          <w:lang w:eastAsia="pt-BR"/>
        </w:rPr>
      </w:pPr>
      <w:proofErr w:type="spellStart"/>
      <w:r w:rsidRPr="003540CB">
        <w:rPr>
          <w:rFonts w:ascii="Times New Roman" w:eastAsia="Times New Roman" w:hAnsi="Times New Roman" w:cs="Times New Roman"/>
          <w:b/>
          <w:sz w:val="24"/>
          <w:szCs w:val="24"/>
          <w:lang w:eastAsia="pt-BR"/>
        </w:rPr>
        <w:t>Keywords</w:t>
      </w:r>
      <w:proofErr w:type="spellEnd"/>
      <w:r>
        <w:rPr>
          <w:rFonts w:ascii="Times New Roman" w:eastAsia="Times New Roman" w:hAnsi="Times New Roman" w:cs="Times New Roman"/>
          <w:sz w:val="24"/>
          <w:szCs w:val="24"/>
          <w:lang w:eastAsia="pt-BR"/>
        </w:rPr>
        <w:t xml:space="preserve">: Canada, </w:t>
      </w:r>
      <w:proofErr w:type="spellStart"/>
      <w:r w:rsidR="00001645">
        <w:rPr>
          <w:rFonts w:ascii="Times New Roman" w:eastAsia="Times New Roman" w:hAnsi="Times New Roman" w:cs="Times New Roman"/>
          <w:sz w:val="24"/>
          <w:szCs w:val="24"/>
          <w:lang w:eastAsia="pt-BR"/>
        </w:rPr>
        <w:t>Confederation</w:t>
      </w:r>
      <w:proofErr w:type="spellEnd"/>
      <w:r w:rsidR="00742363">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National</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Policy</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economic</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development</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economic</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dependence</w:t>
      </w:r>
      <w:proofErr w:type="spellEnd"/>
      <w:r>
        <w:rPr>
          <w:rFonts w:ascii="Times New Roman" w:eastAsia="Times New Roman" w:hAnsi="Times New Roman" w:cs="Times New Roman"/>
          <w:sz w:val="24"/>
          <w:szCs w:val="24"/>
          <w:lang w:eastAsia="pt-BR"/>
        </w:rPr>
        <w:t>.</w:t>
      </w:r>
    </w:p>
    <w:p w:rsidR="00D1415C" w:rsidRDefault="00D1415C" w:rsidP="00FF7568">
      <w:pPr>
        <w:contextualSpacing/>
        <w:jc w:val="both"/>
        <w:rPr>
          <w:rFonts w:ascii="Times New Roman" w:eastAsia="Times New Roman" w:hAnsi="Times New Roman" w:cs="Times New Roman"/>
          <w:sz w:val="24"/>
          <w:szCs w:val="24"/>
          <w:lang w:eastAsia="pt-BR"/>
        </w:rPr>
      </w:pPr>
    </w:p>
    <w:p w:rsidR="00D1415C" w:rsidRDefault="00D1415C" w:rsidP="00FF7568">
      <w:pPr>
        <w:contextualSpacing/>
        <w:jc w:val="both"/>
        <w:rPr>
          <w:rFonts w:ascii="Times New Roman" w:eastAsia="Times New Roman" w:hAnsi="Times New Roman" w:cs="Times New Roman"/>
          <w:sz w:val="24"/>
          <w:szCs w:val="24"/>
          <w:lang w:eastAsia="pt-BR"/>
        </w:rPr>
      </w:pPr>
      <w:r w:rsidRPr="003540CB">
        <w:rPr>
          <w:rFonts w:ascii="Times New Roman" w:eastAsia="Times New Roman" w:hAnsi="Times New Roman" w:cs="Times New Roman"/>
          <w:b/>
          <w:sz w:val="24"/>
          <w:szCs w:val="24"/>
          <w:lang w:eastAsia="pt-BR"/>
        </w:rPr>
        <w:t xml:space="preserve">JEL </w:t>
      </w:r>
      <w:proofErr w:type="spellStart"/>
      <w:r w:rsidRPr="003540CB">
        <w:rPr>
          <w:rFonts w:ascii="Times New Roman" w:eastAsia="Times New Roman" w:hAnsi="Times New Roman" w:cs="Times New Roman"/>
          <w:b/>
          <w:sz w:val="24"/>
          <w:szCs w:val="24"/>
          <w:lang w:eastAsia="pt-BR"/>
        </w:rPr>
        <w:t>Classification</w:t>
      </w:r>
      <w:proofErr w:type="spellEnd"/>
      <w:r>
        <w:rPr>
          <w:rFonts w:ascii="Times New Roman" w:eastAsia="Times New Roman" w:hAnsi="Times New Roman" w:cs="Times New Roman"/>
          <w:sz w:val="24"/>
          <w:szCs w:val="24"/>
          <w:lang w:eastAsia="pt-BR"/>
        </w:rPr>
        <w:t xml:space="preserve">: </w:t>
      </w:r>
      <w:r w:rsidR="00BB3BF1">
        <w:rPr>
          <w:rFonts w:ascii="Times New Roman" w:eastAsia="Times New Roman" w:hAnsi="Times New Roman" w:cs="Times New Roman"/>
          <w:sz w:val="24"/>
          <w:szCs w:val="24"/>
          <w:lang w:eastAsia="pt-BR"/>
        </w:rPr>
        <w:t>N51;</w:t>
      </w:r>
      <w:r w:rsidR="004931F4">
        <w:rPr>
          <w:rFonts w:ascii="Times New Roman" w:eastAsia="Times New Roman" w:hAnsi="Times New Roman" w:cs="Times New Roman"/>
          <w:sz w:val="24"/>
          <w:szCs w:val="24"/>
          <w:lang w:eastAsia="pt-BR"/>
        </w:rPr>
        <w:t xml:space="preserve"> </w:t>
      </w:r>
      <w:r w:rsidR="00642852">
        <w:rPr>
          <w:rFonts w:ascii="Times New Roman" w:eastAsia="Times New Roman" w:hAnsi="Times New Roman" w:cs="Times New Roman"/>
          <w:sz w:val="24"/>
          <w:szCs w:val="24"/>
          <w:lang w:eastAsia="pt-BR"/>
        </w:rPr>
        <w:t>N52;</w:t>
      </w:r>
      <w:r w:rsidR="00BB3BF1">
        <w:rPr>
          <w:rFonts w:ascii="Times New Roman" w:eastAsia="Times New Roman" w:hAnsi="Times New Roman" w:cs="Times New Roman"/>
          <w:sz w:val="24"/>
          <w:szCs w:val="24"/>
          <w:lang w:eastAsia="pt-BR"/>
        </w:rPr>
        <w:t xml:space="preserve"> </w:t>
      </w:r>
      <w:r w:rsidR="00900BB1">
        <w:rPr>
          <w:rFonts w:ascii="Times New Roman" w:eastAsia="Times New Roman" w:hAnsi="Times New Roman" w:cs="Times New Roman"/>
          <w:sz w:val="24"/>
          <w:szCs w:val="24"/>
          <w:lang w:eastAsia="pt-BR"/>
        </w:rPr>
        <w:t xml:space="preserve">N61; </w:t>
      </w:r>
      <w:r w:rsidR="00642852">
        <w:rPr>
          <w:rFonts w:ascii="Times New Roman" w:eastAsia="Times New Roman" w:hAnsi="Times New Roman" w:cs="Times New Roman"/>
          <w:sz w:val="24"/>
          <w:szCs w:val="24"/>
          <w:lang w:eastAsia="pt-BR"/>
        </w:rPr>
        <w:t>N62;</w:t>
      </w:r>
      <w:r w:rsidR="00BB3BF1">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N71</w:t>
      </w:r>
      <w:r w:rsidR="00642852">
        <w:rPr>
          <w:rFonts w:ascii="Times New Roman" w:eastAsia="Times New Roman" w:hAnsi="Times New Roman" w:cs="Times New Roman"/>
          <w:sz w:val="24"/>
          <w:szCs w:val="24"/>
          <w:lang w:eastAsia="pt-BR"/>
        </w:rPr>
        <w:t>; N72</w:t>
      </w:r>
      <w:r w:rsidR="00892FB3">
        <w:rPr>
          <w:rFonts w:ascii="Times New Roman" w:eastAsia="Times New Roman" w:hAnsi="Times New Roman" w:cs="Times New Roman"/>
          <w:sz w:val="24"/>
          <w:szCs w:val="24"/>
          <w:lang w:eastAsia="pt-BR"/>
        </w:rPr>
        <w:t>.</w:t>
      </w:r>
    </w:p>
    <w:p w:rsidR="00F94046" w:rsidRPr="007B0FBA" w:rsidRDefault="00F94046" w:rsidP="00F94046">
      <w:pPr>
        <w:pStyle w:val="Textodenotaderodap"/>
        <w:rPr>
          <w:rFonts w:ascii="Times New Roman" w:hAnsi="Times New Roman" w:cs="Times New Roman"/>
          <w:b/>
          <w:sz w:val="24"/>
          <w:szCs w:val="24"/>
        </w:rPr>
      </w:pPr>
      <w:r>
        <w:rPr>
          <w:rFonts w:ascii="Times New Roman" w:hAnsi="Times New Roman" w:cs="Times New Roman"/>
          <w:b/>
          <w:sz w:val="24"/>
          <w:szCs w:val="24"/>
        </w:rPr>
        <w:t>Área 3</w:t>
      </w:r>
      <w:r w:rsidRPr="007B0FBA">
        <w:rPr>
          <w:rFonts w:ascii="Times New Roman" w:hAnsi="Times New Roman" w:cs="Times New Roman"/>
          <w:sz w:val="24"/>
          <w:szCs w:val="24"/>
        </w:rPr>
        <w:t>:</w:t>
      </w:r>
      <w:r>
        <w:rPr>
          <w:rFonts w:ascii="Times New Roman" w:hAnsi="Times New Roman" w:cs="Times New Roman"/>
          <w:b/>
          <w:sz w:val="24"/>
          <w:szCs w:val="24"/>
        </w:rPr>
        <w:t xml:space="preserve"> </w:t>
      </w:r>
      <w:r w:rsidRPr="007B0FBA">
        <w:rPr>
          <w:rFonts w:ascii="Times New Roman" w:hAnsi="Times New Roman" w:cs="Times New Roman"/>
          <w:sz w:val="24"/>
          <w:szCs w:val="24"/>
        </w:rPr>
        <w:t>História Econômica</w:t>
      </w:r>
      <w:r w:rsidR="006A1B9A">
        <w:rPr>
          <w:rFonts w:ascii="Times New Roman" w:hAnsi="Times New Roman" w:cs="Times New Roman"/>
          <w:sz w:val="24"/>
          <w:szCs w:val="24"/>
        </w:rPr>
        <w:t>.</w:t>
      </w:r>
      <w:bookmarkStart w:id="0" w:name="_GoBack"/>
      <w:bookmarkEnd w:id="0"/>
    </w:p>
    <w:p w:rsidR="00F94046" w:rsidRDefault="00F94046" w:rsidP="00F94046">
      <w:pPr>
        <w:spacing w:before="120" w:line="240" w:lineRule="auto"/>
        <w:contextualSpacing/>
        <w:rPr>
          <w:rFonts w:ascii="Times New Roman" w:eastAsia="Times New Roman" w:hAnsi="Times New Roman" w:cs="Times New Roman"/>
          <w:b/>
          <w:sz w:val="24"/>
          <w:szCs w:val="24"/>
          <w:lang w:eastAsia="pt-BR"/>
        </w:rPr>
      </w:pPr>
    </w:p>
    <w:p w:rsidR="00F94046" w:rsidRDefault="00F94046" w:rsidP="00FF7568">
      <w:pPr>
        <w:contextualSpacing/>
        <w:jc w:val="both"/>
        <w:rPr>
          <w:rFonts w:ascii="Times New Roman" w:eastAsia="Times New Roman" w:hAnsi="Times New Roman" w:cs="Times New Roman"/>
          <w:sz w:val="24"/>
          <w:szCs w:val="24"/>
          <w:lang w:eastAsia="pt-BR"/>
        </w:rPr>
      </w:pPr>
    </w:p>
    <w:p w:rsidR="000C57CD" w:rsidRDefault="000C57CD" w:rsidP="00FD4AF0">
      <w:pPr>
        <w:pStyle w:val="Textodenotaderodap"/>
      </w:pPr>
    </w:p>
    <w:p w:rsidR="0009591D" w:rsidRPr="002E0891" w:rsidRDefault="00B13C43" w:rsidP="00FD4AF0">
      <w:pPr>
        <w:pStyle w:val="Textodenotaderodap"/>
        <w:rPr>
          <w:rFonts w:ascii="Times New Roman" w:eastAsia="Times New Roman" w:hAnsi="Times New Roman" w:cs="Times New Roman"/>
          <w:b/>
          <w:sz w:val="24"/>
          <w:szCs w:val="24"/>
          <w:lang w:eastAsia="pt-BR"/>
        </w:rPr>
      </w:pPr>
      <w:r w:rsidRPr="002E0891">
        <w:rPr>
          <w:rFonts w:ascii="Times New Roman" w:eastAsia="Times New Roman" w:hAnsi="Times New Roman" w:cs="Times New Roman"/>
          <w:b/>
          <w:noProof/>
          <w:sz w:val="24"/>
          <w:szCs w:val="24"/>
          <w:lang w:eastAsia="pt-BR"/>
        </w:rPr>
        <mc:AlternateContent>
          <mc:Choice Requires="wps">
            <w:drawing>
              <wp:anchor distT="0" distB="0" distL="114300" distR="114300" simplePos="0" relativeHeight="251659264" behindDoc="0" locked="0" layoutInCell="1" allowOverlap="1" wp14:anchorId="4927F712" wp14:editId="1D3E510C">
                <wp:simplePos x="0" y="0"/>
                <wp:positionH relativeFrom="column">
                  <wp:posOffset>4953</wp:posOffset>
                </wp:positionH>
                <wp:positionV relativeFrom="paragraph">
                  <wp:posOffset>64262</wp:posOffset>
                </wp:positionV>
                <wp:extent cx="1780032" cy="0"/>
                <wp:effectExtent l="0" t="0" r="10795" b="19050"/>
                <wp:wrapNone/>
                <wp:docPr id="8" name="Conector reto 8"/>
                <wp:cNvGraphicFramePr/>
                <a:graphic xmlns:a="http://schemas.openxmlformats.org/drawingml/2006/main">
                  <a:graphicData uri="http://schemas.microsoft.com/office/word/2010/wordprocessingShape">
                    <wps:wsp>
                      <wps:cNvCnPr/>
                      <wps:spPr>
                        <a:xfrm>
                          <a:off x="0" y="0"/>
                          <a:ext cx="17800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5.05pt" to="140.5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" strokecolor="black [3040]"/>
            </w:pict>
          </mc:Fallback>
        </mc:AlternateContent>
      </w:r>
    </w:p>
    <w:p w:rsidR="002E0891" w:rsidRDefault="002E0891" w:rsidP="00AD4545">
      <w:pPr>
        <w:spacing w:after="0" w:line="240" w:lineRule="auto"/>
        <w:jc w:val="both"/>
        <w:rPr>
          <w:rFonts w:eastAsia="Times New Roman" w:cs="Times New Roman"/>
          <w:sz w:val="20"/>
          <w:szCs w:val="20"/>
          <w:lang w:eastAsia="pt-BR"/>
        </w:rPr>
      </w:pPr>
      <w:r w:rsidRPr="002E0891">
        <w:rPr>
          <w:rFonts w:eastAsia="Times New Roman" w:cs="Times New Roman"/>
          <w:sz w:val="20"/>
          <w:szCs w:val="20"/>
          <w:lang w:eastAsia="pt-BR"/>
        </w:rPr>
        <w:t xml:space="preserve">*Doutorando em Economia do Desenvolvimento pela UFRGS. Bolsista da CAPES. </w:t>
      </w:r>
      <w:r w:rsidR="00AD4545">
        <w:rPr>
          <w:rFonts w:eastAsia="Times New Roman" w:cs="Times New Roman"/>
          <w:sz w:val="20"/>
          <w:szCs w:val="20"/>
          <w:lang w:eastAsia="pt-BR"/>
        </w:rPr>
        <w:t>E-mail: carlos.vinicius@ufrgs.br</w:t>
      </w:r>
    </w:p>
    <w:p w:rsidR="002E0891" w:rsidRPr="002E0891" w:rsidRDefault="002E0891" w:rsidP="00AD4545">
      <w:pPr>
        <w:spacing w:after="0" w:line="240" w:lineRule="auto"/>
        <w:jc w:val="both"/>
        <w:rPr>
          <w:rFonts w:eastAsia="Times New Roman" w:cs="Times New Roman"/>
          <w:sz w:val="20"/>
          <w:szCs w:val="20"/>
          <w:lang w:eastAsia="pt-BR"/>
        </w:rPr>
      </w:pPr>
      <w:r>
        <w:rPr>
          <w:rFonts w:eastAsia="Times New Roman" w:cs="Times New Roman"/>
          <w:sz w:val="20"/>
          <w:szCs w:val="20"/>
          <w:lang w:eastAsia="pt-BR"/>
        </w:rPr>
        <w:t>**Professor do Departamento de Economia e Relações Internacionais e do Programa de Pós- Graduação em Estudos Estra</w:t>
      </w:r>
      <w:r w:rsidR="00AD4545">
        <w:rPr>
          <w:rFonts w:eastAsia="Times New Roman" w:cs="Times New Roman"/>
          <w:sz w:val="20"/>
          <w:szCs w:val="20"/>
          <w:lang w:eastAsia="pt-BR"/>
        </w:rPr>
        <w:t>tégicos Internacionais da UFRGS.</w:t>
      </w:r>
    </w:p>
    <w:p w:rsidR="00F94046" w:rsidRDefault="00F94046" w:rsidP="0048231B">
      <w:pPr>
        <w:spacing w:before="120" w:line="240" w:lineRule="auto"/>
        <w:contextualSpacing/>
        <w:rPr>
          <w:rFonts w:ascii="Times New Roman" w:eastAsia="Times New Roman" w:hAnsi="Times New Roman" w:cs="Times New Roman"/>
          <w:b/>
          <w:sz w:val="24"/>
          <w:szCs w:val="24"/>
          <w:lang w:eastAsia="pt-BR"/>
        </w:rPr>
      </w:pPr>
    </w:p>
    <w:p w:rsidR="00F94046" w:rsidRDefault="00F94046" w:rsidP="0048231B">
      <w:pPr>
        <w:spacing w:before="120" w:line="240" w:lineRule="auto"/>
        <w:contextualSpacing/>
        <w:rPr>
          <w:rFonts w:ascii="Times New Roman" w:eastAsia="Times New Roman" w:hAnsi="Times New Roman" w:cs="Times New Roman"/>
          <w:b/>
          <w:sz w:val="24"/>
          <w:szCs w:val="24"/>
          <w:lang w:eastAsia="pt-BR"/>
        </w:rPr>
      </w:pPr>
    </w:p>
    <w:p w:rsidR="00047CB9" w:rsidRPr="00255233" w:rsidRDefault="00255233" w:rsidP="00255233">
      <w:pPr>
        <w:spacing w:before="120" w:line="240" w:lineRule="auto"/>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lastRenderedPageBreak/>
        <w:t>1. INTRODUÇÃO</w:t>
      </w:r>
    </w:p>
    <w:p w:rsidR="003F3651" w:rsidRPr="00442C50" w:rsidRDefault="003F3651" w:rsidP="0048231B">
      <w:pPr>
        <w:suppressAutoHyphens/>
        <w:spacing w:before="120" w:after="0" w:line="240" w:lineRule="auto"/>
        <w:ind w:firstLine="709"/>
        <w:contextualSpacing/>
        <w:jc w:val="both"/>
        <w:rPr>
          <w:rFonts w:ascii="Calibri" w:eastAsia="Calibri" w:hAnsi="Calibri" w:cs="font237"/>
          <w:kern w:val="1"/>
          <w:sz w:val="24"/>
          <w:szCs w:val="24"/>
        </w:rPr>
      </w:pPr>
      <w:r w:rsidRPr="00442C50">
        <w:rPr>
          <w:rFonts w:ascii="Times New Roman" w:eastAsia="Times New Roman" w:hAnsi="Times New Roman" w:cs="Times New Roman"/>
          <w:kern w:val="1"/>
          <w:sz w:val="24"/>
          <w:szCs w:val="24"/>
          <w:lang w:eastAsia="pt-BR"/>
        </w:rPr>
        <w:t>Desde o trabalho seminal de Alexander Gershenkron sobre o atraso econômico em perspectiva histórica, os historiadores econômicos têm se debruçado sobre estudos comparativos de situações pretéritas de transformação socioeconômica (Ville, 2015). Para tanto, pesquisas prévias e aprofundadas sobre experiências particulares de desenvolvimento econômico são necessárias.</w:t>
      </w:r>
    </w:p>
    <w:p w:rsidR="003F3651" w:rsidRPr="00442C50" w:rsidRDefault="003F3651" w:rsidP="0048231B">
      <w:pPr>
        <w:suppressAutoHyphens/>
        <w:spacing w:after="0" w:line="240" w:lineRule="auto"/>
        <w:contextualSpacing/>
        <w:jc w:val="both"/>
        <w:rPr>
          <w:rFonts w:ascii="Calibri" w:eastAsia="Calibri" w:hAnsi="Calibri" w:cs="font237"/>
          <w:kern w:val="1"/>
          <w:sz w:val="24"/>
          <w:szCs w:val="24"/>
        </w:rPr>
      </w:pPr>
      <w:r w:rsidRPr="00442C50">
        <w:rPr>
          <w:rFonts w:ascii="Times New Roman" w:eastAsia="Times New Roman" w:hAnsi="Times New Roman" w:cs="Times New Roman"/>
          <w:color w:val="FF0000"/>
          <w:kern w:val="1"/>
          <w:sz w:val="24"/>
          <w:szCs w:val="24"/>
          <w:lang w:eastAsia="pt-BR"/>
        </w:rPr>
        <w:tab/>
      </w:r>
      <w:r w:rsidRPr="00442C50">
        <w:rPr>
          <w:rFonts w:ascii="Times New Roman" w:eastAsia="Times New Roman" w:hAnsi="Times New Roman" w:cs="Times New Roman"/>
          <w:kern w:val="1"/>
          <w:sz w:val="24"/>
          <w:szCs w:val="24"/>
          <w:lang w:eastAsia="pt-BR"/>
        </w:rPr>
        <w:t xml:space="preserve">A história econômica canadense se apresenta como um rico cabedal de processos conducentes ao desenvolvimento econômico. Contudo, essa experiência significativa tem sido pouco explorada pelos historiadores econômicos atuando no Brasil. Essa negligência é surpreendente, pois a história econômica do Canadá, </w:t>
      </w:r>
      <w:r w:rsidRPr="00442C50">
        <w:rPr>
          <w:rFonts w:ascii="Times New Roman" w:eastAsia="Times New Roman" w:hAnsi="Times New Roman" w:cs="Times New Roman"/>
          <w:i/>
          <w:iCs/>
          <w:kern w:val="1"/>
          <w:sz w:val="24"/>
          <w:szCs w:val="24"/>
          <w:lang w:eastAsia="pt-BR"/>
        </w:rPr>
        <w:t>mutatis mutandis</w:t>
      </w:r>
      <w:r w:rsidRPr="00442C50">
        <w:rPr>
          <w:rFonts w:ascii="Times New Roman" w:eastAsia="Times New Roman" w:hAnsi="Times New Roman" w:cs="Times New Roman"/>
          <w:kern w:val="1"/>
          <w:sz w:val="24"/>
          <w:szCs w:val="24"/>
          <w:lang w:eastAsia="pt-BR"/>
        </w:rPr>
        <w:t>, apresenta semelhanças com a evolução econômica do Brasil e de diversas econômicas latino-americanas, embora o resultado final desses diferentes processos seja significativamente distinto. Em particular, cabe destacar as relações comerciais de tipo centro-periferia com a Europa e Estados Unidos, a significativa imigração europeia, a adoção da tecnologia de transportes e a necessidade de se assegurar de um território econômico nacional. Portanto, o conhecimento da experiência canadense, por si só um tema importante do ponto de vista histórico, permite jogar luz sobre outros processos, efetivos e fracassados, de desenvolvimento econômico no continente americano.</w:t>
      </w:r>
    </w:p>
    <w:p w:rsidR="003F3651" w:rsidRPr="00442C50" w:rsidRDefault="003F3651" w:rsidP="0048231B">
      <w:pPr>
        <w:suppressAutoHyphens/>
        <w:spacing w:after="0" w:line="240" w:lineRule="auto"/>
        <w:contextualSpacing/>
        <w:jc w:val="both"/>
        <w:rPr>
          <w:rFonts w:ascii="Calibri" w:eastAsia="Calibri" w:hAnsi="Calibri" w:cs="font237"/>
          <w:kern w:val="1"/>
          <w:sz w:val="24"/>
          <w:szCs w:val="24"/>
        </w:rPr>
      </w:pPr>
      <w:r w:rsidRPr="00442C50">
        <w:rPr>
          <w:rFonts w:ascii="Times New Roman" w:eastAsia="Times New Roman" w:hAnsi="Times New Roman" w:cs="Times New Roman"/>
          <w:color w:val="FF0000"/>
          <w:kern w:val="1"/>
          <w:sz w:val="24"/>
          <w:szCs w:val="24"/>
          <w:lang w:eastAsia="pt-BR"/>
        </w:rPr>
        <w:tab/>
      </w:r>
      <w:r w:rsidRPr="00442C50">
        <w:rPr>
          <w:rFonts w:ascii="Times New Roman" w:eastAsia="Times New Roman" w:hAnsi="Times New Roman" w:cs="Times New Roman"/>
          <w:kern w:val="1"/>
          <w:sz w:val="24"/>
          <w:szCs w:val="24"/>
          <w:lang w:eastAsia="pt-BR"/>
        </w:rPr>
        <w:t xml:space="preserve">Nesse sentido, a </w:t>
      </w:r>
      <w:r w:rsidRPr="00442C50">
        <w:rPr>
          <w:rFonts w:ascii="Times New Roman" w:eastAsia="Times New Roman" w:hAnsi="Times New Roman" w:cs="Times New Roman"/>
          <w:i/>
          <w:kern w:val="1"/>
          <w:sz w:val="24"/>
          <w:szCs w:val="24"/>
          <w:lang w:eastAsia="pt-BR"/>
        </w:rPr>
        <w:t>National Policy</w:t>
      </w:r>
      <w:r w:rsidR="00B22FED" w:rsidRPr="00442C50">
        <w:rPr>
          <w:rStyle w:val="Refdenotaderodap"/>
          <w:rFonts w:ascii="Times New Roman" w:eastAsia="Times New Roman" w:hAnsi="Times New Roman" w:cs="Times New Roman"/>
          <w:i/>
          <w:kern w:val="1"/>
          <w:sz w:val="24"/>
          <w:szCs w:val="24"/>
          <w:lang w:eastAsia="pt-BR"/>
        </w:rPr>
        <w:footnoteReference w:id="1"/>
      </w:r>
      <w:r w:rsidR="00B22FED" w:rsidRPr="00442C50">
        <w:rPr>
          <w:rFonts w:ascii="Times New Roman" w:eastAsia="Times New Roman" w:hAnsi="Times New Roman" w:cs="Times New Roman"/>
          <w:i/>
          <w:kern w:val="1"/>
          <w:sz w:val="24"/>
          <w:szCs w:val="24"/>
          <w:lang w:eastAsia="pt-BR"/>
        </w:rPr>
        <w:t xml:space="preserve"> </w:t>
      </w:r>
      <w:r w:rsidRPr="00442C50">
        <w:rPr>
          <w:rFonts w:ascii="Times New Roman" w:eastAsia="Times New Roman" w:hAnsi="Times New Roman" w:cs="Times New Roman"/>
          <w:kern w:val="1"/>
          <w:sz w:val="24"/>
          <w:szCs w:val="24"/>
          <w:lang w:eastAsia="pt-BR"/>
        </w:rPr>
        <w:t xml:space="preserve">ou Política Nacional implementada pelo Canadá se apresenta como um objeto de estudo relevante. O objetivo deste artigo é investigar, com base na literatura secundária disponível, em que medida a </w:t>
      </w:r>
      <w:r w:rsidRPr="00442C50">
        <w:rPr>
          <w:rFonts w:ascii="Times New Roman" w:eastAsia="Times New Roman" w:hAnsi="Times New Roman" w:cs="Times New Roman"/>
          <w:i/>
          <w:kern w:val="1"/>
          <w:sz w:val="24"/>
          <w:szCs w:val="24"/>
          <w:lang w:eastAsia="pt-BR"/>
        </w:rPr>
        <w:t>National Policy</w:t>
      </w:r>
      <w:r w:rsidRPr="00442C50">
        <w:rPr>
          <w:rFonts w:ascii="Times New Roman" w:eastAsia="Times New Roman" w:hAnsi="Times New Roman" w:cs="Times New Roman"/>
          <w:kern w:val="1"/>
          <w:sz w:val="24"/>
          <w:szCs w:val="24"/>
          <w:lang w:eastAsia="pt-BR"/>
        </w:rPr>
        <w:t xml:space="preserve"> pode ser entendida como uma estratégia capaz de contribuir para o desenvolvimento econômico, analisando-a em termos de seus três vetores de política. A hipótese a ser testada é que a articulação das políticas comercial, de transporte e demográfica representou uma estratégia efetiva de desenvolvimento econômico, contribuindo para a formação de um território econômico nacional e para a transformação estrutural da economia canadense. </w:t>
      </w:r>
    </w:p>
    <w:p w:rsidR="003F3651" w:rsidRPr="003F3651" w:rsidRDefault="003F3651" w:rsidP="0048231B">
      <w:pPr>
        <w:suppressAutoHyphens/>
        <w:spacing w:after="0" w:line="240" w:lineRule="auto"/>
        <w:contextualSpacing/>
        <w:jc w:val="both"/>
        <w:rPr>
          <w:rFonts w:ascii="Calibri" w:eastAsia="Calibri" w:hAnsi="Calibri" w:cs="font237"/>
          <w:kern w:val="1"/>
          <w:sz w:val="24"/>
          <w:szCs w:val="24"/>
        </w:rPr>
      </w:pPr>
      <w:r w:rsidRPr="00442C50">
        <w:rPr>
          <w:rFonts w:ascii="Times New Roman" w:eastAsia="Times New Roman" w:hAnsi="Times New Roman" w:cs="Times New Roman"/>
          <w:kern w:val="1"/>
          <w:sz w:val="24"/>
          <w:szCs w:val="24"/>
          <w:lang w:eastAsia="pt-BR"/>
        </w:rPr>
        <w:tab/>
        <w:t xml:space="preserve">O trabalho está organizado da seguinte forma. Após essa introdução, um breve esboço da evolução nacional e econômica do Canadá é apresentado. A terceira seção discute a política comercial protecionista. A quarta seção discute a política de transporte. </w:t>
      </w:r>
      <w:r w:rsidRPr="003F3651">
        <w:rPr>
          <w:rFonts w:ascii="Times New Roman" w:eastAsia="Times New Roman" w:hAnsi="Times New Roman" w:cs="Times New Roman"/>
          <w:kern w:val="1"/>
          <w:sz w:val="24"/>
          <w:szCs w:val="24"/>
          <w:lang w:eastAsia="pt-BR"/>
        </w:rPr>
        <w:t>A seção seguinte trata da política migratória. A seção final traz as conclusões do trabalho.</w:t>
      </w:r>
    </w:p>
    <w:p w:rsidR="003F3651" w:rsidRPr="003F3651" w:rsidRDefault="003F3651" w:rsidP="003F3651">
      <w:pPr>
        <w:suppressAutoHyphens/>
        <w:contextualSpacing/>
        <w:jc w:val="both"/>
        <w:rPr>
          <w:rFonts w:ascii="Calibri" w:eastAsia="Calibri" w:hAnsi="Calibri" w:cs="font237"/>
          <w:kern w:val="1"/>
        </w:rPr>
      </w:pPr>
    </w:p>
    <w:p w:rsidR="003F3651" w:rsidRPr="00557957" w:rsidRDefault="0070253D" w:rsidP="0099378C">
      <w:pPr>
        <w:spacing w:line="360" w:lineRule="auto"/>
        <w:contextualSpacing/>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 A EVOLUÇÃO NACIONAL E ECONÔMICA DO CANADÁ: UM RESUMO</w:t>
      </w:r>
    </w:p>
    <w:p w:rsidR="00520850" w:rsidRDefault="00E71F20" w:rsidP="0048231B">
      <w:pPr>
        <w:spacing w:after="0" w:line="24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w:t>
      </w:r>
      <w:r w:rsidR="00520850">
        <w:rPr>
          <w:rFonts w:ascii="Times New Roman" w:eastAsia="Times New Roman" w:hAnsi="Times New Roman" w:cs="Times New Roman"/>
          <w:sz w:val="24"/>
          <w:szCs w:val="24"/>
          <w:lang w:eastAsia="pt-BR"/>
        </w:rPr>
        <w:t xml:space="preserve"> criação d</w:t>
      </w:r>
      <w:r w:rsidR="0070253D">
        <w:rPr>
          <w:rFonts w:ascii="Times New Roman" w:eastAsia="Times New Roman" w:hAnsi="Times New Roman" w:cs="Times New Roman"/>
          <w:sz w:val="24"/>
          <w:szCs w:val="24"/>
          <w:lang w:eastAsia="pt-BR"/>
        </w:rPr>
        <w:t>o Domínio do Canadá ocorreu</w:t>
      </w:r>
      <w:r w:rsidR="00520850">
        <w:rPr>
          <w:rFonts w:ascii="Times New Roman" w:eastAsia="Times New Roman" w:hAnsi="Times New Roman" w:cs="Times New Roman"/>
          <w:sz w:val="24"/>
          <w:szCs w:val="24"/>
          <w:lang w:eastAsia="pt-BR"/>
        </w:rPr>
        <w:t xml:space="preserve"> em 1867 com o advento da Confederação</w:t>
      </w:r>
      <w:r w:rsidR="00520850">
        <w:rPr>
          <w:rStyle w:val="Refdenotaderodap"/>
          <w:rFonts w:ascii="Times New Roman" w:eastAsia="Times New Roman" w:hAnsi="Times New Roman" w:cs="Times New Roman"/>
          <w:sz w:val="24"/>
          <w:szCs w:val="24"/>
          <w:lang w:eastAsia="pt-BR"/>
        </w:rPr>
        <w:footnoteReference w:id="2"/>
      </w:r>
      <w:r w:rsidR="00F81183">
        <w:rPr>
          <w:rFonts w:ascii="Times New Roman" w:eastAsia="Times New Roman" w:hAnsi="Times New Roman" w:cs="Times New Roman"/>
          <w:sz w:val="24"/>
          <w:szCs w:val="24"/>
          <w:lang w:eastAsia="pt-BR"/>
        </w:rPr>
        <w:t>. Até então a imensa área territorial ao norte dos Estados Unidos era basicamente formada por colônias britânicas e territórios com características econômicas bastante diversas.</w:t>
      </w:r>
      <w:r w:rsidR="00F7283A">
        <w:rPr>
          <w:rFonts w:ascii="Times New Roman" w:eastAsia="Times New Roman" w:hAnsi="Times New Roman" w:cs="Times New Roman"/>
          <w:sz w:val="24"/>
          <w:szCs w:val="24"/>
          <w:lang w:eastAsia="pt-BR"/>
        </w:rPr>
        <w:t xml:space="preserve"> Como observa </w:t>
      </w:r>
      <w:proofErr w:type="spellStart"/>
      <w:r w:rsidR="00F7283A">
        <w:rPr>
          <w:rFonts w:ascii="Times New Roman" w:eastAsia="Times New Roman" w:hAnsi="Times New Roman" w:cs="Times New Roman"/>
          <w:sz w:val="24"/>
          <w:szCs w:val="24"/>
          <w:lang w:eastAsia="pt-BR"/>
        </w:rPr>
        <w:t>Aitken</w:t>
      </w:r>
      <w:proofErr w:type="spellEnd"/>
      <w:r w:rsidR="00F7283A">
        <w:rPr>
          <w:rFonts w:ascii="Times New Roman" w:eastAsia="Times New Roman" w:hAnsi="Times New Roman" w:cs="Times New Roman"/>
          <w:sz w:val="24"/>
          <w:szCs w:val="24"/>
          <w:lang w:eastAsia="pt-BR"/>
        </w:rPr>
        <w:t xml:space="preserve"> (1979, p. 186) essas províncias no período anterior a Confederação podiam ser divididas em dois grupos distintos: as Províncias Marítimas (Nova Brunswick, Nova Escócia e Ilha do </w:t>
      </w:r>
      <w:r w:rsidR="00A26651">
        <w:rPr>
          <w:rFonts w:ascii="Times New Roman" w:eastAsia="Times New Roman" w:hAnsi="Times New Roman" w:cs="Times New Roman"/>
          <w:sz w:val="24"/>
          <w:szCs w:val="24"/>
          <w:lang w:eastAsia="pt-BR"/>
        </w:rPr>
        <w:t>Príncipe</w:t>
      </w:r>
      <w:r w:rsidR="00F7283A">
        <w:rPr>
          <w:rFonts w:ascii="Times New Roman" w:eastAsia="Times New Roman" w:hAnsi="Times New Roman" w:cs="Times New Roman"/>
          <w:sz w:val="24"/>
          <w:szCs w:val="24"/>
          <w:lang w:eastAsia="pt-BR"/>
        </w:rPr>
        <w:t xml:space="preserve"> Eduardo)</w:t>
      </w:r>
      <w:r w:rsidR="00A26651">
        <w:rPr>
          <w:rFonts w:ascii="Times New Roman" w:eastAsia="Times New Roman" w:hAnsi="Times New Roman" w:cs="Times New Roman"/>
          <w:sz w:val="24"/>
          <w:szCs w:val="24"/>
          <w:lang w:eastAsia="pt-BR"/>
        </w:rPr>
        <w:t xml:space="preserve"> e no Canadá </w:t>
      </w:r>
      <w:r w:rsidR="00BB61BD">
        <w:rPr>
          <w:rFonts w:ascii="Times New Roman" w:eastAsia="Times New Roman" w:hAnsi="Times New Roman" w:cs="Times New Roman"/>
          <w:sz w:val="24"/>
          <w:szCs w:val="24"/>
          <w:lang w:eastAsia="pt-BR"/>
        </w:rPr>
        <w:t>C</w:t>
      </w:r>
      <w:r w:rsidR="00A26651">
        <w:rPr>
          <w:rFonts w:ascii="Times New Roman" w:eastAsia="Times New Roman" w:hAnsi="Times New Roman" w:cs="Times New Roman"/>
          <w:sz w:val="24"/>
          <w:szCs w:val="24"/>
          <w:lang w:eastAsia="pt-BR"/>
        </w:rPr>
        <w:t xml:space="preserve">entral ficavam </w:t>
      </w:r>
      <w:r w:rsidR="00BB61BD">
        <w:rPr>
          <w:rFonts w:ascii="Times New Roman" w:eastAsia="Times New Roman" w:hAnsi="Times New Roman" w:cs="Times New Roman"/>
          <w:sz w:val="24"/>
          <w:szCs w:val="24"/>
          <w:lang w:eastAsia="pt-BR"/>
        </w:rPr>
        <w:t>o Canadá Superior e o Canadá Inferior</w:t>
      </w:r>
      <w:r w:rsidR="00A26651">
        <w:rPr>
          <w:rFonts w:ascii="Times New Roman" w:eastAsia="Times New Roman" w:hAnsi="Times New Roman" w:cs="Times New Roman"/>
          <w:sz w:val="24"/>
          <w:szCs w:val="24"/>
          <w:lang w:eastAsia="pt-BR"/>
        </w:rPr>
        <w:t xml:space="preserve"> (atualmente Ontário e Quebec respectivamente)</w:t>
      </w:r>
      <w:r w:rsidR="00565483">
        <w:rPr>
          <w:rFonts w:ascii="Times New Roman" w:eastAsia="Times New Roman" w:hAnsi="Times New Roman" w:cs="Times New Roman"/>
          <w:sz w:val="24"/>
          <w:szCs w:val="24"/>
          <w:lang w:eastAsia="pt-BR"/>
        </w:rPr>
        <w:t>. Os últimos foram unidos em 1841</w:t>
      </w:r>
      <w:r w:rsidR="00532C1D">
        <w:rPr>
          <w:rFonts w:ascii="Times New Roman" w:eastAsia="Times New Roman" w:hAnsi="Times New Roman" w:cs="Times New Roman"/>
          <w:sz w:val="24"/>
          <w:szCs w:val="24"/>
          <w:lang w:eastAsia="pt-BR"/>
        </w:rPr>
        <w:t xml:space="preserve"> </w:t>
      </w:r>
      <w:r w:rsidR="00565483">
        <w:rPr>
          <w:rFonts w:ascii="Times New Roman" w:eastAsia="Times New Roman" w:hAnsi="Times New Roman" w:cs="Times New Roman"/>
          <w:sz w:val="24"/>
          <w:szCs w:val="24"/>
          <w:lang w:eastAsia="pt-BR"/>
        </w:rPr>
        <w:t xml:space="preserve">para formar a </w:t>
      </w:r>
      <w:r w:rsidR="00532C1D">
        <w:rPr>
          <w:rFonts w:ascii="Times New Roman" w:eastAsia="Times New Roman" w:hAnsi="Times New Roman" w:cs="Times New Roman"/>
          <w:sz w:val="24"/>
          <w:szCs w:val="24"/>
          <w:lang w:eastAsia="pt-BR"/>
        </w:rPr>
        <w:t>P</w:t>
      </w:r>
      <w:r w:rsidR="00565483">
        <w:rPr>
          <w:rFonts w:ascii="Times New Roman" w:eastAsia="Times New Roman" w:hAnsi="Times New Roman" w:cs="Times New Roman"/>
          <w:sz w:val="24"/>
          <w:szCs w:val="24"/>
          <w:lang w:eastAsia="pt-BR"/>
        </w:rPr>
        <w:t>rovíncia do Canadá.</w:t>
      </w:r>
      <w:r w:rsidR="00A26651">
        <w:rPr>
          <w:rFonts w:ascii="Times New Roman" w:eastAsia="Times New Roman" w:hAnsi="Times New Roman" w:cs="Times New Roman"/>
          <w:sz w:val="24"/>
          <w:szCs w:val="24"/>
          <w:lang w:eastAsia="pt-BR"/>
        </w:rPr>
        <w:t xml:space="preserve"> </w:t>
      </w:r>
      <w:r w:rsidR="00565483">
        <w:rPr>
          <w:rFonts w:ascii="Times New Roman" w:eastAsia="Times New Roman" w:hAnsi="Times New Roman" w:cs="Times New Roman"/>
          <w:sz w:val="24"/>
          <w:szCs w:val="24"/>
          <w:lang w:eastAsia="pt-BR"/>
        </w:rPr>
        <w:t>E</w:t>
      </w:r>
      <w:r w:rsidR="00A26651">
        <w:rPr>
          <w:rFonts w:ascii="Times New Roman" w:eastAsia="Times New Roman" w:hAnsi="Times New Roman" w:cs="Times New Roman"/>
          <w:sz w:val="24"/>
          <w:szCs w:val="24"/>
          <w:lang w:eastAsia="pt-BR"/>
        </w:rPr>
        <w:t>xistia</w:t>
      </w:r>
      <w:r w:rsidR="00565483">
        <w:rPr>
          <w:rFonts w:ascii="Times New Roman" w:eastAsia="Times New Roman" w:hAnsi="Times New Roman" w:cs="Times New Roman"/>
          <w:sz w:val="24"/>
          <w:szCs w:val="24"/>
          <w:lang w:eastAsia="pt-BR"/>
        </w:rPr>
        <w:t xml:space="preserve"> ainda</w:t>
      </w:r>
      <w:r w:rsidR="00A26651">
        <w:rPr>
          <w:rFonts w:ascii="Times New Roman" w:eastAsia="Times New Roman" w:hAnsi="Times New Roman" w:cs="Times New Roman"/>
          <w:sz w:val="24"/>
          <w:szCs w:val="24"/>
          <w:lang w:eastAsia="pt-BR"/>
        </w:rPr>
        <w:t xml:space="preserve"> um imenso território </w:t>
      </w:r>
      <w:r w:rsidR="006562A9">
        <w:rPr>
          <w:rFonts w:ascii="Times New Roman" w:eastAsia="Times New Roman" w:hAnsi="Times New Roman" w:cs="Times New Roman"/>
          <w:sz w:val="24"/>
          <w:szCs w:val="24"/>
          <w:lang w:eastAsia="pt-BR"/>
        </w:rPr>
        <w:t>(</w:t>
      </w:r>
      <w:proofErr w:type="spellStart"/>
      <w:r w:rsidR="006562A9">
        <w:rPr>
          <w:rFonts w:ascii="Times New Roman" w:eastAsia="Times New Roman" w:hAnsi="Times New Roman" w:cs="Times New Roman"/>
          <w:sz w:val="24"/>
          <w:szCs w:val="24"/>
          <w:lang w:eastAsia="pt-BR"/>
        </w:rPr>
        <w:t>Rupert’s</w:t>
      </w:r>
      <w:proofErr w:type="spellEnd"/>
      <w:r w:rsidR="006562A9">
        <w:rPr>
          <w:rFonts w:ascii="Times New Roman" w:eastAsia="Times New Roman" w:hAnsi="Times New Roman" w:cs="Times New Roman"/>
          <w:sz w:val="24"/>
          <w:szCs w:val="24"/>
          <w:lang w:eastAsia="pt-BR"/>
        </w:rPr>
        <w:t xml:space="preserve"> Land) </w:t>
      </w:r>
      <w:r w:rsidR="00A26651">
        <w:rPr>
          <w:rFonts w:ascii="Times New Roman" w:eastAsia="Times New Roman" w:hAnsi="Times New Roman" w:cs="Times New Roman"/>
          <w:sz w:val="24"/>
          <w:szCs w:val="24"/>
          <w:lang w:eastAsia="pt-BR"/>
        </w:rPr>
        <w:t xml:space="preserve">controlado pela </w:t>
      </w:r>
      <w:r w:rsidR="00A26651" w:rsidRPr="0099378C">
        <w:rPr>
          <w:rFonts w:ascii="Times New Roman" w:eastAsia="Times New Roman" w:hAnsi="Times New Roman" w:cs="Times New Roman"/>
          <w:i/>
          <w:sz w:val="24"/>
          <w:szCs w:val="24"/>
          <w:lang w:eastAsia="pt-BR"/>
        </w:rPr>
        <w:t>Hudson’s Bay Company</w:t>
      </w:r>
      <w:r w:rsidR="003F3DBD">
        <w:rPr>
          <w:rStyle w:val="Refdenotaderodap"/>
          <w:rFonts w:ascii="Times New Roman" w:eastAsia="Times New Roman" w:hAnsi="Times New Roman" w:cs="Times New Roman"/>
          <w:sz w:val="24"/>
          <w:szCs w:val="24"/>
          <w:lang w:eastAsia="pt-BR"/>
        </w:rPr>
        <w:footnoteReference w:id="3"/>
      </w:r>
      <w:r w:rsidR="00A26651">
        <w:rPr>
          <w:rFonts w:ascii="Times New Roman" w:eastAsia="Times New Roman" w:hAnsi="Times New Roman" w:cs="Times New Roman"/>
          <w:sz w:val="24"/>
          <w:szCs w:val="24"/>
          <w:lang w:eastAsia="pt-BR"/>
        </w:rPr>
        <w:t xml:space="preserve"> </w:t>
      </w:r>
      <w:r w:rsidR="006562A9">
        <w:rPr>
          <w:rFonts w:ascii="Times New Roman" w:eastAsia="Times New Roman" w:hAnsi="Times New Roman" w:cs="Times New Roman"/>
          <w:sz w:val="24"/>
          <w:szCs w:val="24"/>
          <w:lang w:eastAsia="pt-BR"/>
        </w:rPr>
        <w:t xml:space="preserve">que incluía além da Baia de Hudson, toda a </w:t>
      </w:r>
      <w:r w:rsidR="006562A9">
        <w:rPr>
          <w:rFonts w:ascii="Times New Roman" w:eastAsia="Times New Roman" w:hAnsi="Times New Roman" w:cs="Times New Roman"/>
          <w:sz w:val="24"/>
          <w:szCs w:val="24"/>
          <w:lang w:eastAsia="pt-BR"/>
        </w:rPr>
        <w:lastRenderedPageBreak/>
        <w:t xml:space="preserve">região das Pradarias, as Montanhas Rochosas, a Costa do Pacífico e o território que </w:t>
      </w:r>
      <w:proofErr w:type="gramStart"/>
      <w:r w:rsidR="006562A9">
        <w:rPr>
          <w:rFonts w:ascii="Times New Roman" w:eastAsia="Times New Roman" w:hAnsi="Times New Roman" w:cs="Times New Roman"/>
          <w:sz w:val="24"/>
          <w:szCs w:val="24"/>
          <w:lang w:eastAsia="pt-BR"/>
        </w:rPr>
        <w:t>tornou-se</w:t>
      </w:r>
      <w:proofErr w:type="gramEnd"/>
      <w:r w:rsidR="006562A9">
        <w:rPr>
          <w:rFonts w:ascii="Times New Roman" w:eastAsia="Times New Roman" w:hAnsi="Times New Roman" w:cs="Times New Roman"/>
          <w:sz w:val="24"/>
          <w:szCs w:val="24"/>
          <w:lang w:eastAsia="pt-BR"/>
        </w:rPr>
        <w:t xml:space="preserve"> a Colúmbia Britânica em 1858.</w:t>
      </w:r>
    </w:p>
    <w:p w:rsidR="00EC291D" w:rsidRDefault="005E2791"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No que se refere </w:t>
      </w:r>
      <w:r w:rsidR="000D5A32">
        <w:rPr>
          <w:rFonts w:ascii="Times New Roman" w:eastAsia="Times New Roman" w:hAnsi="Times New Roman" w:cs="Times New Roman"/>
          <w:sz w:val="24"/>
          <w:szCs w:val="24"/>
          <w:lang w:eastAsia="pt-BR"/>
        </w:rPr>
        <w:t>às</w:t>
      </w:r>
      <w:r>
        <w:rPr>
          <w:rFonts w:ascii="Times New Roman" w:eastAsia="Times New Roman" w:hAnsi="Times New Roman" w:cs="Times New Roman"/>
          <w:sz w:val="24"/>
          <w:szCs w:val="24"/>
          <w:lang w:eastAsia="pt-BR"/>
        </w:rPr>
        <w:t xml:space="preserve"> Províncias Marítimas</w:t>
      </w:r>
      <w:r w:rsidR="007162ED">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até a metade do século XIX</w:t>
      </w:r>
      <w:r w:rsidR="007162ED">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as principais atividades econômicas eram a pesca, </w:t>
      </w:r>
      <w:r w:rsidR="007162ED">
        <w:rPr>
          <w:rFonts w:ascii="Times New Roman" w:eastAsia="Times New Roman" w:hAnsi="Times New Roman" w:cs="Times New Roman"/>
          <w:sz w:val="24"/>
          <w:szCs w:val="24"/>
          <w:lang w:eastAsia="pt-BR"/>
        </w:rPr>
        <w:t xml:space="preserve">a </w:t>
      </w:r>
      <w:r>
        <w:rPr>
          <w:rFonts w:ascii="Times New Roman" w:eastAsia="Times New Roman" w:hAnsi="Times New Roman" w:cs="Times New Roman"/>
          <w:sz w:val="24"/>
          <w:szCs w:val="24"/>
          <w:lang w:eastAsia="pt-BR"/>
        </w:rPr>
        <w:t xml:space="preserve">construção naval, </w:t>
      </w:r>
      <w:r w:rsidR="007162ED">
        <w:rPr>
          <w:rFonts w:ascii="Times New Roman" w:eastAsia="Times New Roman" w:hAnsi="Times New Roman" w:cs="Times New Roman"/>
          <w:sz w:val="24"/>
          <w:szCs w:val="24"/>
          <w:lang w:eastAsia="pt-BR"/>
        </w:rPr>
        <w:t xml:space="preserve">o </w:t>
      </w:r>
      <w:r>
        <w:rPr>
          <w:rFonts w:ascii="Times New Roman" w:eastAsia="Times New Roman" w:hAnsi="Times New Roman" w:cs="Times New Roman"/>
          <w:sz w:val="24"/>
          <w:szCs w:val="24"/>
          <w:lang w:eastAsia="pt-BR"/>
        </w:rPr>
        <w:t>comércio marítimo e a exportação de madeira</w:t>
      </w:r>
      <w:r w:rsidR="00D139DE">
        <w:rPr>
          <w:rFonts w:ascii="Times New Roman" w:eastAsia="Times New Roman" w:hAnsi="Times New Roman" w:cs="Times New Roman"/>
          <w:sz w:val="24"/>
          <w:szCs w:val="24"/>
          <w:lang w:eastAsia="pt-BR"/>
        </w:rPr>
        <w:t xml:space="preserve"> (AITKEN, 1979, p.186)</w:t>
      </w:r>
      <w:r>
        <w:rPr>
          <w:rFonts w:ascii="Times New Roman" w:eastAsia="Times New Roman" w:hAnsi="Times New Roman" w:cs="Times New Roman"/>
          <w:sz w:val="24"/>
          <w:szCs w:val="24"/>
          <w:lang w:eastAsia="pt-BR"/>
        </w:rPr>
        <w:t>.</w:t>
      </w:r>
      <w:r w:rsidR="00BB61BD">
        <w:rPr>
          <w:rFonts w:ascii="Times New Roman" w:eastAsia="Times New Roman" w:hAnsi="Times New Roman" w:cs="Times New Roman"/>
          <w:sz w:val="24"/>
          <w:szCs w:val="24"/>
          <w:lang w:eastAsia="pt-BR"/>
        </w:rPr>
        <w:t xml:space="preserve"> O Canadá </w:t>
      </w:r>
      <w:r w:rsidR="000D5A32">
        <w:rPr>
          <w:rFonts w:ascii="Times New Roman" w:eastAsia="Times New Roman" w:hAnsi="Times New Roman" w:cs="Times New Roman"/>
          <w:sz w:val="24"/>
          <w:szCs w:val="24"/>
          <w:lang w:eastAsia="pt-BR"/>
        </w:rPr>
        <w:t>S</w:t>
      </w:r>
      <w:r w:rsidR="00BB61BD">
        <w:rPr>
          <w:rFonts w:ascii="Times New Roman" w:eastAsia="Times New Roman" w:hAnsi="Times New Roman" w:cs="Times New Roman"/>
          <w:sz w:val="24"/>
          <w:szCs w:val="24"/>
          <w:lang w:eastAsia="pt-BR"/>
        </w:rPr>
        <w:t xml:space="preserve">uperior tinha entre seus principais produtos de exportação </w:t>
      </w:r>
      <w:r w:rsidR="00BB61BD" w:rsidRPr="007162ED">
        <w:rPr>
          <w:rFonts w:ascii="Times New Roman" w:eastAsia="Times New Roman" w:hAnsi="Times New Roman" w:cs="Times New Roman"/>
          <w:i/>
          <w:sz w:val="24"/>
          <w:szCs w:val="24"/>
          <w:lang w:eastAsia="pt-BR"/>
        </w:rPr>
        <w:t>commodities</w:t>
      </w:r>
      <w:r w:rsidR="00BB61BD">
        <w:rPr>
          <w:rFonts w:ascii="Times New Roman" w:eastAsia="Times New Roman" w:hAnsi="Times New Roman" w:cs="Times New Roman"/>
          <w:sz w:val="24"/>
          <w:szCs w:val="24"/>
          <w:lang w:eastAsia="pt-BR"/>
        </w:rPr>
        <w:t xml:space="preserve"> entre os quais se destacavam a farinha,</w:t>
      </w:r>
      <w:r w:rsidR="00A64B21">
        <w:rPr>
          <w:rFonts w:ascii="Times New Roman" w:eastAsia="Times New Roman" w:hAnsi="Times New Roman" w:cs="Times New Roman"/>
          <w:sz w:val="24"/>
          <w:szCs w:val="24"/>
          <w:lang w:eastAsia="pt-BR"/>
        </w:rPr>
        <w:t xml:space="preserve"> o</w:t>
      </w:r>
      <w:r w:rsidR="00BB61BD">
        <w:rPr>
          <w:rFonts w:ascii="Times New Roman" w:eastAsia="Times New Roman" w:hAnsi="Times New Roman" w:cs="Times New Roman"/>
          <w:sz w:val="24"/>
          <w:szCs w:val="24"/>
          <w:lang w:eastAsia="pt-BR"/>
        </w:rPr>
        <w:t xml:space="preserve"> trigo e </w:t>
      </w:r>
      <w:r w:rsidR="00A64B21">
        <w:rPr>
          <w:rFonts w:ascii="Times New Roman" w:eastAsia="Times New Roman" w:hAnsi="Times New Roman" w:cs="Times New Roman"/>
          <w:sz w:val="24"/>
          <w:szCs w:val="24"/>
          <w:lang w:eastAsia="pt-BR"/>
        </w:rPr>
        <w:t xml:space="preserve">a </w:t>
      </w:r>
      <w:r w:rsidR="00BB61BD">
        <w:rPr>
          <w:rFonts w:ascii="Times New Roman" w:eastAsia="Times New Roman" w:hAnsi="Times New Roman" w:cs="Times New Roman"/>
          <w:sz w:val="24"/>
          <w:szCs w:val="24"/>
          <w:lang w:eastAsia="pt-BR"/>
        </w:rPr>
        <w:t>madeira</w:t>
      </w:r>
      <w:r w:rsidR="00A64B21">
        <w:rPr>
          <w:rFonts w:ascii="Times New Roman" w:eastAsia="Times New Roman" w:hAnsi="Times New Roman" w:cs="Times New Roman"/>
          <w:sz w:val="24"/>
          <w:szCs w:val="24"/>
          <w:lang w:eastAsia="pt-BR"/>
        </w:rPr>
        <w:t xml:space="preserve"> e contava com uma incipiente atividade industrial </w:t>
      </w:r>
      <w:r w:rsidR="000D5A32">
        <w:rPr>
          <w:rFonts w:ascii="Times New Roman" w:eastAsia="Times New Roman" w:hAnsi="Times New Roman" w:cs="Times New Roman"/>
          <w:sz w:val="24"/>
          <w:szCs w:val="24"/>
          <w:lang w:eastAsia="pt-BR"/>
        </w:rPr>
        <w:t>que ab</w:t>
      </w:r>
      <w:r w:rsidR="00CE5DE4">
        <w:rPr>
          <w:rFonts w:ascii="Times New Roman" w:eastAsia="Times New Roman" w:hAnsi="Times New Roman" w:cs="Times New Roman"/>
          <w:sz w:val="24"/>
          <w:szCs w:val="24"/>
          <w:lang w:eastAsia="pt-BR"/>
        </w:rPr>
        <w:t>a</w:t>
      </w:r>
      <w:r w:rsidR="000D5A32">
        <w:rPr>
          <w:rFonts w:ascii="Times New Roman" w:eastAsia="Times New Roman" w:hAnsi="Times New Roman" w:cs="Times New Roman"/>
          <w:sz w:val="24"/>
          <w:szCs w:val="24"/>
          <w:lang w:eastAsia="pt-BR"/>
        </w:rPr>
        <w:t>stecia</w:t>
      </w:r>
      <w:r w:rsidR="00CE5DE4">
        <w:rPr>
          <w:rFonts w:ascii="Times New Roman" w:eastAsia="Times New Roman" w:hAnsi="Times New Roman" w:cs="Times New Roman"/>
          <w:sz w:val="24"/>
          <w:szCs w:val="24"/>
          <w:lang w:eastAsia="pt-BR"/>
        </w:rPr>
        <w:t xml:space="preserve"> parcialmente,</w:t>
      </w:r>
      <w:r w:rsidR="00A64B21">
        <w:rPr>
          <w:rFonts w:ascii="Times New Roman" w:eastAsia="Times New Roman" w:hAnsi="Times New Roman" w:cs="Times New Roman"/>
          <w:sz w:val="24"/>
          <w:szCs w:val="24"/>
          <w:lang w:eastAsia="pt-BR"/>
        </w:rPr>
        <w:t xml:space="preserve"> </w:t>
      </w:r>
      <w:r w:rsidR="000D5A32">
        <w:rPr>
          <w:rFonts w:ascii="Times New Roman" w:eastAsia="Times New Roman" w:hAnsi="Times New Roman" w:cs="Times New Roman"/>
          <w:sz w:val="24"/>
          <w:szCs w:val="24"/>
          <w:lang w:eastAsia="pt-BR"/>
        </w:rPr>
        <w:t>com uma limitada variedade de produtos</w:t>
      </w:r>
      <w:r w:rsidR="00CE5DE4">
        <w:rPr>
          <w:rFonts w:ascii="Times New Roman" w:eastAsia="Times New Roman" w:hAnsi="Times New Roman" w:cs="Times New Roman"/>
          <w:sz w:val="24"/>
          <w:szCs w:val="24"/>
          <w:lang w:eastAsia="pt-BR"/>
        </w:rPr>
        <w:t>,</w:t>
      </w:r>
      <w:r w:rsidR="000D5A32">
        <w:rPr>
          <w:rFonts w:ascii="Times New Roman" w:eastAsia="Times New Roman" w:hAnsi="Times New Roman" w:cs="Times New Roman"/>
          <w:sz w:val="24"/>
          <w:szCs w:val="24"/>
          <w:lang w:eastAsia="pt-BR"/>
        </w:rPr>
        <w:t xml:space="preserve"> </w:t>
      </w:r>
      <w:r w:rsidR="00A64B21">
        <w:rPr>
          <w:rFonts w:ascii="Times New Roman" w:eastAsia="Times New Roman" w:hAnsi="Times New Roman" w:cs="Times New Roman"/>
          <w:sz w:val="24"/>
          <w:szCs w:val="24"/>
          <w:lang w:eastAsia="pt-BR"/>
        </w:rPr>
        <w:t xml:space="preserve">as pequenas cidades e vilarejos da região. </w:t>
      </w:r>
      <w:r w:rsidR="000D5A32">
        <w:rPr>
          <w:rFonts w:ascii="Times New Roman" w:eastAsia="Times New Roman" w:hAnsi="Times New Roman" w:cs="Times New Roman"/>
          <w:sz w:val="24"/>
          <w:szCs w:val="24"/>
          <w:lang w:eastAsia="pt-BR"/>
        </w:rPr>
        <w:t xml:space="preserve">O Canadá Inferior, que na época já tinha como sua principal cidade Montreal, </w:t>
      </w:r>
      <w:r w:rsidR="00CE5DE4">
        <w:rPr>
          <w:rFonts w:ascii="Times New Roman" w:eastAsia="Times New Roman" w:hAnsi="Times New Roman" w:cs="Times New Roman"/>
          <w:sz w:val="24"/>
          <w:szCs w:val="24"/>
          <w:lang w:eastAsia="pt-BR"/>
        </w:rPr>
        <w:t xml:space="preserve">possuía como principal atividade econômica até 1820 o comércio de peles. No entanto, quando em 1821 a </w:t>
      </w:r>
      <w:r w:rsidR="00CE5DE4" w:rsidRPr="00DA1A0D">
        <w:rPr>
          <w:rFonts w:ascii="Times New Roman" w:eastAsia="Times New Roman" w:hAnsi="Times New Roman" w:cs="Times New Roman"/>
          <w:i/>
          <w:sz w:val="24"/>
          <w:szCs w:val="24"/>
          <w:lang w:eastAsia="pt-BR"/>
        </w:rPr>
        <w:t>North West</w:t>
      </w:r>
      <w:r w:rsidR="00CE5DE4" w:rsidRPr="00DA1A0D">
        <w:rPr>
          <w:rFonts w:ascii="Times New Roman" w:eastAsia="Times New Roman" w:hAnsi="Times New Roman" w:cs="Times New Roman"/>
          <w:sz w:val="24"/>
          <w:szCs w:val="24"/>
          <w:lang w:eastAsia="pt-BR"/>
        </w:rPr>
        <w:t xml:space="preserve"> </w:t>
      </w:r>
      <w:r w:rsidR="00CE5DE4" w:rsidRPr="00DA1A0D">
        <w:rPr>
          <w:rFonts w:ascii="Times New Roman" w:eastAsia="Times New Roman" w:hAnsi="Times New Roman" w:cs="Times New Roman"/>
          <w:i/>
          <w:sz w:val="24"/>
          <w:szCs w:val="24"/>
          <w:lang w:eastAsia="pt-BR"/>
        </w:rPr>
        <w:t>Company of Montreal</w:t>
      </w:r>
      <w:r w:rsidR="00CE5DE4" w:rsidRPr="00DA1A0D">
        <w:rPr>
          <w:rStyle w:val="Refdenotaderodap"/>
          <w:rFonts w:ascii="Times New Roman" w:eastAsia="Times New Roman" w:hAnsi="Times New Roman" w:cs="Times New Roman"/>
          <w:sz w:val="24"/>
          <w:szCs w:val="24"/>
          <w:lang w:eastAsia="pt-BR"/>
        </w:rPr>
        <w:footnoteReference w:id="4"/>
      </w:r>
      <w:r w:rsidR="00DA1A0D">
        <w:rPr>
          <w:rFonts w:ascii="Times New Roman" w:eastAsia="Times New Roman" w:hAnsi="Times New Roman" w:cs="Times New Roman"/>
          <w:sz w:val="24"/>
          <w:szCs w:val="24"/>
          <w:lang w:eastAsia="pt-BR"/>
        </w:rPr>
        <w:t xml:space="preserve"> foi adquirida pela </w:t>
      </w:r>
      <w:r w:rsidR="00DA1A0D" w:rsidRPr="00DA1A0D">
        <w:rPr>
          <w:rFonts w:ascii="Times New Roman" w:eastAsia="Times New Roman" w:hAnsi="Times New Roman" w:cs="Times New Roman"/>
          <w:i/>
          <w:sz w:val="24"/>
          <w:szCs w:val="24"/>
          <w:lang w:eastAsia="pt-BR"/>
        </w:rPr>
        <w:t>Hudson’s Bay Company</w:t>
      </w:r>
      <w:r w:rsidR="00DA1A0D">
        <w:rPr>
          <w:rFonts w:ascii="Times New Roman" w:eastAsia="Times New Roman" w:hAnsi="Times New Roman" w:cs="Times New Roman"/>
          <w:i/>
          <w:sz w:val="24"/>
          <w:szCs w:val="24"/>
          <w:lang w:eastAsia="pt-BR"/>
        </w:rPr>
        <w:t xml:space="preserve">, </w:t>
      </w:r>
      <w:r w:rsidR="001B5DAE">
        <w:rPr>
          <w:rFonts w:ascii="Times New Roman" w:eastAsia="Times New Roman" w:hAnsi="Times New Roman" w:cs="Times New Roman"/>
          <w:sz w:val="24"/>
          <w:szCs w:val="24"/>
          <w:lang w:eastAsia="pt-BR"/>
        </w:rPr>
        <w:t xml:space="preserve">poucos anos passaram até </w:t>
      </w:r>
      <w:r w:rsidR="00DA1A0D">
        <w:rPr>
          <w:rFonts w:ascii="Times New Roman" w:eastAsia="Times New Roman" w:hAnsi="Times New Roman" w:cs="Times New Roman"/>
          <w:sz w:val="24"/>
          <w:szCs w:val="24"/>
          <w:lang w:eastAsia="pt-BR"/>
        </w:rPr>
        <w:t xml:space="preserve">que essa atividade deixasse de existir nessa região e ficasse concentrada na Baía de Hudson e na </w:t>
      </w:r>
      <w:r w:rsidR="009954ED">
        <w:rPr>
          <w:rFonts w:ascii="Times New Roman" w:eastAsia="Times New Roman" w:hAnsi="Times New Roman" w:cs="Times New Roman"/>
          <w:sz w:val="24"/>
          <w:szCs w:val="24"/>
          <w:lang w:eastAsia="pt-BR"/>
        </w:rPr>
        <w:t>C</w:t>
      </w:r>
      <w:r w:rsidR="00DA1A0D">
        <w:rPr>
          <w:rFonts w:ascii="Times New Roman" w:eastAsia="Times New Roman" w:hAnsi="Times New Roman" w:cs="Times New Roman"/>
          <w:sz w:val="24"/>
          <w:szCs w:val="24"/>
          <w:lang w:eastAsia="pt-BR"/>
        </w:rPr>
        <w:t>osta do Pacífico.</w:t>
      </w:r>
      <w:r w:rsidR="001B5DAE">
        <w:rPr>
          <w:rFonts w:ascii="Times New Roman" w:eastAsia="Times New Roman" w:hAnsi="Times New Roman" w:cs="Times New Roman"/>
          <w:sz w:val="24"/>
          <w:szCs w:val="24"/>
          <w:lang w:eastAsia="pt-BR"/>
        </w:rPr>
        <w:t xml:space="preserve"> As casas comerciais que sobreviveram diante dessa nova realidade tiveram que reorientar seus capitais para outras atividades, notadamente investiram em entrepostos para o comércio entre a Inglaterra</w:t>
      </w:r>
      <w:r w:rsidR="00394C2E">
        <w:rPr>
          <w:rFonts w:ascii="Times New Roman" w:eastAsia="Times New Roman" w:hAnsi="Times New Roman" w:cs="Times New Roman"/>
          <w:sz w:val="24"/>
          <w:szCs w:val="24"/>
          <w:lang w:eastAsia="pt-BR"/>
        </w:rPr>
        <w:t xml:space="preserve"> e os assentamentos nas Colônias Britânicas</w:t>
      </w:r>
      <w:r w:rsidR="005D6FF1">
        <w:rPr>
          <w:rFonts w:ascii="Times New Roman" w:eastAsia="Times New Roman" w:hAnsi="Times New Roman" w:cs="Times New Roman"/>
          <w:sz w:val="24"/>
          <w:szCs w:val="24"/>
          <w:lang w:eastAsia="pt-BR"/>
        </w:rPr>
        <w:t xml:space="preserve"> (AITKEN, 1979,</w:t>
      </w:r>
      <w:r w:rsidR="003944D8">
        <w:rPr>
          <w:rFonts w:ascii="Times New Roman" w:eastAsia="Times New Roman" w:hAnsi="Times New Roman" w:cs="Times New Roman"/>
          <w:sz w:val="24"/>
          <w:szCs w:val="24"/>
          <w:lang w:eastAsia="pt-BR"/>
        </w:rPr>
        <w:t xml:space="preserve"> </w:t>
      </w:r>
      <w:r w:rsidR="005D6FF1">
        <w:rPr>
          <w:rFonts w:ascii="Times New Roman" w:eastAsia="Times New Roman" w:hAnsi="Times New Roman" w:cs="Times New Roman"/>
          <w:sz w:val="24"/>
          <w:szCs w:val="24"/>
          <w:lang w:eastAsia="pt-BR"/>
        </w:rPr>
        <w:t>p.</w:t>
      </w:r>
      <w:r w:rsidR="003944D8">
        <w:rPr>
          <w:rFonts w:ascii="Times New Roman" w:eastAsia="Times New Roman" w:hAnsi="Times New Roman" w:cs="Times New Roman"/>
          <w:sz w:val="24"/>
          <w:szCs w:val="24"/>
          <w:lang w:eastAsia="pt-BR"/>
        </w:rPr>
        <w:t>195)</w:t>
      </w:r>
      <w:r w:rsidR="00394C2E">
        <w:rPr>
          <w:rFonts w:ascii="Times New Roman" w:eastAsia="Times New Roman" w:hAnsi="Times New Roman" w:cs="Times New Roman"/>
          <w:sz w:val="24"/>
          <w:szCs w:val="24"/>
          <w:lang w:eastAsia="pt-BR"/>
        </w:rPr>
        <w:t>.</w:t>
      </w:r>
      <w:r w:rsidR="00EC291D">
        <w:rPr>
          <w:rFonts w:ascii="Times New Roman" w:eastAsia="Times New Roman" w:hAnsi="Times New Roman" w:cs="Times New Roman"/>
          <w:sz w:val="24"/>
          <w:szCs w:val="24"/>
          <w:lang w:eastAsia="pt-BR"/>
        </w:rPr>
        <w:t xml:space="preserve"> Já nas pradarias do oeste e na costa do Pacífico, até a descoberta de ouro </w:t>
      </w:r>
      <w:r w:rsidR="00FF64C3">
        <w:rPr>
          <w:rFonts w:ascii="Times New Roman" w:eastAsia="Times New Roman" w:hAnsi="Times New Roman" w:cs="Times New Roman"/>
          <w:sz w:val="24"/>
          <w:szCs w:val="24"/>
          <w:lang w:eastAsia="pt-BR"/>
        </w:rPr>
        <w:t>no território da</w:t>
      </w:r>
      <w:r w:rsidR="00EC291D">
        <w:rPr>
          <w:rFonts w:ascii="Times New Roman" w:eastAsia="Times New Roman" w:hAnsi="Times New Roman" w:cs="Times New Roman"/>
          <w:sz w:val="24"/>
          <w:szCs w:val="24"/>
          <w:lang w:eastAsia="pt-BR"/>
        </w:rPr>
        <w:t xml:space="preserve"> Colúmbia Britânica</w:t>
      </w:r>
      <w:r w:rsidR="00B53EBA">
        <w:rPr>
          <w:rFonts w:ascii="Times New Roman" w:eastAsia="Times New Roman" w:hAnsi="Times New Roman" w:cs="Times New Roman"/>
          <w:sz w:val="24"/>
          <w:szCs w:val="24"/>
          <w:lang w:eastAsia="pt-BR"/>
        </w:rPr>
        <w:t xml:space="preserve"> em 1858</w:t>
      </w:r>
      <w:r w:rsidR="00EC291D">
        <w:rPr>
          <w:rFonts w:ascii="Times New Roman" w:eastAsia="Times New Roman" w:hAnsi="Times New Roman" w:cs="Times New Roman"/>
          <w:sz w:val="24"/>
          <w:szCs w:val="24"/>
          <w:lang w:eastAsia="pt-BR"/>
        </w:rPr>
        <w:t xml:space="preserve">, a atividade econômica dominante era o comércio de peles controlado exclusivamente pela </w:t>
      </w:r>
      <w:r w:rsidR="00EC291D" w:rsidRPr="00EC291D">
        <w:rPr>
          <w:rFonts w:ascii="Times New Roman" w:eastAsia="Times New Roman" w:hAnsi="Times New Roman" w:cs="Times New Roman"/>
          <w:i/>
          <w:sz w:val="24"/>
          <w:szCs w:val="24"/>
          <w:lang w:eastAsia="pt-BR"/>
        </w:rPr>
        <w:t>Hudson’s Bay Company</w:t>
      </w:r>
      <w:r w:rsidR="00D16747">
        <w:rPr>
          <w:rFonts w:ascii="Times New Roman" w:eastAsia="Times New Roman" w:hAnsi="Times New Roman" w:cs="Times New Roman"/>
          <w:sz w:val="24"/>
          <w:szCs w:val="24"/>
          <w:lang w:eastAsia="pt-BR"/>
        </w:rPr>
        <w:t xml:space="preserve"> </w:t>
      </w:r>
      <w:r w:rsidR="002A5E8D">
        <w:rPr>
          <w:rFonts w:ascii="Times New Roman" w:eastAsia="Times New Roman" w:hAnsi="Times New Roman" w:cs="Times New Roman"/>
          <w:sz w:val="24"/>
          <w:szCs w:val="24"/>
          <w:lang w:eastAsia="pt-BR"/>
        </w:rPr>
        <w:t>(</w:t>
      </w:r>
      <w:r w:rsidR="00FF64C3">
        <w:rPr>
          <w:rFonts w:ascii="Times New Roman" w:eastAsia="Times New Roman" w:hAnsi="Times New Roman" w:cs="Times New Roman"/>
          <w:sz w:val="24"/>
          <w:szCs w:val="24"/>
          <w:lang w:eastAsia="pt-BR"/>
        </w:rPr>
        <w:t>desde</w:t>
      </w:r>
      <w:r w:rsidR="00D16747">
        <w:rPr>
          <w:rFonts w:ascii="Times New Roman" w:eastAsia="Times New Roman" w:hAnsi="Times New Roman" w:cs="Times New Roman"/>
          <w:sz w:val="24"/>
          <w:szCs w:val="24"/>
          <w:lang w:eastAsia="pt-BR"/>
        </w:rPr>
        <w:t xml:space="preserve"> 1670</w:t>
      </w:r>
      <w:r w:rsidR="002A5E8D">
        <w:rPr>
          <w:rFonts w:ascii="Times New Roman" w:eastAsia="Times New Roman" w:hAnsi="Times New Roman" w:cs="Times New Roman"/>
          <w:sz w:val="24"/>
          <w:szCs w:val="24"/>
          <w:lang w:eastAsia="pt-BR"/>
        </w:rPr>
        <w:t>)</w:t>
      </w:r>
      <w:r w:rsidR="00D139DE">
        <w:rPr>
          <w:rFonts w:ascii="Times New Roman" w:eastAsia="Times New Roman" w:hAnsi="Times New Roman" w:cs="Times New Roman"/>
          <w:sz w:val="24"/>
          <w:szCs w:val="24"/>
          <w:lang w:eastAsia="pt-BR"/>
        </w:rPr>
        <w:t xml:space="preserve"> (AITKEN, 1979,</w:t>
      </w:r>
      <w:r w:rsidR="005D6FF1">
        <w:rPr>
          <w:rFonts w:ascii="Times New Roman" w:eastAsia="Times New Roman" w:hAnsi="Times New Roman" w:cs="Times New Roman"/>
          <w:sz w:val="24"/>
          <w:szCs w:val="24"/>
          <w:lang w:eastAsia="pt-BR"/>
        </w:rPr>
        <w:t xml:space="preserve"> p. 200).</w:t>
      </w:r>
    </w:p>
    <w:p w:rsidR="00047CB9" w:rsidRPr="00047CB9" w:rsidRDefault="002A5E8D"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Em</w:t>
      </w:r>
      <w:r w:rsidR="00883A0E">
        <w:rPr>
          <w:rFonts w:ascii="Times New Roman" w:eastAsia="Times New Roman" w:hAnsi="Times New Roman" w:cs="Times New Roman"/>
          <w:sz w:val="24"/>
          <w:szCs w:val="24"/>
          <w:lang w:eastAsia="pt-BR"/>
        </w:rPr>
        <w:t xml:space="preserve"> meados</w:t>
      </w:r>
      <w:r w:rsidR="00047CB9" w:rsidRPr="00047CB9">
        <w:rPr>
          <w:rFonts w:ascii="Times New Roman" w:eastAsia="Times New Roman" w:hAnsi="Times New Roman" w:cs="Times New Roman"/>
          <w:sz w:val="24"/>
          <w:szCs w:val="24"/>
          <w:lang w:eastAsia="pt-BR"/>
        </w:rPr>
        <w:t xml:space="preserve"> do século XIX, o principal problema econômico enfrentado pelo Canadá era a perda de participação nos mercados Britânicos, uma vez que a opção inglesa </w:t>
      </w:r>
      <w:r w:rsidR="007162ED">
        <w:rPr>
          <w:rFonts w:ascii="Times New Roman" w:eastAsia="Times New Roman" w:hAnsi="Times New Roman" w:cs="Times New Roman"/>
          <w:sz w:val="24"/>
          <w:szCs w:val="24"/>
          <w:lang w:eastAsia="pt-BR"/>
        </w:rPr>
        <w:t>estava focada n</w:t>
      </w:r>
      <w:r w:rsidR="00047CB9" w:rsidRPr="00047CB9">
        <w:rPr>
          <w:rFonts w:ascii="Times New Roman" w:eastAsia="Times New Roman" w:hAnsi="Times New Roman" w:cs="Times New Roman"/>
          <w:sz w:val="24"/>
          <w:szCs w:val="24"/>
          <w:lang w:eastAsia="pt-BR"/>
        </w:rPr>
        <w:t>a de abertura de mercados e da descontinuidade dos acordos comerciais preferenciais com os territórios coloniais. Diante desse cenário mais competitivo tornava-se necessário encontrar novos mercados e o caminho natural seria</w:t>
      </w:r>
      <w:r w:rsidR="00611A7D">
        <w:rPr>
          <w:rFonts w:ascii="Times New Roman" w:eastAsia="Times New Roman" w:hAnsi="Times New Roman" w:cs="Times New Roman"/>
          <w:sz w:val="24"/>
          <w:szCs w:val="24"/>
          <w:lang w:eastAsia="pt-BR"/>
        </w:rPr>
        <w:t>m</w:t>
      </w:r>
      <w:r w:rsidR="00047CB9" w:rsidRPr="00047CB9">
        <w:rPr>
          <w:rFonts w:ascii="Times New Roman" w:eastAsia="Times New Roman" w:hAnsi="Times New Roman" w:cs="Times New Roman"/>
          <w:sz w:val="24"/>
          <w:szCs w:val="24"/>
          <w:lang w:eastAsia="pt-BR"/>
        </w:rPr>
        <w:t xml:space="preserve"> os acordos comerciais com os Estados Unidos.</w:t>
      </w:r>
    </w:p>
    <w:p w:rsidR="00047CB9" w:rsidRPr="00047CB9" w:rsidRDefault="00883A0E"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Assim, uma das principais discussões</w:t>
      </w:r>
      <w:r w:rsidR="00047CB9" w:rsidRPr="00047CB9">
        <w:rPr>
          <w:rFonts w:ascii="Times New Roman" w:eastAsia="Times New Roman" w:hAnsi="Times New Roman" w:cs="Times New Roman"/>
          <w:sz w:val="24"/>
          <w:szCs w:val="24"/>
          <w:lang w:eastAsia="pt-BR"/>
        </w:rPr>
        <w:t xml:space="preserve"> em relação ao desenvolvimento canadense centrava-se no futuro das relações de livre comércio com os Estados Unidos e até mesmo de uma possível anexação do Canadá por aquele país.</w:t>
      </w:r>
      <w:r w:rsidR="00D26FC3">
        <w:rPr>
          <w:rFonts w:ascii="Times New Roman" w:eastAsia="Times New Roman" w:hAnsi="Times New Roman" w:cs="Times New Roman"/>
          <w:sz w:val="24"/>
          <w:szCs w:val="24"/>
          <w:lang w:eastAsia="pt-BR"/>
        </w:rPr>
        <w:t xml:space="preserve"> </w:t>
      </w:r>
      <w:r w:rsidR="00047CB9" w:rsidRPr="00047CB9">
        <w:rPr>
          <w:rFonts w:ascii="Times New Roman" w:eastAsia="Times New Roman" w:hAnsi="Times New Roman" w:cs="Times New Roman"/>
          <w:sz w:val="24"/>
          <w:szCs w:val="24"/>
          <w:lang w:eastAsia="pt-BR"/>
        </w:rPr>
        <w:t>O Tratado de Reciprocidade</w:t>
      </w:r>
      <w:r w:rsidR="00047CB9" w:rsidRPr="00047CB9">
        <w:rPr>
          <w:rFonts w:ascii="Times New Roman" w:eastAsia="Times New Roman" w:hAnsi="Times New Roman" w:cs="Times New Roman"/>
          <w:sz w:val="24"/>
          <w:szCs w:val="24"/>
          <w:vertAlign w:val="superscript"/>
          <w:lang w:eastAsia="pt-BR"/>
        </w:rPr>
        <w:footnoteReference w:id="5"/>
      </w:r>
      <w:r w:rsidR="00047CB9" w:rsidRPr="00047CB9">
        <w:rPr>
          <w:rFonts w:ascii="Times New Roman" w:eastAsia="Times New Roman" w:hAnsi="Times New Roman" w:cs="Times New Roman"/>
          <w:sz w:val="24"/>
          <w:szCs w:val="24"/>
          <w:lang w:eastAsia="pt-BR"/>
        </w:rPr>
        <w:t xml:space="preserve"> (1854) e o início da Guerra Civil americana em 1861 geraram imensas oportunidades comerciais para o Canadá com o vizinho do sul, compensando as perdas geradas nas relações comerciais com a Europa. No cenário da época, esse Tratado era visto pelo Canadá como uma das únicas alternativas viáveis </w:t>
      </w:r>
      <w:r w:rsidR="00B53EBA">
        <w:rPr>
          <w:rFonts w:ascii="Times New Roman" w:eastAsia="Times New Roman" w:hAnsi="Times New Roman" w:cs="Times New Roman"/>
          <w:sz w:val="24"/>
          <w:szCs w:val="24"/>
          <w:lang w:eastAsia="pt-BR"/>
        </w:rPr>
        <w:t>à</w:t>
      </w:r>
      <w:r w:rsidR="00047CB9" w:rsidRPr="00047CB9">
        <w:rPr>
          <w:rFonts w:ascii="Times New Roman" w:eastAsia="Times New Roman" w:hAnsi="Times New Roman" w:cs="Times New Roman"/>
          <w:sz w:val="24"/>
          <w:szCs w:val="24"/>
          <w:lang w:eastAsia="pt-BR"/>
        </w:rPr>
        <w:t xml:space="preserve"> anexação aos Estados Unidos</w:t>
      </w:r>
      <w:r w:rsidR="003A02CB">
        <w:rPr>
          <w:rFonts w:ascii="Times New Roman" w:eastAsia="Times New Roman" w:hAnsi="Times New Roman" w:cs="Times New Roman"/>
          <w:sz w:val="24"/>
          <w:szCs w:val="24"/>
          <w:lang w:eastAsia="pt-BR"/>
        </w:rPr>
        <w:t>.</w:t>
      </w:r>
      <w:r w:rsidR="002D0244">
        <w:rPr>
          <w:rFonts w:ascii="Times New Roman" w:eastAsia="Times New Roman" w:hAnsi="Times New Roman" w:cs="Times New Roman"/>
          <w:sz w:val="24"/>
          <w:szCs w:val="24"/>
          <w:lang w:eastAsia="pt-BR"/>
        </w:rPr>
        <w:t xml:space="preserve"> </w:t>
      </w:r>
      <w:r w:rsidR="003A02CB">
        <w:rPr>
          <w:rFonts w:ascii="Times New Roman" w:eastAsia="Times New Roman" w:hAnsi="Times New Roman" w:cs="Times New Roman"/>
          <w:sz w:val="24"/>
          <w:szCs w:val="24"/>
          <w:lang w:eastAsia="pt-BR"/>
        </w:rPr>
        <w:t>M</w:t>
      </w:r>
      <w:r w:rsidR="00047CB9" w:rsidRPr="00047CB9">
        <w:rPr>
          <w:rFonts w:ascii="Times New Roman" w:eastAsia="Times New Roman" w:hAnsi="Times New Roman" w:cs="Times New Roman"/>
          <w:sz w:val="24"/>
          <w:szCs w:val="24"/>
          <w:lang w:eastAsia="pt-BR"/>
        </w:rPr>
        <w:t xml:space="preserve">as essa solução claramente gerava outro problema, ou seja, a grande dependência econômica em relação </w:t>
      </w:r>
      <w:r w:rsidR="00416212">
        <w:rPr>
          <w:rFonts w:ascii="Times New Roman" w:eastAsia="Times New Roman" w:hAnsi="Times New Roman" w:cs="Times New Roman"/>
          <w:sz w:val="24"/>
          <w:szCs w:val="24"/>
          <w:lang w:eastAsia="pt-BR"/>
        </w:rPr>
        <w:t>ao pa</w:t>
      </w:r>
      <w:r w:rsidR="00B53EBA">
        <w:rPr>
          <w:rFonts w:ascii="Times New Roman" w:eastAsia="Times New Roman" w:hAnsi="Times New Roman" w:cs="Times New Roman"/>
          <w:sz w:val="24"/>
          <w:szCs w:val="24"/>
          <w:lang w:eastAsia="pt-BR"/>
        </w:rPr>
        <w:t>í</w:t>
      </w:r>
      <w:r w:rsidR="00416212">
        <w:rPr>
          <w:rFonts w:ascii="Times New Roman" w:eastAsia="Times New Roman" w:hAnsi="Times New Roman" w:cs="Times New Roman"/>
          <w:sz w:val="24"/>
          <w:szCs w:val="24"/>
          <w:lang w:eastAsia="pt-BR"/>
        </w:rPr>
        <w:t>s vizinho</w:t>
      </w:r>
      <w:r w:rsidR="00611A7D">
        <w:rPr>
          <w:rFonts w:ascii="Times New Roman" w:eastAsia="Times New Roman" w:hAnsi="Times New Roman" w:cs="Times New Roman"/>
          <w:sz w:val="24"/>
          <w:szCs w:val="24"/>
          <w:lang w:eastAsia="pt-BR"/>
        </w:rPr>
        <w:t>.</w:t>
      </w:r>
      <w:r w:rsidR="002D0244">
        <w:rPr>
          <w:rFonts w:ascii="Times New Roman" w:eastAsia="Times New Roman" w:hAnsi="Times New Roman" w:cs="Times New Roman"/>
          <w:sz w:val="24"/>
          <w:szCs w:val="24"/>
          <w:lang w:eastAsia="pt-BR"/>
        </w:rPr>
        <w:t xml:space="preserve"> </w:t>
      </w:r>
      <w:r w:rsidR="00611A7D">
        <w:rPr>
          <w:rFonts w:ascii="Times New Roman" w:eastAsia="Times New Roman" w:hAnsi="Times New Roman" w:cs="Times New Roman"/>
          <w:sz w:val="24"/>
          <w:szCs w:val="24"/>
          <w:lang w:eastAsia="pt-BR"/>
        </w:rPr>
        <w:t>E</w:t>
      </w:r>
      <w:r w:rsidR="005702F7">
        <w:rPr>
          <w:rFonts w:ascii="Times New Roman" w:eastAsia="Times New Roman" w:hAnsi="Times New Roman" w:cs="Times New Roman"/>
          <w:sz w:val="24"/>
          <w:szCs w:val="24"/>
          <w:lang w:eastAsia="pt-BR"/>
        </w:rPr>
        <w:t xml:space="preserve"> </w:t>
      </w:r>
      <w:r w:rsidR="005114C3">
        <w:rPr>
          <w:rFonts w:ascii="Times New Roman" w:eastAsia="Times New Roman" w:hAnsi="Times New Roman" w:cs="Times New Roman"/>
          <w:sz w:val="24"/>
          <w:szCs w:val="24"/>
          <w:lang w:eastAsia="pt-BR"/>
        </w:rPr>
        <w:t>i</w:t>
      </w:r>
      <w:r w:rsidR="00047CB9" w:rsidRPr="00047CB9">
        <w:rPr>
          <w:rFonts w:ascii="Times New Roman" w:eastAsia="Times New Roman" w:hAnsi="Times New Roman" w:cs="Times New Roman"/>
          <w:sz w:val="24"/>
          <w:szCs w:val="24"/>
          <w:lang w:eastAsia="pt-BR"/>
        </w:rPr>
        <w:t xml:space="preserve">sto ficou claro quando o Tratado foi unilateralmente revogado pelos </w:t>
      </w:r>
      <w:r w:rsidR="00416212">
        <w:rPr>
          <w:rFonts w:ascii="Times New Roman" w:eastAsia="Times New Roman" w:hAnsi="Times New Roman" w:cs="Times New Roman"/>
          <w:sz w:val="24"/>
          <w:szCs w:val="24"/>
          <w:lang w:eastAsia="pt-BR"/>
        </w:rPr>
        <w:t>estadunidenses</w:t>
      </w:r>
      <w:r w:rsidR="00047CB9" w:rsidRPr="00047CB9">
        <w:rPr>
          <w:rFonts w:ascii="Times New Roman" w:eastAsia="Times New Roman" w:hAnsi="Times New Roman" w:cs="Times New Roman"/>
          <w:sz w:val="24"/>
          <w:szCs w:val="24"/>
          <w:lang w:eastAsia="pt-BR"/>
        </w:rPr>
        <w:t xml:space="preserve"> em 1866</w:t>
      </w:r>
      <w:r w:rsidR="005114C3">
        <w:rPr>
          <w:rFonts w:ascii="Times New Roman" w:eastAsia="Times New Roman" w:hAnsi="Times New Roman" w:cs="Times New Roman"/>
          <w:sz w:val="24"/>
          <w:szCs w:val="24"/>
          <w:lang w:eastAsia="pt-BR"/>
        </w:rPr>
        <w:t xml:space="preserve"> (Firestone, 1958).</w:t>
      </w:r>
      <w:r w:rsidR="00B53EBA">
        <w:rPr>
          <w:rFonts w:ascii="Times New Roman" w:eastAsia="Times New Roman" w:hAnsi="Times New Roman" w:cs="Times New Roman"/>
          <w:sz w:val="24"/>
          <w:szCs w:val="24"/>
          <w:lang w:eastAsia="pt-BR"/>
        </w:rPr>
        <w:t xml:space="preserve"> </w:t>
      </w:r>
      <w:r w:rsidR="00047CB9" w:rsidRPr="00047CB9">
        <w:rPr>
          <w:rFonts w:ascii="Times New Roman" w:eastAsia="Times New Roman" w:hAnsi="Times New Roman" w:cs="Times New Roman"/>
          <w:sz w:val="24"/>
          <w:szCs w:val="24"/>
          <w:lang w:eastAsia="pt-BR"/>
        </w:rPr>
        <w:t xml:space="preserve">A partir da revogação deste tratado, os canadenses passariam historicamente a fazer oposição </w:t>
      </w:r>
      <w:r w:rsidR="00611A7D">
        <w:rPr>
          <w:rFonts w:ascii="Times New Roman" w:eastAsia="Times New Roman" w:hAnsi="Times New Roman" w:cs="Times New Roman"/>
          <w:sz w:val="24"/>
          <w:szCs w:val="24"/>
          <w:lang w:eastAsia="pt-BR"/>
        </w:rPr>
        <w:t>à</w:t>
      </w:r>
      <w:r w:rsidR="00047CB9" w:rsidRPr="00047CB9">
        <w:rPr>
          <w:rFonts w:ascii="Times New Roman" w:eastAsia="Times New Roman" w:hAnsi="Times New Roman" w:cs="Times New Roman"/>
          <w:sz w:val="24"/>
          <w:szCs w:val="24"/>
          <w:lang w:eastAsia="pt-BR"/>
        </w:rPr>
        <w:t xml:space="preserve"> total liberdade comercial com os Estados Unidos e a defender um modelo de desenvolvimento econômico mais protecionista </w:t>
      </w:r>
      <w:r w:rsidR="00B53EBA">
        <w:rPr>
          <w:rFonts w:ascii="Times New Roman" w:eastAsia="Times New Roman" w:hAnsi="Times New Roman" w:cs="Times New Roman"/>
          <w:sz w:val="24"/>
          <w:szCs w:val="24"/>
          <w:lang w:eastAsia="pt-BR"/>
        </w:rPr>
        <w:t>do que</w:t>
      </w:r>
      <w:r w:rsidR="00047CB9" w:rsidRPr="00047CB9">
        <w:rPr>
          <w:rFonts w:ascii="Times New Roman" w:eastAsia="Times New Roman" w:hAnsi="Times New Roman" w:cs="Times New Roman"/>
          <w:sz w:val="24"/>
          <w:szCs w:val="24"/>
          <w:lang w:eastAsia="pt-BR"/>
        </w:rPr>
        <w:t xml:space="preserve"> o </w:t>
      </w:r>
      <w:r w:rsidR="00276AE9">
        <w:rPr>
          <w:rFonts w:ascii="Times New Roman" w:eastAsia="Times New Roman" w:hAnsi="Times New Roman" w:cs="Times New Roman"/>
          <w:sz w:val="24"/>
          <w:szCs w:val="24"/>
          <w:lang w:eastAsia="pt-BR"/>
        </w:rPr>
        <w:t>do país do sul</w:t>
      </w:r>
      <w:r w:rsidR="00047CB9" w:rsidRPr="00047CB9">
        <w:rPr>
          <w:rFonts w:ascii="Times New Roman" w:eastAsia="Times New Roman" w:hAnsi="Times New Roman" w:cs="Times New Roman"/>
          <w:sz w:val="24"/>
          <w:szCs w:val="24"/>
          <w:lang w:eastAsia="pt-BR"/>
        </w:rPr>
        <w:t xml:space="preserve">. </w:t>
      </w:r>
    </w:p>
    <w:p w:rsidR="00B53EBA" w:rsidRDefault="00047CB9" w:rsidP="0048231B">
      <w:pPr>
        <w:spacing w:after="0" w:line="240" w:lineRule="auto"/>
        <w:ind w:firstLine="709"/>
        <w:jc w:val="both"/>
        <w:rPr>
          <w:rFonts w:ascii="Times New Roman" w:eastAsia="Times New Roman" w:hAnsi="Times New Roman" w:cs="Times New Roman"/>
          <w:sz w:val="24"/>
          <w:szCs w:val="24"/>
          <w:lang w:eastAsia="pt-BR"/>
        </w:rPr>
      </w:pPr>
      <w:r w:rsidRPr="00047CB9">
        <w:rPr>
          <w:rFonts w:ascii="Times New Roman" w:eastAsia="Times New Roman" w:hAnsi="Times New Roman" w:cs="Times New Roman"/>
          <w:sz w:val="24"/>
          <w:szCs w:val="24"/>
          <w:lang w:eastAsia="pt-BR"/>
        </w:rPr>
        <w:t>Os Estados Unidos sairiam da Guerra Civil como uma das nações mais poderosas do mundo</w:t>
      </w:r>
      <w:r w:rsidR="00037E98">
        <w:rPr>
          <w:rFonts w:ascii="Times New Roman" w:eastAsia="Times New Roman" w:hAnsi="Times New Roman" w:cs="Times New Roman"/>
          <w:sz w:val="24"/>
          <w:szCs w:val="24"/>
          <w:lang w:eastAsia="pt-BR"/>
        </w:rPr>
        <w:t>,</w:t>
      </w:r>
      <w:r w:rsidRPr="00047CB9">
        <w:rPr>
          <w:rFonts w:ascii="Times New Roman" w:eastAsia="Times New Roman" w:hAnsi="Times New Roman" w:cs="Times New Roman"/>
          <w:sz w:val="24"/>
          <w:szCs w:val="24"/>
          <w:lang w:eastAsia="pt-BR"/>
        </w:rPr>
        <w:t xml:space="preserve"> e entre seus planos estava </w:t>
      </w:r>
      <w:r w:rsidR="005702F7">
        <w:rPr>
          <w:rFonts w:ascii="Times New Roman" w:eastAsia="Times New Roman" w:hAnsi="Times New Roman" w:cs="Times New Roman"/>
          <w:sz w:val="24"/>
          <w:szCs w:val="24"/>
          <w:lang w:eastAsia="pt-BR"/>
        </w:rPr>
        <w:t>à</w:t>
      </w:r>
      <w:r w:rsidRPr="00047CB9">
        <w:rPr>
          <w:rFonts w:ascii="Times New Roman" w:eastAsia="Times New Roman" w:hAnsi="Times New Roman" w:cs="Times New Roman"/>
          <w:sz w:val="24"/>
          <w:szCs w:val="24"/>
          <w:lang w:eastAsia="pt-BR"/>
        </w:rPr>
        <w:t xml:space="preserve"> expansão territorial consagrada na Doutrina do Destino Manifesto</w:t>
      </w:r>
      <w:r w:rsidRPr="00047CB9">
        <w:rPr>
          <w:rFonts w:ascii="Times New Roman" w:eastAsia="Times New Roman" w:hAnsi="Times New Roman" w:cs="Times New Roman"/>
          <w:sz w:val="24"/>
          <w:szCs w:val="24"/>
          <w:vertAlign w:val="superscript"/>
          <w:lang w:eastAsia="pt-BR"/>
        </w:rPr>
        <w:footnoteReference w:id="6"/>
      </w:r>
      <w:r w:rsidRPr="00047CB9">
        <w:rPr>
          <w:rFonts w:ascii="Times New Roman" w:eastAsia="Times New Roman" w:hAnsi="Times New Roman" w:cs="Times New Roman"/>
          <w:sz w:val="24"/>
          <w:szCs w:val="24"/>
          <w:lang w:eastAsia="pt-BR"/>
        </w:rPr>
        <w:t>.  A Confederação surg</w:t>
      </w:r>
      <w:r w:rsidR="00037E98">
        <w:rPr>
          <w:rFonts w:ascii="Times New Roman" w:eastAsia="Times New Roman" w:hAnsi="Times New Roman" w:cs="Times New Roman"/>
          <w:sz w:val="24"/>
          <w:szCs w:val="24"/>
          <w:lang w:eastAsia="pt-BR"/>
        </w:rPr>
        <w:t>iu</w:t>
      </w:r>
      <w:r w:rsidRPr="00047CB9">
        <w:rPr>
          <w:rFonts w:ascii="Times New Roman" w:eastAsia="Times New Roman" w:hAnsi="Times New Roman" w:cs="Times New Roman"/>
          <w:sz w:val="24"/>
          <w:szCs w:val="24"/>
          <w:lang w:eastAsia="pt-BR"/>
        </w:rPr>
        <w:t xml:space="preserve"> como uma resposta </w:t>
      </w:r>
      <w:r w:rsidR="00611A7D">
        <w:rPr>
          <w:rFonts w:ascii="Times New Roman" w:eastAsia="Times New Roman" w:hAnsi="Times New Roman" w:cs="Times New Roman"/>
          <w:sz w:val="24"/>
          <w:szCs w:val="24"/>
          <w:lang w:eastAsia="pt-BR"/>
        </w:rPr>
        <w:t>à</w:t>
      </w:r>
      <w:r w:rsidRPr="00047CB9">
        <w:rPr>
          <w:rFonts w:ascii="Times New Roman" w:eastAsia="Times New Roman" w:hAnsi="Times New Roman" w:cs="Times New Roman"/>
          <w:sz w:val="24"/>
          <w:szCs w:val="24"/>
          <w:lang w:eastAsia="pt-BR"/>
        </w:rPr>
        <w:t xml:space="preserve"> possível anexação do território canadense</w:t>
      </w:r>
      <w:r w:rsidR="00037E98">
        <w:rPr>
          <w:rFonts w:ascii="Times New Roman" w:eastAsia="Times New Roman" w:hAnsi="Times New Roman" w:cs="Times New Roman"/>
          <w:sz w:val="24"/>
          <w:szCs w:val="24"/>
          <w:lang w:eastAsia="pt-BR"/>
        </w:rPr>
        <w:t xml:space="preserve"> pelos EUA,</w:t>
      </w:r>
      <w:r w:rsidRPr="00047CB9">
        <w:rPr>
          <w:rFonts w:ascii="Times New Roman" w:eastAsia="Times New Roman" w:hAnsi="Times New Roman" w:cs="Times New Roman"/>
          <w:sz w:val="24"/>
          <w:szCs w:val="24"/>
          <w:lang w:eastAsia="pt-BR"/>
        </w:rPr>
        <w:t xml:space="preserve"> </w:t>
      </w:r>
      <w:r w:rsidR="00037E98">
        <w:rPr>
          <w:rFonts w:ascii="Times New Roman" w:eastAsia="Times New Roman" w:hAnsi="Times New Roman" w:cs="Times New Roman"/>
          <w:sz w:val="24"/>
          <w:szCs w:val="24"/>
          <w:lang w:eastAsia="pt-BR"/>
        </w:rPr>
        <w:t>criando</w:t>
      </w:r>
      <w:r w:rsidRPr="00047CB9">
        <w:rPr>
          <w:rFonts w:ascii="Times New Roman" w:eastAsia="Times New Roman" w:hAnsi="Times New Roman" w:cs="Times New Roman"/>
          <w:sz w:val="24"/>
          <w:szCs w:val="24"/>
          <w:lang w:eastAsia="pt-BR"/>
        </w:rPr>
        <w:t xml:space="preserve"> as bases para a consolidação de um país independente com características que facilitariam o seu desenvolvimento econômico</w:t>
      </w:r>
      <w:r w:rsidR="00237842">
        <w:rPr>
          <w:rFonts w:ascii="Times New Roman" w:eastAsia="Times New Roman" w:hAnsi="Times New Roman" w:cs="Times New Roman"/>
          <w:sz w:val="24"/>
          <w:szCs w:val="24"/>
          <w:lang w:eastAsia="pt-BR"/>
        </w:rPr>
        <w:t xml:space="preserve">. </w:t>
      </w:r>
      <w:r w:rsidR="004711D1">
        <w:rPr>
          <w:rFonts w:ascii="Times New Roman" w:eastAsia="Times New Roman" w:hAnsi="Times New Roman" w:cs="Times New Roman"/>
          <w:sz w:val="24"/>
          <w:szCs w:val="24"/>
          <w:lang w:eastAsia="pt-BR"/>
        </w:rPr>
        <w:t>Firestone (1958, p.32) destaca que c</w:t>
      </w:r>
      <w:r w:rsidR="004711D1" w:rsidRPr="004711D1">
        <w:rPr>
          <w:rFonts w:ascii="Times New Roman" w:eastAsia="Times New Roman" w:hAnsi="Times New Roman" w:cs="Times New Roman"/>
          <w:sz w:val="24"/>
          <w:szCs w:val="24"/>
          <w:lang w:eastAsia="pt-BR"/>
        </w:rPr>
        <w:t xml:space="preserve">om a constituição do Canadá dois objetivos principais </w:t>
      </w:r>
      <w:r w:rsidR="00611A7D">
        <w:rPr>
          <w:rFonts w:ascii="Times New Roman" w:eastAsia="Times New Roman" w:hAnsi="Times New Roman" w:cs="Times New Roman"/>
          <w:sz w:val="24"/>
          <w:szCs w:val="24"/>
          <w:lang w:eastAsia="pt-BR"/>
        </w:rPr>
        <w:t>ficaram</w:t>
      </w:r>
      <w:r w:rsidR="004711D1">
        <w:rPr>
          <w:rFonts w:ascii="Times New Roman" w:eastAsia="Times New Roman" w:hAnsi="Times New Roman" w:cs="Times New Roman"/>
          <w:sz w:val="24"/>
          <w:szCs w:val="24"/>
          <w:lang w:eastAsia="pt-BR"/>
        </w:rPr>
        <w:t xml:space="preserve"> evidentes</w:t>
      </w:r>
      <w:r w:rsidR="004711D1" w:rsidRPr="004711D1">
        <w:rPr>
          <w:rFonts w:ascii="Times New Roman" w:eastAsia="Times New Roman" w:hAnsi="Times New Roman" w:cs="Times New Roman"/>
          <w:sz w:val="24"/>
          <w:szCs w:val="24"/>
          <w:lang w:eastAsia="pt-BR"/>
        </w:rPr>
        <w:t>: a criação de um grande mercado doméstico que pudesse absorver a produção industrial oriunda das províncias</w:t>
      </w:r>
      <w:r w:rsidR="00B53EBA">
        <w:rPr>
          <w:rFonts w:ascii="Times New Roman" w:eastAsia="Times New Roman" w:hAnsi="Times New Roman" w:cs="Times New Roman"/>
          <w:sz w:val="24"/>
          <w:szCs w:val="24"/>
          <w:lang w:eastAsia="pt-BR"/>
        </w:rPr>
        <w:t xml:space="preserve"> do Canadá Central</w:t>
      </w:r>
      <w:r w:rsidR="004711D1" w:rsidRPr="004711D1">
        <w:rPr>
          <w:rFonts w:ascii="Times New Roman" w:eastAsia="Times New Roman" w:hAnsi="Times New Roman" w:cs="Times New Roman"/>
          <w:sz w:val="24"/>
          <w:szCs w:val="24"/>
          <w:lang w:eastAsia="pt-BR"/>
        </w:rPr>
        <w:t xml:space="preserve"> e a exploração dos ricos recursos naturais </w:t>
      </w:r>
      <w:r w:rsidR="00B53EBA">
        <w:rPr>
          <w:rFonts w:ascii="Times New Roman" w:eastAsia="Times New Roman" w:hAnsi="Times New Roman" w:cs="Times New Roman"/>
          <w:sz w:val="24"/>
          <w:szCs w:val="24"/>
          <w:lang w:eastAsia="pt-BR"/>
        </w:rPr>
        <w:t>do oeste do</w:t>
      </w:r>
      <w:r w:rsidR="004711D1" w:rsidRPr="004711D1">
        <w:rPr>
          <w:rFonts w:ascii="Times New Roman" w:eastAsia="Times New Roman" w:hAnsi="Times New Roman" w:cs="Times New Roman"/>
          <w:sz w:val="24"/>
          <w:szCs w:val="24"/>
          <w:lang w:eastAsia="pt-BR"/>
        </w:rPr>
        <w:t xml:space="preserve"> país. A Confederação tinha sido apenas um dos passos da criação do Canadá, mas cabia ainda explorar as potencialidades sociais e econômicas </w:t>
      </w:r>
      <w:r w:rsidR="00237842">
        <w:rPr>
          <w:rFonts w:ascii="Times New Roman" w:eastAsia="Times New Roman" w:hAnsi="Times New Roman" w:cs="Times New Roman"/>
          <w:sz w:val="24"/>
          <w:szCs w:val="24"/>
          <w:lang w:eastAsia="pt-BR"/>
        </w:rPr>
        <w:t>da nação</w:t>
      </w:r>
      <w:r w:rsidR="00B53EBA">
        <w:rPr>
          <w:rFonts w:ascii="Times New Roman" w:eastAsia="Times New Roman" w:hAnsi="Times New Roman" w:cs="Times New Roman"/>
          <w:sz w:val="24"/>
          <w:szCs w:val="24"/>
          <w:lang w:eastAsia="pt-BR"/>
        </w:rPr>
        <w:t>.</w:t>
      </w:r>
    </w:p>
    <w:p w:rsidR="003944D8" w:rsidRDefault="004711D1"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Firestone </w:t>
      </w:r>
      <w:r w:rsidR="00B944F6">
        <w:rPr>
          <w:rFonts w:ascii="Times New Roman" w:eastAsia="Times New Roman" w:hAnsi="Times New Roman" w:cs="Times New Roman"/>
          <w:sz w:val="24"/>
          <w:szCs w:val="24"/>
          <w:lang w:eastAsia="pt-BR"/>
        </w:rPr>
        <w:t xml:space="preserve">(1958) </w:t>
      </w:r>
      <w:r w:rsidRPr="004711D1">
        <w:rPr>
          <w:rFonts w:ascii="Times New Roman" w:eastAsia="Times New Roman" w:hAnsi="Times New Roman" w:cs="Times New Roman"/>
          <w:sz w:val="24"/>
          <w:szCs w:val="24"/>
          <w:lang w:eastAsia="pt-BR"/>
        </w:rPr>
        <w:t xml:space="preserve">destaca </w:t>
      </w:r>
      <w:r w:rsidR="00B53EBA">
        <w:rPr>
          <w:rFonts w:ascii="Times New Roman" w:eastAsia="Times New Roman" w:hAnsi="Times New Roman" w:cs="Times New Roman"/>
          <w:sz w:val="24"/>
          <w:szCs w:val="24"/>
          <w:lang w:eastAsia="pt-BR"/>
        </w:rPr>
        <w:t>algumas das principais características que deveriam ser observadas para o desenvolvimento econômico do Canadá nesse p</w:t>
      </w:r>
      <w:r w:rsidR="00742057">
        <w:rPr>
          <w:rFonts w:ascii="Times New Roman" w:eastAsia="Times New Roman" w:hAnsi="Times New Roman" w:cs="Times New Roman"/>
          <w:sz w:val="24"/>
          <w:szCs w:val="24"/>
          <w:lang w:eastAsia="pt-BR"/>
        </w:rPr>
        <w:t>rimeiro período de sua história:</w:t>
      </w:r>
      <w:r w:rsidRPr="004711D1">
        <w:rPr>
          <w:rFonts w:ascii="Times New Roman" w:eastAsia="Times New Roman" w:hAnsi="Times New Roman" w:cs="Times New Roman"/>
          <w:sz w:val="24"/>
          <w:szCs w:val="24"/>
          <w:lang w:eastAsia="pt-BR"/>
        </w:rPr>
        <w:t xml:space="preserve"> </w:t>
      </w:r>
      <w:r w:rsidR="00742057">
        <w:rPr>
          <w:rFonts w:ascii="Times New Roman" w:eastAsia="Times New Roman" w:hAnsi="Times New Roman" w:cs="Times New Roman"/>
          <w:sz w:val="24"/>
          <w:szCs w:val="24"/>
          <w:lang w:eastAsia="pt-BR"/>
        </w:rPr>
        <w:t>as limitações climáticas</w:t>
      </w:r>
      <w:r w:rsidR="007162ED">
        <w:rPr>
          <w:rFonts w:ascii="Times New Roman" w:eastAsia="Times New Roman" w:hAnsi="Times New Roman" w:cs="Times New Roman"/>
          <w:sz w:val="24"/>
          <w:szCs w:val="24"/>
          <w:lang w:eastAsia="pt-BR"/>
        </w:rPr>
        <w:t xml:space="preserve">, </w:t>
      </w:r>
      <w:r w:rsidR="007162ED">
        <w:rPr>
          <w:rFonts w:ascii="Times New Roman" w:eastAsia="Times New Roman" w:hAnsi="Times New Roman" w:cs="Times New Roman"/>
          <w:sz w:val="24"/>
          <w:szCs w:val="24"/>
          <w:lang w:eastAsia="pt-BR"/>
        </w:rPr>
        <w:lastRenderedPageBreak/>
        <w:t xml:space="preserve">a </w:t>
      </w:r>
      <w:r w:rsidR="00467437">
        <w:rPr>
          <w:rFonts w:ascii="Times New Roman" w:eastAsia="Times New Roman" w:hAnsi="Times New Roman" w:cs="Times New Roman"/>
          <w:sz w:val="24"/>
          <w:szCs w:val="24"/>
          <w:lang w:eastAsia="pt-BR"/>
        </w:rPr>
        <w:t>dificuldade para exploração</w:t>
      </w:r>
      <w:r w:rsidRPr="004711D1">
        <w:rPr>
          <w:rFonts w:ascii="Times New Roman" w:eastAsia="Times New Roman" w:hAnsi="Times New Roman" w:cs="Times New Roman"/>
          <w:sz w:val="24"/>
          <w:szCs w:val="24"/>
          <w:lang w:eastAsia="pt-BR"/>
        </w:rPr>
        <w:t xml:space="preserve"> dos recursos naturais</w:t>
      </w:r>
      <w:r w:rsidR="00AE12E6">
        <w:rPr>
          <w:rFonts w:ascii="Times New Roman" w:eastAsia="Times New Roman" w:hAnsi="Times New Roman" w:cs="Times New Roman"/>
          <w:sz w:val="24"/>
          <w:szCs w:val="24"/>
          <w:lang w:eastAsia="pt-BR"/>
        </w:rPr>
        <w:t xml:space="preserve"> e</w:t>
      </w:r>
      <w:r w:rsidR="00075F5B">
        <w:rPr>
          <w:rFonts w:ascii="Times New Roman" w:eastAsia="Times New Roman" w:hAnsi="Times New Roman" w:cs="Times New Roman"/>
          <w:sz w:val="24"/>
          <w:szCs w:val="24"/>
          <w:lang w:eastAsia="pt-BR"/>
        </w:rPr>
        <w:t xml:space="preserve"> a vastidão do ter</w:t>
      </w:r>
      <w:r w:rsidR="00AE12E6">
        <w:rPr>
          <w:rFonts w:ascii="Times New Roman" w:eastAsia="Times New Roman" w:hAnsi="Times New Roman" w:cs="Times New Roman"/>
          <w:sz w:val="24"/>
          <w:szCs w:val="24"/>
          <w:lang w:eastAsia="pt-BR"/>
        </w:rPr>
        <w:t>r</w:t>
      </w:r>
      <w:r w:rsidR="00075F5B">
        <w:rPr>
          <w:rFonts w:ascii="Times New Roman" w:eastAsia="Times New Roman" w:hAnsi="Times New Roman" w:cs="Times New Roman"/>
          <w:sz w:val="24"/>
          <w:szCs w:val="24"/>
          <w:lang w:eastAsia="pt-BR"/>
        </w:rPr>
        <w:t>itório</w:t>
      </w:r>
      <w:r w:rsidRPr="004711D1">
        <w:rPr>
          <w:rFonts w:ascii="Times New Roman" w:eastAsia="Times New Roman" w:hAnsi="Times New Roman" w:cs="Times New Roman"/>
          <w:sz w:val="24"/>
          <w:szCs w:val="24"/>
          <w:lang w:eastAsia="pt-BR"/>
        </w:rPr>
        <w:t>.</w:t>
      </w:r>
      <w:r w:rsidR="00037E98">
        <w:rPr>
          <w:rFonts w:ascii="Times New Roman" w:eastAsia="Times New Roman" w:hAnsi="Times New Roman" w:cs="Times New Roman"/>
          <w:sz w:val="24"/>
          <w:szCs w:val="24"/>
          <w:lang w:eastAsia="pt-BR"/>
        </w:rPr>
        <w:t xml:space="preserve"> </w:t>
      </w:r>
      <w:r w:rsidR="00620035">
        <w:rPr>
          <w:rFonts w:ascii="Times New Roman" w:eastAsia="Times New Roman" w:hAnsi="Times New Roman" w:cs="Times New Roman"/>
          <w:sz w:val="24"/>
          <w:szCs w:val="24"/>
          <w:lang w:eastAsia="pt-BR"/>
        </w:rPr>
        <w:t>No que concerne às</w:t>
      </w:r>
      <w:r w:rsidRPr="004711D1">
        <w:rPr>
          <w:rFonts w:ascii="Times New Roman" w:eastAsia="Times New Roman" w:hAnsi="Times New Roman" w:cs="Times New Roman"/>
          <w:sz w:val="24"/>
          <w:szCs w:val="24"/>
          <w:lang w:eastAsia="pt-BR"/>
        </w:rPr>
        <w:t xml:space="preserve"> </w:t>
      </w:r>
      <w:r w:rsidR="00620035">
        <w:rPr>
          <w:rFonts w:ascii="Times New Roman" w:eastAsia="Times New Roman" w:hAnsi="Times New Roman" w:cs="Times New Roman"/>
          <w:sz w:val="24"/>
          <w:szCs w:val="24"/>
          <w:lang w:eastAsia="pt-BR"/>
        </w:rPr>
        <w:t>limitações</w:t>
      </w:r>
      <w:r w:rsidRPr="004711D1">
        <w:rPr>
          <w:rFonts w:ascii="Times New Roman" w:eastAsia="Times New Roman" w:hAnsi="Times New Roman" w:cs="Times New Roman"/>
          <w:sz w:val="24"/>
          <w:szCs w:val="24"/>
          <w:lang w:eastAsia="pt-BR"/>
        </w:rPr>
        <w:t xml:space="preserve"> climáticas</w:t>
      </w:r>
      <w:r w:rsidR="00620035">
        <w:rPr>
          <w:rFonts w:ascii="Times New Roman" w:eastAsia="Times New Roman" w:hAnsi="Times New Roman" w:cs="Times New Roman"/>
          <w:sz w:val="24"/>
          <w:szCs w:val="24"/>
          <w:lang w:eastAsia="pt-BR"/>
        </w:rPr>
        <w:t xml:space="preserve">, estas se constituíam em um forte obstáculo para o desenvolvimento da atividade agrícola até o século XIX. </w:t>
      </w:r>
      <w:r w:rsidR="00037E98">
        <w:rPr>
          <w:rFonts w:ascii="Times New Roman" w:eastAsia="Times New Roman" w:hAnsi="Times New Roman" w:cs="Times New Roman"/>
          <w:sz w:val="24"/>
          <w:szCs w:val="24"/>
          <w:lang w:eastAsia="pt-BR"/>
        </w:rPr>
        <w:t>Foi</w:t>
      </w:r>
      <w:r w:rsidR="00620035">
        <w:rPr>
          <w:rFonts w:ascii="Times New Roman" w:eastAsia="Times New Roman" w:hAnsi="Times New Roman" w:cs="Times New Roman"/>
          <w:sz w:val="24"/>
          <w:szCs w:val="24"/>
          <w:lang w:eastAsia="pt-BR"/>
        </w:rPr>
        <w:t xml:space="preserve"> a</w:t>
      </w:r>
      <w:r w:rsidRPr="004711D1">
        <w:rPr>
          <w:rFonts w:ascii="Times New Roman" w:eastAsia="Times New Roman" w:hAnsi="Times New Roman" w:cs="Times New Roman"/>
          <w:sz w:val="24"/>
          <w:szCs w:val="24"/>
          <w:lang w:eastAsia="pt-BR"/>
        </w:rPr>
        <w:t xml:space="preserve">penas no </w:t>
      </w:r>
      <w:r w:rsidR="0046259A">
        <w:rPr>
          <w:rFonts w:ascii="Times New Roman" w:eastAsia="Times New Roman" w:hAnsi="Times New Roman" w:cs="Times New Roman"/>
          <w:sz w:val="24"/>
          <w:szCs w:val="24"/>
          <w:lang w:eastAsia="pt-BR"/>
        </w:rPr>
        <w:t xml:space="preserve">final </w:t>
      </w:r>
      <w:r w:rsidR="00037E98">
        <w:rPr>
          <w:rFonts w:ascii="Times New Roman" w:eastAsia="Times New Roman" w:hAnsi="Times New Roman" w:cs="Times New Roman"/>
          <w:sz w:val="24"/>
          <w:szCs w:val="24"/>
          <w:lang w:eastAsia="pt-BR"/>
        </w:rPr>
        <w:t>daquele</w:t>
      </w:r>
      <w:r w:rsidR="00742057">
        <w:rPr>
          <w:rFonts w:ascii="Times New Roman" w:eastAsia="Times New Roman" w:hAnsi="Times New Roman" w:cs="Times New Roman"/>
          <w:sz w:val="24"/>
          <w:szCs w:val="24"/>
          <w:lang w:eastAsia="pt-BR"/>
        </w:rPr>
        <w:t xml:space="preserve"> século</w:t>
      </w:r>
      <w:r w:rsidR="007162ED">
        <w:rPr>
          <w:rFonts w:ascii="Times New Roman" w:eastAsia="Times New Roman" w:hAnsi="Times New Roman" w:cs="Times New Roman"/>
          <w:sz w:val="24"/>
          <w:szCs w:val="24"/>
          <w:lang w:eastAsia="pt-BR"/>
        </w:rPr>
        <w:t xml:space="preserve"> que </w:t>
      </w:r>
      <w:r w:rsidRPr="004711D1">
        <w:rPr>
          <w:rFonts w:ascii="Times New Roman" w:eastAsia="Times New Roman" w:hAnsi="Times New Roman" w:cs="Times New Roman"/>
          <w:sz w:val="24"/>
          <w:szCs w:val="24"/>
          <w:lang w:eastAsia="pt-BR"/>
        </w:rPr>
        <w:t xml:space="preserve">o desenvolvimento tecnológico </w:t>
      </w:r>
      <w:r w:rsidR="005200A2">
        <w:rPr>
          <w:rFonts w:ascii="Times New Roman" w:eastAsia="Times New Roman" w:hAnsi="Times New Roman" w:cs="Times New Roman"/>
          <w:sz w:val="24"/>
          <w:szCs w:val="24"/>
          <w:lang w:eastAsia="pt-BR"/>
        </w:rPr>
        <w:t xml:space="preserve">criou </w:t>
      </w:r>
      <w:r w:rsidRPr="004711D1">
        <w:rPr>
          <w:rFonts w:ascii="Times New Roman" w:eastAsia="Times New Roman" w:hAnsi="Times New Roman" w:cs="Times New Roman"/>
          <w:sz w:val="24"/>
          <w:szCs w:val="24"/>
          <w:lang w:eastAsia="pt-BR"/>
        </w:rPr>
        <w:t>as condições</w:t>
      </w:r>
      <w:r w:rsidR="00742057">
        <w:rPr>
          <w:rFonts w:ascii="Times New Roman" w:eastAsia="Times New Roman" w:hAnsi="Times New Roman" w:cs="Times New Roman"/>
          <w:sz w:val="24"/>
          <w:szCs w:val="24"/>
          <w:lang w:eastAsia="pt-BR"/>
        </w:rPr>
        <w:t xml:space="preserve"> necessárias</w:t>
      </w:r>
      <w:r w:rsidRPr="004711D1">
        <w:rPr>
          <w:rFonts w:ascii="Times New Roman" w:eastAsia="Times New Roman" w:hAnsi="Times New Roman" w:cs="Times New Roman"/>
          <w:sz w:val="24"/>
          <w:szCs w:val="24"/>
          <w:lang w:eastAsia="pt-BR"/>
        </w:rPr>
        <w:t xml:space="preserve"> para que a produção agrícola canadense atingisse escala suficiente para se tornar competitiva </w:t>
      </w:r>
      <w:r w:rsidR="00276AE9">
        <w:rPr>
          <w:rFonts w:ascii="Times New Roman" w:eastAsia="Times New Roman" w:hAnsi="Times New Roman" w:cs="Times New Roman"/>
          <w:sz w:val="24"/>
          <w:szCs w:val="24"/>
          <w:lang w:eastAsia="pt-BR"/>
        </w:rPr>
        <w:t>no mercado internacional e viabilizasse as exportações</w:t>
      </w:r>
      <w:r w:rsidRPr="004711D1">
        <w:rPr>
          <w:rFonts w:ascii="Times New Roman" w:eastAsia="Times New Roman" w:hAnsi="Times New Roman" w:cs="Times New Roman"/>
          <w:sz w:val="24"/>
          <w:szCs w:val="24"/>
          <w:lang w:eastAsia="pt-BR"/>
        </w:rPr>
        <w:t xml:space="preserve">. </w:t>
      </w:r>
      <w:r w:rsidR="00AE12E6">
        <w:rPr>
          <w:rFonts w:ascii="Times New Roman" w:eastAsia="Times New Roman" w:hAnsi="Times New Roman" w:cs="Times New Roman"/>
          <w:sz w:val="24"/>
          <w:szCs w:val="24"/>
          <w:lang w:eastAsia="pt-BR"/>
        </w:rPr>
        <w:t>Além disso</w:t>
      </w:r>
      <w:r w:rsidRPr="004711D1">
        <w:rPr>
          <w:rFonts w:ascii="Times New Roman" w:eastAsia="Times New Roman" w:hAnsi="Times New Roman" w:cs="Times New Roman"/>
          <w:sz w:val="24"/>
          <w:szCs w:val="24"/>
          <w:lang w:eastAsia="pt-BR"/>
        </w:rPr>
        <w:t xml:space="preserve">, as questões climáticas acabavam por prejudicar a colonização e mesmo a manutenção da população, em uma época em que não existiam restrições de fronteira </w:t>
      </w:r>
      <w:r w:rsidR="00037E98">
        <w:rPr>
          <w:rFonts w:ascii="Times New Roman" w:eastAsia="Times New Roman" w:hAnsi="Times New Roman" w:cs="Times New Roman"/>
          <w:sz w:val="24"/>
          <w:szCs w:val="24"/>
          <w:lang w:eastAsia="pt-BR"/>
        </w:rPr>
        <w:t>com relação à imigração</w:t>
      </w:r>
      <w:r w:rsidR="00467437">
        <w:rPr>
          <w:rFonts w:ascii="Times New Roman" w:eastAsia="Times New Roman" w:hAnsi="Times New Roman" w:cs="Times New Roman"/>
          <w:sz w:val="24"/>
          <w:szCs w:val="24"/>
          <w:lang w:eastAsia="pt-BR"/>
        </w:rPr>
        <w:t xml:space="preserve"> para os Estados Unidos. </w:t>
      </w:r>
      <w:r w:rsidR="00037E98">
        <w:rPr>
          <w:rFonts w:ascii="Times New Roman" w:eastAsia="Times New Roman" w:hAnsi="Times New Roman" w:cs="Times New Roman"/>
          <w:sz w:val="24"/>
          <w:szCs w:val="24"/>
          <w:lang w:eastAsia="pt-BR"/>
        </w:rPr>
        <w:t>Por sua vez,</w:t>
      </w:r>
      <w:r w:rsidR="00467437">
        <w:rPr>
          <w:rFonts w:ascii="Times New Roman" w:eastAsia="Times New Roman" w:hAnsi="Times New Roman" w:cs="Times New Roman"/>
          <w:sz w:val="24"/>
          <w:szCs w:val="24"/>
          <w:lang w:eastAsia="pt-BR"/>
        </w:rPr>
        <w:t xml:space="preserve"> a</w:t>
      </w:r>
      <w:r w:rsidR="00D928E4">
        <w:rPr>
          <w:rFonts w:ascii="Times New Roman" w:eastAsia="Times New Roman" w:hAnsi="Times New Roman" w:cs="Times New Roman"/>
          <w:sz w:val="24"/>
          <w:szCs w:val="24"/>
          <w:lang w:eastAsia="pt-BR"/>
        </w:rPr>
        <w:t xml:space="preserve"> exploração dos recursos naturais exigia </w:t>
      </w:r>
      <w:r w:rsidR="00AE12E6">
        <w:rPr>
          <w:rFonts w:ascii="Times New Roman" w:eastAsia="Times New Roman" w:hAnsi="Times New Roman" w:cs="Times New Roman"/>
          <w:sz w:val="24"/>
          <w:szCs w:val="24"/>
          <w:lang w:eastAsia="pt-BR"/>
        </w:rPr>
        <w:t>imensos</w:t>
      </w:r>
      <w:r w:rsidR="00D928E4">
        <w:rPr>
          <w:rFonts w:ascii="Times New Roman" w:eastAsia="Times New Roman" w:hAnsi="Times New Roman" w:cs="Times New Roman"/>
          <w:sz w:val="24"/>
          <w:szCs w:val="24"/>
          <w:lang w:eastAsia="pt-BR"/>
        </w:rPr>
        <w:t xml:space="preserve"> esforços,</w:t>
      </w:r>
      <w:r w:rsidRPr="004711D1">
        <w:rPr>
          <w:rFonts w:ascii="Times New Roman" w:eastAsia="Times New Roman" w:hAnsi="Times New Roman" w:cs="Times New Roman"/>
          <w:sz w:val="24"/>
          <w:szCs w:val="24"/>
          <w:lang w:eastAsia="pt-BR"/>
        </w:rPr>
        <w:t xml:space="preserve"> conhecimentos tecnológicos sofisticados e elevados investimentos de capital que </w:t>
      </w:r>
      <w:r w:rsidR="00D928E4">
        <w:rPr>
          <w:rFonts w:ascii="Times New Roman" w:eastAsia="Times New Roman" w:hAnsi="Times New Roman" w:cs="Times New Roman"/>
          <w:sz w:val="24"/>
          <w:szCs w:val="24"/>
          <w:lang w:eastAsia="pt-BR"/>
        </w:rPr>
        <w:t>acabavam por facilitar a</w:t>
      </w:r>
      <w:r w:rsidRPr="004711D1">
        <w:rPr>
          <w:rFonts w:ascii="Times New Roman" w:eastAsia="Times New Roman" w:hAnsi="Times New Roman" w:cs="Times New Roman"/>
          <w:sz w:val="24"/>
          <w:szCs w:val="24"/>
          <w:lang w:eastAsia="pt-BR"/>
        </w:rPr>
        <w:t xml:space="preserve"> participação </w:t>
      </w:r>
      <w:r w:rsidR="00237842">
        <w:rPr>
          <w:rFonts w:ascii="Times New Roman" w:eastAsia="Times New Roman" w:hAnsi="Times New Roman" w:cs="Times New Roman"/>
          <w:sz w:val="24"/>
          <w:szCs w:val="24"/>
          <w:lang w:eastAsia="pt-BR"/>
        </w:rPr>
        <w:t>estadunidense</w:t>
      </w:r>
      <w:r w:rsidRPr="004711D1">
        <w:rPr>
          <w:rFonts w:ascii="Times New Roman" w:eastAsia="Times New Roman" w:hAnsi="Times New Roman" w:cs="Times New Roman"/>
          <w:sz w:val="24"/>
          <w:szCs w:val="24"/>
          <w:lang w:eastAsia="pt-BR"/>
        </w:rPr>
        <w:t xml:space="preserve"> neste processo</w:t>
      </w:r>
      <w:r w:rsidR="00467437">
        <w:rPr>
          <w:rFonts w:ascii="Times New Roman" w:eastAsia="Times New Roman" w:hAnsi="Times New Roman" w:cs="Times New Roman"/>
          <w:sz w:val="24"/>
          <w:szCs w:val="24"/>
          <w:lang w:eastAsia="pt-BR"/>
        </w:rPr>
        <w:t>.</w:t>
      </w:r>
      <w:r w:rsidR="00620035">
        <w:rPr>
          <w:rFonts w:ascii="Times New Roman" w:eastAsia="Times New Roman" w:hAnsi="Times New Roman" w:cs="Times New Roman"/>
          <w:sz w:val="24"/>
          <w:szCs w:val="24"/>
          <w:lang w:eastAsia="pt-BR"/>
        </w:rPr>
        <w:t xml:space="preserve"> </w:t>
      </w:r>
      <w:r w:rsidR="00AE12E6" w:rsidRPr="004711D1">
        <w:rPr>
          <w:rFonts w:ascii="Times New Roman" w:eastAsia="Times New Roman" w:hAnsi="Times New Roman" w:cs="Times New Roman"/>
          <w:sz w:val="24"/>
          <w:szCs w:val="24"/>
          <w:lang w:eastAsia="pt-BR"/>
        </w:rPr>
        <w:t xml:space="preserve">A vastidão do território </w:t>
      </w:r>
      <w:r w:rsidR="005200A2">
        <w:rPr>
          <w:rFonts w:ascii="Times New Roman" w:eastAsia="Times New Roman" w:hAnsi="Times New Roman" w:cs="Times New Roman"/>
          <w:sz w:val="24"/>
          <w:szCs w:val="24"/>
          <w:lang w:eastAsia="pt-BR"/>
        </w:rPr>
        <w:t>acarretava na</w:t>
      </w:r>
      <w:r w:rsidR="00AE12E6" w:rsidRPr="004711D1">
        <w:rPr>
          <w:rFonts w:ascii="Times New Roman" w:eastAsia="Times New Roman" w:hAnsi="Times New Roman" w:cs="Times New Roman"/>
          <w:sz w:val="24"/>
          <w:szCs w:val="24"/>
          <w:lang w:eastAsia="pt-BR"/>
        </w:rPr>
        <w:t xml:space="preserve"> necessidade de grandes investimentos em </w:t>
      </w:r>
      <w:r w:rsidR="00AE12E6">
        <w:rPr>
          <w:rFonts w:ascii="Times New Roman" w:eastAsia="Times New Roman" w:hAnsi="Times New Roman" w:cs="Times New Roman"/>
          <w:sz w:val="24"/>
          <w:szCs w:val="24"/>
          <w:lang w:eastAsia="pt-BR"/>
        </w:rPr>
        <w:t xml:space="preserve">comunicação e em </w:t>
      </w:r>
      <w:r w:rsidR="005200A2">
        <w:rPr>
          <w:rFonts w:ascii="Times New Roman" w:eastAsia="Times New Roman" w:hAnsi="Times New Roman" w:cs="Times New Roman"/>
          <w:sz w:val="24"/>
          <w:szCs w:val="24"/>
          <w:lang w:eastAsia="pt-BR"/>
        </w:rPr>
        <w:t>transportes</w:t>
      </w:r>
      <w:r w:rsidR="00620035">
        <w:rPr>
          <w:rFonts w:ascii="Times New Roman" w:eastAsia="Times New Roman" w:hAnsi="Times New Roman" w:cs="Times New Roman"/>
          <w:sz w:val="24"/>
          <w:szCs w:val="24"/>
          <w:lang w:eastAsia="pt-BR"/>
        </w:rPr>
        <w:t xml:space="preserve"> </w:t>
      </w:r>
      <w:r w:rsidR="005200A2">
        <w:rPr>
          <w:rFonts w:ascii="Times New Roman" w:eastAsia="Times New Roman" w:hAnsi="Times New Roman" w:cs="Times New Roman"/>
          <w:sz w:val="24"/>
          <w:szCs w:val="24"/>
          <w:lang w:eastAsia="pt-BR"/>
        </w:rPr>
        <w:t>(</w:t>
      </w:r>
      <w:r w:rsidR="00AE12E6" w:rsidRPr="004711D1">
        <w:rPr>
          <w:rFonts w:ascii="Times New Roman" w:eastAsia="Times New Roman" w:hAnsi="Times New Roman" w:cs="Times New Roman"/>
          <w:sz w:val="24"/>
          <w:szCs w:val="24"/>
          <w:lang w:eastAsia="pt-BR"/>
        </w:rPr>
        <w:t>principalmente ferroviários)</w:t>
      </w:r>
      <w:r w:rsidR="00AE12E6">
        <w:rPr>
          <w:rFonts w:ascii="Times New Roman" w:eastAsia="Times New Roman" w:hAnsi="Times New Roman" w:cs="Times New Roman"/>
          <w:sz w:val="24"/>
          <w:szCs w:val="24"/>
          <w:lang w:eastAsia="pt-BR"/>
        </w:rPr>
        <w:t xml:space="preserve"> para ligar o país no sentido Leste-Oeste, </w:t>
      </w:r>
      <w:r w:rsidR="00AE12E6" w:rsidRPr="004711D1">
        <w:rPr>
          <w:rFonts w:ascii="Times New Roman" w:eastAsia="Times New Roman" w:hAnsi="Times New Roman" w:cs="Times New Roman"/>
          <w:sz w:val="24"/>
          <w:szCs w:val="24"/>
          <w:lang w:eastAsia="pt-BR"/>
        </w:rPr>
        <w:t xml:space="preserve">visto que cerca de 80% da população vivia próximo da fronteira com os Estados Unidos, o que tornava muito mais simples a integração </w:t>
      </w:r>
      <w:r w:rsidR="005200A2">
        <w:rPr>
          <w:rFonts w:ascii="Times New Roman" w:eastAsia="Times New Roman" w:hAnsi="Times New Roman" w:cs="Times New Roman"/>
          <w:sz w:val="24"/>
          <w:szCs w:val="24"/>
          <w:lang w:eastAsia="pt-BR"/>
        </w:rPr>
        <w:t xml:space="preserve">política e </w:t>
      </w:r>
      <w:r w:rsidR="00AE12E6" w:rsidRPr="004711D1">
        <w:rPr>
          <w:rFonts w:ascii="Times New Roman" w:eastAsia="Times New Roman" w:hAnsi="Times New Roman" w:cs="Times New Roman"/>
          <w:sz w:val="24"/>
          <w:szCs w:val="24"/>
          <w:lang w:eastAsia="pt-BR"/>
        </w:rPr>
        <w:t xml:space="preserve">econômica e até mesmo a absorção </w:t>
      </w:r>
      <w:r w:rsidR="005200A2">
        <w:rPr>
          <w:rFonts w:ascii="Times New Roman" w:eastAsia="Times New Roman" w:hAnsi="Times New Roman" w:cs="Times New Roman"/>
          <w:sz w:val="24"/>
          <w:szCs w:val="24"/>
          <w:lang w:eastAsia="pt-BR"/>
        </w:rPr>
        <w:t>pelo vizinho do sul</w:t>
      </w:r>
      <w:r w:rsidR="00AE12E6" w:rsidRPr="004711D1">
        <w:rPr>
          <w:rFonts w:ascii="Times New Roman" w:eastAsia="Times New Roman" w:hAnsi="Times New Roman" w:cs="Times New Roman"/>
          <w:sz w:val="24"/>
          <w:szCs w:val="24"/>
          <w:lang w:eastAsia="pt-BR"/>
        </w:rPr>
        <w:t xml:space="preserve">, do que a criação e manutenção de </w:t>
      </w:r>
      <w:r w:rsidR="00AE12E6">
        <w:rPr>
          <w:rFonts w:ascii="Times New Roman" w:eastAsia="Times New Roman" w:hAnsi="Times New Roman" w:cs="Times New Roman"/>
          <w:sz w:val="24"/>
          <w:szCs w:val="24"/>
          <w:lang w:eastAsia="pt-BR"/>
        </w:rPr>
        <w:t>uma nação independente.</w:t>
      </w:r>
    </w:p>
    <w:p w:rsidR="0011174E" w:rsidRPr="0081742B" w:rsidRDefault="0011174E" w:rsidP="0048231B">
      <w:pPr>
        <w:spacing w:after="0" w:line="240" w:lineRule="auto"/>
        <w:ind w:firstLine="709"/>
        <w:jc w:val="both"/>
        <w:rPr>
          <w:rFonts w:ascii="Times New Roman" w:eastAsia="Times New Roman" w:hAnsi="Times New Roman" w:cs="Times New Roman"/>
          <w:color w:val="00B0F0"/>
          <w:sz w:val="24"/>
          <w:szCs w:val="24"/>
          <w:lang w:eastAsia="pt-BR"/>
        </w:rPr>
      </w:pPr>
      <w:r w:rsidRPr="0011174E">
        <w:rPr>
          <w:rFonts w:ascii="Times New Roman" w:eastAsia="Times New Roman" w:hAnsi="Times New Roman" w:cs="Times New Roman"/>
          <w:sz w:val="24"/>
          <w:szCs w:val="24"/>
          <w:lang w:eastAsia="pt-BR"/>
        </w:rPr>
        <w:t xml:space="preserve">Para </w:t>
      </w:r>
      <w:r w:rsidR="0081742B">
        <w:rPr>
          <w:rFonts w:ascii="Times New Roman" w:eastAsia="Times New Roman" w:hAnsi="Times New Roman" w:cs="Times New Roman"/>
          <w:sz w:val="24"/>
          <w:szCs w:val="24"/>
          <w:lang w:eastAsia="pt-BR"/>
        </w:rPr>
        <w:t xml:space="preserve">o Primeiro Ministro </w:t>
      </w:r>
      <w:r w:rsidRPr="0011174E">
        <w:rPr>
          <w:rFonts w:ascii="Times New Roman" w:eastAsia="Times New Roman" w:hAnsi="Times New Roman" w:cs="Times New Roman"/>
          <w:sz w:val="24"/>
          <w:szCs w:val="24"/>
          <w:lang w:eastAsia="pt-BR"/>
        </w:rPr>
        <w:t>MacDonald</w:t>
      </w:r>
      <w:r>
        <w:rPr>
          <w:rStyle w:val="Refdenotaderodap"/>
          <w:rFonts w:ascii="Times New Roman" w:eastAsia="Times New Roman" w:hAnsi="Times New Roman" w:cs="Times New Roman"/>
          <w:sz w:val="24"/>
          <w:szCs w:val="24"/>
          <w:lang w:eastAsia="pt-BR"/>
        </w:rPr>
        <w:footnoteReference w:id="7"/>
      </w:r>
      <w:r w:rsidRPr="0011174E">
        <w:rPr>
          <w:rFonts w:ascii="Times New Roman" w:eastAsia="Times New Roman" w:hAnsi="Times New Roman" w:cs="Times New Roman"/>
          <w:sz w:val="24"/>
          <w:szCs w:val="24"/>
          <w:lang w:eastAsia="pt-BR"/>
        </w:rPr>
        <w:t xml:space="preserve">, mesmo que a integração política tivesse ocorrido em 1867, </w:t>
      </w:r>
      <w:proofErr w:type="gramStart"/>
      <w:r w:rsidRPr="0011174E">
        <w:rPr>
          <w:rFonts w:ascii="Times New Roman" w:eastAsia="Times New Roman" w:hAnsi="Times New Roman" w:cs="Times New Roman"/>
          <w:sz w:val="24"/>
          <w:szCs w:val="24"/>
          <w:lang w:eastAsia="pt-BR"/>
        </w:rPr>
        <w:t>a</w:t>
      </w:r>
      <w:proofErr w:type="gramEnd"/>
      <w:r w:rsidRPr="0011174E">
        <w:rPr>
          <w:rFonts w:ascii="Times New Roman" w:eastAsia="Times New Roman" w:hAnsi="Times New Roman" w:cs="Times New Roman"/>
          <w:sz w:val="24"/>
          <w:szCs w:val="24"/>
          <w:lang w:eastAsia="pt-BR"/>
        </w:rPr>
        <w:t xml:space="preserve"> sustentabilidade da nova nação só seria possível com a criação de uma forte economia nacional que se desenvolveria no sentido Leste-Oeste (entre as Províncias do Canadá) e não Norte-Sul (Províncias do Canadá - Estados Unidos). Sem o desenvolvimento Leste- Oeste, de acordo com a proposição de MacDonald, os estadunidenses conseguiriam assumir o controle do oeste, cercando o país e inevitavelmente obteriam sua anexação.</w:t>
      </w:r>
      <w:r w:rsidR="0081742B">
        <w:rPr>
          <w:rFonts w:ascii="Times New Roman" w:eastAsia="Times New Roman" w:hAnsi="Times New Roman" w:cs="Times New Roman"/>
          <w:color w:val="00B0F0"/>
          <w:sz w:val="24"/>
          <w:szCs w:val="24"/>
          <w:lang w:eastAsia="pt-BR"/>
        </w:rPr>
        <w:t xml:space="preserve"> </w:t>
      </w:r>
    </w:p>
    <w:p w:rsidR="000656E7" w:rsidRDefault="004711D1"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Diante </w:t>
      </w:r>
      <w:r w:rsidR="00276AE9">
        <w:rPr>
          <w:rFonts w:ascii="Times New Roman" w:eastAsia="Times New Roman" w:hAnsi="Times New Roman" w:cs="Times New Roman"/>
          <w:sz w:val="24"/>
          <w:szCs w:val="24"/>
          <w:lang w:eastAsia="pt-BR"/>
        </w:rPr>
        <w:t>destes</w:t>
      </w:r>
      <w:r>
        <w:rPr>
          <w:rFonts w:ascii="Times New Roman" w:eastAsia="Times New Roman" w:hAnsi="Times New Roman" w:cs="Times New Roman"/>
          <w:sz w:val="24"/>
          <w:szCs w:val="24"/>
          <w:lang w:eastAsia="pt-BR"/>
        </w:rPr>
        <w:t xml:space="preserve"> desafios</w:t>
      </w:r>
      <w:r w:rsidR="0011174E">
        <w:rPr>
          <w:rFonts w:ascii="Times New Roman" w:eastAsia="Times New Roman" w:hAnsi="Times New Roman" w:cs="Times New Roman"/>
          <w:sz w:val="24"/>
          <w:szCs w:val="24"/>
          <w:lang w:eastAsia="pt-BR"/>
        </w:rPr>
        <w:t>, as políticas governamentais para o desenvolvimento econômico do Canadá</w:t>
      </w:r>
      <w:r w:rsidR="00D60C93">
        <w:rPr>
          <w:rFonts w:ascii="Times New Roman" w:eastAsia="Times New Roman" w:hAnsi="Times New Roman" w:cs="Times New Roman"/>
          <w:sz w:val="24"/>
          <w:szCs w:val="24"/>
          <w:lang w:eastAsia="pt-BR"/>
        </w:rPr>
        <w:t xml:space="preserve"> </w:t>
      </w:r>
      <w:r w:rsidR="00AA6490">
        <w:rPr>
          <w:rFonts w:ascii="Times New Roman" w:eastAsia="Times New Roman" w:hAnsi="Times New Roman" w:cs="Times New Roman"/>
          <w:sz w:val="24"/>
          <w:szCs w:val="24"/>
          <w:lang w:eastAsia="pt-BR"/>
        </w:rPr>
        <w:t>ganha</w:t>
      </w:r>
      <w:r w:rsidR="0081742B">
        <w:rPr>
          <w:rFonts w:ascii="Times New Roman" w:eastAsia="Times New Roman" w:hAnsi="Times New Roman" w:cs="Times New Roman"/>
          <w:sz w:val="24"/>
          <w:szCs w:val="24"/>
          <w:lang w:eastAsia="pt-BR"/>
        </w:rPr>
        <w:t>ra</w:t>
      </w:r>
      <w:r w:rsidR="00AA6490">
        <w:rPr>
          <w:rFonts w:ascii="Times New Roman" w:eastAsia="Times New Roman" w:hAnsi="Times New Roman" w:cs="Times New Roman"/>
          <w:sz w:val="24"/>
          <w:szCs w:val="24"/>
          <w:lang w:eastAsia="pt-BR"/>
        </w:rPr>
        <w:t xml:space="preserve">m </w:t>
      </w:r>
      <w:r w:rsidR="0081742B">
        <w:rPr>
          <w:rFonts w:ascii="Times New Roman" w:eastAsia="Times New Roman" w:hAnsi="Times New Roman" w:cs="Times New Roman"/>
          <w:sz w:val="24"/>
          <w:szCs w:val="24"/>
          <w:lang w:eastAsia="pt-BR"/>
        </w:rPr>
        <w:t>uma importância decisiva</w:t>
      </w:r>
      <w:r w:rsidR="00AA6490">
        <w:rPr>
          <w:rFonts w:ascii="Times New Roman" w:eastAsia="Times New Roman" w:hAnsi="Times New Roman" w:cs="Times New Roman"/>
          <w:sz w:val="24"/>
          <w:szCs w:val="24"/>
          <w:lang w:eastAsia="pt-BR"/>
        </w:rPr>
        <w:t xml:space="preserve"> com a </w:t>
      </w:r>
      <w:r w:rsidR="0011174E">
        <w:rPr>
          <w:rFonts w:ascii="Times New Roman" w:eastAsia="Times New Roman" w:hAnsi="Times New Roman" w:cs="Times New Roman"/>
          <w:sz w:val="24"/>
          <w:szCs w:val="24"/>
          <w:lang w:eastAsia="pt-BR"/>
        </w:rPr>
        <w:t>criação</w:t>
      </w:r>
      <w:r w:rsidR="00AA6490">
        <w:rPr>
          <w:rFonts w:ascii="Times New Roman" w:eastAsia="Times New Roman" w:hAnsi="Times New Roman" w:cs="Times New Roman"/>
          <w:sz w:val="24"/>
          <w:szCs w:val="24"/>
          <w:lang w:eastAsia="pt-BR"/>
        </w:rPr>
        <w:t xml:space="preserve"> da </w:t>
      </w:r>
      <w:r w:rsidR="005B4FD5">
        <w:rPr>
          <w:rFonts w:ascii="Times New Roman" w:eastAsia="Times New Roman" w:hAnsi="Times New Roman" w:cs="Times New Roman"/>
          <w:i/>
          <w:sz w:val="24"/>
          <w:szCs w:val="24"/>
          <w:lang w:eastAsia="pt-BR"/>
        </w:rPr>
        <w:t xml:space="preserve">National Policy. </w:t>
      </w:r>
      <w:r w:rsidR="00047CB9" w:rsidRPr="00047CB9">
        <w:rPr>
          <w:rFonts w:ascii="Times New Roman" w:eastAsia="Times New Roman" w:hAnsi="Times New Roman" w:cs="Times New Roman"/>
          <w:i/>
          <w:sz w:val="24"/>
          <w:szCs w:val="24"/>
          <w:lang w:eastAsia="pt-BR"/>
        </w:rPr>
        <w:t>A National Policy</w:t>
      </w:r>
      <w:r w:rsidR="00047CB9" w:rsidRPr="00047CB9">
        <w:rPr>
          <w:rFonts w:ascii="Times New Roman" w:eastAsia="Times New Roman" w:hAnsi="Times New Roman" w:cs="Times New Roman"/>
          <w:sz w:val="24"/>
          <w:szCs w:val="24"/>
          <w:lang w:eastAsia="pt-BR"/>
        </w:rPr>
        <w:t xml:space="preserve"> fundava essa estratégia em três elementos principais: </w:t>
      </w:r>
      <w:r w:rsidR="000656E7" w:rsidRPr="000656E7">
        <w:rPr>
          <w:rFonts w:ascii="Times New Roman" w:eastAsia="Times New Roman" w:hAnsi="Times New Roman" w:cs="Times New Roman"/>
          <w:sz w:val="24"/>
          <w:szCs w:val="24"/>
          <w:lang w:eastAsia="pt-BR"/>
        </w:rPr>
        <w:t>criação de tarifas protecionistas</w:t>
      </w:r>
      <w:r w:rsidR="00AA6490">
        <w:rPr>
          <w:rFonts w:ascii="Times New Roman" w:eastAsia="Times New Roman" w:hAnsi="Times New Roman" w:cs="Times New Roman"/>
          <w:sz w:val="24"/>
          <w:szCs w:val="24"/>
          <w:lang w:eastAsia="pt-BR"/>
        </w:rPr>
        <w:t xml:space="preserve"> para a indústria canadense</w:t>
      </w:r>
      <w:r w:rsidR="000656E7" w:rsidRPr="000656E7">
        <w:rPr>
          <w:rFonts w:ascii="Times New Roman" w:eastAsia="Times New Roman" w:hAnsi="Times New Roman" w:cs="Times New Roman"/>
          <w:sz w:val="24"/>
          <w:szCs w:val="24"/>
          <w:lang w:eastAsia="pt-BR"/>
        </w:rPr>
        <w:t xml:space="preserve"> que tinham como principal alvo os Estados Unidos,</w:t>
      </w:r>
      <w:r w:rsidR="0011174E">
        <w:rPr>
          <w:rFonts w:ascii="Times New Roman" w:eastAsia="Times New Roman" w:hAnsi="Times New Roman" w:cs="Times New Roman"/>
          <w:sz w:val="24"/>
          <w:szCs w:val="24"/>
          <w:lang w:eastAsia="pt-BR"/>
        </w:rPr>
        <w:t xml:space="preserve"> </w:t>
      </w:r>
      <w:proofErr w:type="gramStart"/>
      <w:r w:rsidR="000656E7" w:rsidRPr="000656E7">
        <w:rPr>
          <w:rFonts w:ascii="Times New Roman" w:eastAsia="Times New Roman" w:hAnsi="Times New Roman" w:cs="Times New Roman"/>
          <w:sz w:val="24"/>
          <w:szCs w:val="24"/>
          <w:lang w:eastAsia="pt-BR"/>
        </w:rPr>
        <w:t>implementação</w:t>
      </w:r>
      <w:proofErr w:type="gramEnd"/>
      <w:r w:rsidR="000656E7" w:rsidRPr="000656E7">
        <w:rPr>
          <w:rFonts w:ascii="Times New Roman" w:eastAsia="Times New Roman" w:hAnsi="Times New Roman" w:cs="Times New Roman"/>
          <w:sz w:val="24"/>
          <w:szCs w:val="24"/>
          <w:lang w:eastAsia="pt-BR"/>
        </w:rPr>
        <w:t xml:space="preserve"> de uma ferrovia transcontinental visando dar unidade </w:t>
      </w:r>
      <w:r w:rsidR="00611A7D">
        <w:rPr>
          <w:rFonts w:ascii="Times New Roman" w:eastAsia="Times New Roman" w:hAnsi="Times New Roman" w:cs="Times New Roman"/>
          <w:sz w:val="24"/>
          <w:szCs w:val="24"/>
          <w:lang w:eastAsia="pt-BR"/>
        </w:rPr>
        <w:t>à</w:t>
      </w:r>
      <w:r w:rsidR="000656E7" w:rsidRPr="000656E7">
        <w:rPr>
          <w:rFonts w:ascii="Times New Roman" w:eastAsia="Times New Roman" w:hAnsi="Times New Roman" w:cs="Times New Roman"/>
          <w:sz w:val="24"/>
          <w:szCs w:val="24"/>
          <w:lang w:eastAsia="pt-BR"/>
        </w:rPr>
        <w:t xml:space="preserve"> nação e reduzir os custos de transporte entre as colônias, e uma </w:t>
      </w:r>
      <w:r w:rsidR="00B944F6" w:rsidRPr="000656E7">
        <w:rPr>
          <w:rFonts w:ascii="Times New Roman" w:eastAsia="Times New Roman" w:hAnsi="Times New Roman" w:cs="Times New Roman"/>
          <w:sz w:val="24"/>
          <w:szCs w:val="24"/>
          <w:lang w:eastAsia="pt-BR"/>
        </w:rPr>
        <w:t>política</w:t>
      </w:r>
      <w:r w:rsidR="000656E7" w:rsidRPr="000656E7">
        <w:rPr>
          <w:rFonts w:ascii="Times New Roman" w:eastAsia="Times New Roman" w:hAnsi="Times New Roman" w:cs="Times New Roman"/>
          <w:sz w:val="24"/>
          <w:szCs w:val="24"/>
          <w:lang w:eastAsia="pt-BR"/>
        </w:rPr>
        <w:t xml:space="preserve"> de assentamento e </w:t>
      </w:r>
      <w:r w:rsidR="00D54899">
        <w:rPr>
          <w:rFonts w:ascii="Times New Roman" w:eastAsia="Times New Roman" w:hAnsi="Times New Roman" w:cs="Times New Roman"/>
          <w:sz w:val="24"/>
          <w:szCs w:val="24"/>
          <w:lang w:eastAsia="pt-BR"/>
        </w:rPr>
        <w:t>de</w:t>
      </w:r>
      <w:r w:rsidR="000656E7" w:rsidRPr="000656E7">
        <w:rPr>
          <w:rFonts w:ascii="Times New Roman" w:eastAsia="Times New Roman" w:hAnsi="Times New Roman" w:cs="Times New Roman"/>
          <w:sz w:val="24"/>
          <w:szCs w:val="24"/>
          <w:lang w:eastAsia="pt-BR"/>
        </w:rPr>
        <w:t xml:space="preserve"> pro</w:t>
      </w:r>
      <w:r w:rsidR="0046259A">
        <w:rPr>
          <w:rFonts w:ascii="Times New Roman" w:eastAsia="Times New Roman" w:hAnsi="Times New Roman" w:cs="Times New Roman"/>
          <w:sz w:val="24"/>
          <w:szCs w:val="24"/>
          <w:lang w:eastAsia="pt-BR"/>
        </w:rPr>
        <w:t xml:space="preserve">moção de imigração para o oeste. </w:t>
      </w:r>
    </w:p>
    <w:p w:rsidR="002E54E7" w:rsidRDefault="002E54E7" w:rsidP="0048231B">
      <w:pPr>
        <w:spacing w:after="0" w:line="240" w:lineRule="auto"/>
        <w:ind w:firstLine="709"/>
        <w:jc w:val="both"/>
        <w:rPr>
          <w:rFonts w:ascii="Times New Roman" w:eastAsia="Times New Roman" w:hAnsi="Times New Roman" w:cs="Times New Roman"/>
          <w:sz w:val="24"/>
          <w:szCs w:val="24"/>
          <w:lang w:eastAsia="pt-BR"/>
        </w:rPr>
      </w:pPr>
    </w:p>
    <w:p w:rsidR="00557957" w:rsidRPr="00557957" w:rsidRDefault="0081742B" w:rsidP="002A5C54">
      <w:pPr>
        <w:spacing w:after="0" w:line="24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3</w:t>
      </w:r>
      <w:r w:rsidR="00557957" w:rsidRPr="00557957">
        <w:rPr>
          <w:rFonts w:ascii="Times New Roman" w:eastAsia="Times New Roman" w:hAnsi="Times New Roman" w:cs="Times New Roman"/>
          <w:b/>
          <w:sz w:val="24"/>
          <w:szCs w:val="24"/>
          <w:lang w:eastAsia="pt-BR"/>
        </w:rPr>
        <w:t xml:space="preserve">. </w:t>
      </w:r>
      <w:r w:rsidR="00FE5E56">
        <w:rPr>
          <w:rFonts w:ascii="Times New Roman" w:eastAsia="Times New Roman" w:hAnsi="Times New Roman" w:cs="Times New Roman"/>
          <w:b/>
          <w:sz w:val="24"/>
          <w:szCs w:val="24"/>
          <w:lang w:eastAsia="pt-BR"/>
        </w:rPr>
        <w:t xml:space="preserve">A </w:t>
      </w:r>
      <w:r w:rsidR="00557957" w:rsidRPr="00557957">
        <w:rPr>
          <w:rFonts w:ascii="Times New Roman" w:eastAsia="Times New Roman" w:hAnsi="Times New Roman" w:cs="Times New Roman"/>
          <w:b/>
          <w:sz w:val="24"/>
          <w:szCs w:val="24"/>
          <w:lang w:eastAsia="pt-BR"/>
        </w:rPr>
        <w:t>POLÍTICA COMERCIAL: PROTECIONISMO E DESENVOLVIME</w:t>
      </w:r>
      <w:r w:rsidR="00FE5E56">
        <w:rPr>
          <w:rFonts w:ascii="Times New Roman" w:eastAsia="Times New Roman" w:hAnsi="Times New Roman" w:cs="Times New Roman"/>
          <w:b/>
          <w:sz w:val="24"/>
          <w:szCs w:val="24"/>
          <w:lang w:eastAsia="pt-BR"/>
        </w:rPr>
        <w:t>N</w:t>
      </w:r>
      <w:r w:rsidR="00557957" w:rsidRPr="00557957">
        <w:rPr>
          <w:rFonts w:ascii="Times New Roman" w:eastAsia="Times New Roman" w:hAnsi="Times New Roman" w:cs="Times New Roman"/>
          <w:b/>
          <w:sz w:val="24"/>
          <w:szCs w:val="24"/>
          <w:lang w:eastAsia="pt-BR"/>
        </w:rPr>
        <w:t>TO INDUSTRIAL NO CANADÁ</w:t>
      </w:r>
    </w:p>
    <w:p w:rsidR="007B1068" w:rsidRPr="008D4017" w:rsidRDefault="00047CB9" w:rsidP="0048231B">
      <w:pPr>
        <w:spacing w:after="0" w:line="240" w:lineRule="auto"/>
        <w:ind w:firstLine="709"/>
        <w:jc w:val="both"/>
        <w:rPr>
          <w:rFonts w:ascii="Times New Roman" w:eastAsia="Times New Roman" w:hAnsi="Times New Roman" w:cs="Times New Roman"/>
          <w:color w:val="FF0000"/>
          <w:sz w:val="24"/>
          <w:szCs w:val="24"/>
          <w:lang w:eastAsia="pt-BR"/>
        </w:rPr>
      </w:pPr>
      <w:bookmarkStart w:id="1" w:name="_Toc307819637"/>
      <w:r w:rsidRPr="00047CB9">
        <w:rPr>
          <w:rFonts w:ascii="Times New Roman" w:eastAsia="Times New Roman" w:hAnsi="Times New Roman" w:cs="Times New Roman"/>
          <w:sz w:val="24"/>
          <w:szCs w:val="24"/>
          <w:lang w:eastAsia="pt-BR"/>
        </w:rPr>
        <w:t xml:space="preserve">A política comercial </w:t>
      </w:r>
      <w:r w:rsidR="00FE5E56">
        <w:rPr>
          <w:rFonts w:ascii="Times New Roman" w:eastAsia="Times New Roman" w:hAnsi="Times New Roman" w:cs="Times New Roman"/>
          <w:sz w:val="24"/>
          <w:szCs w:val="24"/>
          <w:lang w:eastAsia="pt-BR"/>
        </w:rPr>
        <w:t>parece ter desempenhado</w:t>
      </w:r>
      <w:r w:rsidR="00C804C4">
        <w:rPr>
          <w:rFonts w:ascii="Times New Roman" w:eastAsia="Times New Roman" w:hAnsi="Times New Roman" w:cs="Times New Roman"/>
          <w:sz w:val="24"/>
          <w:szCs w:val="24"/>
          <w:lang w:eastAsia="pt-BR"/>
        </w:rPr>
        <w:t xml:space="preserve"> um papel central</w:t>
      </w:r>
      <w:r w:rsidRPr="00047CB9">
        <w:rPr>
          <w:rFonts w:ascii="Times New Roman" w:eastAsia="Times New Roman" w:hAnsi="Times New Roman" w:cs="Times New Roman"/>
          <w:sz w:val="24"/>
          <w:szCs w:val="24"/>
          <w:lang w:eastAsia="pt-BR"/>
        </w:rPr>
        <w:t xml:space="preserve"> para o desenvolvimento econômico </w:t>
      </w:r>
      <w:r w:rsidR="007E182A">
        <w:rPr>
          <w:rFonts w:ascii="Times New Roman" w:eastAsia="Times New Roman" w:hAnsi="Times New Roman" w:cs="Times New Roman"/>
          <w:sz w:val="24"/>
          <w:szCs w:val="24"/>
          <w:lang w:eastAsia="pt-BR"/>
        </w:rPr>
        <w:t>do Canadá</w:t>
      </w:r>
      <w:r w:rsidR="008D4017">
        <w:rPr>
          <w:rFonts w:ascii="Times New Roman" w:eastAsia="Times New Roman" w:hAnsi="Times New Roman" w:cs="Times New Roman"/>
          <w:sz w:val="24"/>
          <w:szCs w:val="24"/>
          <w:lang w:eastAsia="pt-BR"/>
        </w:rPr>
        <w:t>, dada a necessidade</w:t>
      </w:r>
      <w:r w:rsidRPr="00047CB9">
        <w:rPr>
          <w:rFonts w:ascii="Times New Roman" w:eastAsia="Times New Roman" w:hAnsi="Times New Roman" w:cs="Times New Roman"/>
          <w:sz w:val="24"/>
          <w:szCs w:val="24"/>
          <w:lang w:eastAsia="pt-BR"/>
        </w:rPr>
        <w:t xml:space="preserve"> de exportação</w:t>
      </w:r>
      <w:r w:rsidR="00C804C4">
        <w:rPr>
          <w:rFonts w:ascii="Times New Roman" w:eastAsia="Times New Roman" w:hAnsi="Times New Roman" w:cs="Times New Roman"/>
          <w:sz w:val="24"/>
          <w:szCs w:val="24"/>
          <w:lang w:eastAsia="pt-BR"/>
        </w:rPr>
        <w:t xml:space="preserve"> em função</w:t>
      </w:r>
      <w:r w:rsidRPr="00047CB9">
        <w:rPr>
          <w:rFonts w:ascii="Times New Roman" w:eastAsia="Times New Roman" w:hAnsi="Times New Roman" w:cs="Times New Roman"/>
          <w:sz w:val="24"/>
          <w:szCs w:val="24"/>
          <w:lang w:eastAsia="pt-BR"/>
        </w:rPr>
        <w:t xml:space="preserve"> </w:t>
      </w:r>
      <w:r w:rsidR="00C804C4">
        <w:rPr>
          <w:rFonts w:ascii="Times New Roman" w:eastAsia="Times New Roman" w:hAnsi="Times New Roman" w:cs="Times New Roman"/>
          <w:sz w:val="24"/>
          <w:szCs w:val="24"/>
          <w:lang w:eastAsia="pt-BR"/>
        </w:rPr>
        <w:t>do</w:t>
      </w:r>
      <w:r w:rsidRPr="00047CB9">
        <w:rPr>
          <w:rFonts w:ascii="Times New Roman" w:eastAsia="Times New Roman" w:hAnsi="Times New Roman" w:cs="Times New Roman"/>
          <w:sz w:val="24"/>
          <w:szCs w:val="24"/>
          <w:lang w:eastAsia="pt-BR"/>
        </w:rPr>
        <w:t xml:space="preserve"> pequeno mercado interno</w:t>
      </w:r>
      <w:r w:rsidR="00C804C4">
        <w:rPr>
          <w:rFonts w:ascii="Times New Roman" w:eastAsia="Times New Roman" w:hAnsi="Times New Roman" w:cs="Times New Roman"/>
          <w:sz w:val="24"/>
          <w:szCs w:val="24"/>
          <w:lang w:eastAsia="pt-BR"/>
        </w:rPr>
        <w:t xml:space="preserve"> do país</w:t>
      </w:r>
      <w:r w:rsidR="00F67B16">
        <w:rPr>
          <w:rFonts w:ascii="Times New Roman" w:eastAsia="Times New Roman" w:hAnsi="Times New Roman" w:cs="Times New Roman"/>
          <w:sz w:val="24"/>
          <w:szCs w:val="24"/>
          <w:lang w:eastAsia="pt-BR"/>
        </w:rPr>
        <w:t>,</w:t>
      </w:r>
      <w:r w:rsidRPr="00047CB9">
        <w:rPr>
          <w:rFonts w:ascii="Times New Roman" w:eastAsia="Times New Roman" w:hAnsi="Times New Roman" w:cs="Times New Roman"/>
          <w:sz w:val="24"/>
          <w:szCs w:val="24"/>
          <w:lang w:eastAsia="pt-BR"/>
        </w:rPr>
        <w:t xml:space="preserve"> </w:t>
      </w:r>
      <w:r w:rsidR="008D4017">
        <w:rPr>
          <w:rFonts w:ascii="Times New Roman" w:eastAsia="Times New Roman" w:hAnsi="Times New Roman" w:cs="Times New Roman"/>
          <w:sz w:val="24"/>
          <w:szCs w:val="24"/>
          <w:lang w:eastAsia="pt-BR"/>
        </w:rPr>
        <w:t xml:space="preserve">e de </w:t>
      </w:r>
      <w:r w:rsidRPr="00047CB9">
        <w:rPr>
          <w:rFonts w:ascii="Times New Roman" w:eastAsia="Times New Roman" w:hAnsi="Times New Roman" w:cs="Times New Roman"/>
          <w:sz w:val="24"/>
          <w:szCs w:val="24"/>
          <w:lang w:eastAsia="pt-BR"/>
        </w:rPr>
        <w:t>importação de</w:t>
      </w:r>
      <w:r w:rsidR="008D4017">
        <w:rPr>
          <w:rFonts w:ascii="Times New Roman" w:eastAsia="Times New Roman" w:hAnsi="Times New Roman" w:cs="Times New Roman"/>
          <w:sz w:val="24"/>
          <w:szCs w:val="24"/>
          <w:lang w:eastAsia="pt-BR"/>
        </w:rPr>
        <w:t xml:space="preserve"> insumos e</w:t>
      </w:r>
      <w:r w:rsidRPr="00047CB9">
        <w:rPr>
          <w:rFonts w:ascii="Times New Roman" w:eastAsia="Times New Roman" w:hAnsi="Times New Roman" w:cs="Times New Roman"/>
          <w:sz w:val="24"/>
          <w:szCs w:val="24"/>
          <w:lang w:eastAsia="pt-BR"/>
        </w:rPr>
        <w:t xml:space="preserve"> bens de capital para sua indústria nascente.</w:t>
      </w:r>
      <w:r w:rsidR="0011174E">
        <w:rPr>
          <w:rFonts w:ascii="Times New Roman" w:eastAsia="Times New Roman" w:hAnsi="Times New Roman" w:cs="Times New Roman"/>
          <w:sz w:val="24"/>
          <w:szCs w:val="24"/>
          <w:lang w:eastAsia="pt-BR"/>
        </w:rPr>
        <w:t xml:space="preserve"> </w:t>
      </w:r>
      <w:r w:rsidR="002F4D77" w:rsidRPr="002F4D77">
        <w:rPr>
          <w:rFonts w:ascii="Times New Roman" w:eastAsia="Times New Roman" w:hAnsi="Times New Roman" w:cs="Times New Roman"/>
          <w:sz w:val="24"/>
          <w:szCs w:val="24"/>
          <w:lang w:eastAsia="pt-BR"/>
        </w:rPr>
        <w:t>Pode-se dizer que o pensamento de manutenção de um Tratado de Reciprocidade comercial com os Estados Unidos tinha muitos adeptos entre os canadenses</w:t>
      </w:r>
      <w:r w:rsidR="00F20769">
        <w:rPr>
          <w:rFonts w:ascii="Times New Roman" w:eastAsia="Times New Roman" w:hAnsi="Times New Roman" w:cs="Times New Roman"/>
          <w:sz w:val="24"/>
          <w:szCs w:val="24"/>
          <w:lang w:eastAsia="pt-BR"/>
        </w:rPr>
        <w:t xml:space="preserve"> até os anos de 1860</w:t>
      </w:r>
      <w:r w:rsidR="002F4D77" w:rsidRPr="002F4D77">
        <w:rPr>
          <w:rFonts w:ascii="Times New Roman" w:eastAsia="Times New Roman" w:hAnsi="Times New Roman" w:cs="Times New Roman"/>
          <w:sz w:val="24"/>
          <w:szCs w:val="24"/>
          <w:lang w:eastAsia="pt-BR"/>
        </w:rPr>
        <w:t xml:space="preserve">, principalmente entre os homens de negócios, que preferiam ter livre entrada no mercado americano </w:t>
      </w:r>
      <w:r w:rsidR="00532C1D">
        <w:rPr>
          <w:rFonts w:ascii="Times New Roman" w:eastAsia="Times New Roman" w:hAnsi="Times New Roman" w:cs="Times New Roman"/>
          <w:sz w:val="24"/>
          <w:szCs w:val="24"/>
          <w:lang w:eastAsia="pt-BR"/>
        </w:rPr>
        <w:t>em lugar de</w:t>
      </w:r>
      <w:r w:rsidR="002F4D77" w:rsidRPr="002F4D77">
        <w:rPr>
          <w:rFonts w:ascii="Times New Roman" w:eastAsia="Times New Roman" w:hAnsi="Times New Roman" w:cs="Times New Roman"/>
          <w:sz w:val="24"/>
          <w:szCs w:val="24"/>
          <w:lang w:eastAsia="pt-BR"/>
        </w:rPr>
        <w:t xml:space="preserve"> tarifas protecionistas p</w:t>
      </w:r>
      <w:r w:rsidR="00B77818">
        <w:rPr>
          <w:rFonts w:ascii="Times New Roman" w:eastAsia="Times New Roman" w:hAnsi="Times New Roman" w:cs="Times New Roman"/>
          <w:sz w:val="24"/>
          <w:szCs w:val="24"/>
          <w:lang w:eastAsia="pt-BR"/>
        </w:rPr>
        <w:t>ara proteger o mercado interno (AITKEN; EASTERBROOK, 1956, p.362).</w:t>
      </w:r>
    </w:p>
    <w:p w:rsidR="002F4D77" w:rsidRPr="0000613C" w:rsidRDefault="007B1068"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Porém essa </w:t>
      </w:r>
      <w:r w:rsidR="00E30D60">
        <w:rPr>
          <w:rFonts w:ascii="Times New Roman" w:eastAsia="Times New Roman" w:hAnsi="Times New Roman" w:cs="Times New Roman"/>
          <w:sz w:val="24"/>
          <w:szCs w:val="24"/>
          <w:lang w:eastAsia="pt-BR"/>
        </w:rPr>
        <w:t xml:space="preserve">situação </w:t>
      </w:r>
      <w:r>
        <w:rPr>
          <w:rFonts w:ascii="Times New Roman" w:eastAsia="Times New Roman" w:hAnsi="Times New Roman" w:cs="Times New Roman"/>
          <w:sz w:val="24"/>
          <w:szCs w:val="24"/>
          <w:lang w:eastAsia="pt-BR"/>
        </w:rPr>
        <w:t>alterou-se com</w:t>
      </w:r>
      <w:r w:rsidR="00E30D60">
        <w:rPr>
          <w:rFonts w:ascii="Times New Roman" w:eastAsia="Times New Roman" w:hAnsi="Times New Roman" w:cs="Times New Roman"/>
          <w:sz w:val="24"/>
          <w:szCs w:val="24"/>
          <w:lang w:eastAsia="pt-BR"/>
        </w:rPr>
        <w:t xml:space="preserve"> o</w:t>
      </w:r>
      <w:r w:rsidR="002F4D77" w:rsidRPr="002F4D77">
        <w:rPr>
          <w:rFonts w:ascii="Times New Roman" w:eastAsia="Times New Roman" w:hAnsi="Times New Roman" w:cs="Times New Roman"/>
          <w:sz w:val="24"/>
          <w:szCs w:val="24"/>
          <w:lang w:eastAsia="pt-BR"/>
        </w:rPr>
        <w:t xml:space="preserve"> cancelamento unilateral pelos Estados Unidos </w:t>
      </w:r>
      <w:r>
        <w:rPr>
          <w:rFonts w:ascii="Times New Roman" w:eastAsia="Times New Roman" w:hAnsi="Times New Roman" w:cs="Times New Roman"/>
          <w:sz w:val="24"/>
          <w:szCs w:val="24"/>
          <w:lang w:eastAsia="pt-BR"/>
        </w:rPr>
        <w:t xml:space="preserve">do </w:t>
      </w:r>
      <w:r w:rsidR="009E1351">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ratado</w:t>
      </w:r>
      <w:r w:rsidR="009D663C">
        <w:rPr>
          <w:rFonts w:ascii="Times New Roman" w:eastAsia="Times New Roman" w:hAnsi="Times New Roman" w:cs="Times New Roman"/>
          <w:sz w:val="24"/>
          <w:szCs w:val="24"/>
          <w:lang w:eastAsia="pt-BR"/>
        </w:rPr>
        <w:t xml:space="preserve"> de Reciprocidade</w:t>
      </w:r>
      <w:r>
        <w:rPr>
          <w:rFonts w:ascii="Times New Roman" w:eastAsia="Times New Roman" w:hAnsi="Times New Roman" w:cs="Times New Roman"/>
          <w:sz w:val="24"/>
          <w:szCs w:val="24"/>
          <w:lang w:eastAsia="pt-BR"/>
        </w:rPr>
        <w:t xml:space="preserve"> </w:t>
      </w:r>
      <w:r w:rsidR="002F4D77" w:rsidRPr="002F4D77">
        <w:rPr>
          <w:rFonts w:ascii="Times New Roman" w:eastAsia="Times New Roman" w:hAnsi="Times New Roman" w:cs="Times New Roman"/>
          <w:sz w:val="24"/>
          <w:szCs w:val="24"/>
          <w:lang w:eastAsia="pt-BR"/>
        </w:rPr>
        <w:t>em 1866</w:t>
      </w:r>
      <w:r>
        <w:rPr>
          <w:rFonts w:ascii="Times New Roman" w:eastAsia="Times New Roman" w:hAnsi="Times New Roman" w:cs="Times New Roman"/>
          <w:sz w:val="24"/>
          <w:szCs w:val="24"/>
          <w:lang w:eastAsia="pt-BR"/>
        </w:rPr>
        <w:t xml:space="preserve"> e com a</w:t>
      </w:r>
      <w:r w:rsidR="00AC595E">
        <w:rPr>
          <w:rFonts w:ascii="Times New Roman" w:eastAsia="Times New Roman" w:hAnsi="Times New Roman" w:cs="Times New Roman"/>
          <w:sz w:val="24"/>
          <w:szCs w:val="24"/>
          <w:lang w:eastAsia="pt-BR"/>
        </w:rPr>
        <w:t xml:space="preserve"> criação da</w:t>
      </w:r>
      <w:r>
        <w:rPr>
          <w:rFonts w:ascii="Times New Roman" w:eastAsia="Times New Roman" w:hAnsi="Times New Roman" w:cs="Times New Roman"/>
          <w:sz w:val="24"/>
          <w:szCs w:val="24"/>
          <w:lang w:eastAsia="pt-BR"/>
        </w:rPr>
        <w:t xml:space="preserve"> Confederação em 1867</w:t>
      </w:r>
      <w:r w:rsidR="002F4D77" w:rsidRPr="002F4D77">
        <w:rPr>
          <w:rFonts w:ascii="Times New Roman" w:eastAsia="Times New Roman" w:hAnsi="Times New Roman" w:cs="Times New Roman"/>
          <w:sz w:val="24"/>
          <w:szCs w:val="24"/>
          <w:lang w:eastAsia="pt-BR"/>
        </w:rPr>
        <w:t>. A mudança na política comercial</w:t>
      </w:r>
      <w:r w:rsidR="008D4017">
        <w:rPr>
          <w:rFonts w:ascii="Times New Roman" w:eastAsia="Times New Roman" w:hAnsi="Times New Roman" w:cs="Times New Roman"/>
          <w:sz w:val="24"/>
          <w:szCs w:val="24"/>
          <w:lang w:eastAsia="pt-BR"/>
        </w:rPr>
        <w:t>, do liberalismo para o protecionismo,</w:t>
      </w:r>
      <w:r w:rsidR="002F4D77" w:rsidRPr="002F4D77">
        <w:rPr>
          <w:rFonts w:ascii="Times New Roman" w:eastAsia="Times New Roman" w:hAnsi="Times New Roman" w:cs="Times New Roman"/>
          <w:sz w:val="24"/>
          <w:szCs w:val="24"/>
          <w:lang w:eastAsia="pt-BR"/>
        </w:rPr>
        <w:t xml:space="preserve"> teria diversas motivações, entre os quais:</w:t>
      </w:r>
      <w:r w:rsidR="00F04C33">
        <w:rPr>
          <w:rFonts w:ascii="Times New Roman" w:eastAsia="Times New Roman" w:hAnsi="Times New Roman" w:cs="Times New Roman"/>
          <w:sz w:val="24"/>
          <w:szCs w:val="24"/>
          <w:lang w:eastAsia="pt-BR"/>
        </w:rPr>
        <w:t xml:space="preserve"> as estratégias para o desenvolvimento do Domínio,</w:t>
      </w:r>
      <w:r w:rsidR="002F4D77" w:rsidRPr="002F4D77">
        <w:rPr>
          <w:rFonts w:ascii="Times New Roman" w:eastAsia="Times New Roman" w:hAnsi="Times New Roman" w:cs="Times New Roman"/>
          <w:sz w:val="24"/>
          <w:szCs w:val="24"/>
          <w:lang w:eastAsia="pt-BR"/>
        </w:rPr>
        <w:t xml:space="preserve"> a necessidade do governo financiar suas atividades e a</w:t>
      </w:r>
      <w:r w:rsidR="00F04C33">
        <w:rPr>
          <w:rFonts w:ascii="Times New Roman" w:eastAsia="Times New Roman" w:hAnsi="Times New Roman" w:cs="Times New Roman"/>
          <w:sz w:val="24"/>
          <w:szCs w:val="24"/>
          <w:lang w:eastAsia="pt-BR"/>
        </w:rPr>
        <w:t xml:space="preserve"> própria</w:t>
      </w:r>
      <w:r w:rsidR="002F4D77" w:rsidRPr="002F4D77">
        <w:rPr>
          <w:rFonts w:ascii="Times New Roman" w:eastAsia="Times New Roman" w:hAnsi="Times New Roman" w:cs="Times New Roman"/>
          <w:sz w:val="24"/>
          <w:szCs w:val="24"/>
          <w:lang w:eastAsia="pt-BR"/>
        </w:rPr>
        <w:t xml:space="preserve"> </w:t>
      </w:r>
      <w:proofErr w:type="gramStart"/>
      <w:r w:rsidR="002F4D77" w:rsidRPr="002F4D77">
        <w:rPr>
          <w:rFonts w:ascii="Times New Roman" w:eastAsia="Times New Roman" w:hAnsi="Times New Roman" w:cs="Times New Roman"/>
          <w:sz w:val="24"/>
          <w:szCs w:val="24"/>
          <w:lang w:eastAsia="pt-BR"/>
        </w:rPr>
        <w:t>mudança de posicionamento dos homens de negócio da época à medida que se tornavam cada vez mais remotas</w:t>
      </w:r>
      <w:proofErr w:type="gramEnd"/>
      <w:r w:rsidR="002F4D77" w:rsidRPr="002F4D77">
        <w:rPr>
          <w:rFonts w:ascii="Times New Roman" w:eastAsia="Times New Roman" w:hAnsi="Times New Roman" w:cs="Times New Roman"/>
          <w:sz w:val="24"/>
          <w:szCs w:val="24"/>
          <w:lang w:eastAsia="pt-BR"/>
        </w:rPr>
        <w:t xml:space="preserve"> as possibilidades de acordos de livre comércio com os Esta</w:t>
      </w:r>
      <w:r w:rsidR="00F20769">
        <w:rPr>
          <w:rFonts w:ascii="Times New Roman" w:eastAsia="Times New Roman" w:hAnsi="Times New Roman" w:cs="Times New Roman"/>
          <w:sz w:val="24"/>
          <w:szCs w:val="24"/>
          <w:lang w:eastAsia="pt-BR"/>
        </w:rPr>
        <w:t>dos Unidos.</w:t>
      </w:r>
      <w:r w:rsidR="009D663C">
        <w:rPr>
          <w:rFonts w:ascii="Times New Roman" w:eastAsia="Times New Roman" w:hAnsi="Times New Roman" w:cs="Times New Roman"/>
          <w:sz w:val="24"/>
          <w:szCs w:val="24"/>
          <w:lang w:eastAsia="pt-BR"/>
        </w:rPr>
        <w:t xml:space="preserve"> </w:t>
      </w:r>
      <w:r w:rsidR="00F20769">
        <w:rPr>
          <w:rFonts w:ascii="Times New Roman" w:eastAsia="Times New Roman" w:hAnsi="Times New Roman" w:cs="Times New Roman"/>
          <w:sz w:val="24"/>
          <w:szCs w:val="24"/>
          <w:lang w:eastAsia="pt-BR"/>
        </w:rPr>
        <w:t>Somava-se a isso o</w:t>
      </w:r>
      <w:r w:rsidR="002F4D77" w:rsidRPr="002F4D77">
        <w:rPr>
          <w:rFonts w:ascii="Times New Roman" w:eastAsia="Times New Roman" w:hAnsi="Times New Roman" w:cs="Times New Roman"/>
          <w:sz w:val="24"/>
          <w:szCs w:val="24"/>
          <w:lang w:eastAsia="pt-BR"/>
        </w:rPr>
        <w:t xml:space="preserve"> fato de acentuarem-se as medidas protecionistas estadunidenses, o que gerava as condições políticas para a </w:t>
      </w:r>
      <w:proofErr w:type="gramStart"/>
      <w:r w:rsidR="002F4D77" w:rsidRPr="002F4D77">
        <w:rPr>
          <w:rFonts w:ascii="Times New Roman" w:eastAsia="Times New Roman" w:hAnsi="Times New Roman" w:cs="Times New Roman"/>
          <w:sz w:val="24"/>
          <w:szCs w:val="24"/>
          <w:lang w:eastAsia="pt-BR"/>
        </w:rPr>
        <w:t>implementação</w:t>
      </w:r>
      <w:proofErr w:type="gramEnd"/>
      <w:r w:rsidR="002F4D77" w:rsidRPr="002F4D77">
        <w:rPr>
          <w:rFonts w:ascii="Times New Roman" w:eastAsia="Times New Roman" w:hAnsi="Times New Roman" w:cs="Times New Roman"/>
          <w:sz w:val="24"/>
          <w:szCs w:val="24"/>
          <w:lang w:eastAsia="pt-BR"/>
        </w:rPr>
        <w:t xml:space="preserve"> de tarifas </w:t>
      </w:r>
      <w:r w:rsidR="00532C1D" w:rsidRPr="002F4D77">
        <w:rPr>
          <w:rFonts w:ascii="Times New Roman" w:eastAsia="Times New Roman" w:hAnsi="Times New Roman" w:cs="Times New Roman"/>
          <w:sz w:val="24"/>
          <w:szCs w:val="24"/>
          <w:lang w:eastAsia="pt-BR"/>
        </w:rPr>
        <w:t>protecionistas</w:t>
      </w:r>
      <w:r w:rsidR="00532C1D" w:rsidRPr="0000613C">
        <w:rPr>
          <w:rFonts w:ascii="Times New Roman" w:eastAsia="Times New Roman" w:hAnsi="Times New Roman" w:cs="Times New Roman"/>
          <w:sz w:val="24"/>
          <w:szCs w:val="24"/>
          <w:lang w:eastAsia="pt-BR"/>
        </w:rPr>
        <w:t>. (</w:t>
      </w:r>
      <w:r w:rsidR="0000613C" w:rsidRPr="0000613C">
        <w:rPr>
          <w:rFonts w:ascii="Times New Roman" w:eastAsia="Times New Roman" w:hAnsi="Times New Roman" w:cs="Times New Roman"/>
          <w:sz w:val="24"/>
          <w:szCs w:val="24"/>
          <w:lang w:eastAsia="pt-BR"/>
        </w:rPr>
        <w:t>MARR, PATERSON, 1980, p.377)</w:t>
      </w:r>
    </w:p>
    <w:p w:rsidR="00B26C63" w:rsidRPr="008D4017" w:rsidRDefault="00B2345C" w:rsidP="0048231B">
      <w:pPr>
        <w:spacing w:after="0" w:line="24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sz w:val="24"/>
          <w:szCs w:val="24"/>
          <w:lang w:eastAsia="pt-BR"/>
        </w:rPr>
        <w:t>Inicialmente o</w:t>
      </w:r>
      <w:r w:rsidR="00C64C0E" w:rsidRPr="003B2552">
        <w:rPr>
          <w:rFonts w:ascii="Times New Roman" w:eastAsia="Times New Roman" w:hAnsi="Times New Roman" w:cs="Times New Roman"/>
          <w:sz w:val="24"/>
          <w:szCs w:val="24"/>
          <w:lang w:eastAsia="pt-BR"/>
        </w:rPr>
        <w:t xml:space="preserve"> cancelamento do Tratado de Reciprocidade e a</w:t>
      </w:r>
      <w:r w:rsidR="00AC595E">
        <w:rPr>
          <w:rFonts w:ascii="Times New Roman" w:eastAsia="Times New Roman" w:hAnsi="Times New Roman" w:cs="Times New Roman"/>
          <w:sz w:val="24"/>
          <w:szCs w:val="24"/>
          <w:lang w:eastAsia="pt-BR"/>
        </w:rPr>
        <w:t xml:space="preserve"> criação da</w:t>
      </w:r>
      <w:r w:rsidR="00C64C0E" w:rsidRPr="003B2552">
        <w:rPr>
          <w:rFonts w:ascii="Times New Roman" w:eastAsia="Times New Roman" w:hAnsi="Times New Roman" w:cs="Times New Roman"/>
          <w:sz w:val="24"/>
          <w:szCs w:val="24"/>
          <w:lang w:eastAsia="pt-BR"/>
        </w:rPr>
        <w:t xml:space="preserve"> Confederação pareciam não ter gerado grandes efeitos </w:t>
      </w:r>
      <w:r w:rsidR="00B05324">
        <w:rPr>
          <w:rFonts w:ascii="Times New Roman" w:eastAsia="Times New Roman" w:hAnsi="Times New Roman" w:cs="Times New Roman"/>
          <w:sz w:val="24"/>
          <w:szCs w:val="24"/>
          <w:lang w:eastAsia="pt-BR"/>
        </w:rPr>
        <w:t>no desempenho econômico</w:t>
      </w:r>
      <w:r w:rsidR="00C64C0E" w:rsidRPr="003B2552">
        <w:rPr>
          <w:rFonts w:ascii="Times New Roman" w:eastAsia="Times New Roman" w:hAnsi="Times New Roman" w:cs="Times New Roman"/>
          <w:sz w:val="24"/>
          <w:szCs w:val="24"/>
          <w:lang w:eastAsia="pt-BR"/>
        </w:rPr>
        <w:t xml:space="preserve"> do país. As exportações e importações continuavam crescendo e uma alardeada recessão que viria após o fim do </w:t>
      </w:r>
      <w:r w:rsidR="00985715">
        <w:rPr>
          <w:rFonts w:ascii="Times New Roman" w:eastAsia="Times New Roman" w:hAnsi="Times New Roman" w:cs="Times New Roman"/>
          <w:sz w:val="24"/>
          <w:szCs w:val="24"/>
          <w:lang w:eastAsia="pt-BR"/>
        </w:rPr>
        <w:t>T</w:t>
      </w:r>
      <w:r w:rsidR="00C64C0E" w:rsidRPr="003B2552">
        <w:rPr>
          <w:rFonts w:ascii="Times New Roman" w:eastAsia="Times New Roman" w:hAnsi="Times New Roman" w:cs="Times New Roman"/>
          <w:sz w:val="24"/>
          <w:szCs w:val="24"/>
          <w:lang w:eastAsia="pt-BR"/>
        </w:rPr>
        <w:t>ratado</w:t>
      </w:r>
      <w:r w:rsidR="00985715">
        <w:rPr>
          <w:rFonts w:ascii="Times New Roman" w:eastAsia="Times New Roman" w:hAnsi="Times New Roman" w:cs="Times New Roman"/>
          <w:sz w:val="24"/>
          <w:szCs w:val="24"/>
          <w:lang w:eastAsia="pt-BR"/>
        </w:rPr>
        <w:t xml:space="preserve"> de Reciprocidade</w:t>
      </w:r>
      <w:r w:rsidR="00C64C0E" w:rsidRPr="003B2552">
        <w:rPr>
          <w:rFonts w:ascii="Times New Roman" w:eastAsia="Times New Roman" w:hAnsi="Times New Roman" w:cs="Times New Roman"/>
          <w:sz w:val="24"/>
          <w:szCs w:val="24"/>
          <w:lang w:eastAsia="pt-BR"/>
        </w:rPr>
        <w:t xml:space="preserve"> </w:t>
      </w:r>
      <w:r w:rsidR="007A4FF2">
        <w:rPr>
          <w:rFonts w:ascii="Times New Roman" w:eastAsia="Times New Roman" w:hAnsi="Times New Roman" w:cs="Times New Roman"/>
          <w:sz w:val="24"/>
          <w:szCs w:val="24"/>
          <w:lang w:eastAsia="pt-BR"/>
        </w:rPr>
        <w:t>não se materializou.</w:t>
      </w:r>
      <w:r w:rsidR="009D663C">
        <w:rPr>
          <w:rFonts w:ascii="Times New Roman" w:eastAsia="Times New Roman" w:hAnsi="Times New Roman" w:cs="Times New Roman"/>
          <w:sz w:val="24"/>
          <w:szCs w:val="24"/>
          <w:lang w:eastAsia="pt-BR"/>
        </w:rPr>
        <w:t xml:space="preserve"> </w:t>
      </w:r>
      <w:r w:rsidR="008D4017">
        <w:rPr>
          <w:rFonts w:ascii="Times New Roman" w:eastAsia="Times New Roman" w:hAnsi="Times New Roman" w:cs="Times New Roman"/>
          <w:sz w:val="24"/>
          <w:szCs w:val="24"/>
          <w:lang w:eastAsia="pt-BR"/>
        </w:rPr>
        <w:t>Foi</w:t>
      </w:r>
      <w:r w:rsidR="00C64C0E" w:rsidRPr="003B2552">
        <w:rPr>
          <w:rFonts w:ascii="Times New Roman" w:eastAsia="Times New Roman" w:hAnsi="Times New Roman" w:cs="Times New Roman"/>
          <w:sz w:val="24"/>
          <w:szCs w:val="24"/>
          <w:lang w:eastAsia="pt-BR"/>
        </w:rPr>
        <w:t xml:space="preserve"> só a partir d</w:t>
      </w:r>
      <w:r w:rsidR="00E93ED6" w:rsidRPr="003B2552">
        <w:rPr>
          <w:rFonts w:ascii="Times New Roman" w:eastAsia="Times New Roman" w:hAnsi="Times New Roman" w:cs="Times New Roman"/>
          <w:sz w:val="24"/>
          <w:szCs w:val="24"/>
          <w:lang w:eastAsia="pt-BR"/>
        </w:rPr>
        <w:t>o inicio da</w:t>
      </w:r>
      <w:r w:rsidR="00C64C0E" w:rsidRPr="003B2552">
        <w:rPr>
          <w:rFonts w:ascii="Times New Roman" w:eastAsia="Times New Roman" w:hAnsi="Times New Roman" w:cs="Times New Roman"/>
          <w:sz w:val="24"/>
          <w:szCs w:val="24"/>
          <w:lang w:eastAsia="pt-BR"/>
        </w:rPr>
        <w:t xml:space="preserve"> depressão mundial </w:t>
      </w:r>
      <w:r w:rsidR="00E93ED6" w:rsidRPr="003B2552">
        <w:rPr>
          <w:rFonts w:ascii="Times New Roman" w:eastAsia="Times New Roman" w:hAnsi="Times New Roman" w:cs="Times New Roman"/>
          <w:sz w:val="24"/>
          <w:szCs w:val="24"/>
          <w:lang w:eastAsia="pt-BR"/>
        </w:rPr>
        <w:t xml:space="preserve">em 1873 que os indicadores da economia canadense começam a piorar. A queda dos preços das commodities, a queda nas exportações e o aumento do desemprego se </w:t>
      </w:r>
      <w:r w:rsidR="00AC595E">
        <w:rPr>
          <w:rFonts w:ascii="Times New Roman" w:eastAsia="Times New Roman" w:hAnsi="Times New Roman" w:cs="Times New Roman"/>
          <w:sz w:val="24"/>
          <w:szCs w:val="24"/>
          <w:lang w:eastAsia="pt-BR"/>
        </w:rPr>
        <w:t>tornaram</w:t>
      </w:r>
      <w:r w:rsidR="00E93ED6" w:rsidRPr="003B2552">
        <w:rPr>
          <w:rFonts w:ascii="Times New Roman" w:eastAsia="Times New Roman" w:hAnsi="Times New Roman" w:cs="Times New Roman"/>
          <w:sz w:val="24"/>
          <w:szCs w:val="24"/>
          <w:lang w:eastAsia="pt-BR"/>
        </w:rPr>
        <w:t xml:space="preserve"> os sinais evidentes </w:t>
      </w:r>
      <w:r w:rsidR="007B1068" w:rsidRPr="003B2552">
        <w:rPr>
          <w:rFonts w:ascii="Times New Roman" w:eastAsia="Times New Roman" w:hAnsi="Times New Roman" w:cs="Times New Roman"/>
          <w:sz w:val="24"/>
          <w:szCs w:val="24"/>
          <w:lang w:eastAsia="pt-BR"/>
        </w:rPr>
        <w:t>dessa época</w:t>
      </w:r>
      <w:r w:rsidR="00E93ED6" w:rsidRPr="003B2552">
        <w:rPr>
          <w:rFonts w:ascii="Times New Roman" w:eastAsia="Times New Roman" w:hAnsi="Times New Roman" w:cs="Times New Roman"/>
          <w:sz w:val="24"/>
          <w:szCs w:val="24"/>
          <w:lang w:eastAsia="pt-BR"/>
        </w:rPr>
        <w:t xml:space="preserve">. Um aspecto interessante do período é que a </w:t>
      </w:r>
      <w:r w:rsidR="00E93ED6" w:rsidRPr="003B2552">
        <w:rPr>
          <w:rFonts w:ascii="Times New Roman" w:eastAsia="Times New Roman" w:hAnsi="Times New Roman" w:cs="Times New Roman"/>
          <w:sz w:val="24"/>
          <w:szCs w:val="24"/>
          <w:lang w:eastAsia="pt-BR"/>
        </w:rPr>
        <w:lastRenderedPageBreak/>
        <w:t>economia americana sai</w:t>
      </w:r>
      <w:r w:rsidR="00AC595E">
        <w:rPr>
          <w:rFonts w:ascii="Times New Roman" w:eastAsia="Times New Roman" w:hAnsi="Times New Roman" w:cs="Times New Roman"/>
          <w:sz w:val="24"/>
          <w:szCs w:val="24"/>
          <w:lang w:eastAsia="pt-BR"/>
        </w:rPr>
        <w:t>u</w:t>
      </w:r>
      <w:r w:rsidR="00E93ED6" w:rsidRPr="003B2552">
        <w:rPr>
          <w:rFonts w:ascii="Times New Roman" w:eastAsia="Times New Roman" w:hAnsi="Times New Roman" w:cs="Times New Roman"/>
          <w:sz w:val="24"/>
          <w:szCs w:val="24"/>
          <w:lang w:eastAsia="pt-BR"/>
        </w:rPr>
        <w:t xml:space="preserve"> da crise de forma mais rápida que a canadense gerando um forte movimento de emigração rumo aos Estados Unidos, </w:t>
      </w:r>
      <w:r w:rsidR="007B1068" w:rsidRPr="003B2552">
        <w:rPr>
          <w:rFonts w:ascii="Times New Roman" w:eastAsia="Times New Roman" w:hAnsi="Times New Roman" w:cs="Times New Roman"/>
          <w:sz w:val="24"/>
          <w:szCs w:val="24"/>
          <w:lang w:eastAsia="pt-BR"/>
        </w:rPr>
        <w:t>criando um intenso</w:t>
      </w:r>
      <w:r w:rsidR="00E93ED6" w:rsidRPr="003B2552">
        <w:rPr>
          <w:rFonts w:ascii="Times New Roman" w:eastAsia="Times New Roman" w:hAnsi="Times New Roman" w:cs="Times New Roman"/>
          <w:sz w:val="24"/>
          <w:szCs w:val="24"/>
          <w:lang w:eastAsia="pt-BR"/>
        </w:rPr>
        <w:t xml:space="preserve"> debate na época sobre se o potencial econômico do Canadá não estava sendo subaproveitado</w:t>
      </w:r>
      <w:r w:rsidR="002C72AF">
        <w:rPr>
          <w:rFonts w:ascii="Times New Roman" w:eastAsia="Times New Roman" w:hAnsi="Times New Roman" w:cs="Times New Roman"/>
          <w:sz w:val="24"/>
          <w:szCs w:val="24"/>
          <w:lang w:eastAsia="pt-BR"/>
        </w:rPr>
        <w:t xml:space="preserve"> (MARR; PATERSON, 1980, p</w:t>
      </w:r>
      <w:r w:rsidR="00F56721">
        <w:rPr>
          <w:rFonts w:ascii="Times New Roman" w:eastAsia="Times New Roman" w:hAnsi="Times New Roman" w:cs="Times New Roman"/>
          <w:sz w:val="24"/>
          <w:szCs w:val="24"/>
          <w:lang w:eastAsia="pt-BR"/>
        </w:rPr>
        <w:t>.</w:t>
      </w:r>
      <w:r w:rsidR="002C72AF">
        <w:rPr>
          <w:rFonts w:ascii="Times New Roman" w:eastAsia="Times New Roman" w:hAnsi="Times New Roman" w:cs="Times New Roman"/>
          <w:sz w:val="24"/>
          <w:szCs w:val="24"/>
          <w:lang w:eastAsia="pt-BR"/>
        </w:rPr>
        <w:t>379-380).</w:t>
      </w:r>
    </w:p>
    <w:p w:rsidR="00C64C0E" w:rsidRPr="008D4017" w:rsidRDefault="00E93ED6" w:rsidP="00307942">
      <w:pPr>
        <w:spacing w:after="0" w:line="240" w:lineRule="auto"/>
        <w:ind w:firstLine="709"/>
        <w:jc w:val="both"/>
        <w:rPr>
          <w:rFonts w:ascii="Times New Roman" w:eastAsia="Times New Roman" w:hAnsi="Times New Roman" w:cs="Times New Roman"/>
          <w:color w:val="FF0000"/>
          <w:sz w:val="24"/>
          <w:szCs w:val="24"/>
          <w:lang w:eastAsia="pt-BR"/>
        </w:rPr>
      </w:pPr>
      <w:r w:rsidRPr="003B2552">
        <w:rPr>
          <w:rFonts w:ascii="Times New Roman" w:eastAsia="Times New Roman" w:hAnsi="Times New Roman" w:cs="Times New Roman"/>
          <w:sz w:val="24"/>
          <w:szCs w:val="24"/>
          <w:lang w:eastAsia="pt-BR"/>
        </w:rPr>
        <w:t xml:space="preserve"> Foi nesse cenário que a discussão sobre as políticas protecionistas ganha</w:t>
      </w:r>
      <w:r w:rsidR="00A865F0">
        <w:rPr>
          <w:rFonts w:ascii="Times New Roman" w:eastAsia="Times New Roman" w:hAnsi="Times New Roman" w:cs="Times New Roman"/>
          <w:sz w:val="24"/>
          <w:szCs w:val="24"/>
          <w:lang w:eastAsia="pt-BR"/>
        </w:rPr>
        <w:t>ram</w:t>
      </w:r>
      <w:r w:rsidRPr="003B2552">
        <w:rPr>
          <w:rFonts w:ascii="Times New Roman" w:eastAsia="Times New Roman" w:hAnsi="Times New Roman" w:cs="Times New Roman"/>
          <w:sz w:val="24"/>
          <w:szCs w:val="24"/>
          <w:lang w:eastAsia="pt-BR"/>
        </w:rPr>
        <w:t xml:space="preserve"> fôlego, e no centro da discussão esta</w:t>
      </w:r>
      <w:r w:rsidR="008D4017">
        <w:rPr>
          <w:rFonts w:ascii="Times New Roman" w:eastAsia="Times New Roman" w:hAnsi="Times New Roman" w:cs="Times New Roman"/>
          <w:sz w:val="24"/>
          <w:szCs w:val="24"/>
          <w:lang w:eastAsia="pt-BR"/>
        </w:rPr>
        <w:t>va</w:t>
      </w:r>
      <w:r w:rsidRPr="003B2552">
        <w:rPr>
          <w:rFonts w:ascii="Times New Roman" w:eastAsia="Times New Roman" w:hAnsi="Times New Roman" w:cs="Times New Roman"/>
          <w:sz w:val="24"/>
          <w:szCs w:val="24"/>
          <w:lang w:eastAsia="pt-BR"/>
        </w:rPr>
        <w:t xml:space="preserve"> </w:t>
      </w:r>
      <w:proofErr w:type="gramStart"/>
      <w:r w:rsidRPr="003B2552">
        <w:rPr>
          <w:rFonts w:ascii="Times New Roman" w:eastAsia="Times New Roman" w:hAnsi="Times New Roman" w:cs="Times New Roman"/>
          <w:sz w:val="24"/>
          <w:szCs w:val="24"/>
          <w:lang w:eastAsia="pt-BR"/>
        </w:rPr>
        <w:t>a</w:t>
      </w:r>
      <w:proofErr w:type="gramEnd"/>
      <w:r w:rsidRPr="003B2552">
        <w:rPr>
          <w:rFonts w:ascii="Times New Roman" w:eastAsia="Times New Roman" w:hAnsi="Times New Roman" w:cs="Times New Roman"/>
          <w:sz w:val="24"/>
          <w:szCs w:val="24"/>
          <w:lang w:eastAsia="pt-BR"/>
        </w:rPr>
        <w:t xml:space="preserve"> ideia que a economia deveria se diversificar </w:t>
      </w:r>
      <w:r w:rsidR="008D4017">
        <w:rPr>
          <w:rFonts w:ascii="Times New Roman" w:eastAsia="Times New Roman" w:hAnsi="Times New Roman" w:cs="Times New Roman"/>
          <w:sz w:val="24"/>
          <w:szCs w:val="24"/>
          <w:lang w:eastAsia="pt-BR"/>
        </w:rPr>
        <w:t xml:space="preserve">mais rapidamente do que os processos espontâneos haviam proporcionado até então, </w:t>
      </w:r>
      <w:r w:rsidRPr="003B2552">
        <w:rPr>
          <w:rFonts w:ascii="Times New Roman" w:eastAsia="Times New Roman" w:hAnsi="Times New Roman" w:cs="Times New Roman"/>
          <w:sz w:val="24"/>
          <w:szCs w:val="24"/>
          <w:lang w:eastAsia="pt-BR"/>
        </w:rPr>
        <w:t>utilizando para isso de altas tarifas que visavam atingir</w:t>
      </w:r>
      <w:r w:rsidR="00260DC1">
        <w:rPr>
          <w:rFonts w:ascii="Times New Roman" w:eastAsia="Times New Roman" w:hAnsi="Times New Roman" w:cs="Times New Roman"/>
          <w:sz w:val="24"/>
          <w:szCs w:val="24"/>
          <w:lang w:eastAsia="pt-BR"/>
        </w:rPr>
        <w:t xml:space="preserve"> </w:t>
      </w:r>
      <w:r w:rsidRPr="003B2552">
        <w:rPr>
          <w:rFonts w:ascii="Times New Roman" w:eastAsia="Times New Roman" w:hAnsi="Times New Roman" w:cs="Times New Roman"/>
          <w:sz w:val="24"/>
          <w:szCs w:val="24"/>
          <w:lang w:eastAsia="pt-BR"/>
        </w:rPr>
        <w:t xml:space="preserve">principalmente as importações </w:t>
      </w:r>
      <w:r w:rsidR="00B26C63">
        <w:rPr>
          <w:rFonts w:ascii="Times New Roman" w:eastAsia="Times New Roman" w:hAnsi="Times New Roman" w:cs="Times New Roman"/>
          <w:sz w:val="24"/>
          <w:szCs w:val="24"/>
          <w:lang w:eastAsia="pt-BR"/>
        </w:rPr>
        <w:t>estadunidenses</w:t>
      </w:r>
      <w:r w:rsidR="00A865F0">
        <w:rPr>
          <w:rFonts w:ascii="Times New Roman" w:eastAsia="Times New Roman" w:hAnsi="Times New Roman" w:cs="Times New Roman"/>
          <w:sz w:val="24"/>
          <w:szCs w:val="24"/>
          <w:lang w:eastAsia="pt-BR"/>
        </w:rPr>
        <w:t>,</w:t>
      </w:r>
      <w:r w:rsidRPr="003B2552">
        <w:rPr>
          <w:rFonts w:ascii="Times New Roman" w:eastAsia="Times New Roman" w:hAnsi="Times New Roman" w:cs="Times New Roman"/>
          <w:sz w:val="24"/>
          <w:szCs w:val="24"/>
          <w:lang w:eastAsia="pt-BR"/>
        </w:rPr>
        <w:t xml:space="preserve"> e que essas tarifas teriam que ser maiores sobre</w:t>
      </w:r>
      <w:r w:rsidR="00346F11">
        <w:rPr>
          <w:rFonts w:ascii="Times New Roman" w:eastAsia="Times New Roman" w:hAnsi="Times New Roman" w:cs="Times New Roman"/>
          <w:sz w:val="24"/>
          <w:szCs w:val="24"/>
          <w:lang w:eastAsia="pt-BR"/>
        </w:rPr>
        <w:t xml:space="preserve"> os</w:t>
      </w:r>
      <w:r w:rsidRPr="003B2552">
        <w:rPr>
          <w:rFonts w:ascii="Times New Roman" w:eastAsia="Times New Roman" w:hAnsi="Times New Roman" w:cs="Times New Roman"/>
          <w:sz w:val="24"/>
          <w:szCs w:val="24"/>
          <w:lang w:eastAsia="pt-BR"/>
        </w:rPr>
        <w:t xml:space="preserve"> bens de consumo final do que sobre </w:t>
      </w:r>
      <w:r w:rsidR="00346F11">
        <w:rPr>
          <w:rFonts w:ascii="Times New Roman" w:eastAsia="Times New Roman" w:hAnsi="Times New Roman" w:cs="Times New Roman"/>
          <w:sz w:val="24"/>
          <w:szCs w:val="24"/>
          <w:lang w:eastAsia="pt-BR"/>
        </w:rPr>
        <w:t xml:space="preserve">os </w:t>
      </w:r>
      <w:r w:rsidRPr="003B2552">
        <w:rPr>
          <w:rFonts w:ascii="Times New Roman" w:eastAsia="Times New Roman" w:hAnsi="Times New Roman" w:cs="Times New Roman"/>
          <w:sz w:val="24"/>
          <w:szCs w:val="24"/>
          <w:lang w:eastAsia="pt-BR"/>
        </w:rPr>
        <w:t>bens intermediários e</w:t>
      </w:r>
      <w:r w:rsidR="00346F11">
        <w:rPr>
          <w:rFonts w:ascii="Times New Roman" w:eastAsia="Times New Roman" w:hAnsi="Times New Roman" w:cs="Times New Roman"/>
          <w:sz w:val="24"/>
          <w:szCs w:val="24"/>
          <w:lang w:eastAsia="pt-BR"/>
        </w:rPr>
        <w:t xml:space="preserve"> as</w:t>
      </w:r>
      <w:r w:rsidRPr="003B2552">
        <w:rPr>
          <w:rFonts w:ascii="Times New Roman" w:eastAsia="Times New Roman" w:hAnsi="Times New Roman" w:cs="Times New Roman"/>
          <w:sz w:val="24"/>
          <w:szCs w:val="24"/>
          <w:lang w:eastAsia="pt-BR"/>
        </w:rPr>
        <w:t xml:space="preserve"> matérias-primas. </w:t>
      </w:r>
    </w:p>
    <w:p w:rsidR="002C0DB8" w:rsidRPr="002A5C54" w:rsidRDefault="002C0DB8" w:rsidP="00307942">
      <w:pPr>
        <w:spacing w:after="0" w:line="240" w:lineRule="auto"/>
        <w:ind w:firstLine="709"/>
        <w:jc w:val="both"/>
        <w:rPr>
          <w:rFonts w:ascii="Times New Roman" w:eastAsia="Times New Roman" w:hAnsi="Times New Roman" w:cs="Times New Roman"/>
          <w:lang w:eastAsia="pt-BR"/>
        </w:rPr>
      </w:pPr>
      <w:r w:rsidRPr="003B2552">
        <w:rPr>
          <w:rFonts w:ascii="Times New Roman" w:eastAsia="Times New Roman" w:hAnsi="Times New Roman" w:cs="Times New Roman"/>
          <w:sz w:val="24"/>
          <w:szCs w:val="24"/>
          <w:lang w:eastAsia="pt-BR"/>
        </w:rPr>
        <w:t xml:space="preserve">As eleições de 1878 seriam então pautadas basicamente por questões econômicas e principalmente pelas questões de protecionismo comercial. Em discurso ao parlamento John MacDonald </w:t>
      </w:r>
      <w:r w:rsidR="00E90A35" w:rsidRPr="003B2552">
        <w:rPr>
          <w:rFonts w:ascii="Times New Roman" w:eastAsia="Times New Roman" w:hAnsi="Times New Roman" w:cs="Times New Roman"/>
          <w:sz w:val="24"/>
          <w:szCs w:val="24"/>
          <w:lang w:eastAsia="pt-BR"/>
        </w:rPr>
        <w:t>deu</w:t>
      </w:r>
      <w:r w:rsidRPr="003B2552">
        <w:rPr>
          <w:rFonts w:ascii="Times New Roman" w:eastAsia="Times New Roman" w:hAnsi="Times New Roman" w:cs="Times New Roman"/>
          <w:sz w:val="24"/>
          <w:szCs w:val="24"/>
          <w:lang w:eastAsia="pt-BR"/>
        </w:rPr>
        <w:t xml:space="preserve"> a seguinte declaração:</w:t>
      </w:r>
    </w:p>
    <w:p w:rsidR="002C0DB8" w:rsidRPr="002A5C54" w:rsidRDefault="002C0DB8" w:rsidP="00F27D87">
      <w:pPr>
        <w:spacing w:after="0" w:line="240" w:lineRule="auto"/>
        <w:ind w:left="2268"/>
        <w:jc w:val="both"/>
        <w:rPr>
          <w:rFonts w:ascii="Times New Roman" w:eastAsia="Times New Roman" w:hAnsi="Times New Roman" w:cs="Times New Roman"/>
          <w:lang w:eastAsia="pt-BR"/>
        </w:rPr>
      </w:pPr>
      <w:r w:rsidRPr="002A5C54">
        <w:rPr>
          <w:rFonts w:ascii="Times New Roman" w:eastAsia="Times New Roman" w:hAnsi="Times New Roman" w:cs="Times New Roman"/>
          <w:lang w:eastAsia="pt-BR"/>
        </w:rPr>
        <w:t xml:space="preserve">Não </w:t>
      </w:r>
      <w:r w:rsidR="00E90A35" w:rsidRPr="002A5C54">
        <w:rPr>
          <w:rFonts w:ascii="Times New Roman" w:eastAsia="Times New Roman" w:hAnsi="Times New Roman" w:cs="Times New Roman"/>
          <w:lang w:eastAsia="pt-BR"/>
        </w:rPr>
        <w:t xml:space="preserve">temos </w:t>
      </w:r>
      <w:r w:rsidRPr="002A5C54">
        <w:rPr>
          <w:rFonts w:ascii="Times New Roman" w:eastAsia="Times New Roman" w:hAnsi="Times New Roman" w:cs="Times New Roman"/>
          <w:lang w:eastAsia="pt-BR"/>
        </w:rPr>
        <w:t>produtores</w:t>
      </w:r>
      <w:r w:rsidR="00FD51A6" w:rsidRPr="002A5C54">
        <w:rPr>
          <w:rFonts w:ascii="Times New Roman" w:eastAsia="Times New Roman" w:hAnsi="Times New Roman" w:cs="Times New Roman"/>
          <w:lang w:eastAsia="pt-BR"/>
        </w:rPr>
        <w:t xml:space="preserve"> industriais</w:t>
      </w:r>
      <w:r w:rsidRPr="002A5C54">
        <w:rPr>
          <w:rFonts w:ascii="Times New Roman" w:eastAsia="Times New Roman" w:hAnsi="Times New Roman" w:cs="Times New Roman"/>
          <w:lang w:eastAsia="pt-BR"/>
        </w:rPr>
        <w:t xml:space="preserve"> aqui. Nós não temos trabalhadores, nossos trabalhadores foram para os Estados Unidos</w:t>
      </w:r>
      <w:r w:rsidR="003955AE" w:rsidRPr="002A5C54">
        <w:rPr>
          <w:rFonts w:ascii="Times New Roman" w:eastAsia="Times New Roman" w:hAnsi="Times New Roman" w:cs="Times New Roman"/>
          <w:lang w:eastAsia="pt-BR"/>
        </w:rPr>
        <w:t xml:space="preserve">. </w:t>
      </w:r>
      <w:r w:rsidR="00074278" w:rsidRPr="002A5C54">
        <w:rPr>
          <w:rFonts w:ascii="Times New Roman" w:eastAsia="Times New Roman" w:hAnsi="Times New Roman" w:cs="Times New Roman"/>
          <w:lang w:eastAsia="pt-BR"/>
        </w:rPr>
        <w:t>[..</w:t>
      </w:r>
      <w:r w:rsidR="00FD51A6" w:rsidRPr="002A5C54">
        <w:rPr>
          <w:rFonts w:ascii="Times New Roman" w:eastAsia="Times New Roman" w:hAnsi="Times New Roman" w:cs="Times New Roman"/>
          <w:lang w:eastAsia="pt-BR"/>
        </w:rPr>
        <w:t>.</w:t>
      </w:r>
      <w:r w:rsidR="00074278" w:rsidRPr="002A5C54">
        <w:rPr>
          <w:rFonts w:ascii="Times New Roman" w:eastAsia="Times New Roman" w:hAnsi="Times New Roman" w:cs="Times New Roman"/>
          <w:lang w:eastAsia="pt-BR"/>
        </w:rPr>
        <w:t>]</w:t>
      </w:r>
      <w:r w:rsidR="00260DC1" w:rsidRPr="002A5C54">
        <w:rPr>
          <w:rFonts w:ascii="Times New Roman" w:eastAsia="Times New Roman" w:hAnsi="Times New Roman" w:cs="Times New Roman"/>
          <w:lang w:eastAsia="pt-BR"/>
        </w:rPr>
        <w:t xml:space="preserve"> </w:t>
      </w:r>
      <w:r w:rsidR="003955AE" w:rsidRPr="002A5C54">
        <w:rPr>
          <w:rFonts w:ascii="Times New Roman" w:eastAsia="Times New Roman" w:hAnsi="Times New Roman" w:cs="Times New Roman"/>
          <w:lang w:eastAsia="pt-BR"/>
        </w:rPr>
        <w:t>E</w:t>
      </w:r>
      <w:r w:rsidR="00E90A35" w:rsidRPr="002A5C54">
        <w:rPr>
          <w:rFonts w:ascii="Times New Roman" w:eastAsia="Times New Roman" w:hAnsi="Times New Roman" w:cs="Times New Roman"/>
          <w:lang w:eastAsia="pt-BR"/>
        </w:rPr>
        <w:t>stes artesãos canadenses estão colaborando com a força, poder e riqueza de outro país em vez de estarem colaborando com a nossa. Nossos trabalhadores</w:t>
      </w:r>
      <w:r w:rsidR="003955AE" w:rsidRPr="002A5C54">
        <w:rPr>
          <w:rFonts w:ascii="Times New Roman" w:eastAsia="Times New Roman" w:hAnsi="Times New Roman" w:cs="Times New Roman"/>
          <w:lang w:eastAsia="pt-BR"/>
        </w:rPr>
        <w:t xml:space="preserve">, por outro lado, </w:t>
      </w:r>
      <w:r w:rsidR="00E90A35" w:rsidRPr="002A5C54">
        <w:rPr>
          <w:rFonts w:ascii="Times New Roman" w:eastAsia="Times New Roman" w:hAnsi="Times New Roman" w:cs="Times New Roman"/>
          <w:lang w:eastAsia="pt-BR"/>
        </w:rPr>
        <w:t>em nosso país estão sofrendo pelo desemprego</w:t>
      </w:r>
      <w:r w:rsidR="003955AE" w:rsidRPr="002A5C54">
        <w:rPr>
          <w:rFonts w:ascii="Times New Roman" w:eastAsia="Times New Roman" w:hAnsi="Times New Roman" w:cs="Times New Roman"/>
          <w:lang w:eastAsia="pt-BR"/>
        </w:rPr>
        <w:t>.</w:t>
      </w:r>
      <w:r w:rsidR="00260DC1" w:rsidRPr="002A5C54">
        <w:rPr>
          <w:rFonts w:ascii="Times New Roman" w:eastAsia="Times New Roman" w:hAnsi="Times New Roman" w:cs="Times New Roman"/>
          <w:lang w:eastAsia="pt-BR"/>
        </w:rPr>
        <w:t xml:space="preserve"> </w:t>
      </w:r>
      <w:r w:rsidR="003C3A2E" w:rsidRPr="002A5C54">
        <w:rPr>
          <w:rFonts w:ascii="Times New Roman" w:eastAsia="Times New Roman" w:hAnsi="Times New Roman" w:cs="Times New Roman"/>
          <w:lang w:eastAsia="pt-BR"/>
        </w:rPr>
        <w:t>[...]</w:t>
      </w:r>
      <w:r w:rsidR="00161E3C" w:rsidRPr="002A5C54">
        <w:rPr>
          <w:rFonts w:ascii="Times New Roman" w:eastAsia="Times New Roman" w:hAnsi="Times New Roman" w:cs="Times New Roman"/>
          <w:lang w:eastAsia="pt-BR"/>
        </w:rPr>
        <w:t xml:space="preserve"> </w:t>
      </w:r>
      <w:r w:rsidR="00074278" w:rsidRPr="002A5C54">
        <w:rPr>
          <w:rFonts w:ascii="Times New Roman" w:eastAsia="Times New Roman" w:hAnsi="Times New Roman" w:cs="Times New Roman"/>
          <w:lang w:eastAsia="pt-BR"/>
        </w:rPr>
        <w:t xml:space="preserve">Se esses homens </w:t>
      </w:r>
      <w:r w:rsidR="003C3A2E" w:rsidRPr="002A5C54">
        <w:rPr>
          <w:rFonts w:ascii="Times New Roman" w:eastAsia="Times New Roman" w:hAnsi="Times New Roman" w:cs="Times New Roman"/>
          <w:lang w:eastAsia="pt-BR"/>
        </w:rPr>
        <w:t xml:space="preserve">não conseguem oportunidades em seu próprio país para desenvolver suas habilidades e aptidões que Deus os agraciou, eles vão ir para um país em que suas habilidades </w:t>
      </w:r>
      <w:r w:rsidR="008E435C" w:rsidRPr="002A5C54">
        <w:rPr>
          <w:rFonts w:ascii="Times New Roman" w:eastAsia="Times New Roman" w:hAnsi="Times New Roman" w:cs="Times New Roman"/>
          <w:lang w:eastAsia="pt-BR"/>
        </w:rPr>
        <w:t xml:space="preserve">possam </w:t>
      </w:r>
      <w:r w:rsidR="003C3A2E" w:rsidRPr="002A5C54">
        <w:rPr>
          <w:rFonts w:ascii="Times New Roman" w:eastAsia="Times New Roman" w:hAnsi="Times New Roman" w:cs="Times New Roman"/>
          <w:lang w:eastAsia="pt-BR"/>
        </w:rPr>
        <w:t>ser aproveitadas</w:t>
      </w:r>
      <w:r w:rsidR="003955AE" w:rsidRPr="002A5C54">
        <w:rPr>
          <w:rFonts w:ascii="Times New Roman" w:eastAsia="Times New Roman" w:hAnsi="Times New Roman" w:cs="Times New Roman"/>
          <w:lang w:eastAsia="pt-BR"/>
        </w:rPr>
        <w:t>.</w:t>
      </w:r>
      <w:r w:rsidR="003C3A2E" w:rsidRPr="002A5C54">
        <w:rPr>
          <w:rFonts w:ascii="Times New Roman" w:eastAsia="Times New Roman" w:hAnsi="Times New Roman" w:cs="Times New Roman"/>
          <w:lang w:eastAsia="pt-BR"/>
        </w:rPr>
        <w:t xml:space="preserve"> </w:t>
      </w:r>
      <w:r w:rsidR="005C3DB1" w:rsidRPr="002A5C54">
        <w:rPr>
          <w:rFonts w:ascii="Times New Roman" w:eastAsia="Times New Roman" w:hAnsi="Times New Roman" w:cs="Times New Roman"/>
          <w:lang w:eastAsia="pt-BR"/>
        </w:rPr>
        <w:t>[...]</w:t>
      </w:r>
      <w:r w:rsidR="00260DC1" w:rsidRPr="002A5C54">
        <w:rPr>
          <w:rFonts w:ascii="Times New Roman" w:eastAsia="Times New Roman" w:hAnsi="Times New Roman" w:cs="Times New Roman"/>
          <w:lang w:eastAsia="pt-BR"/>
        </w:rPr>
        <w:t xml:space="preserve"> </w:t>
      </w:r>
      <w:r w:rsidR="00E90A35" w:rsidRPr="002A5C54">
        <w:rPr>
          <w:rFonts w:ascii="Times New Roman" w:eastAsia="Times New Roman" w:hAnsi="Times New Roman" w:cs="Times New Roman"/>
          <w:lang w:eastAsia="pt-BR"/>
        </w:rPr>
        <w:t>Se o Canadá tivesse um sistema sensato de taxação</w:t>
      </w:r>
      <w:r w:rsidR="005C3DB1" w:rsidRPr="002A5C54">
        <w:rPr>
          <w:rFonts w:ascii="Times New Roman" w:eastAsia="Times New Roman" w:hAnsi="Times New Roman" w:cs="Times New Roman"/>
          <w:lang w:eastAsia="pt-BR"/>
        </w:rPr>
        <w:t xml:space="preserve"> (tarifas)</w:t>
      </w:r>
      <w:r w:rsidR="00E90A35" w:rsidRPr="002A5C54">
        <w:rPr>
          <w:rFonts w:ascii="Times New Roman" w:eastAsia="Times New Roman" w:hAnsi="Times New Roman" w:cs="Times New Roman"/>
          <w:lang w:eastAsia="pt-BR"/>
        </w:rPr>
        <w:t xml:space="preserve"> eles poderiam estar trabalhando e </w:t>
      </w:r>
      <w:r w:rsidR="00074278" w:rsidRPr="002A5C54">
        <w:rPr>
          <w:rFonts w:ascii="Times New Roman" w:eastAsia="Times New Roman" w:hAnsi="Times New Roman" w:cs="Times New Roman"/>
          <w:lang w:eastAsia="pt-BR"/>
        </w:rPr>
        <w:t xml:space="preserve">sendo </w:t>
      </w:r>
      <w:r w:rsidR="00E90A35" w:rsidRPr="002A5C54">
        <w:rPr>
          <w:rFonts w:ascii="Times New Roman" w:eastAsia="Times New Roman" w:hAnsi="Times New Roman" w:cs="Times New Roman"/>
          <w:lang w:eastAsia="pt-BR"/>
        </w:rPr>
        <w:t xml:space="preserve">bem </w:t>
      </w:r>
      <w:r w:rsidR="00074278" w:rsidRPr="002A5C54">
        <w:rPr>
          <w:rFonts w:ascii="Times New Roman" w:eastAsia="Times New Roman" w:hAnsi="Times New Roman" w:cs="Times New Roman"/>
          <w:lang w:eastAsia="pt-BR"/>
        </w:rPr>
        <w:t xml:space="preserve">sucedidos </w:t>
      </w:r>
      <w:r w:rsidR="00E90A35" w:rsidRPr="002A5C54">
        <w:rPr>
          <w:rFonts w:ascii="Times New Roman" w:eastAsia="Times New Roman" w:hAnsi="Times New Roman" w:cs="Times New Roman"/>
          <w:lang w:eastAsia="pt-BR"/>
        </w:rPr>
        <w:t>em seu próprio país (M</w:t>
      </w:r>
      <w:r w:rsidR="003955AE" w:rsidRPr="002A5C54">
        <w:rPr>
          <w:rFonts w:ascii="Times New Roman" w:eastAsia="Times New Roman" w:hAnsi="Times New Roman" w:cs="Times New Roman"/>
          <w:lang w:eastAsia="pt-BR"/>
        </w:rPr>
        <w:t>ACDONALD</w:t>
      </w:r>
      <w:r w:rsidR="00E90A35" w:rsidRPr="002A5C54">
        <w:rPr>
          <w:rFonts w:ascii="Times New Roman" w:eastAsia="Times New Roman" w:hAnsi="Times New Roman" w:cs="Times New Roman"/>
          <w:lang w:eastAsia="pt-BR"/>
        </w:rPr>
        <w:t>, 1878, p. 857</w:t>
      </w:r>
      <w:r w:rsidR="00B83734" w:rsidRPr="002A5C54">
        <w:rPr>
          <w:rFonts w:ascii="Times New Roman" w:eastAsia="Times New Roman" w:hAnsi="Times New Roman" w:cs="Times New Roman"/>
          <w:lang w:eastAsia="pt-BR"/>
        </w:rPr>
        <w:t>- 859</w:t>
      </w:r>
      <w:r w:rsidR="00D02E60" w:rsidRPr="002A5C54">
        <w:rPr>
          <w:rFonts w:ascii="Times New Roman" w:eastAsia="Times New Roman" w:hAnsi="Times New Roman" w:cs="Times New Roman"/>
          <w:lang w:eastAsia="pt-BR"/>
        </w:rPr>
        <w:t>, tradução nossa</w:t>
      </w:r>
      <w:r w:rsidR="00B83734" w:rsidRPr="002A5C54">
        <w:rPr>
          <w:rFonts w:ascii="Times New Roman" w:eastAsia="Times New Roman" w:hAnsi="Times New Roman" w:cs="Times New Roman"/>
          <w:lang w:eastAsia="pt-BR"/>
        </w:rPr>
        <w:t>)</w:t>
      </w:r>
      <w:r w:rsidR="008E435C" w:rsidRPr="002A5C54">
        <w:rPr>
          <w:rFonts w:ascii="Times New Roman" w:eastAsia="Times New Roman" w:hAnsi="Times New Roman" w:cs="Times New Roman"/>
          <w:lang w:eastAsia="pt-BR"/>
        </w:rPr>
        <w:t xml:space="preserve">. </w:t>
      </w:r>
    </w:p>
    <w:p w:rsidR="002E6B53" w:rsidRPr="003B2552" w:rsidRDefault="0049761E" w:rsidP="0048231B">
      <w:pPr>
        <w:spacing w:after="0" w:line="240" w:lineRule="auto"/>
        <w:ind w:firstLine="709"/>
        <w:jc w:val="both"/>
        <w:rPr>
          <w:rFonts w:ascii="Times New Roman" w:eastAsia="Times New Roman" w:hAnsi="Times New Roman" w:cs="Times New Roman"/>
          <w:sz w:val="24"/>
          <w:szCs w:val="24"/>
          <w:lang w:eastAsia="pt-BR"/>
        </w:rPr>
      </w:pPr>
      <w:r w:rsidRPr="003B2552">
        <w:rPr>
          <w:rFonts w:ascii="Times New Roman" w:eastAsia="Times New Roman" w:hAnsi="Times New Roman" w:cs="Times New Roman"/>
          <w:sz w:val="24"/>
          <w:szCs w:val="24"/>
          <w:lang w:eastAsia="pt-BR"/>
        </w:rPr>
        <w:t xml:space="preserve">A política comercial </w:t>
      </w:r>
      <w:r w:rsidR="0039075A" w:rsidRPr="003B2552">
        <w:rPr>
          <w:rFonts w:ascii="Times New Roman" w:eastAsia="Times New Roman" w:hAnsi="Times New Roman" w:cs="Times New Roman"/>
          <w:sz w:val="24"/>
          <w:szCs w:val="24"/>
          <w:lang w:eastAsia="pt-BR"/>
        </w:rPr>
        <w:t xml:space="preserve">de tarifas elevadas </w:t>
      </w:r>
      <w:r w:rsidRPr="003B2552">
        <w:rPr>
          <w:rFonts w:ascii="Times New Roman" w:eastAsia="Times New Roman" w:hAnsi="Times New Roman" w:cs="Times New Roman"/>
          <w:sz w:val="24"/>
          <w:szCs w:val="24"/>
          <w:lang w:eastAsia="pt-BR"/>
        </w:rPr>
        <w:t>tornou-se,</w:t>
      </w:r>
      <w:r w:rsidR="00C960D2">
        <w:rPr>
          <w:rFonts w:ascii="Times New Roman" w:eastAsia="Times New Roman" w:hAnsi="Times New Roman" w:cs="Times New Roman"/>
          <w:sz w:val="24"/>
          <w:szCs w:val="24"/>
          <w:lang w:eastAsia="pt-BR"/>
        </w:rPr>
        <w:t xml:space="preserve"> em consequência,</w:t>
      </w:r>
      <w:r w:rsidRPr="003B2552">
        <w:rPr>
          <w:rFonts w:ascii="Times New Roman" w:eastAsia="Times New Roman" w:hAnsi="Times New Roman" w:cs="Times New Roman"/>
          <w:sz w:val="24"/>
          <w:szCs w:val="24"/>
          <w:lang w:eastAsia="pt-BR"/>
        </w:rPr>
        <w:t xml:space="preserve"> </w:t>
      </w:r>
      <w:r w:rsidR="00C960D2">
        <w:rPr>
          <w:rFonts w:ascii="Times New Roman" w:eastAsia="Times New Roman" w:hAnsi="Times New Roman" w:cs="Times New Roman"/>
          <w:sz w:val="24"/>
          <w:szCs w:val="24"/>
          <w:lang w:eastAsia="pt-BR"/>
        </w:rPr>
        <w:t>a</w:t>
      </w:r>
      <w:r w:rsidR="00E2198D" w:rsidRPr="003B2552">
        <w:rPr>
          <w:rFonts w:ascii="Times New Roman" w:eastAsia="Times New Roman" w:hAnsi="Times New Roman" w:cs="Times New Roman"/>
          <w:sz w:val="24"/>
          <w:szCs w:val="24"/>
          <w:lang w:eastAsia="pt-BR"/>
        </w:rPr>
        <w:t xml:space="preserve">o final </w:t>
      </w:r>
      <w:r w:rsidRPr="003B2552">
        <w:rPr>
          <w:rFonts w:ascii="Times New Roman" w:eastAsia="Times New Roman" w:hAnsi="Times New Roman" w:cs="Times New Roman"/>
          <w:sz w:val="24"/>
          <w:szCs w:val="24"/>
          <w:lang w:eastAsia="pt-BR"/>
        </w:rPr>
        <w:t>do século XIX e início do século XX, o principal instrumento estratégico para a diversificação e crescimento da atividade industrial no Canadá</w:t>
      </w:r>
      <w:r w:rsidR="00C960D2">
        <w:rPr>
          <w:rFonts w:ascii="Times New Roman" w:eastAsia="Times New Roman" w:hAnsi="Times New Roman" w:cs="Times New Roman"/>
          <w:sz w:val="24"/>
          <w:szCs w:val="24"/>
          <w:lang w:eastAsia="pt-BR"/>
        </w:rPr>
        <w:t>,</w:t>
      </w:r>
      <w:r w:rsidRPr="003B2552">
        <w:rPr>
          <w:rFonts w:ascii="Times New Roman" w:eastAsia="Times New Roman" w:hAnsi="Times New Roman" w:cs="Times New Roman"/>
          <w:sz w:val="24"/>
          <w:szCs w:val="24"/>
          <w:lang w:eastAsia="pt-BR"/>
        </w:rPr>
        <w:t xml:space="preserve"> e passou a ser considerado o mecanismo capaz de superar as barreiras que até então faziam das atividades primárias o principal setor de atividade econômica do país.</w:t>
      </w:r>
      <w:r w:rsidR="003955AE">
        <w:rPr>
          <w:rFonts w:ascii="Times New Roman" w:eastAsia="Times New Roman" w:hAnsi="Times New Roman" w:cs="Times New Roman"/>
          <w:sz w:val="24"/>
          <w:szCs w:val="24"/>
          <w:lang w:eastAsia="pt-BR"/>
        </w:rPr>
        <w:t xml:space="preserve"> </w:t>
      </w:r>
      <w:r w:rsidR="002E6B53" w:rsidRPr="003B2552">
        <w:rPr>
          <w:rFonts w:ascii="Times New Roman" w:eastAsia="Times New Roman" w:hAnsi="Times New Roman" w:cs="Times New Roman"/>
          <w:sz w:val="24"/>
          <w:szCs w:val="24"/>
          <w:lang w:eastAsia="pt-BR"/>
        </w:rPr>
        <w:t xml:space="preserve">A questão </w:t>
      </w:r>
      <w:r w:rsidR="008416A7">
        <w:rPr>
          <w:rFonts w:ascii="Times New Roman" w:eastAsia="Times New Roman" w:hAnsi="Times New Roman" w:cs="Times New Roman"/>
          <w:sz w:val="24"/>
          <w:szCs w:val="24"/>
          <w:lang w:eastAsia="pt-BR"/>
        </w:rPr>
        <w:t>do protecionismo</w:t>
      </w:r>
      <w:r w:rsidR="002E6B53" w:rsidRPr="003B2552">
        <w:rPr>
          <w:rFonts w:ascii="Times New Roman" w:eastAsia="Times New Roman" w:hAnsi="Times New Roman" w:cs="Times New Roman"/>
          <w:sz w:val="24"/>
          <w:szCs w:val="24"/>
          <w:lang w:eastAsia="pt-BR"/>
        </w:rPr>
        <w:t xml:space="preserve"> </w:t>
      </w:r>
      <w:r w:rsidR="008416A7">
        <w:rPr>
          <w:rFonts w:ascii="Times New Roman" w:eastAsia="Times New Roman" w:hAnsi="Times New Roman" w:cs="Times New Roman"/>
          <w:sz w:val="24"/>
          <w:szCs w:val="24"/>
          <w:lang w:eastAsia="pt-BR"/>
        </w:rPr>
        <w:t>desempenhou um papel tão</w:t>
      </w:r>
      <w:r w:rsidR="002E6B53" w:rsidRPr="003B2552">
        <w:rPr>
          <w:rFonts w:ascii="Times New Roman" w:eastAsia="Times New Roman" w:hAnsi="Times New Roman" w:cs="Times New Roman"/>
          <w:sz w:val="24"/>
          <w:szCs w:val="24"/>
          <w:lang w:eastAsia="pt-BR"/>
        </w:rPr>
        <w:t xml:space="preserve"> significante na história econômica </w:t>
      </w:r>
      <w:r w:rsidR="008416A7">
        <w:rPr>
          <w:rFonts w:ascii="Times New Roman" w:eastAsia="Times New Roman" w:hAnsi="Times New Roman" w:cs="Times New Roman"/>
          <w:sz w:val="24"/>
          <w:szCs w:val="24"/>
          <w:lang w:eastAsia="pt-BR"/>
        </w:rPr>
        <w:t>do Canadá</w:t>
      </w:r>
      <w:r w:rsidR="002E6B53" w:rsidRPr="003B2552">
        <w:rPr>
          <w:rFonts w:ascii="Times New Roman" w:eastAsia="Times New Roman" w:hAnsi="Times New Roman" w:cs="Times New Roman"/>
          <w:sz w:val="24"/>
          <w:szCs w:val="24"/>
          <w:lang w:eastAsia="pt-BR"/>
        </w:rPr>
        <w:t xml:space="preserve"> que foi o assunto principal nas eleições de 1878, 1896, 1911 (</w:t>
      </w:r>
      <w:r w:rsidR="002C72AF">
        <w:rPr>
          <w:rFonts w:ascii="Times New Roman" w:eastAsia="Times New Roman" w:hAnsi="Times New Roman" w:cs="Times New Roman"/>
          <w:sz w:val="24"/>
          <w:szCs w:val="24"/>
          <w:lang w:eastAsia="pt-BR"/>
        </w:rPr>
        <w:t>POMFRET</w:t>
      </w:r>
      <w:r w:rsidR="002E6B53" w:rsidRPr="003B2552">
        <w:rPr>
          <w:rFonts w:ascii="Times New Roman" w:eastAsia="Times New Roman" w:hAnsi="Times New Roman" w:cs="Times New Roman"/>
          <w:sz w:val="24"/>
          <w:szCs w:val="24"/>
          <w:lang w:eastAsia="pt-BR"/>
        </w:rPr>
        <w:t>, 1981</w:t>
      </w:r>
      <w:r w:rsidR="00FD311F">
        <w:rPr>
          <w:rFonts w:ascii="Times New Roman" w:eastAsia="Times New Roman" w:hAnsi="Times New Roman" w:cs="Times New Roman"/>
          <w:sz w:val="24"/>
          <w:szCs w:val="24"/>
          <w:lang w:eastAsia="pt-BR"/>
        </w:rPr>
        <w:t>, p.68</w:t>
      </w:r>
      <w:r w:rsidR="002E6B53" w:rsidRPr="003B2552">
        <w:rPr>
          <w:rFonts w:ascii="Times New Roman" w:eastAsia="Times New Roman" w:hAnsi="Times New Roman" w:cs="Times New Roman"/>
          <w:sz w:val="24"/>
          <w:szCs w:val="24"/>
          <w:lang w:eastAsia="pt-BR"/>
        </w:rPr>
        <w:t xml:space="preserve">). </w:t>
      </w:r>
    </w:p>
    <w:p w:rsidR="00D063C0" w:rsidRPr="003B2552" w:rsidRDefault="008416A7"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No</w:t>
      </w:r>
      <w:r w:rsidR="002E6B53" w:rsidRPr="003B2552">
        <w:rPr>
          <w:rFonts w:ascii="Times New Roman" w:eastAsia="Times New Roman" w:hAnsi="Times New Roman" w:cs="Times New Roman"/>
          <w:sz w:val="24"/>
          <w:szCs w:val="24"/>
          <w:lang w:eastAsia="pt-BR"/>
        </w:rPr>
        <w:t xml:space="preserve"> período </w:t>
      </w:r>
      <w:r w:rsidR="00346F11">
        <w:rPr>
          <w:rFonts w:ascii="Times New Roman" w:eastAsia="Times New Roman" w:hAnsi="Times New Roman" w:cs="Times New Roman"/>
          <w:sz w:val="24"/>
          <w:szCs w:val="24"/>
          <w:lang w:eastAsia="pt-BR"/>
        </w:rPr>
        <w:t>quando existiu a</w:t>
      </w:r>
      <w:r w:rsidR="002E6B53" w:rsidRPr="003B2552">
        <w:rPr>
          <w:rFonts w:ascii="Times New Roman" w:eastAsia="Times New Roman" w:hAnsi="Times New Roman" w:cs="Times New Roman"/>
          <w:sz w:val="24"/>
          <w:szCs w:val="24"/>
          <w:lang w:eastAsia="pt-BR"/>
        </w:rPr>
        <w:t xml:space="preserve"> Província do Canadá</w:t>
      </w:r>
      <w:r w:rsidR="00A865F0">
        <w:rPr>
          <w:rFonts w:ascii="Times New Roman" w:eastAsia="Times New Roman" w:hAnsi="Times New Roman" w:cs="Times New Roman"/>
          <w:sz w:val="24"/>
          <w:szCs w:val="24"/>
          <w:lang w:eastAsia="pt-BR"/>
        </w:rPr>
        <w:t>,</w:t>
      </w:r>
      <w:r w:rsidR="00C960D2">
        <w:rPr>
          <w:rFonts w:ascii="Times New Roman" w:eastAsia="Times New Roman" w:hAnsi="Times New Roman" w:cs="Times New Roman"/>
          <w:sz w:val="24"/>
          <w:szCs w:val="24"/>
          <w:lang w:eastAsia="pt-BR"/>
        </w:rPr>
        <w:t xml:space="preserve"> considerando apenas as barreiras tarifárias,</w:t>
      </w:r>
      <w:r w:rsidR="002E6B53" w:rsidRPr="003B2552">
        <w:rPr>
          <w:rFonts w:ascii="Times New Roman" w:eastAsia="Times New Roman" w:hAnsi="Times New Roman" w:cs="Times New Roman"/>
          <w:sz w:val="24"/>
          <w:szCs w:val="24"/>
          <w:lang w:eastAsia="pt-BR"/>
        </w:rPr>
        <w:t xml:space="preserve"> as tarifas </w:t>
      </w:r>
      <w:r>
        <w:rPr>
          <w:rFonts w:ascii="Times New Roman" w:eastAsia="Times New Roman" w:hAnsi="Times New Roman" w:cs="Times New Roman"/>
          <w:sz w:val="24"/>
          <w:szCs w:val="24"/>
          <w:lang w:eastAsia="pt-BR"/>
        </w:rPr>
        <w:t>eram relativamente</w:t>
      </w:r>
      <w:r w:rsidR="002E6B53" w:rsidRPr="003B2552">
        <w:rPr>
          <w:rFonts w:ascii="Times New Roman" w:eastAsia="Times New Roman" w:hAnsi="Times New Roman" w:cs="Times New Roman"/>
          <w:sz w:val="24"/>
          <w:szCs w:val="24"/>
          <w:lang w:eastAsia="pt-BR"/>
        </w:rPr>
        <w:t xml:space="preserve"> baixas. </w:t>
      </w:r>
      <w:r>
        <w:rPr>
          <w:rFonts w:ascii="Times New Roman" w:eastAsia="Times New Roman" w:hAnsi="Times New Roman" w:cs="Times New Roman"/>
          <w:sz w:val="24"/>
          <w:szCs w:val="24"/>
          <w:lang w:eastAsia="pt-BR"/>
        </w:rPr>
        <w:t>D</w:t>
      </w:r>
      <w:r w:rsidR="002E6B53" w:rsidRPr="003B2552">
        <w:rPr>
          <w:rFonts w:ascii="Times New Roman" w:eastAsia="Times New Roman" w:hAnsi="Times New Roman" w:cs="Times New Roman"/>
          <w:sz w:val="24"/>
          <w:szCs w:val="24"/>
          <w:lang w:eastAsia="pt-BR"/>
        </w:rPr>
        <w:t>os 353 produtos classificados para importação</w:t>
      </w:r>
      <w:r w:rsidR="00C960D2">
        <w:rPr>
          <w:rFonts w:ascii="Times New Roman" w:eastAsia="Times New Roman" w:hAnsi="Times New Roman" w:cs="Times New Roman"/>
          <w:sz w:val="24"/>
          <w:szCs w:val="24"/>
          <w:lang w:eastAsia="pt-BR"/>
        </w:rPr>
        <w:t>,</w:t>
      </w:r>
      <w:r w:rsidR="002E6B53" w:rsidRPr="003B2552">
        <w:rPr>
          <w:rFonts w:ascii="Times New Roman" w:eastAsia="Times New Roman" w:hAnsi="Times New Roman" w:cs="Times New Roman"/>
          <w:sz w:val="24"/>
          <w:szCs w:val="24"/>
          <w:lang w:eastAsia="pt-BR"/>
        </w:rPr>
        <w:t xml:space="preserve"> 97 </w:t>
      </w:r>
      <w:r w:rsidR="00346F11">
        <w:rPr>
          <w:rFonts w:ascii="Times New Roman" w:eastAsia="Times New Roman" w:hAnsi="Times New Roman" w:cs="Times New Roman"/>
          <w:sz w:val="24"/>
          <w:szCs w:val="24"/>
          <w:lang w:eastAsia="pt-BR"/>
        </w:rPr>
        <w:t>estavam</w:t>
      </w:r>
      <w:r w:rsidR="002E6B53" w:rsidRPr="003B2552">
        <w:rPr>
          <w:rFonts w:ascii="Times New Roman" w:eastAsia="Times New Roman" w:hAnsi="Times New Roman" w:cs="Times New Roman"/>
          <w:sz w:val="24"/>
          <w:szCs w:val="24"/>
          <w:lang w:eastAsia="pt-BR"/>
        </w:rPr>
        <w:t xml:space="preserve"> isentos de tarifas, 70 pagavam tarifas inferiores a 5%, 184 eram taxados em 15% e apenas </w:t>
      </w:r>
      <w:proofErr w:type="gramStart"/>
      <w:r w:rsidR="002E6B53" w:rsidRPr="003B2552">
        <w:rPr>
          <w:rFonts w:ascii="Times New Roman" w:eastAsia="Times New Roman" w:hAnsi="Times New Roman" w:cs="Times New Roman"/>
          <w:sz w:val="24"/>
          <w:szCs w:val="24"/>
          <w:lang w:eastAsia="pt-BR"/>
        </w:rPr>
        <w:t>2</w:t>
      </w:r>
      <w:proofErr w:type="gramEnd"/>
      <w:r w:rsidR="002E6B53" w:rsidRPr="003B2552">
        <w:rPr>
          <w:rFonts w:ascii="Times New Roman" w:eastAsia="Times New Roman" w:hAnsi="Times New Roman" w:cs="Times New Roman"/>
          <w:sz w:val="24"/>
          <w:szCs w:val="24"/>
          <w:lang w:eastAsia="pt-BR"/>
        </w:rPr>
        <w:t xml:space="preserve"> eram taxados com outros percentuais</w:t>
      </w:r>
      <w:r w:rsidR="00F27D87">
        <w:rPr>
          <w:rFonts w:ascii="Times New Roman" w:eastAsia="Times New Roman" w:hAnsi="Times New Roman" w:cs="Times New Roman"/>
          <w:sz w:val="24"/>
          <w:szCs w:val="24"/>
          <w:lang w:eastAsia="pt-BR"/>
        </w:rPr>
        <w:t xml:space="preserve"> </w:t>
      </w:r>
      <w:r w:rsidR="00283B8F">
        <w:rPr>
          <w:rFonts w:ascii="Times New Roman" w:eastAsia="Times New Roman" w:hAnsi="Times New Roman" w:cs="Times New Roman"/>
          <w:sz w:val="24"/>
          <w:szCs w:val="24"/>
          <w:lang w:eastAsia="pt-BR"/>
        </w:rPr>
        <w:t>(P</w:t>
      </w:r>
      <w:r w:rsidR="00251A06">
        <w:rPr>
          <w:rFonts w:ascii="Times New Roman" w:eastAsia="Times New Roman" w:hAnsi="Times New Roman" w:cs="Times New Roman"/>
          <w:sz w:val="24"/>
          <w:szCs w:val="24"/>
          <w:lang w:eastAsia="pt-BR"/>
        </w:rPr>
        <w:t>OMFRET</w:t>
      </w:r>
      <w:r w:rsidR="00283B8F">
        <w:rPr>
          <w:rFonts w:ascii="Times New Roman" w:eastAsia="Times New Roman" w:hAnsi="Times New Roman" w:cs="Times New Roman"/>
          <w:sz w:val="24"/>
          <w:szCs w:val="24"/>
          <w:lang w:eastAsia="pt-BR"/>
        </w:rPr>
        <w:t>, 198</w:t>
      </w:r>
      <w:r w:rsidR="00161E3C">
        <w:rPr>
          <w:rFonts w:ascii="Times New Roman" w:eastAsia="Times New Roman" w:hAnsi="Times New Roman" w:cs="Times New Roman"/>
          <w:sz w:val="24"/>
          <w:szCs w:val="24"/>
          <w:lang w:eastAsia="pt-BR"/>
        </w:rPr>
        <w:t>1</w:t>
      </w:r>
      <w:r w:rsidR="00283B8F">
        <w:rPr>
          <w:rFonts w:ascii="Times New Roman" w:eastAsia="Times New Roman" w:hAnsi="Times New Roman" w:cs="Times New Roman"/>
          <w:sz w:val="24"/>
          <w:szCs w:val="24"/>
          <w:lang w:eastAsia="pt-BR"/>
        </w:rPr>
        <w:t>, p. 69)</w:t>
      </w:r>
      <w:r w:rsidR="002E6B53" w:rsidRPr="003B2552">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Porém</w:t>
      </w:r>
      <w:r w:rsidR="00C960D2">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com a </w:t>
      </w:r>
      <w:r w:rsidR="002E6B53" w:rsidRPr="003B2552">
        <w:rPr>
          <w:rFonts w:ascii="Times New Roman" w:eastAsia="Times New Roman" w:hAnsi="Times New Roman" w:cs="Times New Roman"/>
          <w:sz w:val="24"/>
          <w:szCs w:val="24"/>
          <w:lang w:eastAsia="pt-BR"/>
        </w:rPr>
        <w:t>depressão de 1857 e o consequente aumento do desemprego, a dependência do governo da arrecadação das tarifas de importação e o in</w:t>
      </w:r>
      <w:r w:rsidR="00346F11">
        <w:rPr>
          <w:rFonts w:ascii="Times New Roman" w:eastAsia="Times New Roman" w:hAnsi="Times New Roman" w:cs="Times New Roman"/>
          <w:sz w:val="24"/>
          <w:szCs w:val="24"/>
          <w:lang w:eastAsia="pt-BR"/>
        </w:rPr>
        <w:t>í</w:t>
      </w:r>
      <w:r w:rsidR="002E6B53" w:rsidRPr="003B2552">
        <w:rPr>
          <w:rFonts w:ascii="Times New Roman" w:eastAsia="Times New Roman" w:hAnsi="Times New Roman" w:cs="Times New Roman"/>
          <w:sz w:val="24"/>
          <w:szCs w:val="24"/>
          <w:lang w:eastAsia="pt-BR"/>
        </w:rPr>
        <w:t xml:space="preserve">cio da construção </w:t>
      </w:r>
      <w:r w:rsidR="00346F11">
        <w:rPr>
          <w:rFonts w:ascii="Times New Roman" w:eastAsia="Times New Roman" w:hAnsi="Times New Roman" w:cs="Times New Roman"/>
          <w:sz w:val="24"/>
          <w:szCs w:val="24"/>
          <w:lang w:eastAsia="pt-BR"/>
        </w:rPr>
        <w:t>das</w:t>
      </w:r>
      <w:r w:rsidR="002E6B53" w:rsidRPr="003B2552">
        <w:rPr>
          <w:rFonts w:ascii="Times New Roman" w:eastAsia="Times New Roman" w:hAnsi="Times New Roman" w:cs="Times New Roman"/>
          <w:sz w:val="24"/>
          <w:szCs w:val="24"/>
          <w:lang w:eastAsia="pt-BR"/>
        </w:rPr>
        <w:t xml:space="preserve"> ferrovias fizeram com que as tarifas fossem majoradas através d</w:t>
      </w:r>
      <w:r w:rsidR="00A865F0">
        <w:rPr>
          <w:rFonts w:ascii="Times New Roman" w:eastAsia="Times New Roman" w:hAnsi="Times New Roman" w:cs="Times New Roman"/>
          <w:sz w:val="24"/>
          <w:szCs w:val="24"/>
          <w:lang w:eastAsia="pt-BR"/>
        </w:rPr>
        <w:t>a</w:t>
      </w:r>
      <w:r w:rsidR="00B1690B">
        <w:rPr>
          <w:rFonts w:ascii="Times New Roman" w:eastAsia="Times New Roman" w:hAnsi="Times New Roman" w:cs="Times New Roman"/>
          <w:sz w:val="24"/>
          <w:szCs w:val="24"/>
          <w:lang w:eastAsia="pt-BR"/>
        </w:rPr>
        <w:t xml:space="preserve"> </w:t>
      </w:r>
      <w:proofErr w:type="spellStart"/>
      <w:r w:rsidR="002E6B53" w:rsidRPr="00A865F0">
        <w:rPr>
          <w:rFonts w:ascii="Times New Roman" w:eastAsia="Times New Roman" w:hAnsi="Times New Roman" w:cs="Times New Roman"/>
          <w:i/>
          <w:sz w:val="24"/>
          <w:szCs w:val="24"/>
          <w:lang w:eastAsia="pt-BR"/>
        </w:rPr>
        <w:t>Cayley</w:t>
      </w:r>
      <w:proofErr w:type="spellEnd"/>
      <w:r w:rsidR="002E6B53" w:rsidRPr="00A865F0">
        <w:rPr>
          <w:rFonts w:ascii="Times New Roman" w:eastAsia="Times New Roman" w:hAnsi="Times New Roman" w:cs="Times New Roman"/>
          <w:i/>
          <w:sz w:val="24"/>
          <w:szCs w:val="24"/>
          <w:lang w:eastAsia="pt-BR"/>
        </w:rPr>
        <w:t xml:space="preserve"> </w:t>
      </w:r>
      <w:proofErr w:type="spellStart"/>
      <w:r w:rsidR="002E6B53" w:rsidRPr="00A865F0">
        <w:rPr>
          <w:rFonts w:ascii="Times New Roman" w:eastAsia="Times New Roman" w:hAnsi="Times New Roman" w:cs="Times New Roman"/>
          <w:i/>
          <w:sz w:val="24"/>
          <w:szCs w:val="24"/>
          <w:lang w:eastAsia="pt-BR"/>
        </w:rPr>
        <w:t>and</w:t>
      </w:r>
      <w:proofErr w:type="spellEnd"/>
      <w:r w:rsidR="002E6B53" w:rsidRPr="00A865F0">
        <w:rPr>
          <w:rFonts w:ascii="Times New Roman" w:eastAsia="Times New Roman" w:hAnsi="Times New Roman" w:cs="Times New Roman"/>
          <w:i/>
          <w:sz w:val="24"/>
          <w:szCs w:val="24"/>
          <w:lang w:eastAsia="pt-BR"/>
        </w:rPr>
        <w:t xml:space="preserve"> </w:t>
      </w:r>
      <w:proofErr w:type="spellStart"/>
      <w:r w:rsidR="002E6B53" w:rsidRPr="00A865F0">
        <w:rPr>
          <w:rFonts w:ascii="Times New Roman" w:eastAsia="Times New Roman" w:hAnsi="Times New Roman" w:cs="Times New Roman"/>
          <w:i/>
          <w:sz w:val="24"/>
          <w:szCs w:val="24"/>
          <w:lang w:eastAsia="pt-BR"/>
        </w:rPr>
        <w:t>Galt</w:t>
      </w:r>
      <w:proofErr w:type="spellEnd"/>
      <w:r w:rsidR="002E6B53" w:rsidRPr="00A865F0">
        <w:rPr>
          <w:rFonts w:ascii="Times New Roman" w:eastAsia="Times New Roman" w:hAnsi="Times New Roman" w:cs="Times New Roman"/>
          <w:i/>
          <w:sz w:val="24"/>
          <w:szCs w:val="24"/>
          <w:lang w:eastAsia="pt-BR"/>
        </w:rPr>
        <w:t xml:space="preserve"> </w:t>
      </w:r>
      <w:proofErr w:type="spellStart"/>
      <w:r w:rsidR="002E6B53" w:rsidRPr="00A865F0">
        <w:rPr>
          <w:rFonts w:ascii="Times New Roman" w:eastAsia="Times New Roman" w:hAnsi="Times New Roman" w:cs="Times New Roman"/>
          <w:i/>
          <w:sz w:val="24"/>
          <w:szCs w:val="24"/>
          <w:lang w:eastAsia="pt-BR"/>
        </w:rPr>
        <w:t>Tariff</w:t>
      </w:r>
      <w:proofErr w:type="spellEnd"/>
      <w:r w:rsidR="002E6B53" w:rsidRPr="003B2552">
        <w:rPr>
          <w:rFonts w:ascii="Times New Roman" w:eastAsia="Times New Roman" w:hAnsi="Times New Roman" w:cs="Times New Roman"/>
          <w:sz w:val="24"/>
          <w:szCs w:val="24"/>
          <w:lang w:eastAsia="pt-BR"/>
        </w:rPr>
        <w:t xml:space="preserve"> já em 1858. A partir de então, a tarifa média de importação subiu de 8,54% para 12,11% (decréscimo de 2,3% para 0,13% em produtos primários; aumento de 5,24% para 7,18% </w:t>
      </w:r>
      <w:r w:rsidR="00346F11">
        <w:rPr>
          <w:rFonts w:ascii="Times New Roman" w:eastAsia="Times New Roman" w:hAnsi="Times New Roman" w:cs="Times New Roman"/>
          <w:sz w:val="24"/>
          <w:szCs w:val="24"/>
          <w:lang w:eastAsia="pt-BR"/>
        </w:rPr>
        <w:t>para</w:t>
      </w:r>
      <w:r w:rsidR="002E6B53" w:rsidRPr="003B2552">
        <w:rPr>
          <w:rFonts w:ascii="Times New Roman" w:eastAsia="Times New Roman" w:hAnsi="Times New Roman" w:cs="Times New Roman"/>
          <w:sz w:val="24"/>
          <w:szCs w:val="24"/>
          <w:lang w:eastAsia="pt-BR"/>
        </w:rPr>
        <w:t xml:space="preserve"> produtos intermediários e um aumento de 12,81% para 19,62% </w:t>
      </w:r>
      <w:r w:rsidR="00C960D2">
        <w:rPr>
          <w:rFonts w:ascii="Times New Roman" w:eastAsia="Times New Roman" w:hAnsi="Times New Roman" w:cs="Times New Roman"/>
          <w:sz w:val="24"/>
          <w:szCs w:val="24"/>
          <w:lang w:eastAsia="pt-BR"/>
        </w:rPr>
        <w:t>para os</w:t>
      </w:r>
      <w:r w:rsidR="002E6B53" w:rsidRPr="003B2552">
        <w:rPr>
          <w:rFonts w:ascii="Times New Roman" w:eastAsia="Times New Roman" w:hAnsi="Times New Roman" w:cs="Times New Roman"/>
          <w:sz w:val="24"/>
          <w:szCs w:val="24"/>
          <w:lang w:eastAsia="pt-BR"/>
        </w:rPr>
        <w:t xml:space="preserve"> </w:t>
      </w:r>
      <w:r w:rsidR="00212B65" w:rsidRPr="003B2552">
        <w:rPr>
          <w:rFonts w:ascii="Times New Roman" w:eastAsia="Times New Roman" w:hAnsi="Times New Roman" w:cs="Times New Roman"/>
          <w:sz w:val="24"/>
          <w:szCs w:val="24"/>
          <w:lang w:eastAsia="pt-BR"/>
        </w:rPr>
        <w:t xml:space="preserve">produtos </w:t>
      </w:r>
      <w:r w:rsidR="00A52299" w:rsidRPr="003B2552">
        <w:rPr>
          <w:rFonts w:ascii="Times New Roman" w:eastAsia="Times New Roman" w:hAnsi="Times New Roman" w:cs="Times New Roman"/>
          <w:sz w:val="24"/>
          <w:szCs w:val="24"/>
          <w:lang w:eastAsia="pt-BR"/>
        </w:rPr>
        <w:t>finais</w:t>
      </w:r>
      <w:r w:rsidR="002E6B53" w:rsidRPr="003B2552">
        <w:rPr>
          <w:rFonts w:ascii="Times New Roman" w:eastAsia="Times New Roman" w:hAnsi="Times New Roman" w:cs="Times New Roman"/>
          <w:sz w:val="24"/>
          <w:szCs w:val="24"/>
          <w:lang w:eastAsia="pt-BR"/>
        </w:rPr>
        <w:t>)</w:t>
      </w:r>
      <w:r w:rsidR="00D063C0" w:rsidRPr="003B2552">
        <w:rPr>
          <w:rFonts w:ascii="Times New Roman" w:eastAsia="Times New Roman" w:hAnsi="Times New Roman" w:cs="Times New Roman"/>
          <w:sz w:val="24"/>
          <w:szCs w:val="24"/>
          <w:lang w:eastAsia="pt-BR"/>
        </w:rPr>
        <w:t xml:space="preserve"> conforme </w:t>
      </w:r>
      <w:r w:rsidR="00346F11">
        <w:rPr>
          <w:rFonts w:ascii="Times New Roman" w:eastAsia="Times New Roman" w:hAnsi="Times New Roman" w:cs="Times New Roman"/>
          <w:sz w:val="24"/>
          <w:szCs w:val="24"/>
          <w:lang w:eastAsia="pt-BR"/>
        </w:rPr>
        <w:t xml:space="preserve">se mostra </w:t>
      </w:r>
      <w:r w:rsidR="00D063C0" w:rsidRPr="003B2552">
        <w:rPr>
          <w:rFonts w:ascii="Times New Roman" w:eastAsia="Times New Roman" w:hAnsi="Times New Roman" w:cs="Times New Roman"/>
          <w:sz w:val="24"/>
          <w:szCs w:val="24"/>
          <w:lang w:eastAsia="pt-BR"/>
        </w:rPr>
        <w:t xml:space="preserve">na tabela </w:t>
      </w:r>
      <w:r w:rsidR="004C0596">
        <w:rPr>
          <w:rFonts w:ascii="Times New Roman" w:eastAsia="Times New Roman" w:hAnsi="Times New Roman" w:cs="Times New Roman"/>
          <w:sz w:val="24"/>
          <w:szCs w:val="24"/>
          <w:lang w:eastAsia="pt-BR"/>
        </w:rPr>
        <w:t>1</w:t>
      </w:r>
      <w:r w:rsidR="00D063C0" w:rsidRPr="003B2552">
        <w:rPr>
          <w:rFonts w:ascii="Times New Roman" w:eastAsia="Times New Roman" w:hAnsi="Times New Roman" w:cs="Times New Roman"/>
          <w:sz w:val="24"/>
          <w:szCs w:val="24"/>
          <w:lang w:eastAsia="pt-BR"/>
        </w:rPr>
        <w:t>:</w:t>
      </w:r>
    </w:p>
    <w:p w:rsidR="00D063C0" w:rsidRPr="002E54E7" w:rsidRDefault="00F20769" w:rsidP="00F56721">
      <w:pPr>
        <w:spacing w:before="120" w:after="0" w:line="240" w:lineRule="auto"/>
        <w:ind w:hanging="142"/>
        <w:jc w:val="both"/>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 xml:space="preserve">Tabela </w:t>
      </w:r>
      <w:r w:rsidR="004C0596" w:rsidRPr="002E54E7">
        <w:rPr>
          <w:rFonts w:ascii="Times New Roman" w:eastAsia="Times New Roman" w:hAnsi="Times New Roman" w:cs="Times New Roman"/>
          <w:b/>
          <w:lang w:eastAsia="pt-BR"/>
        </w:rPr>
        <w:t>1</w:t>
      </w:r>
      <w:r w:rsidRPr="002E54E7">
        <w:rPr>
          <w:rFonts w:ascii="Times New Roman" w:eastAsia="Times New Roman" w:hAnsi="Times New Roman" w:cs="Times New Roman"/>
          <w:b/>
          <w:lang w:eastAsia="pt-BR"/>
        </w:rPr>
        <w:t xml:space="preserve">- </w:t>
      </w:r>
      <w:r w:rsidR="00D063C0" w:rsidRPr="002E54E7">
        <w:rPr>
          <w:rFonts w:ascii="Times New Roman" w:eastAsia="Times New Roman" w:hAnsi="Times New Roman" w:cs="Times New Roman"/>
          <w:b/>
          <w:lang w:eastAsia="pt-BR"/>
        </w:rPr>
        <w:t xml:space="preserve">Tarifa </w:t>
      </w:r>
      <w:proofErr w:type="spellStart"/>
      <w:r w:rsidR="00D063C0" w:rsidRPr="002E54E7">
        <w:rPr>
          <w:rFonts w:ascii="Times New Roman" w:eastAsia="Times New Roman" w:hAnsi="Times New Roman" w:cs="Times New Roman"/>
          <w:b/>
          <w:lang w:eastAsia="pt-BR"/>
        </w:rPr>
        <w:t>Cayley-Galt</w:t>
      </w:r>
      <w:proofErr w:type="spellEnd"/>
      <w:r w:rsidR="00D063C0" w:rsidRPr="002E54E7">
        <w:rPr>
          <w:rFonts w:ascii="Times New Roman" w:eastAsia="Times New Roman" w:hAnsi="Times New Roman" w:cs="Times New Roman"/>
          <w:b/>
          <w:lang w:eastAsia="pt-BR"/>
        </w:rPr>
        <w:t xml:space="preserve"> (1858)- Número de itens por diferentes percentuais tarifários</w:t>
      </w:r>
    </w:p>
    <w:tbl>
      <w:tblPr>
        <w:tblStyle w:val="GradeClara-nfas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1142"/>
        <w:gridCol w:w="1143"/>
        <w:gridCol w:w="1142"/>
        <w:gridCol w:w="1143"/>
        <w:gridCol w:w="1142"/>
        <w:gridCol w:w="1143"/>
        <w:gridCol w:w="1142"/>
        <w:gridCol w:w="1143"/>
      </w:tblGrid>
      <w:tr w:rsidR="00212B65" w:rsidRPr="002E54E7" w:rsidTr="00F93D58">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141"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212B65" w:rsidP="00A865F0">
            <w:pPr>
              <w:shd w:val="clear" w:color="auto" w:fill="FFFFFF" w:themeFill="background1"/>
              <w:jc w:val="center"/>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 nominal</w:t>
            </w:r>
          </w:p>
        </w:tc>
        <w:tc>
          <w:tcPr>
            <w:tcW w:w="2285"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212B65" w:rsidP="00A865F0">
            <w:pPr>
              <w:shd w:val="clear" w:color="auto" w:fill="FFFFFF" w:themeFill="background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Todos os itens</w:t>
            </w:r>
          </w:p>
        </w:tc>
        <w:tc>
          <w:tcPr>
            <w:tcW w:w="2285"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212B65" w:rsidP="00A865F0">
            <w:pPr>
              <w:shd w:val="clear" w:color="auto" w:fill="FFFFFF" w:themeFill="background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Primário</w:t>
            </w:r>
          </w:p>
        </w:tc>
        <w:tc>
          <w:tcPr>
            <w:tcW w:w="2285"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A52299" w:rsidP="00A865F0">
            <w:pPr>
              <w:shd w:val="clear" w:color="auto" w:fill="FFFFFF" w:themeFill="background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Intermediário</w:t>
            </w:r>
          </w:p>
        </w:tc>
        <w:tc>
          <w:tcPr>
            <w:tcW w:w="2285"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A52299" w:rsidP="00A865F0">
            <w:pPr>
              <w:shd w:val="clear" w:color="auto" w:fill="FFFFFF" w:themeFill="background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Consumo</w:t>
            </w:r>
            <w:r w:rsidR="00307942" w:rsidRPr="002E54E7">
              <w:rPr>
                <w:rFonts w:ascii="Times New Roman" w:eastAsia="Times New Roman" w:hAnsi="Times New Roman" w:cs="Times New Roman"/>
                <w:lang w:eastAsia="pt-BR"/>
              </w:rPr>
              <w:t xml:space="preserve"> </w:t>
            </w:r>
            <w:r w:rsidRPr="002E54E7">
              <w:rPr>
                <w:rFonts w:ascii="Times New Roman" w:eastAsia="Times New Roman" w:hAnsi="Times New Roman" w:cs="Times New Roman"/>
                <w:lang w:eastAsia="pt-BR"/>
              </w:rPr>
              <w:t>Final</w:t>
            </w:r>
          </w:p>
        </w:tc>
      </w:tr>
      <w:tr w:rsidR="00212B65" w:rsidRPr="002E54E7" w:rsidTr="00F93D5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41" w:type="dxa"/>
            <w:vMerge/>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212B65" w:rsidP="00A865F0">
            <w:pPr>
              <w:shd w:val="clear" w:color="auto" w:fill="FFFFFF" w:themeFill="background1"/>
              <w:jc w:val="both"/>
              <w:rPr>
                <w:rFonts w:ascii="Times New Roman" w:eastAsia="Times New Roman" w:hAnsi="Times New Roman" w:cs="Times New Roman"/>
                <w:lang w:eastAsia="pt-BR"/>
              </w:rPr>
            </w:pP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212B65" w:rsidP="00A865F0">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Antes</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212B65" w:rsidP="00A865F0">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Depois</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212B65" w:rsidP="00A865F0">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Antes</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212B65" w:rsidP="00A865F0">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Depois</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212B65" w:rsidP="00A865F0">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Antes</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212B65" w:rsidP="00A865F0">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Depois</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212B65" w:rsidP="00A865F0">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Antes</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212B65" w:rsidP="00A865F0">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Depois</w:t>
            </w:r>
          </w:p>
        </w:tc>
      </w:tr>
      <w:tr w:rsidR="00212B65" w:rsidRPr="002E54E7" w:rsidTr="00F93D58">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141"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A52299" w:rsidP="00A865F0">
            <w:pPr>
              <w:shd w:val="clear" w:color="auto" w:fill="FFFFFF" w:themeFill="background1"/>
              <w:jc w:val="center"/>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0</w:t>
            </w:r>
            <w:proofErr w:type="gramEnd"/>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97</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113</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56</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75</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26</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35</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15</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3</w:t>
            </w:r>
            <w:proofErr w:type="gramEnd"/>
          </w:p>
        </w:tc>
      </w:tr>
      <w:tr w:rsidR="00212B65" w:rsidRPr="002E54E7" w:rsidTr="00F93D58">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141"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A52299" w:rsidP="00A865F0">
            <w:pPr>
              <w:shd w:val="clear" w:color="auto" w:fill="FFFFFF" w:themeFill="background1"/>
              <w:jc w:val="center"/>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2,5</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55</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10</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35</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10</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r>
      <w:tr w:rsidR="00212B65" w:rsidRPr="002E54E7" w:rsidTr="00F93D58">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141"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A52299" w:rsidP="00A865F0">
            <w:pPr>
              <w:shd w:val="clear" w:color="auto" w:fill="FFFFFF" w:themeFill="background1"/>
              <w:jc w:val="center"/>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5,0</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15</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9</w:t>
            </w:r>
            <w:proofErr w:type="gramEnd"/>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6</w:t>
            </w:r>
            <w:proofErr w:type="gramEnd"/>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r>
      <w:tr w:rsidR="00212B65" w:rsidRPr="002E54E7" w:rsidTr="00F93D58">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141"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A52299" w:rsidP="00A865F0">
            <w:pPr>
              <w:shd w:val="clear" w:color="auto" w:fill="FFFFFF" w:themeFill="background1"/>
              <w:jc w:val="center"/>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10,0</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57</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1</w:t>
            </w:r>
            <w:proofErr w:type="gramEnd"/>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50</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6</w:t>
            </w:r>
            <w:proofErr w:type="gramEnd"/>
          </w:p>
        </w:tc>
      </w:tr>
      <w:tr w:rsidR="00212B65" w:rsidRPr="002E54E7" w:rsidTr="00F93D58">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141"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A52299" w:rsidP="00A865F0">
            <w:pPr>
              <w:shd w:val="clear" w:color="auto" w:fill="FFFFFF" w:themeFill="background1"/>
              <w:jc w:val="center"/>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15,0</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184</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1</w:t>
            </w:r>
            <w:proofErr w:type="gramEnd"/>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10</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24</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1</w:t>
            </w:r>
            <w:proofErr w:type="gramEnd"/>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150</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r>
      <w:tr w:rsidR="00212B65" w:rsidRPr="002E54E7" w:rsidTr="00F93D58">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141"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A52299" w:rsidP="00A865F0">
            <w:pPr>
              <w:shd w:val="clear" w:color="auto" w:fill="FFFFFF" w:themeFill="background1"/>
              <w:jc w:val="center"/>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20,0</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2</w:t>
            </w:r>
            <w:proofErr w:type="gramEnd"/>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175</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8</w:t>
            </w:r>
            <w:proofErr w:type="gramEnd"/>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2</w:t>
            </w:r>
            <w:proofErr w:type="gramEnd"/>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167</w:t>
            </w:r>
          </w:p>
        </w:tc>
      </w:tr>
      <w:tr w:rsidR="00212B65" w:rsidRPr="002E54E7" w:rsidTr="00F93D58">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141"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A52299" w:rsidP="00A865F0">
            <w:pPr>
              <w:shd w:val="clear" w:color="auto" w:fill="FFFFFF" w:themeFill="background1"/>
              <w:jc w:val="center"/>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25,0</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4</w:t>
            </w:r>
            <w:proofErr w:type="gramEnd"/>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4</w:t>
            </w:r>
            <w:proofErr w:type="gramEnd"/>
          </w:p>
        </w:tc>
      </w:tr>
      <w:tr w:rsidR="00212B65" w:rsidRPr="002E54E7" w:rsidTr="00F93D58">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141"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A52299" w:rsidP="00A865F0">
            <w:pPr>
              <w:shd w:val="clear" w:color="auto" w:fill="FFFFFF" w:themeFill="background1"/>
              <w:jc w:val="center"/>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30,0</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3</w:t>
            </w:r>
            <w:proofErr w:type="gramEnd"/>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3</w:t>
            </w:r>
            <w:proofErr w:type="gramEnd"/>
          </w:p>
        </w:tc>
      </w:tr>
      <w:tr w:rsidR="00212B65" w:rsidRPr="002E54E7" w:rsidTr="00F93D58">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141"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A52299" w:rsidP="00A865F0">
            <w:pPr>
              <w:shd w:val="clear" w:color="auto" w:fill="FFFFFF" w:themeFill="background1"/>
              <w:jc w:val="center"/>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TOTAL</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353</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353</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76</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76</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94</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94</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183</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C60404" w:rsidP="00A865F0">
            <w:pPr>
              <w:shd w:val="clear" w:color="auto" w:fill="FFFFFF" w:themeFill="background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183</w:t>
            </w:r>
          </w:p>
        </w:tc>
      </w:tr>
      <w:tr w:rsidR="00212B65" w:rsidRPr="002E54E7" w:rsidTr="00F93D58">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141" w:type="dxa"/>
            <w:tcBorders>
              <w:top w:val="none" w:sz="0" w:space="0" w:color="auto"/>
              <w:left w:val="none" w:sz="0" w:space="0" w:color="auto"/>
              <w:bottom w:val="none" w:sz="0" w:space="0" w:color="auto"/>
              <w:right w:val="none" w:sz="0" w:space="0" w:color="auto"/>
            </w:tcBorders>
            <w:shd w:val="clear" w:color="auto" w:fill="FFFFFF" w:themeFill="background1"/>
          </w:tcPr>
          <w:p w:rsidR="00212B65" w:rsidRPr="002E54E7" w:rsidRDefault="00A52299" w:rsidP="00A865F0">
            <w:pPr>
              <w:shd w:val="clear" w:color="auto" w:fill="FFFFFF" w:themeFill="background1"/>
              <w:jc w:val="center"/>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Taxa média</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8,54%</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12,11%</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2,30%</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0,13%</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5,24%</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7,18%</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12,81%</w:t>
            </w:r>
          </w:p>
        </w:tc>
        <w:tc>
          <w:tcPr>
            <w:tcW w:w="114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12B65" w:rsidRPr="002E54E7" w:rsidRDefault="00C60404" w:rsidP="00A865F0">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19,62%</w:t>
            </w:r>
          </w:p>
        </w:tc>
      </w:tr>
    </w:tbl>
    <w:p w:rsidR="00212B65" w:rsidRPr="002E54E7" w:rsidRDefault="00A52299" w:rsidP="00A865F0">
      <w:pPr>
        <w:shd w:val="clear" w:color="auto" w:fill="FFFFFF" w:themeFill="background1"/>
        <w:spacing w:after="0" w:line="360" w:lineRule="auto"/>
        <w:ind w:hanging="142"/>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Fonte: Hart (2002, p.55)</w:t>
      </w:r>
    </w:p>
    <w:p w:rsidR="002E6B53" w:rsidRPr="003B2552" w:rsidRDefault="002E6B53" w:rsidP="0048231B">
      <w:pPr>
        <w:spacing w:after="0" w:line="240" w:lineRule="auto"/>
        <w:ind w:firstLine="709"/>
        <w:jc w:val="both"/>
        <w:rPr>
          <w:rFonts w:ascii="Times New Roman" w:eastAsia="Times New Roman" w:hAnsi="Times New Roman" w:cs="Times New Roman"/>
          <w:sz w:val="24"/>
          <w:szCs w:val="24"/>
          <w:lang w:eastAsia="pt-BR"/>
        </w:rPr>
      </w:pPr>
      <w:r w:rsidRPr="003B2552">
        <w:rPr>
          <w:rFonts w:ascii="Times New Roman" w:eastAsia="Times New Roman" w:hAnsi="Times New Roman" w:cs="Times New Roman"/>
          <w:sz w:val="24"/>
          <w:szCs w:val="24"/>
          <w:lang w:eastAsia="pt-BR"/>
        </w:rPr>
        <w:t xml:space="preserve">Com </w:t>
      </w:r>
      <w:r w:rsidR="001E0DE1">
        <w:rPr>
          <w:rFonts w:ascii="Times New Roman" w:eastAsia="Times New Roman" w:hAnsi="Times New Roman" w:cs="Times New Roman"/>
          <w:sz w:val="24"/>
          <w:szCs w:val="24"/>
          <w:lang w:eastAsia="pt-BR"/>
        </w:rPr>
        <w:t>a</w:t>
      </w:r>
      <w:r w:rsidR="00A865F0">
        <w:rPr>
          <w:rFonts w:ascii="Times New Roman" w:eastAsia="Times New Roman" w:hAnsi="Times New Roman" w:cs="Times New Roman"/>
          <w:sz w:val="24"/>
          <w:szCs w:val="24"/>
          <w:lang w:eastAsia="pt-BR"/>
        </w:rPr>
        <w:t xml:space="preserve"> </w:t>
      </w:r>
      <w:r w:rsidRPr="003B2552">
        <w:rPr>
          <w:rFonts w:ascii="Times New Roman" w:eastAsia="Times New Roman" w:hAnsi="Times New Roman" w:cs="Times New Roman"/>
          <w:sz w:val="24"/>
          <w:szCs w:val="24"/>
          <w:lang w:eastAsia="pt-BR"/>
        </w:rPr>
        <w:t xml:space="preserve">Confederação e a criação do Domínio do Canadá o novo governo adquiriu um controle </w:t>
      </w:r>
      <w:r w:rsidR="00346F11">
        <w:rPr>
          <w:rFonts w:ascii="Times New Roman" w:eastAsia="Times New Roman" w:hAnsi="Times New Roman" w:cs="Times New Roman"/>
          <w:sz w:val="24"/>
          <w:szCs w:val="24"/>
          <w:lang w:eastAsia="pt-BR"/>
        </w:rPr>
        <w:t>maior</w:t>
      </w:r>
      <w:r w:rsidRPr="003B2552">
        <w:rPr>
          <w:rFonts w:ascii="Times New Roman" w:eastAsia="Times New Roman" w:hAnsi="Times New Roman" w:cs="Times New Roman"/>
          <w:sz w:val="24"/>
          <w:szCs w:val="24"/>
          <w:lang w:eastAsia="pt-BR"/>
        </w:rPr>
        <w:t xml:space="preserve"> sobre as tarifas alfandegárias</w:t>
      </w:r>
      <w:r w:rsidR="00164078">
        <w:rPr>
          <w:rFonts w:ascii="Times New Roman" w:eastAsia="Times New Roman" w:hAnsi="Times New Roman" w:cs="Times New Roman"/>
          <w:sz w:val="24"/>
          <w:szCs w:val="24"/>
          <w:lang w:eastAsia="pt-BR"/>
        </w:rPr>
        <w:t>,</w:t>
      </w:r>
      <w:r w:rsidRPr="003B2552">
        <w:rPr>
          <w:rFonts w:ascii="Times New Roman" w:eastAsia="Times New Roman" w:hAnsi="Times New Roman" w:cs="Times New Roman"/>
          <w:sz w:val="24"/>
          <w:szCs w:val="24"/>
          <w:lang w:eastAsia="pt-BR"/>
        </w:rPr>
        <w:t xml:space="preserve"> e em 1879 com a </w:t>
      </w:r>
      <w:proofErr w:type="gramStart"/>
      <w:r w:rsidRPr="003B2552">
        <w:rPr>
          <w:rFonts w:ascii="Times New Roman" w:eastAsia="Times New Roman" w:hAnsi="Times New Roman" w:cs="Times New Roman"/>
          <w:sz w:val="24"/>
          <w:szCs w:val="24"/>
          <w:lang w:eastAsia="pt-BR"/>
        </w:rPr>
        <w:t>implementação</w:t>
      </w:r>
      <w:proofErr w:type="gramEnd"/>
      <w:r w:rsidRPr="003B2552">
        <w:rPr>
          <w:rFonts w:ascii="Times New Roman" w:eastAsia="Times New Roman" w:hAnsi="Times New Roman" w:cs="Times New Roman"/>
          <w:sz w:val="24"/>
          <w:szCs w:val="24"/>
          <w:lang w:eastAsia="pt-BR"/>
        </w:rPr>
        <w:t xml:space="preserve"> da </w:t>
      </w:r>
      <w:r w:rsidRPr="00A865F0">
        <w:rPr>
          <w:rFonts w:ascii="Times New Roman" w:eastAsia="Times New Roman" w:hAnsi="Times New Roman" w:cs="Times New Roman"/>
          <w:i/>
          <w:sz w:val="24"/>
          <w:szCs w:val="24"/>
          <w:lang w:eastAsia="pt-BR"/>
        </w:rPr>
        <w:t>National Policy</w:t>
      </w:r>
      <w:r w:rsidRPr="003B2552">
        <w:rPr>
          <w:rFonts w:ascii="Times New Roman" w:eastAsia="Times New Roman" w:hAnsi="Times New Roman" w:cs="Times New Roman"/>
          <w:sz w:val="24"/>
          <w:szCs w:val="24"/>
          <w:lang w:eastAsia="pt-BR"/>
        </w:rPr>
        <w:t xml:space="preserve"> essas se tornaram estratégicas para </w:t>
      </w:r>
      <w:r w:rsidR="00E55E6A">
        <w:rPr>
          <w:rFonts w:ascii="Times New Roman" w:eastAsia="Times New Roman" w:hAnsi="Times New Roman" w:cs="Times New Roman"/>
          <w:sz w:val="24"/>
          <w:szCs w:val="24"/>
          <w:lang w:eastAsia="pt-BR"/>
        </w:rPr>
        <w:t xml:space="preserve">o desenvolvimento </w:t>
      </w:r>
      <w:r w:rsidR="00A865F0">
        <w:rPr>
          <w:rFonts w:ascii="Times New Roman" w:eastAsia="Times New Roman" w:hAnsi="Times New Roman" w:cs="Times New Roman"/>
          <w:sz w:val="24"/>
          <w:szCs w:val="24"/>
          <w:lang w:eastAsia="pt-BR"/>
        </w:rPr>
        <w:t xml:space="preserve">pela via </w:t>
      </w:r>
      <w:r w:rsidR="00E55E6A">
        <w:rPr>
          <w:rFonts w:ascii="Times New Roman" w:eastAsia="Times New Roman" w:hAnsi="Times New Roman" w:cs="Times New Roman"/>
          <w:sz w:val="24"/>
          <w:szCs w:val="24"/>
          <w:lang w:eastAsia="pt-BR"/>
        </w:rPr>
        <w:t>protecionista</w:t>
      </w:r>
      <w:r w:rsidRPr="003B2552">
        <w:rPr>
          <w:rFonts w:ascii="Times New Roman" w:eastAsia="Times New Roman" w:hAnsi="Times New Roman" w:cs="Times New Roman"/>
          <w:sz w:val="24"/>
          <w:szCs w:val="24"/>
          <w:lang w:eastAsia="pt-BR"/>
        </w:rPr>
        <w:t xml:space="preserve">. Com a </w:t>
      </w:r>
      <w:r w:rsidRPr="00A865F0">
        <w:rPr>
          <w:rFonts w:ascii="Times New Roman" w:eastAsia="Times New Roman" w:hAnsi="Times New Roman" w:cs="Times New Roman"/>
          <w:i/>
          <w:sz w:val="24"/>
          <w:szCs w:val="24"/>
          <w:lang w:eastAsia="pt-BR"/>
        </w:rPr>
        <w:t>National Policy</w:t>
      </w:r>
      <w:r w:rsidRPr="003B2552">
        <w:rPr>
          <w:rFonts w:ascii="Times New Roman" w:eastAsia="Times New Roman" w:hAnsi="Times New Roman" w:cs="Times New Roman"/>
          <w:sz w:val="24"/>
          <w:szCs w:val="24"/>
          <w:lang w:eastAsia="pt-BR"/>
        </w:rPr>
        <w:t xml:space="preserve"> ocorreu um </w:t>
      </w:r>
      <w:r w:rsidRPr="003B2552">
        <w:rPr>
          <w:rFonts w:ascii="Times New Roman" w:eastAsia="Times New Roman" w:hAnsi="Times New Roman" w:cs="Times New Roman"/>
          <w:sz w:val="24"/>
          <w:szCs w:val="24"/>
          <w:lang w:eastAsia="pt-BR"/>
        </w:rPr>
        <w:lastRenderedPageBreak/>
        <w:t xml:space="preserve">aumento </w:t>
      </w:r>
      <w:r w:rsidR="00164078">
        <w:rPr>
          <w:rFonts w:ascii="Times New Roman" w:eastAsia="Times New Roman" w:hAnsi="Times New Roman" w:cs="Times New Roman"/>
          <w:sz w:val="24"/>
          <w:szCs w:val="24"/>
          <w:lang w:eastAsia="pt-BR"/>
        </w:rPr>
        <w:t xml:space="preserve">substancial </w:t>
      </w:r>
      <w:r w:rsidRPr="003B2552">
        <w:rPr>
          <w:rFonts w:ascii="Times New Roman" w:eastAsia="Times New Roman" w:hAnsi="Times New Roman" w:cs="Times New Roman"/>
          <w:sz w:val="24"/>
          <w:szCs w:val="24"/>
          <w:lang w:eastAsia="pt-BR"/>
        </w:rPr>
        <w:t xml:space="preserve">nessas tarifas, superando </w:t>
      </w:r>
      <w:r w:rsidR="00164078">
        <w:rPr>
          <w:rFonts w:ascii="Times New Roman" w:eastAsia="Times New Roman" w:hAnsi="Times New Roman" w:cs="Times New Roman"/>
          <w:sz w:val="24"/>
          <w:szCs w:val="24"/>
          <w:lang w:eastAsia="pt-BR"/>
        </w:rPr>
        <w:t>em</w:t>
      </w:r>
      <w:r w:rsidRPr="003B2552">
        <w:rPr>
          <w:rFonts w:ascii="Times New Roman" w:eastAsia="Times New Roman" w:hAnsi="Times New Roman" w:cs="Times New Roman"/>
          <w:sz w:val="24"/>
          <w:szCs w:val="24"/>
          <w:lang w:eastAsia="pt-BR"/>
        </w:rPr>
        <w:t xml:space="preserve"> média os 20% e ocorreu uma revisão da estrutura tarifária</w:t>
      </w:r>
      <w:r w:rsidR="00A865F0">
        <w:rPr>
          <w:rFonts w:ascii="Times New Roman" w:eastAsia="Times New Roman" w:hAnsi="Times New Roman" w:cs="Times New Roman"/>
          <w:sz w:val="24"/>
          <w:szCs w:val="24"/>
          <w:lang w:eastAsia="pt-BR"/>
        </w:rPr>
        <w:t>,</w:t>
      </w:r>
      <w:r w:rsidRPr="003B2552">
        <w:rPr>
          <w:rFonts w:ascii="Times New Roman" w:eastAsia="Times New Roman" w:hAnsi="Times New Roman" w:cs="Times New Roman"/>
          <w:sz w:val="24"/>
          <w:szCs w:val="24"/>
          <w:lang w:eastAsia="pt-BR"/>
        </w:rPr>
        <w:t xml:space="preserve"> distinguindo bens semiacabados e materiais industriais (tarifa entre 10 e 20%), equipamentos manufaturados (25%) e bens de consumo </w:t>
      </w:r>
      <w:r w:rsidR="00080561" w:rsidRPr="003B2552">
        <w:rPr>
          <w:rFonts w:ascii="Times New Roman" w:eastAsia="Times New Roman" w:hAnsi="Times New Roman" w:cs="Times New Roman"/>
          <w:sz w:val="24"/>
          <w:szCs w:val="24"/>
          <w:lang w:eastAsia="pt-BR"/>
        </w:rPr>
        <w:t>final</w:t>
      </w:r>
      <w:r w:rsidRPr="003B2552">
        <w:rPr>
          <w:rFonts w:ascii="Times New Roman" w:eastAsia="Times New Roman" w:hAnsi="Times New Roman" w:cs="Times New Roman"/>
          <w:sz w:val="24"/>
          <w:szCs w:val="24"/>
          <w:lang w:eastAsia="pt-BR"/>
        </w:rPr>
        <w:t xml:space="preserve"> (30%) (P</w:t>
      </w:r>
      <w:r w:rsidR="00813AA0">
        <w:rPr>
          <w:rFonts w:ascii="Times New Roman" w:eastAsia="Times New Roman" w:hAnsi="Times New Roman" w:cs="Times New Roman"/>
          <w:sz w:val="24"/>
          <w:szCs w:val="24"/>
          <w:lang w:eastAsia="pt-BR"/>
        </w:rPr>
        <w:t>OMFRET</w:t>
      </w:r>
      <w:r w:rsidRPr="003B2552">
        <w:rPr>
          <w:rFonts w:ascii="Times New Roman" w:eastAsia="Times New Roman" w:hAnsi="Times New Roman" w:cs="Times New Roman"/>
          <w:sz w:val="24"/>
          <w:szCs w:val="24"/>
          <w:lang w:eastAsia="pt-BR"/>
        </w:rPr>
        <w:t>, 1981</w:t>
      </w:r>
      <w:r w:rsidR="00E71938">
        <w:rPr>
          <w:rFonts w:ascii="Times New Roman" w:eastAsia="Times New Roman" w:hAnsi="Times New Roman" w:cs="Times New Roman"/>
          <w:sz w:val="24"/>
          <w:szCs w:val="24"/>
          <w:lang w:eastAsia="pt-BR"/>
        </w:rPr>
        <w:t>, p.73</w:t>
      </w:r>
      <w:r w:rsidRPr="003B2552">
        <w:rPr>
          <w:rFonts w:ascii="Times New Roman" w:eastAsia="Times New Roman" w:hAnsi="Times New Roman" w:cs="Times New Roman"/>
          <w:sz w:val="24"/>
          <w:szCs w:val="24"/>
          <w:lang w:eastAsia="pt-BR"/>
        </w:rPr>
        <w:t>).</w:t>
      </w:r>
    </w:p>
    <w:p w:rsidR="00291803" w:rsidRDefault="001E0DE1"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Já n</w:t>
      </w:r>
      <w:r w:rsidR="00843B2E" w:rsidRPr="003B2552">
        <w:rPr>
          <w:rFonts w:ascii="Times New Roman" w:eastAsia="Times New Roman" w:hAnsi="Times New Roman" w:cs="Times New Roman"/>
          <w:sz w:val="24"/>
          <w:szCs w:val="24"/>
          <w:lang w:eastAsia="pt-BR"/>
        </w:rPr>
        <w:t xml:space="preserve">as primeiras décadas </w:t>
      </w:r>
      <w:r>
        <w:rPr>
          <w:rFonts w:ascii="Times New Roman" w:eastAsia="Times New Roman" w:hAnsi="Times New Roman" w:cs="Times New Roman"/>
          <w:sz w:val="24"/>
          <w:szCs w:val="24"/>
          <w:lang w:eastAsia="pt-BR"/>
        </w:rPr>
        <w:t>após a</w:t>
      </w:r>
      <w:r w:rsidR="00164078">
        <w:rPr>
          <w:rFonts w:ascii="Times New Roman" w:eastAsia="Times New Roman" w:hAnsi="Times New Roman" w:cs="Times New Roman"/>
          <w:sz w:val="24"/>
          <w:szCs w:val="24"/>
          <w:lang w:eastAsia="pt-BR"/>
        </w:rPr>
        <w:t xml:space="preserve"> formação da</w:t>
      </w:r>
      <w:r w:rsidR="00843B2E" w:rsidRPr="003B2552">
        <w:rPr>
          <w:rFonts w:ascii="Times New Roman" w:eastAsia="Times New Roman" w:hAnsi="Times New Roman" w:cs="Times New Roman"/>
          <w:sz w:val="24"/>
          <w:szCs w:val="24"/>
          <w:lang w:eastAsia="pt-BR"/>
        </w:rPr>
        <w:t xml:space="preserve"> Confederação começaram a ocorrer importantes mudanças</w:t>
      </w:r>
      <w:r w:rsidR="00164078">
        <w:rPr>
          <w:rFonts w:ascii="Times New Roman" w:eastAsia="Times New Roman" w:hAnsi="Times New Roman" w:cs="Times New Roman"/>
          <w:sz w:val="24"/>
          <w:szCs w:val="24"/>
          <w:lang w:eastAsia="pt-BR"/>
        </w:rPr>
        <w:t xml:space="preserve"> estruturais</w:t>
      </w:r>
      <w:r w:rsidR="00843B2E" w:rsidRPr="003B2552">
        <w:rPr>
          <w:rFonts w:ascii="Times New Roman" w:eastAsia="Times New Roman" w:hAnsi="Times New Roman" w:cs="Times New Roman"/>
          <w:sz w:val="24"/>
          <w:szCs w:val="24"/>
          <w:lang w:eastAsia="pt-BR"/>
        </w:rPr>
        <w:t xml:space="preserve"> no setor manufatureiro com o declínio de algumas atividades tradicionais e o surgimento e </w:t>
      </w:r>
      <w:r w:rsidR="00EA0A3E" w:rsidRPr="003B2552">
        <w:rPr>
          <w:rFonts w:ascii="Times New Roman" w:eastAsia="Times New Roman" w:hAnsi="Times New Roman" w:cs="Times New Roman"/>
          <w:sz w:val="24"/>
          <w:szCs w:val="24"/>
          <w:lang w:eastAsia="pt-BR"/>
        </w:rPr>
        <w:t>ascensão</w:t>
      </w:r>
      <w:r w:rsidR="00843B2E" w:rsidRPr="003B2552">
        <w:rPr>
          <w:rFonts w:ascii="Times New Roman" w:eastAsia="Times New Roman" w:hAnsi="Times New Roman" w:cs="Times New Roman"/>
          <w:sz w:val="24"/>
          <w:szCs w:val="24"/>
          <w:lang w:eastAsia="pt-BR"/>
        </w:rPr>
        <w:t xml:space="preserve"> de outras. O </w:t>
      </w:r>
      <w:proofErr w:type="spellStart"/>
      <w:r w:rsidR="00843B2E" w:rsidRPr="003B2552">
        <w:rPr>
          <w:rFonts w:ascii="Times New Roman" w:eastAsia="Times New Roman" w:hAnsi="Times New Roman" w:cs="Times New Roman"/>
          <w:i/>
          <w:sz w:val="24"/>
          <w:szCs w:val="24"/>
          <w:lang w:eastAsia="pt-BR"/>
        </w:rPr>
        <w:t>mix</w:t>
      </w:r>
      <w:proofErr w:type="spellEnd"/>
      <w:r w:rsidR="00843B2E" w:rsidRPr="003B2552">
        <w:rPr>
          <w:rFonts w:ascii="Times New Roman" w:eastAsia="Times New Roman" w:hAnsi="Times New Roman" w:cs="Times New Roman"/>
          <w:i/>
          <w:sz w:val="24"/>
          <w:szCs w:val="24"/>
          <w:lang w:eastAsia="pt-BR"/>
        </w:rPr>
        <w:t xml:space="preserve"> </w:t>
      </w:r>
      <w:r w:rsidR="00843B2E" w:rsidRPr="003B2552">
        <w:rPr>
          <w:rFonts w:ascii="Times New Roman" w:eastAsia="Times New Roman" w:hAnsi="Times New Roman" w:cs="Times New Roman"/>
          <w:sz w:val="24"/>
          <w:szCs w:val="24"/>
          <w:lang w:eastAsia="pt-BR"/>
        </w:rPr>
        <w:t>das atividades manufatureiras em relação ao PIB mudou de forma bastante relevante entre 1870 e 19</w:t>
      </w:r>
      <w:r w:rsidR="008E4A99">
        <w:rPr>
          <w:rFonts w:ascii="Times New Roman" w:eastAsia="Times New Roman" w:hAnsi="Times New Roman" w:cs="Times New Roman"/>
          <w:sz w:val="24"/>
          <w:szCs w:val="24"/>
          <w:lang w:eastAsia="pt-BR"/>
        </w:rPr>
        <w:t>2</w:t>
      </w:r>
      <w:r w:rsidR="00843B2E" w:rsidRPr="003B2552">
        <w:rPr>
          <w:rFonts w:ascii="Times New Roman" w:eastAsia="Times New Roman" w:hAnsi="Times New Roman" w:cs="Times New Roman"/>
          <w:sz w:val="24"/>
          <w:szCs w:val="24"/>
          <w:lang w:eastAsia="pt-BR"/>
        </w:rPr>
        <w:t>0</w:t>
      </w:r>
      <w:r w:rsidR="00161E16">
        <w:rPr>
          <w:rFonts w:ascii="Times New Roman" w:eastAsia="Times New Roman" w:hAnsi="Times New Roman" w:cs="Times New Roman"/>
          <w:sz w:val="24"/>
          <w:szCs w:val="24"/>
          <w:lang w:eastAsia="pt-BR"/>
        </w:rPr>
        <w:t xml:space="preserve"> conforme o gráfico I</w:t>
      </w:r>
      <w:r w:rsidR="00843B2E" w:rsidRPr="003B2552">
        <w:rPr>
          <w:rFonts w:ascii="Times New Roman" w:eastAsia="Times New Roman" w:hAnsi="Times New Roman" w:cs="Times New Roman"/>
          <w:sz w:val="24"/>
          <w:szCs w:val="24"/>
          <w:lang w:eastAsia="pt-BR"/>
        </w:rPr>
        <w:t>:</w:t>
      </w:r>
    </w:p>
    <w:p w:rsidR="00291803" w:rsidRDefault="00B1690B" w:rsidP="0048231B">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Gráfico 1 </w:t>
      </w:r>
      <w:r w:rsidR="00161E16" w:rsidRPr="00161E16">
        <w:rPr>
          <w:rFonts w:ascii="Times New Roman" w:eastAsia="Times New Roman" w:hAnsi="Times New Roman" w:cs="Times New Roman"/>
          <w:sz w:val="24"/>
          <w:szCs w:val="24"/>
          <w:lang w:eastAsia="pt-BR"/>
        </w:rPr>
        <w:t xml:space="preserve">- Distribuição percentual do PIB </w:t>
      </w:r>
      <w:r w:rsidR="00164078">
        <w:rPr>
          <w:rFonts w:ascii="Times New Roman" w:eastAsia="Times New Roman" w:hAnsi="Times New Roman" w:cs="Times New Roman"/>
          <w:sz w:val="24"/>
          <w:szCs w:val="24"/>
          <w:lang w:eastAsia="pt-BR"/>
        </w:rPr>
        <w:t>manufatureiro</w:t>
      </w:r>
      <w:r w:rsidR="00161E16" w:rsidRPr="00161E16">
        <w:rPr>
          <w:rFonts w:ascii="Times New Roman" w:eastAsia="Times New Roman" w:hAnsi="Times New Roman" w:cs="Times New Roman"/>
          <w:sz w:val="24"/>
          <w:szCs w:val="24"/>
          <w:lang w:eastAsia="pt-BR"/>
        </w:rPr>
        <w:t xml:space="preserve"> em 1870</w:t>
      </w:r>
      <w:r w:rsidR="00161E16">
        <w:rPr>
          <w:rFonts w:ascii="Times New Roman" w:eastAsia="Times New Roman" w:hAnsi="Times New Roman" w:cs="Times New Roman"/>
          <w:sz w:val="24"/>
          <w:szCs w:val="24"/>
          <w:lang w:eastAsia="pt-BR"/>
        </w:rPr>
        <w:t>,1910 e 1920</w:t>
      </w:r>
    </w:p>
    <w:p w:rsidR="004C0DA9" w:rsidRDefault="008E4A99" w:rsidP="00EA0A3E">
      <w:pPr>
        <w:spacing w:after="0" w:line="240" w:lineRule="auto"/>
        <w:rPr>
          <w:rFonts w:ascii="Times New Roman" w:eastAsia="Times New Roman" w:hAnsi="Times New Roman" w:cs="Times New Roman"/>
          <w:sz w:val="18"/>
          <w:szCs w:val="18"/>
          <w:lang w:eastAsia="pt-BR"/>
        </w:rPr>
      </w:pPr>
      <w:r>
        <w:rPr>
          <w:rFonts w:ascii="Times New Roman" w:eastAsia="Times New Roman" w:hAnsi="Times New Roman" w:cs="Times New Roman"/>
          <w:noProof/>
          <w:sz w:val="24"/>
          <w:szCs w:val="24"/>
          <w:lang w:eastAsia="pt-BR"/>
        </w:rPr>
        <w:drawing>
          <wp:inline distT="0" distB="0" distL="0" distR="0" wp14:anchorId="29D2DE94" wp14:editId="19B192A2">
            <wp:extent cx="6496050" cy="3990975"/>
            <wp:effectExtent l="0" t="0" r="19050"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C0DA9" w:rsidRPr="002E54E7" w:rsidRDefault="008E4A99" w:rsidP="00EA0A3E">
      <w:pPr>
        <w:spacing w:after="0" w:line="240" w:lineRule="auto"/>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Fonte: Adaptado de Urquhart</w:t>
      </w:r>
      <w:r w:rsidR="000D23A5" w:rsidRPr="002E54E7">
        <w:rPr>
          <w:rFonts w:ascii="Times New Roman" w:eastAsia="Times New Roman" w:hAnsi="Times New Roman" w:cs="Times New Roman"/>
          <w:lang w:eastAsia="pt-BR"/>
        </w:rPr>
        <w:t xml:space="preserve"> (1986, p.60)</w:t>
      </w:r>
      <w:r w:rsidR="0042480C" w:rsidRPr="002E54E7">
        <w:rPr>
          <w:rFonts w:ascii="Times New Roman" w:eastAsia="Times New Roman" w:hAnsi="Times New Roman" w:cs="Times New Roman"/>
          <w:lang w:eastAsia="pt-BR"/>
        </w:rPr>
        <w:t>.</w:t>
      </w:r>
    </w:p>
    <w:p w:rsidR="00403F82" w:rsidRDefault="004813EF" w:rsidP="002E54E7">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18"/>
          <w:szCs w:val="18"/>
          <w:lang w:eastAsia="pt-BR"/>
        </w:rPr>
        <w:tab/>
      </w:r>
      <w:r>
        <w:rPr>
          <w:rFonts w:ascii="Times New Roman" w:eastAsia="Times New Roman" w:hAnsi="Times New Roman" w:cs="Times New Roman"/>
          <w:sz w:val="24"/>
          <w:szCs w:val="24"/>
          <w:lang w:eastAsia="pt-BR"/>
        </w:rPr>
        <w:t>Como pode ser observado, q</w:t>
      </w:r>
      <w:r w:rsidR="00403F82" w:rsidRPr="003B2552">
        <w:rPr>
          <w:rFonts w:ascii="Times New Roman" w:eastAsia="Times New Roman" w:hAnsi="Times New Roman" w:cs="Times New Roman"/>
          <w:sz w:val="24"/>
          <w:szCs w:val="24"/>
          <w:lang w:eastAsia="pt-BR"/>
        </w:rPr>
        <w:t xml:space="preserve">uando é analisado o percentual de contribuição ao PIB de cada setor em 1910 em comparação a 1870 observa-se modificações </w:t>
      </w:r>
      <w:r w:rsidR="00BF7408" w:rsidRPr="003B2552">
        <w:rPr>
          <w:rFonts w:ascii="Times New Roman" w:eastAsia="Times New Roman" w:hAnsi="Times New Roman" w:cs="Times New Roman"/>
          <w:sz w:val="24"/>
          <w:szCs w:val="24"/>
          <w:lang w:eastAsia="pt-BR"/>
        </w:rPr>
        <w:t>na importância dos setores industriais com a indústria de ferro e aço ultrapassando a de madeira como principal indústria em geração de valor, a menor importância da indústria de couro e o crescimento do setor de vestuário</w:t>
      </w:r>
      <w:r w:rsidR="009B5630">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Apenas os produtos de madeira e couro representavam 36,2% do PIB industrial canadense em 1870, valor este que cai para 21,9% em 1910</w:t>
      </w:r>
      <w:r w:rsidR="00546E9A">
        <w:rPr>
          <w:rFonts w:ascii="Times New Roman" w:eastAsia="Times New Roman" w:hAnsi="Times New Roman" w:cs="Times New Roman"/>
          <w:sz w:val="24"/>
          <w:szCs w:val="24"/>
          <w:lang w:eastAsia="pt-BR"/>
        </w:rPr>
        <w:t xml:space="preserve"> e representa apenas 14,8% em 1920</w:t>
      </w:r>
      <w:r w:rsidR="001E0DE1">
        <w:rPr>
          <w:rFonts w:ascii="Times New Roman" w:eastAsia="Times New Roman" w:hAnsi="Times New Roman" w:cs="Times New Roman"/>
          <w:sz w:val="24"/>
          <w:szCs w:val="24"/>
          <w:lang w:eastAsia="pt-BR"/>
        </w:rPr>
        <w:t xml:space="preserve"> </w:t>
      </w:r>
      <w:r w:rsidR="00546E9A">
        <w:rPr>
          <w:rFonts w:ascii="Times New Roman" w:eastAsia="Times New Roman" w:hAnsi="Times New Roman" w:cs="Times New Roman"/>
          <w:sz w:val="24"/>
          <w:szCs w:val="24"/>
          <w:lang w:eastAsia="pt-BR"/>
        </w:rPr>
        <w:t xml:space="preserve">(URQUHART, 1986, p.60). </w:t>
      </w:r>
    </w:p>
    <w:p w:rsidR="00B2345C" w:rsidRDefault="00B2345C"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Embora seja correto afirmar que já existia</w:t>
      </w:r>
      <w:r w:rsidR="00164078">
        <w:rPr>
          <w:rFonts w:ascii="Times New Roman" w:eastAsia="Times New Roman" w:hAnsi="Times New Roman" w:cs="Times New Roman"/>
          <w:sz w:val="24"/>
          <w:szCs w:val="24"/>
          <w:lang w:eastAsia="pt-BR"/>
        </w:rPr>
        <w:t xml:space="preserve"> alguma</w:t>
      </w:r>
      <w:r>
        <w:rPr>
          <w:rFonts w:ascii="Times New Roman" w:eastAsia="Times New Roman" w:hAnsi="Times New Roman" w:cs="Times New Roman"/>
          <w:sz w:val="24"/>
          <w:szCs w:val="24"/>
          <w:lang w:eastAsia="pt-BR"/>
        </w:rPr>
        <w:t xml:space="preserve"> indústria de transformação antes do surgimento da Confederação, esta ainda era bastante limitada. Como destacam Marr e Paterson (1980)</w:t>
      </w:r>
      <w:r w:rsidR="00164078">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até a criação da Confederação:</w:t>
      </w:r>
    </w:p>
    <w:p w:rsidR="00B2345C" w:rsidRPr="002A5C54" w:rsidRDefault="00B2345C" w:rsidP="0048231B">
      <w:pPr>
        <w:spacing w:after="0" w:line="240" w:lineRule="auto"/>
        <w:ind w:left="2268"/>
        <w:jc w:val="both"/>
        <w:rPr>
          <w:rFonts w:ascii="Times New Roman" w:eastAsia="Times New Roman" w:hAnsi="Times New Roman" w:cs="Times New Roman"/>
          <w:lang w:eastAsia="pt-BR"/>
        </w:rPr>
      </w:pPr>
      <w:r w:rsidRPr="002A5C54">
        <w:rPr>
          <w:rFonts w:ascii="Times New Roman" w:eastAsia="Times New Roman" w:hAnsi="Times New Roman" w:cs="Times New Roman"/>
          <w:lang w:eastAsia="pt-BR"/>
        </w:rPr>
        <w:t xml:space="preserve">Apenas em poucos setores como equipamentos de transporte, máquinas agrícolas e produção têxtil, indústrias de tamanho razoável se desenvolveram. A maioria das empresas na maioria dos setores industriais eram pequenas; produziam para o mercado local, compravam muitos de seus insumos em regiões próximas e raramente estavam envolvidas em comércio de exportação, ao menos é claro se eram parte direta do comércio de </w:t>
      </w:r>
      <w:r w:rsidRPr="002A5C54">
        <w:rPr>
          <w:rFonts w:ascii="Times New Roman" w:eastAsia="Times New Roman" w:hAnsi="Times New Roman" w:cs="Times New Roman"/>
          <w:i/>
          <w:lang w:eastAsia="pt-BR"/>
        </w:rPr>
        <w:t>staples</w:t>
      </w:r>
      <w:r w:rsidRPr="002A5C54">
        <w:rPr>
          <w:rFonts w:ascii="Times New Roman" w:eastAsia="Times New Roman" w:hAnsi="Times New Roman" w:cs="Times New Roman"/>
          <w:lang w:eastAsia="pt-BR"/>
        </w:rPr>
        <w:t xml:space="preserve"> </w:t>
      </w:r>
      <w:r w:rsidR="00A648CA" w:rsidRPr="002A5C54">
        <w:rPr>
          <w:rStyle w:val="Refdenotaderodap"/>
          <w:rFonts w:ascii="Times New Roman" w:eastAsia="Times New Roman" w:hAnsi="Times New Roman" w:cs="Times New Roman"/>
          <w:lang w:eastAsia="pt-BR"/>
        </w:rPr>
        <w:footnoteReference w:id="8"/>
      </w:r>
      <w:r w:rsidRPr="002A5C54">
        <w:rPr>
          <w:rFonts w:ascii="Times New Roman" w:eastAsia="Times New Roman" w:hAnsi="Times New Roman" w:cs="Times New Roman"/>
          <w:lang w:eastAsia="pt-BR"/>
        </w:rPr>
        <w:t>(MARR, PATERSON, 1980, p. 375</w:t>
      </w:r>
      <w:r w:rsidR="00164078" w:rsidRPr="002A5C54">
        <w:rPr>
          <w:rFonts w:ascii="Times New Roman" w:eastAsia="Times New Roman" w:hAnsi="Times New Roman" w:cs="Times New Roman"/>
          <w:lang w:eastAsia="pt-BR"/>
        </w:rPr>
        <w:t>, tradução nossa</w:t>
      </w:r>
      <w:r w:rsidRPr="002A5C54">
        <w:rPr>
          <w:rFonts w:ascii="Times New Roman" w:eastAsia="Times New Roman" w:hAnsi="Times New Roman" w:cs="Times New Roman"/>
          <w:lang w:eastAsia="pt-BR"/>
        </w:rPr>
        <w:t>)</w:t>
      </w:r>
      <w:r w:rsidR="00164078" w:rsidRPr="002A5C54">
        <w:rPr>
          <w:rFonts w:ascii="Times New Roman" w:eastAsia="Times New Roman" w:hAnsi="Times New Roman" w:cs="Times New Roman"/>
          <w:lang w:eastAsia="pt-BR"/>
        </w:rPr>
        <w:t>.</w:t>
      </w:r>
    </w:p>
    <w:p w:rsidR="00556EAF" w:rsidRPr="00016A10" w:rsidRDefault="00164078" w:rsidP="0048231B">
      <w:pPr>
        <w:spacing w:after="0" w:line="240" w:lineRule="auto"/>
        <w:ind w:firstLine="709"/>
        <w:jc w:val="both"/>
        <w:rPr>
          <w:rFonts w:ascii="Times New Roman" w:hAnsi="Times New Roman" w:cs="Times New Roman"/>
          <w:sz w:val="24"/>
          <w:szCs w:val="24"/>
        </w:rPr>
      </w:pPr>
      <w:r>
        <w:rPr>
          <w:rFonts w:ascii="Times New Roman" w:eastAsia="Times New Roman" w:hAnsi="Times New Roman" w:cs="Times New Roman"/>
          <w:sz w:val="24"/>
          <w:szCs w:val="24"/>
          <w:lang w:eastAsia="pt-BR"/>
        </w:rPr>
        <w:t>Contudo</w:t>
      </w:r>
      <w:r w:rsidR="00B2345C">
        <w:rPr>
          <w:rFonts w:ascii="Times New Roman" w:eastAsia="Times New Roman" w:hAnsi="Times New Roman" w:cs="Times New Roman"/>
          <w:sz w:val="24"/>
          <w:szCs w:val="24"/>
          <w:lang w:eastAsia="pt-BR"/>
        </w:rPr>
        <w:t xml:space="preserve">, os mesmos autores </w:t>
      </w:r>
      <w:r w:rsidR="00CE55E4" w:rsidRPr="003B2552">
        <w:rPr>
          <w:rFonts w:ascii="Times New Roman" w:eastAsia="Times New Roman" w:hAnsi="Times New Roman" w:cs="Times New Roman"/>
          <w:sz w:val="24"/>
          <w:szCs w:val="24"/>
          <w:lang w:eastAsia="pt-BR"/>
        </w:rPr>
        <w:t>observam que d</w:t>
      </w:r>
      <w:r w:rsidR="00FD51A6" w:rsidRPr="003B2552">
        <w:rPr>
          <w:rFonts w:ascii="Times New Roman" w:eastAsia="Times New Roman" w:hAnsi="Times New Roman" w:cs="Times New Roman"/>
          <w:sz w:val="24"/>
          <w:szCs w:val="24"/>
          <w:lang w:eastAsia="pt-BR"/>
        </w:rPr>
        <w:t>urante os cerca de sessenta anos em que as altas tarifas vigoraram as transformações</w:t>
      </w:r>
      <w:r w:rsidR="00CE55E4" w:rsidRPr="003B2552">
        <w:rPr>
          <w:rFonts w:ascii="Times New Roman" w:eastAsia="Times New Roman" w:hAnsi="Times New Roman" w:cs="Times New Roman"/>
          <w:sz w:val="24"/>
          <w:szCs w:val="24"/>
          <w:lang w:eastAsia="pt-BR"/>
        </w:rPr>
        <w:t xml:space="preserve"> na indústria</w:t>
      </w:r>
      <w:r w:rsidR="00FD51A6" w:rsidRPr="003B2552">
        <w:rPr>
          <w:rFonts w:ascii="Times New Roman" w:eastAsia="Times New Roman" w:hAnsi="Times New Roman" w:cs="Times New Roman"/>
          <w:sz w:val="24"/>
          <w:szCs w:val="24"/>
          <w:lang w:eastAsia="pt-BR"/>
        </w:rPr>
        <w:t xml:space="preserve"> foram evidentes com o surgimento de unidades de produção de grande escala, diversificação de produtos e novos usos de recursos energéticos como os </w:t>
      </w:r>
      <w:r w:rsidR="00FD51A6" w:rsidRPr="003B2552">
        <w:rPr>
          <w:rFonts w:ascii="Times New Roman" w:eastAsia="Times New Roman" w:hAnsi="Times New Roman" w:cs="Times New Roman"/>
          <w:sz w:val="24"/>
          <w:szCs w:val="24"/>
          <w:lang w:eastAsia="pt-BR"/>
        </w:rPr>
        <w:lastRenderedPageBreak/>
        <w:t>hidroelétricos</w:t>
      </w:r>
      <w:r>
        <w:rPr>
          <w:rFonts w:ascii="Times New Roman" w:eastAsia="Times New Roman" w:hAnsi="Times New Roman" w:cs="Times New Roman"/>
          <w:sz w:val="24"/>
          <w:szCs w:val="24"/>
          <w:lang w:eastAsia="pt-BR"/>
        </w:rPr>
        <w:t>. Surgiram também</w:t>
      </w:r>
      <w:r w:rsidR="00FD51A6" w:rsidRPr="003B2552">
        <w:rPr>
          <w:rFonts w:ascii="Times New Roman" w:eastAsia="Times New Roman" w:hAnsi="Times New Roman" w:cs="Times New Roman"/>
          <w:sz w:val="24"/>
          <w:szCs w:val="24"/>
          <w:lang w:eastAsia="pt-BR"/>
        </w:rPr>
        <w:t xml:space="preserve"> novas técnicas de gestão e controle que se distanciavam das bases tradicionais das empresas canadenses.</w:t>
      </w:r>
      <w:r w:rsidR="00016A10">
        <w:rPr>
          <w:rFonts w:ascii="Times New Roman" w:eastAsia="Times New Roman" w:hAnsi="Times New Roman" w:cs="Times New Roman"/>
          <w:sz w:val="24"/>
          <w:szCs w:val="24"/>
          <w:lang w:eastAsia="pt-BR"/>
        </w:rPr>
        <w:t xml:space="preserve"> </w:t>
      </w:r>
      <w:r w:rsidR="00CE55E4" w:rsidRPr="00016A10">
        <w:rPr>
          <w:rFonts w:ascii="Times New Roman" w:hAnsi="Times New Roman" w:cs="Times New Roman"/>
          <w:sz w:val="24"/>
          <w:szCs w:val="24"/>
        </w:rPr>
        <w:t>Os autores destacam que já na década de 1930</w:t>
      </w:r>
      <w:r w:rsidR="00556EAF" w:rsidRPr="00016A10">
        <w:rPr>
          <w:rFonts w:ascii="Times New Roman" w:hAnsi="Times New Roman" w:cs="Times New Roman"/>
          <w:sz w:val="24"/>
          <w:szCs w:val="24"/>
        </w:rPr>
        <w:t>:</w:t>
      </w:r>
    </w:p>
    <w:p w:rsidR="0049761E" w:rsidRPr="002A5C54" w:rsidRDefault="00DB1516" w:rsidP="0048231B">
      <w:pPr>
        <w:spacing w:before="120" w:after="0" w:line="240" w:lineRule="auto"/>
        <w:ind w:left="2268"/>
        <w:jc w:val="both"/>
        <w:rPr>
          <w:rFonts w:ascii="Times New Roman" w:eastAsia="Times New Roman" w:hAnsi="Times New Roman" w:cs="Times New Roman"/>
          <w:lang w:eastAsia="pt-BR"/>
        </w:rPr>
      </w:pPr>
      <w:r w:rsidRPr="002A5C54">
        <w:rPr>
          <w:rFonts w:ascii="Times New Roman" w:eastAsia="Times New Roman" w:hAnsi="Times New Roman" w:cs="Times New Roman"/>
          <w:lang w:eastAsia="pt-BR"/>
        </w:rPr>
        <w:t xml:space="preserve">[...] </w:t>
      </w:r>
      <w:r w:rsidR="00556EAF" w:rsidRPr="002A5C54">
        <w:rPr>
          <w:rFonts w:ascii="Times New Roman" w:eastAsia="Times New Roman" w:hAnsi="Times New Roman" w:cs="Times New Roman"/>
          <w:lang w:eastAsia="pt-BR"/>
        </w:rPr>
        <w:t xml:space="preserve">as características da indústria de transformação eram totalmente diferentes. Muitas atividades industriais possuíam grandes empresas, a produção era destinada para um mercado mais amplo que o local, insumos eram comprados e </w:t>
      </w:r>
      <w:r w:rsidR="00693763" w:rsidRPr="002A5C54">
        <w:rPr>
          <w:rFonts w:ascii="Times New Roman" w:eastAsia="Times New Roman" w:hAnsi="Times New Roman" w:cs="Times New Roman"/>
          <w:lang w:eastAsia="pt-BR"/>
        </w:rPr>
        <w:t>frequentemente</w:t>
      </w:r>
      <w:r w:rsidR="00556EAF" w:rsidRPr="002A5C54">
        <w:rPr>
          <w:rFonts w:ascii="Times New Roman" w:eastAsia="Times New Roman" w:hAnsi="Times New Roman" w:cs="Times New Roman"/>
          <w:lang w:eastAsia="pt-BR"/>
        </w:rPr>
        <w:t xml:space="preserve"> </w:t>
      </w:r>
      <w:r w:rsidR="008C5C77" w:rsidRPr="002A5C54">
        <w:rPr>
          <w:rFonts w:ascii="Times New Roman" w:eastAsia="Times New Roman" w:hAnsi="Times New Roman" w:cs="Times New Roman"/>
          <w:lang w:eastAsia="pt-BR"/>
        </w:rPr>
        <w:t xml:space="preserve">transportados </w:t>
      </w:r>
      <w:r w:rsidR="00556EAF" w:rsidRPr="002A5C54">
        <w:rPr>
          <w:rFonts w:ascii="Times New Roman" w:eastAsia="Times New Roman" w:hAnsi="Times New Roman" w:cs="Times New Roman"/>
          <w:lang w:eastAsia="pt-BR"/>
        </w:rPr>
        <w:t>por longas distâncias, e havia uma porção maior de produtos industrializados exportados. A manufatura, como um todo, ganhou características irreversíveis associadas com a indústria moderna (MARR, PATERSON, 1980, p. 375</w:t>
      </w:r>
      <w:r w:rsidR="00164078" w:rsidRPr="002A5C54">
        <w:rPr>
          <w:rFonts w:ascii="Times New Roman" w:eastAsia="Times New Roman" w:hAnsi="Times New Roman" w:cs="Times New Roman"/>
          <w:lang w:eastAsia="pt-BR"/>
        </w:rPr>
        <w:t>, tradução nossa</w:t>
      </w:r>
      <w:r w:rsidR="00556EAF" w:rsidRPr="002A5C54">
        <w:rPr>
          <w:rFonts w:ascii="Times New Roman" w:eastAsia="Times New Roman" w:hAnsi="Times New Roman" w:cs="Times New Roman"/>
          <w:lang w:eastAsia="pt-BR"/>
        </w:rPr>
        <w:t>)</w:t>
      </w:r>
      <w:r w:rsidR="00692B82" w:rsidRPr="002A5C54">
        <w:rPr>
          <w:rFonts w:ascii="Times New Roman" w:eastAsia="Times New Roman" w:hAnsi="Times New Roman" w:cs="Times New Roman"/>
          <w:lang w:eastAsia="pt-BR"/>
        </w:rPr>
        <w:t xml:space="preserve">. </w:t>
      </w:r>
    </w:p>
    <w:p w:rsidR="00CE105A" w:rsidRPr="003B2552" w:rsidRDefault="00CE105A" w:rsidP="002A5C54">
      <w:pPr>
        <w:spacing w:after="0" w:line="240" w:lineRule="auto"/>
        <w:ind w:firstLine="709"/>
        <w:jc w:val="both"/>
        <w:rPr>
          <w:rFonts w:ascii="Times New Roman" w:eastAsia="Times New Roman" w:hAnsi="Times New Roman" w:cs="Times New Roman"/>
          <w:sz w:val="24"/>
          <w:szCs w:val="24"/>
          <w:lang w:eastAsia="pt-BR"/>
        </w:rPr>
      </w:pPr>
      <w:proofErr w:type="spellStart"/>
      <w:r w:rsidRPr="003B2552">
        <w:rPr>
          <w:rFonts w:ascii="Times New Roman" w:eastAsia="Times New Roman" w:hAnsi="Times New Roman" w:cs="Times New Roman"/>
          <w:sz w:val="24"/>
          <w:szCs w:val="24"/>
          <w:lang w:eastAsia="pt-BR"/>
        </w:rPr>
        <w:t>Aitken</w:t>
      </w:r>
      <w:proofErr w:type="spellEnd"/>
      <w:r w:rsidRPr="003B2552">
        <w:rPr>
          <w:rFonts w:ascii="Times New Roman" w:eastAsia="Times New Roman" w:hAnsi="Times New Roman" w:cs="Times New Roman"/>
          <w:sz w:val="24"/>
          <w:szCs w:val="24"/>
          <w:lang w:eastAsia="pt-BR"/>
        </w:rPr>
        <w:t xml:space="preserve"> e </w:t>
      </w:r>
      <w:proofErr w:type="spellStart"/>
      <w:r w:rsidRPr="003B2552">
        <w:rPr>
          <w:rFonts w:ascii="Times New Roman" w:eastAsia="Times New Roman" w:hAnsi="Times New Roman" w:cs="Times New Roman"/>
          <w:sz w:val="24"/>
          <w:szCs w:val="24"/>
          <w:lang w:eastAsia="pt-BR"/>
        </w:rPr>
        <w:t>Easterbrook</w:t>
      </w:r>
      <w:proofErr w:type="spellEnd"/>
      <w:r w:rsidRPr="003B2552">
        <w:rPr>
          <w:rFonts w:ascii="Times New Roman" w:eastAsia="Times New Roman" w:hAnsi="Times New Roman" w:cs="Times New Roman"/>
          <w:sz w:val="24"/>
          <w:szCs w:val="24"/>
          <w:lang w:eastAsia="pt-BR"/>
        </w:rPr>
        <w:t xml:space="preserve"> destacam também a importância relativa que a indústria foi ganhando em relação </w:t>
      </w:r>
      <w:r w:rsidR="009F32F8" w:rsidRPr="003B2552">
        <w:rPr>
          <w:rFonts w:ascii="Times New Roman" w:eastAsia="Times New Roman" w:hAnsi="Times New Roman" w:cs="Times New Roman"/>
          <w:sz w:val="24"/>
          <w:szCs w:val="24"/>
          <w:lang w:eastAsia="pt-BR"/>
        </w:rPr>
        <w:t>às</w:t>
      </w:r>
      <w:r w:rsidRPr="003B2552">
        <w:rPr>
          <w:rFonts w:ascii="Times New Roman" w:eastAsia="Times New Roman" w:hAnsi="Times New Roman" w:cs="Times New Roman"/>
          <w:sz w:val="24"/>
          <w:szCs w:val="24"/>
          <w:lang w:eastAsia="pt-BR"/>
        </w:rPr>
        <w:t xml:space="preserve"> outras atividades econômicas, principalmente em relação </w:t>
      </w:r>
      <w:r w:rsidR="006A07D5">
        <w:rPr>
          <w:rFonts w:ascii="Times New Roman" w:eastAsia="Times New Roman" w:hAnsi="Times New Roman" w:cs="Times New Roman"/>
          <w:sz w:val="24"/>
          <w:szCs w:val="24"/>
          <w:lang w:eastAsia="pt-BR"/>
        </w:rPr>
        <w:t>à</w:t>
      </w:r>
      <w:r w:rsidRPr="003B2552">
        <w:rPr>
          <w:rFonts w:ascii="Times New Roman" w:eastAsia="Times New Roman" w:hAnsi="Times New Roman" w:cs="Times New Roman"/>
          <w:sz w:val="24"/>
          <w:szCs w:val="24"/>
          <w:lang w:eastAsia="pt-BR"/>
        </w:rPr>
        <w:t xml:space="preserve"> agricultura:</w:t>
      </w:r>
    </w:p>
    <w:p w:rsidR="00CE105A" w:rsidRPr="00F80F5B" w:rsidRDefault="00F869E4" w:rsidP="002A5C54">
      <w:pPr>
        <w:spacing w:after="0" w:line="240" w:lineRule="auto"/>
        <w:ind w:left="2268"/>
        <w:jc w:val="both"/>
        <w:rPr>
          <w:rFonts w:ascii="Times New Roman" w:eastAsia="Times New Roman" w:hAnsi="Times New Roman" w:cs="Times New Roman"/>
          <w:lang w:eastAsia="pt-BR"/>
        </w:rPr>
      </w:pPr>
      <w:r w:rsidRPr="00F80F5B">
        <w:rPr>
          <w:rFonts w:ascii="Times New Roman" w:eastAsia="Times New Roman" w:hAnsi="Times New Roman" w:cs="Times New Roman"/>
          <w:lang w:eastAsia="pt-BR"/>
        </w:rPr>
        <w:t>Em termos de produção, a manufatura canadense ultrapassou a agricultura até o final da Primeira Guerra Mundial, e desde então, aumentou sua liderança. Do valor total de produção nos nove principai</w:t>
      </w:r>
      <w:r w:rsidR="003B2552" w:rsidRPr="00F80F5B">
        <w:rPr>
          <w:rFonts w:ascii="Times New Roman" w:eastAsia="Times New Roman" w:hAnsi="Times New Roman" w:cs="Times New Roman"/>
          <w:lang w:eastAsia="pt-BR"/>
        </w:rPr>
        <w:t>s setores da economia canadense, a manufatura contribuiu com 44% em 1919 e a agricultura com 32%. A contribuição da manufatura cresceu para 46% em 1929 e permaneceu nesse nível até 1939, enquanto a agricultura caiu para 21 % em 1929 e 16% em 1931, recuperando os 21% em 1939</w:t>
      </w:r>
      <w:r w:rsidR="00525041" w:rsidRPr="00F80F5B">
        <w:rPr>
          <w:rFonts w:ascii="Times New Roman" w:eastAsia="Times New Roman" w:hAnsi="Times New Roman" w:cs="Times New Roman"/>
          <w:lang w:eastAsia="pt-BR"/>
        </w:rPr>
        <w:t xml:space="preserve"> (</w:t>
      </w:r>
      <w:proofErr w:type="spellStart"/>
      <w:r w:rsidR="00DD2E87" w:rsidRPr="00F80F5B">
        <w:rPr>
          <w:rFonts w:ascii="Times New Roman" w:eastAsia="Times New Roman" w:hAnsi="Times New Roman" w:cs="Times New Roman"/>
          <w:lang w:eastAsia="pt-BR"/>
        </w:rPr>
        <w:t>Aitken</w:t>
      </w:r>
      <w:proofErr w:type="spellEnd"/>
      <w:r w:rsidR="00DD2E87" w:rsidRPr="00F80F5B">
        <w:rPr>
          <w:rFonts w:ascii="Times New Roman" w:eastAsia="Times New Roman" w:hAnsi="Times New Roman" w:cs="Times New Roman"/>
          <w:lang w:eastAsia="pt-BR"/>
        </w:rPr>
        <w:t xml:space="preserve">, </w:t>
      </w:r>
      <w:proofErr w:type="spellStart"/>
      <w:r w:rsidR="00DD2E87" w:rsidRPr="00F80F5B">
        <w:rPr>
          <w:rFonts w:ascii="Times New Roman" w:eastAsia="Times New Roman" w:hAnsi="Times New Roman" w:cs="Times New Roman"/>
          <w:lang w:eastAsia="pt-BR"/>
        </w:rPr>
        <w:t>Easterbrook</w:t>
      </w:r>
      <w:proofErr w:type="spellEnd"/>
      <w:r w:rsidR="00DD2E87" w:rsidRPr="00F80F5B">
        <w:rPr>
          <w:rFonts w:ascii="Times New Roman" w:eastAsia="Times New Roman" w:hAnsi="Times New Roman" w:cs="Times New Roman"/>
          <w:lang w:eastAsia="pt-BR"/>
        </w:rPr>
        <w:t>, 1956, p. 521</w:t>
      </w:r>
      <w:r w:rsidR="00692B82" w:rsidRPr="00F80F5B">
        <w:rPr>
          <w:rFonts w:ascii="Times New Roman" w:eastAsia="Times New Roman" w:hAnsi="Times New Roman" w:cs="Times New Roman"/>
          <w:lang w:eastAsia="pt-BR"/>
        </w:rPr>
        <w:t>, tradução nossa</w:t>
      </w:r>
      <w:r w:rsidR="00DD2E87" w:rsidRPr="00F80F5B">
        <w:rPr>
          <w:rFonts w:ascii="Times New Roman" w:eastAsia="Times New Roman" w:hAnsi="Times New Roman" w:cs="Times New Roman"/>
          <w:lang w:eastAsia="pt-BR"/>
        </w:rPr>
        <w:t>)</w:t>
      </w:r>
      <w:r w:rsidR="00692B82" w:rsidRPr="00F80F5B">
        <w:rPr>
          <w:rFonts w:ascii="Times New Roman" w:eastAsia="Times New Roman" w:hAnsi="Times New Roman" w:cs="Times New Roman"/>
          <w:lang w:eastAsia="pt-BR"/>
        </w:rPr>
        <w:t>.</w:t>
      </w:r>
    </w:p>
    <w:p w:rsidR="00B76B29" w:rsidRPr="003B2552" w:rsidRDefault="00B76B29" w:rsidP="0048231B">
      <w:pPr>
        <w:spacing w:after="0" w:line="240" w:lineRule="auto"/>
        <w:ind w:firstLine="709"/>
        <w:jc w:val="both"/>
        <w:rPr>
          <w:rFonts w:ascii="Times New Roman" w:eastAsia="Times New Roman" w:hAnsi="Times New Roman" w:cs="Times New Roman"/>
          <w:sz w:val="24"/>
          <w:szCs w:val="24"/>
          <w:lang w:eastAsia="pt-BR"/>
        </w:rPr>
      </w:pPr>
      <w:r w:rsidRPr="003B2552">
        <w:rPr>
          <w:rFonts w:ascii="Times New Roman" w:eastAsia="Times New Roman" w:hAnsi="Times New Roman" w:cs="Times New Roman"/>
          <w:sz w:val="24"/>
          <w:szCs w:val="24"/>
          <w:lang w:eastAsia="pt-BR"/>
        </w:rPr>
        <w:t xml:space="preserve">Marr e Paterson destacam que a influência das tarifas </w:t>
      </w:r>
      <w:r w:rsidR="00B75C44" w:rsidRPr="003B2552">
        <w:rPr>
          <w:rFonts w:ascii="Times New Roman" w:eastAsia="Times New Roman" w:hAnsi="Times New Roman" w:cs="Times New Roman"/>
          <w:sz w:val="24"/>
          <w:szCs w:val="24"/>
          <w:lang w:eastAsia="pt-BR"/>
        </w:rPr>
        <w:t xml:space="preserve">sobre </w:t>
      </w:r>
      <w:r w:rsidR="00692B82">
        <w:rPr>
          <w:rFonts w:ascii="Times New Roman" w:eastAsia="Times New Roman" w:hAnsi="Times New Roman" w:cs="Times New Roman"/>
          <w:sz w:val="24"/>
          <w:szCs w:val="24"/>
          <w:lang w:eastAsia="pt-BR"/>
        </w:rPr>
        <w:t>a</w:t>
      </w:r>
      <w:r w:rsidR="00B75C44" w:rsidRPr="003B2552">
        <w:rPr>
          <w:rFonts w:ascii="Times New Roman" w:eastAsia="Times New Roman" w:hAnsi="Times New Roman" w:cs="Times New Roman"/>
          <w:sz w:val="24"/>
          <w:szCs w:val="24"/>
          <w:lang w:eastAsia="pt-BR"/>
        </w:rPr>
        <w:t xml:space="preserve"> industrialização canadense deve ser analisad</w:t>
      </w:r>
      <w:r w:rsidR="0062753D">
        <w:rPr>
          <w:rFonts w:ascii="Times New Roman" w:eastAsia="Times New Roman" w:hAnsi="Times New Roman" w:cs="Times New Roman"/>
          <w:sz w:val="24"/>
          <w:szCs w:val="24"/>
          <w:lang w:eastAsia="pt-BR"/>
        </w:rPr>
        <w:t>a</w:t>
      </w:r>
      <w:r w:rsidR="00B75C44" w:rsidRPr="003B2552">
        <w:rPr>
          <w:rFonts w:ascii="Times New Roman" w:eastAsia="Times New Roman" w:hAnsi="Times New Roman" w:cs="Times New Roman"/>
          <w:sz w:val="24"/>
          <w:szCs w:val="24"/>
          <w:lang w:eastAsia="pt-BR"/>
        </w:rPr>
        <w:t xml:space="preserve"> </w:t>
      </w:r>
      <w:r w:rsidR="0062753D">
        <w:rPr>
          <w:rFonts w:ascii="Times New Roman" w:eastAsia="Times New Roman" w:hAnsi="Times New Roman" w:cs="Times New Roman"/>
          <w:sz w:val="24"/>
          <w:szCs w:val="24"/>
          <w:lang w:eastAsia="pt-BR"/>
        </w:rPr>
        <w:t>por</w:t>
      </w:r>
      <w:r w:rsidR="00B75C44" w:rsidRPr="003B2552">
        <w:rPr>
          <w:rFonts w:ascii="Times New Roman" w:eastAsia="Times New Roman" w:hAnsi="Times New Roman" w:cs="Times New Roman"/>
          <w:sz w:val="24"/>
          <w:szCs w:val="24"/>
          <w:lang w:eastAsia="pt-BR"/>
        </w:rPr>
        <w:t xml:space="preserve"> três dimensões: o crescimento da industrialização, as mudanças estruturais na composição dos produtos e as mudanças estruturais na distribuição geográfica dos produtos. Em </w:t>
      </w:r>
      <w:r w:rsidR="00692B82">
        <w:rPr>
          <w:rFonts w:ascii="Times New Roman" w:eastAsia="Times New Roman" w:hAnsi="Times New Roman" w:cs="Times New Roman"/>
          <w:sz w:val="24"/>
          <w:szCs w:val="24"/>
          <w:lang w:eastAsia="pt-BR"/>
        </w:rPr>
        <w:t>relação ao</w:t>
      </w:r>
      <w:r w:rsidR="00B75C44" w:rsidRPr="003B2552">
        <w:rPr>
          <w:rFonts w:ascii="Times New Roman" w:eastAsia="Times New Roman" w:hAnsi="Times New Roman" w:cs="Times New Roman"/>
          <w:sz w:val="24"/>
          <w:szCs w:val="24"/>
          <w:lang w:eastAsia="pt-BR"/>
        </w:rPr>
        <w:t xml:space="preserve"> crescimento do produto do setor manufatureiro a mudança foi significativa,</w:t>
      </w:r>
      <w:r w:rsidR="00692B82">
        <w:rPr>
          <w:rFonts w:ascii="Times New Roman" w:eastAsia="Times New Roman" w:hAnsi="Times New Roman" w:cs="Times New Roman"/>
          <w:sz w:val="24"/>
          <w:szCs w:val="24"/>
          <w:lang w:eastAsia="pt-BR"/>
        </w:rPr>
        <w:t xml:space="preserve"> representando em termos absolutos</w:t>
      </w:r>
      <w:r w:rsidR="00B75C44" w:rsidRPr="003B2552">
        <w:rPr>
          <w:rFonts w:ascii="Times New Roman" w:eastAsia="Times New Roman" w:hAnsi="Times New Roman" w:cs="Times New Roman"/>
          <w:sz w:val="24"/>
          <w:szCs w:val="24"/>
          <w:lang w:eastAsia="pt-BR"/>
        </w:rPr>
        <w:t xml:space="preserve"> um crescimento da manufatura de </w:t>
      </w:r>
      <w:r w:rsidR="00546E9A">
        <w:rPr>
          <w:rFonts w:ascii="Times New Roman" w:eastAsia="Times New Roman" w:hAnsi="Times New Roman" w:cs="Times New Roman"/>
          <w:sz w:val="24"/>
          <w:szCs w:val="24"/>
          <w:lang w:eastAsia="pt-BR"/>
        </w:rPr>
        <w:t>C</w:t>
      </w:r>
      <w:r w:rsidR="00B75C44" w:rsidRPr="003B2552">
        <w:rPr>
          <w:rFonts w:ascii="Times New Roman" w:eastAsia="Times New Roman" w:hAnsi="Times New Roman" w:cs="Times New Roman"/>
          <w:sz w:val="24"/>
          <w:szCs w:val="24"/>
          <w:lang w:eastAsia="pt-BR"/>
        </w:rPr>
        <w:t>$221 milhões em 1870 par</w:t>
      </w:r>
      <w:r w:rsidR="008E5438" w:rsidRPr="003B2552">
        <w:rPr>
          <w:rFonts w:ascii="Times New Roman" w:eastAsia="Times New Roman" w:hAnsi="Times New Roman" w:cs="Times New Roman"/>
          <w:sz w:val="24"/>
          <w:szCs w:val="24"/>
          <w:lang w:eastAsia="pt-BR"/>
        </w:rPr>
        <w:t xml:space="preserve">a </w:t>
      </w:r>
      <w:r w:rsidR="00546E9A">
        <w:rPr>
          <w:rFonts w:ascii="Times New Roman" w:eastAsia="Times New Roman" w:hAnsi="Times New Roman" w:cs="Times New Roman"/>
          <w:sz w:val="24"/>
          <w:szCs w:val="24"/>
          <w:lang w:eastAsia="pt-BR"/>
        </w:rPr>
        <w:t>C</w:t>
      </w:r>
      <w:r w:rsidR="008E5438" w:rsidRPr="003B2552">
        <w:rPr>
          <w:rFonts w:ascii="Times New Roman" w:eastAsia="Times New Roman" w:hAnsi="Times New Roman" w:cs="Times New Roman"/>
          <w:sz w:val="24"/>
          <w:szCs w:val="24"/>
          <w:lang w:eastAsia="pt-BR"/>
        </w:rPr>
        <w:t>$1</w:t>
      </w:r>
      <w:r w:rsidR="00C714C8">
        <w:rPr>
          <w:rFonts w:ascii="Times New Roman" w:eastAsia="Times New Roman" w:hAnsi="Times New Roman" w:cs="Times New Roman"/>
          <w:sz w:val="24"/>
          <w:szCs w:val="24"/>
          <w:lang w:eastAsia="pt-BR"/>
        </w:rPr>
        <w:t>,</w:t>
      </w:r>
      <w:r w:rsidR="008E5438" w:rsidRPr="003B2552">
        <w:rPr>
          <w:rFonts w:ascii="Times New Roman" w:eastAsia="Times New Roman" w:hAnsi="Times New Roman" w:cs="Times New Roman"/>
          <w:sz w:val="24"/>
          <w:szCs w:val="24"/>
          <w:lang w:eastAsia="pt-BR"/>
        </w:rPr>
        <w:t>398 bilh</w:t>
      </w:r>
      <w:r w:rsidR="005601DD">
        <w:rPr>
          <w:rFonts w:ascii="Times New Roman" w:eastAsia="Times New Roman" w:hAnsi="Times New Roman" w:cs="Times New Roman"/>
          <w:sz w:val="24"/>
          <w:szCs w:val="24"/>
          <w:lang w:eastAsia="pt-BR"/>
        </w:rPr>
        <w:t>ão</w:t>
      </w:r>
      <w:r w:rsidR="008E5438" w:rsidRPr="003B2552">
        <w:rPr>
          <w:rFonts w:ascii="Times New Roman" w:eastAsia="Times New Roman" w:hAnsi="Times New Roman" w:cs="Times New Roman"/>
          <w:sz w:val="24"/>
          <w:szCs w:val="24"/>
          <w:lang w:eastAsia="pt-BR"/>
        </w:rPr>
        <w:t xml:space="preserve"> </w:t>
      </w:r>
      <w:r w:rsidR="0065477F" w:rsidRPr="003B2552">
        <w:rPr>
          <w:rFonts w:ascii="Times New Roman" w:eastAsia="Times New Roman" w:hAnsi="Times New Roman" w:cs="Times New Roman"/>
          <w:sz w:val="24"/>
          <w:szCs w:val="24"/>
          <w:lang w:eastAsia="pt-BR"/>
        </w:rPr>
        <w:t xml:space="preserve">já </w:t>
      </w:r>
      <w:r w:rsidR="008E5438" w:rsidRPr="003B2552">
        <w:rPr>
          <w:rFonts w:ascii="Times New Roman" w:eastAsia="Times New Roman" w:hAnsi="Times New Roman" w:cs="Times New Roman"/>
          <w:sz w:val="24"/>
          <w:szCs w:val="24"/>
          <w:lang w:eastAsia="pt-BR"/>
        </w:rPr>
        <w:t>em 1915</w:t>
      </w:r>
      <w:r w:rsidR="009B5630">
        <w:rPr>
          <w:rFonts w:ascii="Times New Roman" w:eastAsia="Times New Roman" w:hAnsi="Times New Roman" w:cs="Times New Roman"/>
          <w:sz w:val="24"/>
          <w:szCs w:val="24"/>
          <w:lang w:eastAsia="pt-BR"/>
        </w:rPr>
        <w:t xml:space="preserve"> (</w:t>
      </w:r>
      <w:r w:rsidR="00546E9A">
        <w:rPr>
          <w:rFonts w:ascii="Times New Roman" w:eastAsia="Times New Roman" w:hAnsi="Times New Roman" w:cs="Times New Roman"/>
          <w:sz w:val="24"/>
          <w:szCs w:val="24"/>
          <w:lang w:eastAsia="pt-BR"/>
        </w:rPr>
        <w:t>M</w:t>
      </w:r>
      <w:r w:rsidR="004D02A2" w:rsidRPr="003B2552">
        <w:rPr>
          <w:rFonts w:ascii="Times New Roman" w:eastAsia="Times New Roman" w:hAnsi="Times New Roman" w:cs="Times New Roman"/>
          <w:sz w:val="24"/>
          <w:szCs w:val="24"/>
          <w:lang w:eastAsia="pt-BR"/>
        </w:rPr>
        <w:t>arr e Paterson, 1980, p. 381)</w:t>
      </w:r>
      <w:r w:rsidR="008E5438" w:rsidRPr="003B2552">
        <w:rPr>
          <w:rFonts w:ascii="Times New Roman" w:eastAsia="Times New Roman" w:hAnsi="Times New Roman" w:cs="Times New Roman"/>
          <w:sz w:val="24"/>
          <w:szCs w:val="24"/>
          <w:lang w:eastAsia="pt-BR"/>
        </w:rPr>
        <w:t>.</w:t>
      </w:r>
    </w:p>
    <w:p w:rsidR="006B0156" w:rsidRPr="003B2552" w:rsidRDefault="00AD59AA" w:rsidP="0048231B">
      <w:pPr>
        <w:spacing w:after="0" w:line="240" w:lineRule="auto"/>
        <w:ind w:firstLine="709"/>
        <w:jc w:val="both"/>
        <w:rPr>
          <w:rFonts w:ascii="Times New Roman" w:eastAsia="Times New Roman" w:hAnsi="Times New Roman" w:cs="Times New Roman"/>
          <w:sz w:val="24"/>
          <w:szCs w:val="24"/>
          <w:lang w:eastAsia="pt-BR"/>
        </w:rPr>
      </w:pPr>
      <w:r w:rsidRPr="003B2552">
        <w:rPr>
          <w:rFonts w:ascii="Times New Roman" w:eastAsia="Times New Roman" w:hAnsi="Times New Roman" w:cs="Times New Roman"/>
          <w:sz w:val="24"/>
          <w:szCs w:val="24"/>
          <w:lang w:eastAsia="pt-BR"/>
        </w:rPr>
        <w:t xml:space="preserve"> </w:t>
      </w:r>
      <w:r w:rsidR="005601DD">
        <w:rPr>
          <w:rFonts w:ascii="Times New Roman" w:eastAsia="Times New Roman" w:hAnsi="Times New Roman" w:cs="Times New Roman"/>
          <w:sz w:val="24"/>
          <w:szCs w:val="24"/>
          <w:lang w:eastAsia="pt-BR"/>
        </w:rPr>
        <w:t>O</w:t>
      </w:r>
      <w:r w:rsidR="000F5420" w:rsidRPr="003B2552">
        <w:rPr>
          <w:rFonts w:ascii="Times New Roman" w:eastAsia="Times New Roman" w:hAnsi="Times New Roman" w:cs="Times New Roman"/>
          <w:sz w:val="24"/>
          <w:szCs w:val="24"/>
          <w:lang w:eastAsia="pt-BR"/>
        </w:rPr>
        <w:t xml:space="preserve"> aumento das tarifas </w:t>
      </w:r>
      <w:r w:rsidR="00E55E6A">
        <w:rPr>
          <w:rFonts w:ascii="Times New Roman" w:eastAsia="Times New Roman" w:hAnsi="Times New Roman" w:cs="Times New Roman"/>
          <w:sz w:val="24"/>
          <w:szCs w:val="24"/>
          <w:lang w:eastAsia="pt-BR"/>
        </w:rPr>
        <w:t>elevou a</w:t>
      </w:r>
      <w:r w:rsidR="000F5420" w:rsidRPr="003B2552">
        <w:rPr>
          <w:rFonts w:ascii="Times New Roman" w:eastAsia="Times New Roman" w:hAnsi="Times New Roman" w:cs="Times New Roman"/>
          <w:sz w:val="24"/>
          <w:szCs w:val="24"/>
          <w:lang w:eastAsia="pt-BR"/>
        </w:rPr>
        <w:t xml:space="preserve"> demanda por produtos domésticos </w:t>
      </w:r>
      <w:r w:rsidR="005601DD">
        <w:rPr>
          <w:rFonts w:ascii="Times New Roman" w:eastAsia="Times New Roman" w:hAnsi="Times New Roman" w:cs="Times New Roman"/>
          <w:sz w:val="24"/>
          <w:szCs w:val="24"/>
          <w:lang w:eastAsia="pt-BR"/>
        </w:rPr>
        <w:t>em substituição dos</w:t>
      </w:r>
      <w:r w:rsidR="000F5420" w:rsidRPr="003B2552">
        <w:rPr>
          <w:rFonts w:ascii="Times New Roman" w:eastAsia="Times New Roman" w:hAnsi="Times New Roman" w:cs="Times New Roman"/>
          <w:sz w:val="24"/>
          <w:szCs w:val="24"/>
          <w:lang w:eastAsia="pt-BR"/>
        </w:rPr>
        <w:t xml:space="preserve"> importados (principalmente dos EUA). </w:t>
      </w:r>
      <w:r w:rsidR="006B0156" w:rsidRPr="003B2552">
        <w:rPr>
          <w:rFonts w:ascii="Times New Roman" w:eastAsia="Times New Roman" w:hAnsi="Times New Roman" w:cs="Times New Roman"/>
          <w:sz w:val="24"/>
          <w:szCs w:val="24"/>
          <w:lang w:eastAsia="pt-BR"/>
        </w:rPr>
        <w:t>A rápida urbanização do início do século XX, principalmente na região de Ontário, também ger</w:t>
      </w:r>
      <w:r w:rsidR="00C714C8">
        <w:rPr>
          <w:rFonts w:ascii="Times New Roman" w:eastAsia="Times New Roman" w:hAnsi="Times New Roman" w:cs="Times New Roman"/>
          <w:sz w:val="24"/>
          <w:szCs w:val="24"/>
          <w:lang w:eastAsia="pt-BR"/>
        </w:rPr>
        <w:t>ou</w:t>
      </w:r>
      <w:r w:rsidR="006B0156" w:rsidRPr="003B2552">
        <w:rPr>
          <w:rFonts w:ascii="Times New Roman" w:eastAsia="Times New Roman" w:hAnsi="Times New Roman" w:cs="Times New Roman"/>
          <w:sz w:val="24"/>
          <w:szCs w:val="24"/>
          <w:lang w:eastAsia="pt-BR"/>
        </w:rPr>
        <w:t xml:space="preserve"> o desenvolvimento do setor de construção no país e o aumento da produção de bens de consumo final para atender as demandas das regiões urbanas.</w:t>
      </w:r>
    </w:p>
    <w:p w:rsidR="00047CB9" w:rsidRPr="003B2552" w:rsidRDefault="00047CB9" w:rsidP="0048231B">
      <w:pPr>
        <w:spacing w:after="0" w:line="240" w:lineRule="auto"/>
        <w:ind w:firstLine="709"/>
        <w:jc w:val="both"/>
        <w:rPr>
          <w:rFonts w:ascii="Times New Roman" w:eastAsia="Times New Roman" w:hAnsi="Times New Roman" w:cs="Times New Roman"/>
          <w:sz w:val="24"/>
          <w:szCs w:val="24"/>
          <w:lang w:eastAsia="pt-BR"/>
        </w:rPr>
      </w:pPr>
      <w:r w:rsidRPr="003B2552">
        <w:rPr>
          <w:rFonts w:ascii="Times New Roman" w:eastAsia="Times New Roman" w:hAnsi="Times New Roman" w:cs="Times New Roman"/>
          <w:sz w:val="24"/>
          <w:szCs w:val="24"/>
          <w:lang w:eastAsia="pt-BR"/>
        </w:rPr>
        <w:t>De fato</w:t>
      </w:r>
      <w:r w:rsidR="00087C7E">
        <w:rPr>
          <w:rFonts w:ascii="Times New Roman" w:eastAsia="Times New Roman" w:hAnsi="Times New Roman" w:cs="Times New Roman"/>
          <w:sz w:val="24"/>
          <w:szCs w:val="24"/>
          <w:lang w:eastAsia="pt-BR"/>
        </w:rPr>
        <w:t>,</w:t>
      </w:r>
      <w:r w:rsidRPr="003B2552">
        <w:rPr>
          <w:rFonts w:ascii="Times New Roman" w:eastAsia="Times New Roman" w:hAnsi="Times New Roman" w:cs="Times New Roman"/>
          <w:sz w:val="24"/>
          <w:szCs w:val="24"/>
          <w:lang w:eastAsia="pt-BR"/>
        </w:rPr>
        <w:t xml:space="preserve"> o legado da proteção tarifária no período parece ter sido atingido, ou seja, ocorreu o estabelecimento de novas indústrias</w:t>
      </w:r>
      <w:r w:rsidR="00361734" w:rsidRPr="003B2552">
        <w:rPr>
          <w:rFonts w:ascii="Times New Roman" w:eastAsia="Times New Roman" w:hAnsi="Times New Roman" w:cs="Times New Roman"/>
          <w:sz w:val="24"/>
          <w:szCs w:val="24"/>
          <w:lang w:eastAsia="pt-BR"/>
        </w:rPr>
        <w:t>, aumento das plantas</w:t>
      </w:r>
      <w:r w:rsidRPr="003B2552">
        <w:rPr>
          <w:rFonts w:ascii="Times New Roman" w:eastAsia="Times New Roman" w:hAnsi="Times New Roman" w:cs="Times New Roman"/>
          <w:sz w:val="24"/>
          <w:szCs w:val="24"/>
          <w:lang w:eastAsia="pt-BR"/>
        </w:rPr>
        <w:t xml:space="preserve"> e a diversificação econômica</w:t>
      </w:r>
      <w:r w:rsidR="00BF4356" w:rsidRPr="003B2552">
        <w:rPr>
          <w:rFonts w:ascii="Times New Roman" w:eastAsia="Times New Roman" w:hAnsi="Times New Roman" w:cs="Times New Roman"/>
          <w:sz w:val="24"/>
          <w:szCs w:val="24"/>
          <w:lang w:eastAsia="pt-BR"/>
        </w:rPr>
        <w:t>, mesmo que com o aumento dos desequilíbrios regionais</w:t>
      </w:r>
      <w:r w:rsidR="00087C7E">
        <w:rPr>
          <w:rFonts w:ascii="Times New Roman" w:eastAsia="Times New Roman" w:hAnsi="Times New Roman" w:cs="Times New Roman"/>
          <w:sz w:val="24"/>
          <w:szCs w:val="24"/>
          <w:lang w:eastAsia="pt-BR"/>
        </w:rPr>
        <w:t>.</w:t>
      </w:r>
      <w:r w:rsidR="005601DD">
        <w:rPr>
          <w:rFonts w:ascii="Times New Roman" w:eastAsia="Times New Roman" w:hAnsi="Times New Roman" w:cs="Times New Roman"/>
          <w:sz w:val="24"/>
          <w:szCs w:val="24"/>
          <w:lang w:eastAsia="pt-BR"/>
        </w:rPr>
        <w:t xml:space="preserve"> A tendência de rápida expansão foi positiva, e mesmo que as tarifas tenham elevado a ineficiência da economia no curto prazo, não parecem ter contribuído para um menor crescimento de longo prazo, nem de causar mudanças na composição da produção no sentido de setores menos produtivos. Assim, parece que a mudança seria pouco provável se o livre comércio com os EUA tivesse prosperado até a II GM.</w:t>
      </w:r>
    </w:p>
    <w:p w:rsidR="006B0156" w:rsidRDefault="006B0156"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Como observam Marr e Paterson (1980</w:t>
      </w:r>
      <w:r w:rsidR="002A0650">
        <w:rPr>
          <w:rFonts w:ascii="Times New Roman" w:eastAsia="Times New Roman" w:hAnsi="Times New Roman" w:cs="Times New Roman"/>
          <w:sz w:val="24"/>
          <w:szCs w:val="24"/>
          <w:lang w:eastAsia="pt-BR"/>
        </w:rPr>
        <w:t>):</w:t>
      </w:r>
    </w:p>
    <w:p w:rsidR="00361734" w:rsidRPr="00F80F5B" w:rsidRDefault="006B0156" w:rsidP="00341FCD">
      <w:pPr>
        <w:spacing w:before="120" w:after="0" w:line="240" w:lineRule="auto"/>
        <w:ind w:left="2268"/>
        <w:jc w:val="both"/>
        <w:rPr>
          <w:rFonts w:ascii="Times New Roman" w:eastAsia="Times New Roman" w:hAnsi="Times New Roman" w:cs="Times New Roman"/>
          <w:lang w:eastAsia="pt-BR"/>
        </w:rPr>
      </w:pPr>
      <w:r w:rsidRPr="00F80F5B">
        <w:rPr>
          <w:rFonts w:ascii="Times New Roman" w:eastAsia="Times New Roman" w:hAnsi="Times New Roman" w:cs="Times New Roman"/>
          <w:lang w:eastAsia="pt-BR"/>
        </w:rPr>
        <w:t xml:space="preserve">Certos setores individuais foram </w:t>
      </w:r>
      <w:r w:rsidR="00A90DF7" w:rsidRPr="00F80F5B">
        <w:rPr>
          <w:rFonts w:ascii="Times New Roman" w:eastAsia="Times New Roman" w:hAnsi="Times New Roman" w:cs="Times New Roman"/>
          <w:lang w:eastAsia="pt-BR"/>
        </w:rPr>
        <w:t>estimulados</w:t>
      </w:r>
      <w:r w:rsidRPr="00F80F5B">
        <w:rPr>
          <w:rFonts w:ascii="Times New Roman" w:eastAsia="Times New Roman" w:hAnsi="Times New Roman" w:cs="Times New Roman"/>
          <w:lang w:eastAsia="pt-BR"/>
        </w:rPr>
        <w:t xml:space="preserve"> e cresce</w:t>
      </w:r>
      <w:r w:rsidR="00A90DF7" w:rsidRPr="00F80F5B">
        <w:rPr>
          <w:rFonts w:ascii="Times New Roman" w:eastAsia="Times New Roman" w:hAnsi="Times New Roman" w:cs="Times New Roman"/>
          <w:lang w:eastAsia="pt-BR"/>
        </w:rPr>
        <w:t>ram</w:t>
      </w:r>
      <w:r w:rsidRPr="00F80F5B">
        <w:rPr>
          <w:rFonts w:ascii="Times New Roman" w:eastAsia="Times New Roman" w:hAnsi="Times New Roman" w:cs="Times New Roman"/>
          <w:lang w:eastAsia="pt-BR"/>
        </w:rPr>
        <w:t xml:space="preserve"> num padrão que não teria sido possível na ausência </w:t>
      </w:r>
      <w:r w:rsidR="00A90DF7" w:rsidRPr="00F80F5B">
        <w:rPr>
          <w:rFonts w:ascii="Times New Roman" w:eastAsia="Times New Roman" w:hAnsi="Times New Roman" w:cs="Times New Roman"/>
          <w:lang w:eastAsia="pt-BR"/>
        </w:rPr>
        <w:t xml:space="preserve">da tarifa de 1879. Uma dessas indústrias foi a têxtil que se expandiu apenas graças </w:t>
      </w:r>
      <w:r w:rsidR="002A0650" w:rsidRPr="00F80F5B">
        <w:rPr>
          <w:rFonts w:ascii="Times New Roman" w:eastAsia="Times New Roman" w:hAnsi="Times New Roman" w:cs="Times New Roman"/>
          <w:lang w:eastAsia="pt-BR"/>
        </w:rPr>
        <w:t>à</w:t>
      </w:r>
      <w:r w:rsidR="00A90DF7" w:rsidRPr="00F80F5B">
        <w:rPr>
          <w:rFonts w:ascii="Times New Roman" w:eastAsia="Times New Roman" w:hAnsi="Times New Roman" w:cs="Times New Roman"/>
          <w:lang w:eastAsia="pt-BR"/>
        </w:rPr>
        <w:t xml:space="preserve"> proteção. Novas </w:t>
      </w:r>
      <w:r w:rsidR="00087C7E" w:rsidRPr="00F80F5B">
        <w:rPr>
          <w:rFonts w:ascii="Times New Roman" w:eastAsia="Times New Roman" w:hAnsi="Times New Roman" w:cs="Times New Roman"/>
          <w:lang w:eastAsia="pt-BR"/>
        </w:rPr>
        <w:t>oficinas</w:t>
      </w:r>
      <w:r w:rsidR="00A90DF7" w:rsidRPr="00F80F5B">
        <w:rPr>
          <w:rFonts w:ascii="Times New Roman" w:eastAsia="Times New Roman" w:hAnsi="Times New Roman" w:cs="Times New Roman"/>
          <w:lang w:eastAsia="pt-BR"/>
        </w:rPr>
        <w:t xml:space="preserve"> foram abertas, a produção foi expandida, e as importações de algodão cru triplicaram durante o período 1879-1890. Outras indústrias, como a de aço e ferro, que tiveram um desempenho melhor que a maioria durante o final do século XIX, parece que cresceram a partir do protecionismo e da demanda crescente do setor ferroviário nos anos de 1880</w:t>
      </w:r>
      <w:r w:rsidR="00585A85" w:rsidRPr="00F80F5B">
        <w:rPr>
          <w:rFonts w:ascii="Times New Roman" w:eastAsia="Times New Roman" w:hAnsi="Times New Roman" w:cs="Times New Roman"/>
          <w:lang w:eastAsia="pt-BR"/>
        </w:rPr>
        <w:t xml:space="preserve">. </w:t>
      </w:r>
      <w:r w:rsidR="002A0650" w:rsidRPr="00F80F5B">
        <w:rPr>
          <w:rFonts w:ascii="Times New Roman" w:eastAsia="Times New Roman" w:hAnsi="Times New Roman" w:cs="Times New Roman"/>
          <w:lang w:eastAsia="pt-BR"/>
        </w:rPr>
        <w:t>[...] De forma similar, os produtores de máquinas agrícolas descobriram ser possível cobrar um preço aproximadamente 15% maior por seus produtos do que aqueles dos Estados Unidos antes da tarifa de importação (MARR; PATERSON, 1980, p.385</w:t>
      </w:r>
      <w:r w:rsidR="003B5AA7" w:rsidRPr="00F80F5B">
        <w:rPr>
          <w:rFonts w:ascii="Times New Roman" w:eastAsia="Times New Roman" w:hAnsi="Times New Roman" w:cs="Times New Roman"/>
          <w:lang w:eastAsia="pt-BR"/>
        </w:rPr>
        <w:t>, tradução nossa</w:t>
      </w:r>
      <w:r w:rsidR="002A0650" w:rsidRPr="00F80F5B">
        <w:rPr>
          <w:rFonts w:ascii="Times New Roman" w:eastAsia="Times New Roman" w:hAnsi="Times New Roman" w:cs="Times New Roman"/>
          <w:lang w:eastAsia="pt-BR"/>
        </w:rPr>
        <w:t>)</w:t>
      </w:r>
      <w:r w:rsidR="00B1690B" w:rsidRPr="00F80F5B">
        <w:rPr>
          <w:rFonts w:ascii="Times New Roman" w:eastAsia="Times New Roman" w:hAnsi="Times New Roman" w:cs="Times New Roman"/>
          <w:lang w:eastAsia="pt-BR"/>
        </w:rPr>
        <w:t>.</w:t>
      </w:r>
    </w:p>
    <w:p w:rsidR="002853A6" w:rsidRPr="00047CB9" w:rsidRDefault="002853A6" w:rsidP="0048231B">
      <w:pPr>
        <w:spacing w:after="0" w:line="240" w:lineRule="auto"/>
        <w:ind w:firstLine="709"/>
        <w:jc w:val="both"/>
        <w:rPr>
          <w:rFonts w:ascii="Times New Roman" w:eastAsia="Times New Roman" w:hAnsi="Times New Roman" w:cs="Times New Roman"/>
          <w:sz w:val="24"/>
          <w:szCs w:val="24"/>
          <w:lang w:eastAsia="pt-BR"/>
        </w:rPr>
      </w:pPr>
      <w:r w:rsidRPr="00047CB9">
        <w:rPr>
          <w:rFonts w:ascii="Times New Roman" w:eastAsia="Times New Roman" w:hAnsi="Times New Roman" w:cs="Times New Roman"/>
          <w:sz w:val="24"/>
          <w:szCs w:val="24"/>
          <w:lang w:eastAsia="pt-BR"/>
        </w:rPr>
        <w:t>No entanto,</w:t>
      </w:r>
      <w:r w:rsidR="00D83B90">
        <w:rPr>
          <w:rFonts w:ascii="Times New Roman" w:eastAsia="Times New Roman" w:hAnsi="Times New Roman" w:cs="Times New Roman"/>
          <w:sz w:val="24"/>
          <w:szCs w:val="24"/>
          <w:lang w:eastAsia="pt-BR"/>
        </w:rPr>
        <w:t xml:space="preserve"> é importante destacar que</w:t>
      </w:r>
      <w:r w:rsidR="00087C7E">
        <w:rPr>
          <w:rFonts w:ascii="Times New Roman" w:eastAsia="Times New Roman" w:hAnsi="Times New Roman" w:cs="Times New Roman"/>
          <w:sz w:val="24"/>
          <w:szCs w:val="24"/>
          <w:lang w:eastAsia="pt-BR"/>
        </w:rPr>
        <w:t>,</w:t>
      </w:r>
      <w:r w:rsidRPr="00047CB9">
        <w:rPr>
          <w:rFonts w:ascii="Times New Roman" w:eastAsia="Times New Roman" w:hAnsi="Times New Roman" w:cs="Times New Roman"/>
          <w:sz w:val="24"/>
          <w:szCs w:val="24"/>
          <w:lang w:eastAsia="pt-BR"/>
        </w:rPr>
        <w:t xml:space="preserve"> ao mesmo tempo em que </w:t>
      </w:r>
      <w:r w:rsidR="00D83B90">
        <w:rPr>
          <w:rFonts w:ascii="Times New Roman" w:eastAsia="Times New Roman" w:hAnsi="Times New Roman" w:cs="Times New Roman"/>
          <w:sz w:val="24"/>
          <w:szCs w:val="24"/>
          <w:lang w:eastAsia="pt-BR"/>
        </w:rPr>
        <w:t xml:space="preserve">muitos dos </w:t>
      </w:r>
      <w:r>
        <w:rPr>
          <w:rFonts w:ascii="Times New Roman" w:eastAsia="Times New Roman" w:hAnsi="Times New Roman" w:cs="Times New Roman"/>
          <w:sz w:val="24"/>
          <w:szCs w:val="24"/>
          <w:lang w:eastAsia="pt-BR"/>
        </w:rPr>
        <w:t>objetivos de</w:t>
      </w:r>
      <w:r w:rsidR="003B5AA7">
        <w:rPr>
          <w:rFonts w:ascii="Times New Roman" w:eastAsia="Times New Roman" w:hAnsi="Times New Roman" w:cs="Times New Roman"/>
          <w:sz w:val="24"/>
          <w:szCs w:val="24"/>
          <w:lang w:eastAsia="pt-BR"/>
        </w:rPr>
        <w:t xml:space="preserve"> fomentar a </w:t>
      </w:r>
      <w:r>
        <w:rPr>
          <w:rFonts w:ascii="Times New Roman" w:eastAsia="Times New Roman" w:hAnsi="Times New Roman" w:cs="Times New Roman"/>
          <w:sz w:val="24"/>
          <w:szCs w:val="24"/>
          <w:lang w:eastAsia="pt-BR"/>
        </w:rPr>
        <w:t>industrialização</w:t>
      </w:r>
      <w:r w:rsidR="003B5AA7">
        <w:rPr>
          <w:rFonts w:ascii="Times New Roman" w:eastAsia="Times New Roman" w:hAnsi="Times New Roman" w:cs="Times New Roman"/>
          <w:sz w:val="24"/>
          <w:szCs w:val="24"/>
          <w:lang w:eastAsia="pt-BR"/>
        </w:rPr>
        <w:t xml:space="preserve"> em bases nacionais</w:t>
      </w:r>
      <w:r>
        <w:rPr>
          <w:rFonts w:ascii="Times New Roman" w:eastAsia="Times New Roman" w:hAnsi="Times New Roman" w:cs="Times New Roman"/>
          <w:sz w:val="24"/>
          <w:szCs w:val="24"/>
          <w:lang w:eastAsia="pt-BR"/>
        </w:rPr>
        <w:t xml:space="preserve"> eram atingidos</w:t>
      </w:r>
      <w:r w:rsidRPr="00047CB9">
        <w:rPr>
          <w:rFonts w:ascii="Times New Roman" w:eastAsia="Times New Roman" w:hAnsi="Times New Roman" w:cs="Times New Roman"/>
          <w:sz w:val="24"/>
          <w:szCs w:val="24"/>
          <w:lang w:eastAsia="pt-BR"/>
        </w:rPr>
        <w:t xml:space="preserve">, alguns </w:t>
      </w:r>
      <w:r w:rsidR="003B5AA7">
        <w:rPr>
          <w:rFonts w:ascii="Times New Roman" w:eastAsia="Times New Roman" w:hAnsi="Times New Roman" w:cs="Times New Roman"/>
          <w:sz w:val="24"/>
          <w:szCs w:val="24"/>
          <w:lang w:eastAsia="pt-BR"/>
        </w:rPr>
        <w:t xml:space="preserve">outros </w:t>
      </w:r>
      <w:r w:rsidRPr="00047CB9">
        <w:rPr>
          <w:rFonts w:ascii="Times New Roman" w:eastAsia="Times New Roman" w:hAnsi="Times New Roman" w:cs="Times New Roman"/>
          <w:sz w:val="24"/>
          <w:szCs w:val="24"/>
          <w:lang w:eastAsia="pt-BR"/>
        </w:rPr>
        <w:t xml:space="preserve">efeitos </w:t>
      </w:r>
      <w:r>
        <w:rPr>
          <w:rFonts w:ascii="Times New Roman" w:eastAsia="Times New Roman" w:hAnsi="Times New Roman" w:cs="Times New Roman"/>
          <w:sz w:val="24"/>
          <w:szCs w:val="24"/>
          <w:lang w:eastAsia="pt-BR"/>
        </w:rPr>
        <w:t>começaram a ser observados</w:t>
      </w:r>
      <w:r w:rsidR="003B5AA7">
        <w:rPr>
          <w:rFonts w:ascii="Times New Roman" w:eastAsia="Times New Roman" w:hAnsi="Times New Roman" w:cs="Times New Roman"/>
          <w:sz w:val="24"/>
          <w:szCs w:val="24"/>
          <w:lang w:eastAsia="pt-BR"/>
        </w:rPr>
        <w:t xml:space="preserve">. Por exemplo, </w:t>
      </w:r>
      <w:r w:rsidRPr="00047CB9">
        <w:rPr>
          <w:rFonts w:ascii="Times New Roman" w:eastAsia="Times New Roman" w:hAnsi="Times New Roman" w:cs="Times New Roman"/>
          <w:sz w:val="24"/>
          <w:szCs w:val="24"/>
          <w:lang w:eastAsia="pt-BR"/>
        </w:rPr>
        <w:t>os investimentos diretos americanos no Canadá, que eram feitos na tentativa de evitar as tarifas protecionistas</w:t>
      </w:r>
      <w:r>
        <w:rPr>
          <w:rFonts w:ascii="Times New Roman" w:eastAsia="Times New Roman" w:hAnsi="Times New Roman" w:cs="Times New Roman"/>
          <w:sz w:val="24"/>
          <w:szCs w:val="24"/>
          <w:lang w:eastAsia="pt-BR"/>
        </w:rPr>
        <w:t>.</w:t>
      </w:r>
    </w:p>
    <w:p w:rsidR="002853A6" w:rsidRPr="00047CB9" w:rsidRDefault="00691809" w:rsidP="00F80F5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Firestone destaca que</w:t>
      </w:r>
      <w:r w:rsidR="00887EAB">
        <w:rPr>
          <w:rFonts w:ascii="Times New Roman" w:eastAsia="Times New Roman" w:hAnsi="Times New Roman" w:cs="Times New Roman"/>
          <w:sz w:val="24"/>
          <w:szCs w:val="24"/>
          <w:lang w:eastAsia="pt-BR"/>
        </w:rPr>
        <w:t>:</w:t>
      </w:r>
    </w:p>
    <w:p w:rsidR="002853A6" w:rsidRDefault="002853A6" w:rsidP="00F80F5B">
      <w:pPr>
        <w:spacing w:after="0" w:line="240" w:lineRule="auto"/>
        <w:ind w:left="2268"/>
        <w:jc w:val="both"/>
        <w:rPr>
          <w:rFonts w:ascii="Times New Roman" w:eastAsia="Times New Roman" w:hAnsi="Times New Roman" w:cs="Times New Roman"/>
        </w:rPr>
      </w:pPr>
      <w:r w:rsidRPr="00F80F5B">
        <w:rPr>
          <w:rFonts w:ascii="Times New Roman" w:eastAsia="Times New Roman" w:hAnsi="Times New Roman" w:cs="Times New Roman"/>
        </w:rPr>
        <w:t xml:space="preserve">Entre 1870 e 1887 oitenta e duas fábricas controladas ou coligadas aos americanos foram instaladas no Canadá, 48 das quais eram de propriedade direta ou controladas pelos </w:t>
      </w:r>
      <w:r w:rsidRPr="00F80F5B">
        <w:rPr>
          <w:rFonts w:ascii="Times New Roman" w:eastAsia="Times New Roman" w:hAnsi="Times New Roman" w:cs="Times New Roman"/>
        </w:rPr>
        <w:lastRenderedPageBreak/>
        <w:t xml:space="preserve">americanos. Mais da metade dessas fábricas foram </w:t>
      </w:r>
      <w:proofErr w:type="gramStart"/>
      <w:r w:rsidRPr="00F80F5B">
        <w:rPr>
          <w:rFonts w:ascii="Times New Roman" w:eastAsia="Times New Roman" w:hAnsi="Times New Roman" w:cs="Times New Roman"/>
        </w:rPr>
        <w:t>estabelecidas</w:t>
      </w:r>
      <w:proofErr w:type="gramEnd"/>
      <w:r w:rsidRPr="00F80F5B">
        <w:rPr>
          <w:rFonts w:ascii="Times New Roman" w:eastAsia="Times New Roman" w:hAnsi="Times New Roman" w:cs="Times New Roman"/>
        </w:rPr>
        <w:t xml:space="preserve"> entre 1879 e 1883 em função do aumento das tarifas canadenses em 1879 sobre os produtos manufaturados (Firestone, 1958, p.149</w:t>
      </w:r>
      <w:r w:rsidR="003B5AA7" w:rsidRPr="00F80F5B">
        <w:rPr>
          <w:rFonts w:ascii="Times New Roman" w:eastAsia="Times New Roman" w:hAnsi="Times New Roman" w:cs="Times New Roman"/>
        </w:rPr>
        <w:t>, tradução nossa</w:t>
      </w:r>
      <w:r w:rsidRPr="00F80F5B">
        <w:rPr>
          <w:rFonts w:ascii="Times New Roman" w:eastAsia="Times New Roman" w:hAnsi="Times New Roman" w:cs="Times New Roman"/>
        </w:rPr>
        <w:t>)</w:t>
      </w:r>
      <w:r w:rsidR="003B5AA7" w:rsidRPr="00F80F5B">
        <w:rPr>
          <w:rFonts w:ascii="Times New Roman" w:eastAsia="Times New Roman" w:hAnsi="Times New Roman" w:cs="Times New Roman"/>
        </w:rPr>
        <w:t>.</w:t>
      </w:r>
    </w:p>
    <w:p w:rsidR="00531BDA" w:rsidRDefault="002853A6" w:rsidP="0048231B">
      <w:pPr>
        <w:spacing w:after="0" w:line="240" w:lineRule="auto"/>
        <w:ind w:firstLine="709"/>
        <w:jc w:val="both"/>
        <w:rPr>
          <w:rFonts w:ascii="Times New Roman" w:eastAsia="Times New Roman" w:hAnsi="Times New Roman" w:cs="Times New Roman"/>
          <w:sz w:val="24"/>
          <w:szCs w:val="24"/>
        </w:rPr>
      </w:pPr>
      <w:r w:rsidRPr="00047CB9">
        <w:rPr>
          <w:rFonts w:ascii="Times New Roman" w:eastAsia="Times New Roman" w:hAnsi="Times New Roman" w:cs="Times New Roman"/>
          <w:sz w:val="24"/>
          <w:szCs w:val="24"/>
        </w:rPr>
        <w:t>Já no início do Século XX torn</w:t>
      </w:r>
      <w:r w:rsidR="003B5AA7">
        <w:rPr>
          <w:rFonts w:ascii="Times New Roman" w:eastAsia="Times New Roman" w:hAnsi="Times New Roman" w:cs="Times New Roman"/>
          <w:sz w:val="24"/>
          <w:szCs w:val="24"/>
        </w:rPr>
        <w:t>ou</w:t>
      </w:r>
      <w:r w:rsidRPr="00047CB9">
        <w:rPr>
          <w:rFonts w:ascii="Times New Roman" w:eastAsia="Times New Roman" w:hAnsi="Times New Roman" w:cs="Times New Roman"/>
          <w:sz w:val="24"/>
          <w:szCs w:val="24"/>
        </w:rPr>
        <w:t xml:space="preserve">-se ainda mais notável o aumento de investimentos diretos </w:t>
      </w:r>
      <w:r>
        <w:rPr>
          <w:rFonts w:ascii="Times New Roman" w:eastAsia="Times New Roman" w:hAnsi="Times New Roman" w:cs="Times New Roman"/>
          <w:sz w:val="24"/>
          <w:szCs w:val="24"/>
        </w:rPr>
        <w:t>estadunidenses</w:t>
      </w:r>
      <w:r w:rsidRPr="00047CB9">
        <w:rPr>
          <w:rFonts w:ascii="Times New Roman" w:eastAsia="Times New Roman" w:hAnsi="Times New Roman" w:cs="Times New Roman"/>
          <w:sz w:val="24"/>
          <w:szCs w:val="24"/>
        </w:rPr>
        <w:t xml:space="preserve"> como </w:t>
      </w:r>
      <w:r w:rsidR="003B5AA7">
        <w:rPr>
          <w:rFonts w:ascii="Times New Roman" w:eastAsia="Times New Roman" w:hAnsi="Times New Roman" w:cs="Times New Roman"/>
          <w:sz w:val="24"/>
          <w:szCs w:val="24"/>
        </w:rPr>
        <w:t>mostra a</w:t>
      </w:r>
      <w:r w:rsidRPr="00047CB9">
        <w:rPr>
          <w:rFonts w:ascii="Times New Roman" w:eastAsia="Times New Roman" w:hAnsi="Times New Roman" w:cs="Times New Roman"/>
          <w:sz w:val="24"/>
          <w:szCs w:val="24"/>
        </w:rPr>
        <w:t xml:space="preserve"> tabela </w:t>
      </w:r>
      <w:r w:rsidR="00D907C5">
        <w:rPr>
          <w:rFonts w:ascii="Times New Roman" w:eastAsia="Times New Roman" w:hAnsi="Times New Roman" w:cs="Times New Roman"/>
          <w:sz w:val="24"/>
          <w:szCs w:val="24"/>
        </w:rPr>
        <w:t>2</w:t>
      </w:r>
      <w:r w:rsidRPr="00047CB9">
        <w:rPr>
          <w:rFonts w:ascii="Times New Roman" w:eastAsia="Times New Roman" w:hAnsi="Times New Roman" w:cs="Times New Roman"/>
          <w:sz w:val="24"/>
          <w:szCs w:val="24"/>
        </w:rPr>
        <w:t>.</w:t>
      </w:r>
    </w:p>
    <w:p w:rsidR="002853A6" w:rsidRPr="002E54E7" w:rsidRDefault="00E57436" w:rsidP="0048231B">
      <w:pPr>
        <w:spacing w:after="0" w:line="240" w:lineRule="auto"/>
        <w:jc w:val="both"/>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T</w:t>
      </w:r>
      <w:r w:rsidR="00434FA6" w:rsidRPr="002E54E7">
        <w:rPr>
          <w:rFonts w:ascii="Times New Roman" w:eastAsia="Times New Roman" w:hAnsi="Times New Roman" w:cs="Times New Roman"/>
          <w:b/>
          <w:lang w:eastAsia="pt-BR"/>
        </w:rPr>
        <w:t xml:space="preserve">abela </w:t>
      </w:r>
      <w:r w:rsidR="00D907C5" w:rsidRPr="002E54E7">
        <w:rPr>
          <w:rFonts w:ascii="Times New Roman" w:eastAsia="Times New Roman" w:hAnsi="Times New Roman" w:cs="Times New Roman"/>
          <w:b/>
          <w:lang w:eastAsia="pt-BR"/>
        </w:rPr>
        <w:t>2</w:t>
      </w:r>
      <w:r w:rsidR="00434FA6" w:rsidRPr="002E54E7">
        <w:rPr>
          <w:rFonts w:ascii="Times New Roman" w:eastAsia="Times New Roman" w:hAnsi="Times New Roman" w:cs="Times New Roman"/>
          <w:b/>
          <w:lang w:eastAsia="pt-BR"/>
        </w:rPr>
        <w:t xml:space="preserve">- </w:t>
      </w:r>
      <w:r w:rsidR="002853A6" w:rsidRPr="002E54E7">
        <w:rPr>
          <w:rFonts w:ascii="Times New Roman" w:eastAsia="Times New Roman" w:hAnsi="Times New Roman" w:cs="Times New Roman"/>
          <w:b/>
          <w:lang w:eastAsia="pt-BR"/>
        </w:rPr>
        <w:t>Investimentos Estrangeiros Diretos no Canadá em anos selecionados: (1900-193</w:t>
      </w:r>
      <w:r w:rsidR="00B1690B" w:rsidRPr="002E54E7">
        <w:rPr>
          <w:rFonts w:ascii="Times New Roman" w:eastAsia="Times New Roman" w:hAnsi="Times New Roman" w:cs="Times New Roman"/>
          <w:b/>
          <w:lang w:eastAsia="pt-BR"/>
        </w:rPr>
        <w:t>0</w:t>
      </w:r>
      <w:r w:rsidR="002853A6" w:rsidRPr="002E54E7">
        <w:rPr>
          <w:rFonts w:ascii="Times New Roman" w:eastAsia="Times New Roman" w:hAnsi="Times New Roman" w:cs="Times New Roman"/>
          <w:b/>
          <w:lang w:eastAsia="pt-BR"/>
        </w:rPr>
        <w:t xml:space="preserve">)- (milhões de </w:t>
      </w:r>
      <w:r w:rsidR="00B1690B" w:rsidRPr="002E54E7">
        <w:rPr>
          <w:rFonts w:ascii="Times New Roman" w:eastAsia="Times New Roman" w:hAnsi="Times New Roman" w:cs="Times New Roman"/>
          <w:b/>
          <w:lang w:eastAsia="pt-BR"/>
        </w:rPr>
        <w:t>C</w:t>
      </w:r>
      <w:r w:rsidR="002853A6" w:rsidRPr="002E54E7">
        <w:rPr>
          <w:rFonts w:ascii="Times New Roman" w:eastAsia="Times New Roman" w:hAnsi="Times New Roman" w:cs="Times New Roman"/>
          <w:b/>
          <w:lang w:eastAsia="pt-BR"/>
        </w:rPr>
        <w:t>$)</w:t>
      </w:r>
    </w:p>
    <w:tbl>
      <w:tblPr>
        <w:tblStyle w:val="GradeClara-nfas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9"/>
        <w:gridCol w:w="1303"/>
        <w:gridCol w:w="815"/>
        <w:gridCol w:w="1303"/>
        <w:gridCol w:w="1140"/>
        <w:gridCol w:w="1889"/>
        <w:gridCol w:w="882"/>
        <w:gridCol w:w="1792"/>
      </w:tblGrid>
      <w:tr w:rsidR="002853A6" w:rsidRPr="002E54E7" w:rsidTr="00F93D58">
        <w:trPr>
          <w:cnfStyle w:val="100000000000" w:firstRow="1" w:lastRow="0" w:firstColumn="0" w:lastColumn="0" w:oddVBand="0" w:evenVBand="0" w:oddHBand="0" w:evenHBand="0" w:firstRowFirstColumn="0" w:firstRowLastColumn="0" w:lastRowFirstColumn="0" w:lastRowLastColumn="0"/>
          <w:cantSplit/>
          <w:trHeight w:hRule="exact" w:val="288"/>
        </w:trPr>
        <w:tc>
          <w:tcPr>
            <w:cnfStyle w:val="001000000000" w:firstRow="0" w:lastRow="0" w:firstColumn="1" w:lastColumn="0" w:oddVBand="0" w:evenVBand="0" w:oddHBand="0" w:evenHBand="0" w:firstRowFirstColumn="0" w:firstRowLastColumn="0" w:lastRowFirstColumn="0" w:lastRowLastColumn="0"/>
            <w:tcW w:w="939"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Ano</w:t>
            </w:r>
          </w:p>
        </w:tc>
        <w:tc>
          <w:tcPr>
            <w:tcW w:w="1303"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Inglaterra</w:t>
            </w:r>
          </w:p>
        </w:tc>
        <w:tc>
          <w:tcPr>
            <w:tcW w:w="815"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303"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EUA</w:t>
            </w:r>
          </w:p>
        </w:tc>
        <w:tc>
          <w:tcPr>
            <w:tcW w:w="1140"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889"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Outros Países</w:t>
            </w:r>
          </w:p>
        </w:tc>
        <w:tc>
          <w:tcPr>
            <w:tcW w:w="882"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
        </w:tc>
        <w:tc>
          <w:tcPr>
            <w:tcW w:w="1792"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Total</w:t>
            </w:r>
          </w:p>
        </w:tc>
      </w:tr>
      <w:tr w:rsidR="002853A6" w:rsidRPr="002E54E7" w:rsidTr="00F93D58">
        <w:trPr>
          <w:cnfStyle w:val="000000100000" w:firstRow="0" w:lastRow="0" w:firstColumn="0" w:lastColumn="0" w:oddVBand="0" w:evenVBand="0" w:oddHBand="1" w:evenHBand="0" w:firstRowFirstColumn="0" w:firstRowLastColumn="0" w:lastRowFirstColumn="0" w:lastRowLastColumn="0"/>
          <w:cantSplit/>
          <w:trHeight w:hRule="exact" w:val="288"/>
        </w:trPr>
        <w:tc>
          <w:tcPr>
            <w:cnfStyle w:val="001000000000" w:firstRow="0" w:lastRow="0" w:firstColumn="1" w:lastColumn="0" w:oddVBand="0" w:evenVBand="0" w:oddHBand="0" w:evenHBand="0" w:firstRowFirstColumn="0" w:firstRowLastColumn="0" w:lastRowFirstColumn="0" w:lastRowLastColumn="0"/>
            <w:tcW w:w="939"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1900</w:t>
            </w:r>
          </w:p>
        </w:tc>
        <w:tc>
          <w:tcPr>
            <w:tcW w:w="1303"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1.050</w:t>
            </w:r>
          </w:p>
        </w:tc>
        <w:tc>
          <w:tcPr>
            <w:tcW w:w="81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85,2</w:t>
            </w:r>
          </w:p>
        </w:tc>
        <w:tc>
          <w:tcPr>
            <w:tcW w:w="1303"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168</w:t>
            </w:r>
          </w:p>
        </w:tc>
        <w:tc>
          <w:tcPr>
            <w:tcW w:w="114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13,6</w:t>
            </w:r>
          </w:p>
        </w:tc>
        <w:tc>
          <w:tcPr>
            <w:tcW w:w="1889"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14</w:t>
            </w:r>
          </w:p>
        </w:tc>
        <w:tc>
          <w:tcPr>
            <w:tcW w:w="88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1,2</w:t>
            </w:r>
          </w:p>
        </w:tc>
        <w:tc>
          <w:tcPr>
            <w:tcW w:w="179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1.232</w:t>
            </w:r>
          </w:p>
        </w:tc>
      </w:tr>
      <w:tr w:rsidR="002853A6" w:rsidRPr="002E54E7" w:rsidTr="00F93D58">
        <w:trPr>
          <w:cnfStyle w:val="000000010000" w:firstRow="0" w:lastRow="0" w:firstColumn="0" w:lastColumn="0" w:oddVBand="0" w:evenVBand="0" w:oddHBand="0" w:evenHBand="1" w:firstRowFirstColumn="0" w:firstRowLastColumn="0" w:lastRowFirstColumn="0" w:lastRowLastColumn="0"/>
          <w:cantSplit/>
          <w:trHeight w:hRule="exact" w:val="288"/>
        </w:trPr>
        <w:tc>
          <w:tcPr>
            <w:cnfStyle w:val="001000000000" w:firstRow="0" w:lastRow="0" w:firstColumn="1" w:lastColumn="0" w:oddVBand="0" w:evenVBand="0" w:oddHBand="0" w:evenHBand="0" w:firstRowFirstColumn="0" w:firstRowLastColumn="0" w:lastRowFirstColumn="0" w:lastRowLastColumn="0"/>
            <w:tcW w:w="939"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1910</w:t>
            </w:r>
          </w:p>
        </w:tc>
        <w:tc>
          <w:tcPr>
            <w:tcW w:w="1303"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1.958</w:t>
            </w:r>
          </w:p>
        </w:tc>
        <w:tc>
          <w:tcPr>
            <w:tcW w:w="81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77,4</w:t>
            </w:r>
          </w:p>
        </w:tc>
        <w:tc>
          <w:tcPr>
            <w:tcW w:w="1303"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487</w:t>
            </w:r>
          </w:p>
        </w:tc>
        <w:tc>
          <w:tcPr>
            <w:tcW w:w="114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19,3</w:t>
            </w:r>
          </w:p>
        </w:tc>
        <w:tc>
          <w:tcPr>
            <w:tcW w:w="1889"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84</w:t>
            </w:r>
          </w:p>
        </w:tc>
        <w:tc>
          <w:tcPr>
            <w:tcW w:w="88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3,3</w:t>
            </w:r>
          </w:p>
        </w:tc>
        <w:tc>
          <w:tcPr>
            <w:tcW w:w="179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2.529</w:t>
            </w:r>
          </w:p>
        </w:tc>
      </w:tr>
      <w:tr w:rsidR="002853A6" w:rsidRPr="002E54E7" w:rsidTr="00F93D58">
        <w:trPr>
          <w:cnfStyle w:val="000000100000" w:firstRow="0" w:lastRow="0" w:firstColumn="0" w:lastColumn="0" w:oddVBand="0" w:evenVBand="0" w:oddHBand="1" w:evenHBand="0" w:firstRowFirstColumn="0" w:firstRowLastColumn="0" w:lastRowFirstColumn="0" w:lastRowLastColumn="0"/>
          <w:cantSplit/>
          <w:trHeight w:hRule="exact" w:val="288"/>
        </w:trPr>
        <w:tc>
          <w:tcPr>
            <w:cnfStyle w:val="001000000000" w:firstRow="0" w:lastRow="0" w:firstColumn="1" w:lastColumn="0" w:oddVBand="0" w:evenVBand="0" w:oddHBand="0" w:evenHBand="0" w:firstRowFirstColumn="0" w:firstRowLastColumn="0" w:lastRowFirstColumn="0" w:lastRowLastColumn="0"/>
            <w:tcW w:w="939"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1914</w:t>
            </w:r>
          </w:p>
        </w:tc>
        <w:tc>
          <w:tcPr>
            <w:tcW w:w="1303"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2.778</w:t>
            </w:r>
          </w:p>
        </w:tc>
        <w:tc>
          <w:tcPr>
            <w:tcW w:w="815"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72,4</w:t>
            </w:r>
          </w:p>
        </w:tc>
        <w:tc>
          <w:tcPr>
            <w:tcW w:w="1303"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881</w:t>
            </w:r>
          </w:p>
        </w:tc>
        <w:tc>
          <w:tcPr>
            <w:tcW w:w="1140"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23,0</w:t>
            </w:r>
          </w:p>
        </w:tc>
        <w:tc>
          <w:tcPr>
            <w:tcW w:w="1889"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178</w:t>
            </w:r>
          </w:p>
        </w:tc>
        <w:tc>
          <w:tcPr>
            <w:tcW w:w="882"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4,6</w:t>
            </w:r>
          </w:p>
        </w:tc>
        <w:tc>
          <w:tcPr>
            <w:tcW w:w="1792"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3.837</w:t>
            </w:r>
          </w:p>
        </w:tc>
      </w:tr>
      <w:tr w:rsidR="002853A6" w:rsidRPr="002E54E7" w:rsidTr="00F93D58">
        <w:trPr>
          <w:cnfStyle w:val="000000010000" w:firstRow="0" w:lastRow="0" w:firstColumn="0" w:lastColumn="0" w:oddVBand="0" w:evenVBand="0" w:oddHBand="0" w:evenHBand="1" w:firstRowFirstColumn="0" w:firstRowLastColumn="0" w:lastRowFirstColumn="0" w:lastRowLastColumn="0"/>
          <w:cantSplit/>
          <w:trHeight w:hRule="exact" w:val="288"/>
        </w:trPr>
        <w:tc>
          <w:tcPr>
            <w:cnfStyle w:val="001000000000" w:firstRow="0" w:lastRow="0" w:firstColumn="1" w:lastColumn="0" w:oddVBand="0" w:evenVBand="0" w:oddHBand="0" w:evenHBand="0" w:firstRowFirstColumn="0" w:firstRowLastColumn="0" w:lastRowFirstColumn="0" w:lastRowLastColumn="0"/>
            <w:tcW w:w="939"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1918</w:t>
            </w:r>
          </w:p>
        </w:tc>
        <w:tc>
          <w:tcPr>
            <w:tcW w:w="1303"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2.729</w:t>
            </w:r>
          </w:p>
        </w:tc>
        <w:tc>
          <w:tcPr>
            <w:tcW w:w="815"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60,2</w:t>
            </w:r>
          </w:p>
        </w:tc>
        <w:tc>
          <w:tcPr>
            <w:tcW w:w="1303"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1.630</w:t>
            </w:r>
          </w:p>
        </w:tc>
        <w:tc>
          <w:tcPr>
            <w:tcW w:w="1140"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35,9</w:t>
            </w:r>
          </w:p>
        </w:tc>
        <w:tc>
          <w:tcPr>
            <w:tcW w:w="1889"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177</w:t>
            </w:r>
          </w:p>
        </w:tc>
        <w:tc>
          <w:tcPr>
            <w:tcW w:w="882"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3,9</w:t>
            </w:r>
          </w:p>
        </w:tc>
        <w:tc>
          <w:tcPr>
            <w:tcW w:w="1792"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4.536</w:t>
            </w:r>
          </w:p>
        </w:tc>
      </w:tr>
      <w:tr w:rsidR="002853A6" w:rsidRPr="002E54E7" w:rsidTr="00F93D58">
        <w:trPr>
          <w:cnfStyle w:val="000000100000" w:firstRow="0" w:lastRow="0" w:firstColumn="0" w:lastColumn="0" w:oddVBand="0" w:evenVBand="0" w:oddHBand="1" w:evenHBand="0" w:firstRowFirstColumn="0" w:firstRowLastColumn="0" w:lastRowFirstColumn="0" w:lastRowLastColumn="0"/>
          <w:cantSplit/>
          <w:trHeight w:hRule="exact" w:val="288"/>
        </w:trPr>
        <w:tc>
          <w:tcPr>
            <w:cnfStyle w:val="001000000000" w:firstRow="0" w:lastRow="0" w:firstColumn="1" w:lastColumn="0" w:oddVBand="0" w:evenVBand="0" w:oddHBand="0" w:evenHBand="0" w:firstRowFirstColumn="0" w:firstRowLastColumn="0" w:lastRowFirstColumn="0" w:lastRowLastColumn="0"/>
            <w:tcW w:w="939"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1920</w:t>
            </w:r>
          </w:p>
        </w:tc>
        <w:tc>
          <w:tcPr>
            <w:tcW w:w="1303"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2.577</w:t>
            </w:r>
          </w:p>
        </w:tc>
        <w:tc>
          <w:tcPr>
            <w:tcW w:w="815"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52,9</w:t>
            </w:r>
          </w:p>
        </w:tc>
        <w:tc>
          <w:tcPr>
            <w:tcW w:w="1303"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2.128</w:t>
            </w:r>
          </w:p>
        </w:tc>
        <w:tc>
          <w:tcPr>
            <w:tcW w:w="1140"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43,7</w:t>
            </w:r>
          </w:p>
        </w:tc>
        <w:tc>
          <w:tcPr>
            <w:tcW w:w="1889"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165</w:t>
            </w:r>
          </w:p>
        </w:tc>
        <w:tc>
          <w:tcPr>
            <w:tcW w:w="882"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3,4</w:t>
            </w:r>
          </w:p>
        </w:tc>
        <w:tc>
          <w:tcPr>
            <w:tcW w:w="1792"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4.870</w:t>
            </w:r>
          </w:p>
        </w:tc>
      </w:tr>
      <w:tr w:rsidR="002853A6" w:rsidRPr="002E54E7" w:rsidTr="00F93D58">
        <w:trPr>
          <w:cnfStyle w:val="000000010000" w:firstRow="0" w:lastRow="0" w:firstColumn="0" w:lastColumn="0" w:oddVBand="0" w:evenVBand="0" w:oddHBand="0" w:evenHBand="1" w:firstRowFirstColumn="0" w:firstRowLastColumn="0" w:lastRowFirstColumn="0" w:lastRowLastColumn="0"/>
          <w:cantSplit/>
          <w:trHeight w:hRule="exact" w:val="288"/>
        </w:trPr>
        <w:tc>
          <w:tcPr>
            <w:cnfStyle w:val="001000000000" w:firstRow="0" w:lastRow="0" w:firstColumn="1" w:lastColumn="0" w:oddVBand="0" w:evenVBand="0" w:oddHBand="0" w:evenHBand="0" w:firstRowFirstColumn="0" w:firstRowLastColumn="0" w:lastRowFirstColumn="0" w:lastRowLastColumn="0"/>
            <w:tcW w:w="939"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1926</w:t>
            </w:r>
          </w:p>
        </w:tc>
        <w:tc>
          <w:tcPr>
            <w:tcW w:w="1303"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2.637</w:t>
            </w:r>
          </w:p>
        </w:tc>
        <w:tc>
          <w:tcPr>
            <w:tcW w:w="815"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43,9</w:t>
            </w:r>
          </w:p>
        </w:tc>
        <w:tc>
          <w:tcPr>
            <w:tcW w:w="1303"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3.196</w:t>
            </w:r>
          </w:p>
        </w:tc>
        <w:tc>
          <w:tcPr>
            <w:tcW w:w="1140"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53,2</w:t>
            </w:r>
          </w:p>
        </w:tc>
        <w:tc>
          <w:tcPr>
            <w:tcW w:w="1889"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170</w:t>
            </w:r>
          </w:p>
        </w:tc>
        <w:tc>
          <w:tcPr>
            <w:tcW w:w="882"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2,9</w:t>
            </w:r>
          </w:p>
        </w:tc>
        <w:tc>
          <w:tcPr>
            <w:tcW w:w="1792" w:type="dxa"/>
            <w:tcBorders>
              <w:top w:val="none" w:sz="0" w:space="0" w:color="auto"/>
              <w:left w:val="none" w:sz="0" w:space="0" w:color="auto"/>
              <w:bottom w:val="none" w:sz="0" w:space="0" w:color="auto"/>
              <w:right w:val="none" w:sz="0" w:space="0" w:color="auto"/>
            </w:tcBorders>
            <w:shd w:val="clear" w:color="auto" w:fill="FFFFFF" w:themeFill="background1"/>
          </w:tcPr>
          <w:p w:rsidR="002853A6" w:rsidRPr="002E54E7" w:rsidRDefault="002853A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6.003</w:t>
            </w:r>
          </w:p>
        </w:tc>
      </w:tr>
      <w:tr w:rsidR="002853A6" w:rsidRPr="002E54E7" w:rsidTr="00F93D58">
        <w:trPr>
          <w:cnfStyle w:val="000000100000" w:firstRow="0" w:lastRow="0" w:firstColumn="0" w:lastColumn="0" w:oddVBand="0" w:evenVBand="0" w:oddHBand="1" w:evenHBand="0" w:firstRowFirstColumn="0" w:firstRowLastColumn="0" w:lastRowFirstColumn="0" w:lastRowLastColumn="0"/>
          <w:cantSplit/>
          <w:trHeight w:hRule="exact" w:val="288"/>
        </w:trPr>
        <w:tc>
          <w:tcPr>
            <w:cnfStyle w:val="001000000000" w:firstRow="0" w:lastRow="0" w:firstColumn="1" w:lastColumn="0" w:oddVBand="0" w:evenVBand="0" w:oddHBand="0" w:evenHBand="0" w:firstRowFirstColumn="0" w:firstRowLastColumn="0" w:lastRowFirstColumn="0" w:lastRowLastColumn="0"/>
            <w:tcW w:w="939"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1930</w:t>
            </w:r>
          </w:p>
        </w:tc>
        <w:tc>
          <w:tcPr>
            <w:tcW w:w="1303"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2.766</w:t>
            </w:r>
          </w:p>
        </w:tc>
        <w:tc>
          <w:tcPr>
            <w:tcW w:w="81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36,3</w:t>
            </w:r>
          </w:p>
        </w:tc>
        <w:tc>
          <w:tcPr>
            <w:tcW w:w="1303"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4.660</w:t>
            </w:r>
          </w:p>
        </w:tc>
        <w:tc>
          <w:tcPr>
            <w:tcW w:w="114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61,2</w:t>
            </w:r>
          </w:p>
        </w:tc>
        <w:tc>
          <w:tcPr>
            <w:tcW w:w="1889"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188</w:t>
            </w:r>
          </w:p>
        </w:tc>
        <w:tc>
          <w:tcPr>
            <w:tcW w:w="88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2,5</w:t>
            </w:r>
          </w:p>
        </w:tc>
        <w:tc>
          <w:tcPr>
            <w:tcW w:w="179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53A6" w:rsidRPr="002E54E7" w:rsidRDefault="002853A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7.614</w:t>
            </w:r>
          </w:p>
        </w:tc>
      </w:tr>
    </w:tbl>
    <w:p w:rsidR="002853A6" w:rsidRPr="002E54E7" w:rsidRDefault="009831D2" w:rsidP="0048231B">
      <w:pPr>
        <w:spacing w:after="240" w:line="240" w:lineRule="auto"/>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 xml:space="preserve">Fonte: </w:t>
      </w:r>
      <w:proofErr w:type="spellStart"/>
      <w:r w:rsidRPr="002E54E7">
        <w:rPr>
          <w:rFonts w:ascii="Times New Roman" w:eastAsia="Times New Roman" w:hAnsi="Times New Roman" w:cs="Times New Roman"/>
          <w:lang w:eastAsia="pt-BR"/>
        </w:rPr>
        <w:t>Brecher</w:t>
      </w:r>
      <w:proofErr w:type="spellEnd"/>
      <w:r w:rsidRPr="002E54E7">
        <w:rPr>
          <w:rFonts w:ascii="Times New Roman" w:eastAsia="Times New Roman" w:hAnsi="Times New Roman" w:cs="Times New Roman"/>
          <w:lang w:eastAsia="pt-BR"/>
        </w:rPr>
        <w:t>;</w:t>
      </w:r>
      <w:r w:rsidR="001D4C56" w:rsidRPr="002E54E7">
        <w:rPr>
          <w:rFonts w:ascii="Times New Roman" w:eastAsia="Times New Roman" w:hAnsi="Times New Roman" w:cs="Times New Roman"/>
          <w:lang w:eastAsia="pt-BR"/>
        </w:rPr>
        <w:t xml:space="preserve"> </w:t>
      </w:r>
      <w:proofErr w:type="spellStart"/>
      <w:r w:rsidR="001D4C56" w:rsidRPr="002E54E7">
        <w:rPr>
          <w:rFonts w:ascii="Times New Roman" w:eastAsia="Times New Roman" w:hAnsi="Times New Roman" w:cs="Times New Roman"/>
          <w:lang w:eastAsia="pt-BR"/>
        </w:rPr>
        <w:t>Reisman</w:t>
      </w:r>
      <w:proofErr w:type="spellEnd"/>
      <w:r w:rsidR="001D4C56" w:rsidRPr="002E54E7">
        <w:rPr>
          <w:rFonts w:ascii="Times New Roman" w:eastAsia="Times New Roman" w:hAnsi="Times New Roman" w:cs="Times New Roman"/>
          <w:lang w:eastAsia="pt-BR"/>
        </w:rPr>
        <w:t xml:space="preserve"> (1957</w:t>
      </w:r>
      <w:r w:rsidR="002853A6" w:rsidRPr="002E54E7">
        <w:rPr>
          <w:rFonts w:ascii="Times New Roman" w:eastAsia="Times New Roman" w:hAnsi="Times New Roman" w:cs="Times New Roman"/>
          <w:lang w:eastAsia="pt-BR"/>
        </w:rPr>
        <w:t>) e Firestone (1958</w:t>
      </w:r>
      <w:proofErr w:type="gramStart"/>
      <w:r w:rsidR="002853A6" w:rsidRPr="002E54E7">
        <w:rPr>
          <w:rFonts w:ascii="Times New Roman" w:eastAsia="Times New Roman" w:hAnsi="Times New Roman" w:cs="Times New Roman"/>
          <w:lang w:eastAsia="pt-BR"/>
        </w:rPr>
        <w:t>)</w:t>
      </w:r>
      <w:proofErr w:type="gramEnd"/>
    </w:p>
    <w:p w:rsidR="004306C7" w:rsidRPr="004306C7" w:rsidRDefault="00B83162" w:rsidP="0048231B">
      <w:pPr>
        <w:spacing w:after="240" w:line="24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4</w:t>
      </w:r>
      <w:r w:rsidR="00585A85">
        <w:rPr>
          <w:rFonts w:ascii="Times New Roman" w:eastAsia="Times New Roman" w:hAnsi="Times New Roman" w:cs="Times New Roman"/>
          <w:b/>
          <w:sz w:val="24"/>
          <w:szCs w:val="24"/>
          <w:lang w:eastAsia="pt-BR"/>
        </w:rPr>
        <w:t xml:space="preserve">. </w:t>
      </w:r>
      <w:r w:rsidR="00E75612">
        <w:rPr>
          <w:rFonts w:ascii="Times New Roman" w:eastAsia="Times New Roman" w:hAnsi="Times New Roman" w:cs="Times New Roman"/>
          <w:b/>
          <w:sz w:val="24"/>
          <w:szCs w:val="24"/>
          <w:lang w:eastAsia="pt-BR"/>
        </w:rPr>
        <w:t xml:space="preserve">A </w:t>
      </w:r>
      <w:r w:rsidR="00585A85">
        <w:rPr>
          <w:rFonts w:ascii="Times New Roman" w:eastAsia="Times New Roman" w:hAnsi="Times New Roman" w:cs="Times New Roman"/>
          <w:b/>
          <w:sz w:val="24"/>
          <w:szCs w:val="24"/>
          <w:lang w:eastAsia="pt-BR"/>
        </w:rPr>
        <w:t xml:space="preserve">POLÍTICA </w:t>
      </w:r>
      <w:r w:rsidR="00103760">
        <w:rPr>
          <w:rFonts w:ascii="Times New Roman" w:eastAsia="Times New Roman" w:hAnsi="Times New Roman" w:cs="Times New Roman"/>
          <w:b/>
          <w:sz w:val="24"/>
          <w:szCs w:val="24"/>
          <w:lang w:eastAsia="pt-BR"/>
        </w:rPr>
        <w:t>FERROVIÁRIA E A INTERLIGAÇÃO</w:t>
      </w:r>
      <w:r w:rsidR="00E75612">
        <w:rPr>
          <w:rFonts w:ascii="Times New Roman" w:eastAsia="Times New Roman" w:hAnsi="Times New Roman" w:cs="Times New Roman"/>
          <w:b/>
          <w:sz w:val="24"/>
          <w:szCs w:val="24"/>
          <w:lang w:eastAsia="pt-BR"/>
        </w:rPr>
        <w:t xml:space="preserve"> DOS MERCADOS E</w:t>
      </w:r>
      <w:r w:rsidR="00103760">
        <w:rPr>
          <w:rFonts w:ascii="Times New Roman" w:eastAsia="Times New Roman" w:hAnsi="Times New Roman" w:cs="Times New Roman"/>
          <w:b/>
          <w:sz w:val="24"/>
          <w:szCs w:val="24"/>
          <w:lang w:eastAsia="pt-BR"/>
        </w:rPr>
        <w:t xml:space="preserve"> DAS PROVÍNCIAS CANADENSES</w:t>
      </w:r>
    </w:p>
    <w:p w:rsidR="002837EF" w:rsidRPr="002837EF" w:rsidRDefault="002837EF"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As questões relativas aos transportes </w:t>
      </w:r>
      <w:r w:rsidR="00E75612">
        <w:rPr>
          <w:rFonts w:ascii="Times New Roman" w:eastAsia="Times New Roman" w:hAnsi="Times New Roman" w:cs="Times New Roman"/>
          <w:sz w:val="24"/>
          <w:szCs w:val="24"/>
          <w:lang w:eastAsia="pt-BR"/>
        </w:rPr>
        <w:t>foram igualmente importantes para o</w:t>
      </w:r>
      <w:r>
        <w:rPr>
          <w:rFonts w:ascii="Times New Roman" w:eastAsia="Times New Roman" w:hAnsi="Times New Roman" w:cs="Times New Roman"/>
          <w:sz w:val="24"/>
          <w:szCs w:val="24"/>
          <w:lang w:eastAsia="pt-BR"/>
        </w:rPr>
        <w:t xml:space="preserve"> desenvolvimento econômico </w:t>
      </w:r>
      <w:r w:rsidR="00AD4F73">
        <w:rPr>
          <w:rFonts w:ascii="Times New Roman" w:eastAsia="Times New Roman" w:hAnsi="Times New Roman" w:cs="Times New Roman"/>
          <w:sz w:val="24"/>
          <w:szCs w:val="24"/>
          <w:lang w:eastAsia="pt-BR"/>
        </w:rPr>
        <w:t>do Canadá</w:t>
      </w:r>
      <w:r>
        <w:rPr>
          <w:rFonts w:ascii="Times New Roman" w:eastAsia="Times New Roman" w:hAnsi="Times New Roman" w:cs="Times New Roman"/>
          <w:sz w:val="24"/>
          <w:szCs w:val="24"/>
          <w:lang w:eastAsia="pt-BR"/>
        </w:rPr>
        <w:t xml:space="preserve">. Isto se deve </w:t>
      </w:r>
      <w:r w:rsidR="00E75612">
        <w:rPr>
          <w:rFonts w:ascii="Times New Roman" w:eastAsia="Times New Roman" w:hAnsi="Times New Roman" w:cs="Times New Roman"/>
          <w:sz w:val="24"/>
          <w:szCs w:val="24"/>
          <w:lang w:eastAsia="pt-BR"/>
        </w:rPr>
        <w:t>à</w:t>
      </w:r>
      <w:r>
        <w:rPr>
          <w:rFonts w:ascii="Times New Roman" w:eastAsia="Times New Roman" w:hAnsi="Times New Roman" w:cs="Times New Roman"/>
          <w:sz w:val="24"/>
          <w:szCs w:val="24"/>
          <w:lang w:eastAsia="pt-BR"/>
        </w:rPr>
        <w:t xml:space="preserve">s grandes distâncias geográficas entre as províncias e a própria proximidade </w:t>
      </w:r>
      <w:r w:rsidR="008C3C08">
        <w:rPr>
          <w:rFonts w:ascii="Times New Roman" w:eastAsia="Times New Roman" w:hAnsi="Times New Roman" w:cs="Times New Roman"/>
          <w:sz w:val="24"/>
          <w:szCs w:val="24"/>
          <w:lang w:eastAsia="pt-BR"/>
        </w:rPr>
        <w:t>em relação aos</w:t>
      </w:r>
      <w:r>
        <w:rPr>
          <w:rFonts w:ascii="Times New Roman" w:eastAsia="Times New Roman" w:hAnsi="Times New Roman" w:cs="Times New Roman"/>
          <w:sz w:val="24"/>
          <w:szCs w:val="24"/>
          <w:lang w:eastAsia="pt-BR"/>
        </w:rPr>
        <w:t xml:space="preserve"> Estados Unidos. No período colonial, enquanto as peles eram a principal </w:t>
      </w:r>
      <w:proofErr w:type="spellStart"/>
      <w:r w:rsidRPr="002837EF">
        <w:rPr>
          <w:rFonts w:ascii="Times New Roman" w:eastAsia="Times New Roman" w:hAnsi="Times New Roman" w:cs="Times New Roman"/>
          <w:i/>
          <w:sz w:val="24"/>
          <w:szCs w:val="24"/>
          <w:lang w:eastAsia="pt-BR"/>
        </w:rPr>
        <w:t>staple</w:t>
      </w:r>
      <w:proofErr w:type="spellEnd"/>
      <w:r>
        <w:rPr>
          <w:rFonts w:ascii="Times New Roman" w:eastAsia="Times New Roman" w:hAnsi="Times New Roman" w:cs="Times New Roman"/>
          <w:i/>
          <w:sz w:val="24"/>
          <w:szCs w:val="24"/>
          <w:lang w:eastAsia="pt-BR"/>
        </w:rPr>
        <w:t xml:space="preserve"> </w:t>
      </w:r>
      <w:r>
        <w:rPr>
          <w:rFonts w:ascii="Times New Roman" w:eastAsia="Times New Roman" w:hAnsi="Times New Roman" w:cs="Times New Roman"/>
          <w:sz w:val="24"/>
          <w:szCs w:val="24"/>
          <w:lang w:eastAsia="pt-BR"/>
        </w:rPr>
        <w:t xml:space="preserve">para a exportação, o transporte hidroviário tinha sido bastante eficaz. </w:t>
      </w:r>
      <w:r w:rsidR="008C3C08">
        <w:rPr>
          <w:rFonts w:ascii="Times New Roman" w:eastAsia="Times New Roman" w:hAnsi="Times New Roman" w:cs="Times New Roman"/>
          <w:sz w:val="24"/>
          <w:szCs w:val="24"/>
          <w:lang w:eastAsia="pt-BR"/>
        </w:rPr>
        <w:t xml:space="preserve">O transporte hidroviário também cumpria bem sua função quando a </w:t>
      </w:r>
      <w:proofErr w:type="spellStart"/>
      <w:r w:rsidR="008C3C08" w:rsidRPr="008C3C08">
        <w:rPr>
          <w:rFonts w:ascii="Times New Roman" w:eastAsia="Times New Roman" w:hAnsi="Times New Roman" w:cs="Times New Roman"/>
          <w:i/>
          <w:sz w:val="24"/>
          <w:szCs w:val="24"/>
          <w:lang w:eastAsia="pt-BR"/>
        </w:rPr>
        <w:t>staple</w:t>
      </w:r>
      <w:proofErr w:type="spellEnd"/>
      <w:r w:rsidR="008C3C08" w:rsidRPr="008C3C08">
        <w:rPr>
          <w:rFonts w:ascii="Times New Roman" w:eastAsia="Times New Roman" w:hAnsi="Times New Roman" w:cs="Times New Roman"/>
          <w:i/>
          <w:sz w:val="24"/>
          <w:szCs w:val="24"/>
          <w:lang w:eastAsia="pt-BR"/>
        </w:rPr>
        <w:t xml:space="preserve"> </w:t>
      </w:r>
      <w:r w:rsidR="008C3C08">
        <w:rPr>
          <w:rFonts w:ascii="Times New Roman" w:eastAsia="Times New Roman" w:hAnsi="Times New Roman" w:cs="Times New Roman"/>
          <w:sz w:val="24"/>
          <w:szCs w:val="24"/>
          <w:lang w:eastAsia="pt-BR"/>
        </w:rPr>
        <w:t xml:space="preserve">principal do meio oeste e Canadá Superior passou a ser o trigo, fazendo com que o governo investisse em obras de infraestrutura através da construção de canais no </w:t>
      </w:r>
      <w:r w:rsidR="008A505C">
        <w:rPr>
          <w:rFonts w:ascii="Times New Roman" w:eastAsia="Times New Roman" w:hAnsi="Times New Roman" w:cs="Times New Roman"/>
          <w:sz w:val="24"/>
          <w:szCs w:val="24"/>
          <w:lang w:eastAsia="pt-BR"/>
        </w:rPr>
        <w:t>R</w:t>
      </w:r>
      <w:r w:rsidR="008C3C08">
        <w:rPr>
          <w:rFonts w:ascii="Times New Roman" w:eastAsia="Times New Roman" w:hAnsi="Times New Roman" w:cs="Times New Roman"/>
          <w:sz w:val="24"/>
          <w:szCs w:val="24"/>
          <w:lang w:eastAsia="pt-BR"/>
        </w:rPr>
        <w:t xml:space="preserve">io São Lourenço, concluídas em 1848, que tinham por objetivo tornar essa </w:t>
      </w:r>
      <w:proofErr w:type="gramStart"/>
      <w:r w:rsidR="008C3C08">
        <w:rPr>
          <w:rFonts w:ascii="Times New Roman" w:eastAsia="Times New Roman" w:hAnsi="Times New Roman" w:cs="Times New Roman"/>
          <w:sz w:val="24"/>
          <w:szCs w:val="24"/>
          <w:lang w:eastAsia="pt-BR"/>
        </w:rPr>
        <w:t>a</w:t>
      </w:r>
      <w:proofErr w:type="gramEnd"/>
      <w:r w:rsidR="008C3C08">
        <w:rPr>
          <w:rFonts w:ascii="Times New Roman" w:eastAsia="Times New Roman" w:hAnsi="Times New Roman" w:cs="Times New Roman"/>
          <w:sz w:val="24"/>
          <w:szCs w:val="24"/>
          <w:lang w:eastAsia="pt-BR"/>
        </w:rPr>
        <w:t xml:space="preserve"> rota principal até o Oceano Atlântico.</w:t>
      </w:r>
    </w:p>
    <w:p w:rsidR="00047CB9" w:rsidRDefault="00B171B6"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No entanto, o transporte hidroviário logo demonstraria suas limitações ao ser incapaz de ligar as regiões do leste a diversas áreas do oeste que se tornariam alvo de assentamentos</w:t>
      </w:r>
      <w:r w:rsidR="00E75612">
        <w:rPr>
          <w:rFonts w:ascii="Times New Roman" w:eastAsia="Times New Roman" w:hAnsi="Times New Roman" w:cs="Times New Roman"/>
          <w:sz w:val="24"/>
          <w:szCs w:val="24"/>
          <w:lang w:eastAsia="pt-BR"/>
        </w:rPr>
        <w:t xml:space="preserve">. Além disso, </w:t>
      </w:r>
      <w:r w:rsidR="005508A9">
        <w:rPr>
          <w:rFonts w:ascii="Times New Roman" w:eastAsia="Times New Roman" w:hAnsi="Times New Roman" w:cs="Times New Roman"/>
          <w:sz w:val="24"/>
          <w:szCs w:val="24"/>
          <w:lang w:eastAsia="pt-BR"/>
        </w:rPr>
        <w:t xml:space="preserve">havia as </w:t>
      </w:r>
      <w:r>
        <w:rPr>
          <w:rFonts w:ascii="Times New Roman" w:eastAsia="Times New Roman" w:hAnsi="Times New Roman" w:cs="Times New Roman"/>
          <w:sz w:val="24"/>
          <w:szCs w:val="24"/>
          <w:lang w:eastAsia="pt-BR"/>
        </w:rPr>
        <w:t>severas condições climáticas que impediam o transporte por um longo período do ano com o congelamento das águas entre o final do outono até o início da primavera</w:t>
      </w:r>
      <w:r w:rsidR="005508A9">
        <w:rPr>
          <w:rFonts w:ascii="Times New Roman" w:eastAsia="Times New Roman" w:hAnsi="Times New Roman" w:cs="Times New Roman"/>
          <w:sz w:val="24"/>
          <w:szCs w:val="24"/>
          <w:lang w:eastAsia="pt-BR"/>
        </w:rPr>
        <w:t xml:space="preserve"> no hemisfério norte</w:t>
      </w:r>
      <w:r>
        <w:rPr>
          <w:rFonts w:ascii="Times New Roman" w:eastAsia="Times New Roman" w:hAnsi="Times New Roman" w:cs="Times New Roman"/>
          <w:sz w:val="24"/>
          <w:szCs w:val="24"/>
          <w:lang w:eastAsia="pt-BR"/>
        </w:rPr>
        <w:t>. Assim, os i</w:t>
      </w:r>
      <w:r w:rsidR="00047CB9" w:rsidRPr="00047CB9">
        <w:rPr>
          <w:rFonts w:ascii="Times New Roman" w:eastAsia="Times New Roman" w:hAnsi="Times New Roman" w:cs="Times New Roman"/>
          <w:sz w:val="24"/>
          <w:szCs w:val="24"/>
          <w:lang w:eastAsia="pt-BR"/>
        </w:rPr>
        <w:t>nvestimentos em hidrovias, no período pós Confederação</w:t>
      </w:r>
      <w:r w:rsidR="00D002CE">
        <w:rPr>
          <w:rFonts w:ascii="Times New Roman" w:eastAsia="Times New Roman" w:hAnsi="Times New Roman" w:cs="Times New Roman"/>
          <w:sz w:val="24"/>
          <w:szCs w:val="24"/>
          <w:lang w:eastAsia="pt-BR"/>
        </w:rPr>
        <w:t>,</w:t>
      </w:r>
      <w:r w:rsidR="00C73813">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passariam </w:t>
      </w:r>
      <w:r w:rsidR="00C31273">
        <w:rPr>
          <w:rFonts w:ascii="Times New Roman" w:eastAsia="Times New Roman" w:hAnsi="Times New Roman" w:cs="Times New Roman"/>
          <w:sz w:val="24"/>
          <w:szCs w:val="24"/>
          <w:lang w:eastAsia="pt-BR"/>
        </w:rPr>
        <w:t>a perder espaço para os</w:t>
      </w:r>
      <w:r w:rsidR="00047CB9" w:rsidRPr="00047CB9">
        <w:rPr>
          <w:rFonts w:ascii="Times New Roman" w:eastAsia="Times New Roman" w:hAnsi="Times New Roman" w:cs="Times New Roman"/>
          <w:sz w:val="24"/>
          <w:szCs w:val="24"/>
          <w:lang w:eastAsia="pt-BR"/>
        </w:rPr>
        <w:t xml:space="preserve"> investimentos em ferrovias.</w:t>
      </w:r>
    </w:p>
    <w:p w:rsidR="00B171B6" w:rsidRDefault="00691809" w:rsidP="00F80F5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 acordo com</w:t>
      </w:r>
      <w:r w:rsidR="00B171B6">
        <w:rPr>
          <w:rFonts w:ascii="Times New Roman" w:eastAsia="Times New Roman" w:hAnsi="Times New Roman" w:cs="Times New Roman"/>
          <w:sz w:val="24"/>
          <w:szCs w:val="24"/>
          <w:lang w:eastAsia="pt-BR"/>
        </w:rPr>
        <w:t xml:space="preserve"> </w:t>
      </w:r>
      <w:proofErr w:type="spellStart"/>
      <w:r w:rsidR="00B171B6">
        <w:rPr>
          <w:rFonts w:ascii="Times New Roman" w:eastAsia="Times New Roman" w:hAnsi="Times New Roman" w:cs="Times New Roman"/>
          <w:sz w:val="24"/>
          <w:szCs w:val="24"/>
          <w:lang w:eastAsia="pt-BR"/>
        </w:rPr>
        <w:t>Norrie</w:t>
      </w:r>
      <w:proofErr w:type="spellEnd"/>
      <w:r w:rsidR="00B171B6">
        <w:rPr>
          <w:rFonts w:ascii="Times New Roman" w:eastAsia="Times New Roman" w:hAnsi="Times New Roman" w:cs="Times New Roman"/>
          <w:sz w:val="24"/>
          <w:szCs w:val="24"/>
          <w:lang w:eastAsia="pt-BR"/>
        </w:rPr>
        <w:t xml:space="preserve">, </w:t>
      </w:r>
      <w:proofErr w:type="spellStart"/>
      <w:r w:rsidR="00B171B6">
        <w:rPr>
          <w:rFonts w:ascii="Times New Roman" w:eastAsia="Times New Roman" w:hAnsi="Times New Roman" w:cs="Times New Roman"/>
          <w:sz w:val="24"/>
          <w:szCs w:val="24"/>
          <w:lang w:eastAsia="pt-BR"/>
        </w:rPr>
        <w:t>Owram</w:t>
      </w:r>
      <w:proofErr w:type="spellEnd"/>
      <w:r w:rsidR="00B171B6">
        <w:rPr>
          <w:rFonts w:ascii="Times New Roman" w:eastAsia="Times New Roman" w:hAnsi="Times New Roman" w:cs="Times New Roman"/>
          <w:sz w:val="24"/>
          <w:szCs w:val="24"/>
          <w:lang w:eastAsia="pt-BR"/>
        </w:rPr>
        <w:t xml:space="preserve"> e </w:t>
      </w:r>
      <w:proofErr w:type="spellStart"/>
      <w:r w:rsidR="00B171B6">
        <w:rPr>
          <w:rFonts w:ascii="Times New Roman" w:eastAsia="Times New Roman" w:hAnsi="Times New Roman" w:cs="Times New Roman"/>
          <w:sz w:val="24"/>
          <w:szCs w:val="24"/>
          <w:lang w:eastAsia="pt-BR"/>
        </w:rPr>
        <w:t>Emery</w:t>
      </w:r>
      <w:proofErr w:type="spellEnd"/>
      <w:r w:rsidR="00B171B6">
        <w:rPr>
          <w:rFonts w:ascii="Times New Roman" w:eastAsia="Times New Roman" w:hAnsi="Times New Roman" w:cs="Times New Roman"/>
          <w:sz w:val="24"/>
          <w:szCs w:val="24"/>
          <w:lang w:eastAsia="pt-BR"/>
        </w:rPr>
        <w:t xml:space="preserve"> o transporte por ferrovias:</w:t>
      </w:r>
    </w:p>
    <w:p w:rsidR="00B171B6" w:rsidRPr="00F80F5B" w:rsidRDefault="00B171B6" w:rsidP="00F80F5B">
      <w:pPr>
        <w:spacing w:after="0" w:line="240" w:lineRule="auto"/>
        <w:ind w:left="2268"/>
        <w:jc w:val="both"/>
        <w:rPr>
          <w:rFonts w:ascii="Times New Roman" w:eastAsia="Times New Roman" w:hAnsi="Times New Roman" w:cs="Times New Roman"/>
          <w:lang w:eastAsia="pt-BR"/>
        </w:rPr>
      </w:pPr>
      <w:r w:rsidRPr="00F80F5B">
        <w:rPr>
          <w:rFonts w:ascii="Times New Roman" w:eastAsia="Times New Roman" w:hAnsi="Times New Roman" w:cs="Times New Roman"/>
          <w:lang w:eastAsia="pt-BR"/>
        </w:rPr>
        <w:t>[...] era relativamente imune aos efeitos do inverno e poderia alcançar locais</w:t>
      </w:r>
      <w:r w:rsidR="00903AC0" w:rsidRPr="00F80F5B">
        <w:rPr>
          <w:rFonts w:ascii="Times New Roman" w:eastAsia="Times New Roman" w:hAnsi="Times New Roman" w:cs="Times New Roman"/>
          <w:lang w:eastAsia="pt-BR"/>
        </w:rPr>
        <w:t xml:space="preserve"> além das vias navegáveis </w:t>
      </w:r>
      <w:r w:rsidR="005508A9" w:rsidRPr="00F80F5B">
        <w:rPr>
          <w:rFonts w:ascii="Times New Roman" w:eastAsia="Times New Roman" w:hAnsi="Times New Roman" w:cs="Times New Roman"/>
          <w:lang w:eastAsia="pt-BR"/>
        </w:rPr>
        <w:t>em que</w:t>
      </w:r>
      <w:r w:rsidR="00903AC0" w:rsidRPr="00F80F5B">
        <w:rPr>
          <w:rFonts w:ascii="Times New Roman" w:eastAsia="Times New Roman" w:hAnsi="Times New Roman" w:cs="Times New Roman"/>
          <w:lang w:eastAsia="pt-BR"/>
        </w:rPr>
        <w:t xml:space="preserve"> o tráfego potencial justificasse sua presença. Finalmente, o transporte ferroviário era mais rápido que o transporte hidroviário e, em comparação a qualquer outro transporte via terrestre e traria uma menor probabilidade de causar danos </w:t>
      </w:r>
      <w:r w:rsidR="005424AB" w:rsidRPr="00F80F5B">
        <w:rPr>
          <w:rFonts w:ascii="Times New Roman" w:eastAsia="Times New Roman" w:hAnsi="Times New Roman" w:cs="Times New Roman"/>
          <w:lang w:eastAsia="pt-BR"/>
        </w:rPr>
        <w:t>às</w:t>
      </w:r>
      <w:r w:rsidR="00903AC0" w:rsidRPr="00F80F5B">
        <w:rPr>
          <w:rFonts w:ascii="Times New Roman" w:eastAsia="Times New Roman" w:hAnsi="Times New Roman" w:cs="Times New Roman"/>
          <w:lang w:eastAsia="pt-BR"/>
        </w:rPr>
        <w:t xml:space="preserve"> cargas transportadas. Para o colono</w:t>
      </w:r>
      <w:r w:rsidR="00C6393E" w:rsidRPr="00F80F5B">
        <w:rPr>
          <w:rFonts w:ascii="Times New Roman" w:eastAsia="Times New Roman" w:hAnsi="Times New Roman" w:cs="Times New Roman"/>
          <w:lang w:eastAsia="pt-BR"/>
        </w:rPr>
        <w:t xml:space="preserve"> que desejasse sair do isolamento social e econômico, para o comerciante que desejasse enviar bens de forma mais eficiente, para aqueles que desejavam vender terras, e para os nacionalistas e entusiastas, a tecnologia </w:t>
      </w:r>
      <w:r w:rsidR="00C76977" w:rsidRPr="00F80F5B">
        <w:rPr>
          <w:rFonts w:ascii="Times New Roman" w:eastAsia="Times New Roman" w:hAnsi="Times New Roman" w:cs="Times New Roman"/>
          <w:lang w:eastAsia="pt-BR"/>
        </w:rPr>
        <w:t>do transporte ferroviário a vapor</w:t>
      </w:r>
      <w:r w:rsidR="00C6393E" w:rsidRPr="00F80F5B">
        <w:rPr>
          <w:rFonts w:ascii="Times New Roman" w:eastAsia="Times New Roman" w:hAnsi="Times New Roman" w:cs="Times New Roman"/>
          <w:lang w:eastAsia="pt-BR"/>
        </w:rPr>
        <w:t xml:space="preserve"> parecia </w:t>
      </w:r>
      <w:proofErr w:type="gramStart"/>
      <w:r w:rsidR="005424AB" w:rsidRPr="00F80F5B">
        <w:rPr>
          <w:rFonts w:ascii="Times New Roman" w:eastAsia="Times New Roman" w:hAnsi="Times New Roman" w:cs="Times New Roman"/>
          <w:lang w:eastAsia="pt-BR"/>
        </w:rPr>
        <w:t>a</w:t>
      </w:r>
      <w:proofErr w:type="gramEnd"/>
      <w:r w:rsidR="00C6393E" w:rsidRPr="00F80F5B">
        <w:rPr>
          <w:rFonts w:ascii="Times New Roman" w:eastAsia="Times New Roman" w:hAnsi="Times New Roman" w:cs="Times New Roman"/>
          <w:lang w:eastAsia="pt-BR"/>
        </w:rPr>
        <w:t xml:space="preserve"> solução (NORRIE, OWRAM; EMERY, 2007, p. 158-159</w:t>
      </w:r>
      <w:r w:rsidR="005508A9" w:rsidRPr="00F80F5B">
        <w:rPr>
          <w:rFonts w:ascii="Times New Roman" w:eastAsia="Times New Roman" w:hAnsi="Times New Roman" w:cs="Times New Roman"/>
          <w:lang w:eastAsia="pt-BR"/>
        </w:rPr>
        <w:t>, tradução nossa</w:t>
      </w:r>
      <w:r w:rsidR="00C6393E" w:rsidRPr="00F80F5B">
        <w:rPr>
          <w:rFonts w:ascii="Times New Roman" w:eastAsia="Times New Roman" w:hAnsi="Times New Roman" w:cs="Times New Roman"/>
          <w:lang w:eastAsia="pt-BR"/>
        </w:rPr>
        <w:t>)</w:t>
      </w:r>
      <w:r w:rsidR="00651E0B" w:rsidRPr="00F80F5B">
        <w:rPr>
          <w:rFonts w:ascii="Times New Roman" w:eastAsia="Times New Roman" w:hAnsi="Times New Roman" w:cs="Times New Roman"/>
          <w:lang w:eastAsia="pt-BR"/>
        </w:rPr>
        <w:t>.</w:t>
      </w:r>
    </w:p>
    <w:p w:rsidR="005508A9" w:rsidRPr="005508A9" w:rsidRDefault="005508A9" w:rsidP="0048231B">
      <w:pPr>
        <w:spacing w:after="0" w:line="240" w:lineRule="auto"/>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sz w:val="20"/>
          <w:szCs w:val="20"/>
          <w:lang w:eastAsia="pt-BR"/>
        </w:rPr>
        <w:tab/>
      </w:r>
      <w:r w:rsidRPr="00226D7D">
        <w:rPr>
          <w:rFonts w:ascii="Times New Roman" w:eastAsia="Times New Roman" w:hAnsi="Times New Roman" w:cs="Times New Roman"/>
          <w:sz w:val="24"/>
          <w:szCs w:val="24"/>
          <w:lang w:eastAsia="pt-BR"/>
        </w:rPr>
        <w:t>Dessa forma, a política ferroviária gerou a expansão dos meios de transporte e o aproveitamento para a produção agrícola de terras antes inatingíveis</w:t>
      </w:r>
      <w:r w:rsidR="00226D7D" w:rsidRPr="00226D7D">
        <w:rPr>
          <w:rFonts w:ascii="Times New Roman" w:eastAsia="Times New Roman" w:hAnsi="Times New Roman" w:cs="Times New Roman"/>
          <w:sz w:val="24"/>
          <w:szCs w:val="24"/>
          <w:lang w:eastAsia="pt-BR"/>
        </w:rPr>
        <w:t>. As tarifas de transporte também caíram e possibilitaram</w:t>
      </w:r>
      <w:r w:rsidR="00D30C79" w:rsidRPr="00226D7D">
        <w:rPr>
          <w:rFonts w:ascii="Times New Roman" w:eastAsia="Times New Roman" w:hAnsi="Times New Roman" w:cs="Times New Roman"/>
          <w:sz w:val="24"/>
          <w:szCs w:val="24"/>
          <w:lang w:eastAsia="pt-BR"/>
        </w:rPr>
        <w:t xml:space="preserve"> </w:t>
      </w:r>
      <w:r w:rsidRPr="00226D7D">
        <w:rPr>
          <w:rFonts w:ascii="Times New Roman" w:eastAsia="Times New Roman" w:hAnsi="Times New Roman" w:cs="Times New Roman"/>
          <w:sz w:val="24"/>
          <w:szCs w:val="24"/>
          <w:lang w:eastAsia="pt-BR"/>
        </w:rPr>
        <w:t>a ligação do Canadá Central com o Oeste e as Províncias Marítimas.</w:t>
      </w:r>
    </w:p>
    <w:p w:rsidR="00047CB9" w:rsidRPr="00FA279F" w:rsidRDefault="00C76977" w:rsidP="0048231B">
      <w:pPr>
        <w:spacing w:after="0" w:line="240" w:lineRule="auto"/>
        <w:ind w:firstLine="708"/>
        <w:jc w:val="both"/>
        <w:rPr>
          <w:rFonts w:ascii="Times New Roman" w:eastAsia="Times New Roman" w:hAnsi="Times New Roman" w:cs="Times New Roman"/>
          <w:color w:val="00B0F0"/>
          <w:sz w:val="24"/>
          <w:szCs w:val="24"/>
          <w:lang w:eastAsia="pt-BR"/>
        </w:rPr>
      </w:pPr>
      <w:r>
        <w:rPr>
          <w:rFonts w:ascii="Times New Roman" w:eastAsia="Times New Roman" w:hAnsi="Times New Roman" w:cs="Times New Roman"/>
          <w:sz w:val="24"/>
          <w:szCs w:val="24"/>
          <w:lang w:eastAsia="pt-BR"/>
        </w:rPr>
        <w:t xml:space="preserve">Ao mesmo tempo em que as ferrovias resolviam aparentemente </w:t>
      </w:r>
      <w:r w:rsidR="005424AB">
        <w:rPr>
          <w:rFonts w:ascii="Times New Roman" w:eastAsia="Times New Roman" w:hAnsi="Times New Roman" w:cs="Times New Roman"/>
          <w:sz w:val="24"/>
          <w:szCs w:val="24"/>
          <w:lang w:eastAsia="pt-BR"/>
        </w:rPr>
        <w:t>todas essas</w:t>
      </w:r>
      <w:r w:rsidR="00C73813">
        <w:rPr>
          <w:rFonts w:ascii="Times New Roman" w:eastAsia="Times New Roman" w:hAnsi="Times New Roman" w:cs="Times New Roman"/>
          <w:sz w:val="24"/>
          <w:szCs w:val="24"/>
          <w:lang w:eastAsia="pt-BR"/>
        </w:rPr>
        <w:t xml:space="preserve"> </w:t>
      </w:r>
      <w:r w:rsidR="008D1857">
        <w:rPr>
          <w:rFonts w:ascii="Times New Roman" w:eastAsia="Times New Roman" w:hAnsi="Times New Roman" w:cs="Times New Roman"/>
          <w:sz w:val="24"/>
          <w:szCs w:val="24"/>
          <w:lang w:eastAsia="pt-BR"/>
        </w:rPr>
        <w:t>questões</w:t>
      </w:r>
      <w:r>
        <w:rPr>
          <w:rFonts w:ascii="Times New Roman" w:eastAsia="Times New Roman" w:hAnsi="Times New Roman" w:cs="Times New Roman"/>
          <w:sz w:val="24"/>
          <w:szCs w:val="24"/>
          <w:lang w:eastAsia="pt-BR"/>
        </w:rPr>
        <w:t xml:space="preserve"> e </w:t>
      </w:r>
      <w:proofErr w:type="gramStart"/>
      <w:r>
        <w:rPr>
          <w:rFonts w:ascii="Times New Roman" w:eastAsia="Times New Roman" w:hAnsi="Times New Roman" w:cs="Times New Roman"/>
          <w:sz w:val="24"/>
          <w:szCs w:val="24"/>
          <w:lang w:eastAsia="pt-BR"/>
        </w:rPr>
        <w:t>pareciam</w:t>
      </w:r>
      <w:proofErr w:type="gramEnd"/>
      <w:r>
        <w:rPr>
          <w:rFonts w:ascii="Times New Roman" w:eastAsia="Times New Roman" w:hAnsi="Times New Roman" w:cs="Times New Roman"/>
          <w:sz w:val="24"/>
          <w:szCs w:val="24"/>
          <w:lang w:eastAsia="pt-BR"/>
        </w:rPr>
        <w:t xml:space="preserve"> cruciais para a integraçã</w:t>
      </w:r>
      <w:r w:rsidR="007E74DE">
        <w:rPr>
          <w:rFonts w:ascii="Times New Roman" w:eastAsia="Times New Roman" w:hAnsi="Times New Roman" w:cs="Times New Roman"/>
          <w:sz w:val="24"/>
          <w:szCs w:val="24"/>
          <w:lang w:eastAsia="pt-BR"/>
        </w:rPr>
        <w:t xml:space="preserve">o das </w:t>
      </w:r>
      <w:r w:rsidR="00C73813">
        <w:rPr>
          <w:rFonts w:ascii="Times New Roman" w:eastAsia="Times New Roman" w:hAnsi="Times New Roman" w:cs="Times New Roman"/>
          <w:sz w:val="24"/>
          <w:szCs w:val="24"/>
          <w:lang w:eastAsia="pt-BR"/>
        </w:rPr>
        <w:t>Províncias</w:t>
      </w:r>
      <w:r w:rsidR="007E74DE">
        <w:rPr>
          <w:rFonts w:ascii="Times New Roman" w:eastAsia="Times New Roman" w:hAnsi="Times New Roman" w:cs="Times New Roman"/>
          <w:sz w:val="24"/>
          <w:szCs w:val="24"/>
          <w:lang w:eastAsia="pt-BR"/>
        </w:rPr>
        <w:t xml:space="preserve">, a adoção desse tipo de transporte também criava problemas, ou seja, os custos para sua construção eram excessivamente elevados quando comparados </w:t>
      </w:r>
      <w:r w:rsidR="00D002CE">
        <w:rPr>
          <w:rFonts w:ascii="Times New Roman" w:eastAsia="Times New Roman" w:hAnsi="Times New Roman" w:cs="Times New Roman"/>
          <w:sz w:val="24"/>
          <w:szCs w:val="24"/>
          <w:lang w:eastAsia="pt-BR"/>
        </w:rPr>
        <w:t>à</w:t>
      </w:r>
      <w:r w:rsidR="007E74DE">
        <w:rPr>
          <w:rFonts w:ascii="Times New Roman" w:eastAsia="Times New Roman" w:hAnsi="Times New Roman" w:cs="Times New Roman"/>
          <w:sz w:val="24"/>
          <w:szCs w:val="24"/>
          <w:lang w:eastAsia="pt-BR"/>
        </w:rPr>
        <w:t>s outras alternativas de transporte. A</w:t>
      </w:r>
      <w:r w:rsidR="00047CB9" w:rsidRPr="00047CB9">
        <w:rPr>
          <w:rFonts w:ascii="Times New Roman" w:eastAsia="Times New Roman" w:hAnsi="Times New Roman" w:cs="Times New Roman"/>
          <w:sz w:val="24"/>
          <w:szCs w:val="24"/>
          <w:lang w:eastAsia="pt-BR"/>
        </w:rPr>
        <w:t xml:space="preserve">s empresas privadas </w:t>
      </w:r>
      <w:r w:rsidR="005508A9">
        <w:rPr>
          <w:rFonts w:ascii="Times New Roman" w:eastAsia="Times New Roman" w:hAnsi="Times New Roman" w:cs="Times New Roman"/>
          <w:sz w:val="24"/>
          <w:szCs w:val="24"/>
          <w:lang w:eastAsia="pt-BR"/>
        </w:rPr>
        <w:t>se mostraram</w:t>
      </w:r>
      <w:r w:rsidR="00047CB9" w:rsidRPr="00047CB9">
        <w:rPr>
          <w:rFonts w:ascii="Times New Roman" w:eastAsia="Times New Roman" w:hAnsi="Times New Roman" w:cs="Times New Roman"/>
          <w:sz w:val="24"/>
          <w:szCs w:val="24"/>
          <w:lang w:eastAsia="pt-BR"/>
        </w:rPr>
        <w:t xml:space="preserve"> incapazes de financiar os altos custos de implantação e os longos períodos de retorno do investimento. Como integrar o novo país era estrategicamente necessário, o governo passou a desempenhar forte papel nesse sentido</w:t>
      </w:r>
      <w:r w:rsidR="00395EFE">
        <w:rPr>
          <w:rFonts w:ascii="Times New Roman" w:eastAsia="Times New Roman" w:hAnsi="Times New Roman" w:cs="Times New Roman"/>
          <w:sz w:val="24"/>
          <w:szCs w:val="24"/>
          <w:lang w:eastAsia="pt-BR"/>
        </w:rPr>
        <w:t>.</w:t>
      </w:r>
      <w:r w:rsidR="00047CB9" w:rsidRPr="00047CB9">
        <w:rPr>
          <w:rFonts w:ascii="Times New Roman" w:eastAsia="Times New Roman" w:hAnsi="Times New Roman" w:cs="Times New Roman"/>
          <w:sz w:val="24"/>
          <w:szCs w:val="24"/>
          <w:lang w:eastAsia="pt-BR"/>
        </w:rPr>
        <w:t xml:space="preserve"> Assim, devido </w:t>
      </w:r>
      <w:r w:rsidR="00D002CE">
        <w:rPr>
          <w:rFonts w:ascii="Times New Roman" w:eastAsia="Times New Roman" w:hAnsi="Times New Roman" w:cs="Times New Roman"/>
          <w:sz w:val="24"/>
          <w:szCs w:val="24"/>
          <w:lang w:eastAsia="pt-BR"/>
        </w:rPr>
        <w:t>à</w:t>
      </w:r>
      <w:r w:rsidR="00047CB9" w:rsidRPr="00047CB9">
        <w:rPr>
          <w:rFonts w:ascii="Times New Roman" w:eastAsia="Times New Roman" w:hAnsi="Times New Roman" w:cs="Times New Roman"/>
          <w:sz w:val="24"/>
          <w:szCs w:val="24"/>
          <w:lang w:eastAsia="pt-BR"/>
        </w:rPr>
        <w:t xml:space="preserve">s grandes distâncias, os altos custos das obras e a pequena economia doméstica, não haveria </w:t>
      </w:r>
      <w:proofErr w:type="gramStart"/>
      <w:r w:rsidR="00047CB9" w:rsidRPr="00047CB9">
        <w:rPr>
          <w:rFonts w:ascii="Times New Roman" w:eastAsia="Times New Roman" w:hAnsi="Times New Roman" w:cs="Times New Roman"/>
          <w:sz w:val="24"/>
          <w:szCs w:val="24"/>
          <w:lang w:eastAsia="pt-BR"/>
        </w:rPr>
        <w:t xml:space="preserve">outra </w:t>
      </w:r>
      <w:r w:rsidR="00047CB9" w:rsidRPr="00047CB9">
        <w:rPr>
          <w:rFonts w:ascii="Times New Roman" w:eastAsia="Times New Roman" w:hAnsi="Times New Roman" w:cs="Times New Roman"/>
          <w:sz w:val="24"/>
          <w:szCs w:val="24"/>
          <w:lang w:eastAsia="pt-BR"/>
        </w:rPr>
        <w:lastRenderedPageBreak/>
        <w:t>alternativa</w:t>
      </w:r>
      <w:proofErr w:type="gramEnd"/>
      <w:r w:rsidR="00047CB9" w:rsidRPr="00047CB9">
        <w:rPr>
          <w:rFonts w:ascii="Times New Roman" w:eastAsia="Times New Roman" w:hAnsi="Times New Roman" w:cs="Times New Roman"/>
          <w:sz w:val="24"/>
          <w:szCs w:val="24"/>
          <w:lang w:eastAsia="pt-BR"/>
        </w:rPr>
        <w:t xml:space="preserve"> se não o oferecimento de garantias a investidores estrangeiros</w:t>
      </w:r>
      <w:r w:rsidR="003206DB">
        <w:rPr>
          <w:rFonts w:ascii="Times New Roman" w:eastAsia="Times New Roman" w:hAnsi="Times New Roman" w:cs="Times New Roman"/>
          <w:sz w:val="24"/>
          <w:szCs w:val="24"/>
          <w:lang w:eastAsia="pt-BR"/>
        </w:rPr>
        <w:t xml:space="preserve"> ou o financiamento público direto</w:t>
      </w:r>
      <w:r w:rsidR="00FA279F">
        <w:rPr>
          <w:rFonts w:ascii="Times New Roman" w:eastAsia="Times New Roman" w:hAnsi="Times New Roman" w:cs="Times New Roman"/>
          <w:sz w:val="24"/>
          <w:szCs w:val="24"/>
          <w:lang w:eastAsia="pt-BR"/>
        </w:rPr>
        <w:t xml:space="preserve"> </w:t>
      </w:r>
      <w:r w:rsidR="00FA279F" w:rsidRPr="003206DB">
        <w:rPr>
          <w:rFonts w:ascii="Times New Roman" w:eastAsia="Times New Roman" w:hAnsi="Times New Roman" w:cs="Times New Roman"/>
          <w:sz w:val="24"/>
          <w:szCs w:val="24"/>
          <w:lang w:eastAsia="pt-BR"/>
        </w:rPr>
        <w:t>(POMFRET, 1981, p.95).</w:t>
      </w:r>
    </w:p>
    <w:p w:rsidR="00047CB9" w:rsidRDefault="00102356"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Em </w:t>
      </w:r>
      <w:r w:rsidR="00047CB9" w:rsidRPr="00047CB9">
        <w:rPr>
          <w:rFonts w:ascii="Times New Roman" w:eastAsia="Times New Roman" w:hAnsi="Times New Roman" w:cs="Times New Roman"/>
          <w:sz w:val="24"/>
          <w:szCs w:val="24"/>
          <w:lang w:eastAsia="pt-BR"/>
        </w:rPr>
        <w:t xml:space="preserve">1850 </w:t>
      </w:r>
      <w:r>
        <w:rPr>
          <w:rFonts w:ascii="Times New Roman" w:eastAsia="Times New Roman" w:hAnsi="Times New Roman" w:cs="Times New Roman"/>
          <w:sz w:val="24"/>
          <w:szCs w:val="24"/>
          <w:lang w:eastAsia="pt-BR"/>
        </w:rPr>
        <w:t xml:space="preserve">os Estados Unidos </w:t>
      </w:r>
      <w:r w:rsidR="00047CB9" w:rsidRPr="00047CB9">
        <w:rPr>
          <w:rFonts w:ascii="Times New Roman" w:eastAsia="Times New Roman" w:hAnsi="Times New Roman" w:cs="Times New Roman"/>
          <w:sz w:val="24"/>
          <w:szCs w:val="24"/>
          <w:lang w:eastAsia="pt-BR"/>
        </w:rPr>
        <w:t xml:space="preserve">já possuíam </w:t>
      </w:r>
      <w:smartTag w:uri="urn:schemas-microsoft-com:office:smarttags" w:element="metricconverter">
        <w:smartTagPr>
          <w:attr w:name="ProductID" w:val="9.000 milhas"/>
        </w:smartTagPr>
        <w:r w:rsidR="00047CB9" w:rsidRPr="00047CB9">
          <w:rPr>
            <w:rFonts w:ascii="Times New Roman" w:eastAsia="Times New Roman" w:hAnsi="Times New Roman" w:cs="Times New Roman"/>
            <w:sz w:val="24"/>
            <w:szCs w:val="24"/>
            <w:lang w:eastAsia="pt-BR"/>
          </w:rPr>
          <w:t>9.000 milhas</w:t>
        </w:r>
        <w:r>
          <w:rPr>
            <w:rFonts w:ascii="Times New Roman" w:eastAsia="Times New Roman" w:hAnsi="Times New Roman" w:cs="Times New Roman"/>
            <w:sz w:val="24"/>
            <w:szCs w:val="24"/>
            <w:lang w:eastAsia="pt-BR"/>
          </w:rPr>
          <w:t xml:space="preserve"> de ferrovias</w:t>
        </w:r>
      </w:smartTag>
      <w:r w:rsidR="00047CB9" w:rsidRPr="00047CB9">
        <w:rPr>
          <w:rFonts w:ascii="Times New Roman" w:eastAsia="Times New Roman" w:hAnsi="Times New Roman" w:cs="Times New Roman"/>
          <w:sz w:val="24"/>
          <w:szCs w:val="24"/>
          <w:lang w:eastAsia="pt-BR"/>
        </w:rPr>
        <w:t xml:space="preserve">, enquanto as Colônias Britânicas dispunham de apenas </w:t>
      </w:r>
      <w:smartTag w:uri="urn:schemas-microsoft-com:office:smarttags" w:element="metricconverter">
        <w:smartTagPr>
          <w:attr w:name="ProductID" w:val="66 milhas"/>
        </w:smartTagPr>
        <w:r w:rsidR="00047CB9" w:rsidRPr="00047CB9">
          <w:rPr>
            <w:rFonts w:ascii="Times New Roman" w:eastAsia="Times New Roman" w:hAnsi="Times New Roman" w:cs="Times New Roman"/>
            <w:sz w:val="24"/>
            <w:szCs w:val="24"/>
            <w:lang w:eastAsia="pt-BR"/>
          </w:rPr>
          <w:t>66 milhas</w:t>
        </w:r>
      </w:smartTag>
      <w:r w:rsidR="00047CB9" w:rsidRPr="00047CB9">
        <w:rPr>
          <w:rFonts w:ascii="Times New Roman" w:eastAsia="Times New Roman" w:hAnsi="Times New Roman" w:cs="Times New Roman"/>
          <w:sz w:val="24"/>
          <w:szCs w:val="24"/>
          <w:lang w:eastAsia="pt-BR"/>
        </w:rPr>
        <w:t xml:space="preserve">.  Como a maioria da população se encontrava entre </w:t>
      </w:r>
      <w:proofErr w:type="gramStart"/>
      <w:r w:rsidR="00047CB9" w:rsidRPr="00047CB9">
        <w:rPr>
          <w:rFonts w:ascii="Times New Roman" w:eastAsia="Times New Roman" w:hAnsi="Times New Roman" w:cs="Times New Roman"/>
          <w:sz w:val="24"/>
          <w:szCs w:val="24"/>
          <w:lang w:eastAsia="pt-BR"/>
        </w:rPr>
        <w:t>os Grandes Lagos</w:t>
      </w:r>
      <w:proofErr w:type="gramEnd"/>
      <w:r w:rsidR="00047CB9" w:rsidRPr="00047CB9">
        <w:rPr>
          <w:rFonts w:ascii="Times New Roman" w:eastAsia="Times New Roman" w:hAnsi="Times New Roman" w:cs="Times New Roman"/>
          <w:sz w:val="24"/>
          <w:szCs w:val="24"/>
          <w:lang w:eastAsia="pt-BR"/>
        </w:rPr>
        <w:t xml:space="preserve"> e o </w:t>
      </w:r>
      <w:r w:rsidR="008A505C">
        <w:rPr>
          <w:rFonts w:ascii="Times New Roman" w:eastAsia="Times New Roman" w:hAnsi="Times New Roman" w:cs="Times New Roman"/>
          <w:sz w:val="24"/>
          <w:szCs w:val="24"/>
          <w:lang w:eastAsia="pt-BR"/>
        </w:rPr>
        <w:t xml:space="preserve">Rio </w:t>
      </w:r>
      <w:r w:rsidR="005424AB">
        <w:rPr>
          <w:rFonts w:ascii="Times New Roman" w:eastAsia="Times New Roman" w:hAnsi="Times New Roman" w:cs="Times New Roman"/>
          <w:sz w:val="24"/>
          <w:szCs w:val="24"/>
          <w:lang w:eastAsia="pt-BR"/>
        </w:rPr>
        <w:t>São Lourenço,</w:t>
      </w:r>
      <w:r w:rsidR="00047CB9" w:rsidRPr="00047CB9">
        <w:rPr>
          <w:rFonts w:ascii="Times New Roman" w:eastAsia="Times New Roman" w:hAnsi="Times New Roman" w:cs="Times New Roman"/>
          <w:sz w:val="24"/>
          <w:szCs w:val="24"/>
          <w:lang w:eastAsia="pt-BR"/>
        </w:rPr>
        <w:t xml:space="preserve"> a importância de um transporte alternativo ao hidroviário era bastante questionáve</w:t>
      </w:r>
      <w:r w:rsidR="00812B67">
        <w:rPr>
          <w:rFonts w:ascii="Times New Roman" w:eastAsia="Times New Roman" w:hAnsi="Times New Roman" w:cs="Times New Roman"/>
          <w:sz w:val="24"/>
          <w:szCs w:val="24"/>
          <w:lang w:eastAsia="pt-BR"/>
        </w:rPr>
        <w:t>l</w:t>
      </w:r>
      <w:r>
        <w:rPr>
          <w:rFonts w:ascii="Times New Roman" w:eastAsia="Times New Roman" w:hAnsi="Times New Roman" w:cs="Times New Roman"/>
          <w:sz w:val="24"/>
          <w:szCs w:val="24"/>
          <w:lang w:eastAsia="pt-BR"/>
        </w:rPr>
        <w:t xml:space="preserve"> e justificava</w:t>
      </w:r>
      <w:r w:rsidR="003C2E3F">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de certa forma o ritmo lento na construção de ferrovias</w:t>
      </w:r>
      <w:r w:rsidR="006C0948">
        <w:rPr>
          <w:rFonts w:ascii="Times New Roman" w:eastAsia="Times New Roman" w:hAnsi="Times New Roman" w:cs="Times New Roman"/>
          <w:sz w:val="24"/>
          <w:szCs w:val="24"/>
          <w:lang w:eastAsia="pt-BR"/>
        </w:rPr>
        <w:t xml:space="preserve">( </w:t>
      </w:r>
      <w:r w:rsidR="006404DD">
        <w:rPr>
          <w:rFonts w:ascii="Times New Roman" w:eastAsia="Times New Roman" w:hAnsi="Times New Roman" w:cs="Times New Roman"/>
          <w:sz w:val="24"/>
          <w:szCs w:val="24"/>
          <w:lang w:eastAsia="pt-BR"/>
        </w:rPr>
        <w:t>POMFRET</w:t>
      </w:r>
      <w:r w:rsidR="006C0948">
        <w:rPr>
          <w:rFonts w:ascii="Times New Roman" w:eastAsia="Times New Roman" w:hAnsi="Times New Roman" w:cs="Times New Roman"/>
          <w:sz w:val="24"/>
          <w:szCs w:val="24"/>
          <w:lang w:eastAsia="pt-BR"/>
        </w:rPr>
        <w:t>, 1981,p.99)</w:t>
      </w:r>
      <w:r w:rsidR="00812B67">
        <w:rPr>
          <w:rFonts w:ascii="Times New Roman" w:eastAsia="Times New Roman" w:hAnsi="Times New Roman" w:cs="Times New Roman"/>
          <w:sz w:val="24"/>
          <w:szCs w:val="24"/>
          <w:lang w:eastAsia="pt-BR"/>
        </w:rPr>
        <w:t>. N</w:t>
      </w:r>
      <w:r w:rsidR="00047CB9" w:rsidRPr="00047CB9">
        <w:rPr>
          <w:rFonts w:ascii="Times New Roman" w:eastAsia="Times New Roman" w:hAnsi="Times New Roman" w:cs="Times New Roman"/>
          <w:sz w:val="24"/>
          <w:szCs w:val="24"/>
          <w:lang w:eastAsia="pt-BR"/>
        </w:rPr>
        <w:t>o entanto, com a criação do Domínio do Canadá</w:t>
      </w:r>
      <w:r w:rsidR="00812B67">
        <w:rPr>
          <w:rFonts w:ascii="Times New Roman" w:eastAsia="Times New Roman" w:hAnsi="Times New Roman" w:cs="Times New Roman"/>
          <w:sz w:val="24"/>
          <w:szCs w:val="24"/>
          <w:lang w:eastAsia="pt-BR"/>
        </w:rPr>
        <w:t>,</w:t>
      </w:r>
      <w:r w:rsidR="00047CB9" w:rsidRPr="00047CB9">
        <w:rPr>
          <w:rFonts w:ascii="Times New Roman" w:eastAsia="Times New Roman" w:hAnsi="Times New Roman" w:cs="Times New Roman"/>
          <w:sz w:val="24"/>
          <w:szCs w:val="24"/>
          <w:lang w:eastAsia="pt-BR"/>
        </w:rPr>
        <w:t xml:space="preserve"> </w:t>
      </w:r>
      <w:r w:rsidR="003C2E3F">
        <w:rPr>
          <w:rFonts w:ascii="Times New Roman" w:eastAsia="Times New Roman" w:hAnsi="Times New Roman" w:cs="Times New Roman"/>
          <w:sz w:val="24"/>
          <w:szCs w:val="24"/>
          <w:lang w:eastAsia="pt-BR"/>
        </w:rPr>
        <w:t xml:space="preserve">estas </w:t>
      </w:r>
      <w:r w:rsidR="00047CB9" w:rsidRPr="00047CB9">
        <w:rPr>
          <w:rFonts w:ascii="Times New Roman" w:eastAsia="Times New Roman" w:hAnsi="Times New Roman" w:cs="Times New Roman"/>
          <w:sz w:val="24"/>
          <w:szCs w:val="24"/>
          <w:lang w:eastAsia="pt-BR"/>
        </w:rPr>
        <w:t xml:space="preserve">passaram a ser </w:t>
      </w:r>
      <w:r w:rsidR="003C2E3F">
        <w:rPr>
          <w:rFonts w:ascii="Times New Roman" w:eastAsia="Times New Roman" w:hAnsi="Times New Roman" w:cs="Times New Roman"/>
          <w:sz w:val="24"/>
          <w:szCs w:val="24"/>
          <w:lang w:eastAsia="pt-BR"/>
        </w:rPr>
        <w:t>consideradas essenciais para a</w:t>
      </w:r>
      <w:r w:rsidR="00047CB9" w:rsidRPr="00047CB9">
        <w:rPr>
          <w:rFonts w:ascii="Times New Roman" w:eastAsia="Times New Roman" w:hAnsi="Times New Roman" w:cs="Times New Roman"/>
          <w:sz w:val="24"/>
          <w:szCs w:val="24"/>
          <w:lang w:eastAsia="pt-BR"/>
        </w:rPr>
        <w:t xml:space="preserve"> integração do país.</w:t>
      </w:r>
      <w:r w:rsidR="00D30C79">
        <w:rPr>
          <w:rFonts w:ascii="Times New Roman" w:eastAsia="Times New Roman" w:hAnsi="Times New Roman" w:cs="Times New Roman"/>
          <w:sz w:val="24"/>
          <w:szCs w:val="24"/>
          <w:lang w:eastAsia="pt-BR"/>
        </w:rPr>
        <w:t xml:space="preserve"> </w:t>
      </w:r>
    </w:p>
    <w:p w:rsidR="00FA279F" w:rsidRDefault="003C2E3F" w:rsidP="0048231B">
      <w:pPr>
        <w:spacing w:after="0" w:line="24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w:t>
      </w:r>
      <w:r w:rsidR="00BD44C5">
        <w:rPr>
          <w:rFonts w:ascii="Times New Roman" w:eastAsia="Times New Roman" w:hAnsi="Times New Roman" w:cs="Times New Roman"/>
          <w:sz w:val="24"/>
          <w:szCs w:val="24"/>
          <w:lang w:eastAsia="pt-BR"/>
        </w:rPr>
        <w:t xml:space="preserve"> década de 1860 marc</w:t>
      </w:r>
      <w:r w:rsidR="00D30C79">
        <w:rPr>
          <w:rFonts w:ascii="Times New Roman" w:eastAsia="Times New Roman" w:hAnsi="Times New Roman" w:cs="Times New Roman"/>
          <w:sz w:val="24"/>
          <w:szCs w:val="24"/>
          <w:lang w:eastAsia="pt-BR"/>
        </w:rPr>
        <w:t>ou</w:t>
      </w:r>
      <w:r w:rsidR="00BD44C5">
        <w:rPr>
          <w:rFonts w:ascii="Times New Roman" w:eastAsia="Times New Roman" w:hAnsi="Times New Roman" w:cs="Times New Roman"/>
          <w:sz w:val="24"/>
          <w:szCs w:val="24"/>
          <w:lang w:eastAsia="pt-BR"/>
        </w:rPr>
        <w:t xml:space="preserve"> uma virada na história das ferrovias no Canadá e duas obras ganharam enorme destaque nesse sentido: a</w:t>
      </w:r>
      <w:r w:rsidR="00C73813">
        <w:rPr>
          <w:rFonts w:ascii="Times New Roman" w:eastAsia="Times New Roman" w:hAnsi="Times New Roman" w:cs="Times New Roman"/>
          <w:sz w:val="24"/>
          <w:szCs w:val="24"/>
          <w:lang w:eastAsia="pt-BR"/>
        </w:rPr>
        <w:t xml:space="preserve"> </w:t>
      </w:r>
      <w:r w:rsidR="00BD44C5">
        <w:rPr>
          <w:rFonts w:ascii="Times New Roman" w:eastAsia="Times New Roman" w:hAnsi="Times New Roman" w:cs="Times New Roman"/>
          <w:sz w:val="24"/>
          <w:szCs w:val="24"/>
          <w:lang w:eastAsia="pt-BR"/>
        </w:rPr>
        <w:t xml:space="preserve">construção da Ferrovia </w:t>
      </w:r>
      <w:r w:rsidR="00BD44C5" w:rsidRPr="008A505C">
        <w:rPr>
          <w:rFonts w:ascii="Times New Roman" w:eastAsia="Times New Roman" w:hAnsi="Times New Roman" w:cs="Times New Roman"/>
          <w:i/>
          <w:sz w:val="24"/>
          <w:szCs w:val="24"/>
          <w:lang w:eastAsia="pt-BR"/>
        </w:rPr>
        <w:t>Intercolonial</w:t>
      </w:r>
      <w:r w:rsidR="00BD44C5">
        <w:rPr>
          <w:rFonts w:ascii="Times New Roman" w:eastAsia="Times New Roman" w:hAnsi="Times New Roman" w:cs="Times New Roman"/>
          <w:sz w:val="24"/>
          <w:szCs w:val="24"/>
          <w:lang w:eastAsia="pt-BR"/>
        </w:rPr>
        <w:t xml:space="preserve"> que ligaria as </w:t>
      </w:r>
      <w:r w:rsidR="008615C0">
        <w:rPr>
          <w:rFonts w:ascii="Times New Roman" w:eastAsia="Times New Roman" w:hAnsi="Times New Roman" w:cs="Times New Roman"/>
          <w:sz w:val="24"/>
          <w:szCs w:val="24"/>
          <w:lang w:eastAsia="pt-BR"/>
        </w:rPr>
        <w:t>Províncias</w:t>
      </w:r>
      <w:r w:rsidR="00BD44C5">
        <w:rPr>
          <w:rFonts w:ascii="Times New Roman" w:eastAsia="Times New Roman" w:hAnsi="Times New Roman" w:cs="Times New Roman"/>
          <w:sz w:val="24"/>
          <w:szCs w:val="24"/>
          <w:lang w:eastAsia="pt-BR"/>
        </w:rPr>
        <w:t xml:space="preserve"> </w:t>
      </w:r>
      <w:r w:rsidR="00E36F1F">
        <w:rPr>
          <w:rFonts w:ascii="Times New Roman" w:eastAsia="Times New Roman" w:hAnsi="Times New Roman" w:cs="Times New Roman"/>
          <w:sz w:val="24"/>
          <w:szCs w:val="24"/>
          <w:lang w:eastAsia="pt-BR"/>
        </w:rPr>
        <w:t xml:space="preserve">Marítimas </w:t>
      </w:r>
      <w:r w:rsidR="009B0ECB">
        <w:rPr>
          <w:rFonts w:ascii="Times New Roman" w:eastAsia="Times New Roman" w:hAnsi="Times New Roman" w:cs="Times New Roman"/>
          <w:sz w:val="24"/>
          <w:szCs w:val="24"/>
          <w:lang w:eastAsia="pt-BR"/>
        </w:rPr>
        <w:t>(</w:t>
      </w:r>
      <w:r w:rsidR="00BD44C5">
        <w:rPr>
          <w:rFonts w:ascii="Times New Roman" w:eastAsia="Times New Roman" w:hAnsi="Times New Roman" w:cs="Times New Roman"/>
          <w:sz w:val="24"/>
          <w:szCs w:val="24"/>
          <w:lang w:eastAsia="pt-BR"/>
        </w:rPr>
        <w:t>N</w:t>
      </w:r>
      <w:r w:rsidR="008615C0">
        <w:rPr>
          <w:rFonts w:ascii="Times New Roman" w:eastAsia="Times New Roman" w:hAnsi="Times New Roman" w:cs="Times New Roman"/>
          <w:sz w:val="24"/>
          <w:szCs w:val="24"/>
          <w:lang w:eastAsia="pt-BR"/>
        </w:rPr>
        <w:t>ova</w:t>
      </w:r>
      <w:r w:rsidR="00BD44C5">
        <w:rPr>
          <w:rFonts w:ascii="Times New Roman" w:eastAsia="Times New Roman" w:hAnsi="Times New Roman" w:cs="Times New Roman"/>
          <w:sz w:val="24"/>
          <w:szCs w:val="24"/>
          <w:lang w:eastAsia="pt-BR"/>
        </w:rPr>
        <w:t xml:space="preserve"> Brunswick, Nova </w:t>
      </w:r>
      <w:r w:rsidR="008615C0">
        <w:rPr>
          <w:rFonts w:ascii="Times New Roman" w:eastAsia="Times New Roman" w:hAnsi="Times New Roman" w:cs="Times New Roman"/>
          <w:sz w:val="24"/>
          <w:szCs w:val="24"/>
          <w:lang w:eastAsia="pt-BR"/>
        </w:rPr>
        <w:t>Escócia</w:t>
      </w:r>
      <w:r w:rsidR="00BD44C5">
        <w:rPr>
          <w:rFonts w:ascii="Times New Roman" w:eastAsia="Times New Roman" w:hAnsi="Times New Roman" w:cs="Times New Roman"/>
          <w:sz w:val="24"/>
          <w:szCs w:val="24"/>
          <w:lang w:eastAsia="pt-BR"/>
        </w:rPr>
        <w:t xml:space="preserve"> e</w:t>
      </w:r>
      <w:r w:rsidR="008615C0">
        <w:rPr>
          <w:rFonts w:ascii="Times New Roman" w:eastAsia="Times New Roman" w:hAnsi="Times New Roman" w:cs="Times New Roman"/>
          <w:sz w:val="24"/>
          <w:szCs w:val="24"/>
          <w:lang w:eastAsia="pt-BR"/>
        </w:rPr>
        <w:t xml:space="preserve"> a Ilha do </w:t>
      </w:r>
      <w:r w:rsidR="009229A2">
        <w:rPr>
          <w:rFonts w:ascii="Times New Roman" w:eastAsia="Times New Roman" w:hAnsi="Times New Roman" w:cs="Times New Roman"/>
          <w:sz w:val="24"/>
          <w:szCs w:val="24"/>
          <w:lang w:eastAsia="pt-BR"/>
        </w:rPr>
        <w:t>Príncipe</w:t>
      </w:r>
      <w:r w:rsidR="008615C0">
        <w:rPr>
          <w:rFonts w:ascii="Times New Roman" w:eastAsia="Times New Roman" w:hAnsi="Times New Roman" w:cs="Times New Roman"/>
          <w:sz w:val="24"/>
          <w:szCs w:val="24"/>
          <w:lang w:eastAsia="pt-BR"/>
        </w:rPr>
        <w:t xml:space="preserve"> Eduardo</w:t>
      </w:r>
      <w:r w:rsidR="00BD44C5">
        <w:rPr>
          <w:rFonts w:ascii="Times New Roman" w:eastAsia="Times New Roman" w:hAnsi="Times New Roman" w:cs="Times New Roman"/>
          <w:sz w:val="24"/>
          <w:szCs w:val="24"/>
          <w:lang w:eastAsia="pt-BR"/>
        </w:rPr>
        <w:t xml:space="preserve">) </w:t>
      </w:r>
      <w:r w:rsidR="00395EFE">
        <w:rPr>
          <w:rFonts w:ascii="Times New Roman" w:eastAsia="Times New Roman" w:hAnsi="Times New Roman" w:cs="Times New Roman"/>
          <w:sz w:val="24"/>
          <w:szCs w:val="24"/>
          <w:lang w:eastAsia="pt-BR"/>
        </w:rPr>
        <w:t>à</w:t>
      </w:r>
      <w:r w:rsidR="00BD44C5">
        <w:rPr>
          <w:rFonts w:ascii="Times New Roman" w:eastAsia="Times New Roman" w:hAnsi="Times New Roman" w:cs="Times New Roman"/>
          <w:sz w:val="24"/>
          <w:szCs w:val="24"/>
          <w:lang w:eastAsia="pt-BR"/>
        </w:rPr>
        <w:t xml:space="preserve"> Província do Canadá</w:t>
      </w:r>
      <w:r w:rsidR="00395EFE">
        <w:rPr>
          <w:rFonts w:ascii="Times New Roman" w:eastAsia="Times New Roman" w:hAnsi="Times New Roman" w:cs="Times New Roman"/>
          <w:sz w:val="24"/>
          <w:szCs w:val="24"/>
          <w:lang w:eastAsia="pt-BR"/>
        </w:rPr>
        <w:t>,</w:t>
      </w:r>
      <w:r w:rsidR="00BD44C5">
        <w:rPr>
          <w:rFonts w:ascii="Times New Roman" w:eastAsia="Times New Roman" w:hAnsi="Times New Roman" w:cs="Times New Roman"/>
          <w:sz w:val="24"/>
          <w:szCs w:val="24"/>
          <w:lang w:eastAsia="pt-BR"/>
        </w:rPr>
        <w:t xml:space="preserve"> concluída em 1876</w:t>
      </w:r>
      <w:r w:rsidR="00395EFE">
        <w:rPr>
          <w:rFonts w:ascii="Times New Roman" w:eastAsia="Times New Roman" w:hAnsi="Times New Roman" w:cs="Times New Roman"/>
          <w:sz w:val="24"/>
          <w:szCs w:val="24"/>
          <w:lang w:eastAsia="pt-BR"/>
        </w:rPr>
        <w:t>,</w:t>
      </w:r>
      <w:r w:rsidR="00047CB9" w:rsidRPr="00047CB9">
        <w:rPr>
          <w:rFonts w:ascii="Times New Roman" w:eastAsia="Times New Roman" w:hAnsi="Times New Roman" w:cs="Times New Roman"/>
          <w:sz w:val="24"/>
          <w:szCs w:val="24"/>
          <w:lang w:eastAsia="pt-BR"/>
        </w:rPr>
        <w:t xml:space="preserve"> e a </w:t>
      </w:r>
      <w:r w:rsidR="00E36F1F">
        <w:rPr>
          <w:rFonts w:ascii="Times New Roman" w:eastAsia="Times New Roman" w:hAnsi="Times New Roman" w:cs="Times New Roman"/>
          <w:sz w:val="24"/>
          <w:szCs w:val="24"/>
          <w:lang w:eastAsia="pt-BR"/>
        </w:rPr>
        <w:t xml:space="preserve">construção da </w:t>
      </w:r>
      <w:r w:rsidR="00E36F1F" w:rsidRPr="00395EFE">
        <w:rPr>
          <w:rFonts w:ascii="Times New Roman" w:eastAsia="Times New Roman" w:hAnsi="Times New Roman" w:cs="Times New Roman"/>
          <w:i/>
          <w:sz w:val="24"/>
          <w:szCs w:val="24"/>
          <w:lang w:eastAsia="pt-BR"/>
        </w:rPr>
        <w:t>Canadian Pacific Railway</w:t>
      </w:r>
      <w:r w:rsidR="00E36F1F">
        <w:rPr>
          <w:rFonts w:ascii="Times New Roman" w:eastAsia="Times New Roman" w:hAnsi="Times New Roman" w:cs="Times New Roman"/>
          <w:sz w:val="24"/>
          <w:szCs w:val="24"/>
          <w:lang w:eastAsia="pt-BR"/>
        </w:rPr>
        <w:t xml:space="preserve"> ligando </w:t>
      </w:r>
      <w:r w:rsidR="00047CB9" w:rsidRPr="00047CB9">
        <w:rPr>
          <w:rFonts w:ascii="Times New Roman" w:eastAsia="Times New Roman" w:hAnsi="Times New Roman" w:cs="Times New Roman"/>
          <w:sz w:val="24"/>
          <w:szCs w:val="24"/>
          <w:lang w:eastAsia="pt-BR"/>
        </w:rPr>
        <w:t xml:space="preserve">o Canadá </w:t>
      </w:r>
      <w:r w:rsidR="00E36F1F">
        <w:rPr>
          <w:rFonts w:ascii="Times New Roman" w:eastAsia="Times New Roman" w:hAnsi="Times New Roman" w:cs="Times New Roman"/>
          <w:sz w:val="24"/>
          <w:szCs w:val="24"/>
          <w:lang w:eastAsia="pt-BR"/>
        </w:rPr>
        <w:t>C</w:t>
      </w:r>
      <w:r w:rsidR="00047CB9" w:rsidRPr="00047CB9">
        <w:rPr>
          <w:rFonts w:ascii="Times New Roman" w:eastAsia="Times New Roman" w:hAnsi="Times New Roman" w:cs="Times New Roman"/>
          <w:sz w:val="24"/>
          <w:szCs w:val="24"/>
          <w:lang w:eastAsia="pt-BR"/>
        </w:rPr>
        <w:t xml:space="preserve">entral </w:t>
      </w:r>
      <w:r w:rsidR="009B0ECB">
        <w:rPr>
          <w:rFonts w:ascii="Times New Roman" w:eastAsia="Times New Roman" w:hAnsi="Times New Roman" w:cs="Times New Roman"/>
          <w:sz w:val="24"/>
          <w:szCs w:val="24"/>
          <w:lang w:eastAsia="pt-BR"/>
        </w:rPr>
        <w:t>ao</w:t>
      </w:r>
      <w:r w:rsidR="00047CB9" w:rsidRPr="00047CB9">
        <w:rPr>
          <w:rFonts w:ascii="Times New Roman" w:eastAsia="Times New Roman" w:hAnsi="Times New Roman" w:cs="Times New Roman"/>
          <w:sz w:val="24"/>
          <w:szCs w:val="24"/>
          <w:lang w:eastAsia="pt-BR"/>
        </w:rPr>
        <w:t xml:space="preserve"> Oceano Pacífico </w:t>
      </w:r>
      <w:r w:rsidR="00E36F1F">
        <w:rPr>
          <w:rFonts w:ascii="Times New Roman" w:eastAsia="Times New Roman" w:hAnsi="Times New Roman" w:cs="Times New Roman"/>
          <w:sz w:val="24"/>
          <w:szCs w:val="24"/>
          <w:lang w:eastAsia="pt-BR"/>
        </w:rPr>
        <w:t>concluída</w:t>
      </w:r>
      <w:r w:rsidR="00047CB9" w:rsidRPr="00047CB9">
        <w:rPr>
          <w:rFonts w:ascii="Times New Roman" w:eastAsia="Times New Roman" w:hAnsi="Times New Roman" w:cs="Times New Roman"/>
          <w:sz w:val="24"/>
          <w:szCs w:val="24"/>
          <w:lang w:eastAsia="pt-BR"/>
        </w:rPr>
        <w:t xml:space="preserve"> em 1885. </w:t>
      </w:r>
    </w:p>
    <w:p w:rsidR="00E36F1F" w:rsidRDefault="006D3671" w:rsidP="0048231B">
      <w:pPr>
        <w:spacing w:after="0" w:line="24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construção dessas ferrovias teve papel central no desenvolvimento econômico do país</w:t>
      </w:r>
      <w:r w:rsidR="00395EFE">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c</w:t>
      </w:r>
      <w:r w:rsidR="00E36F1F">
        <w:rPr>
          <w:rFonts w:ascii="Times New Roman" w:eastAsia="Times New Roman" w:hAnsi="Times New Roman" w:cs="Times New Roman"/>
          <w:sz w:val="24"/>
          <w:szCs w:val="24"/>
          <w:lang w:eastAsia="pt-BR"/>
        </w:rPr>
        <w:t xml:space="preserve">omo observa </w:t>
      </w:r>
      <w:proofErr w:type="spellStart"/>
      <w:r w:rsidR="00E36F1F">
        <w:rPr>
          <w:rFonts w:ascii="Times New Roman" w:eastAsia="Times New Roman" w:hAnsi="Times New Roman" w:cs="Times New Roman"/>
          <w:sz w:val="24"/>
          <w:szCs w:val="24"/>
          <w:lang w:eastAsia="pt-BR"/>
        </w:rPr>
        <w:t>Glazebrook</w:t>
      </w:r>
      <w:proofErr w:type="spellEnd"/>
      <w:r w:rsidR="00D21D1F">
        <w:rPr>
          <w:rFonts w:ascii="Times New Roman" w:eastAsia="Times New Roman" w:hAnsi="Times New Roman" w:cs="Times New Roman"/>
          <w:sz w:val="24"/>
          <w:szCs w:val="24"/>
          <w:lang w:eastAsia="pt-BR"/>
        </w:rPr>
        <w:t>,</w:t>
      </w:r>
      <w:r w:rsidR="00E36F1F">
        <w:rPr>
          <w:rFonts w:ascii="Times New Roman" w:eastAsia="Times New Roman" w:hAnsi="Times New Roman" w:cs="Times New Roman"/>
          <w:sz w:val="24"/>
          <w:szCs w:val="24"/>
          <w:lang w:eastAsia="pt-BR"/>
        </w:rPr>
        <w:t xml:space="preserve"> na obra que se tornou a principal referência de estudos sobre transporte no Canadá</w:t>
      </w:r>
      <w:r w:rsidR="008615C0">
        <w:rPr>
          <w:rFonts w:ascii="Times New Roman" w:eastAsia="Times New Roman" w:hAnsi="Times New Roman" w:cs="Times New Roman"/>
          <w:sz w:val="24"/>
          <w:szCs w:val="24"/>
          <w:lang w:eastAsia="pt-BR"/>
        </w:rPr>
        <w:t xml:space="preserve"> nesse período</w:t>
      </w:r>
      <w:r w:rsidR="00E36F1F">
        <w:rPr>
          <w:rFonts w:ascii="Times New Roman" w:eastAsia="Times New Roman" w:hAnsi="Times New Roman" w:cs="Times New Roman"/>
          <w:sz w:val="24"/>
          <w:szCs w:val="24"/>
          <w:lang w:eastAsia="pt-BR"/>
        </w:rPr>
        <w:t>:</w:t>
      </w:r>
    </w:p>
    <w:p w:rsidR="00E36F1F" w:rsidRPr="00F80F5B" w:rsidRDefault="00E36F1F" w:rsidP="0048231B">
      <w:pPr>
        <w:tabs>
          <w:tab w:val="left" w:pos="2268"/>
        </w:tabs>
        <w:spacing w:after="0" w:line="240" w:lineRule="auto"/>
        <w:ind w:left="2268"/>
        <w:jc w:val="both"/>
        <w:rPr>
          <w:rFonts w:ascii="Times New Roman" w:eastAsia="Times New Roman" w:hAnsi="Times New Roman" w:cs="Times New Roman"/>
          <w:lang w:eastAsia="pt-BR"/>
        </w:rPr>
      </w:pPr>
      <w:r w:rsidRPr="00F80F5B">
        <w:rPr>
          <w:rFonts w:ascii="Times New Roman" w:eastAsia="Times New Roman" w:hAnsi="Times New Roman" w:cs="Times New Roman"/>
          <w:lang w:eastAsia="pt-BR"/>
        </w:rPr>
        <w:t xml:space="preserve">A interdependência mutua das ferrovias e o desenvolvimento econômico em geral é um tema </w:t>
      </w:r>
      <w:r w:rsidR="006D3671" w:rsidRPr="00F80F5B">
        <w:rPr>
          <w:rFonts w:ascii="Times New Roman" w:eastAsia="Times New Roman" w:hAnsi="Times New Roman" w:cs="Times New Roman"/>
          <w:lang w:eastAsia="pt-BR"/>
        </w:rPr>
        <w:t xml:space="preserve">central na história do Domínio, e algo que não desempenhou um papel menor na sua criação. Para tornar possível uma estrutura econômica estável </w:t>
      </w:r>
      <w:r w:rsidR="00A83DBD" w:rsidRPr="00F80F5B">
        <w:rPr>
          <w:rFonts w:ascii="Times New Roman" w:eastAsia="Times New Roman" w:hAnsi="Times New Roman" w:cs="Times New Roman"/>
          <w:lang w:eastAsia="pt-BR"/>
        </w:rPr>
        <w:t xml:space="preserve">fazia-se necessária a </w:t>
      </w:r>
      <w:r w:rsidR="006D3671" w:rsidRPr="00F80F5B">
        <w:rPr>
          <w:rFonts w:ascii="Times New Roman" w:eastAsia="Times New Roman" w:hAnsi="Times New Roman" w:cs="Times New Roman"/>
          <w:lang w:eastAsia="pt-BR"/>
        </w:rPr>
        <w:t xml:space="preserve">suficiência de recursos naturais </w:t>
      </w:r>
      <w:r w:rsidR="00A83DBD" w:rsidRPr="00F80F5B">
        <w:rPr>
          <w:rFonts w:ascii="Times New Roman" w:eastAsia="Times New Roman" w:hAnsi="Times New Roman" w:cs="Times New Roman"/>
          <w:lang w:eastAsia="pt-BR"/>
        </w:rPr>
        <w:t xml:space="preserve">e esta </w:t>
      </w:r>
      <w:r w:rsidR="006D3671" w:rsidRPr="00F80F5B">
        <w:rPr>
          <w:rFonts w:ascii="Times New Roman" w:eastAsia="Times New Roman" w:hAnsi="Times New Roman" w:cs="Times New Roman"/>
          <w:lang w:eastAsia="pt-BR"/>
        </w:rPr>
        <w:t xml:space="preserve">foi encontrada nas terras de pastagem e produção de trigo do oeste, </w:t>
      </w:r>
      <w:r w:rsidR="00A83DBD" w:rsidRPr="00F80F5B">
        <w:rPr>
          <w:rFonts w:ascii="Times New Roman" w:eastAsia="Times New Roman" w:hAnsi="Times New Roman" w:cs="Times New Roman"/>
          <w:lang w:eastAsia="pt-BR"/>
        </w:rPr>
        <w:t>n</w:t>
      </w:r>
      <w:r w:rsidR="006D3671" w:rsidRPr="00F80F5B">
        <w:rPr>
          <w:rFonts w:ascii="Times New Roman" w:eastAsia="Times New Roman" w:hAnsi="Times New Roman" w:cs="Times New Roman"/>
          <w:lang w:eastAsia="pt-BR"/>
        </w:rPr>
        <w:t xml:space="preserve">a madeira </w:t>
      </w:r>
      <w:r w:rsidR="008615C0" w:rsidRPr="00F80F5B">
        <w:rPr>
          <w:rFonts w:ascii="Times New Roman" w:eastAsia="Times New Roman" w:hAnsi="Times New Roman" w:cs="Times New Roman"/>
          <w:lang w:eastAsia="pt-BR"/>
        </w:rPr>
        <w:t>da Colúmbia Britânica</w:t>
      </w:r>
      <w:r w:rsidR="006D3671" w:rsidRPr="00F80F5B">
        <w:rPr>
          <w:rFonts w:ascii="Times New Roman" w:eastAsia="Times New Roman" w:hAnsi="Times New Roman" w:cs="Times New Roman"/>
          <w:lang w:eastAsia="pt-BR"/>
        </w:rPr>
        <w:t xml:space="preserve"> e das províncias centrais e do leste, </w:t>
      </w:r>
      <w:r w:rsidR="00A83DBD" w:rsidRPr="00F80F5B">
        <w:rPr>
          <w:rFonts w:ascii="Times New Roman" w:eastAsia="Times New Roman" w:hAnsi="Times New Roman" w:cs="Times New Roman"/>
          <w:lang w:eastAsia="pt-BR"/>
        </w:rPr>
        <w:t>n</w:t>
      </w:r>
      <w:r w:rsidR="006D3671" w:rsidRPr="00F80F5B">
        <w:rPr>
          <w:rFonts w:ascii="Times New Roman" w:eastAsia="Times New Roman" w:hAnsi="Times New Roman" w:cs="Times New Roman"/>
          <w:lang w:eastAsia="pt-BR"/>
        </w:rPr>
        <w:t xml:space="preserve">a pesca das Províncias Marítimas e </w:t>
      </w:r>
      <w:r w:rsidR="008615C0" w:rsidRPr="00F80F5B">
        <w:rPr>
          <w:rFonts w:ascii="Times New Roman" w:eastAsia="Times New Roman" w:hAnsi="Times New Roman" w:cs="Times New Roman"/>
          <w:lang w:eastAsia="pt-BR"/>
        </w:rPr>
        <w:t>da Colúmbia Britânica</w:t>
      </w:r>
      <w:r w:rsidR="006D3671" w:rsidRPr="00F80F5B">
        <w:rPr>
          <w:rFonts w:ascii="Times New Roman" w:eastAsia="Times New Roman" w:hAnsi="Times New Roman" w:cs="Times New Roman"/>
          <w:lang w:eastAsia="pt-BR"/>
        </w:rPr>
        <w:t xml:space="preserve">, </w:t>
      </w:r>
      <w:r w:rsidR="00A83DBD" w:rsidRPr="00F80F5B">
        <w:rPr>
          <w:rFonts w:ascii="Times New Roman" w:eastAsia="Times New Roman" w:hAnsi="Times New Roman" w:cs="Times New Roman"/>
          <w:lang w:eastAsia="pt-BR"/>
        </w:rPr>
        <w:t>nos ricos depósitos minerais do</w:t>
      </w:r>
      <w:r w:rsidR="008C595F" w:rsidRPr="00F80F5B">
        <w:rPr>
          <w:rFonts w:ascii="Times New Roman" w:eastAsia="Times New Roman" w:hAnsi="Times New Roman" w:cs="Times New Roman"/>
          <w:lang w:eastAsia="pt-BR"/>
        </w:rPr>
        <w:t xml:space="preserve"> </w:t>
      </w:r>
      <w:r w:rsidR="00A83DBD" w:rsidRPr="00F80F5B">
        <w:rPr>
          <w:rFonts w:ascii="Times New Roman" w:eastAsia="Times New Roman" w:hAnsi="Times New Roman" w:cs="Times New Roman"/>
          <w:lang w:eastAsia="pt-BR"/>
        </w:rPr>
        <w:t>Escudo</w:t>
      </w:r>
      <w:r w:rsidR="008C595F" w:rsidRPr="00F80F5B">
        <w:rPr>
          <w:rFonts w:ascii="Times New Roman" w:eastAsia="Times New Roman" w:hAnsi="Times New Roman" w:cs="Times New Roman"/>
          <w:lang w:eastAsia="pt-BR"/>
        </w:rPr>
        <w:t xml:space="preserve"> </w:t>
      </w:r>
      <w:r w:rsidR="00A83DBD" w:rsidRPr="00F80F5B">
        <w:rPr>
          <w:rFonts w:ascii="Times New Roman" w:eastAsia="Times New Roman" w:hAnsi="Times New Roman" w:cs="Times New Roman"/>
          <w:lang w:eastAsia="pt-BR"/>
        </w:rPr>
        <w:t>Canadense</w:t>
      </w:r>
      <w:r w:rsidR="006D3671" w:rsidRPr="00F80F5B">
        <w:rPr>
          <w:rFonts w:ascii="Times New Roman" w:eastAsia="Times New Roman" w:hAnsi="Times New Roman" w:cs="Times New Roman"/>
          <w:lang w:eastAsia="pt-BR"/>
        </w:rPr>
        <w:t xml:space="preserve"> e das montanhas d</w:t>
      </w:r>
      <w:r w:rsidR="008615C0" w:rsidRPr="00F80F5B">
        <w:rPr>
          <w:rFonts w:ascii="Times New Roman" w:eastAsia="Times New Roman" w:hAnsi="Times New Roman" w:cs="Times New Roman"/>
          <w:lang w:eastAsia="pt-BR"/>
        </w:rPr>
        <w:t>a</w:t>
      </w:r>
      <w:r w:rsidR="006D3671" w:rsidRPr="00F80F5B">
        <w:rPr>
          <w:rFonts w:ascii="Times New Roman" w:eastAsia="Times New Roman" w:hAnsi="Times New Roman" w:cs="Times New Roman"/>
          <w:lang w:eastAsia="pt-BR"/>
        </w:rPr>
        <w:t xml:space="preserve"> </w:t>
      </w:r>
      <w:r w:rsidR="008615C0" w:rsidRPr="00F80F5B">
        <w:rPr>
          <w:rFonts w:ascii="Times New Roman" w:eastAsia="Times New Roman" w:hAnsi="Times New Roman" w:cs="Times New Roman"/>
          <w:lang w:eastAsia="pt-BR"/>
        </w:rPr>
        <w:t>Colúmbia Britânica</w:t>
      </w:r>
      <w:r w:rsidR="006D3671" w:rsidRPr="00F80F5B">
        <w:rPr>
          <w:rFonts w:ascii="Times New Roman" w:eastAsia="Times New Roman" w:hAnsi="Times New Roman" w:cs="Times New Roman"/>
          <w:lang w:eastAsia="pt-BR"/>
        </w:rPr>
        <w:t xml:space="preserve">. Isto, com a agricultura diversificada do leste e do centro, formaram a base das </w:t>
      </w:r>
      <w:r w:rsidR="006D3671" w:rsidRPr="00F80F5B">
        <w:rPr>
          <w:rFonts w:ascii="Times New Roman" w:eastAsia="Times New Roman" w:hAnsi="Times New Roman" w:cs="Times New Roman"/>
          <w:i/>
          <w:lang w:eastAsia="pt-BR"/>
        </w:rPr>
        <w:t>staples</w:t>
      </w:r>
      <w:r w:rsidR="006D3671" w:rsidRPr="00F80F5B">
        <w:rPr>
          <w:rFonts w:ascii="Times New Roman" w:eastAsia="Times New Roman" w:hAnsi="Times New Roman" w:cs="Times New Roman"/>
          <w:lang w:eastAsia="pt-BR"/>
        </w:rPr>
        <w:t xml:space="preserve"> </w:t>
      </w:r>
      <w:r w:rsidR="00D30C79" w:rsidRPr="00F80F5B">
        <w:rPr>
          <w:rFonts w:ascii="Times New Roman" w:eastAsia="Times New Roman" w:hAnsi="Times New Roman" w:cs="Times New Roman"/>
          <w:lang w:eastAsia="pt-BR"/>
        </w:rPr>
        <w:t>sobre a qual</w:t>
      </w:r>
      <w:r w:rsidR="006D3671" w:rsidRPr="00F80F5B">
        <w:rPr>
          <w:rFonts w:ascii="Times New Roman" w:eastAsia="Times New Roman" w:hAnsi="Times New Roman" w:cs="Times New Roman"/>
          <w:lang w:eastAsia="pt-BR"/>
        </w:rPr>
        <w:t xml:space="preserve"> uma superestrutura de instituições financeiras, empresas industriais</w:t>
      </w:r>
      <w:r w:rsidR="00692C6F" w:rsidRPr="00F80F5B">
        <w:rPr>
          <w:rFonts w:ascii="Times New Roman" w:eastAsia="Times New Roman" w:hAnsi="Times New Roman" w:cs="Times New Roman"/>
          <w:lang w:eastAsia="pt-BR"/>
        </w:rPr>
        <w:t xml:space="preserve"> e meios de transporte puderam ser construídos. É possível, então argumentar que a Confederação não foi um passo ilógico dado por políticos, mas o cumprimento de um velho sonho, tornado possível pela ligação de áreas economicamente complementares pelas ferrovias. (GLAZEBROOK, 1964, p. 5</w:t>
      </w:r>
      <w:r w:rsidR="00D30C79" w:rsidRPr="00F80F5B">
        <w:rPr>
          <w:rFonts w:ascii="Times New Roman" w:eastAsia="Times New Roman" w:hAnsi="Times New Roman" w:cs="Times New Roman"/>
          <w:lang w:eastAsia="pt-BR"/>
        </w:rPr>
        <w:t>, tradução nossa</w:t>
      </w:r>
      <w:r w:rsidR="00692C6F" w:rsidRPr="00F80F5B">
        <w:rPr>
          <w:rFonts w:ascii="Times New Roman" w:eastAsia="Times New Roman" w:hAnsi="Times New Roman" w:cs="Times New Roman"/>
          <w:lang w:eastAsia="pt-BR"/>
        </w:rPr>
        <w:t>)</w:t>
      </w:r>
      <w:r w:rsidR="00D30C79" w:rsidRPr="00F80F5B">
        <w:rPr>
          <w:rFonts w:ascii="Times New Roman" w:eastAsia="Times New Roman" w:hAnsi="Times New Roman" w:cs="Times New Roman"/>
          <w:lang w:eastAsia="pt-BR"/>
        </w:rPr>
        <w:t>.</w:t>
      </w:r>
    </w:p>
    <w:p w:rsidR="00E22144" w:rsidRDefault="00435DD0" w:rsidP="0048231B">
      <w:pPr>
        <w:tabs>
          <w:tab w:val="left" w:pos="0"/>
        </w:tabs>
        <w:spacing w:after="0" w:line="240" w:lineRule="auto"/>
        <w:ind w:firstLine="709"/>
        <w:jc w:val="both"/>
      </w:pPr>
      <w:r>
        <w:rPr>
          <w:rFonts w:ascii="Times New Roman" w:eastAsia="Times New Roman" w:hAnsi="Times New Roman" w:cs="Times New Roman"/>
          <w:sz w:val="24"/>
          <w:szCs w:val="24"/>
          <w:lang w:eastAsia="pt-BR"/>
        </w:rPr>
        <w:t>Nas</w:t>
      </w:r>
      <w:r w:rsidR="00837297" w:rsidRPr="00837297">
        <w:rPr>
          <w:rFonts w:ascii="Times New Roman" w:eastAsia="Times New Roman" w:hAnsi="Times New Roman" w:cs="Times New Roman"/>
          <w:sz w:val="24"/>
          <w:szCs w:val="24"/>
          <w:lang w:eastAsia="pt-BR"/>
        </w:rPr>
        <w:t xml:space="preserve"> décadas de </w:t>
      </w:r>
      <w:r>
        <w:rPr>
          <w:rFonts w:ascii="Times New Roman" w:eastAsia="Times New Roman" w:hAnsi="Times New Roman" w:cs="Times New Roman"/>
          <w:sz w:val="24"/>
          <w:szCs w:val="24"/>
          <w:lang w:eastAsia="pt-BR"/>
        </w:rPr>
        <w:t>18</w:t>
      </w:r>
      <w:r w:rsidR="00A551A3">
        <w:rPr>
          <w:rFonts w:ascii="Times New Roman" w:eastAsia="Times New Roman" w:hAnsi="Times New Roman" w:cs="Times New Roman"/>
          <w:sz w:val="24"/>
          <w:szCs w:val="24"/>
          <w:lang w:eastAsia="pt-BR"/>
        </w:rPr>
        <w:t>5</w:t>
      </w:r>
      <w:r>
        <w:rPr>
          <w:rFonts w:ascii="Times New Roman" w:eastAsia="Times New Roman" w:hAnsi="Times New Roman" w:cs="Times New Roman"/>
          <w:sz w:val="24"/>
          <w:szCs w:val="24"/>
          <w:lang w:eastAsia="pt-BR"/>
        </w:rPr>
        <w:t>0</w:t>
      </w:r>
      <w:r w:rsidR="00D30C79">
        <w:rPr>
          <w:rFonts w:ascii="Times New Roman" w:eastAsia="Times New Roman" w:hAnsi="Times New Roman" w:cs="Times New Roman"/>
          <w:sz w:val="24"/>
          <w:szCs w:val="24"/>
          <w:lang w:eastAsia="pt-BR"/>
        </w:rPr>
        <w:t xml:space="preserve"> </w:t>
      </w:r>
      <w:r w:rsidR="00A551A3">
        <w:rPr>
          <w:rFonts w:ascii="Times New Roman" w:eastAsia="Times New Roman" w:hAnsi="Times New Roman" w:cs="Times New Roman"/>
          <w:sz w:val="24"/>
          <w:szCs w:val="24"/>
          <w:lang w:eastAsia="pt-BR"/>
        </w:rPr>
        <w:t>e</w:t>
      </w:r>
      <w:r w:rsidR="00837297" w:rsidRPr="00837297">
        <w:rPr>
          <w:rFonts w:ascii="Times New Roman" w:eastAsia="Times New Roman" w:hAnsi="Times New Roman" w:cs="Times New Roman"/>
          <w:sz w:val="24"/>
          <w:szCs w:val="24"/>
          <w:lang w:eastAsia="pt-BR"/>
        </w:rPr>
        <w:t xml:space="preserve"> 1860</w:t>
      </w:r>
      <w:r w:rsidR="00395EFE">
        <w:rPr>
          <w:rFonts w:ascii="Times New Roman" w:eastAsia="Times New Roman" w:hAnsi="Times New Roman" w:cs="Times New Roman"/>
          <w:sz w:val="24"/>
          <w:szCs w:val="24"/>
          <w:lang w:eastAsia="pt-BR"/>
        </w:rPr>
        <w:t>,</w:t>
      </w:r>
      <w:r w:rsidR="00837297" w:rsidRPr="00837297">
        <w:rPr>
          <w:rFonts w:ascii="Times New Roman" w:eastAsia="Times New Roman" w:hAnsi="Times New Roman" w:cs="Times New Roman"/>
          <w:sz w:val="24"/>
          <w:szCs w:val="24"/>
          <w:lang w:eastAsia="pt-BR"/>
        </w:rPr>
        <w:t xml:space="preserve"> as negociações para a construção da </w:t>
      </w:r>
      <w:r w:rsidR="00837297" w:rsidRPr="00C73813">
        <w:rPr>
          <w:rFonts w:ascii="Times New Roman" w:eastAsia="Times New Roman" w:hAnsi="Times New Roman" w:cs="Times New Roman"/>
          <w:i/>
          <w:sz w:val="24"/>
          <w:szCs w:val="24"/>
          <w:lang w:eastAsia="pt-BR"/>
        </w:rPr>
        <w:t>Intercolonial</w:t>
      </w:r>
      <w:r w:rsidR="00837297" w:rsidRPr="00837297">
        <w:rPr>
          <w:rFonts w:ascii="Times New Roman" w:eastAsia="Times New Roman" w:hAnsi="Times New Roman" w:cs="Times New Roman"/>
          <w:sz w:val="24"/>
          <w:szCs w:val="24"/>
          <w:lang w:eastAsia="pt-BR"/>
        </w:rPr>
        <w:t xml:space="preserve"> já existiam tanto entre as Colônias Britânicas como ent</w:t>
      </w:r>
      <w:r w:rsidR="00395EFE">
        <w:rPr>
          <w:rFonts w:ascii="Times New Roman" w:eastAsia="Times New Roman" w:hAnsi="Times New Roman" w:cs="Times New Roman"/>
          <w:sz w:val="24"/>
          <w:szCs w:val="24"/>
          <w:lang w:eastAsia="pt-BR"/>
        </w:rPr>
        <w:t>re essas e o governo britânic</w:t>
      </w:r>
      <w:r w:rsidR="00C73813">
        <w:rPr>
          <w:rFonts w:ascii="Times New Roman" w:eastAsia="Times New Roman" w:hAnsi="Times New Roman" w:cs="Times New Roman"/>
          <w:sz w:val="24"/>
          <w:szCs w:val="24"/>
          <w:lang w:eastAsia="pt-BR"/>
        </w:rPr>
        <w:t>o</w:t>
      </w:r>
      <w:r w:rsidR="00A551A3">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031C95">
        <w:rPr>
          <w:rFonts w:ascii="Times New Roman" w:eastAsia="Times New Roman" w:hAnsi="Times New Roman" w:cs="Times New Roman"/>
          <w:sz w:val="24"/>
          <w:szCs w:val="24"/>
          <w:lang w:eastAsia="pt-BR"/>
        </w:rPr>
        <w:t>No entanto,</w:t>
      </w:r>
      <w:r>
        <w:rPr>
          <w:rFonts w:ascii="Times New Roman" w:eastAsia="Times New Roman" w:hAnsi="Times New Roman" w:cs="Times New Roman"/>
          <w:sz w:val="24"/>
          <w:szCs w:val="24"/>
          <w:lang w:eastAsia="pt-BR"/>
        </w:rPr>
        <w:t xml:space="preserve"> levariam ainda </w:t>
      </w:r>
      <w:r w:rsidR="00981E3F">
        <w:rPr>
          <w:rFonts w:ascii="Times New Roman" w:eastAsia="Times New Roman" w:hAnsi="Times New Roman" w:cs="Times New Roman"/>
          <w:sz w:val="24"/>
          <w:szCs w:val="24"/>
          <w:lang w:eastAsia="pt-BR"/>
        </w:rPr>
        <w:t>alguns</w:t>
      </w:r>
      <w:r>
        <w:rPr>
          <w:rFonts w:ascii="Times New Roman" w:eastAsia="Times New Roman" w:hAnsi="Times New Roman" w:cs="Times New Roman"/>
          <w:sz w:val="24"/>
          <w:szCs w:val="24"/>
          <w:lang w:eastAsia="pt-BR"/>
        </w:rPr>
        <w:t xml:space="preserve"> anos para que acordos</w:t>
      </w:r>
      <w:r w:rsidR="00031C95">
        <w:rPr>
          <w:rFonts w:ascii="Times New Roman" w:eastAsia="Times New Roman" w:hAnsi="Times New Roman" w:cs="Times New Roman"/>
          <w:sz w:val="24"/>
          <w:szCs w:val="24"/>
          <w:lang w:eastAsia="pt-BR"/>
        </w:rPr>
        <w:t xml:space="preserve"> viabilizassem a construção e ligação de todos os seus trechos, devido a uma série de disputas sobre quem seria responsável pelo financiamento das obras</w:t>
      </w:r>
      <w:r w:rsidR="00A551A3">
        <w:rPr>
          <w:rFonts w:ascii="Times New Roman" w:eastAsia="Times New Roman" w:hAnsi="Times New Roman" w:cs="Times New Roman"/>
          <w:sz w:val="24"/>
          <w:szCs w:val="24"/>
          <w:lang w:eastAsia="pt-BR"/>
        </w:rPr>
        <w:t xml:space="preserve"> (GLAZEBROOK, 1964, p.13)</w:t>
      </w:r>
      <w:r w:rsidR="00031C95">
        <w:rPr>
          <w:rFonts w:ascii="Times New Roman" w:eastAsia="Times New Roman" w:hAnsi="Times New Roman" w:cs="Times New Roman"/>
          <w:sz w:val="24"/>
          <w:szCs w:val="24"/>
          <w:lang w:eastAsia="pt-BR"/>
        </w:rPr>
        <w:t>.</w:t>
      </w:r>
      <w:r w:rsidR="00864878" w:rsidRPr="00864878">
        <w:t xml:space="preserve"> </w:t>
      </w:r>
    </w:p>
    <w:p w:rsidR="00D93D5A" w:rsidRDefault="00864878" w:rsidP="0048231B">
      <w:pPr>
        <w:tabs>
          <w:tab w:val="left" w:pos="0"/>
        </w:tabs>
        <w:spacing w:after="0" w:line="240" w:lineRule="auto"/>
        <w:ind w:firstLine="709"/>
        <w:jc w:val="both"/>
        <w:rPr>
          <w:rFonts w:ascii="Times New Roman" w:eastAsia="Times New Roman" w:hAnsi="Times New Roman" w:cs="Times New Roman"/>
          <w:sz w:val="24"/>
          <w:szCs w:val="24"/>
          <w:lang w:eastAsia="pt-BR"/>
        </w:rPr>
      </w:pPr>
      <w:r w:rsidRPr="00864878">
        <w:rPr>
          <w:rFonts w:ascii="Times New Roman" w:eastAsia="Times New Roman" w:hAnsi="Times New Roman" w:cs="Times New Roman"/>
          <w:sz w:val="24"/>
          <w:szCs w:val="24"/>
          <w:lang w:eastAsia="pt-BR"/>
        </w:rPr>
        <w:t xml:space="preserve">Os trechos ferroviários entre </w:t>
      </w:r>
      <w:proofErr w:type="spellStart"/>
      <w:r w:rsidRPr="00864878">
        <w:rPr>
          <w:rFonts w:ascii="Times New Roman" w:eastAsia="Times New Roman" w:hAnsi="Times New Roman" w:cs="Times New Roman"/>
          <w:sz w:val="24"/>
          <w:szCs w:val="24"/>
          <w:lang w:eastAsia="pt-BR"/>
        </w:rPr>
        <w:t>Halifax</w:t>
      </w:r>
      <w:proofErr w:type="spellEnd"/>
      <w:r w:rsidRPr="00864878">
        <w:rPr>
          <w:rFonts w:ascii="Times New Roman" w:eastAsia="Times New Roman" w:hAnsi="Times New Roman" w:cs="Times New Roman"/>
          <w:sz w:val="24"/>
          <w:szCs w:val="24"/>
          <w:lang w:eastAsia="pt-BR"/>
        </w:rPr>
        <w:t xml:space="preserve"> e </w:t>
      </w:r>
      <w:proofErr w:type="spellStart"/>
      <w:r w:rsidRPr="00864878">
        <w:rPr>
          <w:rFonts w:ascii="Times New Roman" w:eastAsia="Times New Roman" w:hAnsi="Times New Roman" w:cs="Times New Roman"/>
          <w:sz w:val="24"/>
          <w:szCs w:val="24"/>
          <w:lang w:eastAsia="pt-BR"/>
        </w:rPr>
        <w:t>Truro</w:t>
      </w:r>
      <w:proofErr w:type="spellEnd"/>
      <w:r w:rsidRPr="00864878">
        <w:rPr>
          <w:rFonts w:ascii="Times New Roman" w:eastAsia="Times New Roman" w:hAnsi="Times New Roman" w:cs="Times New Roman"/>
          <w:sz w:val="24"/>
          <w:szCs w:val="24"/>
          <w:lang w:eastAsia="pt-BR"/>
        </w:rPr>
        <w:t xml:space="preserve"> (Nova Escócia) e entre Saint John e </w:t>
      </w:r>
      <w:proofErr w:type="spellStart"/>
      <w:r w:rsidRPr="00864878">
        <w:rPr>
          <w:rFonts w:ascii="Times New Roman" w:eastAsia="Times New Roman" w:hAnsi="Times New Roman" w:cs="Times New Roman"/>
          <w:sz w:val="24"/>
          <w:szCs w:val="24"/>
          <w:lang w:eastAsia="pt-BR"/>
        </w:rPr>
        <w:t>Shediac</w:t>
      </w:r>
      <w:proofErr w:type="spellEnd"/>
      <w:r w:rsidRPr="00864878">
        <w:rPr>
          <w:rFonts w:ascii="Times New Roman" w:eastAsia="Times New Roman" w:hAnsi="Times New Roman" w:cs="Times New Roman"/>
          <w:sz w:val="24"/>
          <w:szCs w:val="24"/>
          <w:lang w:eastAsia="pt-BR"/>
        </w:rPr>
        <w:t xml:space="preserve"> (Nova </w:t>
      </w:r>
      <w:proofErr w:type="spellStart"/>
      <w:r w:rsidRPr="00864878">
        <w:rPr>
          <w:rFonts w:ascii="Times New Roman" w:eastAsia="Times New Roman" w:hAnsi="Times New Roman" w:cs="Times New Roman"/>
          <w:sz w:val="24"/>
          <w:szCs w:val="24"/>
          <w:lang w:eastAsia="pt-BR"/>
        </w:rPr>
        <w:t>Brunswick</w:t>
      </w:r>
      <w:proofErr w:type="spellEnd"/>
      <w:r w:rsidRPr="00864878">
        <w:rPr>
          <w:rFonts w:ascii="Times New Roman" w:eastAsia="Times New Roman" w:hAnsi="Times New Roman" w:cs="Times New Roman"/>
          <w:sz w:val="24"/>
          <w:szCs w:val="24"/>
          <w:lang w:eastAsia="pt-BR"/>
        </w:rPr>
        <w:t xml:space="preserve">) já haviam sido </w:t>
      </w:r>
      <w:r w:rsidR="00E22144">
        <w:rPr>
          <w:rFonts w:ascii="Times New Roman" w:eastAsia="Times New Roman" w:hAnsi="Times New Roman" w:cs="Times New Roman"/>
          <w:sz w:val="24"/>
          <w:szCs w:val="24"/>
          <w:lang w:eastAsia="pt-BR"/>
        </w:rPr>
        <w:t>concluídos</w:t>
      </w:r>
      <w:r w:rsidRPr="00864878">
        <w:rPr>
          <w:rFonts w:ascii="Times New Roman" w:eastAsia="Times New Roman" w:hAnsi="Times New Roman" w:cs="Times New Roman"/>
          <w:sz w:val="24"/>
          <w:szCs w:val="24"/>
          <w:lang w:eastAsia="pt-BR"/>
        </w:rPr>
        <w:t xml:space="preserve"> mesmo antes de 1867. Mas como a construção de novos trechos tornou-se uma condição para a Confederação por parte das Províncias Marítimas, logo após a sua implementação</w:t>
      </w:r>
      <w:r w:rsidR="00E22144">
        <w:rPr>
          <w:rFonts w:ascii="Times New Roman" w:eastAsia="Times New Roman" w:hAnsi="Times New Roman" w:cs="Times New Roman"/>
          <w:sz w:val="24"/>
          <w:szCs w:val="24"/>
          <w:lang w:eastAsia="pt-BR"/>
        </w:rPr>
        <w:t>,</w:t>
      </w:r>
      <w:r w:rsidRPr="00864878">
        <w:rPr>
          <w:rFonts w:ascii="Times New Roman" w:eastAsia="Times New Roman" w:hAnsi="Times New Roman" w:cs="Times New Roman"/>
          <w:sz w:val="24"/>
          <w:szCs w:val="24"/>
          <w:lang w:eastAsia="pt-BR"/>
        </w:rPr>
        <w:t xml:space="preserve"> novas obras foram iniciadas. </w:t>
      </w:r>
      <w:r>
        <w:rPr>
          <w:rFonts w:ascii="Times New Roman" w:eastAsia="Times New Roman" w:hAnsi="Times New Roman" w:cs="Times New Roman"/>
          <w:sz w:val="24"/>
          <w:szCs w:val="24"/>
          <w:lang w:eastAsia="pt-BR"/>
        </w:rPr>
        <w:t>Um</w:t>
      </w:r>
      <w:r w:rsidRPr="00864878">
        <w:rPr>
          <w:rFonts w:ascii="Times New Roman" w:eastAsia="Times New Roman" w:hAnsi="Times New Roman" w:cs="Times New Roman"/>
          <w:sz w:val="24"/>
          <w:szCs w:val="24"/>
          <w:lang w:eastAsia="pt-BR"/>
        </w:rPr>
        <w:t xml:space="preserve"> percurso de 800 km</w:t>
      </w:r>
      <w:r>
        <w:rPr>
          <w:rFonts w:ascii="Times New Roman" w:eastAsia="Times New Roman" w:hAnsi="Times New Roman" w:cs="Times New Roman"/>
          <w:sz w:val="24"/>
          <w:szCs w:val="24"/>
          <w:lang w:eastAsia="pt-BR"/>
        </w:rPr>
        <w:t xml:space="preserve"> financiado pelo governo </w:t>
      </w:r>
      <w:r w:rsidR="00264D70">
        <w:rPr>
          <w:rFonts w:ascii="Times New Roman" w:eastAsia="Times New Roman" w:hAnsi="Times New Roman" w:cs="Times New Roman"/>
          <w:sz w:val="24"/>
          <w:szCs w:val="24"/>
          <w:lang w:eastAsia="pt-BR"/>
        </w:rPr>
        <w:t>central ligou</w:t>
      </w:r>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Riviere-du-Loup</w:t>
      </w:r>
      <w:proofErr w:type="spellEnd"/>
      <w:r>
        <w:rPr>
          <w:rFonts w:ascii="Times New Roman" w:eastAsia="Times New Roman" w:hAnsi="Times New Roman" w:cs="Times New Roman"/>
          <w:sz w:val="24"/>
          <w:szCs w:val="24"/>
          <w:lang w:eastAsia="pt-BR"/>
        </w:rPr>
        <w:t xml:space="preserve"> (Quebec) a</w:t>
      </w:r>
      <w:r w:rsidR="00E22144">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linha já existente </w:t>
      </w:r>
      <w:proofErr w:type="spellStart"/>
      <w:r>
        <w:rPr>
          <w:rFonts w:ascii="Times New Roman" w:eastAsia="Times New Roman" w:hAnsi="Times New Roman" w:cs="Times New Roman"/>
          <w:sz w:val="24"/>
          <w:szCs w:val="24"/>
          <w:lang w:eastAsia="pt-BR"/>
        </w:rPr>
        <w:t>Halifax</w:t>
      </w:r>
      <w:r w:rsidR="00D93D5A">
        <w:rPr>
          <w:rFonts w:ascii="Times New Roman" w:eastAsia="Times New Roman" w:hAnsi="Times New Roman" w:cs="Times New Roman"/>
          <w:sz w:val="24"/>
          <w:szCs w:val="24"/>
          <w:lang w:eastAsia="pt-BR"/>
        </w:rPr>
        <w:t>-Truro</w:t>
      </w:r>
      <w:proofErr w:type="spellEnd"/>
      <w:r w:rsidR="00D93D5A">
        <w:rPr>
          <w:rFonts w:ascii="Times New Roman" w:eastAsia="Times New Roman" w:hAnsi="Times New Roman" w:cs="Times New Roman"/>
          <w:sz w:val="24"/>
          <w:szCs w:val="24"/>
          <w:lang w:eastAsia="pt-BR"/>
        </w:rPr>
        <w:t xml:space="preserve"> (POMFRET, 198</w:t>
      </w:r>
      <w:r w:rsidR="006404DD">
        <w:rPr>
          <w:rFonts w:ascii="Times New Roman" w:eastAsia="Times New Roman" w:hAnsi="Times New Roman" w:cs="Times New Roman"/>
          <w:sz w:val="24"/>
          <w:szCs w:val="24"/>
          <w:lang w:eastAsia="pt-BR"/>
        </w:rPr>
        <w:t>1</w:t>
      </w:r>
      <w:r w:rsidR="00D93D5A">
        <w:rPr>
          <w:rFonts w:ascii="Times New Roman" w:eastAsia="Times New Roman" w:hAnsi="Times New Roman" w:cs="Times New Roman"/>
          <w:sz w:val="24"/>
          <w:szCs w:val="24"/>
          <w:lang w:eastAsia="pt-BR"/>
        </w:rPr>
        <w:t>, p. 102)</w:t>
      </w:r>
      <w:r>
        <w:rPr>
          <w:rFonts w:ascii="Times New Roman" w:eastAsia="Times New Roman" w:hAnsi="Times New Roman" w:cs="Times New Roman"/>
          <w:sz w:val="24"/>
          <w:szCs w:val="24"/>
          <w:lang w:eastAsia="pt-BR"/>
        </w:rPr>
        <w:t>.</w:t>
      </w:r>
      <w:r w:rsidRPr="00864878">
        <w:rPr>
          <w:rFonts w:ascii="Times New Roman" w:eastAsia="Times New Roman" w:hAnsi="Times New Roman" w:cs="Times New Roman"/>
          <w:sz w:val="24"/>
          <w:szCs w:val="24"/>
          <w:lang w:eastAsia="pt-BR"/>
        </w:rPr>
        <w:t xml:space="preserve"> </w:t>
      </w:r>
      <w:r w:rsidR="00E22144">
        <w:rPr>
          <w:rFonts w:ascii="Times New Roman" w:eastAsia="Times New Roman" w:hAnsi="Times New Roman" w:cs="Times New Roman"/>
          <w:sz w:val="24"/>
          <w:szCs w:val="24"/>
          <w:lang w:eastAsia="pt-BR"/>
        </w:rPr>
        <w:t xml:space="preserve">Com a conclusão da </w:t>
      </w:r>
      <w:r w:rsidR="00E22144" w:rsidRPr="00D93D5A">
        <w:rPr>
          <w:rFonts w:ascii="Times New Roman" w:eastAsia="Times New Roman" w:hAnsi="Times New Roman" w:cs="Times New Roman"/>
          <w:i/>
          <w:sz w:val="24"/>
          <w:szCs w:val="24"/>
          <w:lang w:eastAsia="pt-BR"/>
        </w:rPr>
        <w:t>Intercolonial</w:t>
      </w:r>
      <w:r w:rsidR="00E22144">
        <w:rPr>
          <w:rFonts w:ascii="Times New Roman" w:eastAsia="Times New Roman" w:hAnsi="Times New Roman" w:cs="Times New Roman"/>
          <w:sz w:val="24"/>
          <w:szCs w:val="24"/>
          <w:lang w:eastAsia="pt-BR"/>
        </w:rPr>
        <w:t xml:space="preserve"> em </w:t>
      </w:r>
      <w:r w:rsidR="00D93D5A">
        <w:rPr>
          <w:rFonts w:ascii="Times New Roman" w:eastAsia="Times New Roman" w:hAnsi="Times New Roman" w:cs="Times New Roman"/>
          <w:sz w:val="24"/>
          <w:szCs w:val="24"/>
          <w:lang w:eastAsia="pt-BR"/>
        </w:rPr>
        <w:t>1876</w:t>
      </w:r>
      <w:r w:rsidR="00E22144">
        <w:rPr>
          <w:rFonts w:ascii="Times New Roman" w:eastAsia="Times New Roman" w:hAnsi="Times New Roman" w:cs="Times New Roman"/>
          <w:sz w:val="24"/>
          <w:szCs w:val="24"/>
          <w:lang w:eastAsia="pt-BR"/>
        </w:rPr>
        <w:t xml:space="preserve"> estava feita a ligação entre Quebec e as Províncias Marítimas. </w:t>
      </w:r>
    </w:p>
    <w:p w:rsidR="00F6311E" w:rsidRDefault="00F6311E" w:rsidP="0048231B">
      <w:pPr>
        <w:tabs>
          <w:tab w:val="left" w:pos="0"/>
        </w:tabs>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 papel desempenhado pela </w:t>
      </w:r>
      <w:r w:rsidRPr="00C73813">
        <w:rPr>
          <w:rFonts w:ascii="Times New Roman" w:eastAsia="Times New Roman" w:hAnsi="Times New Roman" w:cs="Times New Roman"/>
          <w:i/>
          <w:sz w:val="24"/>
          <w:szCs w:val="24"/>
          <w:lang w:eastAsia="pt-BR"/>
        </w:rPr>
        <w:t>Intercolonial</w:t>
      </w:r>
      <w:r>
        <w:rPr>
          <w:rFonts w:ascii="Times New Roman" w:eastAsia="Times New Roman" w:hAnsi="Times New Roman" w:cs="Times New Roman"/>
          <w:sz w:val="24"/>
          <w:szCs w:val="24"/>
          <w:lang w:eastAsia="pt-BR"/>
        </w:rPr>
        <w:t xml:space="preserve"> para a formação e desenvolvimento do Canadá foi fruto de intenso debate não só entre economistas, cientistas políticos e historiadores, mas também gerou inúmeras disputas entre as Províncias Canadenses como </w:t>
      </w:r>
      <w:r w:rsidR="00691809">
        <w:rPr>
          <w:rFonts w:ascii="Times New Roman" w:eastAsia="Times New Roman" w:hAnsi="Times New Roman" w:cs="Times New Roman"/>
          <w:sz w:val="24"/>
          <w:szCs w:val="24"/>
          <w:lang w:eastAsia="pt-BR"/>
        </w:rPr>
        <w:t>observa</w:t>
      </w:r>
      <w:r>
        <w:rPr>
          <w:rFonts w:ascii="Times New Roman" w:eastAsia="Times New Roman" w:hAnsi="Times New Roman" w:cs="Times New Roman"/>
          <w:sz w:val="24"/>
          <w:szCs w:val="24"/>
          <w:lang w:eastAsia="pt-BR"/>
        </w:rPr>
        <w:t xml:space="preserve"> </w:t>
      </w:r>
      <w:proofErr w:type="spellStart"/>
      <w:r w:rsidR="00D178A7">
        <w:rPr>
          <w:rFonts w:ascii="Times New Roman" w:eastAsia="Times New Roman" w:hAnsi="Times New Roman" w:cs="Times New Roman"/>
          <w:sz w:val="24"/>
          <w:szCs w:val="24"/>
          <w:lang w:eastAsia="pt-BR"/>
        </w:rPr>
        <w:t>Glazebrook</w:t>
      </w:r>
      <w:proofErr w:type="spellEnd"/>
      <w:r w:rsidR="00D178A7">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p>
    <w:p w:rsidR="00DE30BC" w:rsidRPr="00F80F5B" w:rsidRDefault="00F6311E" w:rsidP="0048231B">
      <w:pPr>
        <w:spacing w:before="120" w:after="0" w:line="240" w:lineRule="auto"/>
        <w:ind w:left="2268"/>
        <w:jc w:val="both"/>
        <w:rPr>
          <w:rFonts w:ascii="Times New Roman" w:eastAsia="Times New Roman" w:hAnsi="Times New Roman" w:cs="Times New Roman"/>
          <w:lang w:eastAsia="pt-BR"/>
        </w:rPr>
      </w:pPr>
      <w:r w:rsidRPr="00F80F5B">
        <w:rPr>
          <w:rFonts w:ascii="Times New Roman" w:eastAsia="Times New Roman" w:hAnsi="Times New Roman" w:cs="Times New Roman"/>
          <w:lang w:eastAsia="pt-BR"/>
        </w:rPr>
        <w:t xml:space="preserve">Certamente não existiria Confederação em 1867 sem a </w:t>
      </w:r>
      <w:r w:rsidRPr="00F80F5B">
        <w:rPr>
          <w:rFonts w:ascii="Times New Roman" w:eastAsia="Times New Roman" w:hAnsi="Times New Roman" w:cs="Times New Roman"/>
          <w:i/>
          <w:lang w:eastAsia="pt-BR"/>
        </w:rPr>
        <w:t>Intercolonial</w:t>
      </w:r>
      <w:r w:rsidRPr="00F80F5B">
        <w:rPr>
          <w:rFonts w:ascii="Times New Roman" w:eastAsia="Times New Roman" w:hAnsi="Times New Roman" w:cs="Times New Roman"/>
          <w:lang w:eastAsia="pt-BR"/>
        </w:rPr>
        <w:t xml:space="preserve">, mas poderia haver a </w:t>
      </w:r>
      <w:r w:rsidRPr="00F80F5B">
        <w:rPr>
          <w:rFonts w:ascii="Times New Roman" w:eastAsia="Times New Roman" w:hAnsi="Times New Roman" w:cs="Times New Roman"/>
          <w:i/>
          <w:lang w:eastAsia="pt-BR"/>
        </w:rPr>
        <w:t>Intercolonial</w:t>
      </w:r>
      <w:r w:rsidRPr="00F80F5B">
        <w:rPr>
          <w:rFonts w:ascii="Times New Roman" w:eastAsia="Times New Roman" w:hAnsi="Times New Roman" w:cs="Times New Roman"/>
          <w:lang w:eastAsia="pt-BR"/>
        </w:rPr>
        <w:t xml:space="preserve"> sem a Confederação. A maioria nas Províncias Marítimas provavelmente preferiria a ferrovia sem </w:t>
      </w:r>
      <w:r w:rsidR="00BB6B46" w:rsidRPr="00F80F5B">
        <w:rPr>
          <w:rFonts w:ascii="Times New Roman" w:eastAsia="Times New Roman" w:hAnsi="Times New Roman" w:cs="Times New Roman"/>
          <w:lang w:eastAsia="pt-BR"/>
        </w:rPr>
        <w:t>a U</w:t>
      </w:r>
      <w:r w:rsidRPr="00F80F5B">
        <w:rPr>
          <w:rFonts w:ascii="Times New Roman" w:eastAsia="Times New Roman" w:hAnsi="Times New Roman" w:cs="Times New Roman"/>
          <w:lang w:eastAsia="pt-BR"/>
        </w:rPr>
        <w:t xml:space="preserve">nião, e a maioria no Canadá preferiria a </w:t>
      </w:r>
      <w:r w:rsidR="00BB6B46" w:rsidRPr="00F80F5B">
        <w:rPr>
          <w:rFonts w:ascii="Times New Roman" w:eastAsia="Times New Roman" w:hAnsi="Times New Roman" w:cs="Times New Roman"/>
          <w:lang w:eastAsia="pt-BR"/>
        </w:rPr>
        <w:t>U</w:t>
      </w:r>
      <w:r w:rsidRPr="00F80F5B">
        <w:rPr>
          <w:rFonts w:ascii="Times New Roman" w:eastAsia="Times New Roman" w:hAnsi="Times New Roman" w:cs="Times New Roman"/>
          <w:lang w:eastAsia="pt-BR"/>
        </w:rPr>
        <w:t>nião sem a ferrovia</w:t>
      </w:r>
      <w:r w:rsidR="00DE30BC" w:rsidRPr="00F80F5B">
        <w:rPr>
          <w:rFonts w:ascii="Times New Roman" w:eastAsia="Times New Roman" w:hAnsi="Times New Roman" w:cs="Times New Roman"/>
          <w:lang w:eastAsia="pt-BR"/>
        </w:rPr>
        <w:t xml:space="preserve">. </w:t>
      </w:r>
      <w:r w:rsidR="00BB6B46" w:rsidRPr="00F80F5B">
        <w:rPr>
          <w:rFonts w:ascii="Times New Roman" w:eastAsia="Times New Roman" w:hAnsi="Times New Roman" w:cs="Times New Roman"/>
          <w:lang w:eastAsia="pt-BR"/>
        </w:rPr>
        <w:t>(</w:t>
      </w:r>
      <w:r w:rsidR="00DE30BC" w:rsidRPr="00F80F5B">
        <w:rPr>
          <w:rFonts w:ascii="Times New Roman" w:eastAsia="Times New Roman" w:hAnsi="Times New Roman" w:cs="Times New Roman"/>
          <w:lang w:eastAsia="pt-BR"/>
        </w:rPr>
        <w:t>GLAZEBROOK, 1964, p. 15</w:t>
      </w:r>
      <w:r w:rsidR="0054426C" w:rsidRPr="00F80F5B">
        <w:rPr>
          <w:rFonts w:ascii="Times New Roman" w:eastAsia="Times New Roman" w:hAnsi="Times New Roman" w:cs="Times New Roman"/>
          <w:lang w:eastAsia="pt-BR"/>
        </w:rPr>
        <w:t>, tradução nossa</w:t>
      </w:r>
      <w:r w:rsidR="00DE30BC" w:rsidRPr="00F80F5B">
        <w:rPr>
          <w:rFonts w:ascii="Times New Roman" w:eastAsia="Times New Roman" w:hAnsi="Times New Roman" w:cs="Times New Roman"/>
          <w:lang w:eastAsia="pt-BR"/>
        </w:rPr>
        <w:t>)</w:t>
      </w:r>
      <w:r w:rsidR="0054426C" w:rsidRPr="00F80F5B">
        <w:rPr>
          <w:rFonts w:ascii="Times New Roman" w:eastAsia="Times New Roman" w:hAnsi="Times New Roman" w:cs="Times New Roman"/>
          <w:lang w:eastAsia="pt-BR"/>
        </w:rPr>
        <w:t xml:space="preserve">. </w:t>
      </w:r>
    </w:p>
    <w:p w:rsidR="006B02A5" w:rsidRPr="002614BA" w:rsidRDefault="002614BA" w:rsidP="0048231B">
      <w:pPr>
        <w:tabs>
          <w:tab w:val="right" w:pos="8787"/>
        </w:tabs>
        <w:spacing w:before="120"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Porém</w:t>
      </w:r>
      <w:r w:rsidR="0054426C">
        <w:rPr>
          <w:rFonts w:ascii="Times New Roman" w:eastAsia="Times New Roman" w:hAnsi="Times New Roman" w:cs="Times New Roman"/>
          <w:sz w:val="24"/>
          <w:szCs w:val="24"/>
          <w:lang w:eastAsia="pt-BR"/>
        </w:rPr>
        <w:t>:</w:t>
      </w:r>
    </w:p>
    <w:p w:rsidR="00F6311E" w:rsidRPr="00F80F5B" w:rsidRDefault="00DE30BC" w:rsidP="002A5C54">
      <w:pPr>
        <w:spacing w:after="0" w:line="240" w:lineRule="auto"/>
        <w:ind w:left="2268"/>
        <w:jc w:val="both"/>
        <w:rPr>
          <w:rFonts w:ascii="Times New Roman" w:eastAsia="Times New Roman" w:hAnsi="Times New Roman" w:cs="Times New Roman"/>
          <w:lang w:eastAsia="pt-BR"/>
        </w:rPr>
      </w:pPr>
      <w:r w:rsidRPr="00F80F5B">
        <w:rPr>
          <w:rFonts w:ascii="Times New Roman" w:eastAsia="Times New Roman" w:hAnsi="Times New Roman" w:cs="Times New Roman"/>
          <w:lang w:eastAsia="pt-BR"/>
        </w:rPr>
        <w:t xml:space="preserve">Sem a Confederação teria sido difícil, se não impossível, assegurar uma política de tarifas comuns. Essa política era considerada uma necessidade para a época, e era um importante argumento em favor da federação. </w:t>
      </w:r>
      <w:r w:rsidR="006B02A5" w:rsidRPr="00F80F5B">
        <w:rPr>
          <w:rFonts w:ascii="Times New Roman" w:eastAsia="Times New Roman" w:hAnsi="Times New Roman" w:cs="Times New Roman"/>
          <w:lang w:eastAsia="pt-BR"/>
        </w:rPr>
        <w:t xml:space="preserve">Na prática, no entanto, </w:t>
      </w:r>
      <w:r w:rsidR="007169A1" w:rsidRPr="00F80F5B">
        <w:rPr>
          <w:rFonts w:ascii="Times New Roman" w:eastAsia="Times New Roman" w:hAnsi="Times New Roman" w:cs="Times New Roman"/>
          <w:lang w:eastAsia="pt-BR"/>
        </w:rPr>
        <w:t>estava condicionad</w:t>
      </w:r>
      <w:r w:rsidR="000C2FBD" w:rsidRPr="00F80F5B">
        <w:rPr>
          <w:rFonts w:ascii="Times New Roman" w:eastAsia="Times New Roman" w:hAnsi="Times New Roman" w:cs="Times New Roman"/>
          <w:lang w:eastAsia="pt-BR"/>
        </w:rPr>
        <w:t>a</w:t>
      </w:r>
      <w:r w:rsidR="007169A1" w:rsidRPr="00F80F5B">
        <w:rPr>
          <w:rFonts w:ascii="Times New Roman" w:eastAsia="Times New Roman" w:hAnsi="Times New Roman" w:cs="Times New Roman"/>
          <w:lang w:eastAsia="pt-BR"/>
        </w:rPr>
        <w:t xml:space="preserve"> a ferrovia entre as províncias; que sem meios de transportes adequados, </w:t>
      </w:r>
      <w:r w:rsidR="000C2FBD" w:rsidRPr="00F80F5B">
        <w:rPr>
          <w:rFonts w:ascii="Times New Roman" w:eastAsia="Times New Roman" w:hAnsi="Times New Roman" w:cs="Times New Roman"/>
          <w:lang w:eastAsia="pt-BR"/>
        </w:rPr>
        <w:t>trariam</w:t>
      </w:r>
      <w:r w:rsidR="007169A1" w:rsidRPr="00F80F5B">
        <w:rPr>
          <w:rFonts w:ascii="Times New Roman" w:eastAsia="Times New Roman" w:hAnsi="Times New Roman" w:cs="Times New Roman"/>
          <w:lang w:eastAsia="pt-BR"/>
        </w:rPr>
        <w:t xml:space="preserve"> pouc</w:t>
      </w:r>
      <w:r w:rsidR="00611914" w:rsidRPr="00F80F5B">
        <w:rPr>
          <w:rFonts w:ascii="Times New Roman" w:eastAsia="Times New Roman" w:hAnsi="Times New Roman" w:cs="Times New Roman"/>
          <w:lang w:eastAsia="pt-BR"/>
        </w:rPr>
        <w:t xml:space="preserve">a </w:t>
      </w:r>
      <w:r w:rsidR="007169A1" w:rsidRPr="00F80F5B">
        <w:rPr>
          <w:rFonts w:ascii="Times New Roman" w:eastAsia="Times New Roman" w:hAnsi="Times New Roman" w:cs="Times New Roman"/>
          <w:lang w:eastAsia="pt-BR"/>
        </w:rPr>
        <w:t>esperança de um extensivo comércio interprovincial e</w:t>
      </w:r>
      <w:r w:rsidR="00611914" w:rsidRPr="00F80F5B">
        <w:rPr>
          <w:rFonts w:ascii="Times New Roman" w:eastAsia="Times New Roman" w:hAnsi="Times New Roman" w:cs="Times New Roman"/>
          <w:lang w:eastAsia="pt-BR"/>
        </w:rPr>
        <w:t>,</w:t>
      </w:r>
      <w:r w:rsidR="007169A1" w:rsidRPr="00F80F5B">
        <w:rPr>
          <w:rFonts w:ascii="Times New Roman" w:eastAsia="Times New Roman" w:hAnsi="Times New Roman" w:cs="Times New Roman"/>
          <w:lang w:eastAsia="pt-BR"/>
        </w:rPr>
        <w:t xml:space="preserve"> sem os mercados e ind</w:t>
      </w:r>
      <w:r w:rsidR="00611914" w:rsidRPr="00F80F5B">
        <w:rPr>
          <w:rFonts w:ascii="Times New Roman" w:eastAsia="Times New Roman" w:hAnsi="Times New Roman" w:cs="Times New Roman"/>
          <w:lang w:eastAsia="pt-BR"/>
        </w:rPr>
        <w:t>ú</w:t>
      </w:r>
      <w:r w:rsidR="007169A1" w:rsidRPr="00F80F5B">
        <w:rPr>
          <w:rFonts w:ascii="Times New Roman" w:eastAsia="Times New Roman" w:hAnsi="Times New Roman" w:cs="Times New Roman"/>
          <w:lang w:eastAsia="pt-BR"/>
        </w:rPr>
        <w:t xml:space="preserve">strias que poderiam ser construídos a partir das tarifas, poderia ser difícil a ferrovia ter um tráfego suficiente para </w:t>
      </w:r>
      <w:r w:rsidR="007169A1" w:rsidRPr="00F80F5B">
        <w:rPr>
          <w:rFonts w:ascii="Times New Roman" w:eastAsia="Times New Roman" w:hAnsi="Times New Roman" w:cs="Times New Roman"/>
          <w:lang w:eastAsia="pt-BR"/>
        </w:rPr>
        <w:lastRenderedPageBreak/>
        <w:t xml:space="preserve">sua </w:t>
      </w:r>
      <w:r w:rsidR="007937AB" w:rsidRPr="00F80F5B">
        <w:rPr>
          <w:rFonts w:ascii="Times New Roman" w:eastAsia="Times New Roman" w:hAnsi="Times New Roman" w:cs="Times New Roman"/>
          <w:lang w:eastAsia="pt-BR"/>
        </w:rPr>
        <w:t xml:space="preserve">implantação. </w:t>
      </w:r>
      <w:r w:rsidR="0036368A" w:rsidRPr="00F80F5B">
        <w:rPr>
          <w:rFonts w:ascii="Times New Roman" w:eastAsia="Times New Roman" w:hAnsi="Times New Roman" w:cs="Times New Roman"/>
          <w:lang w:eastAsia="pt-BR"/>
        </w:rPr>
        <w:t>[...]</w:t>
      </w:r>
      <w:r w:rsidR="007169A1" w:rsidRPr="00F80F5B">
        <w:rPr>
          <w:rFonts w:ascii="Times New Roman" w:eastAsia="Times New Roman" w:hAnsi="Times New Roman" w:cs="Times New Roman"/>
          <w:lang w:eastAsia="pt-BR"/>
        </w:rPr>
        <w:t xml:space="preserve"> Como uma fonte de receita as</w:t>
      </w:r>
      <w:r w:rsidR="004F28F3" w:rsidRPr="00F80F5B">
        <w:rPr>
          <w:rFonts w:ascii="Times New Roman" w:eastAsia="Times New Roman" w:hAnsi="Times New Roman" w:cs="Times New Roman"/>
          <w:lang w:eastAsia="pt-BR"/>
        </w:rPr>
        <w:t xml:space="preserve"> </w:t>
      </w:r>
      <w:r w:rsidR="007169A1" w:rsidRPr="00F80F5B">
        <w:rPr>
          <w:rFonts w:ascii="Times New Roman" w:eastAsia="Times New Roman" w:hAnsi="Times New Roman" w:cs="Times New Roman"/>
          <w:lang w:eastAsia="pt-BR"/>
        </w:rPr>
        <w:t>tarifas ajudaram a financiar as ferrovias</w:t>
      </w:r>
      <w:r w:rsidR="0095261D" w:rsidRPr="00F80F5B">
        <w:rPr>
          <w:rFonts w:ascii="Times New Roman" w:eastAsia="Times New Roman" w:hAnsi="Times New Roman" w:cs="Times New Roman"/>
          <w:lang w:eastAsia="pt-BR"/>
        </w:rPr>
        <w:t xml:space="preserve">, como na velha Província do Canadá; e como medida </w:t>
      </w:r>
      <w:r w:rsidR="00395EFE" w:rsidRPr="00F80F5B">
        <w:rPr>
          <w:rFonts w:ascii="Times New Roman" w:eastAsia="Times New Roman" w:hAnsi="Times New Roman" w:cs="Times New Roman"/>
          <w:lang w:eastAsia="pt-BR"/>
        </w:rPr>
        <w:t>protetora</w:t>
      </w:r>
      <w:r w:rsidR="0095261D" w:rsidRPr="00F80F5B">
        <w:rPr>
          <w:rFonts w:ascii="Times New Roman" w:eastAsia="Times New Roman" w:hAnsi="Times New Roman" w:cs="Times New Roman"/>
          <w:lang w:eastAsia="pt-BR"/>
        </w:rPr>
        <w:t xml:space="preserve"> contribuiu para criar e direcionar o tráfego (GLAZEBROOK, 1964, p. 15</w:t>
      </w:r>
      <w:r w:rsidR="0054426C" w:rsidRPr="00F80F5B">
        <w:rPr>
          <w:rFonts w:ascii="Times New Roman" w:eastAsia="Times New Roman" w:hAnsi="Times New Roman" w:cs="Times New Roman"/>
          <w:lang w:eastAsia="pt-BR"/>
        </w:rPr>
        <w:t>, tradução nossa</w:t>
      </w:r>
      <w:r w:rsidR="0095261D" w:rsidRPr="00F80F5B">
        <w:rPr>
          <w:rFonts w:ascii="Times New Roman" w:eastAsia="Times New Roman" w:hAnsi="Times New Roman" w:cs="Times New Roman"/>
          <w:lang w:eastAsia="pt-BR"/>
        </w:rPr>
        <w:t>)</w:t>
      </w:r>
      <w:r w:rsidR="006D12D1" w:rsidRPr="00F80F5B">
        <w:rPr>
          <w:rFonts w:ascii="Times New Roman" w:eastAsia="Times New Roman" w:hAnsi="Times New Roman" w:cs="Times New Roman"/>
          <w:lang w:eastAsia="pt-BR"/>
        </w:rPr>
        <w:t>.</w:t>
      </w:r>
    </w:p>
    <w:p w:rsidR="008D1857" w:rsidRPr="008413D6" w:rsidRDefault="00C5041E" w:rsidP="002A5C54">
      <w:pPr>
        <w:spacing w:after="0" w:line="24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sz w:val="24"/>
          <w:szCs w:val="24"/>
          <w:lang w:eastAsia="pt-BR"/>
        </w:rPr>
        <w:t xml:space="preserve">Feita a ligação entre o Canadá </w:t>
      </w:r>
      <w:r w:rsidR="005C614C">
        <w:rPr>
          <w:rFonts w:ascii="Times New Roman" w:eastAsia="Times New Roman" w:hAnsi="Times New Roman" w:cs="Times New Roman"/>
          <w:sz w:val="24"/>
          <w:szCs w:val="24"/>
          <w:lang w:eastAsia="pt-BR"/>
        </w:rPr>
        <w:t>C</w:t>
      </w:r>
      <w:r>
        <w:rPr>
          <w:rFonts w:ascii="Times New Roman" w:eastAsia="Times New Roman" w:hAnsi="Times New Roman" w:cs="Times New Roman"/>
          <w:sz w:val="24"/>
          <w:szCs w:val="24"/>
          <w:lang w:eastAsia="pt-BR"/>
        </w:rPr>
        <w:t xml:space="preserve">entral e as Províncias Marítimas, ainda restava o </w:t>
      </w:r>
      <w:r w:rsidR="008413D6">
        <w:rPr>
          <w:rFonts w:ascii="Times New Roman" w:eastAsia="Times New Roman" w:hAnsi="Times New Roman" w:cs="Times New Roman"/>
          <w:sz w:val="24"/>
          <w:szCs w:val="24"/>
          <w:lang w:eastAsia="pt-BR"/>
        </w:rPr>
        <w:t xml:space="preserve">desafio de obter </w:t>
      </w:r>
      <w:r>
        <w:rPr>
          <w:rFonts w:ascii="Times New Roman" w:eastAsia="Times New Roman" w:hAnsi="Times New Roman" w:cs="Times New Roman"/>
          <w:sz w:val="24"/>
          <w:szCs w:val="24"/>
          <w:lang w:eastAsia="pt-BR"/>
        </w:rPr>
        <w:t>a ligação entre o leste e o oeste, uma ferrovia transcontinental que deveria chegar até o Oceano Pacífico. Para a sua construção</w:t>
      </w:r>
      <w:r w:rsidR="00845467">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vários fatores tornaram-se preponderantes: a necessidade de meios de transporte que ligassem o leste canadense </w:t>
      </w:r>
      <w:r w:rsidR="00845467">
        <w:rPr>
          <w:rFonts w:ascii="Times New Roman" w:eastAsia="Times New Roman" w:hAnsi="Times New Roman" w:cs="Times New Roman"/>
          <w:sz w:val="24"/>
          <w:szCs w:val="24"/>
          <w:lang w:eastAsia="pt-BR"/>
        </w:rPr>
        <w:t>à</w:t>
      </w:r>
      <w:r>
        <w:rPr>
          <w:rFonts w:ascii="Times New Roman" w:eastAsia="Times New Roman" w:hAnsi="Times New Roman" w:cs="Times New Roman"/>
          <w:sz w:val="24"/>
          <w:szCs w:val="24"/>
          <w:lang w:eastAsia="pt-BR"/>
        </w:rPr>
        <w:t xml:space="preserve">s pradarias do oeste, a construção da </w:t>
      </w:r>
      <w:proofErr w:type="spellStart"/>
      <w:r w:rsidRPr="00845467">
        <w:rPr>
          <w:rFonts w:ascii="Times New Roman" w:eastAsia="Times New Roman" w:hAnsi="Times New Roman" w:cs="Times New Roman"/>
          <w:i/>
          <w:sz w:val="24"/>
          <w:szCs w:val="24"/>
          <w:lang w:eastAsia="pt-BR"/>
        </w:rPr>
        <w:t>Northern</w:t>
      </w:r>
      <w:proofErr w:type="spellEnd"/>
      <w:r w:rsidRPr="00845467">
        <w:rPr>
          <w:rFonts w:ascii="Times New Roman" w:eastAsia="Times New Roman" w:hAnsi="Times New Roman" w:cs="Times New Roman"/>
          <w:i/>
          <w:sz w:val="24"/>
          <w:szCs w:val="24"/>
          <w:lang w:eastAsia="pt-BR"/>
        </w:rPr>
        <w:t xml:space="preserve"> Pacific Railway</w:t>
      </w:r>
      <w:r w:rsidR="004B7063">
        <w:rPr>
          <w:rStyle w:val="Refdenotaderodap"/>
          <w:rFonts w:ascii="Times New Roman" w:eastAsia="Times New Roman" w:hAnsi="Times New Roman" w:cs="Times New Roman"/>
          <w:sz w:val="24"/>
          <w:szCs w:val="24"/>
          <w:lang w:eastAsia="pt-BR"/>
        </w:rPr>
        <w:footnoteReference w:id="9"/>
      </w:r>
      <w:r>
        <w:rPr>
          <w:rFonts w:ascii="Times New Roman" w:eastAsia="Times New Roman" w:hAnsi="Times New Roman" w:cs="Times New Roman"/>
          <w:sz w:val="24"/>
          <w:szCs w:val="24"/>
          <w:lang w:eastAsia="pt-BR"/>
        </w:rPr>
        <w:t xml:space="preserve"> nos Estados U</w:t>
      </w:r>
      <w:r w:rsidR="004B7063">
        <w:rPr>
          <w:rFonts w:ascii="Times New Roman" w:eastAsia="Times New Roman" w:hAnsi="Times New Roman" w:cs="Times New Roman"/>
          <w:sz w:val="24"/>
          <w:szCs w:val="24"/>
          <w:lang w:eastAsia="pt-BR"/>
        </w:rPr>
        <w:t>nidos</w:t>
      </w:r>
      <w:r w:rsidR="00845467">
        <w:rPr>
          <w:rFonts w:ascii="Times New Roman" w:eastAsia="Times New Roman" w:hAnsi="Times New Roman" w:cs="Times New Roman"/>
          <w:sz w:val="24"/>
          <w:szCs w:val="24"/>
          <w:lang w:eastAsia="pt-BR"/>
        </w:rPr>
        <w:t>,</w:t>
      </w:r>
      <w:r w:rsidR="004B7063">
        <w:rPr>
          <w:rFonts w:ascii="Times New Roman" w:eastAsia="Times New Roman" w:hAnsi="Times New Roman" w:cs="Times New Roman"/>
          <w:sz w:val="24"/>
          <w:szCs w:val="24"/>
          <w:lang w:eastAsia="pt-BR"/>
        </w:rPr>
        <w:t xml:space="preserve"> iniciada em 1870</w:t>
      </w:r>
      <w:r w:rsidR="00845467">
        <w:rPr>
          <w:rFonts w:ascii="Times New Roman" w:eastAsia="Times New Roman" w:hAnsi="Times New Roman" w:cs="Times New Roman"/>
          <w:sz w:val="24"/>
          <w:szCs w:val="24"/>
          <w:lang w:eastAsia="pt-BR"/>
        </w:rPr>
        <w:t>,</w:t>
      </w:r>
      <w:r w:rsidR="004B7063">
        <w:rPr>
          <w:rFonts w:ascii="Times New Roman" w:eastAsia="Times New Roman" w:hAnsi="Times New Roman" w:cs="Times New Roman"/>
          <w:sz w:val="24"/>
          <w:szCs w:val="24"/>
          <w:lang w:eastAsia="pt-BR"/>
        </w:rPr>
        <w:t xml:space="preserve"> que ameaçava as fronteiras</w:t>
      </w:r>
      <w:r w:rsidR="00845467">
        <w:rPr>
          <w:rFonts w:ascii="Times New Roman" w:eastAsia="Times New Roman" w:hAnsi="Times New Roman" w:cs="Times New Roman"/>
          <w:sz w:val="24"/>
          <w:szCs w:val="24"/>
          <w:lang w:eastAsia="pt-BR"/>
        </w:rPr>
        <w:t>,</w:t>
      </w:r>
      <w:r w:rsidR="004B7063">
        <w:rPr>
          <w:rFonts w:ascii="Times New Roman" w:eastAsia="Times New Roman" w:hAnsi="Times New Roman" w:cs="Times New Roman"/>
          <w:sz w:val="24"/>
          <w:szCs w:val="24"/>
          <w:lang w:eastAsia="pt-BR"/>
        </w:rPr>
        <w:t xml:space="preserve"> e a exigência </w:t>
      </w:r>
      <w:r w:rsidR="002C2C63">
        <w:rPr>
          <w:rFonts w:ascii="Times New Roman" w:eastAsia="Times New Roman" w:hAnsi="Times New Roman" w:cs="Times New Roman"/>
          <w:sz w:val="24"/>
          <w:szCs w:val="24"/>
          <w:lang w:eastAsia="pt-BR"/>
        </w:rPr>
        <w:t>da Colúmbia Britânica</w:t>
      </w:r>
      <w:r w:rsidR="004B7063">
        <w:rPr>
          <w:rFonts w:ascii="Times New Roman" w:eastAsia="Times New Roman" w:hAnsi="Times New Roman" w:cs="Times New Roman"/>
          <w:sz w:val="24"/>
          <w:szCs w:val="24"/>
          <w:lang w:eastAsia="pt-BR"/>
        </w:rPr>
        <w:t xml:space="preserve"> de uma ferrovia que integrasse o país para ingressar na Confederação</w:t>
      </w:r>
      <w:r w:rsidR="008047FD">
        <w:rPr>
          <w:rFonts w:ascii="Times New Roman" w:eastAsia="Times New Roman" w:hAnsi="Times New Roman" w:cs="Times New Roman"/>
          <w:sz w:val="24"/>
          <w:szCs w:val="24"/>
          <w:lang w:eastAsia="pt-BR"/>
        </w:rPr>
        <w:t xml:space="preserve"> (FRANCIS; </w:t>
      </w:r>
      <w:r w:rsidR="00264D70">
        <w:rPr>
          <w:rFonts w:ascii="Times New Roman" w:eastAsia="Times New Roman" w:hAnsi="Times New Roman" w:cs="Times New Roman"/>
          <w:sz w:val="24"/>
          <w:szCs w:val="24"/>
          <w:lang w:eastAsia="pt-BR"/>
        </w:rPr>
        <w:t xml:space="preserve">JONES; SMITH, 2010, </w:t>
      </w:r>
      <w:r w:rsidR="008047FD">
        <w:rPr>
          <w:rFonts w:ascii="Times New Roman" w:eastAsia="Times New Roman" w:hAnsi="Times New Roman" w:cs="Times New Roman"/>
          <w:sz w:val="24"/>
          <w:szCs w:val="24"/>
          <w:lang w:eastAsia="pt-BR"/>
        </w:rPr>
        <w:t>p.284-287)</w:t>
      </w:r>
      <w:r w:rsidR="004B7063">
        <w:rPr>
          <w:rFonts w:ascii="Times New Roman" w:eastAsia="Times New Roman" w:hAnsi="Times New Roman" w:cs="Times New Roman"/>
          <w:sz w:val="24"/>
          <w:szCs w:val="24"/>
          <w:lang w:eastAsia="pt-BR"/>
        </w:rPr>
        <w:t xml:space="preserve">. Visando responder </w:t>
      </w:r>
      <w:r w:rsidR="00845467">
        <w:rPr>
          <w:rFonts w:ascii="Times New Roman" w:eastAsia="Times New Roman" w:hAnsi="Times New Roman" w:cs="Times New Roman"/>
          <w:sz w:val="24"/>
          <w:szCs w:val="24"/>
          <w:lang w:eastAsia="pt-BR"/>
        </w:rPr>
        <w:t xml:space="preserve">a </w:t>
      </w:r>
      <w:r w:rsidR="004B7063">
        <w:rPr>
          <w:rFonts w:ascii="Times New Roman" w:eastAsia="Times New Roman" w:hAnsi="Times New Roman" w:cs="Times New Roman"/>
          <w:sz w:val="24"/>
          <w:szCs w:val="24"/>
          <w:lang w:eastAsia="pt-BR"/>
        </w:rPr>
        <w:t>essas questões surge o projeto da ferrovia transcontinental</w:t>
      </w:r>
      <w:r w:rsidR="00390A78">
        <w:rPr>
          <w:rFonts w:ascii="Times New Roman" w:eastAsia="Times New Roman" w:hAnsi="Times New Roman" w:cs="Times New Roman"/>
          <w:sz w:val="24"/>
          <w:szCs w:val="24"/>
          <w:lang w:eastAsia="pt-BR"/>
        </w:rPr>
        <w:t>.</w:t>
      </w:r>
      <w:r w:rsidR="008413D6">
        <w:rPr>
          <w:rFonts w:ascii="Times New Roman" w:eastAsia="Times New Roman" w:hAnsi="Times New Roman" w:cs="Times New Roman"/>
          <w:sz w:val="24"/>
          <w:szCs w:val="24"/>
          <w:lang w:eastAsia="pt-BR"/>
        </w:rPr>
        <w:t xml:space="preserve"> </w:t>
      </w:r>
    </w:p>
    <w:p w:rsidR="00ED6841" w:rsidRDefault="004B7063"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 o intuito de barrar o expansionismo estadunidense</w:t>
      </w:r>
      <w:r w:rsidR="009F36A5">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era considerado estratégico para o período que a ferrovia fosse construída de uma </w:t>
      </w:r>
      <w:r w:rsidR="002501F1">
        <w:rPr>
          <w:rFonts w:ascii="Times New Roman" w:eastAsia="Times New Roman" w:hAnsi="Times New Roman" w:cs="Times New Roman"/>
          <w:sz w:val="24"/>
          <w:szCs w:val="24"/>
          <w:lang w:eastAsia="pt-BR"/>
        </w:rPr>
        <w:t>só vez,</w:t>
      </w:r>
      <w:r>
        <w:rPr>
          <w:rFonts w:ascii="Times New Roman" w:eastAsia="Times New Roman" w:hAnsi="Times New Roman" w:cs="Times New Roman"/>
          <w:sz w:val="24"/>
          <w:szCs w:val="24"/>
          <w:lang w:eastAsia="pt-BR"/>
        </w:rPr>
        <w:t xml:space="preserve"> mesmo que isso implicasse em uma obra superdimensionada pa</w:t>
      </w:r>
      <w:r w:rsidR="002501F1">
        <w:rPr>
          <w:rFonts w:ascii="Times New Roman" w:eastAsia="Times New Roman" w:hAnsi="Times New Roman" w:cs="Times New Roman"/>
          <w:sz w:val="24"/>
          <w:szCs w:val="24"/>
          <w:lang w:eastAsia="pt-BR"/>
        </w:rPr>
        <w:t xml:space="preserve">ra as demandas de utilização da época. Era também uma exigência do governo que a rota escolhida fosse inteiramente construída dentro do território </w:t>
      </w:r>
      <w:r w:rsidR="00390A78">
        <w:rPr>
          <w:rFonts w:ascii="Times New Roman" w:eastAsia="Times New Roman" w:hAnsi="Times New Roman" w:cs="Times New Roman"/>
          <w:sz w:val="24"/>
          <w:szCs w:val="24"/>
          <w:lang w:eastAsia="pt-BR"/>
        </w:rPr>
        <w:t>do país</w:t>
      </w:r>
      <w:r w:rsidR="009F36A5">
        <w:rPr>
          <w:rFonts w:ascii="Times New Roman" w:eastAsia="Times New Roman" w:hAnsi="Times New Roman" w:cs="Times New Roman"/>
          <w:sz w:val="24"/>
          <w:szCs w:val="24"/>
          <w:lang w:eastAsia="pt-BR"/>
        </w:rPr>
        <w:t>,</w:t>
      </w:r>
      <w:r w:rsidR="00077808">
        <w:rPr>
          <w:rFonts w:ascii="Times New Roman" w:eastAsia="Times New Roman" w:hAnsi="Times New Roman" w:cs="Times New Roman"/>
          <w:sz w:val="24"/>
          <w:szCs w:val="24"/>
          <w:lang w:eastAsia="pt-BR"/>
        </w:rPr>
        <w:t xml:space="preserve"> </w:t>
      </w:r>
      <w:r w:rsidR="002501F1">
        <w:rPr>
          <w:rFonts w:ascii="Times New Roman" w:eastAsia="Times New Roman" w:hAnsi="Times New Roman" w:cs="Times New Roman"/>
          <w:sz w:val="24"/>
          <w:szCs w:val="24"/>
          <w:lang w:eastAsia="pt-BR"/>
        </w:rPr>
        <w:t xml:space="preserve">passando ao norte dos Grandes Lagos, através do Escudo Canadense, uma região que implicava diversos desafios técnicos de engenharia e elevados custos de construção. Outra exigência era </w:t>
      </w:r>
      <w:r w:rsidR="008413D6">
        <w:rPr>
          <w:rFonts w:ascii="Times New Roman" w:eastAsia="Times New Roman" w:hAnsi="Times New Roman" w:cs="Times New Roman"/>
          <w:sz w:val="24"/>
          <w:szCs w:val="24"/>
          <w:lang w:eastAsia="pt-BR"/>
        </w:rPr>
        <w:t xml:space="preserve">a </w:t>
      </w:r>
      <w:r w:rsidR="002501F1">
        <w:rPr>
          <w:rFonts w:ascii="Times New Roman" w:eastAsia="Times New Roman" w:hAnsi="Times New Roman" w:cs="Times New Roman"/>
          <w:sz w:val="24"/>
          <w:szCs w:val="24"/>
          <w:lang w:eastAsia="pt-BR"/>
        </w:rPr>
        <w:t xml:space="preserve">de que os proprietários da ferrovia teriam de ser canadenses e não </w:t>
      </w:r>
      <w:r w:rsidR="007A7638">
        <w:rPr>
          <w:rFonts w:ascii="Times New Roman" w:eastAsia="Times New Roman" w:hAnsi="Times New Roman" w:cs="Times New Roman"/>
          <w:sz w:val="24"/>
          <w:szCs w:val="24"/>
          <w:lang w:eastAsia="pt-BR"/>
        </w:rPr>
        <w:t>estadunidenses</w:t>
      </w:r>
      <w:r w:rsidR="002501F1">
        <w:rPr>
          <w:rFonts w:ascii="Times New Roman" w:eastAsia="Times New Roman" w:hAnsi="Times New Roman" w:cs="Times New Roman"/>
          <w:sz w:val="24"/>
          <w:szCs w:val="24"/>
          <w:lang w:eastAsia="pt-BR"/>
        </w:rPr>
        <w:t xml:space="preserve">. </w:t>
      </w:r>
      <w:r w:rsidR="00405082">
        <w:rPr>
          <w:rFonts w:ascii="Times New Roman" w:eastAsia="Times New Roman" w:hAnsi="Times New Roman" w:cs="Times New Roman"/>
          <w:sz w:val="24"/>
          <w:szCs w:val="24"/>
          <w:lang w:eastAsia="pt-BR"/>
        </w:rPr>
        <w:t>Os</w:t>
      </w:r>
      <w:r w:rsidR="002501F1">
        <w:rPr>
          <w:rFonts w:ascii="Times New Roman" w:eastAsia="Times New Roman" w:hAnsi="Times New Roman" w:cs="Times New Roman"/>
          <w:sz w:val="24"/>
          <w:szCs w:val="24"/>
          <w:lang w:eastAsia="pt-BR"/>
        </w:rPr>
        <w:t xml:space="preserve"> riscos envolvidos em </w:t>
      </w:r>
      <w:r w:rsidR="00405082">
        <w:rPr>
          <w:rFonts w:ascii="Times New Roman" w:eastAsia="Times New Roman" w:hAnsi="Times New Roman" w:cs="Times New Roman"/>
          <w:sz w:val="24"/>
          <w:szCs w:val="24"/>
          <w:lang w:eastAsia="pt-BR"/>
        </w:rPr>
        <w:t xml:space="preserve">uma </w:t>
      </w:r>
      <w:r w:rsidR="002501F1">
        <w:rPr>
          <w:rFonts w:ascii="Times New Roman" w:eastAsia="Times New Roman" w:hAnsi="Times New Roman" w:cs="Times New Roman"/>
          <w:sz w:val="24"/>
          <w:szCs w:val="24"/>
          <w:lang w:eastAsia="pt-BR"/>
        </w:rPr>
        <w:t xml:space="preserve">obra de </w:t>
      </w:r>
      <w:r w:rsidR="008413D6">
        <w:rPr>
          <w:rFonts w:ascii="Times New Roman" w:eastAsia="Times New Roman" w:hAnsi="Times New Roman" w:cs="Times New Roman"/>
          <w:sz w:val="24"/>
          <w:szCs w:val="24"/>
          <w:lang w:eastAsia="pt-BR"/>
        </w:rPr>
        <w:t>grandes</w:t>
      </w:r>
      <w:r w:rsidR="002501F1">
        <w:rPr>
          <w:rFonts w:ascii="Times New Roman" w:eastAsia="Times New Roman" w:hAnsi="Times New Roman" w:cs="Times New Roman"/>
          <w:sz w:val="24"/>
          <w:szCs w:val="24"/>
          <w:lang w:eastAsia="pt-BR"/>
        </w:rPr>
        <w:t xml:space="preserve"> proporções, o re</w:t>
      </w:r>
      <w:r w:rsidR="00FE0DE1">
        <w:rPr>
          <w:rFonts w:ascii="Times New Roman" w:eastAsia="Times New Roman" w:hAnsi="Times New Roman" w:cs="Times New Roman"/>
          <w:sz w:val="24"/>
          <w:szCs w:val="24"/>
          <w:lang w:eastAsia="pt-BR"/>
        </w:rPr>
        <w:t xml:space="preserve">torno financeiro incerto da ferrovia e a exclusão das empresas </w:t>
      </w:r>
      <w:r w:rsidR="007A7638">
        <w:rPr>
          <w:rFonts w:ascii="Times New Roman" w:eastAsia="Times New Roman" w:hAnsi="Times New Roman" w:cs="Times New Roman"/>
          <w:sz w:val="24"/>
          <w:szCs w:val="24"/>
          <w:lang w:eastAsia="pt-BR"/>
        </w:rPr>
        <w:t xml:space="preserve">dos Estados Unidos </w:t>
      </w:r>
      <w:r w:rsidR="00FE0DE1">
        <w:rPr>
          <w:rFonts w:ascii="Times New Roman" w:eastAsia="Times New Roman" w:hAnsi="Times New Roman" w:cs="Times New Roman"/>
          <w:sz w:val="24"/>
          <w:szCs w:val="24"/>
          <w:lang w:eastAsia="pt-BR"/>
        </w:rPr>
        <w:t>do processo</w:t>
      </w:r>
      <w:r w:rsidR="00405082">
        <w:rPr>
          <w:rFonts w:ascii="Times New Roman" w:eastAsia="Times New Roman" w:hAnsi="Times New Roman" w:cs="Times New Roman"/>
          <w:sz w:val="24"/>
          <w:szCs w:val="24"/>
          <w:lang w:eastAsia="pt-BR"/>
        </w:rPr>
        <w:t>,</w:t>
      </w:r>
      <w:r w:rsidR="00FE0DE1">
        <w:rPr>
          <w:rFonts w:ascii="Times New Roman" w:eastAsia="Times New Roman" w:hAnsi="Times New Roman" w:cs="Times New Roman"/>
          <w:sz w:val="24"/>
          <w:szCs w:val="24"/>
          <w:lang w:eastAsia="pt-BR"/>
        </w:rPr>
        <w:t xml:space="preserve"> fizeram com que o governo tivesse que fornecer subsídios</w:t>
      </w:r>
      <w:r w:rsidR="008413D6">
        <w:rPr>
          <w:rFonts w:ascii="Times New Roman" w:eastAsia="Times New Roman" w:hAnsi="Times New Roman" w:cs="Times New Roman"/>
          <w:sz w:val="24"/>
          <w:szCs w:val="24"/>
          <w:lang w:eastAsia="pt-BR"/>
        </w:rPr>
        <w:t xml:space="preserve"> significativos</w:t>
      </w:r>
      <w:r w:rsidR="00FE0DE1">
        <w:rPr>
          <w:rFonts w:ascii="Times New Roman" w:eastAsia="Times New Roman" w:hAnsi="Times New Roman" w:cs="Times New Roman"/>
          <w:sz w:val="24"/>
          <w:szCs w:val="24"/>
          <w:lang w:eastAsia="pt-BR"/>
        </w:rPr>
        <w:t xml:space="preserve"> para gerar interesse na construção da </w:t>
      </w:r>
      <w:r w:rsidR="00ED6841">
        <w:rPr>
          <w:rFonts w:ascii="Times New Roman" w:eastAsia="Times New Roman" w:hAnsi="Times New Roman" w:cs="Times New Roman"/>
          <w:sz w:val="24"/>
          <w:szCs w:val="24"/>
          <w:lang w:eastAsia="pt-BR"/>
        </w:rPr>
        <w:t>transcontinental.</w:t>
      </w:r>
      <w:r w:rsidR="0056390B">
        <w:rPr>
          <w:rFonts w:ascii="Times New Roman" w:eastAsia="Times New Roman" w:hAnsi="Times New Roman" w:cs="Times New Roman"/>
          <w:sz w:val="24"/>
          <w:szCs w:val="24"/>
          <w:lang w:eastAsia="pt-BR"/>
        </w:rPr>
        <w:t xml:space="preserve"> </w:t>
      </w:r>
      <w:r w:rsidR="00ED6841">
        <w:rPr>
          <w:rFonts w:ascii="Times New Roman" w:eastAsia="Times New Roman" w:hAnsi="Times New Roman" w:cs="Times New Roman"/>
          <w:sz w:val="24"/>
          <w:szCs w:val="24"/>
          <w:lang w:eastAsia="pt-BR"/>
        </w:rPr>
        <w:t xml:space="preserve">A candidata natural para a </w:t>
      </w:r>
      <w:r w:rsidR="00BB6B46">
        <w:rPr>
          <w:rFonts w:ascii="Times New Roman" w:eastAsia="Times New Roman" w:hAnsi="Times New Roman" w:cs="Times New Roman"/>
          <w:sz w:val="24"/>
          <w:szCs w:val="24"/>
          <w:lang w:eastAsia="pt-BR"/>
        </w:rPr>
        <w:t>obra era</w:t>
      </w:r>
      <w:r w:rsidR="00ED6841">
        <w:rPr>
          <w:rFonts w:ascii="Times New Roman" w:eastAsia="Times New Roman" w:hAnsi="Times New Roman" w:cs="Times New Roman"/>
          <w:sz w:val="24"/>
          <w:szCs w:val="24"/>
          <w:lang w:eastAsia="pt-BR"/>
        </w:rPr>
        <w:t xml:space="preserve"> a </w:t>
      </w:r>
      <w:r w:rsidR="00ED6841" w:rsidRPr="009F36A5">
        <w:rPr>
          <w:rFonts w:ascii="Times New Roman" w:eastAsia="Times New Roman" w:hAnsi="Times New Roman" w:cs="Times New Roman"/>
          <w:i/>
          <w:sz w:val="24"/>
          <w:szCs w:val="24"/>
          <w:lang w:eastAsia="pt-BR"/>
        </w:rPr>
        <w:t xml:space="preserve">Grand </w:t>
      </w:r>
      <w:proofErr w:type="spellStart"/>
      <w:r w:rsidR="00ED6841" w:rsidRPr="009F36A5">
        <w:rPr>
          <w:rFonts w:ascii="Times New Roman" w:eastAsia="Times New Roman" w:hAnsi="Times New Roman" w:cs="Times New Roman"/>
          <w:i/>
          <w:sz w:val="24"/>
          <w:szCs w:val="24"/>
          <w:lang w:eastAsia="pt-BR"/>
        </w:rPr>
        <w:t>Trunk</w:t>
      </w:r>
      <w:proofErr w:type="spellEnd"/>
      <w:r w:rsidR="00ED6841" w:rsidRPr="009F36A5">
        <w:rPr>
          <w:rFonts w:ascii="Times New Roman" w:eastAsia="Times New Roman" w:hAnsi="Times New Roman" w:cs="Times New Roman"/>
          <w:i/>
          <w:sz w:val="24"/>
          <w:szCs w:val="24"/>
          <w:lang w:eastAsia="pt-BR"/>
        </w:rPr>
        <w:t xml:space="preserve"> Railway </w:t>
      </w:r>
      <w:proofErr w:type="spellStart"/>
      <w:r w:rsidR="00ED6841" w:rsidRPr="009F36A5">
        <w:rPr>
          <w:rFonts w:ascii="Times New Roman" w:eastAsia="Times New Roman" w:hAnsi="Times New Roman" w:cs="Times New Roman"/>
          <w:i/>
          <w:sz w:val="24"/>
          <w:szCs w:val="24"/>
          <w:lang w:eastAsia="pt-BR"/>
        </w:rPr>
        <w:t>Company</w:t>
      </w:r>
      <w:proofErr w:type="spellEnd"/>
      <w:r w:rsidR="00ED6841">
        <w:rPr>
          <w:rStyle w:val="Refdenotaderodap"/>
          <w:rFonts w:ascii="Times New Roman" w:eastAsia="Times New Roman" w:hAnsi="Times New Roman" w:cs="Times New Roman"/>
          <w:sz w:val="24"/>
          <w:szCs w:val="24"/>
          <w:lang w:eastAsia="pt-BR"/>
        </w:rPr>
        <w:footnoteReference w:id="10"/>
      </w:r>
      <w:r w:rsidR="00811D3C">
        <w:rPr>
          <w:rFonts w:ascii="Times New Roman" w:eastAsia="Times New Roman" w:hAnsi="Times New Roman" w:cs="Times New Roman"/>
          <w:sz w:val="24"/>
          <w:szCs w:val="24"/>
          <w:lang w:eastAsia="pt-BR"/>
        </w:rPr>
        <w:t xml:space="preserve">, mas mesmo com os subsídios governamentais a empresa se recusou a construir a </w:t>
      </w:r>
      <w:r w:rsidR="00F64D53">
        <w:rPr>
          <w:rFonts w:ascii="Times New Roman" w:eastAsia="Times New Roman" w:hAnsi="Times New Roman" w:cs="Times New Roman"/>
          <w:sz w:val="24"/>
          <w:szCs w:val="24"/>
          <w:lang w:eastAsia="pt-BR"/>
        </w:rPr>
        <w:t>ferrovia</w:t>
      </w:r>
      <w:r w:rsidR="00390A78">
        <w:rPr>
          <w:rFonts w:ascii="Times New Roman" w:eastAsia="Times New Roman" w:hAnsi="Times New Roman" w:cs="Times New Roman"/>
          <w:sz w:val="24"/>
          <w:szCs w:val="24"/>
          <w:lang w:eastAsia="pt-BR"/>
        </w:rPr>
        <w:t>, pois</w:t>
      </w:r>
      <w:r w:rsidR="00811D3C">
        <w:rPr>
          <w:rFonts w:ascii="Times New Roman" w:eastAsia="Times New Roman" w:hAnsi="Times New Roman" w:cs="Times New Roman"/>
          <w:sz w:val="24"/>
          <w:szCs w:val="24"/>
          <w:lang w:eastAsia="pt-BR"/>
        </w:rPr>
        <w:t xml:space="preserve"> exigia que alguns trechos </w:t>
      </w:r>
      <w:r w:rsidR="00F64D53">
        <w:rPr>
          <w:rFonts w:ascii="Times New Roman" w:eastAsia="Times New Roman" w:hAnsi="Times New Roman" w:cs="Times New Roman"/>
          <w:sz w:val="24"/>
          <w:szCs w:val="24"/>
          <w:lang w:eastAsia="pt-BR"/>
        </w:rPr>
        <w:t>fossem</w:t>
      </w:r>
      <w:r w:rsidR="00811D3C">
        <w:rPr>
          <w:rFonts w:ascii="Times New Roman" w:eastAsia="Times New Roman" w:hAnsi="Times New Roman" w:cs="Times New Roman"/>
          <w:sz w:val="24"/>
          <w:szCs w:val="24"/>
          <w:lang w:eastAsia="pt-BR"/>
        </w:rPr>
        <w:t xml:space="preserve"> ligados a ferrovias </w:t>
      </w:r>
      <w:r w:rsidR="00390A78">
        <w:rPr>
          <w:rFonts w:ascii="Times New Roman" w:eastAsia="Times New Roman" w:hAnsi="Times New Roman" w:cs="Times New Roman"/>
          <w:sz w:val="24"/>
          <w:szCs w:val="24"/>
          <w:lang w:eastAsia="pt-BR"/>
        </w:rPr>
        <w:t>dos Estados Unidos</w:t>
      </w:r>
      <w:r w:rsidR="00811D3C">
        <w:rPr>
          <w:rFonts w:ascii="Times New Roman" w:eastAsia="Times New Roman" w:hAnsi="Times New Roman" w:cs="Times New Roman"/>
          <w:sz w:val="24"/>
          <w:szCs w:val="24"/>
          <w:lang w:eastAsia="pt-BR"/>
        </w:rPr>
        <w:t xml:space="preserve"> e também não pretendia incluir trechos onde não houvesse demanda suficiente por transporte ferroviário</w:t>
      </w:r>
      <w:r w:rsidR="00DD78C5">
        <w:rPr>
          <w:rFonts w:ascii="Times New Roman" w:eastAsia="Times New Roman" w:hAnsi="Times New Roman" w:cs="Times New Roman"/>
          <w:sz w:val="24"/>
          <w:szCs w:val="24"/>
          <w:lang w:eastAsia="pt-BR"/>
        </w:rPr>
        <w:t xml:space="preserve"> (NORRIE; OWRAM; EMERY, 2007, p.198).</w:t>
      </w:r>
    </w:p>
    <w:p w:rsidR="00C05446" w:rsidRDefault="00C05446"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As primeiras tentativas de construção remontam </w:t>
      </w:r>
      <w:r w:rsidR="009F36A5">
        <w:rPr>
          <w:rFonts w:ascii="Times New Roman" w:eastAsia="Times New Roman" w:hAnsi="Times New Roman" w:cs="Times New Roman"/>
          <w:sz w:val="24"/>
          <w:szCs w:val="24"/>
          <w:lang w:eastAsia="pt-BR"/>
        </w:rPr>
        <w:t>a</w:t>
      </w:r>
      <w:r>
        <w:rPr>
          <w:rFonts w:ascii="Times New Roman" w:eastAsia="Times New Roman" w:hAnsi="Times New Roman" w:cs="Times New Roman"/>
          <w:sz w:val="24"/>
          <w:szCs w:val="24"/>
          <w:lang w:eastAsia="pt-BR"/>
        </w:rPr>
        <w:t>o primeiro mandato de John MacDonald c</w:t>
      </w:r>
      <w:r w:rsidR="009F36A5">
        <w:rPr>
          <w:rFonts w:ascii="Times New Roman" w:eastAsia="Times New Roman" w:hAnsi="Times New Roman" w:cs="Times New Roman"/>
          <w:sz w:val="24"/>
          <w:szCs w:val="24"/>
          <w:lang w:eastAsia="pt-BR"/>
        </w:rPr>
        <w:t>omo Primeiro Ministro.</w:t>
      </w:r>
      <w:r w:rsidR="008F04F2">
        <w:rPr>
          <w:rFonts w:ascii="Times New Roman" w:eastAsia="Times New Roman" w:hAnsi="Times New Roman" w:cs="Times New Roman"/>
          <w:sz w:val="24"/>
          <w:szCs w:val="24"/>
          <w:lang w:eastAsia="pt-BR"/>
        </w:rPr>
        <w:t xml:space="preserve"> </w:t>
      </w:r>
      <w:r w:rsidR="009F36A5">
        <w:rPr>
          <w:rFonts w:ascii="Times New Roman" w:eastAsia="Times New Roman" w:hAnsi="Times New Roman" w:cs="Times New Roman"/>
          <w:sz w:val="24"/>
          <w:szCs w:val="24"/>
          <w:lang w:eastAsia="pt-BR"/>
        </w:rPr>
        <w:t>P</w:t>
      </w:r>
      <w:r>
        <w:rPr>
          <w:rFonts w:ascii="Times New Roman" w:eastAsia="Times New Roman" w:hAnsi="Times New Roman" w:cs="Times New Roman"/>
          <w:sz w:val="24"/>
          <w:szCs w:val="24"/>
          <w:lang w:eastAsia="pt-BR"/>
        </w:rPr>
        <w:t>orém um escândalo de corrupção conhecido como o Escândalo do Pacífico</w:t>
      </w:r>
      <w:r>
        <w:rPr>
          <w:rStyle w:val="Refdenotaderodap"/>
          <w:rFonts w:ascii="Times New Roman" w:eastAsia="Times New Roman" w:hAnsi="Times New Roman" w:cs="Times New Roman"/>
          <w:sz w:val="24"/>
          <w:szCs w:val="24"/>
          <w:lang w:eastAsia="pt-BR"/>
        </w:rPr>
        <w:footnoteReference w:id="11"/>
      </w:r>
      <w:r>
        <w:rPr>
          <w:rFonts w:ascii="Times New Roman" w:eastAsia="Times New Roman" w:hAnsi="Times New Roman" w:cs="Times New Roman"/>
          <w:sz w:val="24"/>
          <w:szCs w:val="24"/>
          <w:lang w:eastAsia="pt-BR"/>
        </w:rPr>
        <w:t xml:space="preserve"> fez com que MacDonald renunciasse em 1873. Com a queda de MacDonald assumiu </w:t>
      </w:r>
      <w:r w:rsidR="00001760">
        <w:rPr>
          <w:rFonts w:ascii="Times New Roman" w:eastAsia="Times New Roman" w:hAnsi="Times New Roman" w:cs="Times New Roman"/>
          <w:sz w:val="24"/>
          <w:szCs w:val="24"/>
          <w:lang w:eastAsia="pt-BR"/>
        </w:rPr>
        <w:t>Alexander Mackenzie</w:t>
      </w:r>
      <w:r w:rsidR="009F36A5">
        <w:rPr>
          <w:rFonts w:ascii="Times New Roman" w:eastAsia="Times New Roman" w:hAnsi="Times New Roman" w:cs="Times New Roman"/>
          <w:sz w:val="24"/>
          <w:szCs w:val="24"/>
          <w:lang w:eastAsia="pt-BR"/>
        </w:rPr>
        <w:t>,</w:t>
      </w:r>
      <w:r w:rsidR="00001760">
        <w:rPr>
          <w:rFonts w:ascii="Times New Roman" w:eastAsia="Times New Roman" w:hAnsi="Times New Roman" w:cs="Times New Roman"/>
          <w:sz w:val="24"/>
          <w:szCs w:val="24"/>
          <w:lang w:eastAsia="pt-BR"/>
        </w:rPr>
        <w:t xml:space="preserve"> que iniciou a construção de alguns trechos, </w:t>
      </w:r>
      <w:r w:rsidR="009F36A5">
        <w:rPr>
          <w:rFonts w:ascii="Times New Roman" w:eastAsia="Times New Roman" w:hAnsi="Times New Roman" w:cs="Times New Roman"/>
          <w:sz w:val="24"/>
          <w:szCs w:val="24"/>
          <w:lang w:eastAsia="pt-BR"/>
        </w:rPr>
        <w:t>mas</w:t>
      </w:r>
      <w:r w:rsidR="00001760">
        <w:rPr>
          <w:rFonts w:ascii="Times New Roman" w:eastAsia="Times New Roman" w:hAnsi="Times New Roman" w:cs="Times New Roman"/>
          <w:sz w:val="24"/>
          <w:szCs w:val="24"/>
          <w:lang w:eastAsia="pt-BR"/>
        </w:rPr>
        <w:t xml:space="preserve"> a falta de investimentos públicos fez com que as obras seguissem de forma lenta e</w:t>
      </w:r>
      <w:r w:rsidR="00BB6B46">
        <w:rPr>
          <w:rFonts w:ascii="Times New Roman" w:eastAsia="Times New Roman" w:hAnsi="Times New Roman" w:cs="Times New Roman"/>
          <w:sz w:val="24"/>
          <w:szCs w:val="24"/>
          <w:lang w:eastAsia="pt-BR"/>
        </w:rPr>
        <w:t xml:space="preserve"> </w:t>
      </w:r>
      <w:r w:rsidR="008413D6">
        <w:rPr>
          <w:rFonts w:ascii="Times New Roman" w:eastAsia="Times New Roman" w:hAnsi="Times New Roman" w:cs="Times New Roman"/>
          <w:sz w:val="24"/>
          <w:szCs w:val="24"/>
          <w:lang w:eastAsia="pt-BR"/>
        </w:rPr>
        <w:t xml:space="preserve">foi </w:t>
      </w:r>
      <w:r w:rsidR="00001760">
        <w:rPr>
          <w:rFonts w:ascii="Times New Roman" w:eastAsia="Times New Roman" w:hAnsi="Times New Roman" w:cs="Times New Roman"/>
          <w:sz w:val="24"/>
          <w:szCs w:val="24"/>
          <w:lang w:eastAsia="pt-BR"/>
        </w:rPr>
        <w:t>apenas com a volta de MacDonald ao poder em 1878 que o projeto novamente ganh</w:t>
      </w:r>
      <w:r w:rsidR="009F36A5">
        <w:rPr>
          <w:rFonts w:ascii="Times New Roman" w:eastAsia="Times New Roman" w:hAnsi="Times New Roman" w:cs="Times New Roman"/>
          <w:sz w:val="24"/>
          <w:szCs w:val="24"/>
          <w:lang w:eastAsia="pt-BR"/>
        </w:rPr>
        <w:t>ou</w:t>
      </w:r>
      <w:r w:rsidR="00001760">
        <w:rPr>
          <w:rFonts w:ascii="Times New Roman" w:eastAsia="Times New Roman" w:hAnsi="Times New Roman" w:cs="Times New Roman"/>
          <w:sz w:val="24"/>
          <w:szCs w:val="24"/>
          <w:lang w:eastAsia="pt-BR"/>
        </w:rPr>
        <w:t xml:space="preserve"> </w:t>
      </w:r>
      <w:r w:rsidR="008F04F2">
        <w:rPr>
          <w:rFonts w:ascii="Times New Roman" w:eastAsia="Times New Roman" w:hAnsi="Times New Roman" w:cs="Times New Roman"/>
          <w:sz w:val="24"/>
          <w:szCs w:val="24"/>
          <w:lang w:eastAsia="pt-BR"/>
        </w:rPr>
        <w:t>folego</w:t>
      </w:r>
      <w:r w:rsidR="00DD78C5">
        <w:rPr>
          <w:rFonts w:ascii="Times New Roman" w:eastAsia="Times New Roman" w:hAnsi="Times New Roman" w:cs="Times New Roman"/>
          <w:sz w:val="24"/>
          <w:szCs w:val="24"/>
          <w:lang w:eastAsia="pt-BR"/>
        </w:rPr>
        <w:t xml:space="preserve"> (FRANCIS; JONES; SMITH, 2010, P.286).</w:t>
      </w:r>
    </w:p>
    <w:p w:rsidR="00390A78" w:rsidRDefault="00C05446"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Em outubro de 1880 </w:t>
      </w:r>
      <w:r w:rsidR="009F36A5">
        <w:rPr>
          <w:rFonts w:ascii="Times New Roman" w:eastAsia="Times New Roman" w:hAnsi="Times New Roman" w:cs="Times New Roman"/>
          <w:sz w:val="24"/>
          <w:szCs w:val="24"/>
          <w:lang w:eastAsia="pt-BR"/>
        </w:rPr>
        <w:t>foi</w:t>
      </w:r>
      <w:r w:rsidR="00390A78">
        <w:rPr>
          <w:rFonts w:ascii="Times New Roman" w:eastAsia="Times New Roman" w:hAnsi="Times New Roman" w:cs="Times New Roman"/>
          <w:sz w:val="24"/>
          <w:szCs w:val="24"/>
          <w:lang w:eastAsia="pt-BR"/>
        </w:rPr>
        <w:t xml:space="preserve"> assinado o contrato de construção entre o governo </w:t>
      </w:r>
      <w:r w:rsidR="00734DFC">
        <w:rPr>
          <w:rFonts w:ascii="Times New Roman" w:eastAsia="Times New Roman" w:hAnsi="Times New Roman" w:cs="Times New Roman"/>
          <w:sz w:val="24"/>
          <w:szCs w:val="24"/>
          <w:lang w:eastAsia="pt-BR"/>
        </w:rPr>
        <w:t xml:space="preserve">do Canadá e um grupo de investidores formado por George Stephen, Duncan </w:t>
      </w:r>
      <w:proofErr w:type="spellStart"/>
      <w:r w:rsidR="00734DFC">
        <w:rPr>
          <w:rFonts w:ascii="Times New Roman" w:eastAsia="Times New Roman" w:hAnsi="Times New Roman" w:cs="Times New Roman"/>
          <w:sz w:val="24"/>
          <w:szCs w:val="24"/>
          <w:lang w:eastAsia="pt-BR"/>
        </w:rPr>
        <w:t>McIntyre</w:t>
      </w:r>
      <w:proofErr w:type="spellEnd"/>
      <w:r w:rsidR="00734DFC">
        <w:rPr>
          <w:rFonts w:ascii="Times New Roman" w:eastAsia="Times New Roman" w:hAnsi="Times New Roman" w:cs="Times New Roman"/>
          <w:sz w:val="24"/>
          <w:szCs w:val="24"/>
          <w:lang w:eastAsia="pt-BR"/>
        </w:rPr>
        <w:t xml:space="preserve">, Richard Angus, James Hill e John S. Kennedy. Estes concordavam em construir a ferrovia em troca do valor de </w:t>
      </w:r>
      <w:r w:rsidR="002C2C63">
        <w:rPr>
          <w:rFonts w:ascii="Times New Roman" w:eastAsia="Times New Roman" w:hAnsi="Times New Roman" w:cs="Times New Roman"/>
          <w:sz w:val="24"/>
          <w:szCs w:val="24"/>
          <w:lang w:eastAsia="pt-BR"/>
        </w:rPr>
        <w:t>C</w:t>
      </w:r>
      <w:r w:rsidR="00734DFC">
        <w:rPr>
          <w:rFonts w:ascii="Times New Roman" w:eastAsia="Times New Roman" w:hAnsi="Times New Roman" w:cs="Times New Roman"/>
          <w:sz w:val="24"/>
          <w:szCs w:val="24"/>
          <w:lang w:eastAsia="pt-BR"/>
        </w:rPr>
        <w:t xml:space="preserve">$25 milhões e um terreno </w:t>
      </w:r>
      <w:r w:rsidR="00001760">
        <w:rPr>
          <w:rFonts w:ascii="Times New Roman" w:eastAsia="Times New Roman" w:hAnsi="Times New Roman" w:cs="Times New Roman"/>
          <w:sz w:val="24"/>
          <w:szCs w:val="24"/>
          <w:lang w:eastAsia="pt-BR"/>
        </w:rPr>
        <w:t>de 25 milhões de acres (</w:t>
      </w:r>
      <w:r w:rsidR="00734DFC">
        <w:rPr>
          <w:rFonts w:ascii="Times New Roman" w:eastAsia="Times New Roman" w:hAnsi="Times New Roman" w:cs="Times New Roman"/>
          <w:sz w:val="24"/>
          <w:szCs w:val="24"/>
          <w:lang w:eastAsia="pt-BR"/>
        </w:rPr>
        <w:t>10 milhões de hectares)</w:t>
      </w:r>
      <w:r w:rsidR="009F36A5">
        <w:rPr>
          <w:rFonts w:ascii="Times New Roman" w:eastAsia="Times New Roman" w:hAnsi="Times New Roman" w:cs="Times New Roman"/>
          <w:sz w:val="24"/>
          <w:szCs w:val="24"/>
          <w:lang w:eastAsia="pt-BR"/>
        </w:rPr>
        <w:t>.</w:t>
      </w:r>
      <w:r w:rsidR="008F04F2">
        <w:rPr>
          <w:rFonts w:ascii="Times New Roman" w:eastAsia="Times New Roman" w:hAnsi="Times New Roman" w:cs="Times New Roman"/>
          <w:sz w:val="24"/>
          <w:szCs w:val="24"/>
          <w:lang w:eastAsia="pt-BR"/>
        </w:rPr>
        <w:t xml:space="preserve"> </w:t>
      </w:r>
      <w:r w:rsidR="009F36A5">
        <w:rPr>
          <w:rFonts w:ascii="Times New Roman" w:eastAsia="Times New Roman" w:hAnsi="Times New Roman" w:cs="Times New Roman"/>
          <w:sz w:val="24"/>
          <w:szCs w:val="24"/>
          <w:lang w:eastAsia="pt-BR"/>
        </w:rPr>
        <w:t>O</w:t>
      </w:r>
      <w:r w:rsidR="00734DFC">
        <w:rPr>
          <w:rFonts w:ascii="Times New Roman" w:eastAsia="Times New Roman" w:hAnsi="Times New Roman" w:cs="Times New Roman"/>
          <w:sz w:val="24"/>
          <w:szCs w:val="24"/>
          <w:lang w:eastAsia="pt-BR"/>
        </w:rPr>
        <w:t xml:space="preserve"> governo também isentou a cobrança de impostos sobre o terreno pelo período de 20 anos</w:t>
      </w:r>
      <w:r w:rsidR="002C2C63">
        <w:rPr>
          <w:rFonts w:ascii="Times New Roman" w:eastAsia="Times New Roman" w:hAnsi="Times New Roman" w:cs="Times New Roman"/>
          <w:sz w:val="24"/>
          <w:szCs w:val="24"/>
          <w:lang w:eastAsia="pt-BR"/>
        </w:rPr>
        <w:t>. No ano seguinte</w:t>
      </w:r>
      <w:r w:rsidR="00734DFC">
        <w:rPr>
          <w:rFonts w:ascii="Times New Roman" w:eastAsia="Times New Roman" w:hAnsi="Times New Roman" w:cs="Times New Roman"/>
          <w:sz w:val="24"/>
          <w:szCs w:val="24"/>
          <w:lang w:eastAsia="pt-BR"/>
        </w:rPr>
        <w:t xml:space="preserve"> foi criada a </w:t>
      </w:r>
      <w:r w:rsidR="00734DFC" w:rsidRPr="009F36A5">
        <w:rPr>
          <w:rFonts w:ascii="Times New Roman" w:eastAsia="Times New Roman" w:hAnsi="Times New Roman" w:cs="Times New Roman"/>
          <w:i/>
          <w:sz w:val="24"/>
          <w:szCs w:val="24"/>
          <w:lang w:eastAsia="pt-BR"/>
        </w:rPr>
        <w:t>Canadian Pacific Railway Company</w:t>
      </w:r>
      <w:r w:rsidR="00734DFC">
        <w:rPr>
          <w:rFonts w:ascii="Times New Roman" w:eastAsia="Times New Roman" w:hAnsi="Times New Roman" w:cs="Times New Roman"/>
          <w:sz w:val="24"/>
          <w:szCs w:val="24"/>
          <w:lang w:eastAsia="pt-BR"/>
        </w:rPr>
        <w:t xml:space="preserve"> com o objetivo de </w:t>
      </w:r>
      <w:r w:rsidR="008A158C">
        <w:rPr>
          <w:rFonts w:ascii="Times New Roman" w:eastAsia="Times New Roman" w:hAnsi="Times New Roman" w:cs="Times New Roman"/>
          <w:sz w:val="24"/>
          <w:szCs w:val="24"/>
          <w:lang w:eastAsia="pt-BR"/>
        </w:rPr>
        <w:t xml:space="preserve">construir e </w:t>
      </w:r>
      <w:r w:rsidR="00734DFC">
        <w:rPr>
          <w:rFonts w:ascii="Times New Roman" w:eastAsia="Times New Roman" w:hAnsi="Times New Roman" w:cs="Times New Roman"/>
          <w:sz w:val="24"/>
          <w:szCs w:val="24"/>
          <w:lang w:eastAsia="pt-BR"/>
        </w:rPr>
        <w:t>administr</w:t>
      </w:r>
      <w:r w:rsidR="00530366">
        <w:rPr>
          <w:rFonts w:ascii="Times New Roman" w:eastAsia="Times New Roman" w:hAnsi="Times New Roman" w:cs="Times New Roman"/>
          <w:sz w:val="24"/>
          <w:szCs w:val="24"/>
          <w:lang w:eastAsia="pt-BR"/>
        </w:rPr>
        <w:t xml:space="preserve">ar a </w:t>
      </w:r>
      <w:r w:rsidR="00530366" w:rsidRPr="009F36A5">
        <w:rPr>
          <w:rFonts w:ascii="Times New Roman" w:eastAsia="Times New Roman" w:hAnsi="Times New Roman" w:cs="Times New Roman"/>
          <w:i/>
          <w:sz w:val="24"/>
          <w:szCs w:val="24"/>
          <w:lang w:eastAsia="pt-BR"/>
        </w:rPr>
        <w:t>Canadian Pacific Railway</w:t>
      </w:r>
      <w:r w:rsidR="00530366">
        <w:rPr>
          <w:rFonts w:ascii="Times New Roman" w:eastAsia="Times New Roman" w:hAnsi="Times New Roman" w:cs="Times New Roman"/>
          <w:sz w:val="24"/>
          <w:szCs w:val="24"/>
          <w:lang w:eastAsia="pt-BR"/>
        </w:rPr>
        <w:t xml:space="preserve"> (C</w:t>
      </w:r>
      <w:r w:rsidR="00DD78C5">
        <w:rPr>
          <w:rFonts w:ascii="Times New Roman" w:eastAsia="Times New Roman" w:hAnsi="Times New Roman" w:cs="Times New Roman"/>
          <w:sz w:val="24"/>
          <w:szCs w:val="24"/>
          <w:lang w:eastAsia="pt-BR"/>
        </w:rPr>
        <w:t xml:space="preserve">PR) (FRANCIS; JONES; SMITH; </w:t>
      </w:r>
      <w:r w:rsidR="0055647D">
        <w:rPr>
          <w:rFonts w:ascii="Times New Roman" w:eastAsia="Times New Roman" w:hAnsi="Times New Roman" w:cs="Times New Roman"/>
          <w:sz w:val="24"/>
          <w:szCs w:val="24"/>
          <w:lang w:eastAsia="pt-BR"/>
        </w:rPr>
        <w:t>2010, p.</w:t>
      </w:r>
      <w:r w:rsidR="00DD78C5">
        <w:rPr>
          <w:rFonts w:ascii="Times New Roman" w:eastAsia="Times New Roman" w:hAnsi="Times New Roman" w:cs="Times New Roman"/>
          <w:sz w:val="24"/>
          <w:szCs w:val="24"/>
          <w:lang w:eastAsia="pt-BR"/>
        </w:rPr>
        <w:t>286-287).</w:t>
      </w:r>
    </w:p>
    <w:p w:rsidR="00DF76A4" w:rsidRPr="008413D6" w:rsidRDefault="00530366" w:rsidP="00DF76A4">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 os subsídios governamentais</w:t>
      </w:r>
      <w:r w:rsidR="00DA3D49">
        <w:rPr>
          <w:rFonts w:ascii="Times New Roman" w:eastAsia="Times New Roman" w:hAnsi="Times New Roman" w:cs="Times New Roman"/>
          <w:sz w:val="24"/>
          <w:szCs w:val="24"/>
          <w:lang w:eastAsia="pt-BR"/>
        </w:rPr>
        <w:t xml:space="preserve"> e</w:t>
      </w:r>
      <w:r>
        <w:rPr>
          <w:rFonts w:ascii="Times New Roman" w:eastAsia="Times New Roman" w:hAnsi="Times New Roman" w:cs="Times New Roman"/>
          <w:sz w:val="24"/>
          <w:szCs w:val="24"/>
          <w:lang w:eastAsia="pt-BR"/>
        </w:rPr>
        <w:t xml:space="preserve"> a criaç</w:t>
      </w:r>
      <w:r w:rsidR="008224E0">
        <w:rPr>
          <w:rFonts w:ascii="Times New Roman" w:eastAsia="Times New Roman" w:hAnsi="Times New Roman" w:cs="Times New Roman"/>
          <w:sz w:val="24"/>
          <w:szCs w:val="24"/>
          <w:lang w:eastAsia="pt-BR"/>
        </w:rPr>
        <w:t xml:space="preserve">ão da </w:t>
      </w:r>
      <w:r w:rsidR="008224E0" w:rsidRPr="009F36A5">
        <w:rPr>
          <w:rFonts w:ascii="Times New Roman" w:eastAsia="Times New Roman" w:hAnsi="Times New Roman" w:cs="Times New Roman"/>
          <w:i/>
          <w:sz w:val="24"/>
          <w:szCs w:val="24"/>
          <w:lang w:eastAsia="pt-BR"/>
        </w:rPr>
        <w:t>Canadian Pacific Railway Company</w:t>
      </w:r>
      <w:r w:rsidR="00DA3D49">
        <w:rPr>
          <w:rFonts w:ascii="Times New Roman" w:eastAsia="Times New Roman" w:hAnsi="Times New Roman" w:cs="Times New Roman"/>
          <w:sz w:val="24"/>
          <w:szCs w:val="24"/>
          <w:lang w:eastAsia="pt-BR"/>
        </w:rPr>
        <w:t>,</w:t>
      </w:r>
      <w:r w:rsidR="008224E0">
        <w:rPr>
          <w:rFonts w:ascii="Times New Roman" w:eastAsia="Times New Roman" w:hAnsi="Times New Roman" w:cs="Times New Roman"/>
          <w:sz w:val="24"/>
          <w:szCs w:val="24"/>
          <w:lang w:eastAsia="pt-BR"/>
        </w:rPr>
        <w:t xml:space="preserve"> as obras começaram a avançar rapidamente </w:t>
      </w:r>
      <w:r w:rsidR="00BB6B46">
        <w:rPr>
          <w:rFonts w:ascii="Times New Roman" w:eastAsia="Times New Roman" w:hAnsi="Times New Roman" w:cs="Times New Roman"/>
          <w:sz w:val="24"/>
          <w:szCs w:val="24"/>
          <w:lang w:eastAsia="pt-BR"/>
        </w:rPr>
        <w:t>a partir de</w:t>
      </w:r>
      <w:r w:rsidR="008224E0">
        <w:rPr>
          <w:rFonts w:ascii="Times New Roman" w:eastAsia="Times New Roman" w:hAnsi="Times New Roman" w:cs="Times New Roman"/>
          <w:sz w:val="24"/>
          <w:szCs w:val="24"/>
          <w:lang w:eastAsia="pt-BR"/>
        </w:rPr>
        <w:t xml:space="preserve"> 1881. </w:t>
      </w:r>
      <w:r>
        <w:rPr>
          <w:rFonts w:ascii="Times New Roman" w:eastAsia="Times New Roman" w:hAnsi="Times New Roman" w:cs="Times New Roman"/>
          <w:sz w:val="24"/>
          <w:szCs w:val="24"/>
          <w:lang w:eastAsia="pt-BR"/>
        </w:rPr>
        <w:t xml:space="preserve">Milhares de imigrantes eram necessários e foram contratados para a </w:t>
      </w:r>
      <w:r w:rsidR="00F64D53">
        <w:rPr>
          <w:rFonts w:ascii="Times New Roman" w:eastAsia="Times New Roman" w:hAnsi="Times New Roman" w:cs="Times New Roman"/>
          <w:sz w:val="24"/>
          <w:szCs w:val="24"/>
          <w:lang w:eastAsia="pt-BR"/>
        </w:rPr>
        <w:t>obra</w:t>
      </w:r>
      <w:r w:rsidR="00077808">
        <w:rPr>
          <w:rFonts w:ascii="Times New Roman" w:eastAsia="Times New Roman" w:hAnsi="Times New Roman" w:cs="Times New Roman"/>
          <w:sz w:val="24"/>
          <w:szCs w:val="24"/>
          <w:lang w:eastAsia="pt-BR"/>
        </w:rPr>
        <w:t>. Em</w:t>
      </w:r>
      <w:r w:rsidR="00DA3D49" w:rsidRPr="00DA3D49">
        <w:rPr>
          <w:rFonts w:ascii="Times New Roman" w:eastAsia="Times New Roman" w:hAnsi="Times New Roman" w:cs="Times New Roman"/>
          <w:sz w:val="24"/>
          <w:szCs w:val="24"/>
          <w:lang w:eastAsia="pt-BR"/>
        </w:rPr>
        <w:t xml:space="preserve"> 1883 estava concluída a ligação entre o leste canadense e Winnipeg</w:t>
      </w:r>
      <w:r w:rsidR="009F36A5">
        <w:rPr>
          <w:rFonts w:ascii="Times New Roman" w:eastAsia="Times New Roman" w:hAnsi="Times New Roman" w:cs="Times New Roman"/>
          <w:sz w:val="24"/>
          <w:szCs w:val="24"/>
          <w:lang w:eastAsia="pt-BR"/>
        </w:rPr>
        <w:t>,</w:t>
      </w:r>
      <w:r w:rsidR="00DA3D49" w:rsidRPr="00DA3D49">
        <w:rPr>
          <w:rFonts w:ascii="Times New Roman" w:eastAsia="Times New Roman" w:hAnsi="Times New Roman" w:cs="Times New Roman"/>
          <w:sz w:val="24"/>
          <w:szCs w:val="24"/>
          <w:lang w:eastAsia="pt-BR"/>
        </w:rPr>
        <w:t xml:space="preserve"> e em 1885 foram concluídas obras nas montanhas de </w:t>
      </w:r>
      <w:r w:rsidR="002C2C63">
        <w:rPr>
          <w:rFonts w:ascii="Times New Roman" w:eastAsia="Times New Roman" w:hAnsi="Times New Roman" w:cs="Times New Roman"/>
          <w:sz w:val="24"/>
          <w:szCs w:val="24"/>
          <w:lang w:eastAsia="pt-BR"/>
        </w:rPr>
        <w:t>Colúmbia Britânica</w:t>
      </w:r>
      <w:r w:rsidR="00DA3D49" w:rsidRPr="00DA3D49">
        <w:rPr>
          <w:rFonts w:ascii="Times New Roman" w:eastAsia="Times New Roman" w:hAnsi="Times New Roman" w:cs="Times New Roman"/>
          <w:sz w:val="24"/>
          <w:szCs w:val="24"/>
          <w:lang w:eastAsia="pt-BR"/>
        </w:rPr>
        <w:t xml:space="preserve"> e n</w:t>
      </w:r>
      <w:r w:rsidR="00DA3D49">
        <w:rPr>
          <w:rFonts w:ascii="Times New Roman" w:eastAsia="Times New Roman" w:hAnsi="Times New Roman" w:cs="Times New Roman"/>
          <w:sz w:val="24"/>
          <w:szCs w:val="24"/>
          <w:lang w:eastAsia="pt-BR"/>
        </w:rPr>
        <w:t xml:space="preserve">a margem norte do Lago </w:t>
      </w:r>
      <w:r w:rsidR="0005388C">
        <w:rPr>
          <w:rFonts w:ascii="Times New Roman" w:eastAsia="Times New Roman" w:hAnsi="Times New Roman" w:cs="Times New Roman"/>
          <w:sz w:val="24"/>
          <w:szCs w:val="24"/>
          <w:lang w:eastAsia="pt-BR"/>
        </w:rPr>
        <w:t>Superior.</w:t>
      </w:r>
      <w:r w:rsidR="008413D6">
        <w:rPr>
          <w:rFonts w:ascii="Times New Roman" w:eastAsia="Times New Roman" w:hAnsi="Times New Roman" w:cs="Times New Roman"/>
          <w:sz w:val="24"/>
          <w:szCs w:val="24"/>
          <w:lang w:eastAsia="pt-BR"/>
        </w:rPr>
        <w:t xml:space="preserve"> E</w:t>
      </w:r>
      <w:r w:rsidR="0005388C">
        <w:rPr>
          <w:rFonts w:ascii="Times New Roman" w:eastAsia="Times New Roman" w:hAnsi="Times New Roman" w:cs="Times New Roman"/>
          <w:sz w:val="24"/>
          <w:szCs w:val="24"/>
          <w:lang w:eastAsia="pt-BR"/>
        </w:rPr>
        <w:t xml:space="preserve"> </w:t>
      </w:r>
      <w:r w:rsidR="00DA3D49">
        <w:rPr>
          <w:rFonts w:ascii="Times New Roman" w:eastAsia="Times New Roman" w:hAnsi="Times New Roman" w:cs="Times New Roman"/>
          <w:sz w:val="24"/>
          <w:szCs w:val="24"/>
          <w:lang w:eastAsia="pt-BR"/>
        </w:rPr>
        <w:t xml:space="preserve">em novembro de 1885 o último trilho da ferrovia foi montado em </w:t>
      </w:r>
      <w:proofErr w:type="spellStart"/>
      <w:r w:rsidR="00DA3D49">
        <w:rPr>
          <w:rFonts w:ascii="Times New Roman" w:eastAsia="Times New Roman" w:hAnsi="Times New Roman" w:cs="Times New Roman"/>
          <w:sz w:val="24"/>
          <w:szCs w:val="24"/>
          <w:lang w:eastAsia="pt-BR"/>
        </w:rPr>
        <w:t>Craigellacie</w:t>
      </w:r>
      <w:proofErr w:type="spellEnd"/>
      <w:r w:rsidR="00DA3D49">
        <w:rPr>
          <w:rFonts w:ascii="Times New Roman" w:eastAsia="Times New Roman" w:hAnsi="Times New Roman" w:cs="Times New Roman"/>
          <w:sz w:val="24"/>
          <w:szCs w:val="24"/>
          <w:lang w:eastAsia="pt-BR"/>
        </w:rPr>
        <w:t xml:space="preserve"> (</w:t>
      </w:r>
      <w:r w:rsidR="002C2C63">
        <w:rPr>
          <w:rFonts w:ascii="Times New Roman" w:eastAsia="Times New Roman" w:hAnsi="Times New Roman" w:cs="Times New Roman"/>
          <w:sz w:val="24"/>
          <w:szCs w:val="24"/>
          <w:lang w:eastAsia="pt-BR"/>
        </w:rPr>
        <w:t>Colúmbia Britânica</w:t>
      </w:r>
      <w:r w:rsidR="00DA3D49">
        <w:rPr>
          <w:rFonts w:ascii="Times New Roman" w:eastAsia="Times New Roman" w:hAnsi="Times New Roman" w:cs="Times New Roman"/>
          <w:sz w:val="24"/>
          <w:szCs w:val="24"/>
          <w:lang w:eastAsia="pt-BR"/>
        </w:rPr>
        <w:t xml:space="preserve">), </w:t>
      </w:r>
      <w:r w:rsidR="00833C1E">
        <w:rPr>
          <w:rFonts w:ascii="Times New Roman" w:eastAsia="Times New Roman" w:hAnsi="Times New Roman" w:cs="Times New Roman"/>
          <w:sz w:val="24"/>
          <w:szCs w:val="24"/>
          <w:lang w:eastAsia="pt-BR"/>
        </w:rPr>
        <w:t xml:space="preserve">permitindo </w:t>
      </w:r>
      <w:r w:rsidR="005E4E67">
        <w:rPr>
          <w:rFonts w:ascii="Times New Roman" w:eastAsia="Times New Roman" w:hAnsi="Times New Roman" w:cs="Times New Roman"/>
          <w:sz w:val="24"/>
          <w:szCs w:val="24"/>
          <w:lang w:eastAsia="pt-BR"/>
        </w:rPr>
        <w:t>a lig</w:t>
      </w:r>
      <w:r w:rsidR="005B0C4F">
        <w:rPr>
          <w:rFonts w:ascii="Times New Roman" w:eastAsia="Times New Roman" w:hAnsi="Times New Roman" w:cs="Times New Roman"/>
          <w:sz w:val="24"/>
          <w:szCs w:val="24"/>
          <w:lang w:eastAsia="pt-BR"/>
        </w:rPr>
        <w:t>ação entre Mo</w:t>
      </w:r>
      <w:r w:rsidR="00DA2B1D">
        <w:rPr>
          <w:rFonts w:ascii="Times New Roman" w:eastAsia="Times New Roman" w:hAnsi="Times New Roman" w:cs="Times New Roman"/>
          <w:sz w:val="24"/>
          <w:szCs w:val="24"/>
          <w:lang w:eastAsia="pt-BR"/>
        </w:rPr>
        <w:t xml:space="preserve">ntreal e </w:t>
      </w:r>
      <w:proofErr w:type="spellStart"/>
      <w:r w:rsidR="00746DD3">
        <w:rPr>
          <w:rFonts w:ascii="Times New Roman" w:eastAsia="Times New Roman" w:hAnsi="Times New Roman" w:cs="Times New Roman"/>
          <w:sz w:val="24"/>
          <w:szCs w:val="24"/>
          <w:lang w:eastAsia="pt-BR"/>
        </w:rPr>
        <w:t>Port</w:t>
      </w:r>
      <w:proofErr w:type="spellEnd"/>
      <w:r w:rsidR="00746DD3">
        <w:rPr>
          <w:rFonts w:ascii="Times New Roman" w:eastAsia="Times New Roman" w:hAnsi="Times New Roman" w:cs="Times New Roman"/>
          <w:sz w:val="24"/>
          <w:szCs w:val="24"/>
          <w:lang w:eastAsia="pt-BR"/>
        </w:rPr>
        <w:t xml:space="preserve"> </w:t>
      </w:r>
      <w:proofErr w:type="spellStart"/>
      <w:r w:rsidR="00746DD3">
        <w:rPr>
          <w:rFonts w:ascii="Times New Roman" w:eastAsia="Times New Roman" w:hAnsi="Times New Roman" w:cs="Times New Roman"/>
          <w:sz w:val="24"/>
          <w:szCs w:val="24"/>
          <w:lang w:eastAsia="pt-BR"/>
        </w:rPr>
        <w:t>Moody</w:t>
      </w:r>
      <w:proofErr w:type="spellEnd"/>
      <w:r w:rsidR="00DA2B1D">
        <w:rPr>
          <w:rFonts w:ascii="Times New Roman" w:eastAsia="Times New Roman" w:hAnsi="Times New Roman" w:cs="Times New Roman"/>
          <w:sz w:val="24"/>
          <w:szCs w:val="24"/>
          <w:lang w:eastAsia="pt-BR"/>
        </w:rPr>
        <w:t xml:space="preserve">, </w:t>
      </w:r>
      <w:r w:rsidR="001B3A13">
        <w:rPr>
          <w:rFonts w:ascii="Times New Roman" w:eastAsia="Times New Roman" w:hAnsi="Times New Roman" w:cs="Times New Roman"/>
          <w:sz w:val="24"/>
          <w:szCs w:val="24"/>
          <w:lang w:eastAsia="pt-BR"/>
        </w:rPr>
        <w:t xml:space="preserve">marcando uma nova era </w:t>
      </w:r>
      <w:r w:rsidR="00DA2B1D">
        <w:rPr>
          <w:rFonts w:ascii="Times New Roman" w:eastAsia="Times New Roman" w:hAnsi="Times New Roman" w:cs="Times New Roman"/>
          <w:sz w:val="24"/>
          <w:szCs w:val="24"/>
          <w:lang w:eastAsia="pt-BR"/>
        </w:rPr>
        <w:t>d</w:t>
      </w:r>
      <w:r w:rsidR="001B3A13">
        <w:rPr>
          <w:rFonts w:ascii="Times New Roman" w:eastAsia="Times New Roman" w:hAnsi="Times New Roman" w:cs="Times New Roman"/>
          <w:sz w:val="24"/>
          <w:szCs w:val="24"/>
          <w:lang w:eastAsia="pt-BR"/>
        </w:rPr>
        <w:t xml:space="preserve">o sistema de transportes </w:t>
      </w:r>
      <w:r w:rsidR="003B360E">
        <w:rPr>
          <w:rFonts w:ascii="Times New Roman" w:eastAsia="Times New Roman" w:hAnsi="Times New Roman" w:cs="Times New Roman"/>
          <w:sz w:val="24"/>
          <w:szCs w:val="24"/>
          <w:lang w:eastAsia="pt-BR"/>
        </w:rPr>
        <w:t>no país</w:t>
      </w:r>
      <w:r w:rsidR="001B3A13">
        <w:rPr>
          <w:rFonts w:ascii="Times New Roman" w:eastAsia="Times New Roman" w:hAnsi="Times New Roman" w:cs="Times New Roman"/>
          <w:sz w:val="24"/>
          <w:szCs w:val="24"/>
          <w:lang w:eastAsia="pt-BR"/>
        </w:rPr>
        <w:t>.</w:t>
      </w:r>
      <w:r w:rsidR="00746DD3">
        <w:rPr>
          <w:rFonts w:ascii="Times New Roman" w:eastAsia="Times New Roman" w:hAnsi="Times New Roman" w:cs="Times New Roman"/>
          <w:sz w:val="24"/>
          <w:szCs w:val="24"/>
          <w:lang w:eastAsia="pt-BR"/>
        </w:rPr>
        <w:t xml:space="preserve"> </w:t>
      </w:r>
      <w:r w:rsidR="00ED150E">
        <w:rPr>
          <w:rFonts w:ascii="Times New Roman" w:eastAsia="Times New Roman" w:hAnsi="Times New Roman" w:cs="Times New Roman"/>
          <w:sz w:val="24"/>
          <w:szCs w:val="24"/>
          <w:lang w:eastAsia="pt-BR"/>
        </w:rPr>
        <w:t xml:space="preserve">Quando inaugurada em 1885 </w:t>
      </w:r>
      <w:r w:rsidR="00CC251E">
        <w:rPr>
          <w:rFonts w:ascii="Times New Roman" w:eastAsia="Times New Roman" w:hAnsi="Times New Roman" w:cs="Times New Roman"/>
          <w:sz w:val="24"/>
          <w:szCs w:val="24"/>
          <w:lang w:eastAsia="pt-BR"/>
        </w:rPr>
        <w:t>possuía 4.338 milhas (</w:t>
      </w:r>
      <w:proofErr w:type="spellStart"/>
      <w:r w:rsidR="00CC251E">
        <w:rPr>
          <w:rFonts w:ascii="Times New Roman" w:eastAsia="Times New Roman" w:hAnsi="Times New Roman" w:cs="Times New Roman"/>
          <w:sz w:val="24"/>
          <w:szCs w:val="24"/>
          <w:lang w:eastAsia="pt-BR"/>
        </w:rPr>
        <w:t>Innis</w:t>
      </w:r>
      <w:proofErr w:type="spellEnd"/>
      <w:r w:rsidR="00CC251E">
        <w:rPr>
          <w:rFonts w:ascii="Times New Roman" w:eastAsia="Times New Roman" w:hAnsi="Times New Roman" w:cs="Times New Roman"/>
          <w:sz w:val="24"/>
          <w:szCs w:val="24"/>
          <w:lang w:eastAsia="pt-BR"/>
        </w:rPr>
        <w:t xml:space="preserve">, </w:t>
      </w:r>
      <w:r w:rsidR="006A4A2B">
        <w:rPr>
          <w:rFonts w:ascii="Times New Roman" w:eastAsia="Times New Roman" w:hAnsi="Times New Roman" w:cs="Times New Roman"/>
          <w:sz w:val="24"/>
          <w:szCs w:val="24"/>
          <w:lang w:eastAsia="pt-BR"/>
        </w:rPr>
        <w:t xml:space="preserve">1923, </w:t>
      </w:r>
      <w:r w:rsidR="00CC251E">
        <w:rPr>
          <w:rFonts w:ascii="Times New Roman" w:eastAsia="Times New Roman" w:hAnsi="Times New Roman" w:cs="Times New Roman"/>
          <w:sz w:val="24"/>
          <w:szCs w:val="24"/>
          <w:lang w:eastAsia="pt-BR"/>
        </w:rPr>
        <w:t>p.143)</w:t>
      </w:r>
      <w:r w:rsidR="00A837D9">
        <w:rPr>
          <w:rFonts w:ascii="Times New Roman" w:eastAsia="Times New Roman" w:hAnsi="Times New Roman" w:cs="Times New Roman"/>
          <w:sz w:val="24"/>
          <w:szCs w:val="24"/>
          <w:lang w:eastAsia="pt-BR"/>
        </w:rPr>
        <w:t>.</w:t>
      </w:r>
      <w:r w:rsidR="00CC251E">
        <w:rPr>
          <w:rFonts w:ascii="Times New Roman" w:eastAsia="Times New Roman" w:hAnsi="Times New Roman" w:cs="Times New Roman"/>
          <w:sz w:val="24"/>
          <w:szCs w:val="24"/>
          <w:lang w:eastAsia="pt-BR"/>
        </w:rPr>
        <w:t xml:space="preserve"> </w:t>
      </w:r>
    </w:p>
    <w:p w:rsidR="00DF76A4" w:rsidRDefault="00DF76A4" w:rsidP="00647706">
      <w:pPr>
        <w:spacing w:after="0" w:line="240" w:lineRule="auto"/>
        <w:jc w:val="both"/>
        <w:rPr>
          <w:rFonts w:ascii="Times New Roman" w:eastAsia="Times New Roman" w:hAnsi="Times New Roman" w:cs="Times New Roman"/>
          <w:b/>
          <w:sz w:val="24"/>
          <w:szCs w:val="24"/>
          <w:lang w:val="en-US" w:eastAsia="pt-BR"/>
        </w:rPr>
      </w:pPr>
    </w:p>
    <w:p w:rsidR="00495602" w:rsidRPr="00ED150E" w:rsidRDefault="00ED150E" w:rsidP="00647706">
      <w:pPr>
        <w:spacing w:after="0" w:line="240" w:lineRule="auto"/>
        <w:jc w:val="both"/>
        <w:rPr>
          <w:rFonts w:ascii="Times New Roman" w:eastAsia="Times New Roman" w:hAnsi="Times New Roman" w:cs="Times New Roman"/>
          <w:sz w:val="24"/>
          <w:szCs w:val="24"/>
          <w:lang w:val="en-US" w:eastAsia="pt-BR"/>
        </w:rPr>
      </w:pPr>
      <w:r w:rsidRPr="00ED150E">
        <w:rPr>
          <w:rFonts w:ascii="Times New Roman" w:eastAsia="Times New Roman" w:hAnsi="Times New Roman" w:cs="Times New Roman"/>
          <w:b/>
          <w:sz w:val="24"/>
          <w:szCs w:val="24"/>
          <w:lang w:val="en-US" w:eastAsia="pt-BR"/>
        </w:rPr>
        <w:lastRenderedPageBreak/>
        <w:t xml:space="preserve">Mapa 1- </w:t>
      </w:r>
      <w:r w:rsidRPr="00ED150E">
        <w:rPr>
          <w:rFonts w:ascii="Times New Roman" w:eastAsia="Times New Roman" w:hAnsi="Times New Roman" w:cs="Times New Roman"/>
          <w:b/>
          <w:i/>
          <w:sz w:val="24"/>
          <w:szCs w:val="24"/>
          <w:lang w:val="en-US" w:eastAsia="pt-BR"/>
        </w:rPr>
        <w:t>Canadian Pacific Railway</w:t>
      </w:r>
      <w:r w:rsidRPr="00ED150E">
        <w:rPr>
          <w:rFonts w:ascii="Times New Roman" w:eastAsia="Times New Roman" w:hAnsi="Times New Roman" w:cs="Times New Roman"/>
          <w:b/>
          <w:sz w:val="24"/>
          <w:szCs w:val="24"/>
          <w:lang w:val="en-US" w:eastAsia="pt-BR"/>
        </w:rPr>
        <w:t xml:space="preserve"> em 1885</w:t>
      </w:r>
    </w:p>
    <w:p w:rsidR="00495602" w:rsidRDefault="00495602" w:rsidP="00647706">
      <w:pPr>
        <w:spacing w:after="0" w:line="240" w:lineRule="auto"/>
        <w:jc w:val="both"/>
        <w:rPr>
          <w:rFonts w:ascii="Times New Roman" w:eastAsia="Times New Roman" w:hAnsi="Times New Roman" w:cs="Times New Roman"/>
          <w:b/>
          <w:sz w:val="24"/>
          <w:szCs w:val="24"/>
          <w:lang w:val="en-US" w:eastAsia="pt-BR"/>
        </w:rPr>
      </w:pPr>
      <w:r w:rsidRPr="00495602">
        <w:rPr>
          <w:rFonts w:ascii="Times New Roman" w:eastAsia="Times New Roman" w:hAnsi="Times New Roman" w:cs="Times New Roman"/>
          <w:b/>
          <w:noProof/>
          <w:sz w:val="24"/>
          <w:szCs w:val="24"/>
          <w:lang w:eastAsia="pt-BR"/>
        </w:rPr>
        <w:drawing>
          <wp:inline distT="0" distB="0" distL="0" distR="0" wp14:anchorId="4C53138A" wp14:editId="2A2161F0">
            <wp:extent cx="6372225" cy="2838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225" cy="2838450"/>
                    </a:xfrm>
                    <a:prstGeom prst="rect">
                      <a:avLst/>
                    </a:prstGeom>
                    <a:noFill/>
                    <a:ln>
                      <a:noFill/>
                    </a:ln>
                  </pic:spPr>
                </pic:pic>
              </a:graphicData>
            </a:graphic>
          </wp:inline>
        </w:drawing>
      </w:r>
    </w:p>
    <w:p w:rsidR="00495602" w:rsidRDefault="00495602" w:rsidP="007937AB">
      <w:pPr>
        <w:spacing w:after="0" w:line="360" w:lineRule="auto"/>
        <w:jc w:val="both"/>
        <w:rPr>
          <w:rFonts w:ascii="Times New Roman" w:eastAsia="Times New Roman" w:hAnsi="Times New Roman" w:cs="Times New Roman"/>
          <w:lang w:val="en-US" w:eastAsia="pt-BR"/>
        </w:rPr>
      </w:pPr>
      <w:proofErr w:type="spellStart"/>
      <w:r w:rsidRPr="009A2B37">
        <w:rPr>
          <w:rFonts w:ascii="Times New Roman" w:eastAsia="Times New Roman" w:hAnsi="Times New Roman" w:cs="Times New Roman"/>
          <w:lang w:val="en-US" w:eastAsia="pt-BR"/>
        </w:rPr>
        <w:t>Fonte</w:t>
      </w:r>
      <w:proofErr w:type="spellEnd"/>
      <w:r w:rsidRPr="009A2B37">
        <w:rPr>
          <w:rFonts w:ascii="Times New Roman" w:eastAsia="Times New Roman" w:hAnsi="Times New Roman" w:cs="Times New Roman"/>
          <w:lang w:val="en-US" w:eastAsia="pt-BR"/>
        </w:rPr>
        <w:t xml:space="preserve">: Francis; </w:t>
      </w:r>
      <w:r w:rsidR="00500175" w:rsidRPr="009A2B37">
        <w:rPr>
          <w:rFonts w:ascii="Times New Roman" w:eastAsia="Times New Roman" w:hAnsi="Times New Roman" w:cs="Times New Roman"/>
          <w:lang w:val="en-US" w:eastAsia="pt-BR"/>
        </w:rPr>
        <w:t xml:space="preserve">Smith; </w:t>
      </w:r>
      <w:r w:rsidR="00A47540" w:rsidRPr="009A2B37">
        <w:rPr>
          <w:rFonts w:ascii="Times New Roman" w:eastAsia="Times New Roman" w:hAnsi="Times New Roman" w:cs="Times New Roman"/>
          <w:lang w:val="en-US" w:eastAsia="pt-BR"/>
        </w:rPr>
        <w:t>Jones,</w:t>
      </w:r>
      <w:r w:rsidRPr="009A2B37">
        <w:rPr>
          <w:rFonts w:ascii="Times New Roman" w:eastAsia="Times New Roman" w:hAnsi="Times New Roman" w:cs="Times New Roman"/>
          <w:lang w:val="en-US" w:eastAsia="pt-BR"/>
        </w:rPr>
        <w:t xml:space="preserve"> 2010, p. 288.</w:t>
      </w:r>
    </w:p>
    <w:p w:rsidR="00DF76A4" w:rsidRPr="008413D6" w:rsidRDefault="00DF76A4" w:rsidP="00DF76A4">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Após a conclusão do trecho principal, outras conexões e ramificações foram </w:t>
      </w:r>
      <w:proofErr w:type="gramStart"/>
      <w:r>
        <w:rPr>
          <w:rFonts w:ascii="Times New Roman" w:eastAsia="Times New Roman" w:hAnsi="Times New Roman" w:cs="Times New Roman"/>
          <w:sz w:val="24"/>
          <w:szCs w:val="24"/>
          <w:lang w:eastAsia="pt-BR"/>
        </w:rPr>
        <w:t>implementadas</w:t>
      </w:r>
      <w:proofErr w:type="gramEnd"/>
      <w:r>
        <w:rPr>
          <w:rFonts w:ascii="Times New Roman" w:eastAsia="Times New Roman" w:hAnsi="Times New Roman" w:cs="Times New Roman"/>
          <w:sz w:val="24"/>
          <w:szCs w:val="24"/>
          <w:lang w:eastAsia="pt-BR"/>
        </w:rPr>
        <w:t xml:space="preserve"> durante o século XIX, aumentando consideravelmente a extensão da ferrovia, que passou de 4.338 milhas em 1885 para 7.000 milhas em 1899 (INNIS, 1923, p. 143). </w:t>
      </w:r>
      <w:r w:rsidRPr="009A2F32">
        <w:rPr>
          <w:rFonts w:ascii="Times New Roman" w:eastAsia="Times New Roman" w:hAnsi="Times New Roman" w:cs="Times New Roman"/>
          <w:sz w:val="24"/>
          <w:szCs w:val="24"/>
          <w:lang w:eastAsia="pt-BR"/>
        </w:rPr>
        <w:t xml:space="preserve">Entre 1899 e 1913 a </w:t>
      </w:r>
      <w:r w:rsidRPr="00A85A0B">
        <w:rPr>
          <w:rFonts w:ascii="Times New Roman" w:eastAsia="Times New Roman" w:hAnsi="Times New Roman" w:cs="Times New Roman"/>
          <w:i/>
          <w:sz w:val="24"/>
          <w:szCs w:val="24"/>
          <w:lang w:eastAsia="pt-BR"/>
        </w:rPr>
        <w:t>Canadian Pacific Railway</w:t>
      </w:r>
      <w:r w:rsidRPr="009A2F32">
        <w:rPr>
          <w:rFonts w:ascii="Times New Roman" w:eastAsia="Times New Roman" w:hAnsi="Times New Roman" w:cs="Times New Roman"/>
          <w:sz w:val="24"/>
          <w:szCs w:val="24"/>
          <w:lang w:eastAsia="pt-BR"/>
        </w:rPr>
        <w:t xml:space="preserve"> aumentou sua extensão de 7.000 milhas para 1</w:t>
      </w:r>
      <w:r>
        <w:rPr>
          <w:rFonts w:ascii="Times New Roman" w:eastAsia="Times New Roman" w:hAnsi="Times New Roman" w:cs="Times New Roman"/>
          <w:sz w:val="24"/>
          <w:szCs w:val="24"/>
          <w:lang w:eastAsia="pt-BR"/>
        </w:rPr>
        <w:t>1</w:t>
      </w:r>
      <w:r w:rsidRPr="009A2F32">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366</w:t>
      </w:r>
      <w:r w:rsidRPr="009A2F32">
        <w:rPr>
          <w:rFonts w:ascii="Times New Roman" w:eastAsia="Times New Roman" w:hAnsi="Times New Roman" w:cs="Times New Roman"/>
          <w:sz w:val="24"/>
          <w:szCs w:val="24"/>
          <w:lang w:eastAsia="pt-BR"/>
        </w:rPr>
        <w:t xml:space="preserve"> milhas</w:t>
      </w:r>
      <w:r>
        <w:rPr>
          <w:rFonts w:ascii="Times New Roman" w:eastAsia="Times New Roman" w:hAnsi="Times New Roman" w:cs="Times New Roman"/>
          <w:sz w:val="24"/>
          <w:szCs w:val="24"/>
          <w:lang w:eastAsia="pt-BR"/>
        </w:rPr>
        <w:t xml:space="preserve"> (INNIS, 1923, p.211)</w:t>
      </w:r>
      <w:r w:rsidRPr="009A2F32">
        <w:rPr>
          <w:rFonts w:ascii="Times New Roman" w:eastAsia="Times New Roman" w:hAnsi="Times New Roman" w:cs="Times New Roman"/>
          <w:sz w:val="24"/>
          <w:szCs w:val="24"/>
          <w:lang w:eastAsia="pt-BR"/>
        </w:rPr>
        <w:t xml:space="preserve">, sendo que </w:t>
      </w:r>
      <w:proofErr w:type="gramStart"/>
      <w:r w:rsidRPr="009A2F32">
        <w:rPr>
          <w:rFonts w:ascii="Times New Roman" w:eastAsia="Times New Roman" w:hAnsi="Times New Roman" w:cs="Times New Roman"/>
          <w:sz w:val="24"/>
          <w:szCs w:val="24"/>
          <w:lang w:eastAsia="pt-BR"/>
        </w:rPr>
        <w:t xml:space="preserve">a maioria dos novos percursos </w:t>
      </w:r>
      <w:r>
        <w:rPr>
          <w:rFonts w:ascii="Times New Roman" w:eastAsia="Times New Roman" w:hAnsi="Times New Roman" w:cs="Times New Roman"/>
          <w:sz w:val="24"/>
          <w:szCs w:val="24"/>
          <w:lang w:eastAsia="pt-BR"/>
        </w:rPr>
        <w:t>estavam</w:t>
      </w:r>
      <w:proofErr w:type="gramEnd"/>
      <w:r>
        <w:rPr>
          <w:rFonts w:ascii="Times New Roman" w:eastAsia="Times New Roman" w:hAnsi="Times New Roman" w:cs="Times New Roman"/>
          <w:sz w:val="24"/>
          <w:szCs w:val="24"/>
          <w:lang w:eastAsia="pt-BR"/>
        </w:rPr>
        <w:t xml:space="preserve"> localizados</w:t>
      </w:r>
      <w:r w:rsidRPr="009A2F32">
        <w:rPr>
          <w:rFonts w:ascii="Times New Roman" w:eastAsia="Times New Roman" w:hAnsi="Times New Roman" w:cs="Times New Roman"/>
          <w:sz w:val="24"/>
          <w:szCs w:val="24"/>
          <w:lang w:eastAsia="pt-BR"/>
        </w:rPr>
        <w:t xml:space="preserve"> nas pradarias e tinham por objetivo atingir áreas de desenvolvimento mais recente</w:t>
      </w:r>
      <w:r>
        <w:rPr>
          <w:rFonts w:ascii="Times New Roman" w:eastAsia="Times New Roman" w:hAnsi="Times New Roman" w:cs="Times New Roman"/>
          <w:sz w:val="24"/>
          <w:szCs w:val="24"/>
          <w:lang w:eastAsia="pt-BR"/>
        </w:rPr>
        <w:t>,</w:t>
      </w:r>
      <w:r w:rsidRPr="009A2F32">
        <w:rPr>
          <w:rFonts w:ascii="Times New Roman" w:eastAsia="Times New Roman" w:hAnsi="Times New Roman" w:cs="Times New Roman"/>
          <w:sz w:val="24"/>
          <w:szCs w:val="24"/>
          <w:lang w:eastAsia="pt-BR"/>
        </w:rPr>
        <w:t xml:space="preserve"> e garantir a competitividade da empresa em relação </w:t>
      </w:r>
      <w:r>
        <w:rPr>
          <w:rFonts w:ascii="Times New Roman" w:eastAsia="Times New Roman" w:hAnsi="Times New Roman" w:cs="Times New Roman"/>
          <w:sz w:val="24"/>
          <w:szCs w:val="24"/>
          <w:lang w:eastAsia="pt-BR"/>
        </w:rPr>
        <w:t>à</w:t>
      </w:r>
      <w:r w:rsidRPr="009A2F32">
        <w:rPr>
          <w:rFonts w:ascii="Times New Roman" w:eastAsia="Times New Roman" w:hAnsi="Times New Roman" w:cs="Times New Roman"/>
          <w:sz w:val="24"/>
          <w:szCs w:val="24"/>
          <w:lang w:eastAsia="pt-BR"/>
        </w:rPr>
        <w:t xml:space="preserve">s novas linhas ofertadas pela </w:t>
      </w:r>
      <w:proofErr w:type="spellStart"/>
      <w:r w:rsidRPr="00A85A0B">
        <w:rPr>
          <w:rFonts w:ascii="Times New Roman" w:eastAsia="Times New Roman" w:hAnsi="Times New Roman" w:cs="Times New Roman"/>
          <w:i/>
          <w:sz w:val="24"/>
          <w:szCs w:val="24"/>
          <w:lang w:eastAsia="pt-BR"/>
        </w:rPr>
        <w:t>Canadian</w:t>
      </w:r>
      <w:proofErr w:type="spellEnd"/>
      <w:r w:rsidRPr="00A85A0B">
        <w:rPr>
          <w:rFonts w:ascii="Times New Roman" w:eastAsia="Times New Roman" w:hAnsi="Times New Roman" w:cs="Times New Roman"/>
          <w:i/>
          <w:sz w:val="24"/>
          <w:szCs w:val="24"/>
          <w:lang w:eastAsia="pt-BR"/>
        </w:rPr>
        <w:t xml:space="preserve"> </w:t>
      </w:r>
      <w:proofErr w:type="spellStart"/>
      <w:r w:rsidRPr="00A85A0B">
        <w:rPr>
          <w:rFonts w:ascii="Times New Roman" w:eastAsia="Times New Roman" w:hAnsi="Times New Roman" w:cs="Times New Roman"/>
          <w:i/>
          <w:sz w:val="24"/>
          <w:szCs w:val="24"/>
          <w:lang w:eastAsia="pt-BR"/>
        </w:rPr>
        <w:t>Northern</w:t>
      </w:r>
      <w:proofErr w:type="spellEnd"/>
      <w:r w:rsidRPr="00A85A0B">
        <w:rPr>
          <w:rFonts w:ascii="Times New Roman" w:eastAsia="Times New Roman" w:hAnsi="Times New Roman" w:cs="Times New Roman"/>
          <w:i/>
          <w:sz w:val="24"/>
          <w:szCs w:val="24"/>
          <w:lang w:eastAsia="pt-BR"/>
        </w:rPr>
        <w:t xml:space="preserve"> Railway </w:t>
      </w:r>
      <w:r w:rsidRPr="009A2F32">
        <w:rPr>
          <w:rFonts w:ascii="Times New Roman" w:eastAsia="Times New Roman" w:hAnsi="Times New Roman" w:cs="Times New Roman"/>
          <w:sz w:val="24"/>
          <w:szCs w:val="24"/>
          <w:lang w:eastAsia="pt-BR"/>
        </w:rPr>
        <w:t xml:space="preserve">e pela </w:t>
      </w:r>
      <w:r w:rsidRPr="00A85A0B">
        <w:rPr>
          <w:rFonts w:ascii="Times New Roman" w:eastAsia="Times New Roman" w:hAnsi="Times New Roman" w:cs="Times New Roman"/>
          <w:i/>
          <w:sz w:val="24"/>
          <w:szCs w:val="24"/>
          <w:lang w:eastAsia="pt-BR"/>
        </w:rPr>
        <w:t xml:space="preserve">Grand </w:t>
      </w:r>
      <w:proofErr w:type="spellStart"/>
      <w:r w:rsidRPr="00A85A0B">
        <w:rPr>
          <w:rFonts w:ascii="Times New Roman" w:eastAsia="Times New Roman" w:hAnsi="Times New Roman" w:cs="Times New Roman"/>
          <w:i/>
          <w:sz w:val="24"/>
          <w:szCs w:val="24"/>
          <w:lang w:eastAsia="pt-BR"/>
        </w:rPr>
        <w:t>Trunk</w:t>
      </w:r>
      <w:proofErr w:type="spellEnd"/>
      <w:r w:rsidRPr="00A85A0B">
        <w:rPr>
          <w:rFonts w:ascii="Times New Roman" w:eastAsia="Times New Roman" w:hAnsi="Times New Roman" w:cs="Times New Roman"/>
          <w:i/>
          <w:sz w:val="24"/>
          <w:szCs w:val="24"/>
          <w:lang w:eastAsia="pt-BR"/>
        </w:rPr>
        <w:t xml:space="preserve"> Pacific Railway</w:t>
      </w:r>
      <w:r>
        <w:rPr>
          <w:rFonts w:ascii="Times New Roman" w:eastAsia="Times New Roman" w:hAnsi="Times New Roman" w:cs="Times New Roman"/>
          <w:i/>
          <w:sz w:val="24"/>
          <w:szCs w:val="24"/>
          <w:lang w:eastAsia="pt-BR"/>
        </w:rPr>
        <w:t>.</w:t>
      </w:r>
    </w:p>
    <w:p w:rsidR="006964A4" w:rsidRDefault="006E3094"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Uma vez em funcionamento, foi notável o aumento do volume de carga e passageiros transportados nos anos que se seguiram, como pode ser observado</w:t>
      </w:r>
      <w:r w:rsidR="007E4F71">
        <w:rPr>
          <w:rFonts w:ascii="Times New Roman" w:eastAsia="Times New Roman" w:hAnsi="Times New Roman" w:cs="Times New Roman"/>
          <w:sz w:val="24"/>
          <w:szCs w:val="24"/>
          <w:lang w:eastAsia="pt-BR"/>
        </w:rPr>
        <w:t>:</w:t>
      </w:r>
    </w:p>
    <w:p w:rsidR="006E3094" w:rsidRPr="002E54E7" w:rsidRDefault="008D6192" w:rsidP="0048231B">
      <w:pPr>
        <w:spacing w:after="0" w:line="240" w:lineRule="auto"/>
        <w:jc w:val="both"/>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 xml:space="preserve">Tabela </w:t>
      </w:r>
      <w:r w:rsidR="00C03BAE" w:rsidRPr="002E54E7">
        <w:rPr>
          <w:rFonts w:ascii="Times New Roman" w:eastAsia="Times New Roman" w:hAnsi="Times New Roman" w:cs="Times New Roman"/>
          <w:b/>
          <w:lang w:eastAsia="pt-BR"/>
        </w:rPr>
        <w:t>3</w:t>
      </w:r>
      <w:r w:rsidRPr="002E54E7">
        <w:rPr>
          <w:rFonts w:ascii="Times New Roman" w:eastAsia="Times New Roman" w:hAnsi="Times New Roman" w:cs="Times New Roman"/>
          <w:b/>
          <w:lang w:eastAsia="pt-BR"/>
        </w:rPr>
        <w:t>-</w:t>
      </w:r>
      <w:r w:rsidR="006E3094" w:rsidRPr="002E54E7">
        <w:rPr>
          <w:rFonts w:ascii="Times New Roman" w:eastAsia="Times New Roman" w:hAnsi="Times New Roman" w:cs="Times New Roman"/>
          <w:b/>
          <w:lang w:eastAsia="pt-BR"/>
        </w:rPr>
        <w:t>Volume de carga e numero de passageiros transportados pela CPR (1886-19</w:t>
      </w:r>
      <w:r w:rsidR="002670F0" w:rsidRPr="002E54E7">
        <w:rPr>
          <w:rFonts w:ascii="Times New Roman" w:eastAsia="Times New Roman" w:hAnsi="Times New Roman" w:cs="Times New Roman"/>
          <w:b/>
          <w:lang w:eastAsia="pt-BR"/>
        </w:rPr>
        <w:t>16</w:t>
      </w:r>
      <w:r w:rsidR="006E3094" w:rsidRPr="002E54E7">
        <w:rPr>
          <w:rFonts w:ascii="Times New Roman" w:eastAsia="Times New Roman" w:hAnsi="Times New Roman" w:cs="Times New Roman"/>
          <w:b/>
          <w:lang w:eastAsia="pt-BR"/>
        </w:rPr>
        <w:t>):</w:t>
      </w:r>
    </w:p>
    <w:tbl>
      <w:tblPr>
        <w:tblStyle w:val="GradeClara-nfas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1"/>
        <w:gridCol w:w="3382"/>
        <w:gridCol w:w="3382"/>
      </w:tblGrid>
      <w:tr w:rsidR="006E3094" w:rsidRPr="002E54E7" w:rsidTr="00F93D5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381"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6E3094" w:rsidP="0048231B">
            <w:pPr>
              <w:jc w:val="center"/>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Ano</w:t>
            </w:r>
          </w:p>
        </w:tc>
        <w:tc>
          <w:tcPr>
            <w:tcW w:w="3382"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6E3094" w:rsidP="004823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Carga (toneladas)</w:t>
            </w:r>
          </w:p>
        </w:tc>
        <w:tc>
          <w:tcPr>
            <w:tcW w:w="3382"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6E3094" w:rsidP="004823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Passageiros</w:t>
            </w:r>
            <w:r w:rsidR="003663B5" w:rsidRPr="002E54E7">
              <w:rPr>
                <w:rFonts w:ascii="Times New Roman" w:eastAsia="Times New Roman" w:hAnsi="Times New Roman" w:cs="Times New Roman"/>
                <w:lang w:eastAsia="pt-BR"/>
              </w:rPr>
              <w:t xml:space="preserve"> transportados</w:t>
            </w:r>
          </w:p>
        </w:tc>
      </w:tr>
      <w:tr w:rsidR="006E3094" w:rsidRPr="002E54E7" w:rsidTr="00F93D5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381"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AA44D1"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1886</w:t>
            </w:r>
          </w:p>
        </w:tc>
        <w:tc>
          <w:tcPr>
            <w:tcW w:w="3382"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AA44D1"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2.046.195</w:t>
            </w:r>
          </w:p>
        </w:tc>
        <w:tc>
          <w:tcPr>
            <w:tcW w:w="3382"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3663B5"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1.791.034</w:t>
            </w:r>
          </w:p>
        </w:tc>
      </w:tr>
      <w:tr w:rsidR="006E3094" w:rsidRPr="002E54E7" w:rsidTr="00F93D58">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381"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AA44D1"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1891</w:t>
            </w:r>
          </w:p>
        </w:tc>
        <w:tc>
          <w:tcPr>
            <w:tcW w:w="3382"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AA44D1"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3.846.710</w:t>
            </w:r>
          </w:p>
        </w:tc>
        <w:tc>
          <w:tcPr>
            <w:tcW w:w="3382"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3663B5"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3.165.507</w:t>
            </w:r>
          </w:p>
        </w:tc>
      </w:tr>
      <w:tr w:rsidR="006E3094" w:rsidRPr="002E54E7" w:rsidTr="00F93D5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381"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AA44D1"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1896</w:t>
            </w:r>
          </w:p>
        </w:tc>
        <w:tc>
          <w:tcPr>
            <w:tcW w:w="3382"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AA44D1"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4.420.550</w:t>
            </w:r>
          </w:p>
        </w:tc>
        <w:tc>
          <w:tcPr>
            <w:tcW w:w="3382"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3663B5"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3.029.887</w:t>
            </w:r>
          </w:p>
        </w:tc>
      </w:tr>
      <w:tr w:rsidR="006E3094" w:rsidRPr="002E54E7" w:rsidTr="00F93D58">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381"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AA44D1"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1901</w:t>
            </w:r>
          </w:p>
        </w:tc>
        <w:tc>
          <w:tcPr>
            <w:tcW w:w="3382"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AA44D1"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7.155.813</w:t>
            </w:r>
          </w:p>
        </w:tc>
        <w:tc>
          <w:tcPr>
            <w:tcW w:w="3382"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3663B5"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4.337.799</w:t>
            </w:r>
          </w:p>
        </w:tc>
      </w:tr>
      <w:tr w:rsidR="006E3094" w:rsidRPr="002E54E7" w:rsidTr="00F93D5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381"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AA44D1"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1906</w:t>
            </w:r>
          </w:p>
        </w:tc>
        <w:tc>
          <w:tcPr>
            <w:tcW w:w="3382"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AA44D1"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13.933.798</w:t>
            </w:r>
          </w:p>
        </w:tc>
        <w:tc>
          <w:tcPr>
            <w:tcW w:w="3382" w:type="dxa"/>
            <w:tcBorders>
              <w:top w:val="none" w:sz="0" w:space="0" w:color="auto"/>
              <w:left w:val="none" w:sz="0" w:space="0" w:color="auto"/>
              <w:bottom w:val="none" w:sz="0" w:space="0" w:color="auto"/>
              <w:right w:val="none" w:sz="0" w:space="0" w:color="auto"/>
            </w:tcBorders>
            <w:shd w:val="clear" w:color="auto" w:fill="auto"/>
          </w:tcPr>
          <w:p w:rsidR="006E3094" w:rsidRPr="002E54E7" w:rsidRDefault="003663B5"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7.753.323</w:t>
            </w:r>
          </w:p>
        </w:tc>
      </w:tr>
      <w:tr w:rsidR="006E3094" w:rsidRPr="002E54E7" w:rsidTr="00F93D58">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381" w:type="dxa"/>
            <w:tcBorders>
              <w:top w:val="none" w:sz="0" w:space="0" w:color="auto"/>
              <w:left w:val="none" w:sz="0" w:space="0" w:color="auto"/>
              <w:bottom w:val="single" w:sz="4" w:space="0" w:color="auto"/>
              <w:right w:val="none" w:sz="0" w:space="0" w:color="auto"/>
            </w:tcBorders>
            <w:shd w:val="clear" w:color="auto" w:fill="auto"/>
          </w:tcPr>
          <w:p w:rsidR="006E3094" w:rsidRPr="002E54E7" w:rsidRDefault="00AA44D1"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1911</w:t>
            </w:r>
          </w:p>
        </w:tc>
        <w:tc>
          <w:tcPr>
            <w:tcW w:w="3382" w:type="dxa"/>
            <w:tcBorders>
              <w:top w:val="none" w:sz="0" w:space="0" w:color="auto"/>
              <w:left w:val="none" w:sz="0" w:space="0" w:color="auto"/>
              <w:bottom w:val="single" w:sz="4" w:space="0" w:color="auto"/>
              <w:right w:val="none" w:sz="0" w:space="0" w:color="auto"/>
            </w:tcBorders>
            <w:shd w:val="clear" w:color="auto" w:fill="auto"/>
          </w:tcPr>
          <w:p w:rsidR="006E3094" w:rsidRPr="002E54E7" w:rsidRDefault="00AA44D1"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22.536.214</w:t>
            </w:r>
          </w:p>
        </w:tc>
        <w:tc>
          <w:tcPr>
            <w:tcW w:w="3382" w:type="dxa"/>
            <w:tcBorders>
              <w:top w:val="none" w:sz="0" w:space="0" w:color="auto"/>
              <w:left w:val="none" w:sz="0" w:space="0" w:color="auto"/>
              <w:bottom w:val="single" w:sz="4" w:space="0" w:color="auto"/>
              <w:right w:val="none" w:sz="0" w:space="0" w:color="auto"/>
            </w:tcBorders>
            <w:shd w:val="clear" w:color="auto" w:fill="auto"/>
          </w:tcPr>
          <w:p w:rsidR="006E3094" w:rsidRPr="002E54E7" w:rsidRDefault="003663B5"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12.080.150</w:t>
            </w:r>
          </w:p>
        </w:tc>
      </w:tr>
      <w:tr w:rsidR="00E8560B" w:rsidRPr="002E54E7" w:rsidTr="00F93D5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381" w:type="dxa"/>
            <w:tcBorders>
              <w:top w:val="single" w:sz="4" w:space="0" w:color="auto"/>
              <w:left w:val="single" w:sz="4" w:space="0" w:color="auto"/>
              <w:bottom w:val="single" w:sz="4" w:space="0" w:color="auto"/>
              <w:right w:val="single" w:sz="4" w:space="0" w:color="auto"/>
            </w:tcBorders>
            <w:shd w:val="clear" w:color="auto" w:fill="auto"/>
          </w:tcPr>
          <w:p w:rsidR="00E8560B" w:rsidRPr="002E54E7" w:rsidRDefault="00E8560B" w:rsidP="002E54E7">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1916</w:t>
            </w:r>
          </w:p>
        </w:tc>
        <w:tc>
          <w:tcPr>
            <w:tcW w:w="3382" w:type="dxa"/>
            <w:tcBorders>
              <w:top w:val="single" w:sz="4" w:space="0" w:color="auto"/>
              <w:left w:val="single" w:sz="4" w:space="0" w:color="auto"/>
              <w:bottom w:val="single" w:sz="4" w:space="0" w:color="auto"/>
              <w:right w:val="single" w:sz="4" w:space="0" w:color="auto"/>
            </w:tcBorders>
            <w:shd w:val="clear" w:color="auto" w:fill="auto"/>
          </w:tcPr>
          <w:p w:rsidR="00E8560B" w:rsidRPr="002E54E7" w:rsidRDefault="00E8560B" w:rsidP="002E54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29.276.872</w:t>
            </w:r>
          </w:p>
        </w:tc>
        <w:tc>
          <w:tcPr>
            <w:tcW w:w="3382" w:type="dxa"/>
            <w:tcBorders>
              <w:top w:val="single" w:sz="4" w:space="0" w:color="auto"/>
              <w:left w:val="single" w:sz="4" w:space="0" w:color="auto"/>
              <w:bottom w:val="single" w:sz="4" w:space="0" w:color="auto"/>
              <w:right w:val="single" w:sz="4" w:space="0" w:color="auto"/>
            </w:tcBorders>
            <w:shd w:val="clear" w:color="auto" w:fill="auto"/>
          </w:tcPr>
          <w:p w:rsidR="00E8560B" w:rsidRPr="002E54E7" w:rsidRDefault="0078254A" w:rsidP="002E54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13.833.978</w:t>
            </w:r>
          </w:p>
        </w:tc>
      </w:tr>
    </w:tbl>
    <w:p w:rsidR="007E4F71" w:rsidRPr="002E54E7" w:rsidRDefault="006E3094" w:rsidP="002E54E7">
      <w:pPr>
        <w:spacing w:after="0" w:line="240" w:lineRule="auto"/>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Fonte: adaptado de INNIS (1923</w:t>
      </w:r>
      <w:r w:rsidR="00627C86" w:rsidRPr="002E54E7">
        <w:rPr>
          <w:rFonts w:ascii="Times New Roman" w:eastAsia="Times New Roman" w:hAnsi="Times New Roman" w:cs="Times New Roman"/>
          <w:lang w:eastAsia="pt-BR"/>
        </w:rPr>
        <w:t>,</w:t>
      </w:r>
      <w:r w:rsidR="002670F0" w:rsidRPr="002E54E7">
        <w:rPr>
          <w:rFonts w:ascii="Times New Roman" w:eastAsia="Times New Roman" w:hAnsi="Times New Roman" w:cs="Times New Roman"/>
          <w:lang w:eastAsia="pt-BR"/>
        </w:rPr>
        <w:t xml:space="preserve"> </w:t>
      </w:r>
      <w:r w:rsidRPr="002E54E7">
        <w:rPr>
          <w:rFonts w:ascii="Times New Roman" w:eastAsia="Times New Roman" w:hAnsi="Times New Roman" w:cs="Times New Roman"/>
          <w:lang w:eastAsia="pt-BR"/>
        </w:rPr>
        <w:t>p. 144,</w:t>
      </w:r>
      <w:r w:rsidR="00AA44D1" w:rsidRPr="002E54E7">
        <w:rPr>
          <w:rFonts w:ascii="Times New Roman" w:eastAsia="Times New Roman" w:hAnsi="Times New Roman" w:cs="Times New Roman"/>
          <w:lang w:eastAsia="pt-BR"/>
        </w:rPr>
        <w:t xml:space="preserve"> 159</w:t>
      </w:r>
      <w:r w:rsidR="003663B5" w:rsidRPr="002E54E7">
        <w:rPr>
          <w:rFonts w:ascii="Times New Roman" w:eastAsia="Times New Roman" w:hAnsi="Times New Roman" w:cs="Times New Roman"/>
          <w:lang w:eastAsia="pt-BR"/>
        </w:rPr>
        <w:t>, 198</w:t>
      </w:r>
      <w:r w:rsidR="00AA44D1" w:rsidRPr="002E54E7">
        <w:rPr>
          <w:rFonts w:ascii="Times New Roman" w:eastAsia="Times New Roman" w:hAnsi="Times New Roman" w:cs="Times New Roman"/>
          <w:lang w:eastAsia="pt-BR"/>
        </w:rPr>
        <w:t>)</w:t>
      </w:r>
      <w:r w:rsidR="007E4F71" w:rsidRPr="002E54E7">
        <w:rPr>
          <w:rFonts w:ascii="Times New Roman" w:eastAsia="Times New Roman" w:hAnsi="Times New Roman" w:cs="Times New Roman"/>
          <w:lang w:eastAsia="pt-BR"/>
        </w:rPr>
        <w:t>.</w:t>
      </w:r>
    </w:p>
    <w:p w:rsidR="00ED1045" w:rsidRDefault="007E4F71"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w:t>
      </w:r>
      <w:r w:rsidR="00ED1045">
        <w:rPr>
          <w:rFonts w:ascii="Times New Roman" w:eastAsia="Times New Roman" w:hAnsi="Times New Roman" w:cs="Times New Roman"/>
          <w:sz w:val="24"/>
          <w:szCs w:val="24"/>
          <w:lang w:eastAsia="pt-BR"/>
        </w:rPr>
        <w:t xml:space="preserve">sse aumento no volume de transporte pode ser observado tanto em relação aos produtos industrializados do leste como dos produtos característicos do oeste (madeira, </w:t>
      </w:r>
      <w:r w:rsidR="00627C86">
        <w:rPr>
          <w:rFonts w:ascii="Times New Roman" w:eastAsia="Times New Roman" w:hAnsi="Times New Roman" w:cs="Times New Roman"/>
          <w:sz w:val="24"/>
          <w:szCs w:val="24"/>
          <w:lang w:eastAsia="pt-BR"/>
        </w:rPr>
        <w:t>grãos</w:t>
      </w:r>
      <w:r w:rsidR="00ED1045">
        <w:rPr>
          <w:rFonts w:ascii="Times New Roman" w:eastAsia="Times New Roman" w:hAnsi="Times New Roman" w:cs="Times New Roman"/>
          <w:sz w:val="24"/>
          <w:szCs w:val="24"/>
          <w:lang w:eastAsia="pt-BR"/>
        </w:rPr>
        <w:t xml:space="preserve"> e gado) como pode ser observado na tabela </w:t>
      </w:r>
      <w:r w:rsidR="00982052">
        <w:rPr>
          <w:rFonts w:ascii="Times New Roman" w:eastAsia="Times New Roman" w:hAnsi="Times New Roman" w:cs="Times New Roman"/>
          <w:sz w:val="24"/>
          <w:szCs w:val="24"/>
          <w:lang w:eastAsia="pt-BR"/>
        </w:rPr>
        <w:t>4</w:t>
      </w:r>
      <w:r w:rsidR="00ED1045">
        <w:rPr>
          <w:rFonts w:ascii="Times New Roman" w:eastAsia="Times New Roman" w:hAnsi="Times New Roman" w:cs="Times New Roman"/>
          <w:sz w:val="24"/>
          <w:szCs w:val="24"/>
          <w:lang w:eastAsia="pt-BR"/>
        </w:rPr>
        <w:t>:</w:t>
      </w:r>
    </w:p>
    <w:p w:rsidR="009C6675" w:rsidRPr="002E54E7" w:rsidRDefault="009C6675" w:rsidP="0048231B">
      <w:pPr>
        <w:spacing w:before="120" w:after="0" w:line="240" w:lineRule="auto"/>
        <w:jc w:val="both"/>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 xml:space="preserve">Tabela </w:t>
      </w:r>
      <w:r w:rsidR="00982052" w:rsidRPr="002E54E7">
        <w:rPr>
          <w:rFonts w:ascii="Times New Roman" w:eastAsia="Times New Roman" w:hAnsi="Times New Roman" w:cs="Times New Roman"/>
          <w:b/>
          <w:lang w:eastAsia="pt-BR"/>
        </w:rPr>
        <w:t>4</w:t>
      </w:r>
      <w:r w:rsidRPr="002E54E7">
        <w:rPr>
          <w:rFonts w:ascii="Times New Roman" w:eastAsia="Times New Roman" w:hAnsi="Times New Roman" w:cs="Times New Roman"/>
          <w:b/>
          <w:lang w:eastAsia="pt-BR"/>
        </w:rPr>
        <w:t xml:space="preserve">- </w:t>
      </w:r>
      <w:r w:rsidR="001F65BA" w:rsidRPr="002E54E7">
        <w:rPr>
          <w:rFonts w:ascii="Times New Roman" w:eastAsia="Times New Roman" w:hAnsi="Times New Roman" w:cs="Times New Roman"/>
          <w:b/>
          <w:lang w:eastAsia="pt-BR"/>
        </w:rPr>
        <w:t>Volume de carga transportada por tipo (1886-19</w:t>
      </w:r>
      <w:r w:rsidR="002670F0" w:rsidRPr="002E54E7">
        <w:rPr>
          <w:rFonts w:ascii="Times New Roman" w:eastAsia="Times New Roman" w:hAnsi="Times New Roman" w:cs="Times New Roman"/>
          <w:b/>
          <w:lang w:eastAsia="pt-BR"/>
        </w:rPr>
        <w:t>16</w:t>
      </w:r>
      <w:r w:rsidR="001F65BA" w:rsidRPr="002E54E7">
        <w:rPr>
          <w:rFonts w:ascii="Times New Roman" w:eastAsia="Times New Roman" w:hAnsi="Times New Roman" w:cs="Times New Roman"/>
          <w:b/>
          <w:lang w:eastAsia="pt-BR"/>
        </w:rPr>
        <w:t>)</w:t>
      </w:r>
    </w:p>
    <w:tbl>
      <w:tblPr>
        <w:tblStyle w:val="GradeClara-nfas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8"/>
        <w:gridCol w:w="1889"/>
        <w:gridCol w:w="2100"/>
        <w:gridCol w:w="2077"/>
        <w:gridCol w:w="2137"/>
      </w:tblGrid>
      <w:tr w:rsidR="00537A58" w:rsidRPr="002E54E7" w:rsidTr="00F93D58">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988" w:type="dxa"/>
            <w:vMerge w:val="restart"/>
            <w:tcBorders>
              <w:top w:val="none" w:sz="0" w:space="0" w:color="auto"/>
              <w:left w:val="none" w:sz="0" w:space="0" w:color="auto"/>
              <w:bottom w:val="none" w:sz="0" w:space="0" w:color="auto"/>
              <w:right w:val="none" w:sz="0" w:space="0" w:color="auto"/>
            </w:tcBorders>
            <w:shd w:val="clear" w:color="auto" w:fill="auto"/>
            <w:vAlign w:val="center"/>
          </w:tcPr>
          <w:p w:rsidR="00537A58" w:rsidRPr="002E54E7" w:rsidRDefault="00537A58" w:rsidP="0048231B">
            <w:pPr>
              <w:spacing w:before="100" w:beforeAutospacing="1"/>
              <w:jc w:val="center"/>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Ano</w:t>
            </w:r>
          </w:p>
        </w:tc>
        <w:tc>
          <w:tcPr>
            <w:tcW w:w="8203" w:type="dxa"/>
            <w:gridSpan w:val="4"/>
            <w:tcBorders>
              <w:top w:val="none" w:sz="0" w:space="0" w:color="auto"/>
              <w:left w:val="none" w:sz="0" w:space="0" w:color="auto"/>
              <w:bottom w:val="none" w:sz="0" w:space="0" w:color="auto"/>
              <w:right w:val="none" w:sz="0" w:space="0" w:color="auto"/>
            </w:tcBorders>
            <w:shd w:val="clear" w:color="auto" w:fill="auto"/>
          </w:tcPr>
          <w:p w:rsidR="00537A58" w:rsidRPr="002E54E7" w:rsidRDefault="00537A58" w:rsidP="004823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Carga Transportada</w:t>
            </w:r>
          </w:p>
        </w:tc>
      </w:tr>
      <w:tr w:rsidR="00537A58" w:rsidRPr="002E54E7" w:rsidTr="00F93D58">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88" w:type="dxa"/>
            <w:vMerge/>
            <w:tcBorders>
              <w:top w:val="none" w:sz="0" w:space="0" w:color="auto"/>
              <w:left w:val="none" w:sz="0" w:space="0" w:color="auto"/>
              <w:bottom w:val="none" w:sz="0" w:space="0" w:color="auto"/>
              <w:right w:val="none" w:sz="0" w:space="0" w:color="auto"/>
            </w:tcBorders>
            <w:shd w:val="clear" w:color="auto" w:fill="auto"/>
          </w:tcPr>
          <w:p w:rsidR="00537A58" w:rsidRPr="002E54E7" w:rsidRDefault="00537A58" w:rsidP="0048231B">
            <w:pPr>
              <w:spacing w:before="120"/>
              <w:jc w:val="both"/>
              <w:rPr>
                <w:rFonts w:ascii="Times New Roman" w:eastAsia="Times New Roman" w:hAnsi="Times New Roman" w:cs="Times New Roman"/>
                <w:lang w:eastAsia="pt-BR"/>
              </w:rPr>
            </w:pPr>
          </w:p>
        </w:tc>
        <w:tc>
          <w:tcPr>
            <w:tcW w:w="1889"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537A58"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Manufaturados (toneladas)</w:t>
            </w:r>
          </w:p>
        </w:tc>
        <w:tc>
          <w:tcPr>
            <w:tcW w:w="2100"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537A58"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Madeira (pés)</w:t>
            </w:r>
          </w:p>
        </w:tc>
        <w:tc>
          <w:tcPr>
            <w:tcW w:w="2077"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627C8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Grãos</w:t>
            </w:r>
          </w:p>
          <w:p w:rsidR="00627C86" w:rsidRPr="002E54E7" w:rsidRDefault="004F11E1"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w:t>
            </w:r>
            <w:proofErr w:type="spellStart"/>
            <w:r w:rsidRPr="002E54E7">
              <w:rPr>
                <w:rFonts w:ascii="Times New Roman" w:eastAsia="Times New Roman" w:hAnsi="Times New Roman" w:cs="Times New Roman"/>
                <w:lang w:eastAsia="pt-BR"/>
              </w:rPr>
              <w:t>bushels</w:t>
            </w:r>
            <w:proofErr w:type="spellEnd"/>
            <w:r w:rsidRPr="002E54E7">
              <w:rPr>
                <w:rFonts w:ascii="Times New Roman" w:eastAsia="Times New Roman" w:hAnsi="Times New Roman" w:cs="Times New Roman"/>
                <w:lang w:eastAsia="pt-BR"/>
              </w:rPr>
              <w:t>)</w:t>
            </w:r>
          </w:p>
        </w:tc>
        <w:tc>
          <w:tcPr>
            <w:tcW w:w="2137"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537A58"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Gado (cabeças)</w:t>
            </w:r>
          </w:p>
        </w:tc>
      </w:tr>
      <w:tr w:rsidR="00537A58" w:rsidRPr="002E54E7" w:rsidTr="00F93D58">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988"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537A58"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1886</w:t>
            </w:r>
          </w:p>
        </w:tc>
        <w:tc>
          <w:tcPr>
            <w:tcW w:w="1889"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627C8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476.698</w:t>
            </w:r>
          </w:p>
        </w:tc>
        <w:tc>
          <w:tcPr>
            <w:tcW w:w="2100"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627C8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327.760.432</w:t>
            </w:r>
          </w:p>
        </w:tc>
        <w:tc>
          <w:tcPr>
            <w:tcW w:w="2077"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4F11E1"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10.960.582</w:t>
            </w:r>
          </w:p>
        </w:tc>
        <w:tc>
          <w:tcPr>
            <w:tcW w:w="2137"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627C8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244.257</w:t>
            </w:r>
          </w:p>
        </w:tc>
      </w:tr>
      <w:tr w:rsidR="00537A58" w:rsidRPr="002E54E7" w:rsidTr="00F93D5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988"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537A58"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1891</w:t>
            </w:r>
          </w:p>
        </w:tc>
        <w:tc>
          <w:tcPr>
            <w:tcW w:w="1889"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627C8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985.090</w:t>
            </w:r>
          </w:p>
        </w:tc>
        <w:tc>
          <w:tcPr>
            <w:tcW w:w="2100"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627C8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630.690.093</w:t>
            </w:r>
          </w:p>
        </w:tc>
        <w:tc>
          <w:tcPr>
            <w:tcW w:w="2077"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4F11E1"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24.894.141</w:t>
            </w:r>
          </w:p>
        </w:tc>
        <w:tc>
          <w:tcPr>
            <w:tcW w:w="2137"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627C86"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309.639</w:t>
            </w:r>
          </w:p>
        </w:tc>
      </w:tr>
      <w:tr w:rsidR="00537A58" w:rsidRPr="002E54E7" w:rsidTr="00F93D58">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988"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537A58"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1896</w:t>
            </w:r>
          </w:p>
        </w:tc>
        <w:tc>
          <w:tcPr>
            <w:tcW w:w="1889"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627C8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1.070.675</w:t>
            </w:r>
          </w:p>
        </w:tc>
        <w:tc>
          <w:tcPr>
            <w:tcW w:w="2100"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627C8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636.128.418</w:t>
            </w:r>
          </w:p>
        </w:tc>
        <w:tc>
          <w:tcPr>
            <w:tcW w:w="2077"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4F11E1"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32.528.256</w:t>
            </w:r>
          </w:p>
        </w:tc>
        <w:tc>
          <w:tcPr>
            <w:tcW w:w="2137"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627C86"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766.219</w:t>
            </w:r>
          </w:p>
        </w:tc>
      </w:tr>
      <w:tr w:rsidR="00537A58" w:rsidRPr="002E54E7" w:rsidTr="00F93D5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988"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537A58"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1901</w:t>
            </w:r>
          </w:p>
        </w:tc>
        <w:tc>
          <w:tcPr>
            <w:tcW w:w="1889"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5630C4"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1.954.386</w:t>
            </w:r>
          </w:p>
        </w:tc>
        <w:tc>
          <w:tcPr>
            <w:tcW w:w="2100"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5630C4"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899.214.646</w:t>
            </w:r>
          </w:p>
        </w:tc>
        <w:tc>
          <w:tcPr>
            <w:tcW w:w="2077"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4F11E1"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32.927.468</w:t>
            </w:r>
          </w:p>
        </w:tc>
        <w:tc>
          <w:tcPr>
            <w:tcW w:w="2137"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942579"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945.386</w:t>
            </w:r>
          </w:p>
        </w:tc>
      </w:tr>
      <w:tr w:rsidR="00537A58" w:rsidRPr="002E54E7" w:rsidTr="00F93D58">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988"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537A58"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1906</w:t>
            </w:r>
          </w:p>
        </w:tc>
        <w:tc>
          <w:tcPr>
            <w:tcW w:w="1889"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5630C4"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3.818.625</w:t>
            </w:r>
          </w:p>
        </w:tc>
        <w:tc>
          <w:tcPr>
            <w:tcW w:w="2100"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5630C4"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1.804.648.962</w:t>
            </w:r>
          </w:p>
        </w:tc>
        <w:tc>
          <w:tcPr>
            <w:tcW w:w="2077"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4F11E1"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82.196.648</w:t>
            </w:r>
          </w:p>
        </w:tc>
        <w:tc>
          <w:tcPr>
            <w:tcW w:w="2137"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942579"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1.428.320</w:t>
            </w:r>
          </w:p>
        </w:tc>
      </w:tr>
      <w:tr w:rsidR="00537A58" w:rsidRPr="002E54E7" w:rsidTr="00F93D5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988"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537A58"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1911</w:t>
            </w:r>
          </w:p>
        </w:tc>
        <w:tc>
          <w:tcPr>
            <w:tcW w:w="1889"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5630C4"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5.759.344</w:t>
            </w:r>
          </w:p>
        </w:tc>
        <w:tc>
          <w:tcPr>
            <w:tcW w:w="2100"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5630C4"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2.441.007.107</w:t>
            </w:r>
          </w:p>
        </w:tc>
        <w:tc>
          <w:tcPr>
            <w:tcW w:w="2077"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4F11E1"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111.169.982</w:t>
            </w:r>
          </w:p>
        </w:tc>
        <w:tc>
          <w:tcPr>
            <w:tcW w:w="2137" w:type="dxa"/>
            <w:tcBorders>
              <w:top w:val="none" w:sz="0" w:space="0" w:color="auto"/>
              <w:left w:val="none" w:sz="0" w:space="0" w:color="auto"/>
              <w:bottom w:val="none" w:sz="0" w:space="0" w:color="auto"/>
              <w:right w:val="none" w:sz="0" w:space="0" w:color="auto"/>
            </w:tcBorders>
            <w:shd w:val="clear" w:color="auto" w:fill="auto"/>
          </w:tcPr>
          <w:p w:rsidR="00537A58" w:rsidRPr="002E54E7" w:rsidRDefault="00942579"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1.567.665</w:t>
            </w:r>
          </w:p>
        </w:tc>
      </w:tr>
      <w:tr w:rsidR="0078254A" w:rsidRPr="002E54E7" w:rsidTr="00F93D58">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88" w:type="dxa"/>
            <w:tcBorders>
              <w:top w:val="none" w:sz="0" w:space="0" w:color="auto"/>
              <w:left w:val="none" w:sz="0" w:space="0" w:color="auto"/>
              <w:bottom w:val="none" w:sz="0" w:space="0" w:color="auto"/>
              <w:right w:val="none" w:sz="0" w:space="0" w:color="auto"/>
            </w:tcBorders>
            <w:shd w:val="clear" w:color="auto" w:fill="auto"/>
          </w:tcPr>
          <w:p w:rsidR="0078254A" w:rsidRPr="002E54E7" w:rsidRDefault="0078254A"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1916</w:t>
            </w:r>
          </w:p>
        </w:tc>
        <w:tc>
          <w:tcPr>
            <w:tcW w:w="1889" w:type="dxa"/>
            <w:tcBorders>
              <w:top w:val="none" w:sz="0" w:space="0" w:color="auto"/>
              <w:left w:val="none" w:sz="0" w:space="0" w:color="auto"/>
              <w:bottom w:val="none" w:sz="0" w:space="0" w:color="auto"/>
              <w:right w:val="none" w:sz="0" w:space="0" w:color="auto"/>
            </w:tcBorders>
            <w:shd w:val="clear" w:color="auto" w:fill="auto"/>
          </w:tcPr>
          <w:p w:rsidR="0078254A" w:rsidRPr="002E54E7" w:rsidRDefault="0078254A"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7.960.723</w:t>
            </w:r>
          </w:p>
        </w:tc>
        <w:tc>
          <w:tcPr>
            <w:tcW w:w="2100" w:type="dxa"/>
            <w:tcBorders>
              <w:top w:val="none" w:sz="0" w:space="0" w:color="auto"/>
              <w:left w:val="none" w:sz="0" w:space="0" w:color="auto"/>
              <w:bottom w:val="none" w:sz="0" w:space="0" w:color="auto"/>
              <w:right w:val="none" w:sz="0" w:space="0" w:color="auto"/>
            </w:tcBorders>
            <w:shd w:val="clear" w:color="auto" w:fill="auto"/>
          </w:tcPr>
          <w:p w:rsidR="0078254A" w:rsidRPr="002E54E7" w:rsidRDefault="0078254A"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2.696.804.934</w:t>
            </w:r>
          </w:p>
        </w:tc>
        <w:tc>
          <w:tcPr>
            <w:tcW w:w="2077" w:type="dxa"/>
            <w:tcBorders>
              <w:top w:val="none" w:sz="0" w:space="0" w:color="auto"/>
              <w:left w:val="none" w:sz="0" w:space="0" w:color="auto"/>
              <w:bottom w:val="none" w:sz="0" w:space="0" w:color="auto"/>
              <w:right w:val="none" w:sz="0" w:space="0" w:color="auto"/>
            </w:tcBorders>
            <w:shd w:val="clear" w:color="auto" w:fill="auto"/>
          </w:tcPr>
          <w:p w:rsidR="0078254A" w:rsidRPr="002E54E7" w:rsidRDefault="0078254A"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276.788.209</w:t>
            </w:r>
          </w:p>
        </w:tc>
        <w:tc>
          <w:tcPr>
            <w:tcW w:w="2137" w:type="dxa"/>
            <w:tcBorders>
              <w:top w:val="none" w:sz="0" w:space="0" w:color="auto"/>
              <w:left w:val="none" w:sz="0" w:space="0" w:color="auto"/>
              <w:bottom w:val="none" w:sz="0" w:space="0" w:color="auto"/>
              <w:right w:val="none" w:sz="0" w:space="0" w:color="auto"/>
            </w:tcBorders>
            <w:shd w:val="clear" w:color="auto" w:fill="auto"/>
          </w:tcPr>
          <w:p w:rsidR="0078254A" w:rsidRPr="002E54E7" w:rsidRDefault="0078254A"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2.190.389</w:t>
            </w:r>
          </w:p>
        </w:tc>
      </w:tr>
    </w:tbl>
    <w:p w:rsidR="00ED1045" w:rsidRPr="002E54E7" w:rsidRDefault="00627C86" w:rsidP="0048231B">
      <w:pPr>
        <w:spacing w:before="120" w:after="0" w:line="240" w:lineRule="auto"/>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 xml:space="preserve">Fonte: </w:t>
      </w:r>
      <w:r w:rsidR="0078254A" w:rsidRPr="002E54E7">
        <w:rPr>
          <w:rFonts w:ascii="Times New Roman" w:eastAsia="Times New Roman" w:hAnsi="Times New Roman" w:cs="Times New Roman"/>
          <w:lang w:eastAsia="pt-BR"/>
        </w:rPr>
        <w:t>a</w:t>
      </w:r>
      <w:r w:rsidRPr="002E54E7">
        <w:rPr>
          <w:rFonts w:ascii="Times New Roman" w:eastAsia="Times New Roman" w:hAnsi="Times New Roman" w:cs="Times New Roman"/>
          <w:lang w:eastAsia="pt-BR"/>
        </w:rPr>
        <w:t xml:space="preserve">daptado de INNIS (1923, p. </w:t>
      </w:r>
      <w:r w:rsidR="004F11E1" w:rsidRPr="002E54E7">
        <w:rPr>
          <w:rFonts w:ascii="Times New Roman" w:eastAsia="Times New Roman" w:hAnsi="Times New Roman" w:cs="Times New Roman"/>
          <w:lang w:eastAsia="pt-BR"/>
        </w:rPr>
        <w:t xml:space="preserve">144, </w:t>
      </w:r>
      <w:r w:rsidR="009C09C8" w:rsidRPr="002E54E7">
        <w:rPr>
          <w:rFonts w:ascii="Times New Roman" w:eastAsia="Times New Roman" w:hAnsi="Times New Roman" w:cs="Times New Roman"/>
          <w:lang w:eastAsia="pt-BR"/>
        </w:rPr>
        <w:t xml:space="preserve">145, </w:t>
      </w:r>
      <w:r w:rsidRPr="002E54E7">
        <w:rPr>
          <w:rFonts w:ascii="Times New Roman" w:eastAsia="Times New Roman" w:hAnsi="Times New Roman" w:cs="Times New Roman"/>
          <w:lang w:eastAsia="pt-BR"/>
        </w:rPr>
        <w:t>146,147</w:t>
      </w:r>
      <w:r w:rsidR="00942579" w:rsidRPr="002E54E7">
        <w:rPr>
          <w:rFonts w:ascii="Times New Roman" w:eastAsia="Times New Roman" w:hAnsi="Times New Roman" w:cs="Times New Roman"/>
          <w:lang w:eastAsia="pt-BR"/>
        </w:rPr>
        <w:t xml:space="preserve">, 159, </w:t>
      </w:r>
      <w:r w:rsidR="005630C4" w:rsidRPr="002E54E7">
        <w:rPr>
          <w:rFonts w:ascii="Times New Roman" w:eastAsia="Times New Roman" w:hAnsi="Times New Roman" w:cs="Times New Roman"/>
          <w:lang w:eastAsia="pt-BR"/>
        </w:rPr>
        <w:t>161, 162, 164</w:t>
      </w:r>
      <w:r w:rsidR="00A51EC3" w:rsidRPr="002E54E7">
        <w:rPr>
          <w:rFonts w:ascii="Times New Roman" w:eastAsia="Times New Roman" w:hAnsi="Times New Roman" w:cs="Times New Roman"/>
          <w:lang w:eastAsia="pt-BR"/>
        </w:rPr>
        <w:t>).</w:t>
      </w:r>
    </w:p>
    <w:p w:rsidR="00342B90" w:rsidRDefault="00DA2B1D"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A abertura da transcontinental </w:t>
      </w:r>
      <w:r w:rsidR="00D45A28">
        <w:rPr>
          <w:rFonts w:ascii="Times New Roman" w:eastAsia="Times New Roman" w:hAnsi="Times New Roman" w:cs="Times New Roman"/>
          <w:sz w:val="24"/>
          <w:szCs w:val="24"/>
          <w:lang w:eastAsia="pt-BR"/>
        </w:rPr>
        <w:t xml:space="preserve">também </w:t>
      </w:r>
      <w:r>
        <w:rPr>
          <w:rFonts w:ascii="Times New Roman" w:eastAsia="Times New Roman" w:hAnsi="Times New Roman" w:cs="Times New Roman"/>
          <w:sz w:val="24"/>
          <w:szCs w:val="24"/>
          <w:lang w:eastAsia="pt-BR"/>
        </w:rPr>
        <w:t>parece ter contribuído para a imigração e assentamento no oeste</w:t>
      </w:r>
      <w:r w:rsidR="00691809">
        <w:rPr>
          <w:rFonts w:ascii="Times New Roman" w:eastAsia="Times New Roman" w:hAnsi="Times New Roman" w:cs="Times New Roman"/>
          <w:sz w:val="24"/>
          <w:szCs w:val="24"/>
          <w:lang w:eastAsia="pt-BR"/>
        </w:rPr>
        <w:t>. De acordo</w:t>
      </w:r>
      <w:r w:rsidR="00077808">
        <w:rPr>
          <w:rFonts w:ascii="Times New Roman" w:eastAsia="Times New Roman" w:hAnsi="Times New Roman" w:cs="Times New Roman"/>
          <w:sz w:val="24"/>
          <w:szCs w:val="24"/>
          <w:lang w:eastAsia="pt-BR"/>
        </w:rPr>
        <w:t xml:space="preserve"> </w:t>
      </w:r>
      <w:r w:rsidR="00691809">
        <w:rPr>
          <w:rFonts w:ascii="Times New Roman" w:eastAsia="Times New Roman" w:hAnsi="Times New Roman" w:cs="Times New Roman"/>
          <w:sz w:val="24"/>
          <w:szCs w:val="24"/>
          <w:lang w:eastAsia="pt-BR"/>
        </w:rPr>
        <w:t>com</w:t>
      </w:r>
      <w:r>
        <w:rPr>
          <w:rFonts w:ascii="Times New Roman" w:eastAsia="Times New Roman" w:hAnsi="Times New Roman" w:cs="Times New Roman"/>
          <w:sz w:val="24"/>
          <w:szCs w:val="24"/>
          <w:lang w:eastAsia="pt-BR"/>
        </w:rPr>
        <w:t xml:space="preserve"> </w:t>
      </w:r>
      <w:proofErr w:type="spellStart"/>
      <w:r w:rsidR="009A2B37">
        <w:rPr>
          <w:rFonts w:ascii="Times New Roman" w:eastAsia="Times New Roman" w:hAnsi="Times New Roman" w:cs="Times New Roman"/>
          <w:sz w:val="24"/>
          <w:szCs w:val="24"/>
          <w:lang w:eastAsia="pt-BR"/>
        </w:rPr>
        <w:t>Glazebrook</w:t>
      </w:r>
      <w:proofErr w:type="spellEnd"/>
      <w:r w:rsidR="009A2B37">
        <w:rPr>
          <w:rFonts w:ascii="Times New Roman" w:eastAsia="Times New Roman" w:hAnsi="Times New Roman" w:cs="Times New Roman"/>
          <w:sz w:val="24"/>
          <w:szCs w:val="24"/>
          <w:lang w:eastAsia="pt-BR"/>
        </w:rPr>
        <w:t>:</w:t>
      </w:r>
    </w:p>
    <w:p w:rsidR="00103AB2" w:rsidRPr="00F80F5B" w:rsidRDefault="00586BAB" w:rsidP="0048231B">
      <w:pPr>
        <w:spacing w:after="0" w:line="240" w:lineRule="auto"/>
        <w:ind w:left="2268"/>
        <w:jc w:val="both"/>
        <w:rPr>
          <w:rFonts w:ascii="Times New Roman" w:eastAsia="Times New Roman" w:hAnsi="Times New Roman" w:cs="Times New Roman"/>
          <w:lang w:eastAsia="pt-BR"/>
        </w:rPr>
      </w:pPr>
      <w:r w:rsidRPr="00F80F5B">
        <w:rPr>
          <w:rFonts w:ascii="Times New Roman" w:eastAsia="Times New Roman" w:hAnsi="Times New Roman" w:cs="Times New Roman"/>
          <w:lang w:eastAsia="pt-BR"/>
        </w:rPr>
        <w:t xml:space="preserve">O número de imigrantes, que </w:t>
      </w:r>
      <w:r w:rsidR="007E4F71" w:rsidRPr="00F80F5B">
        <w:rPr>
          <w:rFonts w:ascii="Times New Roman" w:eastAsia="Times New Roman" w:hAnsi="Times New Roman" w:cs="Times New Roman"/>
          <w:lang w:eastAsia="pt-BR"/>
        </w:rPr>
        <w:t>foi</w:t>
      </w:r>
      <w:r w:rsidRPr="00F80F5B">
        <w:rPr>
          <w:rFonts w:ascii="Times New Roman" w:eastAsia="Times New Roman" w:hAnsi="Times New Roman" w:cs="Times New Roman"/>
          <w:lang w:eastAsia="pt-BR"/>
        </w:rPr>
        <w:t xml:space="preserve"> de apenas 27.773 em 1871 e nunca atingiu valores elevados nos dez anos seguintes, pulou para mais de 100 mil em cada um dos anos de 1882,1883 e 1884, ou seja, nos anos em que estava em construção a </w:t>
      </w:r>
      <w:r w:rsidRPr="00F80F5B">
        <w:rPr>
          <w:rFonts w:ascii="Times New Roman" w:eastAsia="Times New Roman" w:hAnsi="Times New Roman" w:cs="Times New Roman"/>
          <w:i/>
          <w:lang w:eastAsia="pt-BR"/>
        </w:rPr>
        <w:t>Canadian Pacific Railway</w:t>
      </w:r>
      <w:r w:rsidRPr="00F80F5B">
        <w:rPr>
          <w:rFonts w:ascii="Times New Roman" w:eastAsia="Times New Roman" w:hAnsi="Times New Roman" w:cs="Times New Roman"/>
          <w:lang w:eastAsia="pt-BR"/>
        </w:rPr>
        <w:t>. O Canadá continuava um país predominantemente agrícola, sessenta e oito por cento da população vivia fora das cidades em 1891. A área de fazendas ocupadas</w:t>
      </w:r>
      <w:r w:rsidR="00DA2970" w:rsidRPr="00F80F5B">
        <w:rPr>
          <w:rFonts w:ascii="Times New Roman" w:eastAsia="Times New Roman" w:hAnsi="Times New Roman" w:cs="Times New Roman"/>
          <w:lang w:eastAsia="pt-BR"/>
        </w:rPr>
        <w:t xml:space="preserve"> cresceu de 36.046.401 acres em 1871 para 58.997.995 em 1891- a taxa de crescimento de assentamento corresponde ao crescimento </w:t>
      </w:r>
      <w:r w:rsidR="00103AB2" w:rsidRPr="00F80F5B">
        <w:rPr>
          <w:rFonts w:ascii="Times New Roman" w:eastAsia="Times New Roman" w:hAnsi="Times New Roman" w:cs="Times New Roman"/>
          <w:lang w:eastAsia="pt-BR"/>
        </w:rPr>
        <w:t xml:space="preserve">da imigração, ambas devem-se primariamente </w:t>
      </w:r>
      <w:r w:rsidR="00A85A0B" w:rsidRPr="00F80F5B">
        <w:rPr>
          <w:rFonts w:ascii="Times New Roman" w:eastAsia="Times New Roman" w:hAnsi="Times New Roman" w:cs="Times New Roman"/>
          <w:lang w:eastAsia="pt-BR"/>
        </w:rPr>
        <w:t>à</w:t>
      </w:r>
      <w:r w:rsidR="00103AB2" w:rsidRPr="00F80F5B">
        <w:rPr>
          <w:rFonts w:ascii="Times New Roman" w:eastAsia="Times New Roman" w:hAnsi="Times New Roman" w:cs="Times New Roman"/>
          <w:lang w:eastAsia="pt-BR"/>
        </w:rPr>
        <w:t xml:space="preserve"> abertura de áreas agrícolas no oeste.</w:t>
      </w:r>
      <w:r w:rsidR="009C09C8" w:rsidRPr="00F80F5B">
        <w:rPr>
          <w:rFonts w:ascii="Times New Roman" w:eastAsia="Times New Roman" w:hAnsi="Times New Roman" w:cs="Times New Roman"/>
          <w:lang w:eastAsia="pt-BR"/>
        </w:rPr>
        <w:t xml:space="preserve"> </w:t>
      </w:r>
      <w:r w:rsidR="007E4F71" w:rsidRPr="00F80F5B">
        <w:rPr>
          <w:rFonts w:ascii="Times New Roman" w:eastAsia="Times New Roman" w:hAnsi="Times New Roman" w:cs="Times New Roman"/>
          <w:lang w:eastAsia="pt-BR"/>
        </w:rPr>
        <w:t>(GLAZEBROOK, 1964, p. 9, tradução nossa</w:t>
      </w:r>
      <w:r w:rsidR="007F01EF" w:rsidRPr="00F80F5B">
        <w:rPr>
          <w:rFonts w:ascii="Times New Roman" w:eastAsia="Times New Roman" w:hAnsi="Times New Roman" w:cs="Times New Roman"/>
          <w:lang w:eastAsia="pt-BR"/>
        </w:rPr>
        <w:t>)</w:t>
      </w:r>
      <w:r w:rsidR="007E4F71" w:rsidRPr="00F80F5B">
        <w:rPr>
          <w:rFonts w:ascii="Times New Roman" w:eastAsia="Times New Roman" w:hAnsi="Times New Roman" w:cs="Times New Roman"/>
          <w:lang w:eastAsia="pt-BR"/>
        </w:rPr>
        <w:t>.</w:t>
      </w:r>
    </w:p>
    <w:p w:rsidR="00BE2B96" w:rsidRDefault="00DA53DC" w:rsidP="0048231B">
      <w:pPr>
        <w:spacing w:after="0" w:line="240" w:lineRule="auto"/>
        <w:ind w:firstLine="709"/>
        <w:jc w:val="both"/>
        <w:rPr>
          <w:rFonts w:ascii="Times New Roman" w:eastAsia="Times New Roman" w:hAnsi="Times New Roman" w:cs="Times New Roman"/>
          <w:sz w:val="24"/>
          <w:szCs w:val="24"/>
          <w:lang w:eastAsia="pt-BR"/>
        </w:rPr>
      </w:pPr>
      <w:r w:rsidRPr="0025741D">
        <w:rPr>
          <w:rFonts w:ascii="Times New Roman" w:eastAsia="Times New Roman" w:hAnsi="Times New Roman" w:cs="Times New Roman"/>
          <w:sz w:val="24"/>
          <w:szCs w:val="24"/>
          <w:lang w:eastAsia="pt-BR"/>
        </w:rPr>
        <w:t xml:space="preserve">O sistema ferroviário serviria não apenas para desbravar e colonizar regiões antes inatingíveis do oeste, mas também atendia as novas características de um país que estava se urbanizando e industrializando e precisava de meios para escoar a produção. Como observa </w:t>
      </w:r>
      <w:proofErr w:type="spellStart"/>
      <w:r w:rsidRPr="0025741D">
        <w:rPr>
          <w:rFonts w:ascii="Times New Roman" w:eastAsia="Times New Roman" w:hAnsi="Times New Roman" w:cs="Times New Roman"/>
          <w:sz w:val="24"/>
          <w:szCs w:val="24"/>
          <w:lang w:eastAsia="pt-BR"/>
        </w:rPr>
        <w:t>Glazeb</w:t>
      </w:r>
      <w:r w:rsidR="009A2B37">
        <w:rPr>
          <w:rFonts w:ascii="Times New Roman" w:eastAsia="Times New Roman" w:hAnsi="Times New Roman" w:cs="Times New Roman"/>
          <w:sz w:val="24"/>
          <w:szCs w:val="24"/>
          <w:lang w:eastAsia="pt-BR"/>
        </w:rPr>
        <w:t>r</w:t>
      </w:r>
      <w:r w:rsidRPr="0025741D">
        <w:rPr>
          <w:rFonts w:ascii="Times New Roman" w:eastAsia="Times New Roman" w:hAnsi="Times New Roman" w:cs="Times New Roman"/>
          <w:sz w:val="24"/>
          <w:szCs w:val="24"/>
          <w:lang w:eastAsia="pt-BR"/>
        </w:rPr>
        <w:t>ook</w:t>
      </w:r>
      <w:proofErr w:type="spellEnd"/>
      <w:r w:rsidR="00A85A0B" w:rsidRPr="0025741D">
        <w:rPr>
          <w:rFonts w:ascii="Times New Roman" w:eastAsia="Times New Roman" w:hAnsi="Times New Roman" w:cs="Times New Roman"/>
          <w:sz w:val="24"/>
          <w:szCs w:val="24"/>
          <w:lang w:eastAsia="pt-BR"/>
        </w:rPr>
        <w:t xml:space="preserve">, </w:t>
      </w:r>
      <w:r w:rsidR="007954A8" w:rsidRPr="0025741D">
        <w:rPr>
          <w:rFonts w:ascii="Times New Roman" w:eastAsia="Times New Roman" w:hAnsi="Times New Roman" w:cs="Times New Roman"/>
          <w:sz w:val="24"/>
          <w:szCs w:val="24"/>
          <w:lang w:eastAsia="pt-BR"/>
        </w:rPr>
        <w:t xml:space="preserve">em 1870 o valor bruto da produção manufatureira era de aproximadamente $221 milhões </w:t>
      </w:r>
      <w:r w:rsidRPr="0025741D">
        <w:rPr>
          <w:rFonts w:ascii="Times New Roman" w:eastAsia="Times New Roman" w:hAnsi="Times New Roman" w:cs="Times New Roman"/>
          <w:sz w:val="24"/>
          <w:szCs w:val="24"/>
          <w:lang w:eastAsia="pt-BR"/>
        </w:rPr>
        <w:t xml:space="preserve">e </w:t>
      </w:r>
      <w:r w:rsidR="007954A8" w:rsidRPr="0025741D">
        <w:rPr>
          <w:rFonts w:ascii="Times New Roman" w:eastAsia="Times New Roman" w:hAnsi="Times New Roman" w:cs="Times New Roman"/>
          <w:sz w:val="24"/>
          <w:szCs w:val="24"/>
          <w:lang w:eastAsia="pt-BR"/>
        </w:rPr>
        <w:t xml:space="preserve">em </w:t>
      </w:r>
      <w:r w:rsidRPr="0025741D">
        <w:rPr>
          <w:rFonts w:ascii="Times New Roman" w:eastAsia="Times New Roman" w:hAnsi="Times New Roman" w:cs="Times New Roman"/>
          <w:sz w:val="24"/>
          <w:szCs w:val="24"/>
          <w:lang w:eastAsia="pt-BR"/>
        </w:rPr>
        <w:t xml:space="preserve">1890 </w:t>
      </w:r>
      <w:r w:rsidR="007954A8" w:rsidRPr="0025741D">
        <w:rPr>
          <w:rFonts w:ascii="Times New Roman" w:eastAsia="Times New Roman" w:hAnsi="Times New Roman" w:cs="Times New Roman"/>
          <w:sz w:val="24"/>
          <w:szCs w:val="24"/>
          <w:lang w:eastAsia="pt-BR"/>
        </w:rPr>
        <w:t xml:space="preserve">já chegava aos $481milhões.  Nesse sentido,  </w:t>
      </w:r>
      <w:proofErr w:type="spellStart"/>
      <w:r w:rsidR="007954A8" w:rsidRPr="0025741D">
        <w:rPr>
          <w:rFonts w:ascii="Times New Roman" w:eastAsia="Times New Roman" w:hAnsi="Times New Roman" w:cs="Times New Roman"/>
          <w:sz w:val="24"/>
          <w:szCs w:val="24"/>
          <w:lang w:eastAsia="pt-BR"/>
        </w:rPr>
        <w:t>Glazeb</w:t>
      </w:r>
      <w:r w:rsidR="009A2B37">
        <w:rPr>
          <w:rFonts w:ascii="Times New Roman" w:eastAsia="Times New Roman" w:hAnsi="Times New Roman" w:cs="Times New Roman"/>
          <w:sz w:val="24"/>
          <w:szCs w:val="24"/>
          <w:lang w:eastAsia="pt-BR"/>
        </w:rPr>
        <w:t>r</w:t>
      </w:r>
      <w:r w:rsidR="007954A8" w:rsidRPr="0025741D">
        <w:rPr>
          <w:rFonts w:ascii="Times New Roman" w:eastAsia="Times New Roman" w:hAnsi="Times New Roman" w:cs="Times New Roman"/>
          <w:sz w:val="24"/>
          <w:szCs w:val="24"/>
          <w:lang w:eastAsia="pt-BR"/>
        </w:rPr>
        <w:t>ook</w:t>
      </w:r>
      <w:proofErr w:type="spellEnd"/>
      <w:r w:rsidR="007E4F71">
        <w:rPr>
          <w:rFonts w:ascii="Times New Roman" w:eastAsia="Times New Roman" w:hAnsi="Times New Roman" w:cs="Times New Roman"/>
          <w:sz w:val="24"/>
          <w:szCs w:val="24"/>
          <w:lang w:eastAsia="pt-BR"/>
        </w:rPr>
        <w:t xml:space="preserve"> afirma</w:t>
      </w:r>
      <w:r w:rsidR="007954A8" w:rsidRPr="0025741D">
        <w:rPr>
          <w:rFonts w:ascii="Times New Roman" w:eastAsia="Times New Roman" w:hAnsi="Times New Roman" w:cs="Times New Roman"/>
          <w:sz w:val="24"/>
          <w:szCs w:val="24"/>
          <w:lang w:eastAsia="pt-BR"/>
        </w:rPr>
        <w:t xml:space="preserve"> que o crescimento das ferrovias partiu da crença de que o progresso canadense só poderia ser possível se um adequado sistema de transportes fosse construído </w:t>
      </w:r>
      <w:r w:rsidR="001B71E5" w:rsidRPr="0025741D">
        <w:rPr>
          <w:rFonts w:ascii="Times New Roman" w:eastAsia="Times New Roman" w:hAnsi="Times New Roman" w:cs="Times New Roman"/>
          <w:sz w:val="24"/>
          <w:szCs w:val="24"/>
          <w:lang w:eastAsia="pt-BR"/>
        </w:rPr>
        <w:t>(</w:t>
      </w:r>
      <w:r w:rsidR="007954A8" w:rsidRPr="0025741D">
        <w:rPr>
          <w:rFonts w:ascii="Times New Roman" w:eastAsia="Times New Roman" w:hAnsi="Times New Roman" w:cs="Times New Roman"/>
          <w:sz w:val="24"/>
          <w:szCs w:val="24"/>
          <w:lang w:eastAsia="pt-BR"/>
        </w:rPr>
        <w:t>GLAZEB</w:t>
      </w:r>
      <w:r w:rsidR="009A2B37">
        <w:rPr>
          <w:rFonts w:ascii="Times New Roman" w:eastAsia="Times New Roman" w:hAnsi="Times New Roman" w:cs="Times New Roman"/>
          <w:sz w:val="24"/>
          <w:szCs w:val="24"/>
          <w:lang w:eastAsia="pt-BR"/>
        </w:rPr>
        <w:t>R</w:t>
      </w:r>
      <w:r w:rsidR="007954A8" w:rsidRPr="0025741D">
        <w:rPr>
          <w:rFonts w:ascii="Times New Roman" w:eastAsia="Times New Roman" w:hAnsi="Times New Roman" w:cs="Times New Roman"/>
          <w:sz w:val="24"/>
          <w:szCs w:val="24"/>
          <w:lang w:eastAsia="pt-BR"/>
        </w:rPr>
        <w:t>OOK, 1964, p. 91-92).</w:t>
      </w:r>
    </w:p>
    <w:p w:rsidR="00991303" w:rsidRDefault="00991303"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Por fim, como observa </w:t>
      </w:r>
      <w:proofErr w:type="spellStart"/>
      <w:r>
        <w:rPr>
          <w:rFonts w:ascii="Times New Roman" w:eastAsia="Times New Roman" w:hAnsi="Times New Roman" w:cs="Times New Roman"/>
          <w:sz w:val="24"/>
          <w:szCs w:val="24"/>
          <w:lang w:eastAsia="pt-BR"/>
        </w:rPr>
        <w:t>Gwyn</w:t>
      </w:r>
      <w:proofErr w:type="spellEnd"/>
      <w:r>
        <w:rPr>
          <w:rFonts w:ascii="Times New Roman" w:eastAsia="Times New Roman" w:hAnsi="Times New Roman" w:cs="Times New Roman"/>
          <w:sz w:val="24"/>
          <w:szCs w:val="24"/>
          <w:lang w:eastAsia="pt-BR"/>
        </w:rPr>
        <w:t xml:space="preserve">, o impacto da construção da </w:t>
      </w:r>
      <w:r w:rsidRPr="00077808">
        <w:rPr>
          <w:rFonts w:ascii="Times New Roman" w:eastAsia="Times New Roman" w:hAnsi="Times New Roman" w:cs="Times New Roman"/>
          <w:i/>
          <w:sz w:val="24"/>
          <w:szCs w:val="24"/>
          <w:lang w:eastAsia="pt-BR"/>
        </w:rPr>
        <w:t>Canadian Pacific</w:t>
      </w:r>
      <w:r w:rsidR="00E62263" w:rsidRPr="00077808">
        <w:rPr>
          <w:rFonts w:ascii="Times New Roman" w:eastAsia="Times New Roman" w:hAnsi="Times New Roman" w:cs="Times New Roman"/>
          <w:i/>
          <w:sz w:val="24"/>
          <w:szCs w:val="24"/>
          <w:lang w:eastAsia="pt-BR"/>
        </w:rPr>
        <w:t xml:space="preserve"> Railway</w:t>
      </w:r>
      <w:r>
        <w:rPr>
          <w:rFonts w:ascii="Times New Roman" w:eastAsia="Times New Roman" w:hAnsi="Times New Roman" w:cs="Times New Roman"/>
          <w:sz w:val="24"/>
          <w:szCs w:val="24"/>
          <w:lang w:eastAsia="pt-BR"/>
        </w:rPr>
        <w:t xml:space="preserve"> foi tão relevante na história do Canadá que ultrapassou em muito apenas as questões econômicas e militares e tem lugar destacado entre os principais acontecimentos históricos daquele país desde sua fundação. Como </w:t>
      </w:r>
      <w:r w:rsidR="000B501A">
        <w:rPr>
          <w:rFonts w:ascii="Times New Roman" w:eastAsia="Times New Roman" w:hAnsi="Times New Roman" w:cs="Times New Roman"/>
          <w:sz w:val="24"/>
          <w:szCs w:val="24"/>
          <w:lang w:eastAsia="pt-BR"/>
        </w:rPr>
        <w:t>destaca</w:t>
      </w:r>
      <w:r>
        <w:rPr>
          <w:rFonts w:ascii="Times New Roman" w:eastAsia="Times New Roman" w:hAnsi="Times New Roman" w:cs="Times New Roman"/>
          <w:sz w:val="24"/>
          <w:szCs w:val="24"/>
          <w:lang w:eastAsia="pt-BR"/>
        </w:rPr>
        <w:t xml:space="preserve"> o autor: </w:t>
      </w:r>
    </w:p>
    <w:p w:rsidR="00991303" w:rsidRPr="00F80F5B" w:rsidRDefault="00991303" w:rsidP="0048231B">
      <w:pPr>
        <w:spacing w:after="0" w:line="240" w:lineRule="auto"/>
        <w:ind w:left="2268"/>
        <w:jc w:val="both"/>
        <w:rPr>
          <w:rFonts w:ascii="Times New Roman" w:hAnsi="Times New Roman" w:cs="Times New Roman"/>
          <w:color w:val="212121"/>
          <w:shd w:val="clear" w:color="auto" w:fill="FFFFFF"/>
        </w:rPr>
      </w:pPr>
      <w:r w:rsidRPr="00F80F5B">
        <w:rPr>
          <w:rFonts w:ascii="Times New Roman" w:eastAsia="Times New Roman" w:hAnsi="Times New Roman" w:cs="Times New Roman"/>
          <w:lang w:eastAsia="pt-BR"/>
        </w:rPr>
        <w:t>A ferrovia</w:t>
      </w:r>
      <w:r w:rsidR="001E43DF" w:rsidRPr="00F80F5B">
        <w:rPr>
          <w:rFonts w:ascii="Times New Roman" w:eastAsia="Times New Roman" w:hAnsi="Times New Roman" w:cs="Times New Roman"/>
          <w:lang w:eastAsia="pt-BR"/>
        </w:rPr>
        <w:t xml:space="preserve"> (CPR)</w:t>
      </w:r>
      <w:r w:rsidRPr="00F80F5B">
        <w:rPr>
          <w:rFonts w:ascii="Times New Roman" w:eastAsia="Times New Roman" w:hAnsi="Times New Roman" w:cs="Times New Roman"/>
          <w:lang w:eastAsia="pt-BR"/>
        </w:rPr>
        <w:t xml:space="preserve"> foi o primeiro projeto nacional</w:t>
      </w:r>
      <w:r w:rsidR="00342DFC" w:rsidRPr="00F80F5B">
        <w:rPr>
          <w:rFonts w:ascii="Times New Roman" w:eastAsia="Times New Roman" w:hAnsi="Times New Roman" w:cs="Times New Roman"/>
          <w:lang w:eastAsia="pt-BR"/>
        </w:rPr>
        <w:t xml:space="preserve"> do Canadá</w:t>
      </w:r>
      <w:r w:rsidR="00854ACA" w:rsidRPr="00F80F5B">
        <w:rPr>
          <w:rFonts w:ascii="Times New Roman" w:eastAsia="Times New Roman" w:hAnsi="Times New Roman" w:cs="Times New Roman"/>
          <w:lang w:eastAsia="pt-BR"/>
        </w:rPr>
        <w:t>- pela primeira vez, exceto pela Confederação propriamente dita, que essa nação fragmentada</w:t>
      </w:r>
      <w:r w:rsidR="00342DFC" w:rsidRPr="00F80F5B">
        <w:rPr>
          <w:rFonts w:ascii="Times New Roman" w:eastAsia="Times New Roman" w:hAnsi="Times New Roman" w:cs="Times New Roman"/>
          <w:lang w:eastAsia="pt-BR"/>
        </w:rPr>
        <w:t xml:space="preserve"> e diluída atreveu-se a tentar ser algo maior do que suas partes comparativamente pequenas. Tratava-se de uma aspiração coletiva que envolveu muito mais do que simplesmente sobreviver, ou não se tornar americano por permanecer britânico.</w:t>
      </w:r>
      <w:r w:rsidR="00E34605" w:rsidRPr="00F80F5B">
        <w:rPr>
          <w:rFonts w:ascii="Times New Roman" w:eastAsia="Times New Roman" w:hAnsi="Times New Roman" w:cs="Times New Roman"/>
          <w:lang w:eastAsia="pt-BR"/>
        </w:rPr>
        <w:t xml:space="preserve"> </w:t>
      </w:r>
      <w:r w:rsidR="00342DFC" w:rsidRPr="00F80F5B">
        <w:rPr>
          <w:rFonts w:ascii="Times New Roman" w:eastAsia="Times New Roman" w:hAnsi="Times New Roman" w:cs="Times New Roman"/>
          <w:lang w:eastAsia="pt-BR"/>
        </w:rPr>
        <w:t xml:space="preserve">Essa ferrovia seria o primeiro de uma série de empreendimentos coletivos e </w:t>
      </w:r>
      <w:r w:rsidR="00E34605" w:rsidRPr="00F80F5B">
        <w:rPr>
          <w:rFonts w:ascii="Times New Roman" w:eastAsia="Times New Roman" w:hAnsi="Times New Roman" w:cs="Times New Roman"/>
          <w:lang w:eastAsia="pt-BR"/>
        </w:rPr>
        <w:t>notáveis</w:t>
      </w:r>
      <w:r w:rsidR="00342DFC" w:rsidRPr="00F80F5B">
        <w:rPr>
          <w:rFonts w:ascii="Times New Roman" w:eastAsia="Times New Roman" w:hAnsi="Times New Roman" w:cs="Times New Roman"/>
          <w:lang w:eastAsia="pt-BR"/>
        </w:rPr>
        <w:t xml:space="preserve"> para o Canadá</w:t>
      </w:r>
      <w:r w:rsidR="000B501A" w:rsidRPr="00F80F5B">
        <w:rPr>
          <w:rFonts w:ascii="Times New Roman" w:eastAsia="Times New Roman" w:hAnsi="Times New Roman" w:cs="Times New Roman"/>
          <w:lang w:eastAsia="pt-BR"/>
        </w:rPr>
        <w:t>,</w:t>
      </w:r>
      <w:r w:rsidR="00342DFC" w:rsidRPr="00F80F5B">
        <w:rPr>
          <w:rFonts w:ascii="Times New Roman" w:eastAsia="Times New Roman" w:hAnsi="Times New Roman" w:cs="Times New Roman"/>
          <w:lang w:eastAsia="pt-BR"/>
        </w:rPr>
        <w:t xml:space="preserve"> entre os quais destacam-se sua recreação no pós-guerra como Estado de bem-estar...a implementação do </w:t>
      </w:r>
      <w:r w:rsidR="00F74335" w:rsidRPr="00F80F5B">
        <w:rPr>
          <w:rFonts w:ascii="Times New Roman" w:eastAsia="Times New Roman" w:hAnsi="Times New Roman" w:cs="Times New Roman"/>
          <w:lang w:eastAsia="pt-BR"/>
        </w:rPr>
        <w:t>bilinguismo</w:t>
      </w:r>
      <w:r w:rsidR="00342DFC" w:rsidRPr="00F80F5B">
        <w:rPr>
          <w:rFonts w:ascii="Times New Roman" w:eastAsia="Times New Roman" w:hAnsi="Times New Roman" w:cs="Times New Roman"/>
          <w:lang w:eastAsia="pt-BR"/>
        </w:rPr>
        <w:t xml:space="preserve"> nacional e a Carta de Direitos e Liberdades</w:t>
      </w:r>
      <w:r w:rsidR="00E34605" w:rsidRPr="00F80F5B">
        <w:rPr>
          <w:rFonts w:ascii="Times New Roman" w:eastAsia="Times New Roman" w:hAnsi="Times New Roman" w:cs="Times New Roman"/>
          <w:lang w:eastAsia="pt-BR"/>
        </w:rPr>
        <w:t xml:space="preserve"> e atualmente as políticas de multiculturalismo e de imigração continua em escala, proporcionalmente muito maior do que a de qualquer outra nação do mundo</w:t>
      </w:r>
      <w:r w:rsidR="00854ACA" w:rsidRPr="00F80F5B">
        <w:rPr>
          <w:rFonts w:ascii="Times New Roman" w:eastAsia="Times New Roman" w:hAnsi="Times New Roman" w:cs="Times New Roman"/>
          <w:lang w:eastAsia="pt-BR"/>
        </w:rPr>
        <w:t xml:space="preserve"> </w:t>
      </w:r>
      <w:r w:rsidR="00E34605" w:rsidRPr="00F80F5B">
        <w:rPr>
          <w:rFonts w:ascii="Times New Roman" w:eastAsia="Times New Roman" w:hAnsi="Times New Roman" w:cs="Times New Roman"/>
          <w:lang w:eastAsia="pt-BR"/>
        </w:rPr>
        <w:t>( GWYN, 2011,p.337</w:t>
      </w:r>
      <w:r w:rsidR="00F04281" w:rsidRPr="00F80F5B">
        <w:rPr>
          <w:rFonts w:ascii="Times New Roman" w:eastAsia="Times New Roman" w:hAnsi="Times New Roman" w:cs="Times New Roman"/>
          <w:lang w:eastAsia="pt-BR"/>
        </w:rPr>
        <w:t>, tradução nossa</w:t>
      </w:r>
      <w:r w:rsidR="00E34605" w:rsidRPr="00F80F5B">
        <w:rPr>
          <w:rFonts w:ascii="Times New Roman" w:eastAsia="Times New Roman" w:hAnsi="Times New Roman" w:cs="Times New Roman"/>
          <w:lang w:eastAsia="pt-BR"/>
        </w:rPr>
        <w:t>).</w:t>
      </w:r>
      <w:r w:rsidR="00854ACA" w:rsidRPr="00F80F5B">
        <w:rPr>
          <w:rFonts w:ascii="Times New Roman" w:hAnsi="Times New Roman" w:cs="Times New Roman"/>
          <w:color w:val="212121"/>
          <w:shd w:val="clear" w:color="auto" w:fill="FFFFFF"/>
        </w:rPr>
        <w:t xml:space="preserve"> </w:t>
      </w:r>
    </w:p>
    <w:p w:rsidR="00347A71" w:rsidRPr="00F04281" w:rsidRDefault="00347A71" w:rsidP="0048231B">
      <w:pPr>
        <w:spacing w:after="0" w:line="240" w:lineRule="auto"/>
        <w:ind w:left="2268"/>
        <w:jc w:val="both"/>
        <w:rPr>
          <w:rFonts w:ascii="Times New Roman" w:hAnsi="Times New Roman" w:cs="Times New Roman"/>
          <w:color w:val="212121"/>
          <w:sz w:val="20"/>
          <w:szCs w:val="20"/>
          <w:shd w:val="clear" w:color="auto" w:fill="FFFFFF"/>
        </w:rPr>
      </w:pPr>
    </w:p>
    <w:p w:rsidR="004306C7" w:rsidRDefault="00B83162" w:rsidP="0048231B">
      <w:pPr>
        <w:spacing w:after="0" w:line="24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5</w:t>
      </w:r>
      <w:r w:rsidR="00103760">
        <w:rPr>
          <w:rFonts w:ascii="Times New Roman" w:eastAsia="Times New Roman" w:hAnsi="Times New Roman" w:cs="Times New Roman"/>
          <w:b/>
          <w:sz w:val="24"/>
          <w:szCs w:val="24"/>
          <w:lang w:eastAsia="pt-BR"/>
        </w:rPr>
        <w:t>.</w:t>
      </w:r>
      <w:r w:rsidR="00F04281">
        <w:rPr>
          <w:rFonts w:ascii="Times New Roman" w:eastAsia="Times New Roman" w:hAnsi="Times New Roman" w:cs="Times New Roman"/>
          <w:b/>
          <w:sz w:val="24"/>
          <w:szCs w:val="24"/>
          <w:lang w:eastAsia="pt-BR"/>
        </w:rPr>
        <w:t xml:space="preserve"> A</w:t>
      </w:r>
      <w:r w:rsidR="00103760">
        <w:rPr>
          <w:rFonts w:ascii="Times New Roman" w:eastAsia="Times New Roman" w:hAnsi="Times New Roman" w:cs="Times New Roman"/>
          <w:b/>
          <w:sz w:val="24"/>
          <w:szCs w:val="24"/>
          <w:lang w:eastAsia="pt-BR"/>
        </w:rPr>
        <w:t xml:space="preserve"> POLÍTICA MIGRATÓRIA E OS ASSENTAMENTOS NO OESTE CANADENSE</w:t>
      </w:r>
    </w:p>
    <w:p w:rsidR="00047CB9" w:rsidRDefault="00037ACD"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Devido </w:t>
      </w:r>
      <w:r w:rsidR="00A47540">
        <w:rPr>
          <w:rFonts w:ascii="Times New Roman" w:eastAsia="Times New Roman" w:hAnsi="Times New Roman" w:cs="Times New Roman"/>
          <w:sz w:val="24"/>
          <w:szCs w:val="24"/>
          <w:lang w:eastAsia="pt-BR"/>
        </w:rPr>
        <w:t>à</w:t>
      </w:r>
      <w:r>
        <w:rPr>
          <w:rFonts w:ascii="Times New Roman" w:eastAsia="Times New Roman" w:hAnsi="Times New Roman" w:cs="Times New Roman"/>
          <w:sz w:val="24"/>
          <w:szCs w:val="24"/>
          <w:lang w:eastAsia="pt-BR"/>
        </w:rPr>
        <w:t xml:space="preserve"> ausência de barreiras legais ou de fronteira em relação </w:t>
      </w:r>
      <w:r w:rsidR="00382FA0">
        <w:rPr>
          <w:rFonts w:ascii="Times New Roman" w:eastAsia="Times New Roman" w:hAnsi="Times New Roman" w:cs="Times New Roman"/>
          <w:sz w:val="24"/>
          <w:szCs w:val="24"/>
          <w:lang w:eastAsia="pt-BR"/>
        </w:rPr>
        <w:t>à</w:t>
      </w:r>
      <w:r>
        <w:rPr>
          <w:rFonts w:ascii="Times New Roman" w:eastAsia="Times New Roman" w:hAnsi="Times New Roman" w:cs="Times New Roman"/>
          <w:sz w:val="24"/>
          <w:szCs w:val="24"/>
          <w:lang w:eastAsia="pt-BR"/>
        </w:rPr>
        <w:t xml:space="preserve"> imigração para os Estados Unidos, um dos </w:t>
      </w:r>
      <w:r w:rsidR="00692EC0">
        <w:rPr>
          <w:rFonts w:ascii="Times New Roman" w:eastAsia="Times New Roman" w:hAnsi="Times New Roman" w:cs="Times New Roman"/>
          <w:sz w:val="24"/>
          <w:szCs w:val="24"/>
          <w:lang w:eastAsia="pt-BR"/>
        </w:rPr>
        <w:t>principais</w:t>
      </w:r>
      <w:r>
        <w:rPr>
          <w:rFonts w:ascii="Times New Roman" w:eastAsia="Times New Roman" w:hAnsi="Times New Roman" w:cs="Times New Roman"/>
          <w:sz w:val="24"/>
          <w:szCs w:val="24"/>
          <w:lang w:eastAsia="pt-BR"/>
        </w:rPr>
        <w:t xml:space="preserve"> desafios enfrentados pelo Canadá a partir da Confederação seria conseguir manter a população dentro de seu território e povoar </w:t>
      </w:r>
      <w:r w:rsidR="00692EC0">
        <w:rPr>
          <w:rFonts w:ascii="Times New Roman" w:eastAsia="Times New Roman" w:hAnsi="Times New Roman" w:cs="Times New Roman"/>
          <w:sz w:val="24"/>
          <w:szCs w:val="24"/>
          <w:lang w:eastAsia="pt-BR"/>
        </w:rPr>
        <w:t xml:space="preserve">as </w:t>
      </w:r>
      <w:r>
        <w:rPr>
          <w:rFonts w:ascii="Times New Roman" w:eastAsia="Times New Roman" w:hAnsi="Times New Roman" w:cs="Times New Roman"/>
          <w:sz w:val="24"/>
          <w:szCs w:val="24"/>
          <w:lang w:eastAsia="pt-BR"/>
        </w:rPr>
        <w:t>áreas ainda desertas no oeste do país.</w:t>
      </w:r>
      <w:r w:rsidR="00047CB9" w:rsidRPr="00047CB9">
        <w:rPr>
          <w:rFonts w:ascii="Times New Roman" w:eastAsia="Times New Roman" w:hAnsi="Times New Roman" w:cs="Times New Roman"/>
          <w:sz w:val="24"/>
          <w:szCs w:val="24"/>
          <w:lang w:eastAsia="pt-BR"/>
        </w:rPr>
        <w:t xml:space="preserve"> </w:t>
      </w:r>
    </w:p>
    <w:p w:rsidR="002F3982" w:rsidRDefault="00B74DAF"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Até </w:t>
      </w:r>
      <w:r w:rsidR="00692EC0">
        <w:rPr>
          <w:rFonts w:ascii="Times New Roman" w:eastAsia="Times New Roman" w:hAnsi="Times New Roman" w:cs="Times New Roman"/>
          <w:sz w:val="24"/>
          <w:szCs w:val="24"/>
          <w:lang w:eastAsia="pt-BR"/>
        </w:rPr>
        <w:t>meados</w:t>
      </w:r>
      <w:r>
        <w:rPr>
          <w:rFonts w:ascii="Times New Roman" w:eastAsia="Times New Roman" w:hAnsi="Times New Roman" w:cs="Times New Roman"/>
          <w:sz w:val="24"/>
          <w:szCs w:val="24"/>
          <w:lang w:eastAsia="pt-BR"/>
        </w:rPr>
        <w:t xml:space="preserve"> do século XIX existia um forte ceticismo sobre as potencialidades econômicas das pradarias do oeste canadense. Na década de 1850 o governo britânico solicitou uma </w:t>
      </w:r>
      <w:r w:rsidR="00791D17">
        <w:rPr>
          <w:rFonts w:ascii="Times New Roman" w:eastAsia="Times New Roman" w:hAnsi="Times New Roman" w:cs="Times New Roman"/>
          <w:sz w:val="24"/>
          <w:szCs w:val="24"/>
          <w:lang w:eastAsia="pt-BR"/>
        </w:rPr>
        <w:t>investigação</w:t>
      </w:r>
      <w:r>
        <w:rPr>
          <w:rFonts w:ascii="Times New Roman" w:eastAsia="Times New Roman" w:hAnsi="Times New Roman" w:cs="Times New Roman"/>
          <w:sz w:val="24"/>
          <w:szCs w:val="24"/>
          <w:lang w:eastAsia="pt-BR"/>
        </w:rPr>
        <w:t xml:space="preserve"> sobre essas potencialidades </w:t>
      </w:r>
      <w:r w:rsidR="00791D17">
        <w:rPr>
          <w:rFonts w:ascii="Times New Roman" w:eastAsia="Times New Roman" w:hAnsi="Times New Roman" w:cs="Times New Roman"/>
          <w:sz w:val="24"/>
          <w:szCs w:val="24"/>
          <w:lang w:eastAsia="pt-BR"/>
        </w:rPr>
        <w:t xml:space="preserve">a John </w:t>
      </w:r>
      <w:proofErr w:type="spellStart"/>
      <w:r w:rsidR="00791D17">
        <w:rPr>
          <w:rFonts w:ascii="Times New Roman" w:eastAsia="Times New Roman" w:hAnsi="Times New Roman" w:cs="Times New Roman"/>
          <w:sz w:val="24"/>
          <w:szCs w:val="24"/>
          <w:lang w:eastAsia="pt-BR"/>
        </w:rPr>
        <w:t>Palliser</w:t>
      </w:r>
      <w:proofErr w:type="spellEnd"/>
      <w:r w:rsidR="00791D17">
        <w:rPr>
          <w:rStyle w:val="Refdenotaderodap"/>
          <w:rFonts w:ascii="Times New Roman" w:eastAsia="Times New Roman" w:hAnsi="Times New Roman" w:cs="Times New Roman"/>
          <w:sz w:val="24"/>
          <w:szCs w:val="24"/>
          <w:lang w:eastAsia="pt-BR"/>
        </w:rPr>
        <w:footnoteReference w:id="12"/>
      </w:r>
      <w:r w:rsidR="00AF2BF4">
        <w:rPr>
          <w:rFonts w:ascii="Times New Roman" w:eastAsia="Times New Roman" w:hAnsi="Times New Roman" w:cs="Times New Roman"/>
          <w:sz w:val="24"/>
          <w:szCs w:val="24"/>
          <w:lang w:eastAsia="pt-BR"/>
        </w:rPr>
        <w:t xml:space="preserve"> e uma equipe de exploradores</w:t>
      </w:r>
      <w:r w:rsidR="00A46E14">
        <w:rPr>
          <w:rFonts w:ascii="Times New Roman" w:eastAsia="Times New Roman" w:hAnsi="Times New Roman" w:cs="Times New Roman"/>
          <w:sz w:val="24"/>
          <w:szCs w:val="24"/>
          <w:lang w:eastAsia="pt-BR"/>
        </w:rPr>
        <w:t>,</w:t>
      </w:r>
      <w:r w:rsidR="00AF2BF4">
        <w:rPr>
          <w:rFonts w:ascii="Times New Roman" w:eastAsia="Times New Roman" w:hAnsi="Times New Roman" w:cs="Times New Roman"/>
          <w:sz w:val="24"/>
          <w:szCs w:val="24"/>
          <w:lang w:eastAsia="pt-BR"/>
        </w:rPr>
        <w:t xml:space="preserve"> que concluíram que</w:t>
      </w:r>
      <w:r>
        <w:rPr>
          <w:rFonts w:ascii="Times New Roman" w:eastAsia="Times New Roman" w:hAnsi="Times New Roman" w:cs="Times New Roman"/>
          <w:sz w:val="24"/>
          <w:szCs w:val="24"/>
          <w:lang w:eastAsia="pt-BR"/>
        </w:rPr>
        <w:t xml:space="preserve"> uma imensa parte </w:t>
      </w:r>
      <w:r w:rsidR="00AF2BF4">
        <w:rPr>
          <w:rFonts w:ascii="Times New Roman" w:eastAsia="Times New Roman" w:hAnsi="Times New Roman" w:cs="Times New Roman"/>
          <w:sz w:val="24"/>
          <w:szCs w:val="24"/>
          <w:lang w:eastAsia="pt-BR"/>
        </w:rPr>
        <w:t xml:space="preserve">do sul </w:t>
      </w:r>
      <w:r>
        <w:rPr>
          <w:rFonts w:ascii="Times New Roman" w:eastAsia="Times New Roman" w:hAnsi="Times New Roman" w:cs="Times New Roman"/>
          <w:sz w:val="24"/>
          <w:szCs w:val="24"/>
          <w:lang w:eastAsia="pt-BR"/>
        </w:rPr>
        <w:t xml:space="preserve">das pradarias eram </w:t>
      </w:r>
      <w:r w:rsidR="00791D17">
        <w:rPr>
          <w:rFonts w:ascii="Times New Roman" w:eastAsia="Times New Roman" w:hAnsi="Times New Roman" w:cs="Times New Roman"/>
          <w:sz w:val="24"/>
          <w:szCs w:val="24"/>
          <w:lang w:eastAsia="pt-BR"/>
        </w:rPr>
        <w:t>impróprias para a agricultura</w:t>
      </w:r>
      <w:r w:rsidR="00AF2BF4">
        <w:rPr>
          <w:rFonts w:ascii="Times New Roman" w:eastAsia="Times New Roman" w:hAnsi="Times New Roman" w:cs="Times New Roman"/>
          <w:sz w:val="24"/>
          <w:szCs w:val="24"/>
          <w:lang w:eastAsia="pt-BR"/>
        </w:rPr>
        <w:t xml:space="preserve">. A expedição foi realizada durante um período de seca prolongada e </w:t>
      </w:r>
      <w:proofErr w:type="spellStart"/>
      <w:r w:rsidR="00AF2BF4">
        <w:rPr>
          <w:rFonts w:ascii="Times New Roman" w:eastAsia="Times New Roman" w:hAnsi="Times New Roman" w:cs="Times New Roman"/>
          <w:sz w:val="24"/>
          <w:szCs w:val="24"/>
          <w:lang w:eastAsia="pt-BR"/>
        </w:rPr>
        <w:t>Palliser</w:t>
      </w:r>
      <w:proofErr w:type="spellEnd"/>
      <w:r w:rsidR="00AF2BF4">
        <w:rPr>
          <w:rFonts w:ascii="Times New Roman" w:eastAsia="Times New Roman" w:hAnsi="Times New Roman" w:cs="Times New Roman"/>
          <w:sz w:val="24"/>
          <w:szCs w:val="24"/>
          <w:lang w:eastAsia="pt-BR"/>
        </w:rPr>
        <w:t xml:space="preserve"> e sua equipe concluíram que essa região </w:t>
      </w:r>
      <w:r w:rsidR="00BD6FED">
        <w:rPr>
          <w:rFonts w:ascii="Times New Roman" w:eastAsia="Times New Roman" w:hAnsi="Times New Roman" w:cs="Times New Roman"/>
          <w:sz w:val="24"/>
          <w:szCs w:val="24"/>
          <w:lang w:eastAsia="pt-BR"/>
        </w:rPr>
        <w:t xml:space="preserve">não passava de </w:t>
      </w:r>
      <w:r w:rsidR="00AF2BF4">
        <w:rPr>
          <w:rFonts w:ascii="Times New Roman" w:eastAsia="Times New Roman" w:hAnsi="Times New Roman" w:cs="Times New Roman"/>
          <w:sz w:val="24"/>
          <w:szCs w:val="24"/>
          <w:lang w:eastAsia="pt-BR"/>
        </w:rPr>
        <w:t xml:space="preserve">uma </w:t>
      </w:r>
      <w:r w:rsidR="00BD6FED">
        <w:rPr>
          <w:rFonts w:ascii="Times New Roman" w:eastAsia="Times New Roman" w:hAnsi="Times New Roman" w:cs="Times New Roman"/>
          <w:sz w:val="24"/>
          <w:szCs w:val="24"/>
          <w:lang w:eastAsia="pt-BR"/>
        </w:rPr>
        <w:t xml:space="preserve">mera </w:t>
      </w:r>
      <w:r w:rsidR="00AF2BF4">
        <w:rPr>
          <w:rFonts w:ascii="Times New Roman" w:eastAsia="Times New Roman" w:hAnsi="Times New Roman" w:cs="Times New Roman"/>
          <w:sz w:val="24"/>
          <w:szCs w:val="24"/>
          <w:lang w:eastAsia="pt-BR"/>
        </w:rPr>
        <w:t>extensão do Grande Deserto Americano</w:t>
      </w:r>
      <w:r w:rsidR="006E475A">
        <w:rPr>
          <w:rStyle w:val="Refdenotaderodap"/>
          <w:rFonts w:ascii="Times New Roman" w:eastAsia="Times New Roman" w:hAnsi="Times New Roman" w:cs="Times New Roman"/>
          <w:sz w:val="24"/>
          <w:szCs w:val="24"/>
          <w:lang w:eastAsia="pt-BR"/>
        </w:rPr>
        <w:footnoteReference w:id="13"/>
      </w:r>
      <w:r w:rsidR="005E6A08">
        <w:rPr>
          <w:rFonts w:ascii="Times New Roman" w:eastAsia="Times New Roman" w:hAnsi="Times New Roman" w:cs="Times New Roman"/>
          <w:sz w:val="24"/>
          <w:szCs w:val="24"/>
          <w:lang w:eastAsia="pt-BR"/>
        </w:rPr>
        <w:t>.</w:t>
      </w:r>
      <w:r w:rsidR="00BD6FED">
        <w:rPr>
          <w:rFonts w:ascii="Times New Roman" w:eastAsia="Times New Roman" w:hAnsi="Times New Roman" w:cs="Times New Roman"/>
          <w:sz w:val="24"/>
          <w:szCs w:val="24"/>
          <w:lang w:eastAsia="pt-BR"/>
        </w:rPr>
        <w:t xml:space="preserve"> Posteriormente, outros estudos, como o do naturalista canadense John </w:t>
      </w:r>
      <w:proofErr w:type="spellStart"/>
      <w:r w:rsidR="00BD6FED">
        <w:rPr>
          <w:rFonts w:ascii="Times New Roman" w:eastAsia="Times New Roman" w:hAnsi="Times New Roman" w:cs="Times New Roman"/>
          <w:sz w:val="24"/>
          <w:szCs w:val="24"/>
          <w:lang w:eastAsia="pt-BR"/>
        </w:rPr>
        <w:t>Macoun</w:t>
      </w:r>
      <w:proofErr w:type="spellEnd"/>
      <w:r w:rsidR="00BD6FED">
        <w:rPr>
          <w:rFonts w:ascii="Times New Roman" w:eastAsia="Times New Roman" w:hAnsi="Times New Roman" w:cs="Times New Roman"/>
          <w:sz w:val="24"/>
          <w:szCs w:val="24"/>
          <w:lang w:eastAsia="pt-BR"/>
        </w:rPr>
        <w:t xml:space="preserve">, chegariam a conclusões divergentes e mesmo opostas </w:t>
      </w:r>
      <w:r w:rsidR="005D270B">
        <w:rPr>
          <w:rFonts w:ascii="Times New Roman" w:eastAsia="Times New Roman" w:hAnsi="Times New Roman" w:cs="Times New Roman"/>
          <w:sz w:val="24"/>
          <w:szCs w:val="24"/>
          <w:lang w:eastAsia="pt-BR"/>
        </w:rPr>
        <w:t>à</w:t>
      </w:r>
      <w:r w:rsidR="00BD6FED">
        <w:rPr>
          <w:rFonts w:ascii="Times New Roman" w:eastAsia="Times New Roman" w:hAnsi="Times New Roman" w:cs="Times New Roman"/>
          <w:sz w:val="24"/>
          <w:szCs w:val="24"/>
          <w:lang w:eastAsia="pt-BR"/>
        </w:rPr>
        <w:t xml:space="preserve">quelas de </w:t>
      </w:r>
      <w:proofErr w:type="spellStart"/>
      <w:r w:rsidR="00BD6FED">
        <w:rPr>
          <w:rFonts w:ascii="Times New Roman" w:eastAsia="Times New Roman" w:hAnsi="Times New Roman" w:cs="Times New Roman"/>
          <w:sz w:val="24"/>
          <w:szCs w:val="24"/>
          <w:lang w:eastAsia="pt-BR"/>
        </w:rPr>
        <w:t>Palliser</w:t>
      </w:r>
      <w:proofErr w:type="spellEnd"/>
      <w:r w:rsidR="00BD6FED">
        <w:rPr>
          <w:rFonts w:ascii="Times New Roman" w:eastAsia="Times New Roman" w:hAnsi="Times New Roman" w:cs="Times New Roman"/>
          <w:sz w:val="24"/>
          <w:szCs w:val="24"/>
          <w:lang w:eastAsia="pt-BR"/>
        </w:rPr>
        <w:t>, defendendo a ideia de que as terras eram prop</w:t>
      </w:r>
      <w:r w:rsidR="00A46E14">
        <w:rPr>
          <w:rFonts w:ascii="Times New Roman" w:eastAsia="Times New Roman" w:hAnsi="Times New Roman" w:cs="Times New Roman"/>
          <w:sz w:val="24"/>
          <w:szCs w:val="24"/>
          <w:lang w:eastAsia="pt-BR"/>
        </w:rPr>
        <w:t>í</w:t>
      </w:r>
      <w:r w:rsidR="00BD6FED">
        <w:rPr>
          <w:rFonts w:ascii="Times New Roman" w:eastAsia="Times New Roman" w:hAnsi="Times New Roman" w:cs="Times New Roman"/>
          <w:sz w:val="24"/>
          <w:szCs w:val="24"/>
          <w:lang w:eastAsia="pt-BR"/>
        </w:rPr>
        <w:t xml:space="preserve">cias as atividades </w:t>
      </w:r>
      <w:r w:rsidR="00B27315">
        <w:rPr>
          <w:rFonts w:ascii="Times New Roman" w:eastAsia="Times New Roman" w:hAnsi="Times New Roman" w:cs="Times New Roman"/>
          <w:sz w:val="24"/>
          <w:szCs w:val="24"/>
          <w:lang w:eastAsia="pt-BR"/>
        </w:rPr>
        <w:t>agrícolas</w:t>
      </w:r>
      <w:r w:rsidR="008B6730">
        <w:rPr>
          <w:rFonts w:ascii="Times New Roman" w:eastAsia="Times New Roman" w:hAnsi="Times New Roman" w:cs="Times New Roman"/>
          <w:sz w:val="24"/>
          <w:szCs w:val="24"/>
          <w:lang w:eastAsia="pt-BR"/>
        </w:rPr>
        <w:t xml:space="preserve"> (MARCHILDON, 2009, p.1)</w:t>
      </w:r>
    </w:p>
    <w:p w:rsidR="007C2CA4" w:rsidRDefault="00BD6FED" w:rsidP="0048231B">
      <w:pPr>
        <w:spacing w:after="0" w:line="24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w:t>
      </w:r>
      <w:r w:rsidR="00272A0E">
        <w:rPr>
          <w:rFonts w:ascii="Times New Roman" w:eastAsia="Times New Roman" w:hAnsi="Times New Roman" w:cs="Times New Roman"/>
          <w:sz w:val="24"/>
          <w:szCs w:val="24"/>
          <w:lang w:eastAsia="pt-BR"/>
        </w:rPr>
        <w:t>uitos canadenses</w:t>
      </w:r>
      <w:r w:rsidR="000B501A">
        <w:rPr>
          <w:rFonts w:ascii="Times New Roman" w:eastAsia="Times New Roman" w:hAnsi="Times New Roman" w:cs="Times New Roman"/>
          <w:sz w:val="24"/>
          <w:szCs w:val="24"/>
          <w:lang w:eastAsia="pt-BR"/>
        </w:rPr>
        <w:t xml:space="preserve"> </w:t>
      </w:r>
      <w:r w:rsidR="002701FE">
        <w:rPr>
          <w:rFonts w:ascii="Times New Roman" w:eastAsia="Times New Roman" w:hAnsi="Times New Roman" w:cs="Times New Roman"/>
          <w:sz w:val="24"/>
          <w:szCs w:val="24"/>
          <w:lang w:eastAsia="pt-BR"/>
        </w:rPr>
        <w:t xml:space="preserve">simpatizantes </w:t>
      </w:r>
      <w:r w:rsidR="002F3982">
        <w:rPr>
          <w:rFonts w:ascii="Times New Roman" w:eastAsia="Times New Roman" w:hAnsi="Times New Roman" w:cs="Times New Roman"/>
          <w:sz w:val="24"/>
          <w:szCs w:val="24"/>
          <w:lang w:eastAsia="pt-BR"/>
        </w:rPr>
        <w:t>dos ideais expansionistas</w:t>
      </w:r>
      <w:r>
        <w:rPr>
          <w:rFonts w:ascii="Times New Roman" w:eastAsia="Times New Roman" w:hAnsi="Times New Roman" w:cs="Times New Roman"/>
          <w:sz w:val="24"/>
          <w:szCs w:val="24"/>
          <w:lang w:eastAsia="pt-BR"/>
        </w:rPr>
        <w:t xml:space="preserve">, mesmo antes de </w:t>
      </w:r>
      <w:proofErr w:type="spellStart"/>
      <w:r>
        <w:rPr>
          <w:rFonts w:ascii="Times New Roman" w:eastAsia="Times New Roman" w:hAnsi="Times New Roman" w:cs="Times New Roman"/>
          <w:sz w:val="24"/>
          <w:szCs w:val="24"/>
          <w:lang w:eastAsia="pt-BR"/>
        </w:rPr>
        <w:t>Macoun</w:t>
      </w:r>
      <w:proofErr w:type="spellEnd"/>
      <w:r>
        <w:rPr>
          <w:rFonts w:ascii="Times New Roman" w:eastAsia="Times New Roman" w:hAnsi="Times New Roman" w:cs="Times New Roman"/>
          <w:sz w:val="24"/>
          <w:szCs w:val="24"/>
          <w:lang w:eastAsia="pt-BR"/>
        </w:rPr>
        <w:t>,</w:t>
      </w:r>
      <w:r w:rsidR="00272A0E">
        <w:rPr>
          <w:rFonts w:ascii="Times New Roman" w:eastAsia="Times New Roman" w:hAnsi="Times New Roman" w:cs="Times New Roman"/>
          <w:sz w:val="24"/>
          <w:szCs w:val="24"/>
          <w:lang w:eastAsia="pt-BR"/>
        </w:rPr>
        <w:t xml:space="preserve"> começaram a </w:t>
      </w:r>
      <w:r w:rsidR="002F3982">
        <w:rPr>
          <w:rFonts w:ascii="Times New Roman" w:eastAsia="Times New Roman" w:hAnsi="Times New Roman" w:cs="Times New Roman"/>
          <w:sz w:val="24"/>
          <w:szCs w:val="24"/>
          <w:lang w:eastAsia="pt-BR"/>
        </w:rPr>
        <w:t>defender uma</w:t>
      </w:r>
      <w:r w:rsidR="00272A0E">
        <w:rPr>
          <w:rFonts w:ascii="Times New Roman" w:eastAsia="Times New Roman" w:hAnsi="Times New Roman" w:cs="Times New Roman"/>
          <w:sz w:val="24"/>
          <w:szCs w:val="24"/>
          <w:lang w:eastAsia="pt-BR"/>
        </w:rPr>
        <w:t xml:space="preserve"> nova visão sobre o oeste</w:t>
      </w:r>
      <w:r w:rsidR="002F3982">
        <w:rPr>
          <w:rFonts w:ascii="Times New Roman" w:eastAsia="Times New Roman" w:hAnsi="Times New Roman" w:cs="Times New Roman"/>
          <w:sz w:val="24"/>
          <w:szCs w:val="24"/>
          <w:lang w:eastAsia="pt-BR"/>
        </w:rPr>
        <w:t xml:space="preserve"> e a tratar </w:t>
      </w:r>
      <w:r w:rsidR="00272A0E">
        <w:rPr>
          <w:rFonts w:ascii="Times New Roman" w:eastAsia="Times New Roman" w:hAnsi="Times New Roman" w:cs="Times New Roman"/>
          <w:sz w:val="24"/>
          <w:szCs w:val="24"/>
          <w:lang w:eastAsia="pt-BR"/>
        </w:rPr>
        <w:t xml:space="preserve">a região como essencial </w:t>
      </w:r>
      <w:r w:rsidR="002F3982">
        <w:rPr>
          <w:rFonts w:ascii="Times New Roman" w:eastAsia="Times New Roman" w:hAnsi="Times New Roman" w:cs="Times New Roman"/>
          <w:sz w:val="24"/>
          <w:szCs w:val="24"/>
          <w:lang w:eastAsia="pt-BR"/>
        </w:rPr>
        <w:t xml:space="preserve">na </w:t>
      </w:r>
      <w:r w:rsidR="00272A0E">
        <w:rPr>
          <w:rFonts w:ascii="Times New Roman" w:eastAsia="Times New Roman" w:hAnsi="Times New Roman" w:cs="Times New Roman"/>
          <w:sz w:val="24"/>
          <w:szCs w:val="24"/>
          <w:lang w:eastAsia="pt-BR"/>
        </w:rPr>
        <w:t>criação de um novo país</w:t>
      </w:r>
      <w:r w:rsidR="002F3982">
        <w:rPr>
          <w:rFonts w:ascii="Times New Roman" w:eastAsia="Times New Roman" w:hAnsi="Times New Roman" w:cs="Times New Roman"/>
          <w:sz w:val="24"/>
          <w:szCs w:val="24"/>
          <w:lang w:eastAsia="pt-BR"/>
        </w:rPr>
        <w:t xml:space="preserve"> destacando </w:t>
      </w:r>
      <w:r>
        <w:rPr>
          <w:rFonts w:ascii="Times New Roman" w:eastAsia="Times New Roman" w:hAnsi="Times New Roman" w:cs="Times New Roman"/>
          <w:sz w:val="24"/>
          <w:szCs w:val="24"/>
          <w:lang w:eastAsia="pt-BR"/>
        </w:rPr>
        <w:t>esse</w:t>
      </w:r>
      <w:r w:rsidR="002F3982">
        <w:rPr>
          <w:rFonts w:ascii="Times New Roman" w:eastAsia="Times New Roman" w:hAnsi="Times New Roman" w:cs="Times New Roman"/>
          <w:sz w:val="24"/>
          <w:szCs w:val="24"/>
          <w:lang w:eastAsia="pt-BR"/>
        </w:rPr>
        <w:t xml:space="preserve"> potencial agrícola inexplorado. </w:t>
      </w:r>
      <w:r w:rsidR="00692EC0">
        <w:rPr>
          <w:rFonts w:ascii="Times New Roman" w:eastAsia="Times New Roman" w:hAnsi="Times New Roman" w:cs="Times New Roman"/>
          <w:sz w:val="24"/>
          <w:szCs w:val="24"/>
          <w:lang w:eastAsia="pt-BR"/>
        </w:rPr>
        <w:t>Segundo OWRAM, essa visão:</w:t>
      </w:r>
    </w:p>
    <w:p w:rsidR="00597C53" w:rsidRPr="00F80F5B" w:rsidRDefault="00E62B2C" w:rsidP="0048231B">
      <w:pPr>
        <w:spacing w:after="0" w:line="240" w:lineRule="auto"/>
        <w:ind w:left="2268"/>
        <w:jc w:val="both"/>
        <w:rPr>
          <w:rFonts w:ascii="Times New Roman" w:eastAsia="Times New Roman" w:hAnsi="Times New Roman" w:cs="Times New Roman"/>
          <w:lang w:eastAsia="pt-BR"/>
        </w:rPr>
      </w:pPr>
      <w:r>
        <w:rPr>
          <w:rFonts w:ascii="Times New Roman" w:eastAsia="Times New Roman" w:hAnsi="Times New Roman" w:cs="Times New Roman"/>
          <w:lang w:eastAsia="pt-BR"/>
        </w:rPr>
        <w:lastRenderedPageBreak/>
        <w:t>[</w:t>
      </w:r>
      <w:r w:rsidR="007C2CA4" w:rsidRPr="00F80F5B">
        <w:rPr>
          <w:rFonts w:ascii="Times New Roman" w:eastAsia="Times New Roman" w:hAnsi="Times New Roman" w:cs="Times New Roman"/>
          <w:lang w:eastAsia="pt-BR"/>
        </w:rPr>
        <w:t xml:space="preserve">...] ajudou </w:t>
      </w:r>
      <w:r w:rsidR="00BD6FED" w:rsidRPr="00F80F5B">
        <w:rPr>
          <w:rFonts w:ascii="Times New Roman" w:eastAsia="Times New Roman" w:hAnsi="Times New Roman" w:cs="Times New Roman"/>
          <w:lang w:eastAsia="pt-BR"/>
        </w:rPr>
        <w:t>a moldar a política do governo, as atitudes dos canadenses e a própria história do Canadá como a nação que tinha a tarefa de abrir e povoar o oeste</w:t>
      </w:r>
      <w:r w:rsidR="007C2CA4" w:rsidRPr="00F80F5B">
        <w:rPr>
          <w:rFonts w:ascii="Times New Roman" w:eastAsia="Times New Roman" w:hAnsi="Times New Roman" w:cs="Times New Roman"/>
          <w:lang w:eastAsia="pt-BR"/>
        </w:rPr>
        <w:t xml:space="preserve"> [...] Entre 1856 e 1869 a imagem do oeste </w:t>
      </w:r>
      <w:r w:rsidR="002958AA" w:rsidRPr="00F80F5B">
        <w:rPr>
          <w:rFonts w:ascii="Times New Roman" w:eastAsia="Times New Roman" w:hAnsi="Times New Roman" w:cs="Times New Roman"/>
          <w:lang w:eastAsia="pt-BR"/>
        </w:rPr>
        <w:t xml:space="preserve">foi transformada na literatura canadense, de um deserto </w:t>
      </w:r>
      <w:proofErr w:type="spellStart"/>
      <w:proofErr w:type="gramStart"/>
      <w:r w:rsidR="002958AA" w:rsidRPr="00F80F5B">
        <w:rPr>
          <w:rFonts w:ascii="Times New Roman" w:eastAsia="Times New Roman" w:hAnsi="Times New Roman" w:cs="Times New Roman"/>
          <w:lang w:eastAsia="pt-BR"/>
        </w:rPr>
        <w:t>semi-ártico</w:t>
      </w:r>
      <w:proofErr w:type="spellEnd"/>
      <w:proofErr w:type="gramEnd"/>
      <w:r w:rsidR="002958AA" w:rsidRPr="00F80F5B">
        <w:rPr>
          <w:rFonts w:ascii="Times New Roman" w:eastAsia="Times New Roman" w:hAnsi="Times New Roman" w:cs="Times New Roman"/>
          <w:lang w:eastAsia="pt-BR"/>
        </w:rPr>
        <w:t xml:space="preserve"> a um jardim fértil bem adaptado às atividades agrícolas; adicionalmente havia um novo interesse nas possibilidades de mineração, comércio e transportes. Este potencial recém-descoberto permitiu que o oeste fosse visto como meio pelo qual o Canadá </w:t>
      </w:r>
      <w:r w:rsidR="0096596E" w:rsidRPr="00F80F5B">
        <w:rPr>
          <w:rFonts w:ascii="Times New Roman" w:eastAsia="Times New Roman" w:hAnsi="Times New Roman" w:cs="Times New Roman"/>
          <w:lang w:eastAsia="pt-BR"/>
        </w:rPr>
        <w:t>seria levado</w:t>
      </w:r>
      <w:r w:rsidR="002958AA" w:rsidRPr="00F80F5B">
        <w:rPr>
          <w:rFonts w:ascii="Times New Roman" w:eastAsia="Times New Roman" w:hAnsi="Times New Roman" w:cs="Times New Roman"/>
          <w:lang w:eastAsia="pt-BR"/>
        </w:rPr>
        <w:t xml:space="preserve"> de colônia à nação e, eventualmente, </w:t>
      </w:r>
      <w:r w:rsidR="005424E2" w:rsidRPr="00F80F5B">
        <w:rPr>
          <w:rFonts w:ascii="Times New Roman" w:eastAsia="Times New Roman" w:hAnsi="Times New Roman" w:cs="Times New Roman"/>
          <w:lang w:eastAsia="pt-BR"/>
        </w:rPr>
        <w:t>a</w:t>
      </w:r>
      <w:r w:rsidR="008E365B" w:rsidRPr="00F80F5B">
        <w:rPr>
          <w:rFonts w:ascii="Times New Roman" w:eastAsia="Times New Roman" w:hAnsi="Times New Roman" w:cs="Times New Roman"/>
          <w:lang w:eastAsia="pt-BR"/>
        </w:rPr>
        <w:t xml:space="preserve"> um império </w:t>
      </w:r>
      <w:r w:rsidR="00692EC0" w:rsidRPr="00F80F5B">
        <w:rPr>
          <w:rFonts w:ascii="Times New Roman" w:eastAsia="Times New Roman" w:hAnsi="Times New Roman" w:cs="Times New Roman"/>
          <w:lang w:eastAsia="pt-BR"/>
        </w:rPr>
        <w:t xml:space="preserve">em si. </w:t>
      </w:r>
      <w:r w:rsidR="0096596E" w:rsidRPr="00F80F5B">
        <w:rPr>
          <w:rFonts w:ascii="Times New Roman" w:eastAsia="Times New Roman" w:hAnsi="Times New Roman" w:cs="Times New Roman"/>
          <w:lang w:eastAsia="pt-BR"/>
        </w:rPr>
        <w:t>(OWRAM,</w:t>
      </w:r>
      <w:r w:rsidR="00292E8A" w:rsidRPr="00F80F5B">
        <w:rPr>
          <w:rFonts w:ascii="Times New Roman" w:eastAsia="Times New Roman" w:hAnsi="Times New Roman" w:cs="Times New Roman"/>
          <w:lang w:eastAsia="pt-BR"/>
        </w:rPr>
        <w:t xml:space="preserve"> </w:t>
      </w:r>
      <w:r w:rsidR="0096596E" w:rsidRPr="00F80F5B">
        <w:rPr>
          <w:rFonts w:ascii="Times New Roman" w:eastAsia="Times New Roman" w:hAnsi="Times New Roman" w:cs="Times New Roman"/>
          <w:lang w:eastAsia="pt-BR"/>
        </w:rPr>
        <w:t>1980,</w:t>
      </w:r>
      <w:r w:rsidR="00A414F1" w:rsidRPr="00F80F5B">
        <w:rPr>
          <w:rFonts w:ascii="Times New Roman" w:eastAsia="Times New Roman" w:hAnsi="Times New Roman" w:cs="Times New Roman"/>
          <w:lang w:eastAsia="pt-BR"/>
        </w:rPr>
        <w:t xml:space="preserve"> </w:t>
      </w:r>
      <w:r w:rsidR="0096596E" w:rsidRPr="00F80F5B">
        <w:rPr>
          <w:rFonts w:ascii="Times New Roman" w:eastAsia="Times New Roman" w:hAnsi="Times New Roman" w:cs="Times New Roman"/>
          <w:lang w:eastAsia="pt-BR"/>
        </w:rPr>
        <w:t>p.3</w:t>
      </w:r>
      <w:r w:rsidR="00692EC0" w:rsidRPr="00F80F5B">
        <w:rPr>
          <w:rFonts w:ascii="Times New Roman" w:eastAsia="Times New Roman" w:hAnsi="Times New Roman" w:cs="Times New Roman"/>
          <w:lang w:eastAsia="pt-BR"/>
        </w:rPr>
        <w:t>, tradução nossa</w:t>
      </w:r>
      <w:r w:rsidR="0096596E" w:rsidRPr="00F80F5B">
        <w:rPr>
          <w:rFonts w:ascii="Times New Roman" w:eastAsia="Times New Roman" w:hAnsi="Times New Roman" w:cs="Times New Roman"/>
          <w:lang w:eastAsia="pt-BR"/>
        </w:rPr>
        <w:t>)</w:t>
      </w:r>
      <w:r w:rsidR="00CD36BC" w:rsidRPr="00F80F5B">
        <w:rPr>
          <w:rFonts w:ascii="Times New Roman" w:eastAsia="Times New Roman" w:hAnsi="Times New Roman" w:cs="Times New Roman"/>
          <w:lang w:eastAsia="pt-BR"/>
        </w:rPr>
        <w:t>.</w:t>
      </w:r>
    </w:p>
    <w:p w:rsidR="006C4497" w:rsidRPr="001118BF" w:rsidRDefault="008E365B" w:rsidP="0048231B">
      <w:pPr>
        <w:spacing w:after="0" w:line="24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sz w:val="24"/>
          <w:szCs w:val="24"/>
          <w:lang w:eastAsia="pt-BR"/>
        </w:rPr>
        <w:t>A partir</w:t>
      </w:r>
      <w:r w:rsidR="00037ACD">
        <w:rPr>
          <w:rFonts w:ascii="Times New Roman" w:eastAsia="Times New Roman" w:hAnsi="Times New Roman" w:cs="Times New Roman"/>
          <w:sz w:val="24"/>
          <w:szCs w:val="24"/>
          <w:lang w:eastAsia="pt-BR"/>
        </w:rPr>
        <w:t xml:space="preserve"> da</w:t>
      </w:r>
      <w:r w:rsidR="00047CB9" w:rsidRPr="00047CB9">
        <w:rPr>
          <w:rFonts w:ascii="Times New Roman" w:eastAsia="Times New Roman" w:hAnsi="Times New Roman" w:cs="Times New Roman"/>
          <w:sz w:val="24"/>
          <w:szCs w:val="24"/>
          <w:lang w:eastAsia="pt-BR"/>
        </w:rPr>
        <w:t xml:space="preserve"> Confederação o poder de dispor das terras públicas foi assumido pelo governo </w:t>
      </w:r>
      <w:r w:rsidR="008B3EE3">
        <w:rPr>
          <w:rFonts w:ascii="Times New Roman" w:eastAsia="Times New Roman" w:hAnsi="Times New Roman" w:cs="Times New Roman"/>
          <w:sz w:val="24"/>
          <w:szCs w:val="24"/>
          <w:lang w:eastAsia="pt-BR"/>
        </w:rPr>
        <w:t>central</w:t>
      </w:r>
      <w:r w:rsidR="00047CB9" w:rsidRPr="00047CB9">
        <w:rPr>
          <w:rFonts w:ascii="Times New Roman" w:eastAsia="Times New Roman" w:hAnsi="Times New Roman" w:cs="Times New Roman"/>
          <w:sz w:val="24"/>
          <w:szCs w:val="24"/>
          <w:lang w:eastAsia="pt-BR"/>
        </w:rPr>
        <w:t xml:space="preserve">. </w:t>
      </w:r>
      <w:r w:rsidR="00037ACD">
        <w:rPr>
          <w:rFonts w:ascii="Times New Roman" w:eastAsia="Times New Roman" w:hAnsi="Times New Roman" w:cs="Times New Roman"/>
          <w:sz w:val="24"/>
          <w:szCs w:val="24"/>
          <w:lang w:eastAsia="pt-BR"/>
        </w:rPr>
        <w:t>A</w:t>
      </w:r>
      <w:r w:rsidR="00047CB9" w:rsidRPr="00047CB9">
        <w:rPr>
          <w:rFonts w:ascii="Times New Roman" w:eastAsia="Times New Roman" w:hAnsi="Times New Roman" w:cs="Times New Roman"/>
          <w:sz w:val="24"/>
          <w:szCs w:val="24"/>
          <w:lang w:eastAsia="pt-BR"/>
        </w:rPr>
        <w:t xml:space="preserve">lém da construção de uma ferrovia </w:t>
      </w:r>
      <w:r w:rsidR="00037ACD">
        <w:rPr>
          <w:rFonts w:ascii="Times New Roman" w:eastAsia="Times New Roman" w:hAnsi="Times New Roman" w:cs="Times New Roman"/>
          <w:sz w:val="24"/>
          <w:szCs w:val="24"/>
          <w:lang w:eastAsia="pt-BR"/>
        </w:rPr>
        <w:t>trans</w:t>
      </w:r>
      <w:r w:rsidR="00047CB9" w:rsidRPr="00047CB9">
        <w:rPr>
          <w:rFonts w:ascii="Times New Roman" w:eastAsia="Times New Roman" w:hAnsi="Times New Roman" w:cs="Times New Roman"/>
          <w:sz w:val="24"/>
          <w:szCs w:val="24"/>
          <w:lang w:eastAsia="pt-BR"/>
        </w:rPr>
        <w:t>continental, estava no centro das discussões o assentamento de população no oeste</w:t>
      </w:r>
      <w:r w:rsidR="00037ACD">
        <w:rPr>
          <w:rFonts w:ascii="Times New Roman" w:eastAsia="Times New Roman" w:hAnsi="Times New Roman" w:cs="Times New Roman"/>
          <w:sz w:val="24"/>
          <w:szCs w:val="24"/>
          <w:lang w:eastAsia="pt-BR"/>
        </w:rPr>
        <w:t xml:space="preserve"> do país</w:t>
      </w:r>
      <w:r w:rsidR="00047CB9" w:rsidRPr="00047CB9">
        <w:rPr>
          <w:rFonts w:ascii="Times New Roman" w:eastAsia="Times New Roman" w:hAnsi="Times New Roman" w:cs="Times New Roman"/>
          <w:sz w:val="24"/>
          <w:szCs w:val="24"/>
          <w:lang w:eastAsia="pt-BR"/>
        </w:rPr>
        <w:t>.</w:t>
      </w:r>
      <w:r w:rsidR="00BB0AD1">
        <w:rPr>
          <w:rFonts w:ascii="Times New Roman" w:eastAsia="Times New Roman" w:hAnsi="Times New Roman" w:cs="Times New Roman"/>
          <w:sz w:val="24"/>
          <w:szCs w:val="24"/>
          <w:lang w:eastAsia="pt-BR"/>
        </w:rPr>
        <w:t xml:space="preserve"> </w:t>
      </w:r>
      <w:r w:rsidR="006C4497">
        <w:rPr>
          <w:rFonts w:ascii="Times New Roman" w:eastAsia="Times New Roman" w:hAnsi="Times New Roman" w:cs="Times New Roman"/>
          <w:sz w:val="24"/>
          <w:szCs w:val="24"/>
          <w:lang w:eastAsia="pt-BR"/>
        </w:rPr>
        <w:t xml:space="preserve">Uma das principais </w:t>
      </w:r>
      <w:r w:rsidR="00AA1DEC">
        <w:rPr>
          <w:rFonts w:ascii="Times New Roman" w:eastAsia="Times New Roman" w:hAnsi="Times New Roman" w:cs="Times New Roman"/>
          <w:sz w:val="24"/>
          <w:szCs w:val="24"/>
          <w:lang w:eastAsia="pt-BR"/>
        </w:rPr>
        <w:t>questões</w:t>
      </w:r>
      <w:r w:rsidR="006C4497">
        <w:rPr>
          <w:rFonts w:ascii="Times New Roman" w:eastAsia="Times New Roman" w:hAnsi="Times New Roman" w:cs="Times New Roman"/>
          <w:sz w:val="24"/>
          <w:szCs w:val="24"/>
          <w:lang w:eastAsia="pt-BR"/>
        </w:rPr>
        <w:t xml:space="preserve"> estava focada em quais seriam as regras de imigração e quais imigrantes seriam contemplados. Inicialmente a política do governo canadense </w:t>
      </w:r>
      <w:r w:rsidR="001118BF">
        <w:rPr>
          <w:rFonts w:ascii="Times New Roman" w:eastAsia="Times New Roman" w:hAnsi="Times New Roman" w:cs="Times New Roman"/>
          <w:sz w:val="24"/>
          <w:szCs w:val="24"/>
          <w:lang w:eastAsia="pt-BR"/>
        </w:rPr>
        <w:t>se voltava</w:t>
      </w:r>
      <w:r w:rsidR="006C4497">
        <w:rPr>
          <w:rFonts w:ascii="Times New Roman" w:eastAsia="Times New Roman" w:hAnsi="Times New Roman" w:cs="Times New Roman"/>
          <w:sz w:val="24"/>
          <w:szCs w:val="24"/>
          <w:lang w:eastAsia="pt-BR"/>
        </w:rPr>
        <w:t xml:space="preserve"> preferencialmente a atrair imigrantes estadunidenses, ingleses e de países do norte da Europa</w:t>
      </w:r>
      <w:r w:rsidR="005D270B">
        <w:rPr>
          <w:rFonts w:ascii="Times New Roman" w:eastAsia="Times New Roman" w:hAnsi="Times New Roman" w:cs="Times New Roman"/>
          <w:sz w:val="24"/>
          <w:szCs w:val="24"/>
          <w:lang w:eastAsia="pt-BR"/>
        </w:rPr>
        <w:t>,</w:t>
      </w:r>
      <w:r w:rsidR="006C4497">
        <w:rPr>
          <w:rFonts w:ascii="Times New Roman" w:eastAsia="Times New Roman" w:hAnsi="Times New Roman" w:cs="Times New Roman"/>
          <w:sz w:val="24"/>
          <w:szCs w:val="24"/>
          <w:lang w:eastAsia="pt-BR"/>
        </w:rPr>
        <w:t xml:space="preserve"> como os provenientes dos países escandinavos, alemães, holandeses e belgas</w:t>
      </w:r>
      <w:r w:rsidR="005D270B">
        <w:rPr>
          <w:rFonts w:ascii="Times New Roman" w:eastAsia="Times New Roman" w:hAnsi="Times New Roman" w:cs="Times New Roman"/>
          <w:sz w:val="24"/>
          <w:szCs w:val="24"/>
          <w:lang w:eastAsia="pt-BR"/>
        </w:rPr>
        <w:t>.</w:t>
      </w:r>
      <w:r w:rsidR="00BB0AD1">
        <w:rPr>
          <w:rFonts w:ascii="Times New Roman" w:eastAsia="Times New Roman" w:hAnsi="Times New Roman" w:cs="Times New Roman"/>
          <w:sz w:val="24"/>
          <w:szCs w:val="24"/>
          <w:lang w:eastAsia="pt-BR"/>
        </w:rPr>
        <w:t xml:space="preserve"> </w:t>
      </w:r>
      <w:r w:rsidR="005D270B">
        <w:rPr>
          <w:rFonts w:ascii="Times New Roman" w:eastAsia="Times New Roman" w:hAnsi="Times New Roman" w:cs="Times New Roman"/>
          <w:sz w:val="24"/>
          <w:szCs w:val="24"/>
          <w:lang w:eastAsia="pt-BR"/>
        </w:rPr>
        <w:t>M</w:t>
      </w:r>
      <w:r w:rsidR="006C4497">
        <w:rPr>
          <w:rFonts w:ascii="Times New Roman" w:eastAsia="Times New Roman" w:hAnsi="Times New Roman" w:cs="Times New Roman"/>
          <w:sz w:val="24"/>
          <w:szCs w:val="24"/>
          <w:lang w:eastAsia="pt-BR"/>
        </w:rPr>
        <w:t xml:space="preserve">as como o número de interessados era bastante inferior </w:t>
      </w:r>
      <w:r w:rsidR="00AC5F1C">
        <w:rPr>
          <w:rFonts w:ascii="Times New Roman" w:eastAsia="Times New Roman" w:hAnsi="Times New Roman" w:cs="Times New Roman"/>
          <w:sz w:val="24"/>
          <w:szCs w:val="24"/>
          <w:lang w:eastAsia="pt-BR"/>
        </w:rPr>
        <w:t>às</w:t>
      </w:r>
      <w:r w:rsidR="006F75FA">
        <w:rPr>
          <w:rFonts w:ascii="Times New Roman" w:eastAsia="Times New Roman" w:hAnsi="Times New Roman" w:cs="Times New Roman"/>
          <w:sz w:val="24"/>
          <w:szCs w:val="24"/>
          <w:lang w:eastAsia="pt-BR"/>
        </w:rPr>
        <w:t xml:space="preserve"> necessidades para o assentamento</w:t>
      </w:r>
      <w:r w:rsidR="00FF1B24">
        <w:rPr>
          <w:rFonts w:ascii="Times New Roman" w:eastAsia="Times New Roman" w:hAnsi="Times New Roman" w:cs="Times New Roman"/>
          <w:sz w:val="24"/>
          <w:szCs w:val="24"/>
          <w:lang w:eastAsia="pt-BR"/>
        </w:rPr>
        <w:t>,</w:t>
      </w:r>
      <w:r w:rsidR="006F75FA">
        <w:rPr>
          <w:rFonts w:ascii="Times New Roman" w:eastAsia="Times New Roman" w:hAnsi="Times New Roman" w:cs="Times New Roman"/>
          <w:sz w:val="24"/>
          <w:szCs w:val="24"/>
          <w:lang w:eastAsia="pt-BR"/>
        </w:rPr>
        <w:t xml:space="preserve"> também passaram a ser encorajados imigrantes do leste </w:t>
      </w:r>
      <w:r w:rsidR="008B3EE3">
        <w:rPr>
          <w:rFonts w:ascii="Times New Roman" w:eastAsia="Times New Roman" w:hAnsi="Times New Roman" w:cs="Times New Roman"/>
          <w:sz w:val="24"/>
          <w:szCs w:val="24"/>
          <w:lang w:eastAsia="pt-BR"/>
        </w:rPr>
        <w:t>europeu,</w:t>
      </w:r>
      <w:r w:rsidR="0005388C">
        <w:rPr>
          <w:rFonts w:ascii="Times New Roman" w:eastAsia="Times New Roman" w:hAnsi="Times New Roman" w:cs="Times New Roman"/>
          <w:sz w:val="24"/>
          <w:szCs w:val="24"/>
          <w:lang w:eastAsia="pt-BR"/>
        </w:rPr>
        <w:t xml:space="preserve"> </w:t>
      </w:r>
      <w:r w:rsidR="008B3EE3">
        <w:rPr>
          <w:rFonts w:ascii="Times New Roman" w:eastAsia="Times New Roman" w:hAnsi="Times New Roman" w:cs="Times New Roman"/>
          <w:sz w:val="24"/>
          <w:szCs w:val="24"/>
          <w:lang w:eastAsia="pt-BR"/>
        </w:rPr>
        <w:t>em especial russos</w:t>
      </w:r>
      <w:r w:rsidR="005D270B">
        <w:rPr>
          <w:rFonts w:ascii="Times New Roman" w:eastAsia="Times New Roman" w:hAnsi="Times New Roman" w:cs="Times New Roman"/>
          <w:sz w:val="24"/>
          <w:szCs w:val="24"/>
          <w:lang w:eastAsia="pt-BR"/>
        </w:rPr>
        <w:t>,</w:t>
      </w:r>
      <w:r w:rsidR="006F75FA">
        <w:rPr>
          <w:rFonts w:ascii="Times New Roman" w:eastAsia="Times New Roman" w:hAnsi="Times New Roman" w:cs="Times New Roman"/>
          <w:sz w:val="24"/>
          <w:szCs w:val="24"/>
          <w:lang w:eastAsia="pt-BR"/>
        </w:rPr>
        <w:t xml:space="preserve"> e no final do século XIX também </w:t>
      </w:r>
      <w:r w:rsidR="00FF1B24">
        <w:rPr>
          <w:rFonts w:ascii="Times New Roman" w:eastAsia="Times New Roman" w:hAnsi="Times New Roman" w:cs="Times New Roman"/>
          <w:sz w:val="24"/>
          <w:szCs w:val="24"/>
          <w:lang w:eastAsia="pt-BR"/>
        </w:rPr>
        <w:t xml:space="preserve">merece </w:t>
      </w:r>
      <w:r w:rsidR="006F75FA">
        <w:rPr>
          <w:rFonts w:ascii="Times New Roman" w:eastAsia="Times New Roman" w:hAnsi="Times New Roman" w:cs="Times New Roman"/>
          <w:sz w:val="24"/>
          <w:szCs w:val="24"/>
          <w:lang w:eastAsia="pt-BR"/>
        </w:rPr>
        <w:t>destaque a imigração de Ucranianos</w:t>
      </w:r>
      <w:r w:rsidR="003C5EBC">
        <w:rPr>
          <w:rFonts w:ascii="Times New Roman" w:eastAsia="Times New Roman" w:hAnsi="Times New Roman" w:cs="Times New Roman"/>
          <w:sz w:val="24"/>
          <w:szCs w:val="24"/>
          <w:lang w:eastAsia="pt-BR"/>
        </w:rPr>
        <w:t xml:space="preserve"> (MARCHILDON, 2009,p.6)</w:t>
      </w:r>
      <w:r w:rsidR="006F75FA">
        <w:rPr>
          <w:rFonts w:ascii="Times New Roman" w:eastAsia="Times New Roman" w:hAnsi="Times New Roman" w:cs="Times New Roman"/>
          <w:sz w:val="24"/>
          <w:szCs w:val="24"/>
          <w:lang w:eastAsia="pt-BR"/>
        </w:rPr>
        <w:t>.</w:t>
      </w:r>
      <w:r w:rsidR="001118BF">
        <w:rPr>
          <w:rFonts w:ascii="Times New Roman" w:eastAsia="Times New Roman" w:hAnsi="Times New Roman" w:cs="Times New Roman"/>
          <w:sz w:val="24"/>
          <w:szCs w:val="24"/>
          <w:lang w:eastAsia="pt-BR"/>
        </w:rPr>
        <w:t xml:space="preserve"> </w:t>
      </w:r>
    </w:p>
    <w:p w:rsidR="003C5EBC" w:rsidRDefault="00C41139"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Visando</w:t>
      </w:r>
      <w:r w:rsidR="004D676B">
        <w:rPr>
          <w:rFonts w:ascii="Times New Roman" w:eastAsia="Times New Roman" w:hAnsi="Times New Roman" w:cs="Times New Roman"/>
          <w:sz w:val="24"/>
          <w:szCs w:val="24"/>
          <w:lang w:eastAsia="pt-BR"/>
        </w:rPr>
        <w:t xml:space="preserve"> </w:t>
      </w:r>
      <w:r w:rsidR="008B3EE3">
        <w:rPr>
          <w:rFonts w:ascii="Times New Roman" w:eastAsia="Times New Roman" w:hAnsi="Times New Roman" w:cs="Times New Roman"/>
          <w:sz w:val="24"/>
          <w:szCs w:val="24"/>
          <w:lang w:eastAsia="pt-BR"/>
        </w:rPr>
        <w:t>estipular</w:t>
      </w:r>
      <w:r w:rsidR="00AA1DEC">
        <w:rPr>
          <w:rFonts w:ascii="Times New Roman" w:eastAsia="Times New Roman" w:hAnsi="Times New Roman" w:cs="Times New Roman"/>
          <w:sz w:val="24"/>
          <w:szCs w:val="24"/>
          <w:lang w:eastAsia="pt-BR"/>
        </w:rPr>
        <w:t xml:space="preserve"> as regras de imigração e assentamento</w:t>
      </w:r>
      <w:r>
        <w:rPr>
          <w:rFonts w:ascii="Times New Roman" w:eastAsia="Times New Roman" w:hAnsi="Times New Roman" w:cs="Times New Roman"/>
          <w:sz w:val="24"/>
          <w:szCs w:val="24"/>
          <w:lang w:eastAsia="pt-BR"/>
        </w:rPr>
        <w:t>,</w:t>
      </w:r>
      <w:r w:rsidR="00AA1DEC">
        <w:rPr>
          <w:rFonts w:ascii="Times New Roman" w:eastAsia="Times New Roman" w:hAnsi="Times New Roman" w:cs="Times New Roman"/>
          <w:sz w:val="24"/>
          <w:szCs w:val="24"/>
          <w:lang w:eastAsia="pt-BR"/>
        </w:rPr>
        <w:t xml:space="preserve"> entr</w:t>
      </w:r>
      <w:r w:rsidR="005D270B">
        <w:rPr>
          <w:rFonts w:ascii="Times New Roman" w:eastAsia="Times New Roman" w:hAnsi="Times New Roman" w:cs="Times New Roman"/>
          <w:sz w:val="24"/>
          <w:szCs w:val="24"/>
          <w:lang w:eastAsia="pt-BR"/>
        </w:rPr>
        <w:t>ou</w:t>
      </w:r>
      <w:r w:rsidR="00AA1DEC">
        <w:rPr>
          <w:rFonts w:ascii="Times New Roman" w:eastAsia="Times New Roman" w:hAnsi="Times New Roman" w:cs="Times New Roman"/>
          <w:sz w:val="24"/>
          <w:szCs w:val="24"/>
          <w:lang w:eastAsia="pt-BR"/>
        </w:rPr>
        <w:t xml:space="preserve"> em vigor em 1872 </w:t>
      </w:r>
      <w:r w:rsidR="00AA1DEC" w:rsidRPr="00AA1DEC">
        <w:rPr>
          <w:rFonts w:ascii="Times New Roman" w:eastAsia="Times New Roman" w:hAnsi="Times New Roman" w:cs="Times New Roman"/>
          <w:sz w:val="24"/>
          <w:szCs w:val="24"/>
          <w:lang w:eastAsia="pt-BR"/>
        </w:rPr>
        <w:t xml:space="preserve">a </w:t>
      </w:r>
      <w:r w:rsidR="00AA1DEC" w:rsidRPr="005D270B">
        <w:rPr>
          <w:rFonts w:ascii="Times New Roman" w:eastAsia="Times New Roman" w:hAnsi="Times New Roman" w:cs="Times New Roman"/>
          <w:i/>
          <w:sz w:val="24"/>
          <w:szCs w:val="24"/>
          <w:lang w:eastAsia="pt-BR"/>
        </w:rPr>
        <w:t>Dominion Lands Act</w:t>
      </w:r>
      <w:r w:rsidR="00AA1DEC">
        <w:rPr>
          <w:rStyle w:val="Refdenotaderodap"/>
          <w:rFonts w:ascii="Times New Roman" w:eastAsia="Times New Roman" w:hAnsi="Times New Roman" w:cs="Times New Roman"/>
          <w:sz w:val="24"/>
          <w:szCs w:val="24"/>
          <w:lang w:eastAsia="pt-BR"/>
        </w:rPr>
        <w:footnoteReference w:id="14"/>
      </w:r>
      <w:r w:rsidR="003657DD">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A partir dessa</w:t>
      </w:r>
      <w:r w:rsidR="0089619A">
        <w:rPr>
          <w:rFonts w:ascii="Times New Roman" w:eastAsia="Times New Roman" w:hAnsi="Times New Roman" w:cs="Times New Roman"/>
          <w:sz w:val="24"/>
          <w:szCs w:val="24"/>
          <w:lang w:eastAsia="pt-BR"/>
        </w:rPr>
        <w:t xml:space="preserve"> lei foi determinada como seria feita a distribuição das terras entre os imigrantes</w:t>
      </w:r>
      <w:r w:rsidR="0075358C">
        <w:rPr>
          <w:rFonts w:ascii="Times New Roman" w:eastAsia="Times New Roman" w:hAnsi="Times New Roman" w:cs="Times New Roman"/>
          <w:sz w:val="24"/>
          <w:szCs w:val="24"/>
          <w:lang w:eastAsia="pt-BR"/>
        </w:rPr>
        <w:t xml:space="preserve"> e canadenses do leste</w:t>
      </w:r>
      <w:r w:rsidR="0089619A">
        <w:rPr>
          <w:rFonts w:ascii="Times New Roman" w:eastAsia="Times New Roman" w:hAnsi="Times New Roman" w:cs="Times New Roman"/>
          <w:sz w:val="24"/>
          <w:szCs w:val="24"/>
          <w:lang w:eastAsia="pt-BR"/>
        </w:rPr>
        <w:t xml:space="preserve">. Cada imigrante recebia gratuitamente 160 acres de terra (65 hectares), pagando apenas uma taxa administrativa de </w:t>
      </w:r>
      <w:r w:rsidR="00382FA0">
        <w:rPr>
          <w:rFonts w:ascii="Times New Roman" w:eastAsia="Times New Roman" w:hAnsi="Times New Roman" w:cs="Times New Roman"/>
          <w:sz w:val="24"/>
          <w:szCs w:val="24"/>
          <w:lang w:eastAsia="pt-BR"/>
        </w:rPr>
        <w:t>C</w:t>
      </w:r>
      <w:r w:rsidR="0089619A">
        <w:rPr>
          <w:rFonts w:ascii="Times New Roman" w:eastAsia="Times New Roman" w:hAnsi="Times New Roman" w:cs="Times New Roman"/>
          <w:sz w:val="24"/>
          <w:szCs w:val="24"/>
          <w:lang w:eastAsia="pt-BR"/>
        </w:rPr>
        <w:t xml:space="preserve">$10. Qualquer homem com idade superior a 21 anos, ou mulher que fosse </w:t>
      </w:r>
      <w:r w:rsidR="0075358C">
        <w:rPr>
          <w:rFonts w:ascii="Times New Roman" w:eastAsia="Times New Roman" w:hAnsi="Times New Roman" w:cs="Times New Roman"/>
          <w:sz w:val="24"/>
          <w:szCs w:val="24"/>
          <w:lang w:eastAsia="pt-BR"/>
        </w:rPr>
        <w:t xml:space="preserve">a chefe da família e que se enquadrassem </w:t>
      </w:r>
      <w:r w:rsidR="00467C32">
        <w:rPr>
          <w:rFonts w:ascii="Times New Roman" w:eastAsia="Times New Roman" w:hAnsi="Times New Roman" w:cs="Times New Roman"/>
          <w:sz w:val="24"/>
          <w:szCs w:val="24"/>
          <w:lang w:eastAsia="pt-BR"/>
        </w:rPr>
        <w:t>nas regras de imigração poderiam solicitar as terras</w:t>
      </w:r>
      <w:r w:rsidR="005D270B">
        <w:rPr>
          <w:rFonts w:ascii="Times New Roman" w:eastAsia="Times New Roman" w:hAnsi="Times New Roman" w:cs="Times New Roman"/>
          <w:sz w:val="24"/>
          <w:szCs w:val="24"/>
          <w:lang w:eastAsia="pt-BR"/>
        </w:rPr>
        <w:t>,</w:t>
      </w:r>
      <w:r w:rsidR="00467C32">
        <w:rPr>
          <w:rFonts w:ascii="Times New Roman" w:eastAsia="Times New Roman" w:hAnsi="Times New Roman" w:cs="Times New Roman"/>
          <w:sz w:val="24"/>
          <w:szCs w:val="24"/>
          <w:lang w:eastAsia="pt-BR"/>
        </w:rPr>
        <w:t xml:space="preserve"> devendo se comprometer a cultivar ao menos 30 acres e estabelecer residência permanente no local para evitar que especuladores obtivessem o controle das terras</w:t>
      </w:r>
      <w:r w:rsidR="003C5EBC">
        <w:rPr>
          <w:rFonts w:ascii="Times New Roman" w:eastAsia="Times New Roman" w:hAnsi="Times New Roman" w:cs="Times New Roman"/>
          <w:sz w:val="24"/>
          <w:szCs w:val="24"/>
          <w:lang w:eastAsia="pt-BR"/>
        </w:rPr>
        <w:t xml:space="preserve"> (Francis, Jones, Smith, </w:t>
      </w:r>
      <w:r w:rsidR="00BC6F11">
        <w:rPr>
          <w:rFonts w:ascii="Times New Roman" w:eastAsia="Times New Roman" w:hAnsi="Times New Roman" w:cs="Times New Roman"/>
          <w:sz w:val="24"/>
          <w:szCs w:val="24"/>
          <w:lang w:eastAsia="pt-BR"/>
        </w:rPr>
        <w:t>2010, p.291).</w:t>
      </w:r>
      <w:r w:rsidR="001118BF">
        <w:rPr>
          <w:rFonts w:ascii="Times New Roman" w:eastAsia="Times New Roman" w:hAnsi="Times New Roman" w:cs="Times New Roman"/>
          <w:sz w:val="24"/>
          <w:szCs w:val="24"/>
          <w:lang w:eastAsia="pt-BR"/>
        </w:rPr>
        <w:t xml:space="preserve">        </w:t>
      </w:r>
    </w:p>
    <w:p w:rsidR="0036368A" w:rsidRDefault="00E03947"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As terras das pradarias </w:t>
      </w:r>
      <w:r w:rsidR="00E42E29">
        <w:rPr>
          <w:rFonts w:ascii="Times New Roman" w:eastAsia="Times New Roman" w:hAnsi="Times New Roman" w:cs="Times New Roman"/>
          <w:sz w:val="24"/>
          <w:szCs w:val="24"/>
          <w:lang w:eastAsia="pt-BR"/>
        </w:rPr>
        <w:t>que podiam ser cultivadas</w:t>
      </w:r>
      <w:r>
        <w:rPr>
          <w:rFonts w:ascii="Times New Roman" w:eastAsia="Times New Roman" w:hAnsi="Times New Roman" w:cs="Times New Roman"/>
          <w:sz w:val="24"/>
          <w:szCs w:val="24"/>
          <w:lang w:eastAsia="pt-BR"/>
        </w:rPr>
        <w:t xml:space="preserve"> foram distribuídas em distritos com 36 seções de 640 acres</w:t>
      </w:r>
      <w:r w:rsidR="00E42E29">
        <w:rPr>
          <w:rFonts w:ascii="Times New Roman" w:eastAsia="Times New Roman" w:hAnsi="Times New Roman" w:cs="Times New Roman"/>
          <w:sz w:val="24"/>
          <w:szCs w:val="24"/>
          <w:lang w:eastAsia="pt-BR"/>
        </w:rPr>
        <w:t xml:space="preserve">. O governo distribuía as terras nas seguintes proporções: </w:t>
      </w:r>
      <w:r w:rsidR="00047CB9" w:rsidRPr="00047CB9">
        <w:rPr>
          <w:rFonts w:ascii="Times New Roman" w:eastAsia="Times New Roman" w:hAnsi="Times New Roman" w:cs="Times New Roman"/>
          <w:sz w:val="24"/>
          <w:szCs w:val="24"/>
          <w:lang w:eastAsia="pt-BR"/>
        </w:rPr>
        <w:t>1</w:t>
      </w:r>
      <w:r w:rsidR="00BB0AD1">
        <w:rPr>
          <w:rFonts w:ascii="Times New Roman" w:eastAsia="Times New Roman" w:hAnsi="Times New Roman" w:cs="Times New Roman"/>
          <w:sz w:val="24"/>
          <w:szCs w:val="24"/>
          <w:lang w:eastAsia="pt-BR"/>
        </w:rPr>
        <w:t>,75</w:t>
      </w:r>
      <w:r w:rsidR="00047CB9" w:rsidRPr="00047CB9">
        <w:rPr>
          <w:rFonts w:ascii="Times New Roman" w:eastAsia="Times New Roman" w:hAnsi="Times New Roman" w:cs="Times New Roman"/>
          <w:sz w:val="24"/>
          <w:szCs w:val="24"/>
          <w:lang w:eastAsia="pt-BR"/>
        </w:rPr>
        <w:t>/</w:t>
      </w:r>
      <w:r w:rsidR="00BB0AD1">
        <w:rPr>
          <w:rFonts w:ascii="Times New Roman" w:eastAsia="Times New Roman" w:hAnsi="Times New Roman" w:cs="Times New Roman"/>
          <w:sz w:val="24"/>
          <w:szCs w:val="24"/>
          <w:lang w:eastAsia="pt-BR"/>
        </w:rPr>
        <w:t>36</w:t>
      </w:r>
      <w:r w:rsidR="00047CB9" w:rsidRPr="00047CB9">
        <w:rPr>
          <w:rFonts w:ascii="Times New Roman" w:eastAsia="Times New Roman" w:hAnsi="Times New Roman" w:cs="Times New Roman"/>
          <w:sz w:val="24"/>
          <w:szCs w:val="24"/>
          <w:lang w:eastAsia="pt-BR"/>
        </w:rPr>
        <w:t xml:space="preserve"> das pradarias férteis eram destinadas </w:t>
      </w:r>
      <w:r w:rsidR="005D270B">
        <w:rPr>
          <w:rFonts w:ascii="Times New Roman" w:eastAsia="Times New Roman" w:hAnsi="Times New Roman" w:cs="Times New Roman"/>
          <w:sz w:val="24"/>
          <w:szCs w:val="24"/>
          <w:lang w:eastAsia="pt-BR"/>
        </w:rPr>
        <w:t>à</w:t>
      </w:r>
      <w:r w:rsidR="00047CB9" w:rsidRPr="00047CB9">
        <w:rPr>
          <w:rFonts w:ascii="Times New Roman" w:eastAsia="Times New Roman" w:hAnsi="Times New Roman" w:cs="Times New Roman"/>
          <w:sz w:val="24"/>
          <w:szCs w:val="24"/>
          <w:lang w:eastAsia="pt-BR"/>
        </w:rPr>
        <w:t xml:space="preserve"> Hudson’s Bay Company; </w:t>
      </w:r>
      <w:r w:rsidR="00BB0AD1">
        <w:rPr>
          <w:rFonts w:ascii="Times New Roman" w:eastAsia="Times New Roman" w:hAnsi="Times New Roman" w:cs="Times New Roman"/>
          <w:sz w:val="24"/>
          <w:szCs w:val="24"/>
          <w:lang w:eastAsia="pt-BR"/>
        </w:rPr>
        <w:t>2</w:t>
      </w:r>
      <w:r w:rsidR="00047CB9" w:rsidRPr="00047CB9">
        <w:rPr>
          <w:rFonts w:ascii="Times New Roman" w:eastAsia="Times New Roman" w:hAnsi="Times New Roman" w:cs="Times New Roman"/>
          <w:sz w:val="24"/>
          <w:szCs w:val="24"/>
          <w:lang w:eastAsia="pt-BR"/>
        </w:rPr>
        <w:t>/</w:t>
      </w:r>
      <w:r w:rsidR="00BB0AD1">
        <w:rPr>
          <w:rFonts w:ascii="Times New Roman" w:eastAsia="Times New Roman" w:hAnsi="Times New Roman" w:cs="Times New Roman"/>
          <w:sz w:val="24"/>
          <w:szCs w:val="24"/>
          <w:lang w:eastAsia="pt-BR"/>
        </w:rPr>
        <w:t>36</w:t>
      </w:r>
      <w:r w:rsidR="00047CB9" w:rsidRPr="00047CB9">
        <w:rPr>
          <w:rFonts w:ascii="Times New Roman" w:eastAsia="Times New Roman" w:hAnsi="Times New Roman" w:cs="Times New Roman"/>
          <w:sz w:val="24"/>
          <w:szCs w:val="24"/>
          <w:lang w:eastAsia="pt-BR"/>
        </w:rPr>
        <w:t xml:space="preserve"> eram destinados para escolas </w:t>
      </w:r>
      <w:r w:rsidR="00E42E29">
        <w:rPr>
          <w:rFonts w:ascii="Times New Roman" w:eastAsia="Times New Roman" w:hAnsi="Times New Roman" w:cs="Times New Roman"/>
          <w:sz w:val="24"/>
          <w:szCs w:val="24"/>
          <w:lang w:eastAsia="pt-BR"/>
        </w:rPr>
        <w:t>e as demais seções eram destinadas ao assentamento</w:t>
      </w:r>
      <w:r w:rsidR="008A1902">
        <w:rPr>
          <w:rFonts w:ascii="Times New Roman" w:eastAsia="Times New Roman" w:hAnsi="Times New Roman" w:cs="Times New Roman"/>
          <w:sz w:val="24"/>
          <w:szCs w:val="24"/>
          <w:lang w:eastAsia="pt-BR"/>
        </w:rPr>
        <w:t xml:space="preserve"> </w:t>
      </w:r>
      <w:r w:rsidR="003B0B94">
        <w:rPr>
          <w:rFonts w:ascii="Times New Roman" w:eastAsia="Times New Roman" w:hAnsi="Times New Roman" w:cs="Times New Roman"/>
          <w:sz w:val="24"/>
          <w:szCs w:val="24"/>
          <w:lang w:eastAsia="pt-BR"/>
        </w:rPr>
        <w:t>(16,25/36)</w:t>
      </w:r>
      <w:r w:rsidR="00E42E29">
        <w:rPr>
          <w:rFonts w:ascii="Times New Roman" w:eastAsia="Times New Roman" w:hAnsi="Times New Roman" w:cs="Times New Roman"/>
          <w:sz w:val="24"/>
          <w:szCs w:val="24"/>
          <w:lang w:eastAsia="pt-BR"/>
        </w:rPr>
        <w:t xml:space="preserve"> e para as ferrovias </w:t>
      </w:r>
      <w:r w:rsidR="00BB0AD1">
        <w:rPr>
          <w:rFonts w:ascii="Times New Roman" w:eastAsia="Times New Roman" w:hAnsi="Times New Roman" w:cs="Times New Roman"/>
          <w:sz w:val="24"/>
          <w:szCs w:val="24"/>
          <w:lang w:eastAsia="pt-BR"/>
        </w:rPr>
        <w:t>(16/36) (KERR, 1981, p.62)</w:t>
      </w:r>
      <w:r w:rsidR="00382FA0">
        <w:rPr>
          <w:rFonts w:ascii="Times New Roman" w:eastAsia="Times New Roman" w:hAnsi="Times New Roman" w:cs="Times New Roman"/>
          <w:sz w:val="24"/>
          <w:szCs w:val="24"/>
          <w:lang w:eastAsia="pt-BR"/>
        </w:rPr>
        <w:t xml:space="preserve">. </w:t>
      </w:r>
    </w:p>
    <w:p w:rsidR="007B431D" w:rsidRDefault="001118BF"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w:t>
      </w:r>
      <w:r w:rsidR="007B431D">
        <w:rPr>
          <w:rFonts w:ascii="Times New Roman" w:eastAsia="Times New Roman" w:hAnsi="Times New Roman" w:cs="Times New Roman"/>
          <w:sz w:val="24"/>
          <w:szCs w:val="24"/>
          <w:lang w:eastAsia="pt-BR"/>
        </w:rPr>
        <w:t xml:space="preserve">o entanto, o assentamento no oeste estava significativamente relacionado </w:t>
      </w:r>
      <w:r w:rsidR="006A11BD">
        <w:rPr>
          <w:rFonts w:ascii="Times New Roman" w:eastAsia="Times New Roman" w:hAnsi="Times New Roman" w:cs="Times New Roman"/>
          <w:sz w:val="24"/>
          <w:szCs w:val="24"/>
          <w:lang w:eastAsia="pt-BR"/>
        </w:rPr>
        <w:t xml:space="preserve">à </w:t>
      </w:r>
      <w:r w:rsidR="007B431D">
        <w:rPr>
          <w:rFonts w:ascii="Times New Roman" w:eastAsia="Times New Roman" w:hAnsi="Times New Roman" w:cs="Times New Roman"/>
          <w:sz w:val="24"/>
          <w:szCs w:val="24"/>
          <w:lang w:eastAsia="pt-BR"/>
        </w:rPr>
        <w:t xml:space="preserve">construção da </w:t>
      </w:r>
      <w:r w:rsidR="007B431D" w:rsidRPr="006A11BD">
        <w:rPr>
          <w:rFonts w:ascii="Times New Roman" w:eastAsia="Times New Roman" w:hAnsi="Times New Roman" w:cs="Times New Roman"/>
          <w:i/>
          <w:sz w:val="24"/>
          <w:szCs w:val="24"/>
          <w:lang w:eastAsia="pt-BR"/>
        </w:rPr>
        <w:t>C</w:t>
      </w:r>
      <w:r w:rsidR="00C41139" w:rsidRPr="006A11BD">
        <w:rPr>
          <w:rFonts w:ascii="Times New Roman" w:eastAsia="Times New Roman" w:hAnsi="Times New Roman" w:cs="Times New Roman"/>
          <w:i/>
          <w:sz w:val="24"/>
          <w:szCs w:val="24"/>
          <w:lang w:eastAsia="pt-BR"/>
        </w:rPr>
        <w:t xml:space="preserve">anadian </w:t>
      </w:r>
      <w:r w:rsidR="007B431D" w:rsidRPr="006A11BD">
        <w:rPr>
          <w:rFonts w:ascii="Times New Roman" w:eastAsia="Times New Roman" w:hAnsi="Times New Roman" w:cs="Times New Roman"/>
          <w:i/>
          <w:sz w:val="24"/>
          <w:szCs w:val="24"/>
          <w:lang w:eastAsia="pt-BR"/>
        </w:rPr>
        <w:t>P</w:t>
      </w:r>
      <w:r w:rsidR="00C41139" w:rsidRPr="006A11BD">
        <w:rPr>
          <w:rFonts w:ascii="Times New Roman" w:eastAsia="Times New Roman" w:hAnsi="Times New Roman" w:cs="Times New Roman"/>
          <w:i/>
          <w:sz w:val="24"/>
          <w:szCs w:val="24"/>
          <w:lang w:eastAsia="pt-BR"/>
        </w:rPr>
        <w:t xml:space="preserve">acific </w:t>
      </w:r>
      <w:r w:rsidR="007B431D" w:rsidRPr="006A11BD">
        <w:rPr>
          <w:rFonts w:ascii="Times New Roman" w:eastAsia="Times New Roman" w:hAnsi="Times New Roman" w:cs="Times New Roman"/>
          <w:i/>
          <w:sz w:val="24"/>
          <w:szCs w:val="24"/>
          <w:lang w:eastAsia="pt-BR"/>
        </w:rPr>
        <w:t>R</w:t>
      </w:r>
      <w:r w:rsidR="00C41139" w:rsidRPr="006A11BD">
        <w:rPr>
          <w:rFonts w:ascii="Times New Roman" w:eastAsia="Times New Roman" w:hAnsi="Times New Roman" w:cs="Times New Roman"/>
          <w:i/>
          <w:sz w:val="24"/>
          <w:szCs w:val="24"/>
          <w:lang w:eastAsia="pt-BR"/>
        </w:rPr>
        <w:t>ailway</w:t>
      </w:r>
      <w:r w:rsidR="007B431D">
        <w:rPr>
          <w:rFonts w:ascii="Times New Roman" w:eastAsia="Times New Roman" w:hAnsi="Times New Roman" w:cs="Times New Roman"/>
          <w:sz w:val="24"/>
          <w:szCs w:val="24"/>
          <w:lang w:eastAsia="pt-BR"/>
        </w:rPr>
        <w:t>.</w:t>
      </w:r>
      <w:r w:rsidR="00BB0AD1">
        <w:rPr>
          <w:rFonts w:ascii="Times New Roman" w:eastAsia="Times New Roman" w:hAnsi="Times New Roman" w:cs="Times New Roman"/>
          <w:sz w:val="24"/>
          <w:szCs w:val="24"/>
          <w:lang w:eastAsia="pt-BR"/>
        </w:rPr>
        <w:t xml:space="preserve"> </w:t>
      </w:r>
      <w:r w:rsidR="00705C1A" w:rsidRPr="00705C1A">
        <w:rPr>
          <w:rFonts w:ascii="Times New Roman" w:eastAsia="Times New Roman" w:hAnsi="Times New Roman" w:cs="Times New Roman"/>
          <w:sz w:val="24"/>
          <w:szCs w:val="24"/>
          <w:lang w:eastAsia="pt-BR"/>
        </w:rPr>
        <w:t>Sem um bom sistema de transporte</w:t>
      </w:r>
      <w:r w:rsidR="006A11BD">
        <w:rPr>
          <w:rFonts w:ascii="Times New Roman" w:eastAsia="Times New Roman" w:hAnsi="Times New Roman" w:cs="Times New Roman"/>
          <w:sz w:val="24"/>
          <w:szCs w:val="24"/>
          <w:lang w:eastAsia="pt-BR"/>
        </w:rPr>
        <w:t>,</w:t>
      </w:r>
      <w:r w:rsidR="00705C1A" w:rsidRPr="00705C1A">
        <w:rPr>
          <w:rFonts w:ascii="Times New Roman" w:eastAsia="Times New Roman" w:hAnsi="Times New Roman" w:cs="Times New Roman"/>
          <w:sz w:val="24"/>
          <w:szCs w:val="24"/>
          <w:lang w:eastAsia="pt-BR"/>
        </w:rPr>
        <w:t xml:space="preserve"> a região oeste era menos acessível aos colonos e a produção de produtos agrícolas tornava-se menos lucrativa </w:t>
      </w:r>
      <w:r>
        <w:rPr>
          <w:rFonts w:ascii="Times New Roman" w:eastAsia="Times New Roman" w:hAnsi="Times New Roman" w:cs="Times New Roman"/>
          <w:sz w:val="24"/>
          <w:szCs w:val="24"/>
          <w:lang w:eastAsia="pt-BR"/>
        </w:rPr>
        <w:t xml:space="preserve">do </w:t>
      </w:r>
      <w:r w:rsidR="00705C1A" w:rsidRPr="00705C1A">
        <w:rPr>
          <w:rFonts w:ascii="Times New Roman" w:eastAsia="Times New Roman" w:hAnsi="Times New Roman" w:cs="Times New Roman"/>
          <w:sz w:val="24"/>
          <w:szCs w:val="24"/>
          <w:lang w:eastAsia="pt-BR"/>
        </w:rPr>
        <w:t>que no</w:t>
      </w:r>
      <w:r w:rsidR="008A1902">
        <w:rPr>
          <w:rFonts w:ascii="Times New Roman" w:eastAsia="Times New Roman" w:hAnsi="Times New Roman" w:cs="Times New Roman"/>
          <w:sz w:val="24"/>
          <w:szCs w:val="24"/>
          <w:lang w:eastAsia="pt-BR"/>
        </w:rPr>
        <w:t>s</w:t>
      </w:r>
      <w:r w:rsidR="00705C1A" w:rsidRPr="00705C1A">
        <w:rPr>
          <w:rFonts w:ascii="Times New Roman" w:eastAsia="Times New Roman" w:hAnsi="Times New Roman" w:cs="Times New Roman"/>
          <w:sz w:val="24"/>
          <w:szCs w:val="24"/>
          <w:lang w:eastAsia="pt-BR"/>
        </w:rPr>
        <w:t xml:space="preserve"> </w:t>
      </w:r>
      <w:r w:rsidR="008A1902">
        <w:rPr>
          <w:rFonts w:ascii="Times New Roman" w:eastAsia="Times New Roman" w:hAnsi="Times New Roman" w:cs="Times New Roman"/>
          <w:sz w:val="24"/>
          <w:szCs w:val="24"/>
          <w:lang w:eastAsia="pt-BR"/>
        </w:rPr>
        <w:t>Estados Unidos</w:t>
      </w:r>
      <w:r w:rsidR="00705C1A" w:rsidRPr="00705C1A">
        <w:rPr>
          <w:rFonts w:ascii="Times New Roman" w:eastAsia="Times New Roman" w:hAnsi="Times New Roman" w:cs="Times New Roman"/>
          <w:sz w:val="24"/>
          <w:szCs w:val="24"/>
          <w:lang w:eastAsia="pt-BR"/>
        </w:rPr>
        <w:t>. Em 1870,</w:t>
      </w:r>
      <w:r w:rsidR="008A1902">
        <w:rPr>
          <w:rFonts w:ascii="Times New Roman" w:eastAsia="Times New Roman" w:hAnsi="Times New Roman" w:cs="Times New Roman"/>
          <w:sz w:val="24"/>
          <w:szCs w:val="24"/>
          <w:lang w:eastAsia="pt-BR"/>
        </w:rPr>
        <w:t xml:space="preserve"> os estados americanos de Minessota, Nebraska, Kansas e Iowa já possuíam ferrovias, enquanto </w:t>
      </w:r>
      <w:r w:rsidR="00705C1A" w:rsidRPr="00705C1A">
        <w:rPr>
          <w:rFonts w:ascii="Times New Roman" w:eastAsia="Times New Roman" w:hAnsi="Times New Roman" w:cs="Times New Roman"/>
          <w:sz w:val="24"/>
          <w:szCs w:val="24"/>
          <w:lang w:eastAsia="pt-BR"/>
        </w:rPr>
        <w:t xml:space="preserve">Manitoba </w:t>
      </w:r>
      <w:r w:rsidR="008A1902">
        <w:rPr>
          <w:rFonts w:ascii="Times New Roman" w:eastAsia="Times New Roman" w:hAnsi="Times New Roman" w:cs="Times New Roman"/>
          <w:sz w:val="24"/>
          <w:szCs w:val="24"/>
          <w:lang w:eastAsia="pt-BR"/>
        </w:rPr>
        <w:t>ainda não contava com transporte ferroviário. Desta forma,</w:t>
      </w:r>
      <w:r w:rsidR="00705C1A" w:rsidRPr="00705C1A">
        <w:rPr>
          <w:rFonts w:ascii="Times New Roman" w:eastAsia="Times New Roman" w:hAnsi="Times New Roman" w:cs="Times New Roman"/>
          <w:sz w:val="24"/>
          <w:szCs w:val="24"/>
          <w:lang w:eastAsia="pt-BR"/>
        </w:rPr>
        <w:t xml:space="preserve"> a atividade agrícola </w:t>
      </w:r>
      <w:r w:rsidR="008A1902">
        <w:rPr>
          <w:rFonts w:ascii="Times New Roman" w:eastAsia="Times New Roman" w:hAnsi="Times New Roman" w:cs="Times New Roman"/>
          <w:sz w:val="24"/>
          <w:szCs w:val="24"/>
          <w:lang w:eastAsia="pt-BR"/>
        </w:rPr>
        <w:t>tornava-se</w:t>
      </w:r>
      <w:r w:rsidR="00705C1A" w:rsidRPr="00705C1A">
        <w:rPr>
          <w:rFonts w:ascii="Times New Roman" w:eastAsia="Times New Roman" w:hAnsi="Times New Roman" w:cs="Times New Roman"/>
          <w:sz w:val="24"/>
          <w:szCs w:val="24"/>
          <w:lang w:eastAsia="pt-BR"/>
        </w:rPr>
        <w:t xml:space="preserve"> mais lucrativa nesses estados americanos pela facilidade de transporte</w:t>
      </w:r>
      <w:r w:rsidR="007C6311">
        <w:rPr>
          <w:rFonts w:ascii="Times New Roman" w:eastAsia="Times New Roman" w:hAnsi="Times New Roman" w:cs="Times New Roman"/>
          <w:sz w:val="24"/>
          <w:szCs w:val="24"/>
          <w:lang w:eastAsia="pt-BR"/>
        </w:rPr>
        <w:t xml:space="preserve"> (POMFRET,</w:t>
      </w:r>
      <w:r w:rsidR="0049774B">
        <w:rPr>
          <w:rFonts w:ascii="Times New Roman" w:eastAsia="Times New Roman" w:hAnsi="Times New Roman" w:cs="Times New Roman"/>
          <w:sz w:val="24"/>
          <w:szCs w:val="24"/>
          <w:lang w:eastAsia="pt-BR"/>
        </w:rPr>
        <w:t xml:space="preserve"> </w:t>
      </w:r>
      <w:r w:rsidR="007C6311">
        <w:rPr>
          <w:rFonts w:ascii="Times New Roman" w:eastAsia="Times New Roman" w:hAnsi="Times New Roman" w:cs="Times New Roman"/>
          <w:sz w:val="24"/>
          <w:szCs w:val="24"/>
          <w:lang w:eastAsia="pt-BR"/>
        </w:rPr>
        <w:t>198</w:t>
      </w:r>
      <w:r w:rsidR="006404DD">
        <w:rPr>
          <w:rFonts w:ascii="Times New Roman" w:eastAsia="Times New Roman" w:hAnsi="Times New Roman" w:cs="Times New Roman"/>
          <w:sz w:val="24"/>
          <w:szCs w:val="24"/>
          <w:lang w:eastAsia="pt-BR"/>
        </w:rPr>
        <w:t>1</w:t>
      </w:r>
      <w:r w:rsidR="007C6311">
        <w:rPr>
          <w:rFonts w:ascii="Times New Roman" w:eastAsia="Times New Roman" w:hAnsi="Times New Roman" w:cs="Times New Roman"/>
          <w:sz w:val="24"/>
          <w:szCs w:val="24"/>
          <w:lang w:eastAsia="pt-BR"/>
        </w:rPr>
        <w:t>, p.114)</w:t>
      </w:r>
      <w:r w:rsidR="00705C1A">
        <w:rPr>
          <w:rFonts w:ascii="Times New Roman" w:eastAsia="Times New Roman" w:hAnsi="Times New Roman" w:cs="Times New Roman"/>
          <w:sz w:val="24"/>
          <w:szCs w:val="24"/>
          <w:lang w:eastAsia="pt-BR"/>
        </w:rPr>
        <w:t>.</w:t>
      </w:r>
      <w:r w:rsidR="007B431D">
        <w:rPr>
          <w:rFonts w:ascii="Times New Roman" w:eastAsia="Times New Roman" w:hAnsi="Times New Roman" w:cs="Times New Roman"/>
          <w:sz w:val="24"/>
          <w:szCs w:val="24"/>
          <w:lang w:eastAsia="pt-BR"/>
        </w:rPr>
        <w:t xml:space="preserve"> Pode-se dizer que até a conclusão da ferrovia transcontinental em 1885 praticamente todos os colonos habitavam as regiões próximas aos cursos de </w:t>
      </w:r>
      <w:r>
        <w:rPr>
          <w:rFonts w:ascii="Times New Roman" w:eastAsia="Times New Roman" w:hAnsi="Times New Roman" w:cs="Times New Roman"/>
          <w:sz w:val="24"/>
          <w:szCs w:val="24"/>
          <w:lang w:eastAsia="pt-BR"/>
        </w:rPr>
        <w:t>á</w:t>
      </w:r>
      <w:r w:rsidR="007B431D">
        <w:rPr>
          <w:rFonts w:ascii="Times New Roman" w:eastAsia="Times New Roman" w:hAnsi="Times New Roman" w:cs="Times New Roman"/>
          <w:sz w:val="24"/>
          <w:szCs w:val="24"/>
          <w:lang w:eastAsia="pt-BR"/>
        </w:rPr>
        <w:t>gua</w:t>
      </w:r>
      <w:r w:rsidR="006A11BD">
        <w:rPr>
          <w:rFonts w:ascii="Times New Roman" w:eastAsia="Times New Roman" w:hAnsi="Times New Roman" w:cs="Times New Roman"/>
          <w:sz w:val="24"/>
          <w:szCs w:val="24"/>
          <w:lang w:eastAsia="pt-BR"/>
        </w:rPr>
        <w:t>,</w:t>
      </w:r>
      <w:r w:rsidR="007B431D">
        <w:rPr>
          <w:rFonts w:ascii="Times New Roman" w:eastAsia="Times New Roman" w:hAnsi="Times New Roman" w:cs="Times New Roman"/>
          <w:sz w:val="24"/>
          <w:szCs w:val="24"/>
          <w:lang w:eastAsia="pt-BR"/>
        </w:rPr>
        <w:t xml:space="preserve"> dependendo profundamente da disponibilidade de pastagem, madeira e </w:t>
      </w:r>
      <w:r w:rsidR="00AC3E0F">
        <w:rPr>
          <w:rFonts w:ascii="Times New Roman" w:eastAsia="Times New Roman" w:hAnsi="Times New Roman" w:cs="Times New Roman"/>
          <w:sz w:val="24"/>
          <w:szCs w:val="24"/>
          <w:lang w:eastAsia="pt-BR"/>
        </w:rPr>
        <w:t>recursos hídricos</w:t>
      </w:r>
      <w:r w:rsidR="007B431D">
        <w:rPr>
          <w:rFonts w:ascii="Times New Roman" w:eastAsia="Times New Roman" w:hAnsi="Times New Roman" w:cs="Times New Roman"/>
          <w:sz w:val="24"/>
          <w:szCs w:val="24"/>
          <w:lang w:eastAsia="pt-BR"/>
        </w:rPr>
        <w:t xml:space="preserve">. A ocupação de áreas mais remotas continuou difícil e mesmo após o termino da CPR, o assentamento ficou fortemente relacionado ao fácil acesso </w:t>
      </w:r>
      <w:r w:rsidR="006A11BD">
        <w:rPr>
          <w:rFonts w:ascii="Times New Roman" w:eastAsia="Times New Roman" w:hAnsi="Times New Roman" w:cs="Times New Roman"/>
          <w:sz w:val="24"/>
          <w:szCs w:val="24"/>
          <w:lang w:eastAsia="pt-BR"/>
        </w:rPr>
        <w:t>à</w:t>
      </w:r>
      <w:r w:rsidR="007B431D">
        <w:rPr>
          <w:rFonts w:ascii="Times New Roman" w:eastAsia="Times New Roman" w:hAnsi="Times New Roman" w:cs="Times New Roman"/>
          <w:sz w:val="24"/>
          <w:szCs w:val="24"/>
          <w:lang w:eastAsia="pt-BR"/>
        </w:rPr>
        <w:t xml:space="preserve"> ferrovia.</w:t>
      </w:r>
      <w:r w:rsidR="00AC3E0F">
        <w:rPr>
          <w:rFonts w:ascii="Times New Roman" w:eastAsia="Times New Roman" w:hAnsi="Times New Roman" w:cs="Times New Roman"/>
          <w:sz w:val="24"/>
          <w:szCs w:val="24"/>
          <w:lang w:eastAsia="pt-BR"/>
        </w:rPr>
        <w:t xml:space="preserve"> </w:t>
      </w:r>
    </w:p>
    <w:p w:rsidR="007B431D" w:rsidRDefault="007B431D"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Outra questão relevante levantada por Lehr, Everitt e Evans (2009) diz respeito </w:t>
      </w:r>
      <w:r w:rsidR="001D4969">
        <w:rPr>
          <w:rFonts w:ascii="Times New Roman" w:eastAsia="Times New Roman" w:hAnsi="Times New Roman" w:cs="Times New Roman"/>
          <w:sz w:val="24"/>
          <w:szCs w:val="24"/>
          <w:lang w:eastAsia="pt-BR"/>
        </w:rPr>
        <w:t>à</w:t>
      </w:r>
      <w:r>
        <w:rPr>
          <w:rFonts w:ascii="Times New Roman" w:eastAsia="Times New Roman" w:hAnsi="Times New Roman" w:cs="Times New Roman"/>
          <w:sz w:val="24"/>
          <w:szCs w:val="24"/>
          <w:lang w:eastAsia="pt-BR"/>
        </w:rPr>
        <w:t xml:space="preserve"> manutenção dos colonos no Canadá</w:t>
      </w:r>
      <w:r w:rsidR="00FE4F30">
        <w:rPr>
          <w:rFonts w:ascii="Times New Roman" w:eastAsia="Times New Roman" w:hAnsi="Times New Roman" w:cs="Times New Roman"/>
          <w:sz w:val="24"/>
          <w:szCs w:val="24"/>
          <w:lang w:eastAsia="pt-BR"/>
        </w:rPr>
        <w:t xml:space="preserve"> antes da conclusão da CPR</w:t>
      </w:r>
      <w:r>
        <w:rPr>
          <w:rFonts w:ascii="Times New Roman" w:eastAsia="Times New Roman" w:hAnsi="Times New Roman" w:cs="Times New Roman"/>
          <w:sz w:val="24"/>
          <w:szCs w:val="24"/>
          <w:lang w:eastAsia="pt-BR"/>
        </w:rPr>
        <w:t xml:space="preserve">. </w:t>
      </w:r>
      <w:r w:rsidR="00C41139">
        <w:rPr>
          <w:rFonts w:ascii="Times New Roman" w:eastAsia="Times New Roman" w:hAnsi="Times New Roman" w:cs="Times New Roman"/>
          <w:sz w:val="24"/>
          <w:szCs w:val="24"/>
          <w:lang w:eastAsia="pt-BR"/>
        </w:rPr>
        <w:t>Os</w:t>
      </w:r>
      <w:r w:rsidR="001D631D">
        <w:rPr>
          <w:rFonts w:ascii="Times New Roman" w:eastAsia="Times New Roman" w:hAnsi="Times New Roman" w:cs="Times New Roman"/>
          <w:sz w:val="24"/>
          <w:szCs w:val="24"/>
          <w:lang w:eastAsia="pt-BR"/>
        </w:rPr>
        <w:t xml:space="preserve"> autores</w:t>
      </w:r>
      <w:r>
        <w:rPr>
          <w:rFonts w:ascii="Times New Roman" w:eastAsia="Times New Roman" w:hAnsi="Times New Roman" w:cs="Times New Roman"/>
          <w:sz w:val="24"/>
          <w:szCs w:val="24"/>
          <w:lang w:eastAsia="pt-BR"/>
        </w:rPr>
        <w:t xml:space="preserve"> observam</w:t>
      </w:r>
      <w:r w:rsidR="004D676B">
        <w:rPr>
          <w:rFonts w:ascii="Times New Roman" w:eastAsia="Times New Roman" w:hAnsi="Times New Roman" w:cs="Times New Roman"/>
          <w:sz w:val="24"/>
          <w:szCs w:val="24"/>
          <w:lang w:eastAsia="pt-BR"/>
        </w:rPr>
        <w:t xml:space="preserve"> </w:t>
      </w:r>
      <w:r w:rsidR="00C41139">
        <w:rPr>
          <w:rFonts w:ascii="Times New Roman" w:eastAsia="Times New Roman" w:hAnsi="Times New Roman" w:cs="Times New Roman"/>
          <w:sz w:val="24"/>
          <w:szCs w:val="24"/>
          <w:lang w:eastAsia="pt-BR"/>
        </w:rPr>
        <w:t xml:space="preserve">que </w:t>
      </w:r>
      <w:r w:rsidR="00AC5188">
        <w:rPr>
          <w:rFonts w:ascii="Times New Roman" w:eastAsia="Times New Roman" w:hAnsi="Times New Roman" w:cs="Times New Roman"/>
          <w:sz w:val="24"/>
          <w:szCs w:val="24"/>
          <w:lang w:eastAsia="pt-BR"/>
        </w:rPr>
        <w:t xml:space="preserve">foram necessárias medidas </w:t>
      </w:r>
      <w:r w:rsidR="00B34461">
        <w:rPr>
          <w:rFonts w:ascii="Times New Roman" w:eastAsia="Times New Roman" w:hAnsi="Times New Roman" w:cs="Times New Roman"/>
          <w:sz w:val="24"/>
          <w:szCs w:val="24"/>
          <w:lang w:eastAsia="pt-BR"/>
        </w:rPr>
        <w:t xml:space="preserve">especiais para evitar que </w:t>
      </w:r>
      <w:r w:rsidR="00922A30">
        <w:rPr>
          <w:rFonts w:ascii="Times New Roman" w:eastAsia="Times New Roman" w:hAnsi="Times New Roman" w:cs="Times New Roman"/>
          <w:sz w:val="24"/>
          <w:szCs w:val="24"/>
          <w:lang w:eastAsia="pt-BR"/>
        </w:rPr>
        <w:t>estes</w:t>
      </w:r>
      <w:r w:rsidR="00B34461">
        <w:rPr>
          <w:rFonts w:ascii="Times New Roman" w:eastAsia="Times New Roman" w:hAnsi="Times New Roman" w:cs="Times New Roman"/>
          <w:sz w:val="24"/>
          <w:szCs w:val="24"/>
          <w:lang w:eastAsia="pt-BR"/>
        </w:rPr>
        <w:t xml:space="preserve"> cruzassem a fronteira</w:t>
      </w:r>
      <w:r w:rsidR="007F1DDC">
        <w:rPr>
          <w:rFonts w:ascii="Times New Roman" w:eastAsia="Times New Roman" w:hAnsi="Times New Roman" w:cs="Times New Roman"/>
          <w:sz w:val="24"/>
          <w:szCs w:val="24"/>
          <w:lang w:eastAsia="pt-BR"/>
        </w:rPr>
        <w:t xml:space="preserve"> rumo aos Estados Unidos</w:t>
      </w:r>
      <w:r w:rsidR="00B34461">
        <w:rPr>
          <w:rFonts w:ascii="Times New Roman" w:eastAsia="Times New Roman" w:hAnsi="Times New Roman" w:cs="Times New Roman"/>
          <w:sz w:val="24"/>
          <w:szCs w:val="24"/>
          <w:lang w:eastAsia="pt-BR"/>
        </w:rPr>
        <w:t>:</w:t>
      </w:r>
    </w:p>
    <w:p w:rsidR="00A51EC3" w:rsidRPr="00AC3E0F" w:rsidRDefault="00AC5188" w:rsidP="0048231B">
      <w:pPr>
        <w:spacing w:after="0" w:line="240" w:lineRule="auto"/>
        <w:ind w:left="2268"/>
        <w:jc w:val="both"/>
        <w:rPr>
          <w:rFonts w:ascii="Times New Roman" w:eastAsia="Times New Roman" w:hAnsi="Times New Roman" w:cs="Times New Roman"/>
          <w:sz w:val="20"/>
          <w:szCs w:val="20"/>
          <w:lang w:eastAsia="pt-BR"/>
        </w:rPr>
      </w:pPr>
      <w:r w:rsidRPr="00F80F5B">
        <w:rPr>
          <w:rFonts w:ascii="Times New Roman" w:eastAsia="Times New Roman" w:hAnsi="Times New Roman" w:cs="Times New Roman"/>
          <w:lang w:eastAsia="pt-BR"/>
        </w:rPr>
        <w:t xml:space="preserve">Muitos colonos que foram atraídos para se instalarem no oeste canadense antes da conclusão da ferrovia transcontinental o fizeram diante das atrações </w:t>
      </w:r>
      <w:r w:rsidR="00B34461" w:rsidRPr="00F80F5B">
        <w:rPr>
          <w:rFonts w:ascii="Times New Roman" w:eastAsia="Times New Roman" w:hAnsi="Times New Roman" w:cs="Times New Roman"/>
          <w:lang w:eastAsia="pt-BR"/>
        </w:rPr>
        <w:t xml:space="preserve">do </w:t>
      </w:r>
      <w:r w:rsidRPr="00F80F5B">
        <w:rPr>
          <w:rFonts w:ascii="Times New Roman" w:eastAsia="Times New Roman" w:hAnsi="Times New Roman" w:cs="Times New Roman"/>
          <w:lang w:eastAsia="pt-BR"/>
        </w:rPr>
        <w:t>oeste americano: terras gratuitas, melhores comunicações e um clima geralmente considerado menos severo ao sul da fronteira. Mas o oeste americano era menos atraente para aqueles grupos que procuravam manter a integridade religiosa e social, uma vez que o governo canadense, em uma tentativa desesperada para atrair e manter os colonos</w:t>
      </w:r>
      <w:r w:rsidR="002A3DA4" w:rsidRPr="00F80F5B">
        <w:rPr>
          <w:rFonts w:ascii="Times New Roman" w:eastAsia="Times New Roman" w:hAnsi="Times New Roman" w:cs="Times New Roman"/>
          <w:lang w:eastAsia="pt-BR"/>
        </w:rPr>
        <w:t xml:space="preserve"> ofereceu</w:t>
      </w:r>
      <w:r w:rsidRPr="00F80F5B">
        <w:rPr>
          <w:rFonts w:ascii="Times New Roman" w:eastAsia="Times New Roman" w:hAnsi="Times New Roman" w:cs="Times New Roman"/>
          <w:lang w:eastAsia="pt-BR"/>
        </w:rPr>
        <w:t xml:space="preserve"> isenções e privilégios especiais para grupos sociais específicos que eram considerados colonos de potencial superior, povos como os Menonitas entre 1874e 1876, os islandeses em 1875, </w:t>
      </w:r>
      <w:r w:rsidR="00B34461" w:rsidRPr="00F80F5B">
        <w:rPr>
          <w:rFonts w:ascii="Times New Roman" w:eastAsia="Times New Roman" w:hAnsi="Times New Roman" w:cs="Times New Roman"/>
          <w:lang w:eastAsia="pt-BR"/>
        </w:rPr>
        <w:t>Mórmons</w:t>
      </w:r>
      <w:r w:rsidRPr="00F80F5B">
        <w:rPr>
          <w:rFonts w:ascii="Times New Roman" w:eastAsia="Times New Roman" w:hAnsi="Times New Roman" w:cs="Times New Roman"/>
          <w:lang w:eastAsia="pt-BR"/>
        </w:rPr>
        <w:t xml:space="preserve"> em 1887, e os Doukhobors em 1899 (LEHR, EVERITT, EVANS, 2009, p.21-22</w:t>
      </w:r>
      <w:r w:rsidR="00AC3E0F" w:rsidRPr="00F80F5B">
        <w:rPr>
          <w:rFonts w:ascii="Times New Roman" w:eastAsia="Times New Roman" w:hAnsi="Times New Roman" w:cs="Times New Roman"/>
          <w:lang w:eastAsia="pt-BR"/>
        </w:rPr>
        <w:t>, tradução nossa</w:t>
      </w:r>
      <w:r w:rsidRPr="00F80F5B">
        <w:rPr>
          <w:rFonts w:ascii="Times New Roman" w:eastAsia="Times New Roman" w:hAnsi="Times New Roman" w:cs="Times New Roman"/>
          <w:lang w:eastAsia="pt-BR"/>
        </w:rPr>
        <w:t>)</w:t>
      </w:r>
      <w:r w:rsidR="00F02961" w:rsidRPr="00F80F5B">
        <w:rPr>
          <w:rFonts w:ascii="Times New Roman" w:eastAsia="Times New Roman" w:hAnsi="Times New Roman" w:cs="Times New Roman"/>
          <w:lang w:eastAsia="pt-BR"/>
        </w:rPr>
        <w:t>.</w:t>
      </w:r>
    </w:p>
    <w:p w:rsidR="00F60674" w:rsidRPr="008C5E05" w:rsidRDefault="00AC5188" w:rsidP="0048231B">
      <w:pPr>
        <w:spacing w:after="0" w:line="240" w:lineRule="auto"/>
        <w:ind w:firstLine="708"/>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sz w:val="24"/>
          <w:szCs w:val="24"/>
          <w:lang w:eastAsia="pt-BR"/>
        </w:rPr>
        <w:lastRenderedPageBreak/>
        <w:t>A política</w:t>
      </w:r>
      <w:r w:rsidR="00047CB9" w:rsidRPr="00047CB9">
        <w:rPr>
          <w:rFonts w:ascii="Times New Roman" w:eastAsia="Times New Roman" w:hAnsi="Times New Roman" w:cs="Times New Roman"/>
          <w:sz w:val="24"/>
          <w:szCs w:val="24"/>
          <w:lang w:eastAsia="pt-BR"/>
        </w:rPr>
        <w:t xml:space="preserve"> de assentamento, no entanto, demorou quase duas décadas para começar a atingir os objetivos planejados.</w:t>
      </w:r>
      <w:r w:rsidR="004D676B">
        <w:rPr>
          <w:rFonts w:ascii="Times New Roman" w:eastAsia="Times New Roman" w:hAnsi="Times New Roman" w:cs="Times New Roman"/>
          <w:sz w:val="24"/>
          <w:szCs w:val="24"/>
          <w:lang w:eastAsia="pt-BR"/>
        </w:rPr>
        <w:t xml:space="preserve"> </w:t>
      </w:r>
      <w:r w:rsidR="00EB3BCE">
        <w:rPr>
          <w:rFonts w:ascii="Times New Roman" w:eastAsia="Times New Roman" w:hAnsi="Times New Roman" w:cs="Times New Roman"/>
          <w:sz w:val="24"/>
          <w:szCs w:val="24"/>
          <w:lang w:eastAsia="pt-BR"/>
        </w:rPr>
        <w:t>As</w:t>
      </w:r>
      <w:r w:rsidR="00EB3BCE" w:rsidRPr="00EB3BCE">
        <w:rPr>
          <w:rFonts w:ascii="Times New Roman" w:eastAsia="Times New Roman" w:hAnsi="Times New Roman" w:cs="Times New Roman"/>
          <w:sz w:val="24"/>
          <w:szCs w:val="24"/>
          <w:lang w:eastAsia="pt-BR"/>
        </w:rPr>
        <w:t xml:space="preserve"> dificuldades para atrair imigrantes estrangeiros continuavam </w:t>
      </w:r>
      <w:r w:rsidR="008C5E05">
        <w:rPr>
          <w:rFonts w:ascii="Times New Roman" w:eastAsia="Times New Roman" w:hAnsi="Times New Roman" w:cs="Times New Roman"/>
          <w:sz w:val="24"/>
          <w:szCs w:val="24"/>
          <w:lang w:eastAsia="pt-BR"/>
        </w:rPr>
        <w:t>relevantes</w:t>
      </w:r>
      <w:r w:rsidR="00EB3BCE" w:rsidRPr="00EB3BCE">
        <w:rPr>
          <w:rFonts w:ascii="Times New Roman" w:eastAsia="Times New Roman" w:hAnsi="Times New Roman" w:cs="Times New Roman"/>
          <w:sz w:val="24"/>
          <w:szCs w:val="24"/>
          <w:lang w:eastAsia="pt-BR"/>
        </w:rPr>
        <w:t xml:space="preserve"> devido a alguns fatores</w:t>
      </w:r>
      <w:r w:rsidR="008C5E05">
        <w:rPr>
          <w:rFonts w:ascii="Times New Roman" w:eastAsia="Times New Roman" w:hAnsi="Times New Roman" w:cs="Times New Roman"/>
          <w:sz w:val="24"/>
          <w:szCs w:val="24"/>
          <w:lang w:eastAsia="pt-BR"/>
        </w:rPr>
        <w:t xml:space="preserve"> como</w:t>
      </w:r>
      <w:r w:rsidR="00EB3BCE" w:rsidRPr="00EB3BCE">
        <w:rPr>
          <w:rFonts w:ascii="Times New Roman" w:eastAsia="Times New Roman" w:hAnsi="Times New Roman" w:cs="Times New Roman"/>
          <w:sz w:val="24"/>
          <w:szCs w:val="24"/>
          <w:lang w:eastAsia="pt-BR"/>
        </w:rPr>
        <w:t>: custos de transporte elevados, produtos manufaturados caros</w:t>
      </w:r>
      <w:r w:rsidR="00982052">
        <w:rPr>
          <w:rFonts w:ascii="Times New Roman" w:eastAsia="Times New Roman" w:hAnsi="Times New Roman" w:cs="Times New Roman"/>
          <w:sz w:val="24"/>
          <w:szCs w:val="24"/>
          <w:lang w:eastAsia="pt-BR"/>
        </w:rPr>
        <w:t xml:space="preserve"> </w:t>
      </w:r>
      <w:r w:rsidR="008C5E05">
        <w:rPr>
          <w:rFonts w:ascii="Times New Roman" w:eastAsia="Times New Roman" w:hAnsi="Times New Roman" w:cs="Times New Roman"/>
          <w:sz w:val="24"/>
          <w:szCs w:val="24"/>
          <w:lang w:eastAsia="pt-BR"/>
        </w:rPr>
        <w:t xml:space="preserve">quando </w:t>
      </w:r>
      <w:r w:rsidR="00982052">
        <w:rPr>
          <w:rFonts w:ascii="Times New Roman" w:eastAsia="Times New Roman" w:hAnsi="Times New Roman" w:cs="Times New Roman"/>
          <w:sz w:val="24"/>
          <w:szCs w:val="24"/>
          <w:lang w:eastAsia="pt-BR"/>
        </w:rPr>
        <w:t xml:space="preserve">comparados aos estadunidenses </w:t>
      </w:r>
      <w:r w:rsidR="00EB3BCE" w:rsidRPr="00EB3BCE">
        <w:rPr>
          <w:rFonts w:ascii="Times New Roman" w:eastAsia="Times New Roman" w:hAnsi="Times New Roman" w:cs="Times New Roman"/>
          <w:sz w:val="24"/>
          <w:szCs w:val="24"/>
          <w:lang w:eastAsia="pt-BR"/>
        </w:rPr>
        <w:t xml:space="preserve">e técnicas agrícolas ainda pouco desenvolvidas para produção em um ambiente de clima bastante hostil. Aliava-se a isso a política do governo de </w:t>
      </w:r>
      <w:r w:rsidR="00F60674">
        <w:rPr>
          <w:rFonts w:ascii="Times New Roman" w:eastAsia="Times New Roman" w:hAnsi="Times New Roman" w:cs="Times New Roman"/>
          <w:sz w:val="24"/>
          <w:szCs w:val="24"/>
          <w:lang w:eastAsia="pt-BR"/>
        </w:rPr>
        <w:t>concentrar esforços na busca de</w:t>
      </w:r>
      <w:r w:rsidR="00EB3BCE" w:rsidRPr="00EB3BCE">
        <w:rPr>
          <w:rFonts w:ascii="Times New Roman" w:eastAsia="Times New Roman" w:hAnsi="Times New Roman" w:cs="Times New Roman"/>
          <w:sz w:val="24"/>
          <w:szCs w:val="24"/>
          <w:lang w:eastAsia="pt-BR"/>
        </w:rPr>
        <w:t xml:space="preserve"> imigrantes de origem britânica, estadunidense </w:t>
      </w:r>
      <w:r w:rsidR="00AD45AF">
        <w:rPr>
          <w:rFonts w:ascii="Times New Roman" w:eastAsia="Times New Roman" w:hAnsi="Times New Roman" w:cs="Times New Roman"/>
          <w:sz w:val="24"/>
          <w:szCs w:val="24"/>
          <w:lang w:eastAsia="pt-BR"/>
        </w:rPr>
        <w:t>e</w:t>
      </w:r>
      <w:r w:rsidR="00EB3BCE" w:rsidRPr="00EB3BCE">
        <w:rPr>
          <w:rFonts w:ascii="Times New Roman" w:eastAsia="Times New Roman" w:hAnsi="Times New Roman" w:cs="Times New Roman"/>
          <w:sz w:val="24"/>
          <w:szCs w:val="24"/>
          <w:lang w:eastAsia="pt-BR"/>
        </w:rPr>
        <w:t xml:space="preserve"> do norte europeu.</w:t>
      </w:r>
      <w:r w:rsidR="008C5E05">
        <w:rPr>
          <w:rFonts w:ascii="Times New Roman" w:eastAsia="Times New Roman" w:hAnsi="Times New Roman" w:cs="Times New Roman"/>
          <w:sz w:val="24"/>
          <w:szCs w:val="24"/>
          <w:lang w:eastAsia="pt-BR"/>
        </w:rPr>
        <w:t xml:space="preserve"> </w:t>
      </w:r>
    </w:p>
    <w:p w:rsidR="006300B4" w:rsidRDefault="006300B4"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No que se refere à questão da imigração l</w:t>
      </w:r>
      <w:r w:rsidR="006A622E">
        <w:rPr>
          <w:rFonts w:ascii="Times New Roman" w:eastAsia="Times New Roman" w:hAnsi="Times New Roman" w:cs="Times New Roman"/>
          <w:sz w:val="24"/>
          <w:szCs w:val="24"/>
          <w:lang w:eastAsia="pt-BR"/>
        </w:rPr>
        <w:t>í</w:t>
      </w:r>
      <w:r>
        <w:rPr>
          <w:rFonts w:ascii="Times New Roman" w:eastAsia="Times New Roman" w:hAnsi="Times New Roman" w:cs="Times New Roman"/>
          <w:sz w:val="24"/>
          <w:szCs w:val="24"/>
          <w:lang w:eastAsia="pt-BR"/>
        </w:rPr>
        <w:t>quida para o Canadá</w:t>
      </w:r>
      <w:r w:rsidR="006A622E">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pode-se </w:t>
      </w:r>
      <w:r w:rsidR="00796018">
        <w:rPr>
          <w:rFonts w:ascii="Times New Roman" w:eastAsia="Times New Roman" w:hAnsi="Times New Roman" w:cs="Times New Roman"/>
          <w:sz w:val="24"/>
          <w:szCs w:val="24"/>
          <w:lang w:eastAsia="pt-BR"/>
        </w:rPr>
        <w:t xml:space="preserve">verificar </w:t>
      </w:r>
      <w:r>
        <w:rPr>
          <w:rFonts w:ascii="Times New Roman" w:eastAsia="Times New Roman" w:hAnsi="Times New Roman" w:cs="Times New Roman"/>
          <w:sz w:val="24"/>
          <w:szCs w:val="24"/>
          <w:lang w:eastAsia="pt-BR"/>
        </w:rPr>
        <w:t xml:space="preserve">que é só a partir do início do século XX </w:t>
      </w:r>
      <w:r w:rsidR="00AD410E">
        <w:rPr>
          <w:rFonts w:ascii="Times New Roman" w:eastAsia="Times New Roman" w:hAnsi="Times New Roman" w:cs="Times New Roman"/>
          <w:sz w:val="24"/>
          <w:szCs w:val="24"/>
          <w:lang w:eastAsia="pt-BR"/>
        </w:rPr>
        <w:t xml:space="preserve">que </w:t>
      </w:r>
      <w:r>
        <w:rPr>
          <w:rFonts w:ascii="Times New Roman" w:eastAsia="Times New Roman" w:hAnsi="Times New Roman" w:cs="Times New Roman"/>
          <w:sz w:val="24"/>
          <w:szCs w:val="24"/>
          <w:lang w:eastAsia="pt-BR"/>
        </w:rPr>
        <w:t>o volume de imigrantes começ</w:t>
      </w:r>
      <w:r w:rsidR="008C5E05">
        <w:rPr>
          <w:rFonts w:ascii="Times New Roman" w:eastAsia="Times New Roman" w:hAnsi="Times New Roman" w:cs="Times New Roman"/>
          <w:sz w:val="24"/>
          <w:szCs w:val="24"/>
          <w:lang w:eastAsia="pt-BR"/>
        </w:rPr>
        <w:t>ou</w:t>
      </w:r>
      <w:r>
        <w:rPr>
          <w:rFonts w:ascii="Times New Roman" w:eastAsia="Times New Roman" w:hAnsi="Times New Roman" w:cs="Times New Roman"/>
          <w:sz w:val="24"/>
          <w:szCs w:val="24"/>
          <w:lang w:eastAsia="pt-BR"/>
        </w:rPr>
        <w:t xml:space="preserve"> a ficar consideravelmente </w:t>
      </w:r>
      <w:r w:rsidR="008C5E05">
        <w:rPr>
          <w:rFonts w:ascii="Times New Roman" w:eastAsia="Times New Roman" w:hAnsi="Times New Roman" w:cs="Times New Roman"/>
          <w:sz w:val="24"/>
          <w:szCs w:val="24"/>
          <w:lang w:eastAsia="pt-BR"/>
        </w:rPr>
        <w:t>acima</w:t>
      </w:r>
      <w:r>
        <w:rPr>
          <w:rFonts w:ascii="Times New Roman" w:eastAsia="Times New Roman" w:hAnsi="Times New Roman" w:cs="Times New Roman"/>
          <w:sz w:val="24"/>
          <w:szCs w:val="24"/>
          <w:lang w:eastAsia="pt-BR"/>
        </w:rPr>
        <w:t xml:space="preserve"> </w:t>
      </w:r>
      <w:r w:rsidR="008C5E05">
        <w:rPr>
          <w:rFonts w:ascii="Times New Roman" w:eastAsia="Times New Roman" w:hAnsi="Times New Roman" w:cs="Times New Roman"/>
          <w:sz w:val="24"/>
          <w:szCs w:val="24"/>
          <w:lang w:eastAsia="pt-BR"/>
        </w:rPr>
        <w:t>d</w:t>
      </w:r>
      <w:r>
        <w:rPr>
          <w:rFonts w:ascii="Times New Roman" w:eastAsia="Times New Roman" w:hAnsi="Times New Roman" w:cs="Times New Roman"/>
          <w:sz w:val="24"/>
          <w:szCs w:val="24"/>
          <w:lang w:eastAsia="pt-BR"/>
        </w:rPr>
        <w:t>o volume de emi</w:t>
      </w:r>
      <w:r w:rsidR="008C5E05">
        <w:rPr>
          <w:rFonts w:ascii="Times New Roman" w:eastAsia="Times New Roman" w:hAnsi="Times New Roman" w:cs="Times New Roman"/>
          <w:sz w:val="24"/>
          <w:szCs w:val="24"/>
          <w:lang w:eastAsia="pt-BR"/>
        </w:rPr>
        <w:t xml:space="preserve">grantes como pode ser observado: </w:t>
      </w:r>
    </w:p>
    <w:p w:rsidR="006300B4" w:rsidRPr="00AF2BBF" w:rsidRDefault="006300B4" w:rsidP="0048231B">
      <w:pPr>
        <w:spacing w:before="120" w:after="0" w:line="240" w:lineRule="auto"/>
        <w:jc w:val="both"/>
        <w:rPr>
          <w:rFonts w:ascii="Times New Roman" w:eastAsia="Times New Roman" w:hAnsi="Times New Roman" w:cs="Times New Roman"/>
          <w:b/>
          <w:sz w:val="21"/>
          <w:szCs w:val="21"/>
          <w:lang w:eastAsia="pt-BR"/>
        </w:rPr>
      </w:pPr>
      <w:r w:rsidRPr="00AF2BBF">
        <w:rPr>
          <w:rFonts w:ascii="Times New Roman" w:eastAsia="Times New Roman" w:hAnsi="Times New Roman" w:cs="Times New Roman"/>
          <w:b/>
          <w:sz w:val="21"/>
          <w:szCs w:val="21"/>
          <w:lang w:eastAsia="pt-BR"/>
        </w:rPr>
        <w:t xml:space="preserve">Tabela </w:t>
      </w:r>
      <w:r w:rsidR="00982052">
        <w:rPr>
          <w:rFonts w:ascii="Times New Roman" w:eastAsia="Times New Roman" w:hAnsi="Times New Roman" w:cs="Times New Roman"/>
          <w:b/>
          <w:sz w:val="21"/>
          <w:szCs w:val="21"/>
          <w:lang w:eastAsia="pt-BR"/>
        </w:rPr>
        <w:t>5</w:t>
      </w:r>
      <w:r w:rsidR="00453014">
        <w:rPr>
          <w:rFonts w:ascii="Times New Roman" w:eastAsia="Times New Roman" w:hAnsi="Times New Roman" w:cs="Times New Roman"/>
          <w:b/>
          <w:sz w:val="21"/>
          <w:szCs w:val="21"/>
          <w:lang w:eastAsia="pt-BR"/>
        </w:rPr>
        <w:t>-</w:t>
      </w:r>
      <w:r w:rsidRPr="00AF2BBF">
        <w:rPr>
          <w:rFonts w:ascii="Times New Roman" w:eastAsia="Times New Roman" w:hAnsi="Times New Roman" w:cs="Times New Roman"/>
          <w:b/>
          <w:sz w:val="21"/>
          <w:szCs w:val="21"/>
          <w:lang w:eastAsia="pt-BR"/>
        </w:rPr>
        <w:t xml:space="preserve"> Imigração, Emigração e Imigração Liquida no Canadá 1867-1930 (anos selecionados).</w:t>
      </w:r>
    </w:p>
    <w:tbl>
      <w:tblPr>
        <w:tblStyle w:val="GradeClara-nfas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22"/>
        <w:gridCol w:w="2759"/>
        <w:gridCol w:w="2759"/>
        <w:gridCol w:w="3280"/>
      </w:tblGrid>
      <w:tr w:rsidR="00B77CCF" w:rsidRPr="002E54E7" w:rsidTr="00F93D58">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22"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spacing w:before="120"/>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Ano</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spacing w:before="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Imigrantes (</w:t>
            </w:r>
            <w:r w:rsidR="008C5E05" w:rsidRPr="002E54E7">
              <w:rPr>
                <w:rFonts w:ascii="Times New Roman" w:eastAsia="Times New Roman" w:hAnsi="Times New Roman" w:cs="Times New Roman"/>
                <w:lang w:eastAsia="pt-BR"/>
              </w:rPr>
              <w:t>em</w:t>
            </w:r>
            <w:r w:rsidRPr="002E54E7">
              <w:rPr>
                <w:rFonts w:ascii="Times New Roman" w:eastAsia="Times New Roman" w:hAnsi="Times New Roman" w:cs="Times New Roman"/>
                <w:lang w:eastAsia="pt-BR"/>
              </w:rPr>
              <w:t xml:space="preserve"> 1000)</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spacing w:before="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Emigrantes (</w:t>
            </w:r>
            <w:r w:rsidR="008C5E05" w:rsidRPr="002E54E7">
              <w:rPr>
                <w:rFonts w:ascii="Times New Roman" w:eastAsia="Times New Roman" w:hAnsi="Times New Roman" w:cs="Times New Roman"/>
                <w:lang w:eastAsia="pt-BR"/>
              </w:rPr>
              <w:t>em</w:t>
            </w:r>
            <w:r w:rsidRPr="002E54E7">
              <w:rPr>
                <w:rFonts w:ascii="Times New Roman" w:eastAsia="Times New Roman" w:hAnsi="Times New Roman" w:cs="Times New Roman"/>
                <w:lang w:eastAsia="pt-BR"/>
              </w:rPr>
              <w:t xml:space="preserve"> 1000)</w:t>
            </w:r>
          </w:p>
        </w:tc>
        <w:tc>
          <w:tcPr>
            <w:tcW w:w="3280"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spacing w:before="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Imigração Liquida (</w:t>
            </w:r>
            <w:r w:rsidR="008C5E05" w:rsidRPr="002E54E7">
              <w:rPr>
                <w:rFonts w:ascii="Times New Roman" w:eastAsia="Times New Roman" w:hAnsi="Times New Roman" w:cs="Times New Roman"/>
                <w:lang w:eastAsia="pt-BR"/>
              </w:rPr>
              <w:t xml:space="preserve">em </w:t>
            </w:r>
            <w:r w:rsidRPr="002E54E7">
              <w:rPr>
                <w:rFonts w:ascii="Times New Roman" w:eastAsia="Times New Roman" w:hAnsi="Times New Roman" w:cs="Times New Roman"/>
                <w:lang w:eastAsia="pt-BR"/>
              </w:rPr>
              <w:t>1000)</w:t>
            </w:r>
          </w:p>
        </w:tc>
      </w:tr>
      <w:tr w:rsidR="00B77CCF" w:rsidRPr="002E54E7" w:rsidTr="00F93D5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22"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1867</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15</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24</w:t>
            </w:r>
          </w:p>
        </w:tc>
        <w:tc>
          <w:tcPr>
            <w:tcW w:w="3280"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-9</w:t>
            </w:r>
          </w:p>
        </w:tc>
      </w:tr>
      <w:tr w:rsidR="00B77CCF" w:rsidRPr="002E54E7" w:rsidTr="00F93D58">
        <w:trPr>
          <w:cnfStyle w:val="000000010000" w:firstRow="0" w:lastRow="0" w:firstColumn="0" w:lastColumn="0" w:oddVBand="0" w:evenVBand="0" w:oddHBand="0" w:evenHBand="1"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22"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1870</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25</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22</w:t>
            </w:r>
          </w:p>
        </w:tc>
        <w:tc>
          <w:tcPr>
            <w:tcW w:w="3280"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3</w:t>
            </w:r>
            <w:proofErr w:type="gramEnd"/>
          </w:p>
        </w:tc>
      </w:tr>
      <w:tr w:rsidR="00B77CCF" w:rsidRPr="002E54E7" w:rsidTr="00F93D5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22"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1880</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38</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34</w:t>
            </w:r>
          </w:p>
        </w:tc>
        <w:tc>
          <w:tcPr>
            <w:tcW w:w="3280"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roofErr w:type="gramStart"/>
            <w:r w:rsidRPr="002E54E7">
              <w:rPr>
                <w:rFonts w:ascii="Times New Roman" w:eastAsia="Times New Roman" w:hAnsi="Times New Roman" w:cs="Times New Roman"/>
                <w:lang w:eastAsia="pt-BR"/>
              </w:rPr>
              <w:t>4</w:t>
            </w:r>
            <w:proofErr w:type="gramEnd"/>
          </w:p>
        </w:tc>
      </w:tr>
      <w:tr w:rsidR="00B77CCF" w:rsidRPr="002E54E7" w:rsidTr="00F93D58">
        <w:trPr>
          <w:cnfStyle w:val="000000010000" w:firstRow="0" w:lastRow="0" w:firstColumn="0" w:lastColumn="0" w:oddVBand="0" w:evenVBand="0" w:oddHBand="0" w:evenHBand="1"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22"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1890</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75</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77</w:t>
            </w:r>
          </w:p>
        </w:tc>
        <w:tc>
          <w:tcPr>
            <w:tcW w:w="3280"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w:t>
            </w:r>
          </w:p>
        </w:tc>
      </w:tr>
      <w:tr w:rsidR="00B77CCF" w:rsidRPr="002E54E7" w:rsidTr="00F93D5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22"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1900</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42</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30</w:t>
            </w:r>
          </w:p>
        </w:tc>
        <w:tc>
          <w:tcPr>
            <w:tcW w:w="3280"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12</w:t>
            </w:r>
          </w:p>
        </w:tc>
      </w:tr>
      <w:tr w:rsidR="00B77CCF" w:rsidRPr="002E54E7" w:rsidTr="00F93D58">
        <w:trPr>
          <w:cnfStyle w:val="000000010000" w:firstRow="0" w:lastRow="0" w:firstColumn="0" w:lastColumn="0" w:oddVBand="0" w:evenVBand="0" w:oddHBand="0" w:evenHBand="1"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22"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1910</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287</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204</w:t>
            </w:r>
          </w:p>
        </w:tc>
        <w:tc>
          <w:tcPr>
            <w:tcW w:w="3280"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83</w:t>
            </w:r>
          </w:p>
        </w:tc>
      </w:tr>
      <w:tr w:rsidR="00B77CCF" w:rsidRPr="002E54E7" w:rsidTr="00F93D5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22"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1920</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139</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40</w:t>
            </w:r>
          </w:p>
        </w:tc>
        <w:tc>
          <w:tcPr>
            <w:tcW w:w="3280"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99</w:t>
            </w:r>
          </w:p>
        </w:tc>
      </w:tr>
      <w:tr w:rsidR="00B77CCF" w:rsidRPr="002E54E7" w:rsidTr="00F93D58">
        <w:trPr>
          <w:cnfStyle w:val="000000010000" w:firstRow="0" w:lastRow="0" w:firstColumn="0" w:lastColumn="0" w:oddVBand="0" w:evenVBand="0" w:oddHBand="0" w:evenHBand="1"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22"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1930</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105</w:t>
            </w:r>
          </w:p>
        </w:tc>
        <w:tc>
          <w:tcPr>
            <w:tcW w:w="2759"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66</w:t>
            </w:r>
          </w:p>
        </w:tc>
        <w:tc>
          <w:tcPr>
            <w:tcW w:w="3280" w:type="dxa"/>
            <w:tcBorders>
              <w:top w:val="none" w:sz="0" w:space="0" w:color="auto"/>
              <w:left w:val="none" w:sz="0" w:space="0" w:color="auto"/>
              <w:bottom w:val="none" w:sz="0" w:space="0" w:color="auto"/>
              <w:right w:val="none" w:sz="0" w:space="0" w:color="auto"/>
            </w:tcBorders>
            <w:shd w:val="clear" w:color="auto" w:fill="FFFFFF" w:themeFill="background1"/>
          </w:tcPr>
          <w:p w:rsidR="00B77CCF" w:rsidRPr="002E54E7" w:rsidRDefault="00B77CCF"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39</w:t>
            </w:r>
          </w:p>
        </w:tc>
      </w:tr>
    </w:tbl>
    <w:p w:rsidR="006300B4" w:rsidRPr="002E54E7" w:rsidRDefault="006300B4" w:rsidP="0048231B">
      <w:pPr>
        <w:spacing w:after="0" w:line="240" w:lineRule="auto"/>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Fonte: Adaptado de Firestone (1958, p. 44)</w:t>
      </w:r>
      <w:r w:rsidR="008C5E05" w:rsidRPr="002E54E7">
        <w:rPr>
          <w:rFonts w:ascii="Times New Roman" w:eastAsia="Times New Roman" w:hAnsi="Times New Roman" w:cs="Times New Roman"/>
          <w:lang w:eastAsia="pt-BR"/>
        </w:rPr>
        <w:t xml:space="preserve">. </w:t>
      </w:r>
    </w:p>
    <w:p w:rsidR="007B69B5" w:rsidRDefault="006300B4"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w:t>
      </w:r>
      <w:r w:rsidR="00047CB9" w:rsidRPr="00047CB9">
        <w:rPr>
          <w:rFonts w:ascii="Times New Roman" w:eastAsia="Times New Roman" w:hAnsi="Times New Roman" w:cs="Times New Roman"/>
          <w:sz w:val="24"/>
          <w:szCs w:val="24"/>
          <w:lang w:eastAsia="pt-BR"/>
        </w:rPr>
        <w:t xml:space="preserve">té </w:t>
      </w:r>
      <w:r w:rsidR="00982052">
        <w:rPr>
          <w:rFonts w:ascii="Times New Roman" w:eastAsia="Times New Roman" w:hAnsi="Times New Roman" w:cs="Times New Roman"/>
          <w:sz w:val="24"/>
          <w:szCs w:val="24"/>
          <w:lang w:eastAsia="pt-BR"/>
        </w:rPr>
        <w:t>a década de 1880</w:t>
      </w:r>
      <w:r w:rsidR="00047CB9" w:rsidRPr="00047CB9">
        <w:rPr>
          <w:rFonts w:ascii="Times New Roman" w:eastAsia="Times New Roman" w:hAnsi="Times New Roman" w:cs="Times New Roman"/>
          <w:sz w:val="24"/>
          <w:szCs w:val="24"/>
          <w:lang w:eastAsia="pt-BR"/>
        </w:rPr>
        <w:t xml:space="preserve">, embora a política de assentamento já estivesse implementada, os </w:t>
      </w:r>
      <w:r w:rsidR="00D93073">
        <w:rPr>
          <w:rFonts w:ascii="Times New Roman" w:eastAsia="Times New Roman" w:hAnsi="Times New Roman" w:cs="Times New Roman"/>
          <w:sz w:val="24"/>
          <w:szCs w:val="24"/>
          <w:lang w:eastAsia="pt-BR"/>
        </w:rPr>
        <w:t xml:space="preserve">nativos </w:t>
      </w:r>
      <w:r w:rsidR="00047CB9" w:rsidRPr="00047CB9">
        <w:rPr>
          <w:rFonts w:ascii="Times New Roman" w:eastAsia="Times New Roman" w:hAnsi="Times New Roman" w:cs="Times New Roman"/>
          <w:sz w:val="24"/>
          <w:szCs w:val="24"/>
          <w:lang w:eastAsia="pt-BR"/>
        </w:rPr>
        <w:t>canadenses</w:t>
      </w:r>
      <w:r w:rsidR="00EB3BCE">
        <w:rPr>
          <w:rFonts w:ascii="Times New Roman" w:eastAsia="Times New Roman" w:hAnsi="Times New Roman" w:cs="Times New Roman"/>
          <w:sz w:val="24"/>
          <w:szCs w:val="24"/>
          <w:lang w:eastAsia="pt-BR"/>
        </w:rPr>
        <w:t xml:space="preserve"> </w:t>
      </w:r>
      <w:r w:rsidR="00047CB9" w:rsidRPr="00047CB9">
        <w:rPr>
          <w:rFonts w:ascii="Times New Roman" w:eastAsia="Times New Roman" w:hAnsi="Times New Roman" w:cs="Times New Roman"/>
          <w:sz w:val="24"/>
          <w:szCs w:val="24"/>
          <w:lang w:eastAsia="pt-BR"/>
        </w:rPr>
        <w:t xml:space="preserve">continuavam preferindo </w:t>
      </w:r>
      <w:r w:rsidR="00B554DC">
        <w:rPr>
          <w:rFonts w:ascii="Times New Roman" w:eastAsia="Times New Roman" w:hAnsi="Times New Roman" w:cs="Times New Roman"/>
          <w:sz w:val="24"/>
          <w:szCs w:val="24"/>
          <w:lang w:eastAsia="pt-BR"/>
        </w:rPr>
        <w:t>e</w:t>
      </w:r>
      <w:r w:rsidR="00047CB9" w:rsidRPr="00047CB9">
        <w:rPr>
          <w:rFonts w:ascii="Times New Roman" w:eastAsia="Times New Roman" w:hAnsi="Times New Roman" w:cs="Times New Roman"/>
          <w:sz w:val="24"/>
          <w:szCs w:val="24"/>
          <w:lang w:eastAsia="pt-BR"/>
        </w:rPr>
        <w:t xml:space="preserve">migrar para os Estados Unidos </w:t>
      </w:r>
      <w:proofErr w:type="gramStart"/>
      <w:r w:rsidR="00047CB9" w:rsidRPr="00047CB9">
        <w:rPr>
          <w:rFonts w:ascii="Times New Roman" w:eastAsia="Times New Roman" w:hAnsi="Times New Roman" w:cs="Times New Roman"/>
          <w:sz w:val="24"/>
          <w:szCs w:val="24"/>
          <w:lang w:eastAsia="pt-BR"/>
        </w:rPr>
        <w:t>do que</w:t>
      </w:r>
      <w:proofErr w:type="gramEnd"/>
      <w:r w:rsidR="00047CB9" w:rsidRPr="00047CB9">
        <w:rPr>
          <w:rFonts w:ascii="Times New Roman" w:eastAsia="Times New Roman" w:hAnsi="Times New Roman" w:cs="Times New Roman"/>
          <w:sz w:val="24"/>
          <w:szCs w:val="24"/>
          <w:lang w:eastAsia="pt-BR"/>
        </w:rPr>
        <w:t xml:space="preserve"> migrar para o oeste </w:t>
      </w:r>
      <w:r w:rsidR="0040358F">
        <w:rPr>
          <w:rFonts w:ascii="Times New Roman" w:eastAsia="Times New Roman" w:hAnsi="Times New Roman" w:cs="Times New Roman"/>
          <w:sz w:val="24"/>
          <w:szCs w:val="24"/>
          <w:lang w:eastAsia="pt-BR"/>
        </w:rPr>
        <w:t>do país</w:t>
      </w:r>
      <w:r w:rsidR="006A622E">
        <w:rPr>
          <w:rFonts w:ascii="Times New Roman" w:eastAsia="Times New Roman" w:hAnsi="Times New Roman" w:cs="Times New Roman"/>
          <w:sz w:val="24"/>
          <w:szCs w:val="24"/>
          <w:lang w:eastAsia="pt-BR"/>
        </w:rPr>
        <w:t>.</w:t>
      </w:r>
      <w:r w:rsidR="00982052">
        <w:rPr>
          <w:rFonts w:ascii="Times New Roman" w:eastAsia="Times New Roman" w:hAnsi="Times New Roman" w:cs="Times New Roman"/>
          <w:sz w:val="24"/>
          <w:szCs w:val="24"/>
          <w:lang w:eastAsia="pt-BR"/>
        </w:rPr>
        <w:t xml:space="preserve"> </w:t>
      </w:r>
      <w:r w:rsidR="006A622E">
        <w:rPr>
          <w:rFonts w:ascii="Times New Roman" w:eastAsia="Times New Roman" w:hAnsi="Times New Roman" w:cs="Times New Roman"/>
          <w:sz w:val="24"/>
          <w:szCs w:val="24"/>
          <w:lang w:eastAsia="pt-BR"/>
        </w:rPr>
        <w:t>Porém</w:t>
      </w:r>
      <w:r w:rsidR="00DC7109">
        <w:rPr>
          <w:rFonts w:ascii="Times New Roman" w:eastAsia="Times New Roman" w:hAnsi="Times New Roman" w:cs="Times New Roman"/>
          <w:sz w:val="24"/>
          <w:szCs w:val="24"/>
          <w:lang w:eastAsia="pt-BR"/>
        </w:rPr>
        <w:t xml:space="preserve"> na década seguinte a situação dos nativos canadenses já começava a se modificar,</w:t>
      </w:r>
      <w:r w:rsidR="00047CB9" w:rsidRPr="00047CB9">
        <w:rPr>
          <w:rFonts w:ascii="Times New Roman" w:eastAsia="Times New Roman" w:hAnsi="Times New Roman" w:cs="Times New Roman"/>
          <w:sz w:val="24"/>
          <w:szCs w:val="24"/>
          <w:lang w:eastAsia="pt-BR"/>
        </w:rPr>
        <w:t xml:space="preserve"> conforme apresentado na tabela </w:t>
      </w:r>
      <w:r w:rsidR="00982052">
        <w:rPr>
          <w:rFonts w:ascii="Times New Roman" w:eastAsia="Times New Roman" w:hAnsi="Times New Roman" w:cs="Times New Roman"/>
          <w:sz w:val="24"/>
          <w:szCs w:val="24"/>
          <w:lang w:eastAsia="pt-BR"/>
        </w:rPr>
        <w:t>6</w:t>
      </w:r>
      <w:r w:rsidR="008D6192">
        <w:rPr>
          <w:rFonts w:ascii="Times New Roman" w:eastAsia="Times New Roman" w:hAnsi="Times New Roman" w:cs="Times New Roman"/>
          <w:sz w:val="24"/>
          <w:szCs w:val="24"/>
          <w:lang w:eastAsia="pt-BR"/>
        </w:rPr>
        <w:t>:</w:t>
      </w:r>
    </w:p>
    <w:p w:rsidR="00047CB9" w:rsidRPr="002E54E7" w:rsidRDefault="005C16F4" w:rsidP="0048231B">
      <w:pPr>
        <w:spacing w:before="120" w:after="0" w:line="240" w:lineRule="auto"/>
        <w:jc w:val="both"/>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 xml:space="preserve">Tabela </w:t>
      </w:r>
      <w:r w:rsidR="00982052" w:rsidRPr="002E54E7">
        <w:rPr>
          <w:rFonts w:ascii="Times New Roman" w:eastAsia="Times New Roman" w:hAnsi="Times New Roman" w:cs="Times New Roman"/>
          <w:b/>
          <w:lang w:eastAsia="pt-BR"/>
        </w:rPr>
        <w:t>6</w:t>
      </w:r>
      <w:r w:rsidRPr="002E54E7">
        <w:rPr>
          <w:rFonts w:ascii="Times New Roman" w:eastAsia="Times New Roman" w:hAnsi="Times New Roman" w:cs="Times New Roman"/>
          <w:b/>
          <w:lang w:eastAsia="pt-BR"/>
        </w:rPr>
        <w:t xml:space="preserve">- </w:t>
      </w:r>
      <w:r w:rsidR="00047CB9" w:rsidRPr="002E54E7">
        <w:rPr>
          <w:rFonts w:ascii="Times New Roman" w:eastAsia="Times New Roman" w:hAnsi="Times New Roman" w:cs="Times New Roman"/>
          <w:b/>
          <w:lang w:eastAsia="pt-BR"/>
        </w:rPr>
        <w:t xml:space="preserve">Número </w:t>
      </w:r>
      <w:r w:rsidR="00982052" w:rsidRPr="002E54E7">
        <w:rPr>
          <w:rFonts w:ascii="Times New Roman" w:eastAsia="Times New Roman" w:hAnsi="Times New Roman" w:cs="Times New Roman"/>
          <w:b/>
          <w:lang w:eastAsia="pt-BR"/>
        </w:rPr>
        <w:t>E</w:t>
      </w:r>
      <w:r w:rsidR="00047CB9" w:rsidRPr="002E54E7">
        <w:rPr>
          <w:rFonts w:ascii="Times New Roman" w:eastAsia="Times New Roman" w:hAnsi="Times New Roman" w:cs="Times New Roman"/>
          <w:b/>
          <w:lang w:eastAsia="pt-BR"/>
        </w:rPr>
        <w:t xml:space="preserve">stimado de </w:t>
      </w:r>
      <w:r w:rsidR="00982052" w:rsidRPr="002E54E7">
        <w:rPr>
          <w:rFonts w:ascii="Times New Roman" w:eastAsia="Times New Roman" w:hAnsi="Times New Roman" w:cs="Times New Roman"/>
          <w:b/>
          <w:lang w:eastAsia="pt-BR"/>
        </w:rPr>
        <w:t>N</w:t>
      </w:r>
      <w:r w:rsidR="00047CB9" w:rsidRPr="002E54E7">
        <w:rPr>
          <w:rFonts w:ascii="Times New Roman" w:eastAsia="Times New Roman" w:hAnsi="Times New Roman" w:cs="Times New Roman"/>
          <w:b/>
          <w:lang w:eastAsia="pt-BR"/>
        </w:rPr>
        <w:t xml:space="preserve">ativos </w:t>
      </w:r>
      <w:r w:rsidR="00982052" w:rsidRPr="002E54E7">
        <w:rPr>
          <w:rFonts w:ascii="Times New Roman" w:eastAsia="Times New Roman" w:hAnsi="Times New Roman" w:cs="Times New Roman"/>
          <w:b/>
          <w:lang w:eastAsia="pt-BR"/>
        </w:rPr>
        <w:t>C</w:t>
      </w:r>
      <w:r w:rsidR="00047CB9" w:rsidRPr="002E54E7">
        <w:rPr>
          <w:rFonts w:ascii="Times New Roman" w:eastAsia="Times New Roman" w:hAnsi="Times New Roman" w:cs="Times New Roman"/>
          <w:b/>
          <w:lang w:eastAsia="pt-BR"/>
        </w:rPr>
        <w:t xml:space="preserve">anadenses que </w:t>
      </w:r>
      <w:r w:rsidR="00982052" w:rsidRPr="002E54E7">
        <w:rPr>
          <w:rFonts w:ascii="Times New Roman" w:eastAsia="Times New Roman" w:hAnsi="Times New Roman" w:cs="Times New Roman"/>
          <w:b/>
          <w:lang w:eastAsia="pt-BR"/>
        </w:rPr>
        <w:t>M</w:t>
      </w:r>
      <w:r w:rsidR="00047CB9" w:rsidRPr="002E54E7">
        <w:rPr>
          <w:rFonts w:ascii="Times New Roman" w:eastAsia="Times New Roman" w:hAnsi="Times New Roman" w:cs="Times New Roman"/>
          <w:b/>
          <w:lang w:eastAsia="pt-BR"/>
        </w:rPr>
        <w:t xml:space="preserve">igraram para o </w:t>
      </w:r>
      <w:r w:rsidR="00982052" w:rsidRPr="002E54E7">
        <w:rPr>
          <w:rFonts w:ascii="Times New Roman" w:eastAsia="Times New Roman" w:hAnsi="Times New Roman" w:cs="Times New Roman"/>
          <w:b/>
          <w:lang w:eastAsia="pt-BR"/>
        </w:rPr>
        <w:t>O</w:t>
      </w:r>
      <w:r w:rsidR="00047CB9" w:rsidRPr="002E54E7">
        <w:rPr>
          <w:rFonts w:ascii="Times New Roman" w:eastAsia="Times New Roman" w:hAnsi="Times New Roman" w:cs="Times New Roman"/>
          <w:b/>
          <w:lang w:eastAsia="pt-BR"/>
        </w:rPr>
        <w:t xml:space="preserve">este </w:t>
      </w:r>
    </w:p>
    <w:tbl>
      <w:tblPr>
        <w:tblStyle w:val="GradeClara-nfas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384"/>
        <w:gridCol w:w="1637"/>
        <w:gridCol w:w="2129"/>
        <w:gridCol w:w="2129"/>
      </w:tblGrid>
      <w:tr w:rsidR="00047CB9" w:rsidRPr="002E54E7" w:rsidTr="00853DB6">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384"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Destino</w:t>
            </w:r>
          </w:p>
        </w:tc>
        <w:tc>
          <w:tcPr>
            <w:tcW w:w="1637"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1870-1880</w:t>
            </w: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1880-1890</w:t>
            </w: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1890-1900</w:t>
            </w:r>
          </w:p>
        </w:tc>
      </w:tr>
      <w:tr w:rsidR="00047CB9" w:rsidRPr="002E54E7" w:rsidTr="00853DB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384"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Dakota do Norte</w:t>
            </w:r>
          </w:p>
        </w:tc>
        <w:tc>
          <w:tcPr>
            <w:tcW w:w="1637"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6.600</w:t>
            </w: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18.400</w:t>
            </w: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9.000</w:t>
            </w:r>
          </w:p>
        </w:tc>
      </w:tr>
      <w:tr w:rsidR="00047CB9" w:rsidRPr="002E54E7" w:rsidTr="00853DB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384"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Dakota do Sul e Minnesota</w:t>
            </w:r>
          </w:p>
        </w:tc>
        <w:tc>
          <w:tcPr>
            <w:tcW w:w="1637"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20.000</w:t>
            </w: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25.600</w:t>
            </w: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11.400</w:t>
            </w:r>
          </w:p>
        </w:tc>
      </w:tr>
      <w:tr w:rsidR="00047CB9" w:rsidRPr="002E54E7" w:rsidTr="00853DB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384"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 xml:space="preserve">Iowa, Nebraska e </w:t>
            </w:r>
            <w:proofErr w:type="gramStart"/>
            <w:r w:rsidRPr="002E54E7">
              <w:rPr>
                <w:rFonts w:ascii="Times New Roman" w:eastAsia="Times New Roman" w:hAnsi="Times New Roman" w:cs="Times New Roman"/>
                <w:lang w:eastAsia="pt-BR"/>
              </w:rPr>
              <w:t>Kansas</w:t>
            </w:r>
            <w:proofErr w:type="gramEnd"/>
          </w:p>
        </w:tc>
        <w:tc>
          <w:tcPr>
            <w:tcW w:w="1637"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21.000</w:t>
            </w: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6.200</w:t>
            </w: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500</w:t>
            </w:r>
          </w:p>
        </w:tc>
      </w:tr>
      <w:tr w:rsidR="00047CB9" w:rsidRPr="002E54E7" w:rsidTr="00853DB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384"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 xml:space="preserve">Total para os </w:t>
            </w:r>
            <w:r w:rsidR="00522F41" w:rsidRPr="002E54E7">
              <w:rPr>
                <w:rFonts w:ascii="Times New Roman" w:eastAsia="Times New Roman" w:hAnsi="Times New Roman" w:cs="Times New Roman"/>
                <w:lang w:eastAsia="pt-BR"/>
              </w:rPr>
              <w:t>seis</w:t>
            </w:r>
            <w:r w:rsidRPr="002E54E7">
              <w:rPr>
                <w:rFonts w:ascii="Times New Roman" w:eastAsia="Times New Roman" w:hAnsi="Times New Roman" w:cs="Times New Roman"/>
                <w:lang w:eastAsia="pt-BR"/>
              </w:rPr>
              <w:t xml:space="preserve"> estados dos EUA</w:t>
            </w:r>
          </w:p>
        </w:tc>
        <w:tc>
          <w:tcPr>
            <w:tcW w:w="1637"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47.600</w:t>
            </w: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50.200</w:t>
            </w: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20.900</w:t>
            </w:r>
          </w:p>
        </w:tc>
      </w:tr>
      <w:tr w:rsidR="00047CB9" w:rsidRPr="002E54E7" w:rsidTr="00853DB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384"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both"/>
              <w:rPr>
                <w:rFonts w:ascii="Times New Roman" w:eastAsia="Times New Roman" w:hAnsi="Times New Roman" w:cs="Times New Roman"/>
                <w:lang w:eastAsia="pt-BR"/>
              </w:rPr>
            </w:pPr>
          </w:p>
        </w:tc>
        <w:tc>
          <w:tcPr>
            <w:tcW w:w="1637"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p>
        </w:tc>
      </w:tr>
      <w:tr w:rsidR="00047CB9" w:rsidRPr="002E54E7" w:rsidTr="00853DB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384"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Manitoba</w:t>
            </w:r>
          </w:p>
        </w:tc>
        <w:tc>
          <w:tcPr>
            <w:tcW w:w="1637"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24.100</w:t>
            </w: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38.700</w:t>
            </w: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32.600</w:t>
            </w:r>
          </w:p>
        </w:tc>
      </w:tr>
      <w:tr w:rsidR="00047CB9" w:rsidRPr="002E54E7" w:rsidTr="00853DB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384"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Territórios do noroeste</w:t>
            </w:r>
          </w:p>
        </w:tc>
        <w:tc>
          <w:tcPr>
            <w:tcW w:w="1637"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900</w:t>
            </w: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17.100</w:t>
            </w: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21.700</w:t>
            </w:r>
          </w:p>
        </w:tc>
      </w:tr>
      <w:tr w:rsidR="00047CB9" w:rsidRPr="002E54E7" w:rsidTr="00853DB6">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384"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Total para o oeste do Canadá</w:t>
            </w:r>
          </w:p>
        </w:tc>
        <w:tc>
          <w:tcPr>
            <w:tcW w:w="1637"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25.000</w:t>
            </w: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55.800</w:t>
            </w:r>
          </w:p>
        </w:tc>
        <w:tc>
          <w:tcPr>
            <w:tcW w:w="2129" w:type="dxa"/>
            <w:tcBorders>
              <w:top w:val="none" w:sz="0" w:space="0" w:color="auto"/>
              <w:left w:val="none" w:sz="0" w:space="0" w:color="auto"/>
              <w:bottom w:val="none" w:sz="0" w:space="0" w:color="auto"/>
              <w:right w:val="none" w:sz="0" w:space="0" w:color="auto"/>
            </w:tcBorders>
            <w:shd w:val="clear" w:color="auto" w:fill="FFFFFF" w:themeFill="background1"/>
          </w:tcPr>
          <w:p w:rsidR="00047CB9" w:rsidRPr="002E54E7" w:rsidRDefault="00047CB9"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lang w:eastAsia="pt-BR"/>
              </w:rPr>
            </w:pPr>
            <w:r w:rsidRPr="002E54E7">
              <w:rPr>
                <w:rFonts w:ascii="Times New Roman" w:eastAsia="Times New Roman" w:hAnsi="Times New Roman" w:cs="Times New Roman"/>
                <w:b/>
                <w:lang w:eastAsia="pt-BR"/>
              </w:rPr>
              <w:t>54.300</w:t>
            </w:r>
          </w:p>
        </w:tc>
      </w:tr>
    </w:tbl>
    <w:p w:rsidR="00047CB9" w:rsidRPr="002E54E7" w:rsidRDefault="00047CB9" w:rsidP="0048231B">
      <w:pPr>
        <w:spacing w:after="0" w:line="240" w:lineRule="auto"/>
        <w:jc w:val="both"/>
        <w:rPr>
          <w:rFonts w:ascii="Times New Roman" w:eastAsia="Times New Roman" w:hAnsi="Times New Roman" w:cs="Times New Roman"/>
          <w:lang w:eastAsia="pt-BR"/>
        </w:rPr>
      </w:pPr>
      <w:r w:rsidRPr="002E54E7">
        <w:rPr>
          <w:rFonts w:ascii="Times New Roman" w:eastAsia="Times New Roman" w:hAnsi="Times New Roman" w:cs="Times New Roman"/>
          <w:lang w:eastAsia="pt-BR"/>
        </w:rPr>
        <w:t xml:space="preserve">Fonte: </w:t>
      </w:r>
      <w:proofErr w:type="spellStart"/>
      <w:r w:rsidRPr="002E54E7">
        <w:rPr>
          <w:rFonts w:ascii="Times New Roman" w:eastAsia="Times New Roman" w:hAnsi="Times New Roman" w:cs="Times New Roman"/>
          <w:lang w:eastAsia="pt-BR"/>
        </w:rPr>
        <w:t>Studness</w:t>
      </w:r>
      <w:proofErr w:type="spellEnd"/>
      <w:r w:rsidRPr="002E54E7">
        <w:rPr>
          <w:rFonts w:ascii="Times New Roman" w:eastAsia="Times New Roman" w:hAnsi="Times New Roman" w:cs="Times New Roman"/>
          <w:lang w:eastAsia="pt-BR"/>
        </w:rPr>
        <w:t xml:space="preserve"> (1964</w:t>
      </w:r>
      <w:r w:rsidR="007F0881" w:rsidRPr="002E54E7">
        <w:rPr>
          <w:rFonts w:ascii="Times New Roman" w:eastAsia="Times New Roman" w:hAnsi="Times New Roman" w:cs="Times New Roman"/>
          <w:lang w:eastAsia="pt-BR"/>
        </w:rPr>
        <w:t>,</w:t>
      </w:r>
      <w:r w:rsidR="00307E21" w:rsidRPr="002E54E7">
        <w:rPr>
          <w:rFonts w:ascii="Times New Roman" w:eastAsia="Times New Roman" w:hAnsi="Times New Roman" w:cs="Times New Roman"/>
          <w:lang w:eastAsia="pt-BR"/>
        </w:rPr>
        <w:t xml:space="preserve"> </w:t>
      </w:r>
      <w:r w:rsidR="007F0881" w:rsidRPr="002E54E7">
        <w:rPr>
          <w:rFonts w:ascii="Times New Roman" w:eastAsia="Times New Roman" w:hAnsi="Times New Roman" w:cs="Times New Roman"/>
          <w:lang w:eastAsia="pt-BR"/>
        </w:rPr>
        <w:t>p.571</w:t>
      </w:r>
      <w:r w:rsidRPr="002E54E7">
        <w:rPr>
          <w:rFonts w:ascii="Times New Roman" w:eastAsia="Times New Roman" w:hAnsi="Times New Roman" w:cs="Times New Roman"/>
          <w:lang w:eastAsia="pt-BR"/>
        </w:rPr>
        <w:t>)</w:t>
      </w:r>
      <w:r w:rsidR="007F0881" w:rsidRPr="002E54E7">
        <w:rPr>
          <w:rFonts w:ascii="Times New Roman" w:eastAsia="Times New Roman" w:hAnsi="Times New Roman" w:cs="Times New Roman"/>
          <w:lang w:eastAsia="pt-BR"/>
        </w:rPr>
        <w:t>.</w:t>
      </w:r>
    </w:p>
    <w:p w:rsidR="007E17F6" w:rsidRDefault="007E17F6" w:rsidP="0048231B">
      <w:pPr>
        <w:spacing w:after="0" w:line="240" w:lineRule="auto"/>
        <w:ind w:firstLine="709"/>
        <w:jc w:val="both"/>
        <w:rPr>
          <w:rFonts w:ascii="Times New Roman" w:eastAsia="Times New Roman" w:hAnsi="Times New Roman" w:cs="Times New Roman"/>
          <w:sz w:val="24"/>
          <w:szCs w:val="24"/>
          <w:lang w:eastAsia="pt-BR"/>
        </w:rPr>
      </w:pPr>
      <w:proofErr w:type="spellStart"/>
      <w:r w:rsidRPr="007E17F6">
        <w:rPr>
          <w:rFonts w:ascii="Times New Roman" w:eastAsia="Times New Roman" w:hAnsi="Times New Roman" w:cs="Times New Roman"/>
          <w:sz w:val="24"/>
          <w:szCs w:val="24"/>
          <w:lang w:eastAsia="pt-BR"/>
        </w:rPr>
        <w:t>Pomfret</w:t>
      </w:r>
      <w:proofErr w:type="spellEnd"/>
      <w:r w:rsidRPr="007E17F6">
        <w:rPr>
          <w:rFonts w:ascii="Times New Roman" w:eastAsia="Times New Roman" w:hAnsi="Times New Roman" w:cs="Times New Roman"/>
          <w:sz w:val="24"/>
          <w:szCs w:val="24"/>
          <w:lang w:eastAsia="pt-BR"/>
        </w:rPr>
        <w:t xml:space="preserve"> (1981</w:t>
      </w:r>
      <w:r w:rsidR="0049774B">
        <w:rPr>
          <w:rFonts w:ascii="Times New Roman" w:eastAsia="Times New Roman" w:hAnsi="Times New Roman" w:cs="Times New Roman"/>
          <w:sz w:val="24"/>
          <w:szCs w:val="24"/>
          <w:lang w:eastAsia="pt-BR"/>
        </w:rPr>
        <w:t>, p.114</w:t>
      </w:r>
      <w:r w:rsidRPr="007E17F6">
        <w:rPr>
          <w:rFonts w:ascii="Times New Roman" w:eastAsia="Times New Roman" w:hAnsi="Times New Roman" w:cs="Times New Roman"/>
          <w:sz w:val="24"/>
          <w:szCs w:val="24"/>
          <w:lang w:eastAsia="pt-BR"/>
        </w:rPr>
        <w:t xml:space="preserve">) defende que as diferenças nos fluxos migratórios </w:t>
      </w:r>
      <w:r w:rsidR="00360F80">
        <w:rPr>
          <w:rFonts w:ascii="Times New Roman" w:eastAsia="Times New Roman" w:hAnsi="Times New Roman" w:cs="Times New Roman"/>
          <w:sz w:val="24"/>
          <w:szCs w:val="24"/>
          <w:lang w:eastAsia="pt-BR"/>
        </w:rPr>
        <w:t>dos</w:t>
      </w:r>
      <w:r>
        <w:rPr>
          <w:rFonts w:ascii="Times New Roman" w:eastAsia="Times New Roman" w:hAnsi="Times New Roman" w:cs="Times New Roman"/>
          <w:sz w:val="24"/>
          <w:szCs w:val="24"/>
          <w:lang w:eastAsia="pt-BR"/>
        </w:rPr>
        <w:t xml:space="preserve"> canadenses</w:t>
      </w:r>
      <w:r w:rsidRPr="007E17F6">
        <w:rPr>
          <w:rFonts w:ascii="Times New Roman" w:eastAsia="Times New Roman" w:hAnsi="Times New Roman" w:cs="Times New Roman"/>
          <w:sz w:val="24"/>
          <w:szCs w:val="24"/>
          <w:lang w:eastAsia="pt-BR"/>
        </w:rPr>
        <w:t xml:space="preserve"> estão relacionadas </w:t>
      </w:r>
      <w:r w:rsidR="00BE4E41">
        <w:rPr>
          <w:rFonts w:ascii="Times New Roman" w:eastAsia="Times New Roman" w:hAnsi="Times New Roman" w:cs="Times New Roman"/>
          <w:sz w:val="24"/>
          <w:szCs w:val="24"/>
          <w:lang w:eastAsia="pt-BR"/>
        </w:rPr>
        <w:t>ao</w:t>
      </w:r>
      <w:r w:rsidRPr="007E17F6">
        <w:rPr>
          <w:rFonts w:ascii="Times New Roman" w:eastAsia="Times New Roman" w:hAnsi="Times New Roman" w:cs="Times New Roman"/>
          <w:sz w:val="24"/>
          <w:szCs w:val="24"/>
          <w:lang w:eastAsia="pt-BR"/>
        </w:rPr>
        <w:t xml:space="preserve"> período em que foram construídas as ferrovias, as políticas de assentamento e os recursos naturais disponíveis, e isso teria levado </w:t>
      </w:r>
      <w:r w:rsidR="006A622E">
        <w:rPr>
          <w:rFonts w:ascii="Times New Roman" w:eastAsia="Times New Roman" w:hAnsi="Times New Roman" w:cs="Times New Roman"/>
          <w:sz w:val="24"/>
          <w:szCs w:val="24"/>
          <w:lang w:eastAsia="pt-BR"/>
        </w:rPr>
        <w:t>à</w:t>
      </w:r>
      <w:r w:rsidRPr="007E17F6">
        <w:rPr>
          <w:rFonts w:ascii="Times New Roman" w:eastAsia="Times New Roman" w:hAnsi="Times New Roman" w:cs="Times New Roman"/>
          <w:sz w:val="24"/>
          <w:szCs w:val="24"/>
          <w:lang w:eastAsia="pt-BR"/>
        </w:rPr>
        <w:t xml:space="preserve"> preferencia pelos Estados Unidos até a década de 1880.  Em 1870 o sistema ferroviário já havia chegado </w:t>
      </w:r>
      <w:r w:rsidR="00B554DC">
        <w:rPr>
          <w:rFonts w:ascii="Times New Roman" w:eastAsia="Times New Roman" w:hAnsi="Times New Roman" w:cs="Times New Roman"/>
          <w:sz w:val="24"/>
          <w:szCs w:val="24"/>
          <w:lang w:eastAsia="pt-BR"/>
        </w:rPr>
        <w:t>a</w:t>
      </w:r>
      <w:r w:rsidRPr="007E17F6">
        <w:rPr>
          <w:rFonts w:ascii="Times New Roman" w:eastAsia="Times New Roman" w:hAnsi="Times New Roman" w:cs="Times New Roman"/>
          <w:sz w:val="24"/>
          <w:szCs w:val="24"/>
          <w:lang w:eastAsia="pt-BR"/>
        </w:rPr>
        <w:t xml:space="preserve"> Dakota do Sul</w:t>
      </w:r>
      <w:r w:rsidR="00DD765F">
        <w:rPr>
          <w:rFonts w:ascii="Times New Roman" w:eastAsia="Times New Roman" w:hAnsi="Times New Roman" w:cs="Times New Roman"/>
          <w:sz w:val="24"/>
          <w:szCs w:val="24"/>
          <w:lang w:eastAsia="pt-BR"/>
        </w:rPr>
        <w:t xml:space="preserve"> e </w:t>
      </w:r>
      <w:r w:rsidR="00B554DC">
        <w:rPr>
          <w:rFonts w:ascii="Times New Roman" w:eastAsia="Times New Roman" w:hAnsi="Times New Roman" w:cs="Times New Roman"/>
          <w:sz w:val="24"/>
          <w:szCs w:val="24"/>
          <w:lang w:eastAsia="pt-BR"/>
        </w:rPr>
        <w:t xml:space="preserve">Dakota </w:t>
      </w:r>
      <w:r w:rsidR="00DD765F">
        <w:rPr>
          <w:rFonts w:ascii="Times New Roman" w:eastAsia="Times New Roman" w:hAnsi="Times New Roman" w:cs="Times New Roman"/>
          <w:sz w:val="24"/>
          <w:szCs w:val="24"/>
          <w:lang w:eastAsia="pt-BR"/>
        </w:rPr>
        <w:t xml:space="preserve">do </w:t>
      </w:r>
      <w:r w:rsidR="00A71C25">
        <w:rPr>
          <w:rFonts w:ascii="Times New Roman" w:eastAsia="Times New Roman" w:hAnsi="Times New Roman" w:cs="Times New Roman"/>
          <w:sz w:val="24"/>
          <w:szCs w:val="24"/>
          <w:lang w:eastAsia="pt-BR"/>
        </w:rPr>
        <w:t>Norte</w:t>
      </w:r>
      <w:r w:rsidRPr="007E17F6">
        <w:rPr>
          <w:rFonts w:ascii="Times New Roman" w:eastAsia="Times New Roman" w:hAnsi="Times New Roman" w:cs="Times New Roman"/>
          <w:sz w:val="24"/>
          <w:szCs w:val="24"/>
          <w:lang w:eastAsia="pt-BR"/>
        </w:rPr>
        <w:t>, trazendo como efeito imediato um aumento d</w:t>
      </w:r>
      <w:r w:rsidR="00BE4E41">
        <w:rPr>
          <w:rFonts w:ascii="Times New Roman" w:eastAsia="Times New Roman" w:hAnsi="Times New Roman" w:cs="Times New Roman"/>
          <w:sz w:val="24"/>
          <w:szCs w:val="24"/>
          <w:lang w:eastAsia="pt-BR"/>
        </w:rPr>
        <w:t>o número de assentamentos nesse</w:t>
      </w:r>
      <w:r w:rsidR="00A71C25">
        <w:rPr>
          <w:rFonts w:ascii="Times New Roman" w:eastAsia="Times New Roman" w:hAnsi="Times New Roman" w:cs="Times New Roman"/>
          <w:sz w:val="24"/>
          <w:szCs w:val="24"/>
          <w:lang w:eastAsia="pt-BR"/>
        </w:rPr>
        <w:t>s</w:t>
      </w:r>
      <w:r w:rsidR="00BE4E41">
        <w:rPr>
          <w:rFonts w:ascii="Times New Roman" w:eastAsia="Times New Roman" w:hAnsi="Times New Roman" w:cs="Times New Roman"/>
          <w:sz w:val="24"/>
          <w:szCs w:val="24"/>
          <w:lang w:eastAsia="pt-BR"/>
        </w:rPr>
        <w:t xml:space="preserve"> estado</w:t>
      </w:r>
      <w:r w:rsidR="00A71C25">
        <w:rPr>
          <w:rFonts w:ascii="Times New Roman" w:eastAsia="Times New Roman" w:hAnsi="Times New Roman" w:cs="Times New Roman"/>
          <w:sz w:val="24"/>
          <w:szCs w:val="24"/>
          <w:lang w:eastAsia="pt-BR"/>
        </w:rPr>
        <w:t>s</w:t>
      </w:r>
      <w:r w:rsidR="00BE4E41">
        <w:rPr>
          <w:rFonts w:ascii="Times New Roman" w:eastAsia="Times New Roman" w:hAnsi="Times New Roman" w:cs="Times New Roman"/>
          <w:sz w:val="24"/>
          <w:szCs w:val="24"/>
          <w:lang w:eastAsia="pt-BR"/>
        </w:rPr>
        <w:t xml:space="preserve"> americano</w:t>
      </w:r>
      <w:r w:rsidR="00A71C25">
        <w:rPr>
          <w:rFonts w:ascii="Times New Roman" w:eastAsia="Times New Roman" w:hAnsi="Times New Roman" w:cs="Times New Roman"/>
          <w:sz w:val="24"/>
          <w:szCs w:val="24"/>
          <w:lang w:eastAsia="pt-BR"/>
        </w:rPr>
        <w:t>s</w:t>
      </w:r>
      <w:r w:rsidR="008C5E05">
        <w:rPr>
          <w:rFonts w:ascii="Times New Roman" w:eastAsia="Times New Roman" w:hAnsi="Times New Roman" w:cs="Times New Roman"/>
          <w:sz w:val="24"/>
          <w:szCs w:val="24"/>
          <w:lang w:eastAsia="pt-BR"/>
        </w:rPr>
        <w:t>. Quando as ferrovias começassem</w:t>
      </w:r>
      <w:r w:rsidRPr="007E17F6">
        <w:rPr>
          <w:rFonts w:ascii="Times New Roman" w:eastAsia="Times New Roman" w:hAnsi="Times New Roman" w:cs="Times New Roman"/>
          <w:sz w:val="24"/>
          <w:szCs w:val="24"/>
          <w:lang w:eastAsia="pt-BR"/>
        </w:rPr>
        <w:t xml:space="preserve"> a ficar prontas passaria a ocorrer uma tendência clara </w:t>
      </w:r>
      <w:r w:rsidR="00921C19">
        <w:rPr>
          <w:rFonts w:ascii="Times New Roman" w:eastAsia="Times New Roman" w:hAnsi="Times New Roman" w:cs="Times New Roman"/>
          <w:sz w:val="24"/>
          <w:szCs w:val="24"/>
          <w:lang w:eastAsia="pt-BR"/>
        </w:rPr>
        <w:t xml:space="preserve">de assentamento </w:t>
      </w:r>
      <w:r w:rsidRPr="007E17F6">
        <w:rPr>
          <w:rFonts w:ascii="Times New Roman" w:eastAsia="Times New Roman" w:hAnsi="Times New Roman" w:cs="Times New Roman"/>
          <w:sz w:val="24"/>
          <w:szCs w:val="24"/>
          <w:lang w:eastAsia="pt-BR"/>
        </w:rPr>
        <w:t>dos canad</w:t>
      </w:r>
      <w:r w:rsidR="00EB3BCE">
        <w:rPr>
          <w:rFonts w:ascii="Times New Roman" w:eastAsia="Times New Roman" w:hAnsi="Times New Roman" w:cs="Times New Roman"/>
          <w:sz w:val="24"/>
          <w:szCs w:val="24"/>
          <w:lang w:eastAsia="pt-BR"/>
        </w:rPr>
        <w:t>enses em seu próprio território e uma maior presença de imigrantes estrangeiros em um período em que a produção de trigo não só para o mercado interno, mas também para o externo (principalmente para a Grã-Bretanha) tornaram-se atrativas.</w:t>
      </w:r>
    </w:p>
    <w:p w:rsidR="00E57CBD" w:rsidRDefault="00266F2D" w:rsidP="0048231B">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lang w:eastAsia="pt-BR"/>
        </w:rPr>
        <w:tab/>
      </w:r>
      <w:r w:rsidR="00BD7386">
        <w:rPr>
          <w:rFonts w:ascii="Times New Roman" w:eastAsia="Times New Roman" w:hAnsi="Times New Roman" w:cs="Times New Roman"/>
          <w:sz w:val="24"/>
          <w:szCs w:val="24"/>
          <w:lang w:eastAsia="pt-BR"/>
        </w:rPr>
        <w:t xml:space="preserve">Também pode ser observado que a população passou a ficar menos concentrada </w:t>
      </w:r>
      <w:r w:rsidR="00174779">
        <w:rPr>
          <w:rFonts w:ascii="Times New Roman" w:eastAsia="Times New Roman" w:hAnsi="Times New Roman" w:cs="Times New Roman"/>
          <w:sz w:val="24"/>
          <w:szCs w:val="24"/>
          <w:lang w:eastAsia="pt-BR"/>
        </w:rPr>
        <w:t>nas Províncias do centro e</w:t>
      </w:r>
      <w:r w:rsidR="008C5E05">
        <w:rPr>
          <w:rFonts w:ascii="Times New Roman" w:eastAsia="Times New Roman" w:hAnsi="Times New Roman" w:cs="Times New Roman"/>
          <w:sz w:val="24"/>
          <w:szCs w:val="24"/>
          <w:lang w:eastAsia="pt-BR"/>
        </w:rPr>
        <w:t xml:space="preserve"> do</w:t>
      </w:r>
      <w:r w:rsidR="00174779">
        <w:rPr>
          <w:rFonts w:ascii="Times New Roman" w:eastAsia="Times New Roman" w:hAnsi="Times New Roman" w:cs="Times New Roman"/>
          <w:sz w:val="24"/>
          <w:szCs w:val="24"/>
          <w:lang w:eastAsia="pt-BR"/>
        </w:rPr>
        <w:t xml:space="preserve"> leste (Ontário, Quebec, </w:t>
      </w:r>
      <w:r w:rsidR="0082617D">
        <w:rPr>
          <w:rFonts w:ascii="Times New Roman" w:eastAsia="Times New Roman" w:hAnsi="Times New Roman" w:cs="Times New Roman"/>
          <w:sz w:val="24"/>
          <w:szCs w:val="24"/>
          <w:lang w:eastAsia="pt-BR"/>
        </w:rPr>
        <w:t xml:space="preserve">Ilha do </w:t>
      </w:r>
      <w:r w:rsidR="00F74335">
        <w:rPr>
          <w:rFonts w:ascii="Times New Roman" w:eastAsia="Times New Roman" w:hAnsi="Times New Roman" w:cs="Times New Roman"/>
          <w:sz w:val="24"/>
          <w:szCs w:val="24"/>
          <w:lang w:eastAsia="pt-BR"/>
        </w:rPr>
        <w:t>Príncipe</w:t>
      </w:r>
      <w:r w:rsidR="0082617D">
        <w:rPr>
          <w:rFonts w:ascii="Times New Roman" w:eastAsia="Times New Roman" w:hAnsi="Times New Roman" w:cs="Times New Roman"/>
          <w:sz w:val="24"/>
          <w:szCs w:val="24"/>
          <w:lang w:eastAsia="pt-BR"/>
        </w:rPr>
        <w:t xml:space="preserve"> Eduardo</w:t>
      </w:r>
      <w:r w:rsidR="00174779">
        <w:rPr>
          <w:rFonts w:ascii="Times New Roman" w:eastAsia="Times New Roman" w:hAnsi="Times New Roman" w:cs="Times New Roman"/>
          <w:sz w:val="24"/>
          <w:szCs w:val="24"/>
          <w:lang w:eastAsia="pt-BR"/>
        </w:rPr>
        <w:t xml:space="preserve">, Nova </w:t>
      </w:r>
      <w:r w:rsidR="0082617D">
        <w:rPr>
          <w:rFonts w:ascii="Times New Roman" w:eastAsia="Times New Roman" w:hAnsi="Times New Roman" w:cs="Times New Roman"/>
          <w:sz w:val="24"/>
          <w:szCs w:val="24"/>
          <w:lang w:eastAsia="pt-BR"/>
        </w:rPr>
        <w:t>Escócia</w:t>
      </w:r>
      <w:r w:rsidR="00174779">
        <w:rPr>
          <w:rFonts w:ascii="Times New Roman" w:eastAsia="Times New Roman" w:hAnsi="Times New Roman" w:cs="Times New Roman"/>
          <w:sz w:val="24"/>
          <w:szCs w:val="24"/>
          <w:lang w:eastAsia="pt-BR"/>
        </w:rPr>
        <w:t>, N</w:t>
      </w:r>
      <w:r w:rsidR="0082617D">
        <w:rPr>
          <w:rFonts w:ascii="Times New Roman" w:eastAsia="Times New Roman" w:hAnsi="Times New Roman" w:cs="Times New Roman"/>
          <w:sz w:val="24"/>
          <w:szCs w:val="24"/>
          <w:lang w:eastAsia="pt-BR"/>
        </w:rPr>
        <w:t>ova</w:t>
      </w:r>
      <w:r w:rsidR="00174779">
        <w:rPr>
          <w:rFonts w:ascii="Times New Roman" w:eastAsia="Times New Roman" w:hAnsi="Times New Roman" w:cs="Times New Roman"/>
          <w:sz w:val="24"/>
          <w:szCs w:val="24"/>
          <w:lang w:eastAsia="pt-BR"/>
        </w:rPr>
        <w:t xml:space="preserve"> Brunswick</w:t>
      </w:r>
      <w:r w:rsidR="00F85E48">
        <w:rPr>
          <w:rFonts w:ascii="Times New Roman" w:eastAsia="Times New Roman" w:hAnsi="Times New Roman" w:cs="Times New Roman"/>
          <w:sz w:val="24"/>
          <w:szCs w:val="24"/>
          <w:lang w:eastAsia="pt-BR"/>
        </w:rPr>
        <w:t>)</w:t>
      </w:r>
      <w:r w:rsidR="009B0E67">
        <w:rPr>
          <w:rFonts w:ascii="Times New Roman" w:eastAsia="Times New Roman" w:hAnsi="Times New Roman" w:cs="Times New Roman"/>
          <w:sz w:val="24"/>
          <w:szCs w:val="24"/>
          <w:lang w:eastAsia="pt-BR"/>
        </w:rPr>
        <w:t xml:space="preserve"> </w:t>
      </w:r>
      <w:r w:rsidR="00BD7386">
        <w:rPr>
          <w:rFonts w:ascii="Times New Roman" w:eastAsia="Times New Roman" w:hAnsi="Times New Roman" w:cs="Times New Roman"/>
          <w:sz w:val="24"/>
          <w:szCs w:val="24"/>
          <w:lang w:eastAsia="pt-BR"/>
        </w:rPr>
        <w:t xml:space="preserve">a partir do início do século XX, com as </w:t>
      </w:r>
      <w:r w:rsidR="00174779">
        <w:rPr>
          <w:rFonts w:ascii="Times New Roman" w:eastAsia="Times New Roman" w:hAnsi="Times New Roman" w:cs="Times New Roman"/>
          <w:sz w:val="24"/>
          <w:szCs w:val="24"/>
          <w:lang w:eastAsia="pt-BR"/>
        </w:rPr>
        <w:t xml:space="preserve">demais Províncias (Manitoba, Saskatchewan, Alberta e </w:t>
      </w:r>
      <w:r w:rsidR="0082617D">
        <w:rPr>
          <w:rFonts w:ascii="Times New Roman" w:eastAsia="Times New Roman" w:hAnsi="Times New Roman" w:cs="Times New Roman"/>
          <w:sz w:val="24"/>
          <w:szCs w:val="24"/>
          <w:lang w:eastAsia="pt-BR"/>
        </w:rPr>
        <w:t>Colúmbia Britânica</w:t>
      </w:r>
      <w:r w:rsidR="00174779">
        <w:rPr>
          <w:rFonts w:ascii="Times New Roman" w:eastAsia="Times New Roman" w:hAnsi="Times New Roman" w:cs="Times New Roman"/>
          <w:sz w:val="24"/>
          <w:szCs w:val="24"/>
          <w:lang w:eastAsia="pt-BR"/>
        </w:rPr>
        <w:t>)</w:t>
      </w:r>
      <w:r w:rsidR="00851A0C">
        <w:rPr>
          <w:rFonts w:ascii="Times New Roman" w:eastAsia="Times New Roman" w:hAnsi="Times New Roman" w:cs="Times New Roman"/>
          <w:sz w:val="24"/>
          <w:szCs w:val="24"/>
          <w:lang w:eastAsia="pt-BR"/>
        </w:rPr>
        <w:t xml:space="preserve"> </w:t>
      </w:r>
      <w:r w:rsidR="00174779">
        <w:rPr>
          <w:rFonts w:ascii="Times New Roman" w:eastAsia="Times New Roman" w:hAnsi="Times New Roman" w:cs="Times New Roman"/>
          <w:sz w:val="24"/>
          <w:szCs w:val="24"/>
          <w:lang w:eastAsia="pt-BR"/>
        </w:rPr>
        <w:t>aumentando sua</w:t>
      </w:r>
      <w:r w:rsidR="00BD7386">
        <w:rPr>
          <w:rFonts w:ascii="Times New Roman" w:eastAsia="Times New Roman" w:hAnsi="Times New Roman" w:cs="Times New Roman"/>
          <w:sz w:val="24"/>
          <w:szCs w:val="24"/>
          <w:lang w:eastAsia="pt-BR"/>
        </w:rPr>
        <w:t xml:space="preserve"> participação percentual </w:t>
      </w:r>
      <w:r w:rsidR="00174779">
        <w:rPr>
          <w:rFonts w:ascii="Times New Roman" w:eastAsia="Times New Roman" w:hAnsi="Times New Roman" w:cs="Times New Roman"/>
          <w:sz w:val="24"/>
          <w:szCs w:val="24"/>
          <w:lang w:eastAsia="pt-BR"/>
        </w:rPr>
        <w:t>na população</w:t>
      </w:r>
      <w:r w:rsidR="00BD7386">
        <w:rPr>
          <w:rFonts w:ascii="Times New Roman" w:eastAsia="Times New Roman" w:hAnsi="Times New Roman" w:cs="Times New Roman"/>
          <w:sz w:val="24"/>
          <w:szCs w:val="24"/>
          <w:lang w:eastAsia="pt-BR"/>
        </w:rPr>
        <w:t xml:space="preserve"> can</w:t>
      </w:r>
      <w:r w:rsidR="00E42464">
        <w:rPr>
          <w:rFonts w:ascii="Times New Roman" w:eastAsia="Times New Roman" w:hAnsi="Times New Roman" w:cs="Times New Roman"/>
          <w:sz w:val="24"/>
          <w:szCs w:val="24"/>
          <w:lang w:eastAsia="pt-BR"/>
        </w:rPr>
        <w:t xml:space="preserve">adense </w:t>
      </w:r>
      <w:r w:rsidR="00174779">
        <w:rPr>
          <w:rFonts w:ascii="Times New Roman" w:eastAsia="Times New Roman" w:hAnsi="Times New Roman" w:cs="Times New Roman"/>
          <w:sz w:val="24"/>
          <w:szCs w:val="24"/>
          <w:lang w:eastAsia="pt-BR"/>
        </w:rPr>
        <w:t xml:space="preserve">de 11,2% em 1901 para </w:t>
      </w:r>
      <w:r w:rsidR="00E42464">
        <w:rPr>
          <w:rFonts w:ascii="Times New Roman" w:eastAsia="Times New Roman" w:hAnsi="Times New Roman" w:cs="Times New Roman"/>
          <w:sz w:val="24"/>
          <w:szCs w:val="24"/>
          <w:lang w:eastAsia="pt-BR"/>
        </w:rPr>
        <w:t>28,5 % em 1931</w:t>
      </w:r>
      <w:r w:rsidR="00BD7386">
        <w:rPr>
          <w:rFonts w:ascii="Times New Roman" w:eastAsia="Times New Roman" w:hAnsi="Times New Roman" w:cs="Times New Roman"/>
          <w:sz w:val="24"/>
          <w:szCs w:val="24"/>
          <w:lang w:eastAsia="pt-BR"/>
        </w:rPr>
        <w:t xml:space="preserve"> conforme </w:t>
      </w:r>
      <w:r w:rsidR="008C5E05">
        <w:rPr>
          <w:rFonts w:ascii="Times New Roman" w:eastAsia="Times New Roman" w:hAnsi="Times New Roman" w:cs="Times New Roman"/>
          <w:sz w:val="24"/>
          <w:szCs w:val="24"/>
          <w:lang w:eastAsia="pt-BR"/>
        </w:rPr>
        <w:t xml:space="preserve">dados na </w:t>
      </w:r>
      <w:r w:rsidR="00BD7386">
        <w:rPr>
          <w:rFonts w:ascii="Times New Roman" w:eastAsia="Times New Roman" w:hAnsi="Times New Roman" w:cs="Times New Roman"/>
          <w:sz w:val="24"/>
          <w:szCs w:val="24"/>
          <w:lang w:eastAsia="pt-BR"/>
        </w:rPr>
        <w:t xml:space="preserve">tabela </w:t>
      </w:r>
      <w:r w:rsidR="0082617D">
        <w:rPr>
          <w:rFonts w:ascii="Times New Roman" w:eastAsia="Times New Roman" w:hAnsi="Times New Roman" w:cs="Times New Roman"/>
          <w:sz w:val="24"/>
          <w:szCs w:val="24"/>
          <w:lang w:eastAsia="pt-BR"/>
        </w:rPr>
        <w:t>7</w:t>
      </w:r>
      <w:r w:rsidR="00BD7386">
        <w:rPr>
          <w:rFonts w:ascii="Times New Roman" w:eastAsia="Times New Roman" w:hAnsi="Times New Roman" w:cs="Times New Roman"/>
          <w:sz w:val="24"/>
          <w:szCs w:val="24"/>
          <w:lang w:eastAsia="pt-BR"/>
        </w:rPr>
        <w:t>:</w:t>
      </w:r>
    </w:p>
    <w:p w:rsidR="00DF76A4" w:rsidRDefault="00DF76A4" w:rsidP="0048231B">
      <w:pPr>
        <w:spacing w:after="0" w:line="240" w:lineRule="auto"/>
        <w:jc w:val="both"/>
        <w:rPr>
          <w:rFonts w:ascii="Times New Roman" w:eastAsia="Times New Roman" w:hAnsi="Times New Roman" w:cs="Times New Roman"/>
          <w:sz w:val="24"/>
          <w:szCs w:val="24"/>
          <w:lang w:eastAsia="pt-BR"/>
        </w:rPr>
      </w:pPr>
    </w:p>
    <w:p w:rsidR="00DF76A4" w:rsidRDefault="00DF76A4" w:rsidP="0048231B">
      <w:pPr>
        <w:spacing w:after="0" w:line="240" w:lineRule="auto"/>
        <w:jc w:val="both"/>
        <w:rPr>
          <w:rFonts w:ascii="Times New Roman" w:eastAsia="Times New Roman" w:hAnsi="Times New Roman" w:cs="Times New Roman"/>
          <w:sz w:val="24"/>
          <w:szCs w:val="24"/>
          <w:lang w:eastAsia="pt-BR"/>
        </w:rPr>
      </w:pPr>
    </w:p>
    <w:p w:rsidR="00DF76A4" w:rsidRDefault="00DF76A4" w:rsidP="0048231B">
      <w:pPr>
        <w:spacing w:after="0" w:line="240" w:lineRule="auto"/>
        <w:jc w:val="both"/>
        <w:rPr>
          <w:rFonts w:ascii="Times New Roman" w:eastAsia="Times New Roman" w:hAnsi="Times New Roman" w:cs="Times New Roman"/>
          <w:sz w:val="24"/>
          <w:szCs w:val="24"/>
          <w:lang w:eastAsia="pt-BR"/>
        </w:rPr>
      </w:pPr>
    </w:p>
    <w:p w:rsidR="00BD7386" w:rsidRPr="00AF2BBF" w:rsidRDefault="00E57CBD" w:rsidP="0048231B">
      <w:pPr>
        <w:spacing w:after="0" w:line="240" w:lineRule="auto"/>
        <w:jc w:val="both"/>
        <w:rPr>
          <w:rFonts w:ascii="Times New Roman" w:eastAsia="Times New Roman" w:hAnsi="Times New Roman" w:cs="Times New Roman"/>
          <w:b/>
          <w:lang w:eastAsia="pt-BR"/>
        </w:rPr>
      </w:pPr>
      <w:r>
        <w:rPr>
          <w:rFonts w:ascii="Times New Roman" w:eastAsia="Times New Roman" w:hAnsi="Times New Roman" w:cs="Times New Roman"/>
          <w:b/>
          <w:lang w:eastAsia="pt-BR"/>
        </w:rPr>
        <w:lastRenderedPageBreak/>
        <w:t>T</w:t>
      </w:r>
      <w:r w:rsidR="00BD7386" w:rsidRPr="00AF2BBF">
        <w:rPr>
          <w:rFonts w:ascii="Times New Roman" w:eastAsia="Times New Roman" w:hAnsi="Times New Roman" w:cs="Times New Roman"/>
          <w:b/>
          <w:lang w:eastAsia="pt-BR"/>
        </w:rPr>
        <w:t xml:space="preserve">abela </w:t>
      </w:r>
      <w:r w:rsidR="0082617D">
        <w:rPr>
          <w:rFonts w:ascii="Times New Roman" w:eastAsia="Times New Roman" w:hAnsi="Times New Roman" w:cs="Times New Roman"/>
          <w:b/>
          <w:lang w:eastAsia="pt-BR"/>
        </w:rPr>
        <w:t>7</w:t>
      </w:r>
      <w:r w:rsidR="00BD7386" w:rsidRPr="00AF2BBF">
        <w:rPr>
          <w:rFonts w:ascii="Times New Roman" w:eastAsia="Times New Roman" w:hAnsi="Times New Roman" w:cs="Times New Roman"/>
          <w:b/>
          <w:lang w:eastAsia="pt-BR"/>
        </w:rPr>
        <w:t>- Distribuição Percentual da População Canadense por Província (1881-1931)</w:t>
      </w:r>
    </w:p>
    <w:tbl>
      <w:tblPr>
        <w:tblStyle w:val="GradeClara-nfas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5"/>
        <w:gridCol w:w="824"/>
        <w:gridCol w:w="987"/>
        <w:gridCol w:w="1188"/>
        <w:gridCol w:w="1481"/>
        <w:gridCol w:w="1482"/>
        <w:gridCol w:w="1483"/>
      </w:tblGrid>
      <w:tr w:rsidR="00BD7386" w:rsidRPr="008C5E05" w:rsidTr="00853DB6">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925" w:type="dxa"/>
            <w:vMerge w:val="restart"/>
            <w:tcBorders>
              <w:top w:val="none" w:sz="0" w:space="0" w:color="auto"/>
              <w:left w:val="none" w:sz="0" w:space="0" w:color="auto"/>
              <w:bottom w:val="none" w:sz="0" w:space="0" w:color="auto"/>
              <w:right w:val="none" w:sz="0" w:space="0" w:color="auto"/>
            </w:tcBorders>
            <w:shd w:val="clear" w:color="auto" w:fill="FFFFFF" w:themeFill="background1"/>
            <w:vAlign w:val="center"/>
          </w:tcPr>
          <w:p w:rsidR="00BD7386" w:rsidRPr="008C5E05" w:rsidRDefault="00BD7386" w:rsidP="0048231B">
            <w:pPr>
              <w:spacing w:before="120"/>
              <w:jc w:val="center"/>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Província</w:t>
            </w:r>
          </w:p>
        </w:tc>
        <w:tc>
          <w:tcPr>
            <w:tcW w:w="7445" w:type="dxa"/>
            <w:gridSpan w:val="6"/>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BD7386" w:rsidP="0048231B">
            <w:pPr>
              <w:spacing w:before="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Ano</w:t>
            </w:r>
          </w:p>
        </w:tc>
      </w:tr>
      <w:tr w:rsidR="00BD7386" w:rsidRPr="008C5E05" w:rsidTr="00853DB6">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2925" w:type="dxa"/>
            <w:vMerge/>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BD7386" w:rsidP="0048231B">
            <w:pPr>
              <w:spacing w:before="120"/>
              <w:jc w:val="both"/>
              <w:rPr>
                <w:rFonts w:ascii="Times New Roman" w:eastAsia="Times New Roman" w:hAnsi="Times New Roman" w:cs="Times New Roman"/>
                <w:sz w:val="20"/>
                <w:szCs w:val="20"/>
                <w:lang w:eastAsia="pt-BR"/>
              </w:rPr>
            </w:pPr>
          </w:p>
        </w:tc>
        <w:tc>
          <w:tcPr>
            <w:tcW w:w="824"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BD7386" w:rsidP="004823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1881</w:t>
            </w:r>
          </w:p>
        </w:tc>
        <w:tc>
          <w:tcPr>
            <w:tcW w:w="987"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BD7386" w:rsidP="004823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1891</w:t>
            </w:r>
          </w:p>
        </w:tc>
        <w:tc>
          <w:tcPr>
            <w:tcW w:w="1188"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BD7386" w:rsidP="004823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1901</w:t>
            </w:r>
          </w:p>
        </w:tc>
        <w:tc>
          <w:tcPr>
            <w:tcW w:w="1481"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BD7386" w:rsidP="004823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1911</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BD7386" w:rsidP="004823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1921</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BD7386" w:rsidP="004823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1931</w:t>
            </w:r>
          </w:p>
        </w:tc>
      </w:tr>
      <w:tr w:rsidR="00BD7386" w:rsidRPr="008C5E05" w:rsidTr="00853DB6">
        <w:trPr>
          <w:cnfStyle w:val="000000010000" w:firstRow="0" w:lastRow="0" w:firstColumn="0" w:lastColumn="0" w:oddVBand="0" w:evenVBand="0" w:oddHBand="0" w:evenHBand="1"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925"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82617D" w:rsidP="0048231B">
            <w:pPr>
              <w:jc w:val="both"/>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 xml:space="preserve">Ilha do </w:t>
            </w:r>
            <w:r w:rsidR="00453014" w:rsidRPr="008C5E05">
              <w:rPr>
                <w:rFonts w:ascii="Times New Roman" w:eastAsia="Times New Roman" w:hAnsi="Times New Roman" w:cs="Times New Roman"/>
                <w:sz w:val="20"/>
                <w:szCs w:val="20"/>
                <w:lang w:eastAsia="pt-BR"/>
              </w:rPr>
              <w:t>Príncipe</w:t>
            </w:r>
            <w:r w:rsidRPr="008C5E05">
              <w:rPr>
                <w:rFonts w:ascii="Times New Roman" w:eastAsia="Times New Roman" w:hAnsi="Times New Roman" w:cs="Times New Roman"/>
                <w:sz w:val="20"/>
                <w:szCs w:val="20"/>
                <w:lang w:eastAsia="pt-BR"/>
              </w:rPr>
              <w:t xml:space="preserve"> Eduardo</w:t>
            </w:r>
          </w:p>
        </w:tc>
        <w:tc>
          <w:tcPr>
            <w:tcW w:w="824"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2,5</w:t>
            </w:r>
          </w:p>
        </w:tc>
        <w:tc>
          <w:tcPr>
            <w:tcW w:w="987"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2,2</w:t>
            </w:r>
          </w:p>
        </w:tc>
        <w:tc>
          <w:tcPr>
            <w:tcW w:w="1188"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2,0</w:t>
            </w:r>
          </w:p>
        </w:tc>
        <w:tc>
          <w:tcPr>
            <w:tcW w:w="1481"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1,3</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1,0</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0,8</w:t>
            </w:r>
          </w:p>
        </w:tc>
      </w:tr>
      <w:tr w:rsidR="00BD7386" w:rsidRPr="008C5E05" w:rsidTr="00853DB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925"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82617D" w:rsidP="0048231B">
            <w:pPr>
              <w:jc w:val="both"/>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Nova Escócia</w:t>
            </w:r>
          </w:p>
        </w:tc>
        <w:tc>
          <w:tcPr>
            <w:tcW w:w="824"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10,2</w:t>
            </w:r>
          </w:p>
        </w:tc>
        <w:tc>
          <w:tcPr>
            <w:tcW w:w="987"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9,3</w:t>
            </w:r>
          </w:p>
        </w:tc>
        <w:tc>
          <w:tcPr>
            <w:tcW w:w="1188"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8,6</w:t>
            </w:r>
          </w:p>
        </w:tc>
        <w:tc>
          <w:tcPr>
            <w:tcW w:w="1481"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6,8</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6,0</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4,8</w:t>
            </w:r>
          </w:p>
        </w:tc>
      </w:tr>
      <w:tr w:rsidR="00BD7386" w:rsidRPr="008C5E05" w:rsidTr="00853DB6">
        <w:trPr>
          <w:cnfStyle w:val="000000010000" w:firstRow="0" w:lastRow="0" w:firstColumn="0" w:lastColumn="0" w:oddVBand="0" w:evenVBand="0" w:oddHBand="0" w:evenHBand="1"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925"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both"/>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New Brun</w:t>
            </w:r>
            <w:r w:rsidR="00BD7386" w:rsidRPr="008C5E05">
              <w:rPr>
                <w:rFonts w:ascii="Times New Roman" w:eastAsia="Times New Roman" w:hAnsi="Times New Roman" w:cs="Times New Roman"/>
                <w:sz w:val="20"/>
                <w:szCs w:val="20"/>
                <w:lang w:eastAsia="pt-BR"/>
              </w:rPr>
              <w:t>swick</w:t>
            </w:r>
          </w:p>
        </w:tc>
        <w:tc>
          <w:tcPr>
            <w:tcW w:w="824"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7,4</w:t>
            </w:r>
          </w:p>
        </w:tc>
        <w:tc>
          <w:tcPr>
            <w:tcW w:w="987"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6,7</w:t>
            </w:r>
          </w:p>
        </w:tc>
        <w:tc>
          <w:tcPr>
            <w:tcW w:w="1188"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6,2</w:t>
            </w:r>
          </w:p>
        </w:tc>
        <w:tc>
          <w:tcPr>
            <w:tcW w:w="1481"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4,9</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4,4</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3,8</w:t>
            </w:r>
          </w:p>
        </w:tc>
      </w:tr>
      <w:tr w:rsidR="00BD7386" w:rsidRPr="008C5E05" w:rsidTr="00853DB6">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5"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both"/>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Quebec</w:t>
            </w:r>
          </w:p>
        </w:tc>
        <w:tc>
          <w:tcPr>
            <w:tcW w:w="824"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31,4</w:t>
            </w:r>
          </w:p>
        </w:tc>
        <w:tc>
          <w:tcPr>
            <w:tcW w:w="987"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30,8</w:t>
            </w:r>
          </w:p>
        </w:tc>
        <w:tc>
          <w:tcPr>
            <w:tcW w:w="1188"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30,7</w:t>
            </w:r>
          </w:p>
        </w:tc>
        <w:tc>
          <w:tcPr>
            <w:tcW w:w="1481"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27,8</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26,9</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27,2</w:t>
            </w:r>
          </w:p>
        </w:tc>
      </w:tr>
      <w:tr w:rsidR="00BD7386" w:rsidRPr="008C5E05" w:rsidTr="00853DB6">
        <w:trPr>
          <w:cnfStyle w:val="000000010000" w:firstRow="0" w:lastRow="0" w:firstColumn="0" w:lastColumn="0" w:oddVBand="0" w:evenVBand="0" w:oddHBand="0" w:evenHBand="1"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925"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both"/>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Ontario</w:t>
            </w:r>
          </w:p>
        </w:tc>
        <w:tc>
          <w:tcPr>
            <w:tcW w:w="824"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44,6</w:t>
            </w:r>
          </w:p>
        </w:tc>
        <w:tc>
          <w:tcPr>
            <w:tcW w:w="987"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43,8</w:t>
            </w:r>
          </w:p>
        </w:tc>
        <w:tc>
          <w:tcPr>
            <w:tcW w:w="1188"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40,6</w:t>
            </w:r>
          </w:p>
        </w:tc>
        <w:tc>
          <w:tcPr>
            <w:tcW w:w="1481"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35,1</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33,4</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32,2</w:t>
            </w:r>
          </w:p>
        </w:tc>
      </w:tr>
      <w:tr w:rsidR="00BD7386" w:rsidRPr="008C5E05" w:rsidTr="00853DB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925"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both"/>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Manitoba</w:t>
            </w:r>
          </w:p>
        </w:tc>
        <w:tc>
          <w:tcPr>
            <w:tcW w:w="824"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1,4</w:t>
            </w:r>
          </w:p>
        </w:tc>
        <w:tc>
          <w:tcPr>
            <w:tcW w:w="987"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3,2</w:t>
            </w:r>
          </w:p>
        </w:tc>
        <w:tc>
          <w:tcPr>
            <w:tcW w:w="1188"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4,8</w:t>
            </w:r>
          </w:p>
        </w:tc>
        <w:tc>
          <w:tcPr>
            <w:tcW w:w="1481"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6,4</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6,9</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6,5</w:t>
            </w:r>
          </w:p>
        </w:tc>
      </w:tr>
      <w:tr w:rsidR="00BD7386" w:rsidRPr="008C5E05" w:rsidTr="00853DB6">
        <w:trPr>
          <w:cnfStyle w:val="000000010000" w:firstRow="0" w:lastRow="0" w:firstColumn="0" w:lastColumn="0" w:oddVBand="0" w:evenVBand="0" w:oddHBand="0" w:evenHBand="1"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925"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both"/>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Saskatchewan</w:t>
            </w:r>
          </w:p>
        </w:tc>
        <w:tc>
          <w:tcPr>
            <w:tcW w:w="824"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w:t>
            </w:r>
          </w:p>
        </w:tc>
        <w:tc>
          <w:tcPr>
            <w:tcW w:w="987"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w:t>
            </w:r>
          </w:p>
        </w:tc>
        <w:tc>
          <w:tcPr>
            <w:tcW w:w="1188"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1,7</w:t>
            </w:r>
          </w:p>
        </w:tc>
        <w:tc>
          <w:tcPr>
            <w:tcW w:w="1481"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6,8</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8,6</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8,5</w:t>
            </w:r>
          </w:p>
        </w:tc>
      </w:tr>
      <w:tr w:rsidR="00BD7386" w:rsidRPr="008C5E05" w:rsidTr="00853DB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925"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both"/>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Alberta</w:t>
            </w:r>
          </w:p>
        </w:tc>
        <w:tc>
          <w:tcPr>
            <w:tcW w:w="824"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w:t>
            </w:r>
          </w:p>
        </w:tc>
        <w:tc>
          <w:tcPr>
            <w:tcW w:w="987"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w:t>
            </w:r>
          </w:p>
        </w:tc>
        <w:tc>
          <w:tcPr>
            <w:tcW w:w="1188"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1,4</w:t>
            </w:r>
          </w:p>
        </w:tc>
        <w:tc>
          <w:tcPr>
            <w:tcW w:w="1481"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5,2</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6,7</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6,9</w:t>
            </w:r>
          </w:p>
        </w:tc>
      </w:tr>
      <w:tr w:rsidR="00BD7386" w:rsidRPr="008C5E05" w:rsidTr="00853DB6">
        <w:trPr>
          <w:cnfStyle w:val="000000010000" w:firstRow="0" w:lastRow="0" w:firstColumn="0" w:lastColumn="0" w:oddVBand="0" w:evenVBand="0" w:oddHBand="0" w:evenHBand="1"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925"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82617D" w:rsidP="0048231B">
            <w:pPr>
              <w:jc w:val="both"/>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Colúmbia Britânica</w:t>
            </w:r>
          </w:p>
        </w:tc>
        <w:tc>
          <w:tcPr>
            <w:tcW w:w="824"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1,2</w:t>
            </w:r>
          </w:p>
        </w:tc>
        <w:tc>
          <w:tcPr>
            <w:tcW w:w="987"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2,0</w:t>
            </w:r>
          </w:p>
        </w:tc>
        <w:tc>
          <w:tcPr>
            <w:tcW w:w="1188"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3,3</w:t>
            </w:r>
          </w:p>
        </w:tc>
        <w:tc>
          <w:tcPr>
            <w:tcW w:w="1481"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5,4</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6,0</w:t>
            </w:r>
          </w:p>
        </w:tc>
        <w:tc>
          <w:tcPr>
            <w:tcW w:w="1482" w:type="dxa"/>
            <w:tcBorders>
              <w:top w:val="none" w:sz="0" w:space="0" w:color="auto"/>
              <w:left w:val="none" w:sz="0" w:space="0" w:color="auto"/>
              <w:bottom w:val="none" w:sz="0" w:space="0" w:color="auto"/>
              <w:right w:val="none" w:sz="0" w:space="0" w:color="auto"/>
            </w:tcBorders>
            <w:shd w:val="clear" w:color="auto" w:fill="FFFFFF" w:themeFill="background1"/>
          </w:tcPr>
          <w:p w:rsidR="00BD7386" w:rsidRPr="008C5E05" w:rsidRDefault="00683387" w:rsidP="0048231B">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8C5E05">
              <w:rPr>
                <w:rFonts w:ascii="Times New Roman" w:eastAsia="Times New Roman" w:hAnsi="Times New Roman" w:cs="Times New Roman"/>
                <w:sz w:val="20"/>
                <w:szCs w:val="20"/>
                <w:lang w:eastAsia="pt-BR"/>
              </w:rPr>
              <w:t>6,6</w:t>
            </w:r>
          </w:p>
        </w:tc>
      </w:tr>
    </w:tbl>
    <w:p w:rsidR="00BD7386" w:rsidRPr="00360F80" w:rsidRDefault="00683387" w:rsidP="0048231B">
      <w:pPr>
        <w:spacing w:after="0" w:line="240" w:lineRule="auto"/>
        <w:jc w:val="both"/>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Fonte: Kubat e Thornton (1974</w:t>
      </w:r>
      <w:r w:rsidR="00174779" w:rsidRPr="00360F80">
        <w:rPr>
          <w:rFonts w:ascii="Times New Roman" w:eastAsia="Times New Roman" w:hAnsi="Times New Roman" w:cs="Times New Roman"/>
          <w:sz w:val="20"/>
          <w:szCs w:val="20"/>
          <w:lang w:eastAsia="pt-BR"/>
        </w:rPr>
        <w:t>, p. 12-16)</w:t>
      </w:r>
    </w:p>
    <w:p w:rsidR="00E42464" w:rsidRPr="00360F80" w:rsidRDefault="00174779" w:rsidP="0048231B">
      <w:pPr>
        <w:spacing w:after="0" w:line="240" w:lineRule="auto"/>
        <w:jc w:val="both"/>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Obs.:</w:t>
      </w:r>
      <w:r w:rsidR="0082617D" w:rsidRPr="00360F80">
        <w:rPr>
          <w:rFonts w:ascii="Times New Roman" w:eastAsia="Times New Roman" w:hAnsi="Times New Roman" w:cs="Times New Roman"/>
          <w:sz w:val="20"/>
          <w:szCs w:val="20"/>
          <w:lang w:eastAsia="pt-BR"/>
        </w:rPr>
        <w:t xml:space="preserve"> </w:t>
      </w:r>
      <w:r w:rsidRPr="00360F80">
        <w:rPr>
          <w:rFonts w:ascii="Times New Roman" w:eastAsia="Times New Roman" w:hAnsi="Times New Roman" w:cs="Times New Roman"/>
          <w:sz w:val="20"/>
          <w:szCs w:val="20"/>
          <w:lang w:eastAsia="pt-BR"/>
        </w:rPr>
        <w:t>O somatório das colunas não é igual a 100</w:t>
      </w:r>
      <w:r w:rsidR="00E42464" w:rsidRPr="00360F80">
        <w:rPr>
          <w:rFonts w:ascii="Times New Roman" w:eastAsia="Times New Roman" w:hAnsi="Times New Roman" w:cs="Times New Roman"/>
          <w:sz w:val="20"/>
          <w:szCs w:val="20"/>
          <w:lang w:eastAsia="pt-BR"/>
        </w:rPr>
        <w:t>, pois</w:t>
      </w:r>
      <w:r w:rsidRPr="00360F80">
        <w:rPr>
          <w:rFonts w:ascii="Times New Roman" w:eastAsia="Times New Roman" w:hAnsi="Times New Roman" w:cs="Times New Roman"/>
          <w:sz w:val="20"/>
          <w:szCs w:val="20"/>
          <w:lang w:eastAsia="pt-BR"/>
        </w:rPr>
        <w:t xml:space="preserve"> só foi </w:t>
      </w:r>
      <w:proofErr w:type="gramStart"/>
      <w:r w:rsidRPr="00360F80">
        <w:rPr>
          <w:rFonts w:ascii="Times New Roman" w:eastAsia="Times New Roman" w:hAnsi="Times New Roman" w:cs="Times New Roman"/>
          <w:sz w:val="20"/>
          <w:szCs w:val="20"/>
          <w:lang w:eastAsia="pt-BR"/>
        </w:rPr>
        <w:t>levado em consideração</w:t>
      </w:r>
      <w:proofErr w:type="gramEnd"/>
      <w:r w:rsidRPr="00360F80">
        <w:rPr>
          <w:rFonts w:ascii="Times New Roman" w:eastAsia="Times New Roman" w:hAnsi="Times New Roman" w:cs="Times New Roman"/>
          <w:sz w:val="20"/>
          <w:szCs w:val="20"/>
          <w:lang w:eastAsia="pt-BR"/>
        </w:rPr>
        <w:t xml:space="preserve"> a população das Províncias (</w:t>
      </w:r>
      <w:r w:rsidR="000A4A9D" w:rsidRPr="00360F80">
        <w:rPr>
          <w:rFonts w:ascii="Times New Roman" w:eastAsia="Times New Roman" w:hAnsi="Times New Roman" w:cs="Times New Roman"/>
          <w:sz w:val="20"/>
          <w:szCs w:val="20"/>
          <w:lang w:eastAsia="pt-BR"/>
        </w:rPr>
        <w:t>excluíram-se</w:t>
      </w:r>
      <w:r w:rsidRPr="00360F80">
        <w:rPr>
          <w:rFonts w:ascii="Times New Roman" w:eastAsia="Times New Roman" w:hAnsi="Times New Roman" w:cs="Times New Roman"/>
          <w:sz w:val="20"/>
          <w:szCs w:val="20"/>
          <w:lang w:eastAsia="pt-BR"/>
        </w:rPr>
        <w:t xml:space="preserve"> os Territórios).</w:t>
      </w:r>
    </w:p>
    <w:p w:rsidR="00214C75" w:rsidRDefault="00214C75" w:rsidP="0048231B">
      <w:pPr>
        <w:spacing w:after="0" w:line="240" w:lineRule="auto"/>
        <w:ind w:firstLine="709"/>
        <w:jc w:val="both"/>
        <w:rPr>
          <w:rFonts w:ascii="Times New Roman" w:eastAsia="Times New Roman" w:hAnsi="Times New Roman" w:cs="Times New Roman"/>
          <w:sz w:val="24"/>
          <w:szCs w:val="24"/>
          <w:lang w:eastAsia="pt-BR"/>
        </w:rPr>
      </w:pPr>
      <w:r w:rsidRPr="006A13F1">
        <w:rPr>
          <w:rFonts w:ascii="Times New Roman" w:eastAsia="Times New Roman" w:hAnsi="Times New Roman" w:cs="Times New Roman"/>
          <w:sz w:val="24"/>
          <w:szCs w:val="24"/>
          <w:lang w:eastAsia="pt-BR"/>
        </w:rPr>
        <w:t xml:space="preserve">Essa situação também pode ser observada a partir dos dados de distribuição da população </w:t>
      </w:r>
      <w:r w:rsidR="00061696" w:rsidRPr="006A13F1">
        <w:rPr>
          <w:rFonts w:ascii="Times New Roman" w:eastAsia="Times New Roman" w:hAnsi="Times New Roman" w:cs="Times New Roman"/>
          <w:sz w:val="24"/>
          <w:szCs w:val="24"/>
          <w:lang w:eastAsia="pt-BR"/>
        </w:rPr>
        <w:t xml:space="preserve">total </w:t>
      </w:r>
      <w:r w:rsidRPr="006A13F1">
        <w:rPr>
          <w:rFonts w:ascii="Times New Roman" w:eastAsia="Times New Roman" w:hAnsi="Times New Roman" w:cs="Times New Roman"/>
          <w:sz w:val="24"/>
          <w:szCs w:val="24"/>
          <w:lang w:eastAsia="pt-BR"/>
        </w:rPr>
        <w:t xml:space="preserve">por grupos de províncias conforme apresentado na tabela </w:t>
      </w:r>
      <w:r w:rsidR="0082617D">
        <w:rPr>
          <w:rFonts w:ascii="Times New Roman" w:eastAsia="Times New Roman" w:hAnsi="Times New Roman" w:cs="Times New Roman"/>
          <w:sz w:val="24"/>
          <w:szCs w:val="24"/>
          <w:lang w:eastAsia="pt-BR"/>
        </w:rPr>
        <w:t>8</w:t>
      </w:r>
      <w:r w:rsidRPr="006A13F1">
        <w:rPr>
          <w:rFonts w:ascii="Times New Roman" w:eastAsia="Times New Roman" w:hAnsi="Times New Roman" w:cs="Times New Roman"/>
          <w:sz w:val="24"/>
          <w:szCs w:val="24"/>
          <w:lang w:eastAsia="pt-BR"/>
        </w:rPr>
        <w:t>.</w:t>
      </w:r>
    </w:p>
    <w:p w:rsidR="00214C75" w:rsidRPr="006A13F1" w:rsidRDefault="00214C75" w:rsidP="0048231B">
      <w:pPr>
        <w:spacing w:before="120" w:after="0" w:line="240" w:lineRule="auto"/>
        <w:jc w:val="both"/>
        <w:rPr>
          <w:rFonts w:ascii="Times New Roman" w:eastAsia="Times New Roman" w:hAnsi="Times New Roman" w:cs="Times New Roman"/>
          <w:b/>
          <w:lang w:eastAsia="pt-BR"/>
        </w:rPr>
      </w:pPr>
      <w:r w:rsidRPr="006A13F1">
        <w:rPr>
          <w:rFonts w:ascii="Times New Roman" w:eastAsia="Times New Roman" w:hAnsi="Times New Roman" w:cs="Times New Roman"/>
          <w:b/>
          <w:lang w:eastAsia="pt-BR"/>
        </w:rPr>
        <w:t xml:space="preserve">Tabela </w:t>
      </w:r>
      <w:r w:rsidR="0082617D">
        <w:rPr>
          <w:rFonts w:ascii="Times New Roman" w:eastAsia="Times New Roman" w:hAnsi="Times New Roman" w:cs="Times New Roman"/>
          <w:b/>
          <w:lang w:eastAsia="pt-BR"/>
        </w:rPr>
        <w:t>8</w:t>
      </w:r>
      <w:r w:rsidRPr="006A13F1">
        <w:rPr>
          <w:rFonts w:ascii="Times New Roman" w:eastAsia="Times New Roman" w:hAnsi="Times New Roman" w:cs="Times New Roman"/>
          <w:b/>
          <w:lang w:eastAsia="pt-BR"/>
        </w:rPr>
        <w:t>- População do Canadá por G</w:t>
      </w:r>
      <w:r w:rsidR="00AF2BBF" w:rsidRPr="006A13F1">
        <w:rPr>
          <w:rFonts w:ascii="Times New Roman" w:eastAsia="Times New Roman" w:hAnsi="Times New Roman" w:cs="Times New Roman"/>
          <w:b/>
          <w:lang w:eastAsia="pt-BR"/>
        </w:rPr>
        <w:t>rupos de Províncias (1881-1931)</w:t>
      </w:r>
    </w:p>
    <w:tbl>
      <w:tblPr>
        <w:tblStyle w:val="GradeClara-nfas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75"/>
        <w:gridCol w:w="1475"/>
        <w:gridCol w:w="1475"/>
        <w:gridCol w:w="1475"/>
        <w:gridCol w:w="1475"/>
        <w:gridCol w:w="1476"/>
        <w:gridCol w:w="1476"/>
      </w:tblGrid>
      <w:tr w:rsidR="006A13F1" w:rsidRPr="00360F80" w:rsidTr="00853DB6">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475" w:type="dxa"/>
            <w:vMerge w:val="restart"/>
            <w:tcBorders>
              <w:top w:val="none" w:sz="0" w:space="0" w:color="auto"/>
              <w:left w:val="none" w:sz="0" w:space="0" w:color="auto"/>
              <w:bottom w:val="none" w:sz="0" w:space="0" w:color="auto"/>
              <w:right w:val="none" w:sz="0" w:space="0" w:color="auto"/>
            </w:tcBorders>
            <w:shd w:val="clear" w:color="auto" w:fill="FFFFFF" w:themeFill="background1"/>
            <w:vAlign w:val="center"/>
          </w:tcPr>
          <w:p w:rsidR="00F1568F" w:rsidRPr="00360F80" w:rsidRDefault="00F1568F" w:rsidP="0048231B">
            <w:pPr>
              <w:jc w:val="center"/>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Ano</w:t>
            </w:r>
          </w:p>
        </w:tc>
        <w:tc>
          <w:tcPr>
            <w:tcW w:w="8850" w:type="dxa"/>
            <w:gridSpan w:val="6"/>
            <w:tcBorders>
              <w:top w:val="none" w:sz="0" w:space="0" w:color="auto"/>
              <w:left w:val="none" w:sz="0" w:space="0" w:color="auto"/>
              <w:bottom w:val="none" w:sz="0" w:space="0" w:color="auto"/>
              <w:right w:val="none" w:sz="0" w:space="0" w:color="auto"/>
            </w:tcBorders>
            <w:shd w:val="clear" w:color="auto" w:fill="FFFFFF" w:themeFill="background1"/>
            <w:vAlign w:val="center"/>
          </w:tcPr>
          <w:p w:rsidR="00F1568F" w:rsidRPr="00360F80" w:rsidRDefault="00F1568F" w:rsidP="004823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População (</w:t>
            </w:r>
            <w:r w:rsidR="002C5395" w:rsidRPr="00360F80">
              <w:rPr>
                <w:rFonts w:ascii="Times New Roman" w:eastAsia="Times New Roman" w:hAnsi="Times New Roman" w:cs="Times New Roman"/>
                <w:sz w:val="20"/>
                <w:szCs w:val="20"/>
                <w:lang w:eastAsia="pt-BR"/>
              </w:rPr>
              <w:t>em 1.000</w:t>
            </w:r>
            <w:r w:rsidRPr="00360F80">
              <w:rPr>
                <w:rFonts w:ascii="Times New Roman" w:eastAsia="Times New Roman" w:hAnsi="Times New Roman" w:cs="Times New Roman"/>
                <w:sz w:val="20"/>
                <w:szCs w:val="20"/>
                <w:lang w:eastAsia="pt-BR"/>
              </w:rPr>
              <w:t>)</w:t>
            </w:r>
          </w:p>
        </w:tc>
      </w:tr>
      <w:tr w:rsidR="006A13F1" w:rsidRPr="00360F80" w:rsidTr="00853DB6">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75" w:type="dxa"/>
            <w:vMerge/>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1568F" w:rsidP="0048231B">
            <w:pPr>
              <w:jc w:val="both"/>
              <w:rPr>
                <w:rFonts w:ascii="Times New Roman" w:eastAsia="Times New Roman" w:hAnsi="Times New Roman" w:cs="Times New Roman"/>
                <w:sz w:val="20"/>
                <w:szCs w:val="20"/>
                <w:lang w:eastAsia="pt-BR"/>
              </w:rPr>
            </w:pP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1568F" w:rsidRPr="00360F80" w:rsidRDefault="00F1568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Canadá</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1568F" w:rsidRPr="00360F80" w:rsidRDefault="00F1568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Províncias Marítimas</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1568F" w:rsidRPr="00360F80" w:rsidRDefault="00F1568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Quebec</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1568F" w:rsidRPr="00360F80" w:rsidRDefault="00F1568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Ontário</w:t>
            </w:r>
          </w:p>
        </w:tc>
        <w:tc>
          <w:tcPr>
            <w:tcW w:w="1476"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1568F" w:rsidRPr="00360F80" w:rsidRDefault="00F1568F"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Pradarias</w:t>
            </w:r>
          </w:p>
        </w:tc>
        <w:tc>
          <w:tcPr>
            <w:tcW w:w="1476"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1568F" w:rsidRPr="00360F80" w:rsidRDefault="0082617D" w:rsidP="004823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Colúmbia Britânica</w:t>
            </w:r>
          </w:p>
        </w:tc>
      </w:tr>
      <w:tr w:rsidR="006A13F1" w:rsidRPr="00360F80" w:rsidTr="00853DB6">
        <w:trPr>
          <w:cnfStyle w:val="000000010000" w:firstRow="0" w:lastRow="0" w:firstColumn="0" w:lastColumn="0" w:oddVBand="0" w:evenVBand="0" w:oddHBand="0" w:evenHBand="1"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1568F" w:rsidP="0048231B">
            <w:pPr>
              <w:jc w:val="both"/>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1881</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1568F"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4.325</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871</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1.359</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1.927</w:t>
            </w:r>
          </w:p>
        </w:tc>
        <w:tc>
          <w:tcPr>
            <w:tcW w:w="1476"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89</w:t>
            </w:r>
          </w:p>
        </w:tc>
        <w:tc>
          <w:tcPr>
            <w:tcW w:w="1476"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49</w:t>
            </w:r>
          </w:p>
        </w:tc>
      </w:tr>
      <w:tr w:rsidR="006A13F1" w:rsidRPr="00360F80" w:rsidTr="00853DB6">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1568F" w:rsidP="0048231B">
            <w:pPr>
              <w:jc w:val="both"/>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1891</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1568F"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4.833</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881</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1.488</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2.114</w:t>
            </w:r>
          </w:p>
        </w:tc>
        <w:tc>
          <w:tcPr>
            <w:tcW w:w="1476"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252</w:t>
            </w:r>
          </w:p>
        </w:tc>
        <w:tc>
          <w:tcPr>
            <w:tcW w:w="1476"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98</w:t>
            </w:r>
          </w:p>
        </w:tc>
      </w:tr>
      <w:tr w:rsidR="006A13F1" w:rsidRPr="00360F80" w:rsidTr="00853DB6">
        <w:trPr>
          <w:cnfStyle w:val="000000010000" w:firstRow="0" w:lastRow="0" w:firstColumn="0" w:lastColumn="0" w:oddVBand="0" w:evenVBand="0" w:oddHBand="0" w:evenHBand="1"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1568F" w:rsidP="0048231B">
            <w:pPr>
              <w:jc w:val="both"/>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1901</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1568F"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5.371</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894</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1.649</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2.183</w:t>
            </w:r>
          </w:p>
        </w:tc>
        <w:tc>
          <w:tcPr>
            <w:tcW w:w="1476"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469</w:t>
            </w:r>
          </w:p>
        </w:tc>
        <w:tc>
          <w:tcPr>
            <w:tcW w:w="1476"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179</w:t>
            </w:r>
          </w:p>
        </w:tc>
      </w:tr>
      <w:tr w:rsidR="006A13F1" w:rsidRPr="00360F80" w:rsidTr="00853DB6">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1568F" w:rsidP="0048231B">
            <w:pPr>
              <w:jc w:val="both"/>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1911</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1568F"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7.207</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938</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2.006</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2.527</w:t>
            </w:r>
          </w:p>
        </w:tc>
        <w:tc>
          <w:tcPr>
            <w:tcW w:w="1476"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1.343</w:t>
            </w:r>
          </w:p>
        </w:tc>
        <w:tc>
          <w:tcPr>
            <w:tcW w:w="1476"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393</w:t>
            </w:r>
          </w:p>
        </w:tc>
      </w:tr>
      <w:tr w:rsidR="006A13F1" w:rsidRPr="00360F80" w:rsidTr="00853DB6">
        <w:trPr>
          <w:cnfStyle w:val="000000010000" w:firstRow="0" w:lastRow="0" w:firstColumn="0" w:lastColumn="0" w:oddVBand="0" w:evenVBand="0" w:oddHBand="0" w:evenHBand="1"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1568F" w:rsidP="0048231B">
            <w:pPr>
              <w:jc w:val="both"/>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1921</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1568F"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8.768</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1000</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2.361</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2.934</w:t>
            </w:r>
          </w:p>
        </w:tc>
        <w:tc>
          <w:tcPr>
            <w:tcW w:w="1476"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1.968</w:t>
            </w:r>
          </w:p>
        </w:tc>
        <w:tc>
          <w:tcPr>
            <w:tcW w:w="1476"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525</w:t>
            </w:r>
          </w:p>
        </w:tc>
      </w:tr>
      <w:tr w:rsidR="006A13F1" w:rsidRPr="00360F80" w:rsidTr="00853DB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1568F" w:rsidP="0048231B">
            <w:pPr>
              <w:jc w:val="both"/>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1931</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10.377</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1009</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2.875</w:t>
            </w:r>
          </w:p>
        </w:tc>
        <w:tc>
          <w:tcPr>
            <w:tcW w:w="1475"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3.432</w:t>
            </w:r>
          </w:p>
        </w:tc>
        <w:tc>
          <w:tcPr>
            <w:tcW w:w="1476"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2.367</w:t>
            </w:r>
          </w:p>
        </w:tc>
        <w:tc>
          <w:tcPr>
            <w:tcW w:w="1476" w:type="dxa"/>
            <w:tcBorders>
              <w:top w:val="none" w:sz="0" w:space="0" w:color="auto"/>
              <w:left w:val="none" w:sz="0" w:space="0" w:color="auto"/>
              <w:bottom w:val="none" w:sz="0" w:space="0" w:color="auto"/>
              <w:right w:val="none" w:sz="0" w:space="0" w:color="auto"/>
            </w:tcBorders>
            <w:shd w:val="clear" w:color="auto" w:fill="FFFFFF" w:themeFill="background1"/>
          </w:tcPr>
          <w:p w:rsidR="00F1568F" w:rsidRPr="00360F80" w:rsidRDefault="00FF1D84" w:rsidP="004823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pt-BR"/>
              </w:rPr>
            </w:pPr>
            <w:r w:rsidRPr="00360F80">
              <w:rPr>
                <w:rFonts w:ascii="Times New Roman" w:eastAsia="Times New Roman" w:hAnsi="Times New Roman" w:cs="Times New Roman"/>
                <w:sz w:val="20"/>
                <w:szCs w:val="20"/>
                <w:lang w:eastAsia="pt-BR"/>
              </w:rPr>
              <w:t>694</w:t>
            </w:r>
          </w:p>
        </w:tc>
      </w:tr>
    </w:tbl>
    <w:p w:rsidR="00360F80" w:rsidRDefault="00F1568F" w:rsidP="0048231B">
      <w:pPr>
        <w:spacing w:after="0" w:line="240" w:lineRule="auto"/>
        <w:jc w:val="both"/>
        <w:rPr>
          <w:rFonts w:ascii="Times New Roman" w:eastAsia="Times New Roman" w:hAnsi="Times New Roman" w:cs="Times New Roman"/>
          <w:sz w:val="20"/>
          <w:szCs w:val="20"/>
          <w:lang w:eastAsia="pt-BR"/>
        </w:rPr>
      </w:pPr>
      <w:r w:rsidRPr="002C5395">
        <w:rPr>
          <w:rFonts w:ascii="Times New Roman" w:eastAsia="Times New Roman" w:hAnsi="Times New Roman" w:cs="Times New Roman"/>
          <w:sz w:val="20"/>
          <w:szCs w:val="20"/>
          <w:lang w:eastAsia="pt-BR"/>
        </w:rPr>
        <w:t>Fonte:</w:t>
      </w:r>
      <w:r w:rsidR="008C5461" w:rsidRPr="002C5395">
        <w:rPr>
          <w:rFonts w:ascii="Times New Roman" w:eastAsia="Times New Roman" w:hAnsi="Times New Roman" w:cs="Times New Roman"/>
          <w:sz w:val="20"/>
          <w:szCs w:val="20"/>
          <w:lang w:eastAsia="pt-BR"/>
        </w:rPr>
        <w:t xml:space="preserve"> </w:t>
      </w:r>
      <w:r w:rsidRPr="002C5395">
        <w:rPr>
          <w:rFonts w:ascii="Times New Roman" w:eastAsia="Times New Roman" w:hAnsi="Times New Roman" w:cs="Times New Roman"/>
          <w:sz w:val="20"/>
          <w:szCs w:val="20"/>
          <w:lang w:eastAsia="pt-BR"/>
        </w:rPr>
        <w:t>Urquhart</w:t>
      </w:r>
      <w:r w:rsidR="00FB3B9D" w:rsidRPr="002C5395">
        <w:rPr>
          <w:rFonts w:ascii="Times New Roman" w:eastAsia="Times New Roman" w:hAnsi="Times New Roman" w:cs="Times New Roman"/>
          <w:sz w:val="20"/>
          <w:szCs w:val="20"/>
          <w:lang w:eastAsia="pt-BR"/>
        </w:rPr>
        <w:t xml:space="preserve"> e Buckley</w:t>
      </w:r>
      <w:r w:rsidR="00FF1D84" w:rsidRPr="002C5395">
        <w:rPr>
          <w:rFonts w:ascii="Times New Roman" w:eastAsia="Times New Roman" w:hAnsi="Times New Roman" w:cs="Times New Roman"/>
          <w:sz w:val="20"/>
          <w:szCs w:val="20"/>
          <w:lang w:eastAsia="pt-BR"/>
        </w:rPr>
        <w:t xml:space="preserve"> (</w:t>
      </w:r>
      <w:r w:rsidRPr="002C5395">
        <w:rPr>
          <w:rFonts w:ascii="Times New Roman" w:eastAsia="Times New Roman" w:hAnsi="Times New Roman" w:cs="Times New Roman"/>
          <w:sz w:val="20"/>
          <w:szCs w:val="20"/>
          <w:lang w:eastAsia="pt-BR"/>
        </w:rPr>
        <w:t>1965, p.14)</w:t>
      </w:r>
      <w:r w:rsidR="00FB3B9D" w:rsidRPr="002C5395">
        <w:rPr>
          <w:rFonts w:ascii="Times New Roman" w:eastAsia="Times New Roman" w:hAnsi="Times New Roman" w:cs="Times New Roman"/>
          <w:sz w:val="20"/>
          <w:szCs w:val="20"/>
          <w:lang w:eastAsia="pt-BR"/>
        </w:rPr>
        <w:t xml:space="preserve">. </w:t>
      </w:r>
    </w:p>
    <w:p w:rsidR="00A50AB2" w:rsidRDefault="00A50AB2" w:rsidP="0048231B">
      <w:pPr>
        <w:spacing w:after="0" w:line="24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Diversos aspectos podem ter contribuído para que o assentamento tenha se tornado mais atrativo para os colonos</w:t>
      </w:r>
      <w:r w:rsidR="00D85D54">
        <w:rPr>
          <w:rFonts w:ascii="Times New Roman" w:eastAsia="Times New Roman" w:hAnsi="Times New Roman" w:cs="Times New Roman"/>
          <w:sz w:val="24"/>
          <w:szCs w:val="24"/>
          <w:lang w:eastAsia="pt-BR"/>
        </w:rPr>
        <w:t xml:space="preserve"> a partir da última década do século XIX</w:t>
      </w:r>
      <w:r>
        <w:rPr>
          <w:rFonts w:ascii="Times New Roman" w:eastAsia="Times New Roman" w:hAnsi="Times New Roman" w:cs="Times New Roman"/>
          <w:sz w:val="24"/>
          <w:szCs w:val="24"/>
          <w:lang w:eastAsia="pt-BR"/>
        </w:rPr>
        <w:t xml:space="preserve">, entre </w:t>
      </w:r>
      <w:r w:rsidR="00B554DC">
        <w:rPr>
          <w:rFonts w:ascii="Times New Roman" w:eastAsia="Times New Roman" w:hAnsi="Times New Roman" w:cs="Times New Roman"/>
          <w:sz w:val="24"/>
          <w:szCs w:val="24"/>
          <w:lang w:eastAsia="pt-BR"/>
        </w:rPr>
        <w:t>as quais, além</w:t>
      </w:r>
      <w:r w:rsidR="006B2431">
        <w:rPr>
          <w:rFonts w:ascii="Times New Roman" w:eastAsia="Times New Roman" w:hAnsi="Times New Roman" w:cs="Times New Roman"/>
          <w:sz w:val="24"/>
          <w:szCs w:val="24"/>
          <w:lang w:eastAsia="pt-BR"/>
        </w:rPr>
        <w:t xml:space="preserve"> dos investimentos em infraestrutura,</w:t>
      </w:r>
      <w:r w:rsidR="00B554DC">
        <w:rPr>
          <w:rFonts w:ascii="Times New Roman" w:eastAsia="Times New Roman" w:hAnsi="Times New Roman" w:cs="Times New Roman"/>
          <w:sz w:val="24"/>
          <w:szCs w:val="24"/>
          <w:lang w:eastAsia="pt-BR"/>
        </w:rPr>
        <w:t xml:space="preserve"> </w:t>
      </w:r>
      <w:r w:rsidR="006B2431">
        <w:rPr>
          <w:rFonts w:ascii="Times New Roman" w:eastAsia="Times New Roman" w:hAnsi="Times New Roman" w:cs="Times New Roman"/>
          <w:sz w:val="24"/>
          <w:szCs w:val="24"/>
          <w:lang w:eastAsia="pt-BR"/>
        </w:rPr>
        <w:t xml:space="preserve">da evolução das técnicas de produção e </w:t>
      </w:r>
      <w:r w:rsidR="00B554DC">
        <w:rPr>
          <w:rFonts w:ascii="Times New Roman" w:eastAsia="Times New Roman" w:hAnsi="Times New Roman" w:cs="Times New Roman"/>
          <w:sz w:val="24"/>
          <w:szCs w:val="24"/>
          <w:lang w:eastAsia="pt-BR"/>
        </w:rPr>
        <w:t>do</w:t>
      </w:r>
      <w:r>
        <w:rPr>
          <w:rFonts w:ascii="Times New Roman" w:eastAsia="Times New Roman" w:hAnsi="Times New Roman" w:cs="Times New Roman"/>
          <w:sz w:val="24"/>
          <w:szCs w:val="24"/>
          <w:lang w:eastAsia="pt-BR"/>
        </w:rPr>
        <w:t xml:space="preserve"> aumento dos preços dos cereais</w:t>
      </w:r>
      <w:r w:rsidR="00895E87">
        <w:rPr>
          <w:rFonts w:ascii="Times New Roman" w:eastAsia="Times New Roman" w:hAnsi="Times New Roman" w:cs="Times New Roman"/>
          <w:sz w:val="24"/>
          <w:szCs w:val="24"/>
          <w:lang w:eastAsia="pt-BR"/>
        </w:rPr>
        <w:t xml:space="preserve"> no mercado internacional</w:t>
      </w:r>
      <w:r w:rsidR="00B554DC">
        <w:rPr>
          <w:rFonts w:ascii="Times New Roman" w:eastAsia="Times New Roman" w:hAnsi="Times New Roman" w:cs="Times New Roman"/>
          <w:sz w:val="24"/>
          <w:szCs w:val="24"/>
          <w:lang w:eastAsia="pt-BR"/>
        </w:rPr>
        <w:t xml:space="preserve">, </w:t>
      </w:r>
      <w:r w:rsidR="00E52B06">
        <w:rPr>
          <w:rFonts w:ascii="Times New Roman" w:eastAsia="Times New Roman" w:hAnsi="Times New Roman" w:cs="Times New Roman"/>
          <w:sz w:val="24"/>
          <w:szCs w:val="24"/>
          <w:lang w:eastAsia="pt-BR"/>
        </w:rPr>
        <w:t>destacam-se certamente</w:t>
      </w:r>
      <w:r w:rsidR="00B554DC">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a queda dos custos de transporte e </w:t>
      </w:r>
      <w:r w:rsidR="00895E87">
        <w:rPr>
          <w:rFonts w:ascii="Times New Roman" w:eastAsia="Times New Roman" w:hAnsi="Times New Roman" w:cs="Times New Roman"/>
          <w:sz w:val="24"/>
          <w:szCs w:val="24"/>
          <w:lang w:eastAsia="pt-BR"/>
        </w:rPr>
        <w:t>a intensificação das políticas migratórias</w:t>
      </w:r>
      <w:r w:rsidR="00BC6F11">
        <w:rPr>
          <w:rFonts w:ascii="Times New Roman" w:eastAsia="Times New Roman" w:hAnsi="Times New Roman" w:cs="Times New Roman"/>
          <w:sz w:val="24"/>
          <w:szCs w:val="24"/>
          <w:lang w:eastAsia="pt-BR"/>
        </w:rPr>
        <w:t xml:space="preserve">. </w:t>
      </w:r>
    </w:p>
    <w:p w:rsidR="00895E87" w:rsidRDefault="00895E87" w:rsidP="0048231B">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No que se refere </w:t>
      </w:r>
      <w:r w:rsidR="00A17E83">
        <w:rPr>
          <w:rFonts w:ascii="Times New Roman" w:eastAsia="Times New Roman" w:hAnsi="Times New Roman" w:cs="Times New Roman"/>
          <w:sz w:val="24"/>
          <w:szCs w:val="24"/>
          <w:lang w:eastAsia="pt-BR"/>
        </w:rPr>
        <w:t xml:space="preserve">à </w:t>
      </w:r>
      <w:r>
        <w:rPr>
          <w:rFonts w:ascii="Times New Roman" w:eastAsia="Times New Roman" w:hAnsi="Times New Roman" w:cs="Times New Roman"/>
          <w:sz w:val="24"/>
          <w:szCs w:val="24"/>
          <w:lang w:eastAsia="pt-BR"/>
        </w:rPr>
        <w:t>queda dos custos de transporte</w:t>
      </w:r>
      <w:r w:rsidR="00A17E83">
        <w:rPr>
          <w:rFonts w:ascii="Times New Roman" w:eastAsia="Times New Roman" w:hAnsi="Times New Roman" w:cs="Times New Roman"/>
          <w:sz w:val="24"/>
          <w:szCs w:val="24"/>
          <w:lang w:eastAsia="pt-BR"/>
        </w:rPr>
        <w:t>,</w:t>
      </w:r>
      <w:r w:rsidR="00B944F6">
        <w:rPr>
          <w:rFonts w:ascii="Times New Roman" w:eastAsia="Times New Roman" w:hAnsi="Times New Roman" w:cs="Times New Roman"/>
          <w:sz w:val="24"/>
          <w:szCs w:val="24"/>
          <w:lang w:eastAsia="pt-BR"/>
        </w:rPr>
        <w:t xml:space="preserve"> </w:t>
      </w:r>
      <w:r w:rsidR="00475AC2">
        <w:rPr>
          <w:rFonts w:ascii="Times New Roman" w:eastAsia="Times New Roman" w:hAnsi="Times New Roman" w:cs="Times New Roman"/>
          <w:sz w:val="24"/>
          <w:szCs w:val="24"/>
          <w:lang w:eastAsia="pt-BR"/>
        </w:rPr>
        <w:t xml:space="preserve">medidas importantes foram tomadas, principalmente a partir do </w:t>
      </w:r>
      <w:r w:rsidR="00475AC2" w:rsidRPr="00A17E83">
        <w:rPr>
          <w:rFonts w:ascii="Times New Roman" w:eastAsia="Times New Roman" w:hAnsi="Times New Roman" w:cs="Times New Roman"/>
          <w:i/>
          <w:sz w:val="24"/>
          <w:szCs w:val="24"/>
          <w:lang w:eastAsia="pt-BR"/>
        </w:rPr>
        <w:t>Crow's Nest Pass Agreement</w:t>
      </w:r>
      <w:r w:rsidR="00475AC2">
        <w:rPr>
          <w:rFonts w:ascii="Times New Roman" w:eastAsia="Times New Roman" w:hAnsi="Times New Roman" w:cs="Times New Roman"/>
          <w:sz w:val="24"/>
          <w:szCs w:val="24"/>
          <w:lang w:eastAsia="pt-BR"/>
        </w:rPr>
        <w:t xml:space="preserve">, quando em 1897, </w:t>
      </w:r>
      <w:r w:rsidR="00285041">
        <w:rPr>
          <w:rFonts w:ascii="Times New Roman" w:eastAsia="Times New Roman" w:hAnsi="Times New Roman" w:cs="Times New Roman"/>
          <w:sz w:val="24"/>
          <w:szCs w:val="24"/>
          <w:lang w:eastAsia="pt-BR"/>
        </w:rPr>
        <w:t>o governo do Canadá aceitou</w:t>
      </w:r>
      <w:r w:rsidR="00475AC2">
        <w:rPr>
          <w:rFonts w:ascii="Times New Roman" w:eastAsia="Times New Roman" w:hAnsi="Times New Roman" w:cs="Times New Roman"/>
          <w:sz w:val="24"/>
          <w:szCs w:val="24"/>
          <w:lang w:eastAsia="pt-BR"/>
        </w:rPr>
        <w:t xml:space="preserve"> subsidiar em até </w:t>
      </w:r>
      <w:r w:rsidR="00A17E83">
        <w:rPr>
          <w:rFonts w:ascii="Times New Roman" w:eastAsia="Times New Roman" w:hAnsi="Times New Roman" w:cs="Times New Roman"/>
          <w:sz w:val="24"/>
          <w:szCs w:val="24"/>
          <w:lang w:eastAsia="pt-BR"/>
        </w:rPr>
        <w:t>C</w:t>
      </w:r>
      <w:r w:rsidR="00475AC2">
        <w:rPr>
          <w:rFonts w:ascii="Times New Roman" w:eastAsia="Times New Roman" w:hAnsi="Times New Roman" w:cs="Times New Roman"/>
          <w:sz w:val="24"/>
          <w:szCs w:val="24"/>
          <w:lang w:eastAsia="pt-BR"/>
        </w:rPr>
        <w:t>$3,</w:t>
      </w:r>
      <w:r w:rsidR="00285041">
        <w:rPr>
          <w:rFonts w:ascii="Times New Roman" w:eastAsia="Times New Roman" w:hAnsi="Times New Roman" w:cs="Times New Roman"/>
          <w:sz w:val="24"/>
          <w:szCs w:val="24"/>
          <w:lang w:eastAsia="pt-BR"/>
        </w:rPr>
        <w:t>3</w:t>
      </w:r>
      <w:r w:rsidR="00475AC2">
        <w:rPr>
          <w:rFonts w:ascii="Times New Roman" w:eastAsia="Times New Roman" w:hAnsi="Times New Roman" w:cs="Times New Roman"/>
          <w:sz w:val="24"/>
          <w:szCs w:val="24"/>
          <w:lang w:eastAsia="pt-BR"/>
        </w:rPr>
        <w:t xml:space="preserve"> milhões a </w:t>
      </w:r>
      <w:r w:rsidR="00475AC2" w:rsidRPr="00A17E83">
        <w:rPr>
          <w:rFonts w:ascii="Times New Roman" w:eastAsia="Times New Roman" w:hAnsi="Times New Roman" w:cs="Times New Roman"/>
          <w:i/>
          <w:sz w:val="24"/>
          <w:szCs w:val="24"/>
          <w:lang w:eastAsia="pt-BR"/>
        </w:rPr>
        <w:t>Canadian Pacific Railway</w:t>
      </w:r>
      <w:r w:rsidR="00475AC2">
        <w:rPr>
          <w:rFonts w:ascii="Times New Roman" w:eastAsia="Times New Roman" w:hAnsi="Times New Roman" w:cs="Times New Roman"/>
          <w:sz w:val="24"/>
          <w:szCs w:val="24"/>
          <w:lang w:eastAsia="pt-BR"/>
        </w:rPr>
        <w:t xml:space="preserve"> para a construção de uma linha ferroviária ligando Lethbridge a Nelson (</w:t>
      </w:r>
      <w:r w:rsidR="002C5395">
        <w:rPr>
          <w:rFonts w:ascii="Times New Roman" w:eastAsia="Times New Roman" w:hAnsi="Times New Roman" w:cs="Times New Roman"/>
          <w:sz w:val="24"/>
          <w:szCs w:val="24"/>
          <w:lang w:eastAsia="pt-BR"/>
        </w:rPr>
        <w:t>Colúmbia Britânica</w:t>
      </w:r>
      <w:r w:rsidR="00475AC2">
        <w:rPr>
          <w:rFonts w:ascii="Times New Roman" w:eastAsia="Times New Roman" w:hAnsi="Times New Roman" w:cs="Times New Roman"/>
          <w:sz w:val="24"/>
          <w:szCs w:val="24"/>
          <w:lang w:eastAsia="pt-BR"/>
        </w:rPr>
        <w:t xml:space="preserve">). A CPR em contrapartida aceitou reduzir de forma perpétua as tarifas de transporte em grãos destinados </w:t>
      </w:r>
      <w:r w:rsidR="00A17E83">
        <w:rPr>
          <w:rFonts w:ascii="Times New Roman" w:eastAsia="Times New Roman" w:hAnsi="Times New Roman" w:cs="Times New Roman"/>
          <w:sz w:val="24"/>
          <w:szCs w:val="24"/>
          <w:lang w:eastAsia="pt-BR"/>
        </w:rPr>
        <w:t>à</w:t>
      </w:r>
      <w:r w:rsidR="00475AC2">
        <w:rPr>
          <w:rFonts w:ascii="Times New Roman" w:eastAsia="Times New Roman" w:hAnsi="Times New Roman" w:cs="Times New Roman"/>
          <w:sz w:val="24"/>
          <w:szCs w:val="24"/>
          <w:lang w:eastAsia="pt-BR"/>
        </w:rPr>
        <w:t xml:space="preserve"> exportação e para o transporte de implementos agrícolas e materiais de construção</w:t>
      </w:r>
      <w:r w:rsidR="00285041">
        <w:rPr>
          <w:rFonts w:ascii="Times New Roman" w:eastAsia="Times New Roman" w:hAnsi="Times New Roman" w:cs="Times New Roman"/>
          <w:sz w:val="24"/>
          <w:szCs w:val="24"/>
          <w:lang w:eastAsia="pt-BR"/>
        </w:rPr>
        <w:t>, em um valor médio de 15%</w:t>
      </w:r>
      <w:r w:rsidR="00475AC2">
        <w:rPr>
          <w:rFonts w:ascii="Times New Roman" w:eastAsia="Times New Roman" w:hAnsi="Times New Roman" w:cs="Times New Roman"/>
          <w:sz w:val="24"/>
          <w:szCs w:val="24"/>
          <w:lang w:eastAsia="pt-BR"/>
        </w:rPr>
        <w:t>. Esse acordo foi bastante relevante ao reduzir os custos de transporte do trigo entre as pradarias e os portos</w:t>
      </w:r>
      <w:r w:rsidR="00DC5160">
        <w:rPr>
          <w:rFonts w:ascii="Times New Roman" w:eastAsia="Times New Roman" w:hAnsi="Times New Roman" w:cs="Times New Roman"/>
          <w:sz w:val="24"/>
          <w:szCs w:val="24"/>
          <w:lang w:eastAsia="pt-BR"/>
        </w:rPr>
        <w:t xml:space="preserve"> (NORRIE,</w:t>
      </w:r>
      <w:r w:rsidR="0090294E">
        <w:rPr>
          <w:rFonts w:ascii="Times New Roman" w:eastAsia="Times New Roman" w:hAnsi="Times New Roman" w:cs="Times New Roman"/>
          <w:sz w:val="24"/>
          <w:szCs w:val="24"/>
          <w:lang w:eastAsia="pt-BR"/>
        </w:rPr>
        <w:t xml:space="preserve"> </w:t>
      </w:r>
      <w:r w:rsidR="00DC5160">
        <w:rPr>
          <w:rFonts w:ascii="Times New Roman" w:eastAsia="Times New Roman" w:hAnsi="Times New Roman" w:cs="Times New Roman"/>
          <w:sz w:val="24"/>
          <w:szCs w:val="24"/>
          <w:lang w:eastAsia="pt-BR"/>
        </w:rPr>
        <w:t>2006).</w:t>
      </w:r>
    </w:p>
    <w:p w:rsidR="0064547B" w:rsidRDefault="00475AC2" w:rsidP="0048231B">
      <w:pPr>
        <w:spacing w:after="0" w:line="240" w:lineRule="auto"/>
        <w:ind w:firstLine="709"/>
        <w:jc w:val="both"/>
        <w:rPr>
          <w:rFonts w:ascii="Times New Roman" w:eastAsia="Times New Roman" w:hAnsi="Times New Roman" w:cs="Times New Roman"/>
          <w:color w:val="212121"/>
          <w:lang w:val="pt-PT" w:eastAsia="pt-BR"/>
        </w:rPr>
      </w:pPr>
      <w:r>
        <w:rPr>
          <w:rFonts w:ascii="Times New Roman" w:eastAsia="Times New Roman" w:hAnsi="Times New Roman" w:cs="Times New Roman"/>
          <w:sz w:val="24"/>
          <w:szCs w:val="24"/>
          <w:lang w:eastAsia="pt-BR"/>
        </w:rPr>
        <w:t>As políticas migratórias também passaram a ser mais agressivas após 1896 quando Clifford Sifton assumiu</w:t>
      </w:r>
      <w:r w:rsidR="00A800DB">
        <w:rPr>
          <w:rFonts w:ascii="Times New Roman" w:eastAsia="Times New Roman" w:hAnsi="Times New Roman" w:cs="Times New Roman"/>
          <w:sz w:val="24"/>
          <w:szCs w:val="24"/>
          <w:lang w:eastAsia="pt-BR"/>
        </w:rPr>
        <w:t xml:space="preserve"> o </w:t>
      </w:r>
      <w:r w:rsidR="00B944F6">
        <w:rPr>
          <w:rFonts w:ascii="Times New Roman" w:eastAsia="Times New Roman" w:hAnsi="Times New Roman" w:cs="Times New Roman"/>
          <w:sz w:val="24"/>
          <w:szCs w:val="24"/>
          <w:lang w:eastAsia="pt-BR"/>
        </w:rPr>
        <w:t>Ministério do</w:t>
      </w:r>
      <w:r w:rsidR="00A800DB">
        <w:rPr>
          <w:rFonts w:ascii="Times New Roman" w:eastAsia="Times New Roman" w:hAnsi="Times New Roman" w:cs="Times New Roman"/>
          <w:sz w:val="24"/>
          <w:szCs w:val="24"/>
          <w:lang w:eastAsia="pt-BR"/>
        </w:rPr>
        <w:t xml:space="preserve"> Interior</w:t>
      </w:r>
      <w:r w:rsidR="002C5395">
        <w:rPr>
          <w:rFonts w:ascii="Times New Roman" w:eastAsia="Times New Roman" w:hAnsi="Times New Roman" w:cs="Times New Roman"/>
          <w:sz w:val="24"/>
          <w:szCs w:val="24"/>
          <w:lang w:eastAsia="pt-BR"/>
        </w:rPr>
        <w:t xml:space="preserve"> durante o governo de Wilfrid Laurier no período de 1896 a 1905</w:t>
      </w:r>
      <w:r w:rsidR="00A800DB">
        <w:rPr>
          <w:rFonts w:ascii="Times New Roman" w:eastAsia="Times New Roman" w:hAnsi="Times New Roman" w:cs="Times New Roman"/>
          <w:sz w:val="24"/>
          <w:szCs w:val="24"/>
          <w:lang w:eastAsia="pt-BR"/>
        </w:rPr>
        <w:t>.</w:t>
      </w:r>
      <w:r w:rsidR="00E0219A">
        <w:rPr>
          <w:rFonts w:ascii="Times New Roman" w:eastAsia="Times New Roman" w:hAnsi="Times New Roman" w:cs="Times New Roman"/>
          <w:sz w:val="24"/>
          <w:szCs w:val="24"/>
          <w:lang w:eastAsia="pt-BR"/>
        </w:rPr>
        <w:t xml:space="preserve"> </w:t>
      </w:r>
      <w:r w:rsidR="00CD3A7E">
        <w:rPr>
          <w:rFonts w:ascii="Times New Roman" w:eastAsia="Times New Roman" w:hAnsi="Times New Roman" w:cs="Times New Roman"/>
          <w:sz w:val="24"/>
          <w:szCs w:val="24"/>
          <w:lang w:eastAsia="pt-BR"/>
        </w:rPr>
        <w:t>Nesse sentido ganha forte destaque os imensos esforços publicitários ocorridos nesse período como destacam Francis, Jones e Smith:</w:t>
      </w:r>
    </w:p>
    <w:p w:rsidR="0064547B" w:rsidRPr="00F80F5B" w:rsidRDefault="00CD3A7E" w:rsidP="00645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jc w:val="both"/>
        <w:rPr>
          <w:rFonts w:ascii="Times New Roman" w:eastAsia="Times New Roman" w:hAnsi="Times New Roman" w:cs="Times New Roman"/>
          <w:color w:val="212121"/>
          <w:lang w:val="pt-PT" w:eastAsia="pt-BR"/>
        </w:rPr>
      </w:pPr>
      <w:r>
        <w:rPr>
          <w:rFonts w:ascii="Times New Roman" w:eastAsia="Times New Roman" w:hAnsi="Times New Roman" w:cs="Times New Roman"/>
          <w:color w:val="212121"/>
          <w:lang w:val="pt-PT" w:eastAsia="pt-BR"/>
        </w:rPr>
        <w:t xml:space="preserve"> </w:t>
      </w:r>
      <w:r w:rsidR="0064547B" w:rsidRPr="00F80F5B">
        <w:rPr>
          <w:rFonts w:ascii="Times New Roman" w:eastAsia="Times New Roman" w:hAnsi="Times New Roman" w:cs="Times New Roman"/>
          <w:color w:val="212121"/>
          <w:lang w:val="pt-PT" w:eastAsia="pt-BR"/>
        </w:rPr>
        <w:t xml:space="preserve">[...] seu departamento produziu numerosos panfletos- como o </w:t>
      </w:r>
      <w:r w:rsidR="0064547B" w:rsidRPr="00F80F5B">
        <w:rPr>
          <w:rFonts w:ascii="Times New Roman" w:eastAsia="Times New Roman" w:hAnsi="Times New Roman" w:cs="Times New Roman"/>
          <w:i/>
          <w:color w:val="212121"/>
          <w:lang w:val="pt-PT" w:eastAsia="pt-BR"/>
        </w:rPr>
        <w:t>The Wondrous West</w:t>
      </w:r>
      <w:r w:rsidR="0064547B" w:rsidRPr="00F80F5B">
        <w:rPr>
          <w:rFonts w:ascii="Times New Roman" w:eastAsia="Times New Roman" w:hAnsi="Times New Roman" w:cs="Times New Roman"/>
          <w:color w:val="212121"/>
          <w:lang w:val="pt-PT" w:eastAsia="pt-BR"/>
        </w:rPr>
        <w:t xml:space="preserve">; </w:t>
      </w:r>
      <w:r w:rsidR="0064547B" w:rsidRPr="00F80F5B">
        <w:rPr>
          <w:rFonts w:ascii="Times New Roman" w:eastAsia="Times New Roman" w:hAnsi="Times New Roman" w:cs="Times New Roman"/>
          <w:i/>
          <w:color w:val="212121"/>
          <w:lang w:val="pt-PT" w:eastAsia="pt-BR"/>
        </w:rPr>
        <w:t>Canada: Land of Opportunity</w:t>
      </w:r>
      <w:r w:rsidR="0064547B" w:rsidRPr="00F80F5B">
        <w:rPr>
          <w:rFonts w:ascii="Times New Roman" w:eastAsia="Times New Roman" w:hAnsi="Times New Roman" w:cs="Times New Roman"/>
          <w:color w:val="212121"/>
          <w:lang w:val="pt-PT" w:eastAsia="pt-BR"/>
        </w:rPr>
        <w:t xml:space="preserve">; </w:t>
      </w:r>
      <w:r w:rsidR="0064547B" w:rsidRPr="00F80F5B">
        <w:rPr>
          <w:rFonts w:ascii="Times New Roman" w:eastAsia="Times New Roman" w:hAnsi="Times New Roman" w:cs="Times New Roman"/>
          <w:i/>
          <w:color w:val="212121"/>
          <w:lang w:val="pt-PT" w:eastAsia="pt-BR"/>
        </w:rPr>
        <w:t>Prosperity Follows Settlement</w:t>
      </w:r>
      <w:r w:rsidR="0064547B" w:rsidRPr="00F80F5B">
        <w:rPr>
          <w:rFonts w:ascii="Times New Roman" w:eastAsia="Times New Roman" w:hAnsi="Times New Roman" w:cs="Times New Roman"/>
          <w:color w:val="212121"/>
          <w:lang w:val="pt-PT" w:eastAsia="pt-BR"/>
        </w:rPr>
        <w:t xml:space="preserve">; and </w:t>
      </w:r>
      <w:r w:rsidR="0064547B" w:rsidRPr="00F80F5B">
        <w:rPr>
          <w:rFonts w:ascii="Times New Roman" w:eastAsia="Times New Roman" w:hAnsi="Times New Roman" w:cs="Times New Roman"/>
          <w:i/>
          <w:color w:val="212121"/>
          <w:lang w:val="pt-PT" w:eastAsia="pt-BR"/>
        </w:rPr>
        <w:t>The Last Best West</w:t>
      </w:r>
      <w:r w:rsidR="0064547B" w:rsidRPr="00F80F5B">
        <w:rPr>
          <w:rFonts w:ascii="Times New Roman" w:eastAsia="Times New Roman" w:hAnsi="Times New Roman" w:cs="Times New Roman"/>
          <w:color w:val="212121"/>
          <w:lang w:val="pt-PT" w:eastAsia="pt-BR"/>
        </w:rPr>
        <w:t xml:space="preserve"> que continha descrições glorificadas das condições do oeste canadense. Em 1896 apenas este departamento imprimiu 65.000 panfletos e quatro anos depois esse número já chegava a um milhão. Milhões de folhetos foram enviados para potenciais imigrantes nos Estados Unidos e na Europa, em mais de uma dúzia de linguas. Também fez anúncios em milhares de jornais, organizou passeios e viagens promocionais para potenciais colonos (especialmente estadunidenses)</w:t>
      </w:r>
      <w:r w:rsidRPr="00F80F5B">
        <w:rPr>
          <w:rFonts w:ascii="Times New Roman" w:eastAsia="Times New Roman" w:hAnsi="Times New Roman" w:cs="Times New Roman"/>
          <w:color w:val="212121"/>
          <w:lang w:val="pt-PT" w:eastAsia="pt-BR"/>
        </w:rPr>
        <w:t xml:space="preserve"> e ofereceu bonus para agentes de navios baseados no número de immigrantes que traziam para o Canadá</w:t>
      </w:r>
      <w:r w:rsidR="0064547B" w:rsidRPr="00F80F5B">
        <w:rPr>
          <w:rFonts w:ascii="Times New Roman" w:eastAsia="Times New Roman" w:hAnsi="Times New Roman" w:cs="Times New Roman"/>
          <w:color w:val="212121"/>
          <w:lang w:val="pt-PT" w:eastAsia="pt-BR"/>
        </w:rPr>
        <w:t xml:space="preserve"> (FRANCIS, JONES, SMITH, 2010, p. 293</w:t>
      </w:r>
      <w:r w:rsidR="002C5395" w:rsidRPr="00F80F5B">
        <w:rPr>
          <w:rFonts w:ascii="Times New Roman" w:eastAsia="Times New Roman" w:hAnsi="Times New Roman" w:cs="Times New Roman"/>
          <w:color w:val="212121"/>
          <w:lang w:val="pt-PT" w:eastAsia="pt-BR"/>
        </w:rPr>
        <w:t>, tradução nossa</w:t>
      </w:r>
      <w:r w:rsidR="0064547B" w:rsidRPr="00F80F5B">
        <w:rPr>
          <w:rFonts w:ascii="Times New Roman" w:eastAsia="Times New Roman" w:hAnsi="Times New Roman" w:cs="Times New Roman"/>
          <w:color w:val="212121"/>
          <w:lang w:val="pt-PT" w:eastAsia="pt-BR"/>
        </w:rPr>
        <w:t>).</w:t>
      </w:r>
    </w:p>
    <w:p w:rsidR="00CD3A7E" w:rsidRDefault="00CD3A7E" w:rsidP="00482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jc w:val="both"/>
        <w:rPr>
          <w:rFonts w:ascii="Times New Roman" w:eastAsia="Times New Roman" w:hAnsi="Times New Roman" w:cs="Times New Roman"/>
          <w:color w:val="212121"/>
          <w:lang w:val="pt-PT" w:eastAsia="pt-BR"/>
        </w:rPr>
      </w:pPr>
    </w:p>
    <w:p w:rsidR="00CD3A7E" w:rsidRDefault="001D4969" w:rsidP="0048231B">
      <w:pPr>
        <w:pStyle w:val="Pr-formataoHTML"/>
        <w:shd w:val="clear" w:color="auto" w:fill="FFFFFF"/>
        <w:ind w:firstLine="709"/>
        <w:jc w:val="both"/>
        <w:rPr>
          <w:rFonts w:ascii="Times New Roman" w:hAnsi="Times New Roman" w:cs="Times New Roman"/>
          <w:color w:val="212121"/>
          <w:sz w:val="24"/>
          <w:szCs w:val="24"/>
        </w:rPr>
      </w:pPr>
      <w:r>
        <w:rPr>
          <w:rFonts w:ascii="Times New Roman" w:hAnsi="Times New Roman" w:cs="Times New Roman"/>
          <w:color w:val="212121"/>
          <w:sz w:val="24"/>
          <w:szCs w:val="24"/>
        </w:rPr>
        <w:lastRenderedPageBreak/>
        <w:t xml:space="preserve"> </w:t>
      </w:r>
      <w:r w:rsidR="00CD3A7E" w:rsidRPr="007308B6">
        <w:rPr>
          <w:rFonts w:ascii="Times New Roman" w:hAnsi="Times New Roman" w:cs="Times New Roman"/>
          <w:color w:val="212121"/>
          <w:sz w:val="24"/>
          <w:szCs w:val="24"/>
        </w:rPr>
        <w:t>Os resultados dessas campanhas</w:t>
      </w:r>
      <w:r w:rsidR="00CD3A7E">
        <w:rPr>
          <w:rFonts w:ascii="Times New Roman" w:hAnsi="Times New Roman" w:cs="Times New Roman"/>
          <w:color w:val="212121"/>
          <w:sz w:val="24"/>
          <w:szCs w:val="24"/>
        </w:rPr>
        <w:t xml:space="preserve"> publicitárias agressivas</w:t>
      </w:r>
      <w:r w:rsidR="00CD3A7E" w:rsidRPr="007308B6">
        <w:rPr>
          <w:rFonts w:ascii="Times New Roman" w:hAnsi="Times New Roman" w:cs="Times New Roman"/>
          <w:color w:val="212121"/>
          <w:sz w:val="24"/>
          <w:szCs w:val="24"/>
        </w:rPr>
        <w:t xml:space="preserve"> para atrair imigrantes logo </w:t>
      </w:r>
      <w:r w:rsidR="00CD3A7E">
        <w:rPr>
          <w:rFonts w:ascii="Times New Roman" w:hAnsi="Times New Roman" w:cs="Times New Roman"/>
          <w:color w:val="212121"/>
          <w:sz w:val="24"/>
          <w:szCs w:val="24"/>
        </w:rPr>
        <w:t>começaram a trazer resultados</w:t>
      </w:r>
      <w:r w:rsidR="00CD3A7E" w:rsidRPr="007308B6">
        <w:rPr>
          <w:rFonts w:ascii="Times New Roman" w:hAnsi="Times New Roman" w:cs="Times New Roman"/>
          <w:color w:val="212121"/>
          <w:sz w:val="24"/>
          <w:szCs w:val="24"/>
        </w:rPr>
        <w:t xml:space="preserve"> como </w:t>
      </w:r>
      <w:r w:rsidR="00CD3A7E">
        <w:rPr>
          <w:rFonts w:ascii="Times New Roman" w:hAnsi="Times New Roman" w:cs="Times New Roman"/>
          <w:color w:val="212121"/>
          <w:sz w:val="24"/>
          <w:szCs w:val="24"/>
        </w:rPr>
        <w:t>observa</w:t>
      </w:r>
      <w:r w:rsidR="00CD3A7E" w:rsidRPr="007308B6">
        <w:rPr>
          <w:rFonts w:ascii="Times New Roman" w:hAnsi="Times New Roman" w:cs="Times New Roman"/>
          <w:color w:val="212121"/>
          <w:sz w:val="24"/>
          <w:szCs w:val="24"/>
        </w:rPr>
        <w:t xml:space="preserve"> Sharp:</w:t>
      </w:r>
    </w:p>
    <w:p w:rsidR="002C5395" w:rsidRPr="00F80F5B" w:rsidRDefault="00CD3A7E" w:rsidP="00482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jc w:val="both"/>
        <w:rPr>
          <w:rFonts w:ascii="Times New Roman" w:hAnsi="Times New Roman" w:cs="Times New Roman"/>
          <w:color w:val="212121"/>
          <w:lang w:val="pt-PT"/>
        </w:rPr>
      </w:pPr>
      <w:r w:rsidRPr="00F80F5B">
        <w:rPr>
          <w:rFonts w:ascii="Times New Roman" w:hAnsi="Times New Roman" w:cs="Times New Roman"/>
          <w:color w:val="212121"/>
          <w:lang w:val="pt-PT"/>
        </w:rPr>
        <w:t xml:space="preserve">A efetividade dessa publicidade foi comprovada diariamente pelo número de agricultores que arrumavam seus pertences em uma carroça ou embarcavam em um trem em direção ao noroeste. Outros milhares responderam à publicidade com questionamentos. Quando a </w:t>
      </w:r>
      <w:r w:rsidRPr="00F80F5B">
        <w:rPr>
          <w:rFonts w:ascii="Times New Roman" w:hAnsi="Times New Roman" w:cs="Times New Roman"/>
          <w:i/>
          <w:color w:val="212121"/>
          <w:lang w:val="pt-PT"/>
        </w:rPr>
        <w:t>Canadian</w:t>
      </w:r>
      <w:r w:rsidRPr="00F80F5B">
        <w:rPr>
          <w:rFonts w:ascii="Times New Roman" w:hAnsi="Times New Roman" w:cs="Times New Roman"/>
          <w:color w:val="212121"/>
          <w:lang w:val="pt-PT"/>
        </w:rPr>
        <w:t xml:space="preserve"> </w:t>
      </w:r>
      <w:r w:rsidRPr="00F80F5B">
        <w:rPr>
          <w:rFonts w:ascii="Times New Roman" w:hAnsi="Times New Roman" w:cs="Times New Roman"/>
          <w:i/>
          <w:color w:val="212121"/>
          <w:lang w:val="pt-PT"/>
        </w:rPr>
        <w:t>Land Owner Association</w:t>
      </w:r>
      <w:r w:rsidRPr="00F80F5B">
        <w:rPr>
          <w:rFonts w:ascii="Times New Roman" w:hAnsi="Times New Roman" w:cs="Times New Roman"/>
          <w:color w:val="212121"/>
          <w:lang w:val="pt-PT"/>
        </w:rPr>
        <w:t xml:space="preserve"> de Regina anunciou suas terras em jornais americanos, mais de duas mil respostas chegavam semanalmente de agricultores residentes ao sul da fronteira (SHARP, 19</w:t>
      </w:r>
      <w:r w:rsidR="00DC0CF8" w:rsidRPr="00F80F5B">
        <w:rPr>
          <w:rFonts w:ascii="Times New Roman" w:hAnsi="Times New Roman" w:cs="Times New Roman"/>
          <w:color w:val="212121"/>
          <w:lang w:val="pt-PT"/>
        </w:rPr>
        <w:t>50</w:t>
      </w:r>
      <w:r w:rsidRPr="00F80F5B">
        <w:rPr>
          <w:rFonts w:ascii="Times New Roman" w:hAnsi="Times New Roman" w:cs="Times New Roman"/>
          <w:color w:val="212121"/>
          <w:lang w:val="pt-PT"/>
        </w:rPr>
        <w:t>, p.289</w:t>
      </w:r>
      <w:r w:rsidR="002C5395" w:rsidRPr="00F80F5B">
        <w:rPr>
          <w:rFonts w:ascii="Times New Roman" w:hAnsi="Times New Roman" w:cs="Times New Roman"/>
          <w:color w:val="212121"/>
          <w:lang w:val="pt-PT"/>
        </w:rPr>
        <w:t>, tradução nossa</w:t>
      </w:r>
      <w:r w:rsidRPr="00F80F5B">
        <w:rPr>
          <w:rFonts w:ascii="Times New Roman" w:hAnsi="Times New Roman" w:cs="Times New Roman"/>
          <w:color w:val="212121"/>
          <w:lang w:val="pt-PT"/>
        </w:rPr>
        <w:t>).</w:t>
      </w:r>
    </w:p>
    <w:p w:rsidR="008145DC" w:rsidRDefault="002A5C54" w:rsidP="00482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pt-PT" w:eastAsia="pt-BR"/>
        </w:rPr>
      </w:pPr>
      <w:r>
        <w:rPr>
          <w:rFonts w:ascii="Times New Roman" w:hAnsi="Times New Roman" w:cs="Times New Roman"/>
          <w:color w:val="212121"/>
          <w:lang w:val="pt-PT"/>
        </w:rPr>
        <w:t xml:space="preserve">             </w:t>
      </w:r>
      <w:r w:rsidR="008145DC" w:rsidRPr="0064547B">
        <w:rPr>
          <w:rFonts w:ascii="Times New Roman" w:eastAsia="Times New Roman" w:hAnsi="Times New Roman" w:cs="Times New Roman"/>
          <w:color w:val="212121"/>
          <w:sz w:val="24"/>
          <w:szCs w:val="24"/>
          <w:lang w:val="pt-PT" w:eastAsia="pt-BR"/>
        </w:rPr>
        <w:t>Entre as várias medidas tomadas por Sifton</w:t>
      </w:r>
      <w:r w:rsidR="002C5395">
        <w:rPr>
          <w:rFonts w:ascii="Times New Roman" w:eastAsia="Times New Roman" w:hAnsi="Times New Roman" w:cs="Times New Roman"/>
          <w:color w:val="212121"/>
          <w:sz w:val="24"/>
          <w:szCs w:val="24"/>
          <w:lang w:val="pt-PT" w:eastAsia="pt-BR"/>
        </w:rPr>
        <w:t xml:space="preserve"> </w:t>
      </w:r>
      <w:r w:rsidR="00360F80">
        <w:rPr>
          <w:rFonts w:ascii="Times New Roman" w:eastAsia="Times New Roman" w:hAnsi="Times New Roman" w:cs="Times New Roman"/>
          <w:color w:val="212121"/>
          <w:sz w:val="24"/>
          <w:szCs w:val="24"/>
          <w:lang w:val="pt-PT" w:eastAsia="pt-BR"/>
        </w:rPr>
        <w:t>visando</w:t>
      </w:r>
      <w:r w:rsidR="002C5395">
        <w:rPr>
          <w:rFonts w:ascii="Times New Roman" w:eastAsia="Times New Roman" w:hAnsi="Times New Roman" w:cs="Times New Roman"/>
          <w:color w:val="212121"/>
          <w:sz w:val="24"/>
          <w:szCs w:val="24"/>
          <w:lang w:val="pt-PT" w:eastAsia="pt-BR"/>
        </w:rPr>
        <w:t xml:space="preserve"> </w:t>
      </w:r>
      <w:r w:rsidR="00360F80">
        <w:rPr>
          <w:rFonts w:ascii="Times New Roman" w:eastAsia="Times New Roman" w:hAnsi="Times New Roman" w:cs="Times New Roman"/>
          <w:color w:val="212121"/>
          <w:sz w:val="24"/>
          <w:szCs w:val="24"/>
          <w:lang w:val="pt-PT" w:eastAsia="pt-BR"/>
        </w:rPr>
        <w:t>atrair imigrantes</w:t>
      </w:r>
      <w:r w:rsidR="008145DC" w:rsidRPr="0064547B">
        <w:rPr>
          <w:rFonts w:ascii="Times New Roman" w:eastAsia="Times New Roman" w:hAnsi="Times New Roman" w:cs="Times New Roman"/>
          <w:color w:val="212121"/>
          <w:sz w:val="24"/>
          <w:szCs w:val="24"/>
          <w:lang w:val="pt-PT" w:eastAsia="pt-BR"/>
        </w:rPr>
        <w:t xml:space="preserve"> destacam-se</w:t>
      </w:r>
      <w:r w:rsidR="005D6A7E">
        <w:rPr>
          <w:rFonts w:ascii="Times New Roman" w:eastAsia="Times New Roman" w:hAnsi="Times New Roman" w:cs="Times New Roman"/>
          <w:color w:val="212121"/>
          <w:sz w:val="24"/>
          <w:szCs w:val="24"/>
          <w:lang w:val="pt-PT" w:eastAsia="pt-BR"/>
        </w:rPr>
        <w:t xml:space="preserve"> </w:t>
      </w:r>
      <w:r w:rsidR="008145DC" w:rsidRPr="0064547B">
        <w:rPr>
          <w:rFonts w:ascii="Times New Roman" w:eastAsia="Times New Roman" w:hAnsi="Times New Roman" w:cs="Times New Roman"/>
          <w:color w:val="212121"/>
          <w:sz w:val="24"/>
          <w:szCs w:val="24"/>
          <w:lang w:val="pt-PT" w:eastAsia="pt-BR"/>
        </w:rPr>
        <w:t xml:space="preserve">a pressão que o Ministro exerceu sobre a </w:t>
      </w:r>
      <w:r w:rsidR="008145DC" w:rsidRPr="0064547B">
        <w:rPr>
          <w:rFonts w:ascii="Times New Roman" w:eastAsia="Times New Roman" w:hAnsi="Times New Roman" w:cs="Times New Roman"/>
          <w:i/>
          <w:color w:val="212121"/>
          <w:sz w:val="24"/>
          <w:szCs w:val="24"/>
          <w:lang w:val="pt-PT" w:eastAsia="pt-BR"/>
        </w:rPr>
        <w:t>Hudson´s Bay Company</w:t>
      </w:r>
      <w:r w:rsidR="008145DC" w:rsidRPr="0064547B">
        <w:rPr>
          <w:rFonts w:ascii="Times New Roman" w:eastAsia="Times New Roman" w:hAnsi="Times New Roman" w:cs="Times New Roman"/>
          <w:color w:val="212121"/>
          <w:sz w:val="24"/>
          <w:szCs w:val="24"/>
          <w:lang w:val="pt-PT" w:eastAsia="pt-BR"/>
        </w:rPr>
        <w:t xml:space="preserve"> e a </w:t>
      </w:r>
      <w:r w:rsidR="008145DC" w:rsidRPr="0064547B">
        <w:rPr>
          <w:rFonts w:ascii="Times New Roman" w:eastAsia="Times New Roman" w:hAnsi="Times New Roman" w:cs="Times New Roman"/>
          <w:i/>
          <w:color w:val="212121"/>
          <w:sz w:val="24"/>
          <w:szCs w:val="24"/>
          <w:lang w:val="pt-PT" w:eastAsia="pt-BR"/>
        </w:rPr>
        <w:t>Canadia Pacific Railway</w:t>
      </w:r>
      <w:r w:rsidR="008145DC" w:rsidRPr="0064547B">
        <w:rPr>
          <w:rFonts w:ascii="Times New Roman" w:eastAsia="Times New Roman" w:hAnsi="Times New Roman" w:cs="Times New Roman"/>
          <w:color w:val="212121"/>
          <w:sz w:val="24"/>
          <w:szCs w:val="24"/>
          <w:lang w:val="pt-PT" w:eastAsia="pt-BR"/>
        </w:rPr>
        <w:t xml:space="preserve"> para que estas vendessem suas terras por preços razoáveis aos possíveis colonos interessados. Além disso, Sifton acabou com a prática de concessão de terras para a construção de ferrovias e criou políticas de incentivo para que os imigrantes comprassem seções de terras adjacentes as suas quando disponíveis (FRANCIS, JONES, SMITH, 2010, p. 292).</w:t>
      </w:r>
    </w:p>
    <w:p w:rsidR="006F3592" w:rsidRDefault="006F3592" w:rsidP="00482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212121"/>
          <w:sz w:val="24"/>
          <w:szCs w:val="24"/>
          <w:lang w:val="pt-PT" w:eastAsia="pt-BR"/>
        </w:rPr>
      </w:pPr>
      <w:r w:rsidRPr="004D676B">
        <w:rPr>
          <w:rFonts w:ascii="Times New Roman" w:eastAsia="Times New Roman" w:hAnsi="Times New Roman" w:cs="Times New Roman"/>
          <w:color w:val="212121"/>
          <w:sz w:val="24"/>
          <w:szCs w:val="24"/>
          <w:lang w:val="pt-PT" w:eastAsia="pt-BR"/>
        </w:rPr>
        <w:t xml:space="preserve">Certamente </w:t>
      </w:r>
      <w:r>
        <w:rPr>
          <w:rFonts w:ascii="Times New Roman" w:eastAsia="Times New Roman" w:hAnsi="Times New Roman" w:cs="Times New Roman"/>
          <w:color w:val="212121"/>
          <w:sz w:val="24"/>
          <w:szCs w:val="24"/>
          <w:lang w:val="pt-PT" w:eastAsia="pt-BR"/>
        </w:rPr>
        <w:t xml:space="preserve">a política migratória dos liberais era menos restritiva do que aquela implementada inicialmente pelo partido conservador durante o governo de MacDonald. A principal mudança consistia na menor discriminação em relação </w:t>
      </w:r>
      <w:r w:rsidR="00F77E09">
        <w:rPr>
          <w:rFonts w:ascii="Times New Roman" w:eastAsia="Times New Roman" w:hAnsi="Times New Roman" w:cs="Times New Roman"/>
          <w:color w:val="212121"/>
          <w:sz w:val="24"/>
          <w:szCs w:val="24"/>
          <w:lang w:val="pt-PT" w:eastAsia="pt-BR"/>
        </w:rPr>
        <w:t>à</w:t>
      </w:r>
      <w:r>
        <w:rPr>
          <w:rFonts w:ascii="Times New Roman" w:eastAsia="Times New Roman" w:hAnsi="Times New Roman" w:cs="Times New Roman"/>
          <w:color w:val="212121"/>
          <w:sz w:val="24"/>
          <w:szCs w:val="24"/>
          <w:lang w:val="pt-PT" w:eastAsia="pt-BR"/>
        </w:rPr>
        <w:t xml:space="preserve"> nacionalidade dos imigrantes, mesmo que ainda houvessem medidas discriminatórias em relação </w:t>
      </w:r>
      <w:r w:rsidR="00F77E09">
        <w:rPr>
          <w:rFonts w:ascii="Times New Roman" w:eastAsia="Times New Roman" w:hAnsi="Times New Roman" w:cs="Times New Roman"/>
          <w:color w:val="212121"/>
          <w:sz w:val="24"/>
          <w:szCs w:val="24"/>
          <w:lang w:val="pt-PT" w:eastAsia="pt-BR"/>
        </w:rPr>
        <w:t>à</w:t>
      </w:r>
      <w:r>
        <w:rPr>
          <w:rFonts w:ascii="Times New Roman" w:eastAsia="Times New Roman" w:hAnsi="Times New Roman" w:cs="Times New Roman"/>
          <w:color w:val="212121"/>
          <w:sz w:val="24"/>
          <w:szCs w:val="24"/>
          <w:lang w:val="pt-PT" w:eastAsia="pt-BR"/>
        </w:rPr>
        <w:t xml:space="preserve">s atividades a serem desempenhadas por </w:t>
      </w:r>
      <w:r w:rsidR="00382EDF">
        <w:rPr>
          <w:rFonts w:ascii="Times New Roman" w:eastAsia="Times New Roman" w:hAnsi="Times New Roman" w:cs="Times New Roman"/>
          <w:color w:val="212121"/>
          <w:sz w:val="24"/>
          <w:szCs w:val="24"/>
          <w:lang w:val="pt-PT" w:eastAsia="pt-BR"/>
        </w:rPr>
        <w:t>eles</w:t>
      </w:r>
      <w:r>
        <w:rPr>
          <w:rFonts w:ascii="Times New Roman" w:eastAsia="Times New Roman" w:hAnsi="Times New Roman" w:cs="Times New Roman"/>
          <w:color w:val="212121"/>
          <w:sz w:val="24"/>
          <w:szCs w:val="24"/>
          <w:lang w:val="pt-PT" w:eastAsia="pt-BR"/>
        </w:rPr>
        <w:t>. Essas questões ficam bastante evidentes em um memorando encaminhado por Sifton a Laurier em abril de 1901:</w:t>
      </w:r>
    </w:p>
    <w:p w:rsidR="006F3592" w:rsidRPr="00F80F5B" w:rsidRDefault="006F3592" w:rsidP="006F3592">
      <w:pPr>
        <w:pStyle w:val="Pr-formataoHTML"/>
        <w:shd w:val="clear" w:color="auto" w:fill="FFFFFF"/>
        <w:ind w:left="2268"/>
        <w:jc w:val="both"/>
        <w:rPr>
          <w:rFonts w:ascii="Times New Roman" w:hAnsi="Times New Roman" w:cs="Times New Roman"/>
          <w:color w:val="212121"/>
          <w:sz w:val="22"/>
          <w:szCs w:val="22"/>
          <w:lang w:val="pt-PT"/>
        </w:rPr>
      </w:pPr>
      <w:r w:rsidRPr="00F80F5B">
        <w:rPr>
          <w:rFonts w:ascii="Times New Roman" w:hAnsi="Times New Roman" w:cs="Times New Roman"/>
          <w:color w:val="212121"/>
          <w:sz w:val="22"/>
          <w:szCs w:val="22"/>
          <w:lang w:val="pt-PT"/>
        </w:rPr>
        <w:t>Nosso desejo é o de promover a imigração de agricultores e trabalhadores agrícolas. Não estamos dispostos a excluir estrangeiros de qualquer nacionalidade que pareçam propensos a se tornarem agricultores bem sucedidos. (SIFTON, 1901 apud TIMLIN, 1960, p. 518</w:t>
      </w:r>
      <w:r w:rsidR="00F77E09" w:rsidRPr="00F80F5B">
        <w:rPr>
          <w:rFonts w:ascii="Times New Roman" w:hAnsi="Times New Roman" w:cs="Times New Roman"/>
          <w:color w:val="212121"/>
          <w:sz w:val="22"/>
          <w:szCs w:val="22"/>
          <w:lang w:val="pt-PT"/>
        </w:rPr>
        <w:t>, tradução nossa</w:t>
      </w:r>
      <w:r w:rsidRPr="00F80F5B">
        <w:rPr>
          <w:rFonts w:ascii="Times New Roman" w:hAnsi="Times New Roman" w:cs="Times New Roman"/>
          <w:color w:val="212121"/>
          <w:sz w:val="22"/>
          <w:szCs w:val="22"/>
          <w:lang w:val="pt-PT"/>
        </w:rPr>
        <w:t>).</w:t>
      </w:r>
    </w:p>
    <w:p w:rsidR="00CC76C3" w:rsidRDefault="00CC76C3" w:rsidP="00482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212121"/>
          <w:sz w:val="24"/>
          <w:szCs w:val="24"/>
          <w:lang w:val="pt-PT" w:eastAsia="pt-BR"/>
        </w:rPr>
      </w:pPr>
      <w:r>
        <w:rPr>
          <w:rFonts w:ascii="Times New Roman" w:eastAsia="Times New Roman" w:hAnsi="Times New Roman" w:cs="Times New Roman"/>
          <w:color w:val="212121"/>
          <w:sz w:val="24"/>
          <w:szCs w:val="24"/>
          <w:lang w:val="pt-PT" w:eastAsia="pt-BR"/>
        </w:rPr>
        <w:t>Estima-se que já no ano de 1898 mais de 9.000 imigrantes cruzaram a fronteira oriundos dos Estados Unidos (SESSIONAL PAPERS, 1899, p.viii), número este que ating</w:t>
      </w:r>
      <w:r w:rsidR="001B1030">
        <w:rPr>
          <w:rFonts w:ascii="Times New Roman" w:eastAsia="Times New Roman" w:hAnsi="Times New Roman" w:cs="Times New Roman"/>
          <w:color w:val="212121"/>
          <w:sz w:val="24"/>
          <w:szCs w:val="24"/>
          <w:lang w:val="pt-PT" w:eastAsia="pt-BR"/>
        </w:rPr>
        <w:t>iu</w:t>
      </w:r>
      <w:r>
        <w:rPr>
          <w:rFonts w:ascii="Times New Roman" w:eastAsia="Times New Roman" w:hAnsi="Times New Roman" w:cs="Times New Roman"/>
          <w:color w:val="212121"/>
          <w:sz w:val="24"/>
          <w:szCs w:val="24"/>
          <w:lang w:val="pt-PT" w:eastAsia="pt-BR"/>
        </w:rPr>
        <w:t xml:space="preserve"> seu ápice nos anos de 1910</w:t>
      </w:r>
      <w:r w:rsidR="001B1030">
        <w:rPr>
          <w:rFonts w:ascii="Times New Roman" w:eastAsia="Times New Roman" w:hAnsi="Times New Roman" w:cs="Times New Roman"/>
          <w:color w:val="212121"/>
          <w:sz w:val="24"/>
          <w:szCs w:val="24"/>
          <w:lang w:val="pt-PT" w:eastAsia="pt-BR"/>
        </w:rPr>
        <w:t>,</w:t>
      </w:r>
      <w:r>
        <w:rPr>
          <w:rFonts w:ascii="Times New Roman" w:eastAsia="Times New Roman" w:hAnsi="Times New Roman" w:cs="Times New Roman"/>
          <w:color w:val="212121"/>
          <w:sz w:val="24"/>
          <w:szCs w:val="24"/>
          <w:lang w:val="pt-PT" w:eastAsia="pt-BR"/>
        </w:rPr>
        <w:t xml:space="preserve"> com 103.798 e em 1911</w:t>
      </w:r>
      <w:r w:rsidR="001B1030">
        <w:rPr>
          <w:rFonts w:ascii="Times New Roman" w:eastAsia="Times New Roman" w:hAnsi="Times New Roman" w:cs="Times New Roman"/>
          <w:color w:val="212121"/>
          <w:sz w:val="24"/>
          <w:szCs w:val="24"/>
          <w:lang w:val="pt-PT" w:eastAsia="pt-BR"/>
        </w:rPr>
        <w:t>,</w:t>
      </w:r>
      <w:r>
        <w:rPr>
          <w:rFonts w:ascii="Times New Roman" w:eastAsia="Times New Roman" w:hAnsi="Times New Roman" w:cs="Times New Roman"/>
          <w:color w:val="212121"/>
          <w:sz w:val="24"/>
          <w:szCs w:val="24"/>
          <w:lang w:val="pt-PT" w:eastAsia="pt-BR"/>
        </w:rPr>
        <w:t xml:space="preserve"> com 121.451 imigrantes registrados pelas autoridades migratórias canadenses (SESSIONAL PAPERS, 1912, p.xxxii). No período compreendido entre 1901 e 1920 mais de 1,3 milh</w:t>
      </w:r>
      <w:r w:rsidR="001B1030">
        <w:rPr>
          <w:rFonts w:ascii="Times New Roman" w:eastAsia="Times New Roman" w:hAnsi="Times New Roman" w:cs="Times New Roman"/>
          <w:color w:val="212121"/>
          <w:sz w:val="24"/>
          <w:szCs w:val="24"/>
          <w:lang w:val="pt-PT" w:eastAsia="pt-BR"/>
        </w:rPr>
        <w:t>ão</w:t>
      </w:r>
      <w:r>
        <w:rPr>
          <w:rFonts w:ascii="Times New Roman" w:eastAsia="Times New Roman" w:hAnsi="Times New Roman" w:cs="Times New Roman"/>
          <w:color w:val="212121"/>
          <w:sz w:val="24"/>
          <w:szCs w:val="24"/>
          <w:lang w:val="pt-PT" w:eastAsia="pt-BR"/>
        </w:rPr>
        <w:t xml:space="preserve"> de imigrantes tinham cruzado a fronteira em direção ao Canadá (</w:t>
      </w:r>
      <w:r w:rsidR="00851A0C">
        <w:rPr>
          <w:rFonts w:ascii="Times New Roman" w:eastAsia="Times New Roman" w:hAnsi="Times New Roman" w:cs="Times New Roman"/>
          <w:color w:val="212121"/>
          <w:sz w:val="24"/>
          <w:szCs w:val="24"/>
          <w:lang w:val="pt-PT" w:eastAsia="pt-BR"/>
        </w:rPr>
        <w:t>HOPKINS</w:t>
      </w:r>
      <w:r>
        <w:rPr>
          <w:rFonts w:ascii="Times New Roman" w:eastAsia="Times New Roman" w:hAnsi="Times New Roman" w:cs="Times New Roman"/>
          <w:color w:val="212121"/>
          <w:sz w:val="24"/>
          <w:szCs w:val="24"/>
          <w:lang w:val="pt-PT" w:eastAsia="pt-BR"/>
        </w:rPr>
        <w:t>, 192</w:t>
      </w:r>
      <w:r w:rsidR="00851A0C">
        <w:rPr>
          <w:rFonts w:ascii="Times New Roman" w:eastAsia="Times New Roman" w:hAnsi="Times New Roman" w:cs="Times New Roman"/>
          <w:color w:val="212121"/>
          <w:sz w:val="24"/>
          <w:szCs w:val="24"/>
          <w:lang w:val="pt-PT" w:eastAsia="pt-BR"/>
        </w:rPr>
        <w:t>2</w:t>
      </w:r>
      <w:r>
        <w:rPr>
          <w:rFonts w:ascii="Times New Roman" w:eastAsia="Times New Roman" w:hAnsi="Times New Roman" w:cs="Times New Roman"/>
          <w:color w:val="212121"/>
          <w:sz w:val="24"/>
          <w:szCs w:val="24"/>
          <w:lang w:val="pt-PT" w:eastAsia="pt-BR"/>
        </w:rPr>
        <w:t>, p.240).</w:t>
      </w:r>
    </w:p>
    <w:p w:rsidR="00CC76C3" w:rsidRPr="008F5432" w:rsidRDefault="00CC76C3" w:rsidP="0048231B">
      <w:pPr>
        <w:pStyle w:val="Pr-formataoHTML"/>
        <w:shd w:val="clear" w:color="auto" w:fill="FFFFFF"/>
        <w:ind w:firstLine="709"/>
        <w:jc w:val="both"/>
        <w:rPr>
          <w:rFonts w:ascii="Times New Roman" w:hAnsi="Times New Roman" w:cs="Times New Roman"/>
          <w:color w:val="212121"/>
          <w:sz w:val="24"/>
          <w:szCs w:val="24"/>
          <w:lang w:val="pt-PT"/>
        </w:rPr>
      </w:pPr>
      <w:r w:rsidRPr="008F5432">
        <w:rPr>
          <w:rFonts w:ascii="Times New Roman" w:hAnsi="Times New Roman" w:cs="Times New Roman"/>
          <w:color w:val="212121"/>
          <w:sz w:val="24"/>
          <w:szCs w:val="24"/>
          <w:lang w:val="pt-PT"/>
        </w:rPr>
        <w:t>De fato, no início do século XX a abundância de terras férteis baratas e, muitas vezes, até mesmo gratu</w:t>
      </w:r>
      <w:r w:rsidR="001B1030">
        <w:rPr>
          <w:rFonts w:ascii="Times New Roman" w:hAnsi="Times New Roman" w:cs="Times New Roman"/>
          <w:color w:val="212121"/>
          <w:sz w:val="24"/>
          <w:szCs w:val="24"/>
          <w:lang w:val="pt-PT"/>
        </w:rPr>
        <w:t>i</w:t>
      </w:r>
      <w:r w:rsidRPr="008F5432">
        <w:rPr>
          <w:rFonts w:ascii="Times New Roman" w:hAnsi="Times New Roman" w:cs="Times New Roman"/>
          <w:color w:val="212121"/>
          <w:sz w:val="24"/>
          <w:szCs w:val="24"/>
          <w:lang w:val="pt-PT"/>
        </w:rPr>
        <w:t>tas existentes no Canadá tornaram-se um forte atrativo para os residentes nos Estados Unidos que enfrentavam uma situação oposta caracterizada pela escassez de terras com elevado nível de fertilidade e ainda o alto preço das mesmas. Assim</w:t>
      </w:r>
      <w:r w:rsidR="001B1030">
        <w:rPr>
          <w:rFonts w:ascii="Times New Roman" w:hAnsi="Times New Roman" w:cs="Times New Roman"/>
          <w:color w:val="212121"/>
          <w:sz w:val="24"/>
          <w:szCs w:val="24"/>
          <w:lang w:val="pt-PT"/>
        </w:rPr>
        <w:t>,</w:t>
      </w:r>
      <w:r w:rsidRPr="008F5432">
        <w:rPr>
          <w:rFonts w:ascii="Times New Roman" w:hAnsi="Times New Roman" w:cs="Times New Roman"/>
          <w:color w:val="212121"/>
          <w:sz w:val="24"/>
          <w:szCs w:val="24"/>
          <w:lang w:val="pt-PT"/>
        </w:rPr>
        <w:t xml:space="preserve"> os agricultores e fazendeiros estadunidenses viam com muito entusiasmo as políticas migratórias agressivas do país vizinho, movimento esse que ganhou grandes proporções em estados como Michigan e Min</w:t>
      </w:r>
      <w:r w:rsidR="00FA65AF">
        <w:rPr>
          <w:rFonts w:ascii="Times New Roman" w:hAnsi="Times New Roman" w:cs="Times New Roman"/>
          <w:color w:val="212121"/>
          <w:sz w:val="24"/>
          <w:szCs w:val="24"/>
          <w:lang w:val="pt-PT"/>
        </w:rPr>
        <w:t>n</w:t>
      </w:r>
      <w:r w:rsidRPr="008F5432">
        <w:rPr>
          <w:rFonts w:ascii="Times New Roman" w:hAnsi="Times New Roman" w:cs="Times New Roman"/>
          <w:color w:val="212121"/>
          <w:sz w:val="24"/>
          <w:szCs w:val="24"/>
          <w:lang w:val="pt-PT"/>
        </w:rPr>
        <w:t>esota</w:t>
      </w:r>
      <w:r w:rsidR="00A707FC">
        <w:rPr>
          <w:rFonts w:ascii="Times New Roman" w:hAnsi="Times New Roman" w:cs="Times New Roman"/>
          <w:color w:val="212121"/>
          <w:sz w:val="24"/>
          <w:szCs w:val="24"/>
          <w:lang w:val="pt-PT"/>
        </w:rPr>
        <w:t xml:space="preserve"> (SHARP, 1950, p. 288-290).</w:t>
      </w:r>
    </w:p>
    <w:p w:rsidR="00CC76C3" w:rsidRPr="008F5432" w:rsidRDefault="00CC76C3" w:rsidP="0048231B">
      <w:pPr>
        <w:pStyle w:val="Pr-formataoHTML"/>
        <w:shd w:val="clear" w:color="auto" w:fill="FFFFFF"/>
        <w:ind w:firstLine="709"/>
        <w:jc w:val="both"/>
        <w:rPr>
          <w:rFonts w:ascii="Times New Roman" w:hAnsi="Times New Roman" w:cs="Times New Roman"/>
          <w:color w:val="212121"/>
          <w:sz w:val="24"/>
          <w:szCs w:val="24"/>
          <w:lang w:val="pt-PT"/>
        </w:rPr>
      </w:pPr>
      <w:r w:rsidRPr="008F5432">
        <w:rPr>
          <w:rFonts w:ascii="Times New Roman" w:hAnsi="Times New Roman" w:cs="Times New Roman"/>
          <w:color w:val="212121"/>
          <w:sz w:val="24"/>
          <w:szCs w:val="24"/>
          <w:lang w:val="pt-PT"/>
        </w:rPr>
        <w:t xml:space="preserve">As vantagens oferecidas por essas políticas migratórias eram evidentes como </w:t>
      </w:r>
      <w:r w:rsidR="00691809">
        <w:rPr>
          <w:rFonts w:ascii="Times New Roman" w:hAnsi="Times New Roman" w:cs="Times New Roman"/>
          <w:color w:val="212121"/>
          <w:sz w:val="24"/>
          <w:szCs w:val="24"/>
          <w:lang w:val="pt-PT"/>
        </w:rPr>
        <w:t>destaca</w:t>
      </w:r>
      <w:r w:rsidRPr="008F5432">
        <w:rPr>
          <w:rFonts w:ascii="Times New Roman" w:hAnsi="Times New Roman" w:cs="Times New Roman"/>
          <w:color w:val="212121"/>
          <w:sz w:val="24"/>
          <w:szCs w:val="24"/>
          <w:lang w:val="pt-PT"/>
        </w:rPr>
        <w:t xml:space="preserve"> Sharp:</w:t>
      </w:r>
    </w:p>
    <w:p w:rsidR="00CC76C3" w:rsidRPr="00F80F5B" w:rsidRDefault="00CC76C3" w:rsidP="0048231B">
      <w:pPr>
        <w:pStyle w:val="Pr-formataoHTML"/>
        <w:shd w:val="clear" w:color="auto" w:fill="FFFFFF"/>
        <w:ind w:left="2268"/>
        <w:jc w:val="both"/>
        <w:rPr>
          <w:rFonts w:ascii="Times New Roman" w:hAnsi="Times New Roman" w:cs="Times New Roman"/>
          <w:sz w:val="22"/>
          <w:szCs w:val="22"/>
        </w:rPr>
      </w:pPr>
      <w:r w:rsidRPr="00F80F5B">
        <w:rPr>
          <w:rFonts w:ascii="Times New Roman" w:hAnsi="Times New Roman" w:cs="Times New Roman"/>
          <w:color w:val="212121"/>
          <w:sz w:val="22"/>
          <w:szCs w:val="22"/>
          <w:lang w:val="pt-PT"/>
        </w:rPr>
        <w:t>É certo que muitos foram atraídos pela legislação agrária favorável aprovada por uma legislatura amigável nas Províncias das Pradarias. As leis de seguros, os impostos diretos sobre os valores das terras, poucos impostos sobre a propriedade pessoal dos agricultores e as leis que desencoraja</w:t>
      </w:r>
      <w:r w:rsidR="001B1030" w:rsidRPr="00F80F5B">
        <w:rPr>
          <w:rFonts w:ascii="Times New Roman" w:hAnsi="Times New Roman" w:cs="Times New Roman"/>
          <w:color w:val="212121"/>
          <w:sz w:val="22"/>
          <w:szCs w:val="22"/>
          <w:lang w:val="pt-PT"/>
        </w:rPr>
        <w:t xml:space="preserve">vam </w:t>
      </w:r>
      <w:r w:rsidRPr="00F80F5B">
        <w:rPr>
          <w:rFonts w:ascii="Times New Roman" w:hAnsi="Times New Roman" w:cs="Times New Roman"/>
          <w:color w:val="212121"/>
          <w:sz w:val="22"/>
          <w:szCs w:val="22"/>
          <w:lang w:val="pt-PT"/>
        </w:rPr>
        <w:t>a especulação na terra foram citados com frequ</w:t>
      </w:r>
      <w:r w:rsidR="001B1030" w:rsidRPr="00F80F5B">
        <w:rPr>
          <w:rFonts w:ascii="Times New Roman" w:hAnsi="Times New Roman" w:cs="Times New Roman"/>
          <w:color w:val="212121"/>
          <w:sz w:val="22"/>
          <w:szCs w:val="22"/>
          <w:lang w:val="pt-PT"/>
        </w:rPr>
        <w:t>ê</w:t>
      </w:r>
      <w:r w:rsidRPr="00F80F5B">
        <w:rPr>
          <w:rFonts w:ascii="Times New Roman" w:hAnsi="Times New Roman" w:cs="Times New Roman"/>
          <w:color w:val="212121"/>
          <w:sz w:val="22"/>
          <w:szCs w:val="22"/>
          <w:lang w:val="pt-PT"/>
        </w:rPr>
        <w:t xml:space="preserve">ncia como exemplos de reformas defendidas pelos agricultores nos Estados Unidos, mas aprovadas pelas Assembleias Legislativas canadenses </w:t>
      </w:r>
      <w:r w:rsidRPr="00F80F5B">
        <w:rPr>
          <w:rFonts w:ascii="Times New Roman" w:hAnsi="Times New Roman" w:cs="Times New Roman"/>
          <w:sz w:val="22"/>
          <w:szCs w:val="22"/>
        </w:rPr>
        <w:t>(Sharp, 19</w:t>
      </w:r>
      <w:r w:rsidR="00DC0CF8" w:rsidRPr="00F80F5B">
        <w:rPr>
          <w:rFonts w:ascii="Times New Roman" w:hAnsi="Times New Roman" w:cs="Times New Roman"/>
          <w:sz w:val="22"/>
          <w:szCs w:val="22"/>
        </w:rPr>
        <w:t>50</w:t>
      </w:r>
      <w:r w:rsidRPr="00F80F5B">
        <w:rPr>
          <w:rFonts w:ascii="Times New Roman" w:hAnsi="Times New Roman" w:cs="Times New Roman"/>
          <w:sz w:val="22"/>
          <w:szCs w:val="22"/>
        </w:rPr>
        <w:t>, p.290</w:t>
      </w:r>
      <w:r w:rsidR="001B1030" w:rsidRPr="00F80F5B">
        <w:rPr>
          <w:rFonts w:ascii="Times New Roman" w:hAnsi="Times New Roman" w:cs="Times New Roman"/>
          <w:sz w:val="22"/>
          <w:szCs w:val="22"/>
        </w:rPr>
        <w:t>, tradução nossa</w:t>
      </w:r>
      <w:r w:rsidRPr="00F80F5B">
        <w:rPr>
          <w:rFonts w:ascii="Times New Roman" w:hAnsi="Times New Roman" w:cs="Times New Roman"/>
          <w:sz w:val="22"/>
          <w:szCs w:val="22"/>
        </w:rPr>
        <w:t>).</w:t>
      </w:r>
    </w:p>
    <w:p w:rsidR="00054043" w:rsidRDefault="00054043" w:rsidP="0048231B">
      <w:pPr>
        <w:pStyle w:val="Pr-formataoHTML"/>
        <w:shd w:val="clear" w:color="auto" w:fill="FFFFFF"/>
        <w:ind w:firstLine="709"/>
        <w:jc w:val="both"/>
        <w:rPr>
          <w:rFonts w:ascii="Times New Roman" w:hAnsi="Times New Roman" w:cs="Times New Roman"/>
          <w:color w:val="212121"/>
          <w:sz w:val="24"/>
          <w:szCs w:val="24"/>
          <w:lang w:val="pt-PT"/>
        </w:rPr>
      </w:pPr>
      <w:r w:rsidRPr="00CB0AED">
        <w:rPr>
          <w:rFonts w:ascii="Times New Roman" w:hAnsi="Times New Roman" w:cs="Times New Roman"/>
          <w:color w:val="212121"/>
          <w:sz w:val="24"/>
          <w:szCs w:val="24"/>
          <w:lang w:val="pt-PT"/>
        </w:rPr>
        <w:t xml:space="preserve">Tornou-se </w:t>
      </w:r>
      <w:r>
        <w:rPr>
          <w:rFonts w:ascii="Times New Roman" w:hAnsi="Times New Roman" w:cs="Times New Roman"/>
          <w:color w:val="212121"/>
          <w:sz w:val="24"/>
          <w:szCs w:val="24"/>
          <w:lang w:val="pt-PT"/>
        </w:rPr>
        <w:t xml:space="preserve">também </w:t>
      </w:r>
      <w:r w:rsidRPr="00CB0AED">
        <w:rPr>
          <w:rFonts w:ascii="Times New Roman" w:hAnsi="Times New Roman" w:cs="Times New Roman"/>
          <w:color w:val="212121"/>
          <w:sz w:val="24"/>
          <w:szCs w:val="24"/>
          <w:lang w:val="pt-PT"/>
        </w:rPr>
        <w:t>considerável</w:t>
      </w:r>
      <w:r>
        <w:rPr>
          <w:rFonts w:ascii="Times New Roman" w:hAnsi="Times New Roman" w:cs="Times New Roman"/>
          <w:color w:val="212121"/>
          <w:sz w:val="24"/>
          <w:szCs w:val="24"/>
          <w:lang w:val="pt-PT"/>
        </w:rPr>
        <w:t xml:space="preserve"> nesse período</w:t>
      </w:r>
      <w:r w:rsidRPr="00CB0AED">
        <w:rPr>
          <w:rFonts w:ascii="Times New Roman" w:hAnsi="Times New Roman" w:cs="Times New Roman"/>
          <w:color w:val="212121"/>
          <w:sz w:val="24"/>
          <w:szCs w:val="24"/>
          <w:lang w:val="pt-PT"/>
        </w:rPr>
        <w:t xml:space="preserve"> o volume de riquezas trazidos pelos imigrantes americanos para o oeste canadense tanto no que diz respeito a equipamentos </w:t>
      </w:r>
      <w:r w:rsidR="001B1030">
        <w:rPr>
          <w:rFonts w:ascii="Times New Roman" w:hAnsi="Times New Roman" w:cs="Times New Roman"/>
          <w:color w:val="212121"/>
          <w:sz w:val="24"/>
          <w:szCs w:val="24"/>
          <w:lang w:val="pt-PT"/>
        </w:rPr>
        <w:t>como a</w:t>
      </w:r>
      <w:r w:rsidRPr="00CB0AED">
        <w:rPr>
          <w:rFonts w:ascii="Times New Roman" w:hAnsi="Times New Roman" w:cs="Times New Roman"/>
          <w:color w:val="212121"/>
          <w:sz w:val="24"/>
          <w:szCs w:val="24"/>
          <w:lang w:val="pt-PT"/>
        </w:rPr>
        <w:t xml:space="preserve"> recursos financeiros</w:t>
      </w:r>
      <w:r>
        <w:rPr>
          <w:rFonts w:ascii="Times New Roman" w:hAnsi="Times New Roman" w:cs="Times New Roman"/>
          <w:color w:val="212121"/>
          <w:sz w:val="24"/>
          <w:szCs w:val="24"/>
          <w:lang w:val="pt-PT"/>
        </w:rPr>
        <w:t xml:space="preserve"> propriamente dito</w:t>
      </w:r>
      <w:r w:rsidR="000165E9">
        <w:rPr>
          <w:rFonts w:ascii="Times New Roman" w:hAnsi="Times New Roman" w:cs="Times New Roman"/>
          <w:color w:val="212121"/>
          <w:sz w:val="24"/>
          <w:szCs w:val="24"/>
          <w:lang w:val="pt-PT"/>
        </w:rPr>
        <w:t>s</w:t>
      </w:r>
      <w:r w:rsidR="001B1030">
        <w:rPr>
          <w:rFonts w:ascii="Times New Roman" w:hAnsi="Times New Roman" w:cs="Times New Roman"/>
          <w:color w:val="212121"/>
          <w:sz w:val="24"/>
          <w:szCs w:val="24"/>
          <w:lang w:val="pt-PT"/>
        </w:rPr>
        <w:t>,</w:t>
      </w:r>
      <w:r w:rsidRPr="00CB0AED">
        <w:rPr>
          <w:rFonts w:ascii="Times New Roman" w:hAnsi="Times New Roman" w:cs="Times New Roman"/>
          <w:color w:val="212121"/>
          <w:sz w:val="24"/>
          <w:szCs w:val="24"/>
          <w:lang w:val="pt-PT"/>
        </w:rPr>
        <w:t xml:space="preserve"> </w:t>
      </w:r>
      <w:r w:rsidR="001B1030">
        <w:rPr>
          <w:rFonts w:ascii="Times New Roman" w:hAnsi="Times New Roman" w:cs="Times New Roman"/>
          <w:color w:val="212121"/>
          <w:sz w:val="24"/>
          <w:szCs w:val="24"/>
          <w:lang w:val="pt-PT"/>
        </w:rPr>
        <w:t>segundo</w:t>
      </w:r>
      <w:r w:rsidRPr="00CB0AED">
        <w:rPr>
          <w:rFonts w:ascii="Times New Roman" w:hAnsi="Times New Roman" w:cs="Times New Roman"/>
          <w:color w:val="212121"/>
          <w:sz w:val="24"/>
          <w:szCs w:val="24"/>
          <w:lang w:val="pt-PT"/>
        </w:rPr>
        <w:t xml:space="preserve"> Sharp:</w:t>
      </w:r>
    </w:p>
    <w:p w:rsidR="00054043" w:rsidRPr="00F80F5B" w:rsidRDefault="00054043" w:rsidP="0048231B">
      <w:pPr>
        <w:pStyle w:val="Pr-formataoHTML"/>
        <w:shd w:val="clear" w:color="auto" w:fill="FFFFFF"/>
        <w:ind w:left="2268"/>
        <w:jc w:val="both"/>
        <w:rPr>
          <w:rFonts w:ascii="Times New Roman" w:hAnsi="Times New Roman" w:cs="Times New Roman"/>
          <w:color w:val="212121"/>
          <w:sz w:val="22"/>
          <w:szCs w:val="22"/>
          <w:lang w:val="pt-PT"/>
        </w:rPr>
      </w:pPr>
      <w:r w:rsidRPr="00F80F5B">
        <w:rPr>
          <w:rFonts w:ascii="Times New Roman" w:hAnsi="Times New Roman" w:cs="Times New Roman"/>
          <w:color w:val="212121"/>
          <w:sz w:val="22"/>
          <w:szCs w:val="22"/>
          <w:lang w:val="pt-PT"/>
        </w:rPr>
        <w:t>E</w:t>
      </w:r>
      <w:r w:rsidR="001B1030" w:rsidRPr="00F80F5B">
        <w:rPr>
          <w:rFonts w:ascii="Times New Roman" w:hAnsi="Times New Roman" w:cs="Times New Roman"/>
          <w:color w:val="212121"/>
          <w:sz w:val="22"/>
          <w:szCs w:val="22"/>
          <w:lang w:val="pt-PT"/>
        </w:rPr>
        <w:t>ntre</w:t>
      </w:r>
      <w:r w:rsidRPr="00F80F5B">
        <w:rPr>
          <w:rFonts w:ascii="Times New Roman" w:hAnsi="Times New Roman" w:cs="Times New Roman"/>
          <w:color w:val="212121"/>
          <w:sz w:val="22"/>
          <w:szCs w:val="22"/>
          <w:lang w:val="pt-PT"/>
        </w:rPr>
        <w:t xml:space="preserve"> 1908 e 1909, por exemplo, funcionários da imigração estimaram que os americanos trouxeram com eles equipamentos e dinheiro avaliados em C$ 52.000.000 e C$ 60.000.000. Mesmo em 1916, quando o movimento se desacelerou por causa da guerra, mais de um milhão de dólares de ativos de imigrantes passaram pelo único porto de entrada em North Portal, Saskatchewan. As estimativas da riqueza drenada dos Estados Unidos para o Canadá durante esses anos variam amplamente, mas o total provavelmente se aproxima de trezentos milhões de dólares (SHARP, </w:t>
      </w:r>
      <w:r w:rsidR="00E9479B" w:rsidRPr="00F80F5B">
        <w:rPr>
          <w:rFonts w:ascii="Times New Roman" w:hAnsi="Times New Roman" w:cs="Times New Roman"/>
          <w:color w:val="212121"/>
          <w:sz w:val="22"/>
          <w:szCs w:val="22"/>
          <w:lang w:val="pt-PT"/>
        </w:rPr>
        <w:t>19</w:t>
      </w:r>
      <w:r w:rsidR="00DC0CF8" w:rsidRPr="00F80F5B">
        <w:rPr>
          <w:rFonts w:ascii="Times New Roman" w:hAnsi="Times New Roman" w:cs="Times New Roman"/>
          <w:color w:val="212121"/>
          <w:sz w:val="22"/>
          <w:szCs w:val="22"/>
          <w:lang w:val="pt-PT"/>
        </w:rPr>
        <w:t>50</w:t>
      </w:r>
      <w:r w:rsidR="00E9479B" w:rsidRPr="00F80F5B">
        <w:rPr>
          <w:rFonts w:ascii="Times New Roman" w:hAnsi="Times New Roman" w:cs="Times New Roman"/>
          <w:color w:val="212121"/>
          <w:sz w:val="22"/>
          <w:szCs w:val="22"/>
          <w:lang w:val="pt-PT"/>
        </w:rPr>
        <w:t xml:space="preserve">, </w:t>
      </w:r>
      <w:r w:rsidRPr="00F80F5B">
        <w:rPr>
          <w:rFonts w:ascii="Times New Roman" w:hAnsi="Times New Roman" w:cs="Times New Roman"/>
          <w:color w:val="212121"/>
          <w:sz w:val="22"/>
          <w:szCs w:val="22"/>
          <w:lang w:val="pt-PT"/>
        </w:rPr>
        <w:t>p.297</w:t>
      </w:r>
      <w:r w:rsidR="001B1030" w:rsidRPr="00F80F5B">
        <w:rPr>
          <w:rFonts w:ascii="Times New Roman" w:hAnsi="Times New Roman" w:cs="Times New Roman"/>
          <w:color w:val="212121"/>
          <w:sz w:val="22"/>
          <w:szCs w:val="22"/>
          <w:lang w:val="pt-PT"/>
        </w:rPr>
        <w:t>, tradução nossa</w:t>
      </w:r>
      <w:r w:rsidRPr="00F80F5B">
        <w:rPr>
          <w:rFonts w:ascii="Times New Roman" w:hAnsi="Times New Roman" w:cs="Times New Roman"/>
          <w:color w:val="212121"/>
          <w:sz w:val="22"/>
          <w:szCs w:val="22"/>
          <w:lang w:val="pt-PT"/>
        </w:rPr>
        <w:t>)</w:t>
      </w:r>
      <w:r w:rsidR="00E9479B" w:rsidRPr="00F80F5B">
        <w:rPr>
          <w:rFonts w:ascii="Times New Roman" w:hAnsi="Times New Roman" w:cs="Times New Roman"/>
          <w:color w:val="212121"/>
          <w:sz w:val="22"/>
          <w:szCs w:val="22"/>
          <w:lang w:val="pt-PT"/>
        </w:rPr>
        <w:t xml:space="preserve">. </w:t>
      </w:r>
    </w:p>
    <w:p w:rsidR="00990402" w:rsidRDefault="00FE0433" w:rsidP="00482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212121"/>
          <w:lang w:val="pt-PT"/>
        </w:rPr>
      </w:pPr>
      <w:r>
        <w:rPr>
          <w:rFonts w:ascii="Times New Roman" w:eastAsia="Times New Roman" w:hAnsi="Times New Roman" w:cs="Times New Roman"/>
          <w:color w:val="212121"/>
          <w:sz w:val="24"/>
          <w:szCs w:val="24"/>
          <w:lang w:val="pt-PT" w:eastAsia="pt-BR"/>
        </w:rPr>
        <w:t>Outro aspecto interessante desse período é que muitos imigrantes europeus começaram a ingressar no país via Estados Unidos, algo bastante raro de acontecer até os anos de 1880</w:t>
      </w:r>
      <w:r w:rsidR="00CC76C3">
        <w:rPr>
          <w:rFonts w:ascii="Times New Roman" w:eastAsia="Times New Roman" w:hAnsi="Times New Roman" w:cs="Times New Roman"/>
          <w:color w:val="212121"/>
          <w:sz w:val="24"/>
          <w:szCs w:val="24"/>
          <w:lang w:val="pt-PT" w:eastAsia="pt-BR"/>
        </w:rPr>
        <w:t xml:space="preserve"> quando preponderava </w:t>
      </w:r>
      <w:r w:rsidR="00ED5C87">
        <w:rPr>
          <w:rFonts w:ascii="Times New Roman" w:eastAsia="Times New Roman" w:hAnsi="Times New Roman" w:cs="Times New Roman"/>
          <w:color w:val="212121"/>
          <w:sz w:val="24"/>
          <w:szCs w:val="24"/>
          <w:lang w:val="pt-PT" w:eastAsia="pt-BR"/>
        </w:rPr>
        <w:t>justamente o movimento</w:t>
      </w:r>
      <w:r w:rsidR="00CC76C3">
        <w:rPr>
          <w:rFonts w:ascii="Times New Roman" w:eastAsia="Times New Roman" w:hAnsi="Times New Roman" w:cs="Times New Roman"/>
          <w:color w:val="212121"/>
          <w:sz w:val="24"/>
          <w:szCs w:val="24"/>
          <w:lang w:val="pt-PT" w:eastAsia="pt-BR"/>
        </w:rPr>
        <w:t xml:space="preserve"> contrário</w:t>
      </w:r>
      <w:r>
        <w:rPr>
          <w:rFonts w:ascii="Times New Roman" w:eastAsia="Times New Roman" w:hAnsi="Times New Roman" w:cs="Times New Roman"/>
          <w:color w:val="212121"/>
          <w:sz w:val="24"/>
          <w:szCs w:val="24"/>
          <w:lang w:val="pt-PT" w:eastAsia="pt-BR"/>
        </w:rPr>
        <w:t>. Isso ocorria</w:t>
      </w:r>
      <w:r w:rsidR="00CC76C3">
        <w:rPr>
          <w:rFonts w:ascii="Times New Roman" w:eastAsia="Times New Roman" w:hAnsi="Times New Roman" w:cs="Times New Roman"/>
          <w:color w:val="212121"/>
          <w:sz w:val="24"/>
          <w:szCs w:val="24"/>
          <w:lang w:val="pt-PT" w:eastAsia="pt-BR"/>
        </w:rPr>
        <w:t xml:space="preserve"> </w:t>
      </w:r>
      <w:r w:rsidR="0043457E">
        <w:rPr>
          <w:rFonts w:ascii="Times New Roman" w:eastAsia="Times New Roman" w:hAnsi="Times New Roman" w:cs="Times New Roman"/>
          <w:color w:val="212121"/>
          <w:sz w:val="24"/>
          <w:szCs w:val="24"/>
          <w:lang w:val="pt-PT" w:eastAsia="pt-BR"/>
        </w:rPr>
        <w:t>em parte pelas oportunidades</w:t>
      </w:r>
      <w:r w:rsidR="009D694C">
        <w:rPr>
          <w:rFonts w:ascii="Times New Roman" w:eastAsia="Times New Roman" w:hAnsi="Times New Roman" w:cs="Times New Roman"/>
          <w:color w:val="212121"/>
          <w:sz w:val="24"/>
          <w:szCs w:val="24"/>
          <w:lang w:val="pt-PT" w:eastAsia="pt-BR"/>
        </w:rPr>
        <w:t xml:space="preserve"> econômicas</w:t>
      </w:r>
      <w:r w:rsidR="0043457E">
        <w:rPr>
          <w:rFonts w:ascii="Times New Roman" w:eastAsia="Times New Roman" w:hAnsi="Times New Roman" w:cs="Times New Roman"/>
          <w:color w:val="212121"/>
          <w:sz w:val="24"/>
          <w:szCs w:val="24"/>
          <w:lang w:val="pt-PT" w:eastAsia="pt-BR"/>
        </w:rPr>
        <w:t xml:space="preserve"> existentes no </w:t>
      </w:r>
      <w:r w:rsidR="0043457E">
        <w:rPr>
          <w:rFonts w:ascii="Times New Roman" w:eastAsia="Times New Roman" w:hAnsi="Times New Roman" w:cs="Times New Roman"/>
          <w:color w:val="212121"/>
          <w:sz w:val="24"/>
          <w:szCs w:val="24"/>
          <w:lang w:val="pt-PT" w:eastAsia="pt-BR"/>
        </w:rPr>
        <w:lastRenderedPageBreak/>
        <w:t>oeste canadense que já não se verificavam</w:t>
      </w:r>
      <w:r w:rsidR="00B15744">
        <w:rPr>
          <w:rFonts w:ascii="Times New Roman" w:eastAsia="Times New Roman" w:hAnsi="Times New Roman" w:cs="Times New Roman"/>
          <w:color w:val="212121"/>
          <w:sz w:val="24"/>
          <w:szCs w:val="24"/>
          <w:lang w:val="pt-PT" w:eastAsia="pt-BR"/>
        </w:rPr>
        <w:t xml:space="preserve"> mais</w:t>
      </w:r>
      <w:r w:rsidR="0043457E">
        <w:rPr>
          <w:rFonts w:ascii="Times New Roman" w:eastAsia="Times New Roman" w:hAnsi="Times New Roman" w:cs="Times New Roman"/>
          <w:color w:val="212121"/>
          <w:sz w:val="24"/>
          <w:szCs w:val="24"/>
          <w:lang w:val="pt-PT" w:eastAsia="pt-BR"/>
        </w:rPr>
        <w:t xml:space="preserve"> no oeste</w:t>
      </w:r>
      <w:r w:rsidR="00CC76C3">
        <w:rPr>
          <w:rFonts w:ascii="Times New Roman" w:eastAsia="Times New Roman" w:hAnsi="Times New Roman" w:cs="Times New Roman"/>
          <w:color w:val="212121"/>
          <w:sz w:val="24"/>
          <w:szCs w:val="24"/>
          <w:lang w:val="pt-PT" w:eastAsia="pt-BR"/>
        </w:rPr>
        <w:t xml:space="preserve"> americano</w:t>
      </w:r>
      <w:r w:rsidR="00B675C9">
        <w:rPr>
          <w:rFonts w:ascii="Times New Roman" w:eastAsia="Times New Roman" w:hAnsi="Times New Roman" w:cs="Times New Roman"/>
          <w:color w:val="212121"/>
          <w:sz w:val="24"/>
          <w:szCs w:val="24"/>
          <w:lang w:val="pt-PT" w:eastAsia="pt-BR"/>
        </w:rPr>
        <w:t xml:space="preserve"> e a</w:t>
      </w:r>
      <w:r w:rsidR="00DF6D60" w:rsidRPr="008F5432">
        <w:rPr>
          <w:rFonts w:ascii="Times New Roman" w:hAnsi="Times New Roman" w:cs="Times New Roman"/>
          <w:color w:val="212121"/>
          <w:sz w:val="24"/>
          <w:szCs w:val="24"/>
          <w:lang w:val="pt-PT"/>
        </w:rPr>
        <w:t>o fortalecimento da concentração econômica e do poder das grandes corporações nos Estados Unidos nesse período</w:t>
      </w:r>
      <w:r w:rsidR="00DF6D60">
        <w:rPr>
          <w:rFonts w:ascii="Times New Roman" w:hAnsi="Times New Roman" w:cs="Times New Roman"/>
          <w:color w:val="212121"/>
          <w:sz w:val="24"/>
          <w:szCs w:val="24"/>
          <w:lang w:val="pt-PT"/>
        </w:rPr>
        <w:t xml:space="preserve"> o que acabava por</w:t>
      </w:r>
      <w:r w:rsidR="00DF6D60" w:rsidRPr="008F5432">
        <w:rPr>
          <w:rFonts w:ascii="Times New Roman" w:hAnsi="Times New Roman" w:cs="Times New Roman"/>
          <w:color w:val="212121"/>
          <w:sz w:val="24"/>
          <w:szCs w:val="24"/>
          <w:lang w:val="pt-PT"/>
        </w:rPr>
        <w:t xml:space="preserve"> frustra</w:t>
      </w:r>
      <w:r w:rsidR="00DF6D60">
        <w:rPr>
          <w:rFonts w:ascii="Times New Roman" w:hAnsi="Times New Roman" w:cs="Times New Roman"/>
          <w:color w:val="212121"/>
          <w:sz w:val="24"/>
          <w:szCs w:val="24"/>
          <w:lang w:val="pt-PT"/>
        </w:rPr>
        <w:t>r</w:t>
      </w:r>
      <w:r w:rsidR="00DF6D60" w:rsidRPr="008F5432">
        <w:rPr>
          <w:rFonts w:ascii="Times New Roman" w:hAnsi="Times New Roman" w:cs="Times New Roman"/>
          <w:color w:val="212121"/>
          <w:sz w:val="24"/>
          <w:szCs w:val="24"/>
          <w:lang w:val="pt-PT"/>
        </w:rPr>
        <w:t xml:space="preserve"> as ambições de muitos residentes que não encontravam as oportunidades imaginadas </w:t>
      </w:r>
      <w:r w:rsidR="00DF6D60">
        <w:rPr>
          <w:rFonts w:ascii="Times New Roman" w:hAnsi="Times New Roman" w:cs="Times New Roman"/>
          <w:color w:val="212121"/>
          <w:sz w:val="24"/>
          <w:szCs w:val="24"/>
          <w:lang w:val="pt-PT"/>
        </w:rPr>
        <w:t>naquele país</w:t>
      </w:r>
      <w:r w:rsidR="00C83652">
        <w:rPr>
          <w:rFonts w:ascii="Times New Roman" w:hAnsi="Times New Roman" w:cs="Times New Roman"/>
          <w:color w:val="212121"/>
          <w:sz w:val="24"/>
          <w:szCs w:val="24"/>
          <w:lang w:val="pt-PT"/>
        </w:rPr>
        <w:t xml:space="preserve"> (</w:t>
      </w:r>
      <w:r w:rsidR="00BC6F11">
        <w:rPr>
          <w:rFonts w:ascii="Times New Roman" w:hAnsi="Times New Roman" w:cs="Times New Roman"/>
          <w:color w:val="212121"/>
          <w:sz w:val="24"/>
          <w:szCs w:val="24"/>
          <w:lang w:val="pt-PT"/>
        </w:rPr>
        <w:t xml:space="preserve">SHARP, 1950, </w:t>
      </w:r>
      <w:r w:rsidR="00C83652">
        <w:rPr>
          <w:rFonts w:ascii="Times New Roman" w:hAnsi="Times New Roman" w:cs="Times New Roman"/>
          <w:color w:val="212121"/>
          <w:sz w:val="24"/>
          <w:szCs w:val="24"/>
          <w:lang w:val="pt-PT"/>
        </w:rPr>
        <w:t>p.290).</w:t>
      </w:r>
      <w:r w:rsidR="007B6ED0">
        <w:rPr>
          <w:rFonts w:ascii="Times New Roman" w:eastAsia="Times New Roman" w:hAnsi="Times New Roman" w:cs="Times New Roman"/>
          <w:color w:val="FF0000"/>
          <w:sz w:val="24"/>
          <w:szCs w:val="24"/>
          <w:lang w:val="pt-PT" w:eastAsia="pt-BR"/>
        </w:rPr>
        <w:t xml:space="preserve"> </w:t>
      </w:r>
      <w:r w:rsidR="00C752F5">
        <w:rPr>
          <w:rFonts w:ascii="Times New Roman" w:eastAsia="Times New Roman" w:hAnsi="Times New Roman" w:cs="Times New Roman"/>
          <w:color w:val="212121"/>
          <w:sz w:val="24"/>
          <w:szCs w:val="24"/>
          <w:lang w:val="pt-PT" w:eastAsia="pt-BR"/>
        </w:rPr>
        <w:t xml:space="preserve">Alguns relatos e dados sobre essa situação podem ser encontrados nos </w:t>
      </w:r>
      <w:r w:rsidR="00C752F5" w:rsidRPr="00B15744">
        <w:rPr>
          <w:rFonts w:ascii="Times New Roman" w:eastAsia="Times New Roman" w:hAnsi="Times New Roman" w:cs="Times New Roman"/>
          <w:i/>
          <w:color w:val="212121"/>
          <w:sz w:val="24"/>
          <w:szCs w:val="24"/>
          <w:lang w:val="pt-PT" w:eastAsia="pt-BR"/>
        </w:rPr>
        <w:t>Sessional Papers</w:t>
      </w:r>
      <w:r w:rsidR="00C752F5">
        <w:rPr>
          <w:rFonts w:ascii="Times New Roman" w:eastAsia="Times New Roman" w:hAnsi="Times New Roman" w:cs="Times New Roman"/>
          <w:color w:val="212121"/>
          <w:sz w:val="24"/>
          <w:szCs w:val="24"/>
          <w:lang w:val="pt-PT" w:eastAsia="pt-BR"/>
        </w:rPr>
        <w:t xml:space="preserve"> do Parlamento Canadense</w:t>
      </w:r>
      <w:r w:rsidR="00694DF5">
        <w:rPr>
          <w:rFonts w:ascii="Times New Roman" w:eastAsia="Times New Roman" w:hAnsi="Times New Roman" w:cs="Times New Roman"/>
          <w:color w:val="212121"/>
          <w:sz w:val="24"/>
          <w:szCs w:val="24"/>
          <w:lang w:val="pt-PT" w:eastAsia="pt-BR"/>
        </w:rPr>
        <w:t xml:space="preserve">. No ano de 1903, por exemplo, dos 12.367 imigrantes alemães, mais de 6.700 teriam entrado no Canadá via Estados Unidos, representando aproximadamente 54% dos imigrantes, enquanto </w:t>
      </w:r>
      <w:r w:rsidR="00B15744">
        <w:rPr>
          <w:rFonts w:ascii="Times New Roman" w:eastAsia="Times New Roman" w:hAnsi="Times New Roman" w:cs="Times New Roman"/>
          <w:color w:val="212121"/>
          <w:sz w:val="24"/>
          <w:szCs w:val="24"/>
          <w:lang w:val="pt-PT" w:eastAsia="pt-BR"/>
        </w:rPr>
        <w:t xml:space="preserve">que </w:t>
      </w:r>
      <w:r w:rsidR="00694DF5">
        <w:rPr>
          <w:rFonts w:ascii="Times New Roman" w:eastAsia="Times New Roman" w:hAnsi="Times New Roman" w:cs="Times New Roman"/>
          <w:color w:val="212121"/>
          <w:sz w:val="24"/>
          <w:szCs w:val="24"/>
          <w:lang w:val="pt-PT" w:eastAsia="pt-BR"/>
        </w:rPr>
        <w:t xml:space="preserve">entre os </w:t>
      </w:r>
      <w:r w:rsidR="00B15744">
        <w:rPr>
          <w:rFonts w:ascii="Times New Roman" w:eastAsia="Times New Roman" w:hAnsi="Times New Roman" w:cs="Times New Roman"/>
          <w:color w:val="212121"/>
          <w:sz w:val="24"/>
          <w:szCs w:val="24"/>
          <w:lang w:val="pt-PT" w:eastAsia="pt-BR"/>
        </w:rPr>
        <w:t xml:space="preserve">1.218 </w:t>
      </w:r>
      <w:r w:rsidR="00694DF5">
        <w:rPr>
          <w:rFonts w:ascii="Times New Roman" w:eastAsia="Times New Roman" w:hAnsi="Times New Roman" w:cs="Times New Roman"/>
          <w:color w:val="212121"/>
          <w:sz w:val="24"/>
          <w:szCs w:val="24"/>
          <w:lang w:val="pt-PT" w:eastAsia="pt-BR"/>
        </w:rPr>
        <w:t>imigrantes provenientes da Islândia que entraram no Canadá naquele ano</w:t>
      </w:r>
      <w:r w:rsidR="00BC653A">
        <w:rPr>
          <w:rFonts w:ascii="Times New Roman" w:eastAsia="Times New Roman" w:hAnsi="Times New Roman" w:cs="Times New Roman"/>
          <w:color w:val="212121"/>
          <w:sz w:val="24"/>
          <w:szCs w:val="24"/>
          <w:lang w:val="pt-PT" w:eastAsia="pt-BR"/>
        </w:rPr>
        <w:t xml:space="preserve">, </w:t>
      </w:r>
      <w:r w:rsidR="001E216B">
        <w:rPr>
          <w:rFonts w:ascii="Times New Roman" w:eastAsia="Times New Roman" w:hAnsi="Times New Roman" w:cs="Times New Roman"/>
          <w:color w:val="212121"/>
          <w:sz w:val="24"/>
          <w:szCs w:val="24"/>
          <w:lang w:val="pt-PT" w:eastAsia="pt-BR"/>
        </w:rPr>
        <w:t xml:space="preserve">aproximadamente </w:t>
      </w:r>
      <w:r w:rsidR="00BC653A">
        <w:rPr>
          <w:rFonts w:ascii="Times New Roman" w:eastAsia="Times New Roman" w:hAnsi="Times New Roman" w:cs="Times New Roman"/>
          <w:color w:val="212121"/>
          <w:sz w:val="24"/>
          <w:szCs w:val="24"/>
          <w:lang w:val="pt-PT" w:eastAsia="pt-BR"/>
        </w:rPr>
        <w:t>41% o fizeram via Estados Unidos (SESSIONAL PAPERS, 1904, p.97-99).</w:t>
      </w:r>
      <w:r w:rsidR="00C410E1">
        <w:rPr>
          <w:rFonts w:ascii="Times New Roman" w:hAnsi="Times New Roman" w:cs="Times New Roman"/>
          <w:color w:val="212121"/>
          <w:lang w:val="pt-PT"/>
        </w:rPr>
        <w:t xml:space="preserve"> </w:t>
      </w:r>
      <w:r w:rsidR="00DC0CF8">
        <w:rPr>
          <w:rFonts w:ascii="Times New Roman" w:hAnsi="Times New Roman" w:cs="Times New Roman"/>
          <w:color w:val="212121"/>
          <w:lang w:val="pt-PT"/>
        </w:rPr>
        <w:t xml:space="preserve">Já </w:t>
      </w:r>
      <w:r w:rsidR="00DC0CF8">
        <w:rPr>
          <w:rFonts w:ascii="Times New Roman" w:eastAsia="Times New Roman" w:hAnsi="Times New Roman" w:cs="Times New Roman"/>
          <w:color w:val="212121"/>
          <w:sz w:val="24"/>
          <w:szCs w:val="24"/>
          <w:lang w:val="pt-PT" w:eastAsia="pt-BR"/>
        </w:rPr>
        <w:t>Sharp (1950, p. 287) estima que cerca de um terço dos imigrantes originários dos Estados Unidos não eram nem estadunidenses e nem tinham solicitado a nacionalidade daquele país quando cruzaram a fronteira rumo ao Canadá</w:t>
      </w:r>
      <w:r w:rsidR="00E125D4">
        <w:rPr>
          <w:rFonts w:ascii="Times New Roman" w:eastAsia="Times New Roman" w:hAnsi="Times New Roman" w:cs="Times New Roman"/>
          <w:color w:val="212121"/>
          <w:sz w:val="24"/>
          <w:szCs w:val="24"/>
          <w:lang w:val="pt-PT" w:eastAsia="pt-BR"/>
        </w:rPr>
        <w:t>.</w:t>
      </w:r>
    </w:p>
    <w:p w:rsidR="00BE4307" w:rsidRPr="0042656C" w:rsidRDefault="000D6808" w:rsidP="00482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212121"/>
          <w:sz w:val="24"/>
          <w:szCs w:val="24"/>
          <w:lang w:val="pt-PT"/>
        </w:rPr>
      </w:pPr>
      <w:r w:rsidRPr="0042656C">
        <w:rPr>
          <w:rFonts w:ascii="Times New Roman" w:hAnsi="Times New Roman" w:cs="Times New Roman"/>
          <w:color w:val="212121"/>
          <w:sz w:val="24"/>
          <w:szCs w:val="24"/>
          <w:lang w:val="pt-PT"/>
        </w:rPr>
        <w:t>No que se refere aos imigrantes que vinham do continente europeu, também ocorre</w:t>
      </w:r>
      <w:r w:rsidR="00B15744">
        <w:rPr>
          <w:rFonts w:ascii="Times New Roman" w:hAnsi="Times New Roman" w:cs="Times New Roman"/>
          <w:color w:val="212121"/>
          <w:sz w:val="24"/>
          <w:szCs w:val="24"/>
          <w:lang w:val="pt-PT"/>
        </w:rPr>
        <w:t>u</w:t>
      </w:r>
      <w:r w:rsidRPr="0042656C">
        <w:rPr>
          <w:rFonts w:ascii="Times New Roman" w:hAnsi="Times New Roman" w:cs="Times New Roman"/>
          <w:color w:val="212121"/>
          <w:sz w:val="24"/>
          <w:szCs w:val="24"/>
          <w:lang w:val="pt-PT"/>
        </w:rPr>
        <w:t xml:space="preserve"> um intenso fluxo migratório no início do século XX.</w:t>
      </w:r>
      <w:r w:rsidR="00AE575F" w:rsidRPr="0042656C">
        <w:rPr>
          <w:rFonts w:ascii="Times New Roman" w:hAnsi="Times New Roman" w:cs="Times New Roman"/>
          <w:color w:val="212121"/>
          <w:sz w:val="24"/>
          <w:szCs w:val="24"/>
          <w:lang w:val="pt-PT"/>
        </w:rPr>
        <w:t xml:space="preserve"> Os dados disponíveis</w:t>
      </w:r>
      <w:r w:rsidR="00EA1794" w:rsidRPr="0042656C">
        <w:rPr>
          <w:rFonts w:ascii="Times New Roman" w:hAnsi="Times New Roman" w:cs="Times New Roman"/>
          <w:color w:val="212121"/>
          <w:sz w:val="24"/>
          <w:szCs w:val="24"/>
          <w:lang w:val="pt-PT"/>
        </w:rPr>
        <w:t xml:space="preserve"> referem-se </w:t>
      </w:r>
      <w:r w:rsidR="00B15744">
        <w:rPr>
          <w:rFonts w:ascii="Times New Roman" w:hAnsi="Times New Roman" w:cs="Times New Roman"/>
          <w:color w:val="212121"/>
          <w:sz w:val="24"/>
          <w:szCs w:val="24"/>
          <w:lang w:val="pt-PT"/>
        </w:rPr>
        <w:t>à</w:t>
      </w:r>
      <w:r w:rsidR="0083570C" w:rsidRPr="0042656C">
        <w:rPr>
          <w:rFonts w:ascii="Times New Roman" w:hAnsi="Times New Roman" w:cs="Times New Roman"/>
          <w:color w:val="212121"/>
          <w:sz w:val="24"/>
          <w:szCs w:val="24"/>
          <w:lang w:val="pt-PT"/>
        </w:rPr>
        <w:t xml:space="preserve"> nacionalidade</w:t>
      </w:r>
      <w:r w:rsidR="00FD232E" w:rsidRPr="0042656C">
        <w:rPr>
          <w:rFonts w:ascii="Times New Roman" w:hAnsi="Times New Roman" w:cs="Times New Roman"/>
          <w:color w:val="212121"/>
          <w:sz w:val="24"/>
          <w:szCs w:val="24"/>
          <w:lang w:val="pt-PT"/>
        </w:rPr>
        <w:t xml:space="preserve"> </w:t>
      </w:r>
      <w:r w:rsidR="00EA1794" w:rsidRPr="0042656C">
        <w:rPr>
          <w:rFonts w:ascii="Times New Roman" w:hAnsi="Times New Roman" w:cs="Times New Roman"/>
          <w:color w:val="212121"/>
          <w:sz w:val="24"/>
          <w:szCs w:val="24"/>
          <w:lang w:val="pt-PT"/>
        </w:rPr>
        <w:t>dos imigrantes e não necessariamente ao seu último local de residência, mas fornecem em boa medida a dimensão desse fluxo migratório.</w:t>
      </w:r>
      <w:r w:rsidRPr="0042656C">
        <w:rPr>
          <w:rFonts w:ascii="Times New Roman" w:hAnsi="Times New Roman" w:cs="Times New Roman"/>
          <w:color w:val="212121"/>
          <w:sz w:val="24"/>
          <w:szCs w:val="24"/>
          <w:lang w:val="pt-PT"/>
        </w:rPr>
        <w:t xml:space="preserve"> Entre 1901 e 191</w:t>
      </w:r>
      <w:r w:rsidR="009B2F97" w:rsidRPr="0042656C">
        <w:rPr>
          <w:rFonts w:ascii="Times New Roman" w:hAnsi="Times New Roman" w:cs="Times New Roman"/>
          <w:color w:val="212121"/>
          <w:sz w:val="24"/>
          <w:szCs w:val="24"/>
          <w:lang w:val="pt-PT"/>
        </w:rPr>
        <w:t>3</w:t>
      </w:r>
      <w:r w:rsidRPr="0042656C">
        <w:rPr>
          <w:rFonts w:ascii="Times New Roman" w:hAnsi="Times New Roman" w:cs="Times New Roman"/>
          <w:color w:val="212121"/>
          <w:sz w:val="24"/>
          <w:szCs w:val="24"/>
          <w:lang w:val="pt-PT"/>
        </w:rPr>
        <w:t>, período de um</w:t>
      </w:r>
      <w:r w:rsidR="009B2F97" w:rsidRPr="0042656C">
        <w:rPr>
          <w:rFonts w:ascii="Times New Roman" w:hAnsi="Times New Roman" w:cs="Times New Roman"/>
          <w:color w:val="212121"/>
          <w:sz w:val="24"/>
          <w:szCs w:val="24"/>
          <w:lang w:val="pt-PT"/>
        </w:rPr>
        <w:t>a</w:t>
      </w:r>
      <w:r w:rsidRPr="0042656C">
        <w:rPr>
          <w:rFonts w:ascii="Times New Roman" w:hAnsi="Times New Roman" w:cs="Times New Roman"/>
          <w:color w:val="212121"/>
          <w:sz w:val="24"/>
          <w:szCs w:val="24"/>
          <w:lang w:val="pt-PT"/>
        </w:rPr>
        <w:t xml:space="preserve"> forte ond</w:t>
      </w:r>
      <w:r w:rsidR="009B2F97" w:rsidRPr="0042656C">
        <w:rPr>
          <w:rFonts w:ascii="Times New Roman" w:hAnsi="Times New Roman" w:cs="Times New Roman"/>
          <w:color w:val="212121"/>
          <w:sz w:val="24"/>
          <w:szCs w:val="24"/>
          <w:lang w:val="pt-PT"/>
        </w:rPr>
        <w:t>a</w:t>
      </w:r>
      <w:r w:rsidRPr="0042656C">
        <w:rPr>
          <w:rFonts w:ascii="Times New Roman" w:hAnsi="Times New Roman" w:cs="Times New Roman"/>
          <w:color w:val="212121"/>
          <w:sz w:val="24"/>
          <w:szCs w:val="24"/>
          <w:lang w:val="pt-PT"/>
        </w:rPr>
        <w:t xml:space="preserve"> migratória para o Canadá, o número de imigrantes britânic</w:t>
      </w:r>
      <w:r w:rsidR="00EA1794" w:rsidRPr="0042656C">
        <w:rPr>
          <w:rFonts w:ascii="Times New Roman" w:hAnsi="Times New Roman" w:cs="Times New Roman"/>
          <w:color w:val="212121"/>
          <w:sz w:val="24"/>
          <w:szCs w:val="24"/>
          <w:lang w:val="pt-PT"/>
        </w:rPr>
        <w:t>os (ingleses, escoc</w:t>
      </w:r>
      <w:r w:rsidR="00B15744">
        <w:rPr>
          <w:rFonts w:ascii="Times New Roman" w:hAnsi="Times New Roman" w:cs="Times New Roman"/>
          <w:color w:val="212121"/>
          <w:sz w:val="24"/>
          <w:szCs w:val="24"/>
          <w:lang w:val="pt-PT"/>
        </w:rPr>
        <w:t>e</w:t>
      </w:r>
      <w:r w:rsidR="00EA1794" w:rsidRPr="0042656C">
        <w:rPr>
          <w:rFonts w:ascii="Times New Roman" w:hAnsi="Times New Roman" w:cs="Times New Roman"/>
          <w:color w:val="212121"/>
          <w:sz w:val="24"/>
          <w:szCs w:val="24"/>
          <w:lang w:val="pt-PT"/>
        </w:rPr>
        <w:t>ses, irlandeses, galeses e outros)</w:t>
      </w:r>
      <w:r w:rsidR="009B2F97" w:rsidRPr="0042656C">
        <w:rPr>
          <w:rFonts w:ascii="Times New Roman" w:hAnsi="Times New Roman" w:cs="Times New Roman"/>
          <w:color w:val="212121"/>
          <w:sz w:val="24"/>
          <w:szCs w:val="24"/>
          <w:lang w:val="pt-PT"/>
        </w:rPr>
        <w:t xml:space="preserve"> atingiu 1,14 milh</w:t>
      </w:r>
      <w:r w:rsidR="00B15744">
        <w:rPr>
          <w:rFonts w:ascii="Times New Roman" w:hAnsi="Times New Roman" w:cs="Times New Roman"/>
          <w:color w:val="212121"/>
          <w:sz w:val="24"/>
          <w:szCs w:val="24"/>
          <w:lang w:val="pt-PT"/>
        </w:rPr>
        <w:t>ão</w:t>
      </w:r>
      <w:r w:rsidR="00EA1794" w:rsidRPr="0042656C">
        <w:rPr>
          <w:rFonts w:ascii="Times New Roman" w:hAnsi="Times New Roman" w:cs="Times New Roman"/>
          <w:color w:val="212121"/>
          <w:sz w:val="24"/>
          <w:szCs w:val="24"/>
          <w:lang w:val="pt-PT"/>
        </w:rPr>
        <w:t xml:space="preserve">, </w:t>
      </w:r>
      <w:r w:rsidR="0048306B" w:rsidRPr="0042656C">
        <w:rPr>
          <w:rFonts w:ascii="Times New Roman" w:hAnsi="Times New Roman" w:cs="Times New Roman"/>
          <w:color w:val="212121"/>
          <w:sz w:val="24"/>
          <w:szCs w:val="24"/>
          <w:lang w:val="pt-PT"/>
        </w:rPr>
        <w:t>os do N</w:t>
      </w:r>
      <w:r w:rsidR="00EA1794" w:rsidRPr="0042656C">
        <w:rPr>
          <w:rFonts w:ascii="Times New Roman" w:hAnsi="Times New Roman" w:cs="Times New Roman"/>
          <w:color w:val="212121"/>
          <w:sz w:val="24"/>
          <w:szCs w:val="24"/>
          <w:lang w:val="pt-PT"/>
        </w:rPr>
        <w:t xml:space="preserve">oroeste </w:t>
      </w:r>
      <w:r w:rsidR="0048306B" w:rsidRPr="0042656C">
        <w:rPr>
          <w:rFonts w:ascii="Times New Roman" w:hAnsi="Times New Roman" w:cs="Times New Roman"/>
          <w:color w:val="212121"/>
          <w:sz w:val="24"/>
          <w:szCs w:val="24"/>
          <w:lang w:val="pt-PT"/>
        </w:rPr>
        <w:t>E</w:t>
      </w:r>
      <w:r w:rsidR="00EA1794" w:rsidRPr="0042656C">
        <w:rPr>
          <w:rFonts w:ascii="Times New Roman" w:hAnsi="Times New Roman" w:cs="Times New Roman"/>
          <w:color w:val="212121"/>
          <w:sz w:val="24"/>
          <w:szCs w:val="24"/>
          <w:lang w:val="pt-PT"/>
        </w:rPr>
        <w:t xml:space="preserve">uropeu (franceses, belgas, holandeses e escandinavos) chegaram aos </w:t>
      </w:r>
      <w:r w:rsidR="0048306B" w:rsidRPr="0042656C">
        <w:rPr>
          <w:rFonts w:ascii="Times New Roman" w:hAnsi="Times New Roman" w:cs="Times New Roman"/>
          <w:color w:val="212121"/>
          <w:sz w:val="24"/>
          <w:szCs w:val="24"/>
          <w:lang w:val="pt-PT"/>
        </w:rPr>
        <w:t>102 mil</w:t>
      </w:r>
      <w:r w:rsidR="00B15744">
        <w:rPr>
          <w:rFonts w:ascii="Times New Roman" w:hAnsi="Times New Roman" w:cs="Times New Roman"/>
          <w:color w:val="212121"/>
          <w:sz w:val="24"/>
          <w:szCs w:val="24"/>
          <w:lang w:val="pt-PT"/>
        </w:rPr>
        <w:t>;</w:t>
      </w:r>
      <w:r w:rsidR="0048306B" w:rsidRPr="0042656C">
        <w:rPr>
          <w:rFonts w:ascii="Times New Roman" w:hAnsi="Times New Roman" w:cs="Times New Roman"/>
          <w:color w:val="212121"/>
          <w:sz w:val="24"/>
          <w:szCs w:val="24"/>
          <w:lang w:val="pt-PT"/>
        </w:rPr>
        <w:t xml:space="preserve"> da E</w:t>
      </w:r>
      <w:r w:rsidR="00395BB3" w:rsidRPr="0042656C">
        <w:rPr>
          <w:rFonts w:ascii="Times New Roman" w:hAnsi="Times New Roman" w:cs="Times New Roman"/>
          <w:color w:val="212121"/>
          <w:sz w:val="24"/>
          <w:szCs w:val="24"/>
          <w:lang w:val="pt-PT"/>
        </w:rPr>
        <w:t xml:space="preserve">uropa </w:t>
      </w:r>
      <w:r w:rsidR="0048306B" w:rsidRPr="0042656C">
        <w:rPr>
          <w:rFonts w:ascii="Times New Roman" w:hAnsi="Times New Roman" w:cs="Times New Roman"/>
          <w:color w:val="212121"/>
          <w:sz w:val="24"/>
          <w:szCs w:val="24"/>
          <w:lang w:val="pt-PT"/>
        </w:rPr>
        <w:t>C</w:t>
      </w:r>
      <w:r w:rsidR="00395BB3" w:rsidRPr="0042656C">
        <w:rPr>
          <w:rFonts w:ascii="Times New Roman" w:hAnsi="Times New Roman" w:cs="Times New Roman"/>
          <w:color w:val="212121"/>
          <w:sz w:val="24"/>
          <w:szCs w:val="24"/>
          <w:lang w:val="pt-PT"/>
        </w:rPr>
        <w:t>entral (</w:t>
      </w:r>
      <w:r w:rsidR="00A2494D" w:rsidRPr="0042656C">
        <w:rPr>
          <w:rFonts w:ascii="Times New Roman" w:hAnsi="Times New Roman" w:cs="Times New Roman"/>
          <w:color w:val="212121"/>
          <w:sz w:val="24"/>
          <w:szCs w:val="24"/>
          <w:lang w:val="pt-PT"/>
        </w:rPr>
        <w:t>alemães</w:t>
      </w:r>
      <w:r w:rsidR="00395BB3" w:rsidRPr="0042656C">
        <w:rPr>
          <w:rFonts w:ascii="Times New Roman" w:hAnsi="Times New Roman" w:cs="Times New Roman"/>
          <w:color w:val="212121"/>
          <w:sz w:val="24"/>
          <w:szCs w:val="24"/>
          <w:lang w:val="pt-PT"/>
        </w:rPr>
        <w:t xml:space="preserve">, </w:t>
      </w:r>
      <w:r w:rsidR="00A2494D" w:rsidRPr="0042656C">
        <w:rPr>
          <w:rFonts w:ascii="Times New Roman" w:hAnsi="Times New Roman" w:cs="Times New Roman"/>
          <w:color w:val="212121"/>
          <w:sz w:val="24"/>
          <w:szCs w:val="24"/>
          <w:lang w:val="pt-PT"/>
        </w:rPr>
        <w:t>austr</w:t>
      </w:r>
      <w:r w:rsidR="00B15744">
        <w:rPr>
          <w:rFonts w:ascii="Times New Roman" w:hAnsi="Times New Roman" w:cs="Times New Roman"/>
          <w:color w:val="212121"/>
          <w:sz w:val="24"/>
          <w:szCs w:val="24"/>
          <w:lang w:val="pt-PT"/>
        </w:rPr>
        <w:t>í</w:t>
      </w:r>
      <w:r w:rsidR="00A2494D" w:rsidRPr="0042656C">
        <w:rPr>
          <w:rFonts w:ascii="Times New Roman" w:hAnsi="Times New Roman" w:cs="Times New Roman"/>
          <w:color w:val="212121"/>
          <w:sz w:val="24"/>
          <w:szCs w:val="24"/>
          <w:lang w:val="pt-PT"/>
        </w:rPr>
        <w:t>acos</w:t>
      </w:r>
      <w:r w:rsidR="00395BB3" w:rsidRPr="0042656C">
        <w:rPr>
          <w:rFonts w:ascii="Times New Roman" w:hAnsi="Times New Roman" w:cs="Times New Roman"/>
          <w:color w:val="212121"/>
          <w:sz w:val="24"/>
          <w:szCs w:val="24"/>
          <w:lang w:val="pt-PT"/>
        </w:rPr>
        <w:t xml:space="preserve">, </w:t>
      </w:r>
      <w:r w:rsidR="00A2494D" w:rsidRPr="0042656C">
        <w:rPr>
          <w:rFonts w:ascii="Times New Roman" w:hAnsi="Times New Roman" w:cs="Times New Roman"/>
          <w:color w:val="212121"/>
          <w:sz w:val="24"/>
          <w:szCs w:val="24"/>
          <w:lang w:val="pt-PT"/>
        </w:rPr>
        <w:t>luxemburgueses</w:t>
      </w:r>
      <w:r w:rsidR="00395BB3" w:rsidRPr="0042656C">
        <w:rPr>
          <w:rFonts w:ascii="Times New Roman" w:hAnsi="Times New Roman" w:cs="Times New Roman"/>
          <w:color w:val="212121"/>
          <w:sz w:val="24"/>
          <w:szCs w:val="24"/>
          <w:lang w:val="pt-PT"/>
        </w:rPr>
        <w:t xml:space="preserve">, </w:t>
      </w:r>
      <w:r w:rsidR="00A2494D" w:rsidRPr="0042656C">
        <w:rPr>
          <w:rFonts w:ascii="Times New Roman" w:hAnsi="Times New Roman" w:cs="Times New Roman"/>
          <w:color w:val="212121"/>
          <w:sz w:val="24"/>
          <w:szCs w:val="24"/>
          <w:lang w:val="pt-PT"/>
        </w:rPr>
        <w:t>balc</w:t>
      </w:r>
      <w:r w:rsidR="00B15744">
        <w:rPr>
          <w:rFonts w:ascii="Times New Roman" w:hAnsi="Times New Roman" w:cs="Times New Roman"/>
          <w:color w:val="212121"/>
          <w:sz w:val="24"/>
          <w:szCs w:val="24"/>
          <w:lang w:val="pt-PT"/>
        </w:rPr>
        <w:t>â</w:t>
      </w:r>
      <w:r w:rsidR="00A2494D" w:rsidRPr="0042656C">
        <w:rPr>
          <w:rFonts w:ascii="Times New Roman" w:hAnsi="Times New Roman" w:cs="Times New Roman"/>
          <w:color w:val="212121"/>
          <w:sz w:val="24"/>
          <w:szCs w:val="24"/>
          <w:lang w:val="pt-PT"/>
        </w:rPr>
        <w:t>nicos</w:t>
      </w:r>
      <w:r w:rsidR="0048306B" w:rsidRPr="0042656C">
        <w:rPr>
          <w:rFonts w:ascii="Times New Roman" w:hAnsi="Times New Roman" w:cs="Times New Roman"/>
          <w:color w:val="212121"/>
          <w:sz w:val="24"/>
          <w:szCs w:val="24"/>
          <w:lang w:val="pt-PT"/>
        </w:rPr>
        <w:t xml:space="preserve">, </w:t>
      </w:r>
      <w:r w:rsidR="00A2494D" w:rsidRPr="0042656C">
        <w:rPr>
          <w:rFonts w:ascii="Times New Roman" w:hAnsi="Times New Roman" w:cs="Times New Roman"/>
          <w:color w:val="212121"/>
          <w:sz w:val="24"/>
          <w:szCs w:val="24"/>
          <w:lang w:val="pt-PT"/>
        </w:rPr>
        <w:t>checos, eslovacos</w:t>
      </w:r>
      <w:r w:rsidR="0048306B" w:rsidRPr="0042656C">
        <w:rPr>
          <w:rFonts w:ascii="Times New Roman" w:hAnsi="Times New Roman" w:cs="Times New Roman"/>
          <w:color w:val="212121"/>
          <w:sz w:val="24"/>
          <w:szCs w:val="24"/>
          <w:lang w:val="pt-PT"/>
        </w:rPr>
        <w:t xml:space="preserve"> e </w:t>
      </w:r>
      <w:r w:rsidR="00A2494D" w:rsidRPr="0042656C">
        <w:rPr>
          <w:rFonts w:ascii="Times New Roman" w:hAnsi="Times New Roman" w:cs="Times New Roman"/>
          <w:color w:val="212121"/>
          <w:sz w:val="24"/>
          <w:szCs w:val="24"/>
          <w:lang w:val="pt-PT"/>
        </w:rPr>
        <w:t>su</w:t>
      </w:r>
      <w:r w:rsidR="00B15744">
        <w:rPr>
          <w:rFonts w:ascii="Times New Roman" w:hAnsi="Times New Roman" w:cs="Times New Roman"/>
          <w:color w:val="212121"/>
          <w:sz w:val="24"/>
          <w:szCs w:val="24"/>
          <w:lang w:val="pt-PT"/>
        </w:rPr>
        <w:t>í</w:t>
      </w:r>
      <w:r w:rsidR="00A2494D" w:rsidRPr="0042656C">
        <w:rPr>
          <w:rFonts w:ascii="Times New Roman" w:hAnsi="Times New Roman" w:cs="Times New Roman"/>
          <w:color w:val="212121"/>
          <w:sz w:val="24"/>
          <w:szCs w:val="24"/>
          <w:lang w:val="pt-PT"/>
        </w:rPr>
        <w:t>ços</w:t>
      </w:r>
      <w:r w:rsidR="0048306B" w:rsidRPr="0042656C">
        <w:rPr>
          <w:rFonts w:ascii="Times New Roman" w:hAnsi="Times New Roman" w:cs="Times New Roman"/>
          <w:color w:val="212121"/>
          <w:sz w:val="24"/>
          <w:szCs w:val="24"/>
          <w:lang w:val="pt-PT"/>
        </w:rPr>
        <w:t>)</w:t>
      </w:r>
      <w:r w:rsidR="00A2494D" w:rsidRPr="0042656C">
        <w:rPr>
          <w:rFonts w:ascii="Times New Roman" w:hAnsi="Times New Roman" w:cs="Times New Roman"/>
          <w:color w:val="212121"/>
          <w:sz w:val="24"/>
          <w:szCs w:val="24"/>
          <w:lang w:val="pt-PT"/>
        </w:rPr>
        <w:t xml:space="preserve"> perfizeram mais de 120 mil</w:t>
      </w:r>
      <w:r w:rsidR="00B15744">
        <w:rPr>
          <w:rFonts w:ascii="Times New Roman" w:hAnsi="Times New Roman" w:cs="Times New Roman"/>
          <w:color w:val="212121"/>
          <w:sz w:val="24"/>
          <w:szCs w:val="24"/>
          <w:lang w:val="pt-PT"/>
        </w:rPr>
        <w:t>;</w:t>
      </w:r>
      <w:r w:rsidR="00A2494D" w:rsidRPr="0042656C">
        <w:rPr>
          <w:rFonts w:ascii="Times New Roman" w:hAnsi="Times New Roman" w:cs="Times New Roman"/>
          <w:color w:val="212121"/>
          <w:sz w:val="24"/>
          <w:szCs w:val="24"/>
          <w:lang w:val="pt-PT"/>
        </w:rPr>
        <w:t xml:space="preserve"> </w:t>
      </w:r>
      <w:r w:rsidR="00D511C8" w:rsidRPr="0042656C">
        <w:rPr>
          <w:rFonts w:ascii="Times New Roman" w:hAnsi="Times New Roman" w:cs="Times New Roman"/>
          <w:color w:val="212121"/>
          <w:sz w:val="24"/>
          <w:szCs w:val="24"/>
          <w:lang w:val="pt-PT"/>
        </w:rPr>
        <w:t>da Europa Oriental (russos, poloneses e b</w:t>
      </w:r>
      <w:r w:rsidR="00B15744">
        <w:rPr>
          <w:rFonts w:ascii="Times New Roman" w:hAnsi="Times New Roman" w:cs="Times New Roman"/>
          <w:color w:val="212121"/>
          <w:sz w:val="24"/>
          <w:szCs w:val="24"/>
          <w:lang w:val="pt-PT"/>
        </w:rPr>
        <w:t>á</w:t>
      </w:r>
      <w:r w:rsidR="00D511C8" w:rsidRPr="0042656C">
        <w:rPr>
          <w:rFonts w:ascii="Times New Roman" w:hAnsi="Times New Roman" w:cs="Times New Roman"/>
          <w:color w:val="212121"/>
          <w:sz w:val="24"/>
          <w:szCs w:val="24"/>
          <w:lang w:val="pt-PT"/>
        </w:rPr>
        <w:t>lticos) chegarm</w:t>
      </w:r>
      <w:r w:rsidR="00E57D62" w:rsidRPr="0042656C">
        <w:rPr>
          <w:rFonts w:ascii="Times New Roman" w:hAnsi="Times New Roman" w:cs="Times New Roman"/>
          <w:color w:val="212121"/>
          <w:sz w:val="24"/>
          <w:szCs w:val="24"/>
          <w:lang w:val="pt-PT"/>
        </w:rPr>
        <w:t xml:space="preserve"> a</w:t>
      </w:r>
      <w:r w:rsidR="00D511C8" w:rsidRPr="0042656C">
        <w:rPr>
          <w:rFonts w:ascii="Times New Roman" w:hAnsi="Times New Roman" w:cs="Times New Roman"/>
          <w:color w:val="212121"/>
          <w:sz w:val="24"/>
          <w:szCs w:val="24"/>
          <w:lang w:val="pt-PT"/>
        </w:rPr>
        <w:t xml:space="preserve"> cerca de 272</w:t>
      </w:r>
      <w:r w:rsidR="00B15744">
        <w:rPr>
          <w:rFonts w:ascii="Times New Roman" w:hAnsi="Times New Roman" w:cs="Times New Roman"/>
          <w:color w:val="212121"/>
          <w:sz w:val="24"/>
          <w:szCs w:val="24"/>
          <w:lang w:val="pt-PT"/>
        </w:rPr>
        <w:t xml:space="preserve"> mil</w:t>
      </w:r>
      <w:r w:rsidR="00D511C8" w:rsidRPr="0042656C">
        <w:rPr>
          <w:rFonts w:ascii="Times New Roman" w:hAnsi="Times New Roman" w:cs="Times New Roman"/>
          <w:color w:val="212121"/>
          <w:sz w:val="24"/>
          <w:szCs w:val="24"/>
          <w:lang w:val="pt-PT"/>
        </w:rPr>
        <w:t xml:space="preserve"> e do sul da Europa</w:t>
      </w:r>
      <w:r w:rsidR="0037450E" w:rsidRPr="0042656C">
        <w:rPr>
          <w:rFonts w:ascii="Times New Roman" w:hAnsi="Times New Roman" w:cs="Times New Roman"/>
          <w:color w:val="212121"/>
          <w:sz w:val="24"/>
          <w:szCs w:val="24"/>
          <w:lang w:val="pt-PT"/>
        </w:rPr>
        <w:t xml:space="preserve"> </w:t>
      </w:r>
      <w:r w:rsidR="00D511C8" w:rsidRPr="0042656C">
        <w:rPr>
          <w:rFonts w:ascii="Times New Roman" w:hAnsi="Times New Roman" w:cs="Times New Roman"/>
          <w:color w:val="212121"/>
          <w:sz w:val="24"/>
          <w:szCs w:val="24"/>
          <w:lang w:val="pt-PT"/>
        </w:rPr>
        <w:t xml:space="preserve">( italianos, gregos e outros) aproximadamente </w:t>
      </w:r>
      <w:r w:rsidR="00E57D62" w:rsidRPr="0042656C">
        <w:rPr>
          <w:rFonts w:ascii="Times New Roman" w:hAnsi="Times New Roman" w:cs="Times New Roman"/>
          <w:color w:val="212121"/>
          <w:sz w:val="24"/>
          <w:szCs w:val="24"/>
          <w:lang w:val="pt-PT"/>
        </w:rPr>
        <w:t xml:space="preserve">122 mil imigrantes. Além destes imigrantes europeus, também </w:t>
      </w:r>
      <w:r w:rsidR="00D538BA" w:rsidRPr="0042656C">
        <w:rPr>
          <w:rFonts w:ascii="Times New Roman" w:hAnsi="Times New Roman" w:cs="Times New Roman"/>
          <w:color w:val="212121"/>
          <w:sz w:val="24"/>
          <w:szCs w:val="24"/>
          <w:lang w:val="pt-PT"/>
        </w:rPr>
        <w:t>ocorreu</w:t>
      </w:r>
      <w:r w:rsidR="00096BC4">
        <w:rPr>
          <w:rFonts w:ascii="Times New Roman" w:hAnsi="Times New Roman" w:cs="Times New Roman"/>
          <w:color w:val="212121"/>
          <w:sz w:val="24"/>
          <w:szCs w:val="24"/>
          <w:lang w:val="pt-PT"/>
        </w:rPr>
        <w:t xml:space="preserve"> a imigração de asiáticos </w:t>
      </w:r>
      <w:r w:rsidR="00E57D62" w:rsidRPr="0042656C">
        <w:rPr>
          <w:rFonts w:ascii="Times New Roman" w:hAnsi="Times New Roman" w:cs="Times New Roman"/>
          <w:color w:val="212121"/>
          <w:sz w:val="24"/>
          <w:szCs w:val="24"/>
          <w:lang w:val="pt-PT"/>
        </w:rPr>
        <w:t>(64.698)</w:t>
      </w:r>
      <w:r w:rsidR="00D538BA" w:rsidRPr="0042656C">
        <w:rPr>
          <w:rFonts w:ascii="Times New Roman" w:hAnsi="Times New Roman" w:cs="Times New Roman"/>
          <w:color w:val="212121"/>
          <w:sz w:val="24"/>
          <w:szCs w:val="24"/>
          <w:lang w:val="pt-PT"/>
        </w:rPr>
        <w:t xml:space="preserve"> (URQUHART; BUCKLEY, 196</w:t>
      </w:r>
      <w:r w:rsidR="009A46A7" w:rsidRPr="0042656C">
        <w:rPr>
          <w:rFonts w:ascii="Times New Roman" w:hAnsi="Times New Roman" w:cs="Times New Roman"/>
          <w:color w:val="212121"/>
          <w:sz w:val="24"/>
          <w:szCs w:val="24"/>
          <w:lang w:val="pt-PT"/>
        </w:rPr>
        <w:t>5</w:t>
      </w:r>
      <w:r w:rsidR="00D538BA" w:rsidRPr="0042656C">
        <w:rPr>
          <w:rFonts w:ascii="Times New Roman" w:hAnsi="Times New Roman" w:cs="Times New Roman"/>
          <w:color w:val="212121"/>
          <w:sz w:val="24"/>
          <w:szCs w:val="24"/>
          <w:lang w:val="pt-PT"/>
        </w:rPr>
        <w:t>,</w:t>
      </w:r>
      <w:r w:rsidR="00BE4307" w:rsidRPr="0042656C">
        <w:rPr>
          <w:rFonts w:ascii="Times New Roman" w:hAnsi="Times New Roman" w:cs="Times New Roman"/>
          <w:color w:val="212121"/>
          <w:sz w:val="24"/>
          <w:szCs w:val="24"/>
          <w:lang w:val="pt-PT"/>
        </w:rPr>
        <w:t xml:space="preserve"> </w:t>
      </w:r>
      <w:r w:rsidR="00D538BA" w:rsidRPr="0042656C">
        <w:rPr>
          <w:rFonts w:ascii="Times New Roman" w:hAnsi="Times New Roman" w:cs="Times New Roman"/>
          <w:color w:val="212121"/>
          <w:sz w:val="24"/>
          <w:szCs w:val="24"/>
          <w:lang w:val="pt-PT"/>
        </w:rPr>
        <w:t>p.27-28)</w:t>
      </w:r>
      <w:r w:rsidR="00E57D62" w:rsidRPr="0042656C">
        <w:rPr>
          <w:rFonts w:ascii="Times New Roman" w:hAnsi="Times New Roman" w:cs="Times New Roman"/>
          <w:color w:val="212121"/>
          <w:sz w:val="24"/>
          <w:szCs w:val="24"/>
          <w:lang w:val="pt-PT"/>
        </w:rPr>
        <w:t xml:space="preserve">. </w:t>
      </w:r>
    </w:p>
    <w:p w:rsidR="006964A4" w:rsidRDefault="00BE4307" w:rsidP="00482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212121"/>
          <w:sz w:val="24"/>
          <w:szCs w:val="24"/>
          <w:lang w:val="pt-PT"/>
        </w:rPr>
      </w:pPr>
      <w:r w:rsidRPr="0042656C">
        <w:rPr>
          <w:rFonts w:ascii="Times New Roman" w:hAnsi="Times New Roman" w:cs="Times New Roman"/>
          <w:color w:val="212121"/>
          <w:sz w:val="24"/>
          <w:szCs w:val="24"/>
          <w:lang w:val="pt-PT"/>
        </w:rPr>
        <w:t xml:space="preserve">Entre 1896 e 1931, o número </w:t>
      </w:r>
      <w:r w:rsidR="009A46A7" w:rsidRPr="0042656C">
        <w:rPr>
          <w:rFonts w:ascii="Times New Roman" w:hAnsi="Times New Roman" w:cs="Times New Roman"/>
          <w:color w:val="212121"/>
          <w:sz w:val="24"/>
          <w:szCs w:val="24"/>
          <w:lang w:val="pt-PT"/>
        </w:rPr>
        <w:t xml:space="preserve">total </w:t>
      </w:r>
      <w:r w:rsidRPr="0042656C">
        <w:rPr>
          <w:rFonts w:ascii="Times New Roman" w:hAnsi="Times New Roman" w:cs="Times New Roman"/>
          <w:color w:val="212121"/>
          <w:sz w:val="24"/>
          <w:szCs w:val="24"/>
          <w:lang w:val="pt-PT"/>
        </w:rPr>
        <w:t xml:space="preserve">de imigrantes que chegaram ao país, </w:t>
      </w:r>
      <w:r w:rsidR="004B1C1A" w:rsidRPr="0042656C">
        <w:rPr>
          <w:rFonts w:ascii="Times New Roman" w:hAnsi="Times New Roman" w:cs="Times New Roman"/>
          <w:color w:val="212121"/>
          <w:sz w:val="24"/>
          <w:szCs w:val="24"/>
          <w:lang w:val="pt-PT"/>
        </w:rPr>
        <w:t>atingiu</w:t>
      </w:r>
      <w:r w:rsidRPr="0042656C">
        <w:rPr>
          <w:rFonts w:ascii="Times New Roman" w:hAnsi="Times New Roman" w:cs="Times New Roman"/>
          <w:color w:val="212121"/>
          <w:sz w:val="24"/>
          <w:szCs w:val="24"/>
          <w:lang w:val="pt-PT"/>
        </w:rPr>
        <w:t xml:space="preserve"> </w:t>
      </w:r>
      <w:r w:rsidR="006241D8" w:rsidRPr="0042656C">
        <w:rPr>
          <w:rFonts w:ascii="Times New Roman" w:hAnsi="Times New Roman" w:cs="Times New Roman"/>
          <w:color w:val="212121"/>
          <w:sz w:val="24"/>
          <w:szCs w:val="24"/>
          <w:lang w:val="pt-PT"/>
        </w:rPr>
        <w:t>a marca de mais de 4,7</w:t>
      </w:r>
      <w:r w:rsidR="001B3D61" w:rsidRPr="0042656C">
        <w:rPr>
          <w:rFonts w:ascii="Times New Roman" w:hAnsi="Times New Roman" w:cs="Times New Roman"/>
          <w:color w:val="212121"/>
          <w:sz w:val="24"/>
          <w:szCs w:val="24"/>
          <w:lang w:val="pt-PT"/>
        </w:rPr>
        <w:t>7</w:t>
      </w:r>
      <w:r w:rsidR="006241D8" w:rsidRPr="0042656C">
        <w:rPr>
          <w:rFonts w:ascii="Times New Roman" w:hAnsi="Times New Roman" w:cs="Times New Roman"/>
          <w:color w:val="212121"/>
          <w:sz w:val="24"/>
          <w:szCs w:val="24"/>
          <w:lang w:val="pt-PT"/>
        </w:rPr>
        <w:t xml:space="preserve"> milhões de pessoas</w:t>
      </w:r>
      <w:r w:rsidR="00B15744">
        <w:rPr>
          <w:rFonts w:ascii="Times New Roman" w:hAnsi="Times New Roman" w:cs="Times New Roman"/>
          <w:color w:val="212121"/>
          <w:sz w:val="24"/>
          <w:szCs w:val="24"/>
          <w:lang w:val="pt-PT"/>
        </w:rPr>
        <w:t>, com</w:t>
      </w:r>
      <w:r w:rsidR="006241D8" w:rsidRPr="0042656C">
        <w:rPr>
          <w:rFonts w:ascii="Times New Roman" w:hAnsi="Times New Roman" w:cs="Times New Roman"/>
          <w:color w:val="212121"/>
          <w:sz w:val="24"/>
          <w:szCs w:val="24"/>
          <w:lang w:val="pt-PT"/>
        </w:rPr>
        <w:t xml:space="preserve"> uma média de mais de 13</w:t>
      </w:r>
      <w:r w:rsidR="00642852" w:rsidRPr="0042656C">
        <w:rPr>
          <w:rFonts w:ascii="Times New Roman" w:hAnsi="Times New Roman" w:cs="Times New Roman"/>
          <w:color w:val="212121"/>
          <w:sz w:val="24"/>
          <w:szCs w:val="24"/>
          <w:lang w:val="pt-PT"/>
        </w:rPr>
        <w:t>2</w:t>
      </w:r>
      <w:r w:rsidR="006241D8" w:rsidRPr="0042656C">
        <w:rPr>
          <w:rFonts w:ascii="Times New Roman" w:hAnsi="Times New Roman" w:cs="Times New Roman"/>
          <w:color w:val="212121"/>
          <w:sz w:val="24"/>
          <w:szCs w:val="24"/>
          <w:lang w:val="pt-PT"/>
        </w:rPr>
        <w:t xml:space="preserve"> mil pessoas/ano</w:t>
      </w:r>
      <w:r w:rsidR="009A46A7" w:rsidRPr="0042656C">
        <w:rPr>
          <w:rFonts w:ascii="Times New Roman" w:hAnsi="Times New Roman" w:cs="Times New Roman"/>
          <w:color w:val="212121"/>
          <w:sz w:val="24"/>
          <w:szCs w:val="24"/>
          <w:lang w:val="pt-PT"/>
        </w:rPr>
        <w:t xml:space="preserve"> o que demonstra o forte fluxo migratório para o Canadá </w:t>
      </w:r>
      <w:r w:rsidR="001F2A5F">
        <w:rPr>
          <w:rFonts w:ascii="Times New Roman" w:hAnsi="Times New Roman" w:cs="Times New Roman"/>
          <w:color w:val="212121"/>
          <w:sz w:val="24"/>
          <w:szCs w:val="24"/>
          <w:lang w:val="pt-PT"/>
        </w:rPr>
        <w:t>nesse período</w:t>
      </w:r>
      <w:r w:rsidR="009A46A7" w:rsidRPr="0042656C">
        <w:rPr>
          <w:rFonts w:ascii="Times New Roman" w:hAnsi="Times New Roman" w:cs="Times New Roman"/>
          <w:color w:val="212121"/>
          <w:sz w:val="24"/>
          <w:szCs w:val="24"/>
          <w:lang w:val="pt-PT"/>
        </w:rPr>
        <w:t xml:space="preserve"> (URQUHART; BUCKLEY, 1965, p. 23)</w:t>
      </w:r>
      <w:r w:rsidR="00642852" w:rsidRPr="0042656C">
        <w:rPr>
          <w:rFonts w:ascii="Times New Roman" w:hAnsi="Times New Roman" w:cs="Times New Roman"/>
          <w:color w:val="212121"/>
          <w:sz w:val="24"/>
          <w:szCs w:val="24"/>
          <w:lang w:val="pt-PT"/>
        </w:rPr>
        <w:t xml:space="preserve">. </w:t>
      </w:r>
    </w:p>
    <w:p w:rsidR="00F74335" w:rsidRPr="006964A4" w:rsidRDefault="007B6ED0" w:rsidP="00482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Times New Roman" w:hAnsi="Times New Roman" w:cs="Times New Roman"/>
          <w:color w:val="212121"/>
          <w:lang w:val="pt-PT"/>
        </w:rPr>
      </w:pPr>
      <w:r>
        <w:rPr>
          <w:rFonts w:ascii="Times New Roman" w:hAnsi="Times New Roman" w:cs="Times New Roman"/>
          <w:b/>
          <w:color w:val="212121"/>
          <w:sz w:val="24"/>
          <w:szCs w:val="24"/>
          <w:lang w:val="pt-PT"/>
        </w:rPr>
        <w:t>6</w:t>
      </w:r>
      <w:r w:rsidR="00F74335" w:rsidRPr="00F74335">
        <w:rPr>
          <w:rFonts w:ascii="Times New Roman" w:hAnsi="Times New Roman" w:cs="Times New Roman"/>
          <w:b/>
          <w:color w:val="212121"/>
          <w:sz w:val="24"/>
          <w:szCs w:val="24"/>
          <w:lang w:val="pt-PT"/>
        </w:rPr>
        <w:t>. CONSIDERAÇÕES FINAIS</w:t>
      </w:r>
    </w:p>
    <w:p w:rsidR="00395476" w:rsidRDefault="00395476" w:rsidP="0048231B">
      <w:pPr>
        <w:pStyle w:val="Pr-formataoHTML"/>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Nos primeiros anos após a Confederação o governo canadense colocou em prática um</w:t>
      </w:r>
      <w:r w:rsidR="00B83162">
        <w:rPr>
          <w:rFonts w:ascii="Times New Roman" w:hAnsi="Times New Roman" w:cs="Times New Roman"/>
          <w:sz w:val="24"/>
          <w:szCs w:val="24"/>
        </w:rPr>
        <w:t>a</w:t>
      </w:r>
      <w:r>
        <w:rPr>
          <w:rFonts w:ascii="Times New Roman" w:hAnsi="Times New Roman" w:cs="Times New Roman"/>
          <w:sz w:val="24"/>
          <w:szCs w:val="24"/>
        </w:rPr>
        <w:t xml:space="preserve"> ambicios</w:t>
      </w:r>
      <w:r w:rsidR="00B83162">
        <w:rPr>
          <w:rFonts w:ascii="Times New Roman" w:hAnsi="Times New Roman" w:cs="Times New Roman"/>
          <w:sz w:val="24"/>
          <w:szCs w:val="24"/>
        </w:rPr>
        <w:t>a</w:t>
      </w:r>
      <w:r>
        <w:rPr>
          <w:rFonts w:ascii="Times New Roman" w:hAnsi="Times New Roman" w:cs="Times New Roman"/>
          <w:sz w:val="24"/>
          <w:szCs w:val="24"/>
        </w:rPr>
        <w:t xml:space="preserve"> </w:t>
      </w:r>
      <w:r w:rsidR="00B83162">
        <w:rPr>
          <w:rFonts w:ascii="Times New Roman" w:hAnsi="Times New Roman" w:cs="Times New Roman"/>
          <w:sz w:val="24"/>
          <w:szCs w:val="24"/>
        </w:rPr>
        <w:t>estratégia</w:t>
      </w:r>
      <w:r>
        <w:rPr>
          <w:rFonts w:ascii="Times New Roman" w:hAnsi="Times New Roman" w:cs="Times New Roman"/>
          <w:sz w:val="24"/>
          <w:szCs w:val="24"/>
        </w:rPr>
        <w:t xml:space="preserve"> de desenvolvim</w:t>
      </w:r>
      <w:r w:rsidR="00DF637B">
        <w:rPr>
          <w:rFonts w:ascii="Times New Roman" w:hAnsi="Times New Roman" w:cs="Times New Roman"/>
          <w:sz w:val="24"/>
          <w:szCs w:val="24"/>
        </w:rPr>
        <w:t xml:space="preserve">ento </w:t>
      </w:r>
      <w:r>
        <w:rPr>
          <w:rFonts w:ascii="Times New Roman" w:hAnsi="Times New Roman" w:cs="Times New Roman"/>
          <w:sz w:val="24"/>
          <w:szCs w:val="24"/>
        </w:rPr>
        <w:t xml:space="preserve">que tinha entre seus principais objetivos buscar uma maior diversificação da economia através da industrialização do país, o povoamento do oeste com o intuito de explorar os ricos recursos naturais </w:t>
      </w:r>
      <w:r w:rsidR="00B83162">
        <w:rPr>
          <w:rFonts w:ascii="Times New Roman" w:hAnsi="Times New Roman" w:cs="Times New Roman"/>
          <w:sz w:val="24"/>
          <w:szCs w:val="24"/>
        </w:rPr>
        <w:t xml:space="preserve">daquela </w:t>
      </w:r>
      <w:r>
        <w:rPr>
          <w:rFonts w:ascii="Times New Roman" w:hAnsi="Times New Roman" w:cs="Times New Roman"/>
          <w:sz w:val="24"/>
          <w:szCs w:val="24"/>
        </w:rPr>
        <w:t>região e imensos investimentos na área de transportes para ligar as distantes províncias do Domínio</w:t>
      </w:r>
      <w:r w:rsidR="00C26BC2">
        <w:rPr>
          <w:rFonts w:ascii="Times New Roman" w:hAnsi="Times New Roman" w:cs="Times New Roman"/>
          <w:sz w:val="24"/>
          <w:szCs w:val="24"/>
        </w:rPr>
        <w:t>. Além disso</w:t>
      </w:r>
      <w:r w:rsidR="000607D2">
        <w:rPr>
          <w:rFonts w:ascii="Times New Roman" w:hAnsi="Times New Roman" w:cs="Times New Roman"/>
          <w:sz w:val="24"/>
          <w:szCs w:val="24"/>
        </w:rPr>
        <w:t xml:space="preserve">, </w:t>
      </w:r>
      <w:r w:rsidR="00BA09AC">
        <w:rPr>
          <w:rFonts w:ascii="Times New Roman" w:hAnsi="Times New Roman" w:cs="Times New Roman"/>
          <w:sz w:val="24"/>
          <w:szCs w:val="24"/>
        </w:rPr>
        <w:t>considerava-se também necessário</w:t>
      </w:r>
      <w:r w:rsidR="00C26BC2">
        <w:rPr>
          <w:rFonts w:ascii="Times New Roman" w:hAnsi="Times New Roman" w:cs="Times New Roman"/>
          <w:sz w:val="24"/>
          <w:szCs w:val="24"/>
        </w:rPr>
        <w:t xml:space="preserve"> proteger o recém</w:t>
      </w:r>
      <w:r w:rsidR="000607D2">
        <w:rPr>
          <w:rFonts w:ascii="Times New Roman" w:hAnsi="Times New Roman" w:cs="Times New Roman"/>
          <w:sz w:val="24"/>
          <w:szCs w:val="24"/>
        </w:rPr>
        <w:t>-criado país de uma eventual anexação por parte dos Estados Unidos.</w:t>
      </w:r>
    </w:p>
    <w:p w:rsidR="000607D2" w:rsidRDefault="00A910A5" w:rsidP="0048231B">
      <w:pPr>
        <w:pStyle w:val="Pr-formataoHTML"/>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 xml:space="preserve">A política comercial sempre foi uma preocupação central para o desenvolvimento econômico do país, tanto pela necessidade de exportações, já que seu mercado interno era bastante reduzido, como pela necessidade de importação de bens de capital para o desenvolvimento de seu setor industrial. Nesse sentido, a política de proteção tarifária tornou-se o mais importante instrumento para o crescimento e diversificação industrial. </w:t>
      </w:r>
      <w:r w:rsidR="00691809">
        <w:rPr>
          <w:rFonts w:ascii="Times New Roman" w:hAnsi="Times New Roman" w:cs="Times New Roman"/>
          <w:sz w:val="24"/>
          <w:szCs w:val="24"/>
        </w:rPr>
        <w:t>Até</w:t>
      </w:r>
      <w:r>
        <w:rPr>
          <w:rFonts w:ascii="Times New Roman" w:hAnsi="Times New Roman" w:cs="Times New Roman"/>
          <w:sz w:val="24"/>
          <w:szCs w:val="24"/>
        </w:rPr>
        <w:t xml:space="preserve"> o final do século XIX predominavam </w:t>
      </w:r>
      <w:r w:rsidR="005B47ED">
        <w:rPr>
          <w:rFonts w:ascii="Times New Roman" w:hAnsi="Times New Roman" w:cs="Times New Roman"/>
          <w:sz w:val="24"/>
          <w:szCs w:val="24"/>
        </w:rPr>
        <w:t>indústrias</w:t>
      </w:r>
      <w:r w:rsidR="00B83162">
        <w:rPr>
          <w:rFonts w:ascii="Times New Roman" w:hAnsi="Times New Roman" w:cs="Times New Roman"/>
          <w:sz w:val="24"/>
          <w:szCs w:val="24"/>
        </w:rPr>
        <w:t xml:space="preserve"> baseadas na produção</w:t>
      </w:r>
      <w:r>
        <w:rPr>
          <w:rFonts w:ascii="Times New Roman" w:hAnsi="Times New Roman" w:cs="Times New Roman"/>
          <w:sz w:val="24"/>
          <w:szCs w:val="24"/>
        </w:rPr>
        <w:t xml:space="preserve"> de pequena escala, que ofertavam pouca diversidade de produtos</w:t>
      </w:r>
      <w:r w:rsidR="005B47ED">
        <w:rPr>
          <w:rFonts w:ascii="Times New Roman" w:hAnsi="Times New Roman" w:cs="Times New Roman"/>
          <w:sz w:val="24"/>
          <w:szCs w:val="24"/>
        </w:rPr>
        <w:t xml:space="preserve"> e geralmente destinavam sua produção apenas para o mercado local. No entanto, observ</w:t>
      </w:r>
      <w:r w:rsidR="00B83162">
        <w:rPr>
          <w:rFonts w:ascii="Times New Roman" w:hAnsi="Times New Roman" w:cs="Times New Roman"/>
          <w:sz w:val="24"/>
          <w:szCs w:val="24"/>
        </w:rPr>
        <w:t>ou</w:t>
      </w:r>
      <w:r w:rsidR="005B47ED">
        <w:rPr>
          <w:rFonts w:ascii="Times New Roman" w:hAnsi="Times New Roman" w:cs="Times New Roman"/>
          <w:sz w:val="24"/>
          <w:szCs w:val="24"/>
        </w:rPr>
        <w:t xml:space="preserve">-se uma grande transformação já nas primeiras décadas do século XX, com o aparecimento de novas </w:t>
      </w:r>
      <w:r w:rsidR="00C56EE4">
        <w:rPr>
          <w:rFonts w:ascii="Times New Roman" w:hAnsi="Times New Roman" w:cs="Times New Roman"/>
          <w:sz w:val="24"/>
          <w:szCs w:val="24"/>
        </w:rPr>
        <w:t>indústrias</w:t>
      </w:r>
      <w:r w:rsidR="005B47ED">
        <w:rPr>
          <w:rFonts w:ascii="Times New Roman" w:hAnsi="Times New Roman" w:cs="Times New Roman"/>
          <w:sz w:val="24"/>
          <w:szCs w:val="24"/>
        </w:rPr>
        <w:t>,</w:t>
      </w:r>
      <w:r w:rsidR="00B83162">
        <w:rPr>
          <w:rFonts w:ascii="Times New Roman" w:hAnsi="Times New Roman" w:cs="Times New Roman"/>
          <w:sz w:val="24"/>
          <w:szCs w:val="24"/>
        </w:rPr>
        <w:t xml:space="preserve"> uma</w:t>
      </w:r>
      <w:r w:rsidR="005B47ED">
        <w:rPr>
          <w:rFonts w:ascii="Times New Roman" w:hAnsi="Times New Roman" w:cs="Times New Roman"/>
          <w:sz w:val="24"/>
          <w:szCs w:val="24"/>
        </w:rPr>
        <w:t xml:space="preserve"> maior diversificação de produtos e </w:t>
      </w:r>
      <w:r w:rsidR="00A85E49">
        <w:rPr>
          <w:rFonts w:ascii="Times New Roman" w:hAnsi="Times New Roman" w:cs="Times New Roman"/>
          <w:sz w:val="24"/>
          <w:szCs w:val="24"/>
        </w:rPr>
        <w:t>a venda d</w:t>
      </w:r>
      <w:r w:rsidR="005B47ED">
        <w:rPr>
          <w:rFonts w:ascii="Times New Roman" w:hAnsi="Times New Roman" w:cs="Times New Roman"/>
          <w:sz w:val="24"/>
          <w:szCs w:val="24"/>
        </w:rPr>
        <w:t>esses produtos para mercados mais amplos e mais distantes. Até o final da I Guerra Mundial o setor manuf</w:t>
      </w:r>
      <w:r w:rsidR="00B83162">
        <w:rPr>
          <w:rFonts w:ascii="Times New Roman" w:hAnsi="Times New Roman" w:cs="Times New Roman"/>
          <w:sz w:val="24"/>
          <w:szCs w:val="24"/>
        </w:rPr>
        <w:t>atureiro já havia ultrapassado o</w:t>
      </w:r>
      <w:r w:rsidR="005B47ED">
        <w:rPr>
          <w:rFonts w:ascii="Times New Roman" w:hAnsi="Times New Roman" w:cs="Times New Roman"/>
          <w:sz w:val="24"/>
          <w:szCs w:val="24"/>
        </w:rPr>
        <w:t xml:space="preserve"> setor agrícola no valor total da produção.</w:t>
      </w:r>
      <w:r w:rsidR="00C56EE4">
        <w:rPr>
          <w:rFonts w:ascii="Times New Roman" w:hAnsi="Times New Roman" w:cs="Times New Roman"/>
          <w:sz w:val="24"/>
          <w:szCs w:val="24"/>
        </w:rPr>
        <w:t xml:space="preserve"> As tarifas protecionistas </w:t>
      </w:r>
      <w:r w:rsidR="00B83162">
        <w:rPr>
          <w:rFonts w:ascii="Times New Roman" w:hAnsi="Times New Roman" w:cs="Times New Roman"/>
          <w:sz w:val="24"/>
          <w:szCs w:val="24"/>
        </w:rPr>
        <w:t>estimularam também</w:t>
      </w:r>
      <w:r w:rsidR="00A85E49">
        <w:rPr>
          <w:rFonts w:ascii="Times New Roman" w:hAnsi="Times New Roman" w:cs="Times New Roman"/>
          <w:sz w:val="24"/>
          <w:szCs w:val="24"/>
        </w:rPr>
        <w:t xml:space="preserve"> </w:t>
      </w:r>
      <w:r w:rsidR="00C56EE4">
        <w:rPr>
          <w:rFonts w:ascii="Times New Roman" w:hAnsi="Times New Roman" w:cs="Times New Roman"/>
          <w:sz w:val="24"/>
          <w:szCs w:val="24"/>
        </w:rPr>
        <w:t xml:space="preserve">a instalação de muitas fábricas que eram controladas ou coligadas aos estadunidenses, que viam na instalação de suas plantas no Canadá como uma forma de escapar </w:t>
      </w:r>
      <w:r w:rsidR="00B83162">
        <w:rPr>
          <w:rFonts w:ascii="Times New Roman" w:hAnsi="Times New Roman" w:cs="Times New Roman"/>
          <w:sz w:val="24"/>
          <w:szCs w:val="24"/>
        </w:rPr>
        <w:t>d</w:t>
      </w:r>
      <w:r w:rsidR="00C56EE4">
        <w:rPr>
          <w:rFonts w:ascii="Times New Roman" w:hAnsi="Times New Roman" w:cs="Times New Roman"/>
          <w:sz w:val="24"/>
          <w:szCs w:val="24"/>
        </w:rPr>
        <w:t>essas tarifas.</w:t>
      </w:r>
    </w:p>
    <w:p w:rsidR="00C56EE4" w:rsidRDefault="00300F0F" w:rsidP="0048231B">
      <w:pPr>
        <w:pStyle w:val="Pr-formataoHTML"/>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 xml:space="preserve">Tão importante quanto a política protecionista, e essencial não só para a criação do novo país, mas também para viabilizar a integração entre Províncias distantes </w:t>
      </w:r>
      <w:r w:rsidR="00B83162">
        <w:rPr>
          <w:rFonts w:ascii="Times New Roman" w:hAnsi="Times New Roman" w:cs="Times New Roman"/>
          <w:sz w:val="24"/>
          <w:szCs w:val="24"/>
        </w:rPr>
        <w:t>e criar um espaço econômico nacional</w:t>
      </w:r>
      <w:r>
        <w:rPr>
          <w:rFonts w:ascii="Times New Roman" w:hAnsi="Times New Roman" w:cs="Times New Roman"/>
          <w:sz w:val="24"/>
          <w:szCs w:val="24"/>
        </w:rPr>
        <w:t xml:space="preserve"> estava a política de transportes, basicamente a construção de ferrovias. Nesse sentido, foram construídas a </w:t>
      </w:r>
      <w:r w:rsidRPr="00300F0F">
        <w:rPr>
          <w:rFonts w:ascii="Times New Roman" w:hAnsi="Times New Roman" w:cs="Times New Roman"/>
          <w:i/>
          <w:sz w:val="24"/>
          <w:szCs w:val="24"/>
        </w:rPr>
        <w:t>Intercolonial</w:t>
      </w:r>
      <w:r>
        <w:rPr>
          <w:rFonts w:ascii="Times New Roman" w:hAnsi="Times New Roman" w:cs="Times New Roman"/>
          <w:i/>
          <w:sz w:val="24"/>
          <w:szCs w:val="24"/>
        </w:rPr>
        <w:t xml:space="preserve"> </w:t>
      </w:r>
      <w:r>
        <w:rPr>
          <w:rFonts w:ascii="Times New Roman" w:hAnsi="Times New Roman" w:cs="Times New Roman"/>
          <w:sz w:val="24"/>
          <w:szCs w:val="24"/>
        </w:rPr>
        <w:t xml:space="preserve">que visava unir o Canadá Central </w:t>
      </w:r>
      <w:r w:rsidR="00B83162">
        <w:rPr>
          <w:rFonts w:ascii="Times New Roman" w:hAnsi="Times New Roman" w:cs="Times New Roman"/>
          <w:sz w:val="24"/>
          <w:szCs w:val="24"/>
        </w:rPr>
        <w:t>à</w:t>
      </w:r>
      <w:r>
        <w:rPr>
          <w:rFonts w:ascii="Times New Roman" w:hAnsi="Times New Roman" w:cs="Times New Roman"/>
          <w:sz w:val="24"/>
          <w:szCs w:val="24"/>
        </w:rPr>
        <w:t xml:space="preserve">s Províncias Marítimas do Atlântico, e a mais importante, a </w:t>
      </w:r>
      <w:r w:rsidRPr="00300F0F">
        <w:rPr>
          <w:rFonts w:ascii="Times New Roman" w:hAnsi="Times New Roman" w:cs="Times New Roman"/>
          <w:i/>
          <w:sz w:val="24"/>
          <w:szCs w:val="24"/>
        </w:rPr>
        <w:t>Canadian Pacific Railway</w:t>
      </w:r>
      <w:r>
        <w:rPr>
          <w:rFonts w:ascii="Times New Roman" w:hAnsi="Times New Roman" w:cs="Times New Roman"/>
          <w:sz w:val="24"/>
          <w:szCs w:val="24"/>
        </w:rPr>
        <w:t xml:space="preserve"> que ligou o Canadá Central ao Pacífico.</w:t>
      </w:r>
      <w:r w:rsidR="00832ADC">
        <w:rPr>
          <w:rFonts w:ascii="Times New Roman" w:hAnsi="Times New Roman" w:cs="Times New Roman"/>
          <w:sz w:val="24"/>
          <w:szCs w:val="24"/>
        </w:rPr>
        <w:t xml:space="preserve"> O transporte hidroviário tinha sido suficiente em um período em que a maior parte da população e da atividade econômica se concentrava na Província do Canadá</w:t>
      </w:r>
      <w:r w:rsidR="00A85E49">
        <w:rPr>
          <w:rFonts w:ascii="Times New Roman" w:hAnsi="Times New Roman" w:cs="Times New Roman"/>
          <w:sz w:val="24"/>
          <w:szCs w:val="24"/>
        </w:rPr>
        <w:t>, mas</w:t>
      </w:r>
      <w:r w:rsidR="00832ADC">
        <w:rPr>
          <w:rFonts w:ascii="Times New Roman" w:hAnsi="Times New Roman" w:cs="Times New Roman"/>
          <w:sz w:val="24"/>
          <w:szCs w:val="24"/>
        </w:rPr>
        <w:t xml:space="preserve"> era inviável para ligar as regiões do leste com diversas áreas do </w:t>
      </w:r>
      <w:r w:rsidR="00832ADC">
        <w:rPr>
          <w:rFonts w:ascii="Times New Roman" w:hAnsi="Times New Roman" w:cs="Times New Roman"/>
          <w:sz w:val="24"/>
          <w:szCs w:val="24"/>
        </w:rPr>
        <w:lastRenderedPageBreak/>
        <w:t xml:space="preserve">oeste que eram alvo de assentamentos. Uma vez que foram concluídas as obras da </w:t>
      </w:r>
      <w:r w:rsidR="00832ADC" w:rsidRPr="00832ADC">
        <w:rPr>
          <w:rFonts w:ascii="Times New Roman" w:hAnsi="Times New Roman" w:cs="Times New Roman"/>
          <w:i/>
          <w:sz w:val="24"/>
          <w:szCs w:val="24"/>
        </w:rPr>
        <w:t>Canadian Pacific Railway</w:t>
      </w:r>
      <w:r w:rsidR="00832ADC">
        <w:rPr>
          <w:rFonts w:ascii="Times New Roman" w:hAnsi="Times New Roman" w:cs="Times New Roman"/>
          <w:sz w:val="24"/>
          <w:szCs w:val="24"/>
        </w:rPr>
        <w:t xml:space="preserve"> tornou-se notável o aumento do volume de cargas e passageiros entre as Províncias e a contribuição da ferrovia para que novas regiões antes inacessíveis ou de pouco interesse se tornassem </w:t>
      </w:r>
      <w:r w:rsidR="000B5E45">
        <w:rPr>
          <w:rFonts w:ascii="Times New Roman" w:hAnsi="Times New Roman" w:cs="Times New Roman"/>
          <w:sz w:val="24"/>
          <w:szCs w:val="24"/>
        </w:rPr>
        <w:t>utilizadas</w:t>
      </w:r>
      <w:r w:rsidR="00832ADC">
        <w:rPr>
          <w:rFonts w:ascii="Times New Roman" w:hAnsi="Times New Roman" w:cs="Times New Roman"/>
          <w:sz w:val="24"/>
          <w:szCs w:val="24"/>
        </w:rPr>
        <w:t xml:space="preserve"> para assentamentos, dinamizando a economia da região oeste e propiciando também uma maior industrialização do leste, devido </w:t>
      </w:r>
      <w:r w:rsidR="00A85E49">
        <w:rPr>
          <w:rFonts w:ascii="Times New Roman" w:hAnsi="Times New Roman" w:cs="Times New Roman"/>
          <w:sz w:val="24"/>
          <w:szCs w:val="24"/>
        </w:rPr>
        <w:t>à</w:t>
      </w:r>
      <w:r w:rsidR="00832ADC">
        <w:rPr>
          <w:rFonts w:ascii="Times New Roman" w:hAnsi="Times New Roman" w:cs="Times New Roman"/>
          <w:sz w:val="24"/>
          <w:szCs w:val="24"/>
        </w:rPr>
        <w:t xml:space="preserve"> facilidade e redução dos custos de transporte dos bens industrializados.</w:t>
      </w:r>
    </w:p>
    <w:p w:rsidR="00832ADC" w:rsidRDefault="00B771C8" w:rsidP="0048231B">
      <w:pPr>
        <w:pStyle w:val="Pr-formataoHTML"/>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 xml:space="preserve">Entre as três políticas implementadas, a migratória foi a que encontrou a maior dificuldade para atingir seus objetivos. Primeiro, porque a infraestrutura disponível para a produção agrícola era muito superior nos Estados Unidos </w:t>
      </w:r>
      <w:r w:rsidR="00A85E49">
        <w:rPr>
          <w:rFonts w:ascii="Times New Roman" w:hAnsi="Times New Roman" w:cs="Times New Roman"/>
          <w:sz w:val="24"/>
          <w:szCs w:val="24"/>
        </w:rPr>
        <w:t>até o final do século XIX</w:t>
      </w:r>
      <w:r>
        <w:rPr>
          <w:rFonts w:ascii="Times New Roman" w:hAnsi="Times New Roman" w:cs="Times New Roman"/>
          <w:sz w:val="24"/>
          <w:szCs w:val="24"/>
        </w:rPr>
        <w:t xml:space="preserve">, o que fazia com que os imigrantes europeus preferissem imigrar para aquele país. Da mesma forma os próprios canadenses emigravam em massa em busca dessas melhores oportunidades. Também contribuía para o baixo número de imigrantes a política do Partido Conservador de MacDonald de dar preferência a imigrantes de alguns países ou regiões específicas como os estadunidenses, britânicos e </w:t>
      </w:r>
      <w:r w:rsidR="00306293">
        <w:rPr>
          <w:rFonts w:ascii="Times New Roman" w:hAnsi="Times New Roman" w:cs="Times New Roman"/>
          <w:sz w:val="24"/>
          <w:szCs w:val="24"/>
        </w:rPr>
        <w:t xml:space="preserve">os </w:t>
      </w:r>
      <w:r w:rsidR="00A85E49">
        <w:rPr>
          <w:rFonts w:ascii="Times New Roman" w:hAnsi="Times New Roman" w:cs="Times New Roman"/>
          <w:sz w:val="24"/>
          <w:szCs w:val="24"/>
        </w:rPr>
        <w:t xml:space="preserve">do </w:t>
      </w:r>
      <w:r>
        <w:rPr>
          <w:rFonts w:ascii="Times New Roman" w:hAnsi="Times New Roman" w:cs="Times New Roman"/>
          <w:sz w:val="24"/>
          <w:szCs w:val="24"/>
        </w:rPr>
        <w:t>norte europeu. Com a ascensão dos Liberais</w:t>
      </w:r>
      <w:r w:rsidR="000B5E45">
        <w:rPr>
          <w:rFonts w:ascii="Times New Roman" w:hAnsi="Times New Roman" w:cs="Times New Roman"/>
          <w:sz w:val="24"/>
          <w:szCs w:val="24"/>
        </w:rPr>
        <w:t xml:space="preserve"> ao poder central,</w:t>
      </w:r>
      <w:r>
        <w:rPr>
          <w:rFonts w:ascii="Times New Roman" w:hAnsi="Times New Roman" w:cs="Times New Roman"/>
          <w:sz w:val="24"/>
          <w:szCs w:val="24"/>
        </w:rPr>
        <w:t xml:space="preserve"> essas políticas migratórias tornaram-se muito mais abertas para pessoas de outras nacionalidades</w:t>
      </w:r>
      <w:r w:rsidR="00727C61">
        <w:rPr>
          <w:rFonts w:ascii="Times New Roman" w:hAnsi="Times New Roman" w:cs="Times New Roman"/>
          <w:sz w:val="24"/>
          <w:szCs w:val="24"/>
        </w:rPr>
        <w:t xml:space="preserve"> e a busca por imigrantes tornou-se mais agressiva</w:t>
      </w:r>
      <w:r w:rsidR="00096BC4">
        <w:rPr>
          <w:rFonts w:ascii="Times New Roman" w:hAnsi="Times New Roman" w:cs="Times New Roman"/>
          <w:sz w:val="24"/>
          <w:szCs w:val="24"/>
        </w:rPr>
        <w:t xml:space="preserve"> (embora ainda limitada, visto que nessa época a preferência era dada a imigrantes que quisessem trabalhar na agricultura e não em outras atividades)</w:t>
      </w:r>
      <w:r>
        <w:rPr>
          <w:rFonts w:ascii="Times New Roman" w:hAnsi="Times New Roman" w:cs="Times New Roman"/>
          <w:sz w:val="24"/>
          <w:szCs w:val="24"/>
        </w:rPr>
        <w:t xml:space="preserve">, </w:t>
      </w:r>
      <w:r w:rsidR="00727C61">
        <w:rPr>
          <w:rFonts w:ascii="Times New Roman" w:hAnsi="Times New Roman" w:cs="Times New Roman"/>
          <w:sz w:val="24"/>
          <w:szCs w:val="24"/>
        </w:rPr>
        <w:t>aliando-se a isso</w:t>
      </w:r>
      <w:r>
        <w:rPr>
          <w:rFonts w:ascii="Times New Roman" w:hAnsi="Times New Roman" w:cs="Times New Roman"/>
          <w:sz w:val="24"/>
          <w:szCs w:val="24"/>
        </w:rPr>
        <w:t xml:space="preserve"> outros fato</w:t>
      </w:r>
      <w:r w:rsidR="00727C61">
        <w:rPr>
          <w:rFonts w:ascii="Times New Roman" w:hAnsi="Times New Roman" w:cs="Times New Roman"/>
          <w:sz w:val="24"/>
          <w:szCs w:val="24"/>
        </w:rPr>
        <w:t>res</w:t>
      </w:r>
      <w:r>
        <w:rPr>
          <w:rFonts w:ascii="Times New Roman" w:hAnsi="Times New Roman" w:cs="Times New Roman"/>
          <w:sz w:val="24"/>
          <w:szCs w:val="24"/>
        </w:rPr>
        <w:t xml:space="preserve"> como</w:t>
      </w:r>
      <w:r w:rsidR="00727C61">
        <w:rPr>
          <w:rFonts w:ascii="Times New Roman" w:hAnsi="Times New Roman" w:cs="Times New Roman"/>
          <w:sz w:val="24"/>
          <w:szCs w:val="24"/>
        </w:rPr>
        <w:t xml:space="preserve"> a construção das ferrovias,</w:t>
      </w:r>
      <w:r>
        <w:rPr>
          <w:rFonts w:ascii="Times New Roman" w:hAnsi="Times New Roman" w:cs="Times New Roman"/>
          <w:sz w:val="24"/>
          <w:szCs w:val="24"/>
        </w:rPr>
        <w:t xml:space="preserve"> as novas técnicas de cultivo, as condições favoráveis do mercado de trigo e a escassez de terras de alta produtividade </w:t>
      </w:r>
      <w:r w:rsidR="00727C61">
        <w:rPr>
          <w:rFonts w:ascii="Times New Roman" w:hAnsi="Times New Roman" w:cs="Times New Roman"/>
          <w:sz w:val="24"/>
          <w:szCs w:val="24"/>
        </w:rPr>
        <w:t xml:space="preserve">do lado dos Estados Unidos, fizeram com que o Canadá </w:t>
      </w:r>
      <w:r w:rsidR="007448FE">
        <w:rPr>
          <w:rFonts w:ascii="Times New Roman" w:hAnsi="Times New Roman" w:cs="Times New Roman"/>
          <w:sz w:val="24"/>
          <w:szCs w:val="24"/>
        </w:rPr>
        <w:t>recebesse</w:t>
      </w:r>
      <w:r w:rsidR="00727C61">
        <w:rPr>
          <w:rFonts w:ascii="Times New Roman" w:hAnsi="Times New Roman" w:cs="Times New Roman"/>
          <w:sz w:val="24"/>
          <w:szCs w:val="24"/>
        </w:rPr>
        <w:t xml:space="preserve"> um imenso </w:t>
      </w:r>
      <w:r w:rsidR="0099378C">
        <w:rPr>
          <w:rFonts w:ascii="Times New Roman" w:hAnsi="Times New Roman" w:cs="Times New Roman"/>
          <w:sz w:val="24"/>
          <w:szCs w:val="24"/>
        </w:rPr>
        <w:t>número</w:t>
      </w:r>
      <w:r w:rsidR="00727C61">
        <w:rPr>
          <w:rFonts w:ascii="Times New Roman" w:hAnsi="Times New Roman" w:cs="Times New Roman"/>
          <w:sz w:val="24"/>
          <w:szCs w:val="24"/>
        </w:rPr>
        <w:t xml:space="preserve"> </w:t>
      </w:r>
      <w:r w:rsidR="00B8671B">
        <w:rPr>
          <w:rFonts w:ascii="Times New Roman" w:hAnsi="Times New Roman" w:cs="Times New Roman"/>
          <w:sz w:val="24"/>
          <w:szCs w:val="24"/>
        </w:rPr>
        <w:t>de imigrantes</w:t>
      </w:r>
      <w:r w:rsidR="00727C61">
        <w:rPr>
          <w:rFonts w:ascii="Times New Roman" w:hAnsi="Times New Roman" w:cs="Times New Roman"/>
          <w:sz w:val="24"/>
          <w:szCs w:val="24"/>
        </w:rPr>
        <w:t xml:space="preserve"> no início do século XX.</w:t>
      </w:r>
    </w:p>
    <w:p w:rsidR="0027555A" w:rsidRDefault="0027555A" w:rsidP="0048231B">
      <w:pPr>
        <w:pStyle w:val="Pr-formataoHTML"/>
        <w:shd w:val="clear" w:color="auto" w:fill="FFFFFF"/>
        <w:ind w:firstLine="709"/>
        <w:jc w:val="both"/>
        <w:rPr>
          <w:rFonts w:ascii="Times New Roman" w:hAnsi="Times New Roman" w:cs="Times New Roman"/>
          <w:sz w:val="24"/>
          <w:szCs w:val="24"/>
        </w:rPr>
      </w:pPr>
      <w:r w:rsidRPr="0027555A">
        <w:rPr>
          <w:rFonts w:ascii="Times New Roman" w:hAnsi="Times New Roman" w:cs="Times New Roman"/>
          <w:sz w:val="24"/>
          <w:szCs w:val="24"/>
        </w:rPr>
        <w:t xml:space="preserve">Em resumo, esses três vetores podem ser interpretados como constituintes de uma </w:t>
      </w:r>
      <w:r w:rsidR="00383556" w:rsidRPr="0027555A">
        <w:rPr>
          <w:rFonts w:ascii="Times New Roman" w:hAnsi="Times New Roman" w:cs="Times New Roman"/>
          <w:sz w:val="24"/>
          <w:szCs w:val="24"/>
        </w:rPr>
        <w:t>macro estratégia</w:t>
      </w:r>
      <w:r w:rsidRPr="0027555A">
        <w:rPr>
          <w:rFonts w:ascii="Times New Roman" w:hAnsi="Times New Roman" w:cs="Times New Roman"/>
          <w:sz w:val="24"/>
          <w:szCs w:val="24"/>
        </w:rPr>
        <w:t xml:space="preserve"> de desenvolvimento econômico. Os dados apresentados sugerem que a estratégia foi aparentemente efetiva. É muito difícil utilizar um </w:t>
      </w:r>
      <w:r w:rsidR="00513F69" w:rsidRPr="0027555A">
        <w:rPr>
          <w:rFonts w:ascii="Times New Roman" w:hAnsi="Times New Roman" w:cs="Times New Roman"/>
          <w:sz w:val="24"/>
          <w:szCs w:val="24"/>
        </w:rPr>
        <w:t>contra factual</w:t>
      </w:r>
      <w:r w:rsidRPr="0027555A">
        <w:rPr>
          <w:rFonts w:ascii="Times New Roman" w:hAnsi="Times New Roman" w:cs="Times New Roman"/>
          <w:sz w:val="24"/>
          <w:szCs w:val="24"/>
        </w:rPr>
        <w:t xml:space="preserve"> para avaliar qual teria sido a trajetória socioeconômica do país se não fossem implementadas as políticas comercial, de transportes e imigratória. Esse tema necessita de maior aprofundamento. Contudo, retomando Gershenkron (1962), todas experiências de transformação estrutural e desenvolvimento econômico pós-experiência inglesa contaram com políticas deliberadas de indução, de um tipo ou de outro. A experiência canadense não parece fugir a essa regra.</w:t>
      </w:r>
    </w:p>
    <w:bookmarkEnd w:id="1"/>
    <w:p w:rsidR="00047CB9" w:rsidRPr="00E6024C" w:rsidRDefault="00E0358E" w:rsidP="00950C99">
      <w:pPr>
        <w:spacing w:before="120" w:after="0" w:line="360" w:lineRule="auto"/>
        <w:jc w:val="both"/>
        <w:rPr>
          <w:rFonts w:ascii="Times New Roman" w:eastAsia="Times New Roman" w:hAnsi="Times New Roman" w:cs="Times New Roman"/>
          <w:b/>
          <w:sz w:val="28"/>
          <w:szCs w:val="28"/>
          <w:lang w:val="en-US" w:eastAsia="pt-BR"/>
        </w:rPr>
      </w:pPr>
      <w:r>
        <w:rPr>
          <w:rFonts w:ascii="Times New Roman" w:eastAsia="Times New Roman" w:hAnsi="Times New Roman" w:cs="Times New Roman"/>
          <w:b/>
          <w:sz w:val="28"/>
          <w:szCs w:val="28"/>
          <w:lang w:val="en-US" w:eastAsia="pt-BR"/>
        </w:rPr>
        <w:t>7</w:t>
      </w:r>
      <w:r w:rsidR="00306293">
        <w:rPr>
          <w:rFonts w:ascii="Times New Roman" w:eastAsia="Times New Roman" w:hAnsi="Times New Roman" w:cs="Times New Roman"/>
          <w:b/>
          <w:sz w:val="28"/>
          <w:szCs w:val="28"/>
          <w:lang w:val="en-US" w:eastAsia="pt-BR"/>
        </w:rPr>
        <w:t>.</w:t>
      </w:r>
      <w:r w:rsidR="00047CB9" w:rsidRPr="00E6024C">
        <w:rPr>
          <w:rFonts w:ascii="Times New Roman" w:eastAsia="Times New Roman" w:hAnsi="Times New Roman" w:cs="Times New Roman"/>
          <w:b/>
          <w:sz w:val="28"/>
          <w:szCs w:val="28"/>
          <w:lang w:val="en-US" w:eastAsia="pt-BR"/>
        </w:rPr>
        <w:t xml:space="preserve"> REFERÊNCIAS BIBLIOGRÁFICAS</w:t>
      </w:r>
    </w:p>
    <w:p w:rsidR="003540CB" w:rsidRPr="00C92A77" w:rsidRDefault="00047CB9" w:rsidP="006C51F9">
      <w:pPr>
        <w:spacing w:before="120" w:after="0" w:line="240" w:lineRule="auto"/>
        <w:jc w:val="both"/>
        <w:rPr>
          <w:rFonts w:ascii="Times New Roman" w:eastAsia="Times New Roman" w:hAnsi="Times New Roman" w:cs="Times New Roman"/>
          <w:sz w:val="24"/>
          <w:szCs w:val="24"/>
          <w:lang w:val="en-US" w:eastAsia="pt-BR"/>
        </w:rPr>
      </w:pPr>
      <w:r w:rsidRPr="00C92A77">
        <w:rPr>
          <w:rFonts w:ascii="Times New Roman" w:eastAsia="Times New Roman" w:hAnsi="Times New Roman" w:cs="Times New Roman"/>
          <w:sz w:val="24"/>
          <w:szCs w:val="24"/>
          <w:lang w:val="en-US" w:eastAsia="pt-BR"/>
        </w:rPr>
        <w:t xml:space="preserve">AITKEN, Hugh; EASTERBROOK, W. </w:t>
      </w:r>
      <w:r w:rsidRPr="00C92A77">
        <w:rPr>
          <w:rFonts w:ascii="Times New Roman" w:eastAsia="Times New Roman" w:hAnsi="Times New Roman" w:cs="Times New Roman"/>
          <w:b/>
          <w:sz w:val="24"/>
          <w:szCs w:val="24"/>
          <w:lang w:val="en-US" w:eastAsia="pt-BR"/>
        </w:rPr>
        <w:t>Canadian Economic History</w:t>
      </w:r>
      <w:r w:rsidRPr="00C92A77">
        <w:rPr>
          <w:rFonts w:ascii="Times New Roman" w:eastAsia="Times New Roman" w:hAnsi="Times New Roman" w:cs="Times New Roman"/>
          <w:sz w:val="24"/>
          <w:szCs w:val="24"/>
          <w:lang w:val="en-US" w:eastAsia="pt-BR"/>
        </w:rPr>
        <w:t>. Toronto: University of Toronto Press, 1956.</w:t>
      </w:r>
    </w:p>
    <w:p w:rsidR="0099378C" w:rsidRDefault="0099378C" w:rsidP="006C51F9">
      <w:pPr>
        <w:spacing w:before="120" w:after="0" w:line="240" w:lineRule="auto"/>
        <w:jc w:val="both"/>
        <w:rPr>
          <w:rFonts w:ascii="Times New Roman" w:eastAsia="Times New Roman" w:hAnsi="Times New Roman" w:cs="Times New Roman"/>
          <w:sz w:val="24"/>
          <w:szCs w:val="24"/>
          <w:lang w:val="en-US" w:eastAsia="pt-BR"/>
        </w:rPr>
      </w:pPr>
      <w:r w:rsidRPr="00E51225">
        <w:rPr>
          <w:rFonts w:ascii="Times New Roman" w:eastAsia="Times New Roman" w:hAnsi="Times New Roman" w:cs="Times New Roman"/>
          <w:sz w:val="24"/>
          <w:szCs w:val="24"/>
          <w:lang w:val="en-US" w:eastAsia="pt-BR"/>
        </w:rPr>
        <w:t xml:space="preserve">AITKEN, Hugh. </w:t>
      </w:r>
      <w:r w:rsidRPr="00E51225">
        <w:rPr>
          <w:rFonts w:ascii="Times New Roman" w:eastAsia="Times New Roman" w:hAnsi="Times New Roman" w:cs="Times New Roman"/>
          <w:b/>
          <w:sz w:val="24"/>
          <w:szCs w:val="24"/>
          <w:lang w:val="en-US" w:eastAsia="pt-BR"/>
        </w:rPr>
        <w:t>Defensive Expansionism</w:t>
      </w:r>
      <w:r w:rsidRPr="00E51225">
        <w:rPr>
          <w:rFonts w:ascii="Times New Roman" w:eastAsia="Times New Roman" w:hAnsi="Times New Roman" w:cs="Times New Roman"/>
          <w:sz w:val="24"/>
          <w:szCs w:val="24"/>
          <w:lang w:val="en-US" w:eastAsia="pt-BR"/>
        </w:rPr>
        <w:t>: The State and Economic Growth. In: EASTERBROOK, W.; WATKINS; M. Approaches to Canadian Economic History. Toronto: The MacMillan Company of Canada, p.183-221, 1979.</w:t>
      </w:r>
    </w:p>
    <w:p w:rsidR="003B5AA7" w:rsidRPr="00E51225" w:rsidRDefault="003B5AA7" w:rsidP="006C51F9">
      <w:pPr>
        <w:spacing w:before="120" w:after="0" w:line="24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BRECHER, Irving; REISMAN, S. </w:t>
      </w:r>
      <w:r w:rsidR="00F044BF" w:rsidRPr="00F044BF">
        <w:rPr>
          <w:rFonts w:ascii="Times New Roman" w:eastAsia="Times New Roman" w:hAnsi="Times New Roman" w:cs="Times New Roman"/>
          <w:b/>
          <w:sz w:val="24"/>
          <w:szCs w:val="24"/>
          <w:lang w:val="en-US" w:eastAsia="pt-BR"/>
        </w:rPr>
        <w:t>Canada- United States Economic Relations</w:t>
      </w:r>
      <w:r w:rsidR="00F044BF">
        <w:rPr>
          <w:rFonts w:ascii="Times New Roman" w:eastAsia="Times New Roman" w:hAnsi="Times New Roman" w:cs="Times New Roman"/>
          <w:sz w:val="24"/>
          <w:szCs w:val="24"/>
          <w:lang w:val="en-US" w:eastAsia="pt-BR"/>
        </w:rPr>
        <w:t>. Ottawa: Royal Comission on Canada’s Economic Prospects, 1957.</w:t>
      </w:r>
    </w:p>
    <w:p w:rsidR="00066335" w:rsidRDefault="00066335" w:rsidP="006C51F9">
      <w:pPr>
        <w:spacing w:before="120" w:after="0" w:line="24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CREIGHTON, D. </w:t>
      </w:r>
      <w:r w:rsidRPr="00066335">
        <w:rPr>
          <w:rFonts w:ascii="Times New Roman" w:eastAsia="Times New Roman" w:hAnsi="Times New Roman" w:cs="Times New Roman"/>
          <w:b/>
          <w:sz w:val="24"/>
          <w:szCs w:val="24"/>
          <w:lang w:val="en-US" w:eastAsia="pt-BR"/>
        </w:rPr>
        <w:t>Dominion of the North</w:t>
      </w:r>
      <w:r>
        <w:rPr>
          <w:rFonts w:ascii="Times New Roman" w:eastAsia="Times New Roman" w:hAnsi="Times New Roman" w:cs="Times New Roman"/>
          <w:sz w:val="24"/>
          <w:szCs w:val="24"/>
          <w:lang w:val="en-US" w:eastAsia="pt-BR"/>
        </w:rPr>
        <w:t>: A History of Canada. Toronto: Macmillan Company of Canada, 1957.</w:t>
      </w:r>
    </w:p>
    <w:p w:rsidR="00D64BE2" w:rsidRDefault="00D64BE2" w:rsidP="006C51F9">
      <w:pPr>
        <w:spacing w:before="120" w:after="0" w:line="24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DALES, J.H. </w:t>
      </w:r>
      <w:r w:rsidRPr="00D64BE2">
        <w:rPr>
          <w:rFonts w:ascii="Times New Roman" w:eastAsia="Times New Roman" w:hAnsi="Times New Roman" w:cs="Times New Roman"/>
          <w:b/>
          <w:sz w:val="24"/>
          <w:szCs w:val="24"/>
          <w:lang w:val="en-US" w:eastAsia="pt-BR"/>
        </w:rPr>
        <w:t>The Protective Tariff in Canada’s Economic Development</w:t>
      </w:r>
      <w:r>
        <w:rPr>
          <w:rFonts w:ascii="Times New Roman" w:eastAsia="Times New Roman" w:hAnsi="Times New Roman" w:cs="Times New Roman"/>
          <w:sz w:val="24"/>
          <w:szCs w:val="24"/>
          <w:lang w:val="en-US" w:eastAsia="pt-BR"/>
        </w:rPr>
        <w:t>. Toronto: University of Toronto Press, 1966.</w:t>
      </w:r>
    </w:p>
    <w:p w:rsidR="00047CB9" w:rsidRDefault="00047CB9" w:rsidP="006C51F9">
      <w:pPr>
        <w:spacing w:before="120" w:after="0" w:line="240" w:lineRule="auto"/>
        <w:jc w:val="both"/>
        <w:rPr>
          <w:rFonts w:ascii="Times New Roman" w:eastAsia="Times New Roman" w:hAnsi="Times New Roman" w:cs="Times New Roman"/>
          <w:sz w:val="24"/>
          <w:szCs w:val="24"/>
          <w:lang w:val="en-US" w:eastAsia="pt-BR"/>
        </w:rPr>
      </w:pPr>
      <w:r w:rsidRPr="00E51225">
        <w:rPr>
          <w:rFonts w:ascii="Times New Roman" w:eastAsia="Times New Roman" w:hAnsi="Times New Roman" w:cs="Times New Roman"/>
          <w:sz w:val="24"/>
          <w:szCs w:val="24"/>
          <w:lang w:val="en-US" w:eastAsia="pt-BR"/>
        </w:rPr>
        <w:t xml:space="preserve">FIRESTONE, O. J. </w:t>
      </w:r>
      <w:r w:rsidRPr="007A1069">
        <w:rPr>
          <w:rFonts w:ascii="Times New Roman" w:eastAsia="Times New Roman" w:hAnsi="Times New Roman" w:cs="Times New Roman"/>
          <w:b/>
          <w:sz w:val="24"/>
          <w:szCs w:val="24"/>
          <w:lang w:val="en-US" w:eastAsia="pt-BR"/>
        </w:rPr>
        <w:t>Canada’s Economic Development</w:t>
      </w:r>
      <w:r w:rsidRPr="00E51225">
        <w:rPr>
          <w:rFonts w:ascii="Times New Roman" w:eastAsia="Times New Roman" w:hAnsi="Times New Roman" w:cs="Times New Roman"/>
          <w:sz w:val="24"/>
          <w:szCs w:val="24"/>
          <w:lang w:val="en-US" w:eastAsia="pt-BR"/>
        </w:rPr>
        <w:t>: 1867- 1953. London: Bowes &amp; Bowes, 1958.</w:t>
      </w:r>
    </w:p>
    <w:p w:rsidR="00047CB9" w:rsidRDefault="00F93D58" w:rsidP="006C51F9">
      <w:pPr>
        <w:spacing w:before="120" w:after="0" w:line="24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F</w:t>
      </w:r>
      <w:r w:rsidR="00047CB9" w:rsidRPr="00E51225">
        <w:rPr>
          <w:rFonts w:ascii="Times New Roman" w:eastAsia="Times New Roman" w:hAnsi="Times New Roman" w:cs="Times New Roman"/>
          <w:sz w:val="24"/>
          <w:szCs w:val="24"/>
          <w:lang w:val="en-US" w:eastAsia="pt-BR"/>
        </w:rPr>
        <w:t xml:space="preserve">RANCIS, R; SMITH, D; JONES, R. </w:t>
      </w:r>
      <w:r w:rsidR="00047CB9" w:rsidRPr="007A1069">
        <w:rPr>
          <w:rFonts w:ascii="Times New Roman" w:eastAsia="Times New Roman" w:hAnsi="Times New Roman" w:cs="Times New Roman"/>
          <w:b/>
          <w:sz w:val="24"/>
          <w:szCs w:val="24"/>
          <w:lang w:val="en-US" w:eastAsia="pt-BR"/>
        </w:rPr>
        <w:t>Journeys</w:t>
      </w:r>
      <w:r w:rsidR="00047CB9" w:rsidRPr="00E51225">
        <w:rPr>
          <w:rFonts w:ascii="Times New Roman" w:eastAsia="Times New Roman" w:hAnsi="Times New Roman" w:cs="Times New Roman"/>
          <w:sz w:val="24"/>
          <w:szCs w:val="24"/>
          <w:lang w:val="en-US" w:eastAsia="pt-BR"/>
        </w:rPr>
        <w:t>: A History of Canada. Scarborough: Nelson Education LTD, 20</w:t>
      </w:r>
      <w:r w:rsidR="00495602" w:rsidRPr="00E51225">
        <w:rPr>
          <w:rFonts w:ascii="Times New Roman" w:eastAsia="Times New Roman" w:hAnsi="Times New Roman" w:cs="Times New Roman"/>
          <w:sz w:val="24"/>
          <w:szCs w:val="24"/>
          <w:lang w:val="en-US" w:eastAsia="pt-BR"/>
        </w:rPr>
        <w:t>10</w:t>
      </w:r>
      <w:r w:rsidR="00047CB9" w:rsidRPr="00E51225">
        <w:rPr>
          <w:rFonts w:ascii="Times New Roman" w:eastAsia="Times New Roman" w:hAnsi="Times New Roman" w:cs="Times New Roman"/>
          <w:sz w:val="24"/>
          <w:szCs w:val="24"/>
          <w:lang w:val="en-US" w:eastAsia="pt-BR"/>
        </w:rPr>
        <w:t>.</w:t>
      </w:r>
    </w:p>
    <w:p w:rsidR="0070253D" w:rsidRPr="00E51225" w:rsidRDefault="0070253D" w:rsidP="006C51F9">
      <w:pPr>
        <w:spacing w:before="120" w:after="0" w:line="24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GERSHENKRON, A. </w:t>
      </w:r>
      <w:r w:rsidRPr="007A1069">
        <w:rPr>
          <w:rFonts w:ascii="Times New Roman" w:eastAsia="Times New Roman" w:hAnsi="Times New Roman" w:cs="Times New Roman"/>
          <w:b/>
          <w:sz w:val="24"/>
          <w:szCs w:val="24"/>
          <w:lang w:val="en-US" w:eastAsia="pt-BR"/>
        </w:rPr>
        <w:t>Economic Backwardness in Historical Perspectives</w:t>
      </w:r>
      <w:r>
        <w:rPr>
          <w:rFonts w:ascii="Times New Roman" w:eastAsia="Times New Roman" w:hAnsi="Times New Roman" w:cs="Times New Roman"/>
          <w:sz w:val="24"/>
          <w:szCs w:val="24"/>
          <w:lang w:val="en-US" w:eastAsia="pt-BR"/>
        </w:rPr>
        <w:t>. Cambridge: Belknap Press, 1962.</w:t>
      </w:r>
    </w:p>
    <w:p w:rsidR="00A66103" w:rsidRPr="00E51225" w:rsidRDefault="00E30863" w:rsidP="006C51F9">
      <w:pPr>
        <w:spacing w:before="120" w:after="0" w:line="240" w:lineRule="auto"/>
        <w:jc w:val="both"/>
        <w:rPr>
          <w:rFonts w:ascii="Times New Roman" w:eastAsia="Times New Roman" w:hAnsi="Times New Roman" w:cs="Times New Roman"/>
          <w:sz w:val="24"/>
          <w:szCs w:val="24"/>
          <w:lang w:val="en-US" w:eastAsia="pt-BR"/>
        </w:rPr>
      </w:pPr>
      <w:r w:rsidRPr="00E51225">
        <w:rPr>
          <w:rFonts w:ascii="Times New Roman" w:eastAsia="Times New Roman" w:hAnsi="Times New Roman" w:cs="Times New Roman"/>
          <w:sz w:val="24"/>
          <w:szCs w:val="24"/>
          <w:lang w:val="en-US" w:eastAsia="pt-BR"/>
        </w:rPr>
        <w:t>GLAZERBROOK, G.P.</w:t>
      </w:r>
      <w:r w:rsidR="00047CB9" w:rsidRPr="00E51225">
        <w:rPr>
          <w:rFonts w:ascii="Times New Roman" w:eastAsia="Times New Roman" w:hAnsi="Times New Roman" w:cs="Times New Roman"/>
          <w:sz w:val="24"/>
          <w:szCs w:val="24"/>
          <w:lang w:val="en-US" w:eastAsia="pt-BR"/>
        </w:rPr>
        <w:t xml:space="preserve"> </w:t>
      </w:r>
      <w:r w:rsidR="00047CB9" w:rsidRPr="007A1069">
        <w:rPr>
          <w:rFonts w:ascii="Times New Roman" w:eastAsia="Times New Roman" w:hAnsi="Times New Roman" w:cs="Times New Roman"/>
          <w:b/>
          <w:sz w:val="24"/>
          <w:szCs w:val="24"/>
          <w:lang w:val="en-US" w:eastAsia="pt-BR"/>
        </w:rPr>
        <w:t>A History of Transportation in Canada.</w:t>
      </w:r>
      <w:r w:rsidR="00047CB9" w:rsidRPr="00E51225">
        <w:rPr>
          <w:rFonts w:ascii="Times New Roman" w:eastAsia="Times New Roman" w:hAnsi="Times New Roman" w:cs="Times New Roman"/>
          <w:sz w:val="24"/>
          <w:szCs w:val="24"/>
          <w:lang w:val="en-US" w:eastAsia="pt-BR"/>
        </w:rPr>
        <w:t xml:space="preserve"> Toronto: McClelland and Stewart, 1964.</w:t>
      </w:r>
    </w:p>
    <w:p w:rsidR="000E2D81" w:rsidRPr="00E51225" w:rsidRDefault="000E2D81" w:rsidP="006C51F9">
      <w:pPr>
        <w:spacing w:before="120" w:after="0" w:line="240" w:lineRule="auto"/>
        <w:jc w:val="both"/>
        <w:rPr>
          <w:rFonts w:ascii="Times New Roman" w:eastAsia="Times New Roman" w:hAnsi="Times New Roman" w:cs="Times New Roman"/>
          <w:sz w:val="24"/>
          <w:szCs w:val="24"/>
          <w:lang w:val="en-US" w:eastAsia="pt-BR"/>
        </w:rPr>
      </w:pPr>
      <w:r w:rsidRPr="00E51225">
        <w:rPr>
          <w:rFonts w:ascii="Times New Roman" w:eastAsia="Times New Roman" w:hAnsi="Times New Roman" w:cs="Times New Roman"/>
          <w:sz w:val="24"/>
          <w:szCs w:val="24"/>
          <w:lang w:val="en-US" w:eastAsia="pt-BR"/>
        </w:rPr>
        <w:lastRenderedPageBreak/>
        <w:t xml:space="preserve">GWYN, Richard. </w:t>
      </w:r>
      <w:r w:rsidRPr="007A1069">
        <w:rPr>
          <w:rFonts w:ascii="Times New Roman" w:eastAsia="Times New Roman" w:hAnsi="Times New Roman" w:cs="Times New Roman"/>
          <w:b/>
          <w:sz w:val="24"/>
          <w:szCs w:val="24"/>
          <w:lang w:val="en-US" w:eastAsia="pt-BR"/>
        </w:rPr>
        <w:t>Nation Maker</w:t>
      </w:r>
      <w:r w:rsidRPr="00E51225">
        <w:rPr>
          <w:rFonts w:ascii="Times New Roman" w:eastAsia="Times New Roman" w:hAnsi="Times New Roman" w:cs="Times New Roman"/>
          <w:sz w:val="24"/>
          <w:szCs w:val="24"/>
          <w:lang w:val="en-US" w:eastAsia="pt-BR"/>
        </w:rPr>
        <w:t>: Sir. John A. Macdonald: His Life, Our Times, 1867-1891, vol.2. Toronto: Random House of Canada, 2011.</w:t>
      </w:r>
    </w:p>
    <w:p w:rsidR="00120C2A" w:rsidRPr="00120C2A" w:rsidRDefault="00120C2A" w:rsidP="006C51F9">
      <w:pPr>
        <w:spacing w:before="120" w:after="0" w:line="240" w:lineRule="auto"/>
        <w:jc w:val="both"/>
        <w:rPr>
          <w:rFonts w:ascii="Times New Roman" w:eastAsia="Times New Roman" w:hAnsi="Times New Roman" w:cs="Times New Roman"/>
          <w:sz w:val="24"/>
          <w:szCs w:val="24"/>
          <w:lang w:val="en-US" w:eastAsia="pt-BR"/>
        </w:rPr>
      </w:pPr>
      <w:r w:rsidRPr="00120C2A">
        <w:rPr>
          <w:rFonts w:ascii="Times New Roman" w:eastAsia="Times New Roman" w:hAnsi="Times New Roman" w:cs="Times New Roman"/>
          <w:sz w:val="24"/>
          <w:szCs w:val="24"/>
          <w:lang w:val="en-US" w:eastAsia="pt-BR"/>
        </w:rPr>
        <w:t xml:space="preserve">HARRIS, R; KEAY, I.; LEWIS, F. </w:t>
      </w:r>
      <w:r w:rsidRPr="00120C2A">
        <w:rPr>
          <w:rFonts w:ascii="Times New Roman" w:eastAsia="Times New Roman" w:hAnsi="Times New Roman" w:cs="Times New Roman"/>
          <w:b/>
          <w:sz w:val="24"/>
          <w:szCs w:val="24"/>
          <w:lang w:val="en-US" w:eastAsia="pt-BR"/>
        </w:rPr>
        <w:t>Protecting Infant Industries</w:t>
      </w:r>
      <w:r w:rsidRPr="00120C2A">
        <w:rPr>
          <w:rFonts w:ascii="Times New Roman" w:eastAsia="Times New Roman" w:hAnsi="Times New Roman" w:cs="Times New Roman"/>
          <w:sz w:val="24"/>
          <w:szCs w:val="24"/>
          <w:lang w:val="en-US" w:eastAsia="pt-BR"/>
        </w:rPr>
        <w:t>: Canadian Manufacturing and the National Policy (1870-1913). Explorations in Economic History, vol.56, p. 15-31, 2015.</w:t>
      </w:r>
    </w:p>
    <w:p w:rsidR="00047CB9" w:rsidRPr="00E51225" w:rsidRDefault="00047CB9" w:rsidP="006C51F9">
      <w:pPr>
        <w:spacing w:before="120" w:after="0" w:line="240" w:lineRule="auto"/>
        <w:jc w:val="both"/>
        <w:rPr>
          <w:rFonts w:ascii="Times New Roman" w:eastAsia="Times New Roman" w:hAnsi="Times New Roman" w:cs="Times New Roman"/>
          <w:color w:val="000000" w:themeColor="text1"/>
          <w:sz w:val="24"/>
          <w:szCs w:val="24"/>
          <w:lang w:val="en-US" w:eastAsia="pt-BR"/>
        </w:rPr>
      </w:pPr>
      <w:r w:rsidRPr="00E51225">
        <w:rPr>
          <w:rFonts w:ascii="Times New Roman" w:eastAsia="Times New Roman" w:hAnsi="Times New Roman" w:cs="Times New Roman"/>
          <w:color w:val="000000" w:themeColor="text1"/>
          <w:sz w:val="24"/>
          <w:szCs w:val="24"/>
          <w:lang w:val="en-US" w:eastAsia="pt-BR"/>
        </w:rPr>
        <w:t xml:space="preserve">HART, Michael. </w:t>
      </w:r>
      <w:r w:rsidRPr="00E51225">
        <w:rPr>
          <w:rFonts w:ascii="Times New Roman" w:eastAsia="Times New Roman" w:hAnsi="Times New Roman" w:cs="Times New Roman"/>
          <w:b/>
          <w:color w:val="000000" w:themeColor="text1"/>
          <w:sz w:val="24"/>
          <w:szCs w:val="24"/>
          <w:lang w:val="en-US" w:eastAsia="pt-BR"/>
        </w:rPr>
        <w:t>A Trading Nation</w:t>
      </w:r>
      <w:r w:rsidRPr="00E51225">
        <w:rPr>
          <w:rFonts w:ascii="Times New Roman" w:eastAsia="Times New Roman" w:hAnsi="Times New Roman" w:cs="Times New Roman"/>
          <w:color w:val="000000" w:themeColor="text1"/>
          <w:sz w:val="24"/>
          <w:szCs w:val="24"/>
          <w:lang w:val="en-US" w:eastAsia="pt-BR"/>
        </w:rPr>
        <w:t>: Canadian Trade Policy from Colonialism to Globalization. Vancouver: UBC Press, 2002.</w:t>
      </w:r>
    </w:p>
    <w:p w:rsidR="00851A0C" w:rsidRPr="00E51225" w:rsidRDefault="00851A0C" w:rsidP="006C51F9">
      <w:pPr>
        <w:spacing w:before="120" w:after="0" w:line="240" w:lineRule="auto"/>
        <w:jc w:val="both"/>
        <w:rPr>
          <w:rFonts w:ascii="Times New Roman" w:eastAsia="Times New Roman" w:hAnsi="Times New Roman" w:cs="Times New Roman"/>
          <w:color w:val="000000" w:themeColor="text1"/>
          <w:sz w:val="24"/>
          <w:szCs w:val="24"/>
          <w:lang w:val="en-US" w:eastAsia="pt-BR"/>
        </w:rPr>
      </w:pPr>
      <w:r w:rsidRPr="00E51225">
        <w:rPr>
          <w:rFonts w:ascii="Times New Roman" w:eastAsia="Times New Roman" w:hAnsi="Times New Roman" w:cs="Times New Roman"/>
          <w:color w:val="000000" w:themeColor="text1"/>
          <w:sz w:val="24"/>
          <w:szCs w:val="24"/>
          <w:lang w:val="en-US" w:eastAsia="pt-BR"/>
        </w:rPr>
        <w:t xml:space="preserve">HOPKINS, J. Castell. </w:t>
      </w:r>
      <w:r w:rsidRPr="00E51225">
        <w:rPr>
          <w:rFonts w:ascii="Times New Roman" w:eastAsia="Times New Roman" w:hAnsi="Times New Roman" w:cs="Times New Roman"/>
          <w:b/>
          <w:color w:val="000000" w:themeColor="text1"/>
          <w:sz w:val="24"/>
          <w:szCs w:val="24"/>
          <w:lang w:val="en-US" w:eastAsia="pt-BR"/>
        </w:rPr>
        <w:t>The Canadian Annual Review of Public Affairs</w:t>
      </w:r>
      <w:r w:rsidRPr="00E51225">
        <w:rPr>
          <w:rFonts w:ascii="Times New Roman" w:eastAsia="Times New Roman" w:hAnsi="Times New Roman" w:cs="Times New Roman"/>
          <w:color w:val="000000" w:themeColor="text1"/>
          <w:sz w:val="24"/>
          <w:szCs w:val="24"/>
          <w:lang w:val="en-US" w:eastAsia="pt-BR"/>
        </w:rPr>
        <w:t>: 1921. Toronto: The Canadian Review Company Limited, 1922.</w:t>
      </w:r>
    </w:p>
    <w:p w:rsidR="0021591B" w:rsidRPr="00E51225" w:rsidRDefault="0021591B" w:rsidP="006C51F9">
      <w:pPr>
        <w:spacing w:before="120" w:after="0" w:line="240" w:lineRule="auto"/>
        <w:jc w:val="both"/>
        <w:rPr>
          <w:rFonts w:ascii="Times New Roman" w:eastAsia="Times New Roman" w:hAnsi="Times New Roman" w:cs="Times New Roman"/>
          <w:color w:val="000000" w:themeColor="text1"/>
          <w:sz w:val="24"/>
          <w:szCs w:val="24"/>
          <w:lang w:val="en-US" w:eastAsia="pt-BR"/>
        </w:rPr>
      </w:pPr>
      <w:r w:rsidRPr="00E51225">
        <w:rPr>
          <w:rFonts w:ascii="Times New Roman" w:eastAsia="Times New Roman" w:hAnsi="Times New Roman" w:cs="Times New Roman"/>
          <w:color w:val="000000" w:themeColor="text1"/>
          <w:sz w:val="24"/>
          <w:szCs w:val="24"/>
          <w:lang w:val="en-US" w:eastAsia="pt-BR"/>
        </w:rPr>
        <w:t xml:space="preserve">INNIS, Harold. A. </w:t>
      </w:r>
      <w:r w:rsidRPr="00E51225">
        <w:rPr>
          <w:rFonts w:ascii="Times New Roman" w:eastAsia="Times New Roman" w:hAnsi="Times New Roman" w:cs="Times New Roman"/>
          <w:b/>
          <w:color w:val="000000" w:themeColor="text1"/>
          <w:sz w:val="24"/>
          <w:szCs w:val="24"/>
          <w:lang w:val="en-US" w:eastAsia="pt-BR"/>
        </w:rPr>
        <w:t>A History of the Canadian Pacific Railway</w:t>
      </w:r>
      <w:r w:rsidRPr="00E51225">
        <w:rPr>
          <w:rFonts w:ascii="Times New Roman" w:eastAsia="Times New Roman" w:hAnsi="Times New Roman" w:cs="Times New Roman"/>
          <w:color w:val="000000" w:themeColor="text1"/>
          <w:sz w:val="24"/>
          <w:szCs w:val="24"/>
          <w:lang w:val="en-US" w:eastAsia="pt-BR"/>
        </w:rPr>
        <w:t>. Toronto: McClelland and Stewart, 1923.</w:t>
      </w:r>
    </w:p>
    <w:p w:rsidR="00A72476" w:rsidRPr="00E51225" w:rsidRDefault="00A72476" w:rsidP="002A3D24">
      <w:pPr>
        <w:spacing w:before="120" w:after="0" w:line="240" w:lineRule="auto"/>
        <w:jc w:val="both"/>
        <w:rPr>
          <w:rFonts w:ascii="Times New Roman" w:eastAsia="Times New Roman" w:hAnsi="Times New Roman" w:cs="Times New Roman"/>
          <w:color w:val="000000" w:themeColor="text1"/>
          <w:sz w:val="24"/>
          <w:szCs w:val="24"/>
          <w:lang w:val="en-US" w:eastAsia="pt-BR"/>
        </w:rPr>
      </w:pPr>
      <w:r w:rsidRPr="00E51225">
        <w:rPr>
          <w:rFonts w:ascii="Times New Roman" w:eastAsia="Times New Roman" w:hAnsi="Times New Roman" w:cs="Times New Roman"/>
          <w:color w:val="000000" w:themeColor="text1"/>
          <w:sz w:val="24"/>
          <w:szCs w:val="24"/>
          <w:lang w:val="en-US" w:eastAsia="pt-BR"/>
        </w:rPr>
        <w:t xml:space="preserve">KERR, D.G. </w:t>
      </w:r>
      <w:r w:rsidRPr="00E51225">
        <w:rPr>
          <w:rFonts w:ascii="Times New Roman" w:eastAsia="Times New Roman" w:hAnsi="Times New Roman" w:cs="Times New Roman"/>
          <w:b/>
          <w:color w:val="000000" w:themeColor="text1"/>
          <w:sz w:val="24"/>
          <w:szCs w:val="24"/>
          <w:lang w:val="en-US" w:eastAsia="pt-BR"/>
        </w:rPr>
        <w:t>Historical Atlas of Canada</w:t>
      </w:r>
      <w:r w:rsidRPr="00E51225">
        <w:rPr>
          <w:rFonts w:ascii="Times New Roman" w:eastAsia="Times New Roman" w:hAnsi="Times New Roman" w:cs="Times New Roman"/>
          <w:color w:val="000000" w:themeColor="text1"/>
          <w:sz w:val="24"/>
          <w:szCs w:val="24"/>
          <w:lang w:val="en-US" w:eastAsia="pt-BR"/>
        </w:rPr>
        <w:t>. Toronto: Thomas Nelson &amp; Sons, 1981.</w:t>
      </w:r>
    </w:p>
    <w:p w:rsidR="00CD75C0" w:rsidRPr="00E51225" w:rsidRDefault="00CD75C0" w:rsidP="002A3D24">
      <w:pPr>
        <w:spacing w:before="120" w:after="0" w:line="240" w:lineRule="auto"/>
        <w:jc w:val="both"/>
        <w:rPr>
          <w:rFonts w:ascii="Times New Roman" w:eastAsia="Times New Roman" w:hAnsi="Times New Roman" w:cs="Times New Roman"/>
          <w:color w:val="000000" w:themeColor="text1"/>
          <w:sz w:val="24"/>
          <w:szCs w:val="24"/>
          <w:lang w:val="en-US" w:eastAsia="pt-BR"/>
        </w:rPr>
      </w:pPr>
      <w:r w:rsidRPr="00E51225">
        <w:rPr>
          <w:rFonts w:ascii="Times New Roman" w:eastAsia="Times New Roman" w:hAnsi="Times New Roman" w:cs="Times New Roman"/>
          <w:color w:val="000000" w:themeColor="text1"/>
          <w:sz w:val="24"/>
          <w:szCs w:val="24"/>
          <w:lang w:val="en-US" w:eastAsia="pt-BR"/>
        </w:rPr>
        <w:t xml:space="preserve">KUBAT, D; THORNTON, David. </w:t>
      </w:r>
      <w:r w:rsidRPr="00E51225">
        <w:rPr>
          <w:rFonts w:ascii="Times New Roman" w:eastAsia="Times New Roman" w:hAnsi="Times New Roman" w:cs="Times New Roman"/>
          <w:b/>
          <w:color w:val="000000" w:themeColor="text1"/>
          <w:sz w:val="24"/>
          <w:szCs w:val="24"/>
          <w:lang w:val="en-US" w:eastAsia="pt-BR"/>
        </w:rPr>
        <w:t>A Statistical Profile of Canadian Society</w:t>
      </w:r>
      <w:r w:rsidRPr="00E51225">
        <w:rPr>
          <w:rFonts w:ascii="Times New Roman" w:eastAsia="Times New Roman" w:hAnsi="Times New Roman" w:cs="Times New Roman"/>
          <w:color w:val="000000" w:themeColor="text1"/>
          <w:sz w:val="24"/>
          <w:szCs w:val="24"/>
          <w:lang w:val="en-US" w:eastAsia="pt-BR"/>
        </w:rPr>
        <w:t>. Toronto: McGraw- Hill, 1974.</w:t>
      </w:r>
    </w:p>
    <w:p w:rsidR="00ED68B1" w:rsidRPr="00E51225" w:rsidRDefault="00ED68B1" w:rsidP="002A3D24">
      <w:pPr>
        <w:spacing w:before="120" w:after="0" w:line="240" w:lineRule="auto"/>
        <w:jc w:val="both"/>
        <w:rPr>
          <w:rFonts w:ascii="Times New Roman" w:eastAsia="Times New Roman" w:hAnsi="Times New Roman" w:cs="Times New Roman"/>
          <w:color w:val="000000" w:themeColor="text1"/>
          <w:sz w:val="24"/>
          <w:szCs w:val="24"/>
          <w:lang w:val="en-US" w:eastAsia="pt-BR"/>
        </w:rPr>
      </w:pPr>
      <w:r w:rsidRPr="00E51225">
        <w:rPr>
          <w:rFonts w:ascii="Times New Roman" w:eastAsia="Times New Roman" w:hAnsi="Times New Roman" w:cs="Times New Roman"/>
          <w:color w:val="000000" w:themeColor="text1"/>
          <w:sz w:val="24"/>
          <w:szCs w:val="24"/>
          <w:lang w:val="en-US" w:eastAsia="pt-BR"/>
        </w:rPr>
        <w:t xml:space="preserve">LEHR, John; EVERITT, John; EVANS, Simon. </w:t>
      </w:r>
      <w:r w:rsidRPr="00E51225">
        <w:rPr>
          <w:rFonts w:ascii="Times New Roman" w:eastAsia="Times New Roman" w:hAnsi="Times New Roman" w:cs="Times New Roman"/>
          <w:b/>
          <w:color w:val="000000" w:themeColor="text1"/>
          <w:sz w:val="24"/>
          <w:szCs w:val="24"/>
          <w:lang w:val="en-US" w:eastAsia="pt-BR"/>
        </w:rPr>
        <w:t>The Making of the Prairie Landscape</w:t>
      </w:r>
      <w:r w:rsidRPr="00E51225">
        <w:rPr>
          <w:rFonts w:ascii="Times New Roman" w:eastAsia="Times New Roman" w:hAnsi="Times New Roman" w:cs="Times New Roman"/>
          <w:color w:val="000000" w:themeColor="text1"/>
          <w:sz w:val="24"/>
          <w:szCs w:val="24"/>
          <w:lang w:val="en-US" w:eastAsia="pt-BR"/>
        </w:rPr>
        <w:t>. In: MARCHILDON, Gregory. Immigration and Settlement, 1870-1939. Regina: University of Regina Press, 2009.</w:t>
      </w:r>
    </w:p>
    <w:p w:rsidR="00B83734" w:rsidRDefault="009A2B37" w:rsidP="002A3D24">
      <w:pPr>
        <w:spacing w:before="120" w:after="0" w:line="240" w:lineRule="auto"/>
        <w:jc w:val="both"/>
        <w:rPr>
          <w:rFonts w:ascii="Times New Roman" w:eastAsia="Times New Roman" w:hAnsi="Times New Roman" w:cs="Times New Roman"/>
          <w:color w:val="000000" w:themeColor="text1"/>
          <w:sz w:val="24"/>
          <w:szCs w:val="24"/>
          <w:lang w:eastAsia="pt-BR"/>
        </w:rPr>
      </w:pPr>
      <w:r w:rsidRPr="00E51225">
        <w:rPr>
          <w:rFonts w:ascii="Times New Roman" w:eastAsia="Times New Roman" w:hAnsi="Times New Roman" w:cs="Times New Roman"/>
          <w:color w:val="000000" w:themeColor="text1"/>
          <w:sz w:val="24"/>
          <w:szCs w:val="24"/>
          <w:lang w:eastAsia="pt-BR"/>
        </w:rPr>
        <w:t>MACDONALD, John A</w:t>
      </w:r>
      <w:r w:rsidR="00E90A35" w:rsidRPr="00E51225">
        <w:rPr>
          <w:rFonts w:ascii="Times New Roman" w:eastAsia="Times New Roman" w:hAnsi="Times New Roman" w:cs="Times New Roman"/>
          <w:color w:val="000000" w:themeColor="text1"/>
          <w:sz w:val="24"/>
          <w:szCs w:val="24"/>
          <w:lang w:eastAsia="pt-BR"/>
        </w:rPr>
        <w:t>.</w:t>
      </w:r>
      <w:r w:rsidRPr="00E51225">
        <w:rPr>
          <w:rFonts w:ascii="Times New Roman" w:eastAsia="Times New Roman" w:hAnsi="Times New Roman" w:cs="Times New Roman"/>
          <w:color w:val="000000" w:themeColor="text1"/>
          <w:sz w:val="24"/>
          <w:szCs w:val="24"/>
          <w:lang w:eastAsia="pt-BR"/>
        </w:rPr>
        <w:t xml:space="preserve"> </w:t>
      </w:r>
      <w:r w:rsidR="005C3DB1" w:rsidRPr="00E51225">
        <w:rPr>
          <w:rFonts w:ascii="Times New Roman" w:eastAsia="Times New Roman" w:hAnsi="Times New Roman" w:cs="Times New Roman"/>
          <w:b/>
          <w:color w:val="000000" w:themeColor="text1"/>
          <w:sz w:val="24"/>
          <w:szCs w:val="24"/>
          <w:lang w:eastAsia="pt-BR"/>
        </w:rPr>
        <w:t>House of Commons Debates</w:t>
      </w:r>
      <w:r w:rsidR="005C3DB1" w:rsidRPr="00E51225">
        <w:rPr>
          <w:rFonts w:ascii="Times New Roman" w:eastAsia="Times New Roman" w:hAnsi="Times New Roman" w:cs="Times New Roman"/>
          <w:color w:val="000000" w:themeColor="text1"/>
          <w:sz w:val="24"/>
          <w:szCs w:val="24"/>
          <w:lang w:eastAsia="pt-BR"/>
        </w:rPr>
        <w:t xml:space="preserve">, march 7, 1878. </w:t>
      </w:r>
      <w:r w:rsidR="00B83734" w:rsidRPr="00E51225">
        <w:rPr>
          <w:rFonts w:ascii="Times New Roman" w:eastAsia="Times New Roman" w:hAnsi="Times New Roman" w:cs="Times New Roman"/>
          <w:color w:val="000000" w:themeColor="text1"/>
          <w:sz w:val="24"/>
          <w:szCs w:val="24"/>
          <w:lang w:eastAsia="pt-BR"/>
        </w:rPr>
        <w:t xml:space="preserve">Disponível em: </w:t>
      </w:r>
      <w:hyperlink r:id="rId11" w:history="1">
        <w:r w:rsidR="00B83734" w:rsidRPr="00E51225">
          <w:rPr>
            <w:rStyle w:val="Hyperlink"/>
            <w:rFonts w:ascii="Times New Roman" w:eastAsia="Times New Roman" w:hAnsi="Times New Roman" w:cs="Times New Roman"/>
            <w:color w:val="000000" w:themeColor="text1"/>
            <w:sz w:val="24"/>
            <w:szCs w:val="24"/>
            <w:u w:val="none"/>
            <w:lang w:eastAsia="pt-BR"/>
          </w:rPr>
          <w:t>http://parl.canadiana.ca/view/oop.debates_HOC0305_01/890?r=0&amp;s=1</w:t>
        </w:r>
      </w:hyperlink>
      <w:r w:rsidR="00B83734" w:rsidRPr="00E51225">
        <w:rPr>
          <w:rFonts w:ascii="Times New Roman" w:eastAsia="Times New Roman" w:hAnsi="Times New Roman" w:cs="Times New Roman"/>
          <w:color w:val="000000" w:themeColor="text1"/>
          <w:sz w:val="24"/>
          <w:szCs w:val="24"/>
          <w:lang w:eastAsia="pt-BR"/>
        </w:rPr>
        <w:t>.Visualizado em; 09/12/2015.</w:t>
      </w:r>
    </w:p>
    <w:p w:rsidR="008B6730" w:rsidRPr="00E51225" w:rsidRDefault="008B6730" w:rsidP="002A3D24">
      <w:pPr>
        <w:spacing w:before="120" w:after="0" w:line="240" w:lineRule="auto"/>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t xml:space="preserve">MARCHILDON, Gregory. </w:t>
      </w:r>
      <w:r w:rsidRPr="008B6730">
        <w:rPr>
          <w:rFonts w:ascii="Times New Roman" w:eastAsia="Times New Roman" w:hAnsi="Times New Roman" w:cs="Times New Roman"/>
          <w:b/>
          <w:color w:val="000000" w:themeColor="text1"/>
          <w:sz w:val="24"/>
          <w:szCs w:val="24"/>
          <w:lang w:eastAsia="pt-BR"/>
        </w:rPr>
        <w:t>Introduction to Immigration and Settlement</w:t>
      </w:r>
      <w:r>
        <w:rPr>
          <w:rFonts w:ascii="Times New Roman" w:eastAsia="Times New Roman" w:hAnsi="Times New Roman" w:cs="Times New Roman"/>
          <w:color w:val="000000" w:themeColor="text1"/>
          <w:sz w:val="24"/>
          <w:szCs w:val="24"/>
          <w:lang w:eastAsia="pt-BR"/>
        </w:rPr>
        <w:t>: 1870-1939.</w:t>
      </w:r>
      <w:r w:rsidRPr="008B6730">
        <w:t xml:space="preserve"> </w:t>
      </w:r>
      <w:r w:rsidRPr="008B6730">
        <w:rPr>
          <w:rFonts w:ascii="Times New Roman" w:eastAsia="Times New Roman" w:hAnsi="Times New Roman" w:cs="Times New Roman"/>
          <w:color w:val="000000" w:themeColor="text1"/>
          <w:sz w:val="24"/>
          <w:szCs w:val="24"/>
          <w:lang w:eastAsia="pt-BR"/>
        </w:rPr>
        <w:t>In: MARCHILDON, Gregory. Immigration and Settlement, 1870-1939. Regina: University of Regina Press, 2009.</w:t>
      </w:r>
    </w:p>
    <w:p w:rsidR="005D2E9D" w:rsidRPr="005D2E9D" w:rsidRDefault="005D2E9D" w:rsidP="002A3D24">
      <w:pPr>
        <w:spacing w:before="120" w:after="0" w:line="240" w:lineRule="auto"/>
        <w:jc w:val="both"/>
        <w:rPr>
          <w:rFonts w:ascii="Times New Roman" w:eastAsia="Times New Roman" w:hAnsi="Times New Roman" w:cs="Times New Roman"/>
          <w:sz w:val="24"/>
          <w:szCs w:val="24"/>
          <w:lang w:eastAsia="pt-BR"/>
        </w:rPr>
      </w:pPr>
      <w:r w:rsidRPr="005D2E9D">
        <w:rPr>
          <w:rFonts w:ascii="Times New Roman" w:eastAsia="Times New Roman" w:hAnsi="Times New Roman" w:cs="Times New Roman"/>
          <w:sz w:val="24"/>
          <w:szCs w:val="24"/>
          <w:lang w:eastAsia="pt-BR"/>
        </w:rPr>
        <w:t xml:space="preserve">MARR, W; PERCY, M. </w:t>
      </w:r>
      <w:r w:rsidRPr="005D2E9D">
        <w:rPr>
          <w:rFonts w:ascii="Times New Roman" w:eastAsia="Times New Roman" w:hAnsi="Times New Roman" w:cs="Times New Roman"/>
          <w:b/>
          <w:sz w:val="24"/>
          <w:szCs w:val="24"/>
          <w:lang w:eastAsia="pt-BR"/>
        </w:rPr>
        <w:t>The Government and the Rate of Prairie Settlement</w:t>
      </w:r>
      <w:r w:rsidRPr="005D2E9D">
        <w:rPr>
          <w:rFonts w:ascii="Times New Roman" w:eastAsia="Times New Roman" w:hAnsi="Times New Roman" w:cs="Times New Roman"/>
          <w:sz w:val="24"/>
          <w:szCs w:val="24"/>
          <w:lang w:eastAsia="pt-BR"/>
        </w:rPr>
        <w:t xml:space="preserve"> . Canadian Journal of Economics, V.11, p.757-767, 1978.</w:t>
      </w:r>
    </w:p>
    <w:p w:rsidR="00047CB9" w:rsidRPr="00E51225" w:rsidRDefault="00047CB9" w:rsidP="002A3D24">
      <w:pPr>
        <w:spacing w:before="120" w:after="0" w:line="240" w:lineRule="auto"/>
        <w:jc w:val="both"/>
        <w:rPr>
          <w:rFonts w:ascii="Times New Roman" w:eastAsia="Times New Roman" w:hAnsi="Times New Roman" w:cs="Times New Roman"/>
          <w:color w:val="000000" w:themeColor="text1"/>
          <w:sz w:val="24"/>
          <w:szCs w:val="24"/>
          <w:lang w:val="en-US" w:eastAsia="pt-BR"/>
        </w:rPr>
      </w:pPr>
      <w:r w:rsidRPr="00E51225">
        <w:rPr>
          <w:rFonts w:ascii="Times New Roman" w:eastAsia="Times New Roman" w:hAnsi="Times New Roman" w:cs="Times New Roman"/>
          <w:color w:val="000000" w:themeColor="text1"/>
          <w:sz w:val="24"/>
          <w:szCs w:val="24"/>
          <w:lang w:val="en-US" w:eastAsia="pt-BR"/>
        </w:rPr>
        <w:t xml:space="preserve">MARR, W. L.; PATERSON, D.G. </w:t>
      </w:r>
      <w:r w:rsidRPr="00E51225">
        <w:rPr>
          <w:rFonts w:ascii="Times New Roman" w:eastAsia="Times New Roman" w:hAnsi="Times New Roman" w:cs="Times New Roman"/>
          <w:b/>
          <w:color w:val="000000" w:themeColor="text1"/>
          <w:sz w:val="24"/>
          <w:szCs w:val="24"/>
          <w:lang w:val="en-US" w:eastAsia="pt-BR"/>
        </w:rPr>
        <w:t>Canada</w:t>
      </w:r>
      <w:r w:rsidRPr="00E51225">
        <w:rPr>
          <w:rFonts w:ascii="Times New Roman" w:eastAsia="Times New Roman" w:hAnsi="Times New Roman" w:cs="Times New Roman"/>
          <w:color w:val="000000" w:themeColor="text1"/>
          <w:sz w:val="24"/>
          <w:szCs w:val="24"/>
          <w:lang w:val="en-US" w:eastAsia="pt-BR"/>
        </w:rPr>
        <w:t>: An Economic History. Toronto: Macmillan, 1980.</w:t>
      </w:r>
    </w:p>
    <w:p w:rsidR="00066335" w:rsidRDefault="00066335" w:rsidP="002A3D24">
      <w:pPr>
        <w:spacing w:before="120" w:after="0" w:line="240" w:lineRule="auto"/>
        <w:jc w:val="both"/>
        <w:rPr>
          <w:rFonts w:ascii="Times New Roman" w:eastAsia="Times New Roman" w:hAnsi="Times New Roman" w:cs="Times New Roman"/>
          <w:sz w:val="24"/>
          <w:szCs w:val="24"/>
          <w:lang w:val="en-US" w:eastAsia="pt-BR"/>
        </w:rPr>
      </w:pPr>
      <w:r w:rsidRPr="00066335">
        <w:rPr>
          <w:rFonts w:ascii="Times New Roman" w:eastAsia="Times New Roman" w:hAnsi="Times New Roman" w:cs="Times New Roman"/>
          <w:sz w:val="24"/>
          <w:szCs w:val="24"/>
          <w:lang w:val="en-US" w:eastAsia="pt-BR"/>
        </w:rPr>
        <w:t xml:space="preserve">MARTIN, C. </w:t>
      </w:r>
      <w:r w:rsidRPr="00066335">
        <w:rPr>
          <w:rFonts w:ascii="Times New Roman" w:eastAsia="Times New Roman" w:hAnsi="Times New Roman" w:cs="Times New Roman"/>
          <w:b/>
          <w:sz w:val="24"/>
          <w:szCs w:val="24"/>
          <w:lang w:val="en-US" w:eastAsia="pt-BR"/>
        </w:rPr>
        <w:t>Dominion Lands Policy</w:t>
      </w:r>
      <w:r w:rsidRPr="00066335">
        <w:rPr>
          <w:rFonts w:ascii="Times New Roman" w:eastAsia="Times New Roman" w:hAnsi="Times New Roman" w:cs="Times New Roman"/>
          <w:sz w:val="24"/>
          <w:szCs w:val="24"/>
          <w:lang w:val="en-US" w:eastAsia="pt-BR"/>
        </w:rPr>
        <w:t>. Toronto: McClelland and Stewart, 1973.</w:t>
      </w:r>
    </w:p>
    <w:p w:rsidR="005D2E9D" w:rsidRDefault="005D2E9D" w:rsidP="002A3D24">
      <w:pPr>
        <w:spacing w:before="120" w:after="0" w:line="24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NORRIE, Kenneth. </w:t>
      </w:r>
      <w:r w:rsidRPr="005D2E9D">
        <w:rPr>
          <w:rFonts w:ascii="Times New Roman" w:eastAsia="Times New Roman" w:hAnsi="Times New Roman" w:cs="Times New Roman"/>
          <w:b/>
          <w:sz w:val="24"/>
          <w:szCs w:val="24"/>
          <w:lang w:val="en-US" w:eastAsia="pt-BR"/>
        </w:rPr>
        <w:t>The National Policy and the Rate of Prairie Settlement:</w:t>
      </w:r>
      <w:r>
        <w:rPr>
          <w:rFonts w:ascii="Times New Roman" w:eastAsia="Times New Roman" w:hAnsi="Times New Roman" w:cs="Times New Roman"/>
          <w:sz w:val="24"/>
          <w:szCs w:val="24"/>
          <w:lang w:val="en-US" w:eastAsia="pt-BR"/>
        </w:rPr>
        <w:t xml:space="preserve"> A Review. In: WATKINS, M.H.; GRANT, H.M. Canadian Economic History: Classic and Contemporary Approaches. Ottawa: Carleton University Press, 19</w:t>
      </w:r>
      <w:r w:rsidR="004A0EED">
        <w:rPr>
          <w:rFonts w:ascii="Times New Roman" w:eastAsia="Times New Roman" w:hAnsi="Times New Roman" w:cs="Times New Roman"/>
          <w:sz w:val="24"/>
          <w:szCs w:val="24"/>
          <w:lang w:val="en-US" w:eastAsia="pt-BR"/>
        </w:rPr>
        <w:t>9</w:t>
      </w:r>
      <w:r>
        <w:rPr>
          <w:rFonts w:ascii="Times New Roman" w:eastAsia="Times New Roman" w:hAnsi="Times New Roman" w:cs="Times New Roman"/>
          <w:sz w:val="24"/>
          <w:szCs w:val="24"/>
          <w:lang w:val="en-US" w:eastAsia="pt-BR"/>
        </w:rPr>
        <w:t>3.</w:t>
      </w:r>
    </w:p>
    <w:p w:rsidR="00DC5160" w:rsidRPr="00066335" w:rsidRDefault="00DC5160" w:rsidP="002A3D24">
      <w:pPr>
        <w:spacing w:before="120" w:after="0" w:line="24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NORRIE, Kenneth. </w:t>
      </w:r>
      <w:r w:rsidRPr="00DC5160">
        <w:rPr>
          <w:rFonts w:ascii="Times New Roman" w:eastAsia="Times New Roman" w:hAnsi="Times New Roman" w:cs="Times New Roman"/>
          <w:b/>
          <w:sz w:val="24"/>
          <w:szCs w:val="24"/>
          <w:lang w:val="en-US" w:eastAsia="pt-BR"/>
        </w:rPr>
        <w:t>Crow’s Nest Pass Agreement</w:t>
      </w:r>
      <w:r>
        <w:rPr>
          <w:rFonts w:ascii="Times New Roman" w:eastAsia="Times New Roman" w:hAnsi="Times New Roman" w:cs="Times New Roman"/>
          <w:sz w:val="24"/>
          <w:szCs w:val="24"/>
          <w:lang w:val="en-US" w:eastAsia="pt-BR"/>
        </w:rPr>
        <w:t>, 2006. Disponível em:</w:t>
      </w:r>
      <w:r w:rsidR="00EE652C">
        <w:rPr>
          <w:rFonts w:ascii="Times New Roman" w:eastAsia="Times New Roman" w:hAnsi="Times New Roman" w:cs="Times New Roman"/>
          <w:sz w:val="24"/>
          <w:szCs w:val="24"/>
          <w:lang w:val="en-US" w:eastAsia="pt-BR"/>
        </w:rPr>
        <w:t>&lt;</w:t>
      </w:r>
      <w:r>
        <w:rPr>
          <w:rFonts w:ascii="Times New Roman" w:eastAsia="Times New Roman" w:hAnsi="Times New Roman" w:cs="Times New Roman"/>
          <w:sz w:val="24"/>
          <w:szCs w:val="24"/>
          <w:lang w:val="en-US" w:eastAsia="pt-BR"/>
        </w:rPr>
        <w:t xml:space="preserve"> </w:t>
      </w:r>
      <w:hyperlink r:id="rId12" w:history="1">
        <w:r w:rsidRPr="003672F1">
          <w:rPr>
            <w:rStyle w:val="Hyperlink"/>
            <w:rFonts w:ascii="Times New Roman" w:eastAsia="Times New Roman" w:hAnsi="Times New Roman" w:cs="Times New Roman"/>
            <w:color w:val="auto"/>
            <w:sz w:val="24"/>
            <w:szCs w:val="24"/>
            <w:u w:val="none"/>
            <w:lang w:val="en-US" w:eastAsia="pt-BR"/>
          </w:rPr>
          <w:t>http://www.thecanadianencyclopedia.ca/en/article/crows-nest-pass-agreement/</w:t>
        </w:r>
      </w:hyperlink>
      <w:r>
        <w:rPr>
          <w:rFonts w:ascii="Times New Roman" w:eastAsia="Times New Roman" w:hAnsi="Times New Roman" w:cs="Times New Roman"/>
          <w:sz w:val="24"/>
          <w:szCs w:val="24"/>
          <w:lang w:val="en-US" w:eastAsia="pt-BR"/>
        </w:rPr>
        <w:t>&gt; Acesso em: 5 jan. 2017.</w:t>
      </w:r>
    </w:p>
    <w:p w:rsidR="00047CB9" w:rsidRPr="00E51225" w:rsidRDefault="00047CB9" w:rsidP="002A3D24">
      <w:pPr>
        <w:spacing w:before="120" w:after="0" w:line="240" w:lineRule="auto"/>
        <w:jc w:val="both"/>
        <w:rPr>
          <w:rFonts w:ascii="Times New Roman" w:eastAsia="Times New Roman" w:hAnsi="Times New Roman" w:cs="Times New Roman"/>
          <w:color w:val="000000" w:themeColor="text1"/>
          <w:sz w:val="24"/>
          <w:szCs w:val="24"/>
          <w:lang w:val="en-US" w:eastAsia="pt-BR"/>
        </w:rPr>
      </w:pPr>
      <w:r w:rsidRPr="00E51225">
        <w:rPr>
          <w:rFonts w:ascii="Times New Roman" w:eastAsia="Times New Roman" w:hAnsi="Times New Roman" w:cs="Times New Roman"/>
          <w:color w:val="000000" w:themeColor="text1"/>
          <w:sz w:val="24"/>
          <w:szCs w:val="24"/>
          <w:lang w:val="en-US" w:eastAsia="pt-BR"/>
        </w:rPr>
        <w:t xml:space="preserve">NORRIE, Kenneth; OWRAM, Douglas; </w:t>
      </w:r>
      <w:r w:rsidR="00B171B6" w:rsidRPr="00E51225">
        <w:rPr>
          <w:rFonts w:ascii="Times New Roman" w:eastAsia="Times New Roman" w:hAnsi="Times New Roman" w:cs="Times New Roman"/>
          <w:color w:val="000000" w:themeColor="text1"/>
          <w:sz w:val="24"/>
          <w:szCs w:val="24"/>
          <w:lang w:val="en-US" w:eastAsia="pt-BR"/>
        </w:rPr>
        <w:t>EMERY</w:t>
      </w:r>
      <w:r w:rsidRPr="00E51225">
        <w:rPr>
          <w:rFonts w:ascii="Times New Roman" w:eastAsia="Times New Roman" w:hAnsi="Times New Roman" w:cs="Times New Roman"/>
          <w:color w:val="000000" w:themeColor="text1"/>
          <w:sz w:val="24"/>
          <w:szCs w:val="24"/>
          <w:lang w:val="en-US" w:eastAsia="pt-BR"/>
        </w:rPr>
        <w:t xml:space="preserve">, J.C. </w:t>
      </w:r>
      <w:r w:rsidRPr="00E51225">
        <w:rPr>
          <w:rFonts w:ascii="Times New Roman" w:eastAsia="Times New Roman" w:hAnsi="Times New Roman" w:cs="Times New Roman"/>
          <w:b/>
          <w:color w:val="000000" w:themeColor="text1"/>
          <w:sz w:val="24"/>
          <w:szCs w:val="24"/>
          <w:lang w:val="en-US" w:eastAsia="pt-BR"/>
        </w:rPr>
        <w:t>History of the Canadian Economy</w:t>
      </w:r>
      <w:r w:rsidRPr="00E51225">
        <w:rPr>
          <w:rFonts w:ascii="Times New Roman" w:eastAsia="Times New Roman" w:hAnsi="Times New Roman" w:cs="Times New Roman"/>
          <w:color w:val="000000" w:themeColor="text1"/>
          <w:sz w:val="24"/>
          <w:szCs w:val="24"/>
          <w:lang w:val="en-US" w:eastAsia="pt-BR"/>
        </w:rPr>
        <w:t>. Nelson College Indigenous, 2007.</w:t>
      </w:r>
    </w:p>
    <w:p w:rsidR="00047CB9" w:rsidRPr="00E51225" w:rsidRDefault="00047CB9" w:rsidP="002A3D24">
      <w:pPr>
        <w:spacing w:before="120" w:after="0" w:line="240" w:lineRule="auto"/>
        <w:jc w:val="both"/>
        <w:rPr>
          <w:rFonts w:ascii="Times New Roman" w:eastAsia="Times New Roman" w:hAnsi="Times New Roman" w:cs="Times New Roman"/>
          <w:color w:val="000000" w:themeColor="text1"/>
          <w:sz w:val="24"/>
          <w:szCs w:val="24"/>
          <w:lang w:val="en-US" w:eastAsia="pt-BR"/>
        </w:rPr>
      </w:pPr>
      <w:r w:rsidRPr="00E51225">
        <w:rPr>
          <w:rFonts w:ascii="Times New Roman" w:eastAsia="Times New Roman" w:hAnsi="Times New Roman" w:cs="Times New Roman"/>
          <w:color w:val="000000" w:themeColor="text1"/>
          <w:sz w:val="24"/>
          <w:szCs w:val="24"/>
          <w:lang w:val="en-US" w:eastAsia="pt-BR"/>
        </w:rPr>
        <w:t>OWRAM, Douglas.</w:t>
      </w:r>
      <w:r w:rsidR="00D40E43" w:rsidRPr="00E51225">
        <w:rPr>
          <w:rFonts w:ascii="Times New Roman" w:eastAsia="Times New Roman" w:hAnsi="Times New Roman" w:cs="Times New Roman"/>
          <w:color w:val="000000" w:themeColor="text1"/>
          <w:sz w:val="24"/>
          <w:szCs w:val="24"/>
          <w:lang w:val="en-US" w:eastAsia="pt-BR"/>
        </w:rPr>
        <w:t xml:space="preserve"> </w:t>
      </w:r>
      <w:r w:rsidRPr="00E51225">
        <w:rPr>
          <w:rFonts w:ascii="Times New Roman" w:eastAsia="Times New Roman" w:hAnsi="Times New Roman" w:cs="Times New Roman"/>
          <w:b/>
          <w:color w:val="000000" w:themeColor="text1"/>
          <w:sz w:val="24"/>
          <w:szCs w:val="24"/>
          <w:lang w:val="en-US" w:eastAsia="pt-BR"/>
        </w:rPr>
        <w:t>Promise of Eden</w:t>
      </w:r>
      <w:r w:rsidRPr="00E51225">
        <w:rPr>
          <w:rFonts w:ascii="Times New Roman" w:eastAsia="Times New Roman" w:hAnsi="Times New Roman" w:cs="Times New Roman"/>
          <w:color w:val="000000" w:themeColor="text1"/>
          <w:sz w:val="24"/>
          <w:szCs w:val="24"/>
          <w:lang w:val="en-US" w:eastAsia="pt-BR"/>
        </w:rPr>
        <w:t>: The Canadian Expansionist Movement and the Idea of the West, 1856-1900. Toronto: University of Toronto Press, 19</w:t>
      </w:r>
      <w:r w:rsidR="002542E3" w:rsidRPr="00E51225">
        <w:rPr>
          <w:rFonts w:ascii="Times New Roman" w:eastAsia="Times New Roman" w:hAnsi="Times New Roman" w:cs="Times New Roman"/>
          <w:color w:val="000000" w:themeColor="text1"/>
          <w:sz w:val="24"/>
          <w:szCs w:val="24"/>
          <w:lang w:val="en-US" w:eastAsia="pt-BR"/>
        </w:rPr>
        <w:t>80</w:t>
      </w:r>
      <w:r w:rsidRPr="00E51225">
        <w:rPr>
          <w:rFonts w:ascii="Times New Roman" w:eastAsia="Times New Roman" w:hAnsi="Times New Roman" w:cs="Times New Roman"/>
          <w:color w:val="000000" w:themeColor="text1"/>
          <w:sz w:val="24"/>
          <w:szCs w:val="24"/>
          <w:lang w:val="en-US" w:eastAsia="pt-BR"/>
        </w:rPr>
        <w:t>.</w:t>
      </w:r>
    </w:p>
    <w:p w:rsidR="00047CB9" w:rsidRPr="00E51225" w:rsidRDefault="00047CB9" w:rsidP="002A3D24">
      <w:pPr>
        <w:spacing w:before="120" w:after="0" w:line="240" w:lineRule="auto"/>
        <w:jc w:val="both"/>
        <w:rPr>
          <w:rFonts w:ascii="Times New Roman" w:eastAsia="Times New Roman" w:hAnsi="Times New Roman" w:cs="Times New Roman"/>
          <w:color w:val="000000" w:themeColor="text1"/>
          <w:sz w:val="24"/>
          <w:szCs w:val="24"/>
          <w:lang w:val="en-US" w:eastAsia="pt-BR"/>
        </w:rPr>
      </w:pPr>
      <w:r w:rsidRPr="00E51225">
        <w:rPr>
          <w:rFonts w:ascii="Times New Roman" w:eastAsia="Times New Roman" w:hAnsi="Times New Roman" w:cs="Times New Roman"/>
          <w:color w:val="000000" w:themeColor="text1"/>
          <w:sz w:val="24"/>
          <w:szCs w:val="24"/>
          <w:lang w:val="en-US" w:eastAsia="pt-BR"/>
        </w:rPr>
        <w:t xml:space="preserve">POMFRET, Richard. </w:t>
      </w:r>
      <w:r w:rsidRPr="00E51225">
        <w:rPr>
          <w:rFonts w:ascii="Times New Roman" w:eastAsia="Times New Roman" w:hAnsi="Times New Roman" w:cs="Times New Roman"/>
          <w:b/>
          <w:color w:val="000000" w:themeColor="text1"/>
          <w:sz w:val="24"/>
          <w:szCs w:val="24"/>
          <w:lang w:val="en-US" w:eastAsia="pt-BR"/>
        </w:rPr>
        <w:t>The Economic Development of Canada</w:t>
      </w:r>
      <w:r w:rsidRPr="00E51225">
        <w:rPr>
          <w:rFonts w:ascii="Times New Roman" w:eastAsia="Times New Roman" w:hAnsi="Times New Roman" w:cs="Times New Roman"/>
          <w:color w:val="000000" w:themeColor="text1"/>
          <w:sz w:val="24"/>
          <w:szCs w:val="24"/>
          <w:lang w:val="en-US" w:eastAsia="pt-BR"/>
        </w:rPr>
        <w:t>. Ontario: Metheun Publications, 1981.</w:t>
      </w:r>
    </w:p>
    <w:p w:rsidR="009D694C" w:rsidRPr="00E51225" w:rsidRDefault="009D694C" w:rsidP="002A3D24">
      <w:pPr>
        <w:spacing w:before="120" w:after="0" w:line="240" w:lineRule="auto"/>
        <w:jc w:val="both"/>
        <w:rPr>
          <w:rFonts w:ascii="Times New Roman" w:eastAsia="Times New Roman" w:hAnsi="Times New Roman" w:cs="Times New Roman"/>
          <w:color w:val="000000" w:themeColor="text1"/>
          <w:sz w:val="24"/>
          <w:szCs w:val="24"/>
          <w:lang w:val="en-US" w:eastAsia="pt-BR"/>
        </w:rPr>
      </w:pPr>
      <w:r w:rsidRPr="00E51225">
        <w:rPr>
          <w:rFonts w:ascii="Times New Roman" w:eastAsia="Times New Roman" w:hAnsi="Times New Roman" w:cs="Times New Roman"/>
          <w:color w:val="000000" w:themeColor="text1"/>
          <w:sz w:val="24"/>
          <w:szCs w:val="24"/>
          <w:lang w:val="en-US" w:eastAsia="pt-BR"/>
        </w:rPr>
        <w:t>SESSIONAL PAPERS OF THE DOMINION OF CANADA. Ottawa: Parliament of Canada, 1899, n° 13</w:t>
      </w:r>
      <w:r w:rsidR="00AB2DB6" w:rsidRPr="00E51225">
        <w:rPr>
          <w:rFonts w:ascii="Times New Roman" w:eastAsia="Times New Roman" w:hAnsi="Times New Roman" w:cs="Times New Roman"/>
          <w:color w:val="000000" w:themeColor="text1"/>
          <w:sz w:val="24"/>
          <w:szCs w:val="24"/>
          <w:lang w:val="en-US" w:eastAsia="pt-BR"/>
        </w:rPr>
        <w:t>, p. viii; 1904, p. 97-99; 1912,p. xxxii.</w:t>
      </w:r>
    </w:p>
    <w:p w:rsidR="00A830A2" w:rsidRDefault="00A830A2" w:rsidP="002A3D24">
      <w:pPr>
        <w:spacing w:before="120" w:after="0" w:line="240" w:lineRule="auto"/>
        <w:jc w:val="both"/>
        <w:rPr>
          <w:rFonts w:ascii="Times New Roman" w:eastAsia="Times New Roman" w:hAnsi="Times New Roman" w:cs="Times New Roman"/>
          <w:color w:val="000000" w:themeColor="text1"/>
          <w:sz w:val="24"/>
          <w:szCs w:val="24"/>
          <w:lang w:val="en-US" w:eastAsia="pt-BR"/>
        </w:rPr>
      </w:pPr>
      <w:r w:rsidRPr="00E51225">
        <w:rPr>
          <w:rFonts w:ascii="Times New Roman" w:eastAsia="Times New Roman" w:hAnsi="Times New Roman" w:cs="Times New Roman"/>
          <w:color w:val="000000" w:themeColor="text1"/>
          <w:sz w:val="24"/>
          <w:szCs w:val="24"/>
          <w:lang w:val="en-US" w:eastAsia="pt-BR"/>
        </w:rPr>
        <w:t xml:space="preserve">SHARP, Paul. </w:t>
      </w:r>
      <w:r w:rsidRPr="00E51225">
        <w:rPr>
          <w:rFonts w:ascii="Times New Roman" w:eastAsia="Times New Roman" w:hAnsi="Times New Roman" w:cs="Times New Roman"/>
          <w:b/>
          <w:color w:val="000000" w:themeColor="text1"/>
          <w:sz w:val="24"/>
          <w:szCs w:val="24"/>
          <w:lang w:val="en-US" w:eastAsia="pt-BR"/>
        </w:rPr>
        <w:t>When our West Moved North</w:t>
      </w:r>
      <w:r w:rsidRPr="00E51225">
        <w:rPr>
          <w:rFonts w:ascii="Times New Roman" w:eastAsia="Times New Roman" w:hAnsi="Times New Roman" w:cs="Times New Roman"/>
          <w:color w:val="000000" w:themeColor="text1"/>
          <w:sz w:val="24"/>
          <w:szCs w:val="24"/>
          <w:lang w:val="en-US" w:eastAsia="pt-BR"/>
        </w:rPr>
        <w:t>. American Historical Review, 55, nº2,</w:t>
      </w:r>
      <w:r w:rsidR="00EC55CF" w:rsidRPr="00E51225">
        <w:rPr>
          <w:rFonts w:ascii="Times New Roman" w:eastAsia="Times New Roman" w:hAnsi="Times New Roman" w:cs="Times New Roman"/>
          <w:color w:val="000000" w:themeColor="text1"/>
          <w:sz w:val="24"/>
          <w:szCs w:val="24"/>
          <w:lang w:val="en-US" w:eastAsia="pt-BR"/>
        </w:rPr>
        <w:t xml:space="preserve"> p. 286-300</w:t>
      </w:r>
      <w:r w:rsidRPr="00E51225">
        <w:rPr>
          <w:rFonts w:ascii="Times New Roman" w:eastAsia="Times New Roman" w:hAnsi="Times New Roman" w:cs="Times New Roman"/>
          <w:color w:val="000000" w:themeColor="text1"/>
          <w:sz w:val="24"/>
          <w:szCs w:val="24"/>
          <w:lang w:val="en-US" w:eastAsia="pt-BR"/>
        </w:rPr>
        <w:t xml:space="preserve"> January, 1950</w:t>
      </w:r>
      <w:r w:rsidR="00EC55CF" w:rsidRPr="00E51225">
        <w:rPr>
          <w:rFonts w:ascii="Times New Roman" w:eastAsia="Times New Roman" w:hAnsi="Times New Roman" w:cs="Times New Roman"/>
          <w:color w:val="000000" w:themeColor="text1"/>
          <w:sz w:val="24"/>
          <w:szCs w:val="24"/>
          <w:lang w:val="en-US" w:eastAsia="pt-BR"/>
        </w:rPr>
        <w:t>.</w:t>
      </w:r>
    </w:p>
    <w:p w:rsidR="008214CE" w:rsidRDefault="00047CB9" w:rsidP="002A3D24">
      <w:pPr>
        <w:spacing w:before="120" w:after="0" w:line="240" w:lineRule="auto"/>
        <w:jc w:val="both"/>
        <w:rPr>
          <w:rFonts w:ascii="Times New Roman" w:eastAsia="Times New Roman" w:hAnsi="Times New Roman" w:cs="Times New Roman"/>
          <w:color w:val="000000" w:themeColor="text1"/>
          <w:sz w:val="24"/>
          <w:szCs w:val="24"/>
          <w:lang w:val="en-US" w:eastAsia="pt-BR"/>
        </w:rPr>
      </w:pPr>
      <w:r w:rsidRPr="00E51225">
        <w:rPr>
          <w:rFonts w:ascii="Times New Roman" w:eastAsia="Times New Roman" w:hAnsi="Times New Roman" w:cs="Times New Roman"/>
          <w:color w:val="000000" w:themeColor="text1"/>
          <w:sz w:val="24"/>
          <w:szCs w:val="24"/>
          <w:lang w:val="en-US" w:eastAsia="pt-BR"/>
        </w:rPr>
        <w:t xml:space="preserve">STUDNESS, C.M. </w:t>
      </w:r>
      <w:r w:rsidRPr="00E51225">
        <w:rPr>
          <w:rFonts w:ascii="Times New Roman" w:eastAsia="Times New Roman" w:hAnsi="Times New Roman" w:cs="Times New Roman"/>
          <w:b/>
          <w:color w:val="000000" w:themeColor="text1"/>
          <w:sz w:val="24"/>
          <w:szCs w:val="24"/>
          <w:lang w:val="en-US" w:eastAsia="pt-BR"/>
        </w:rPr>
        <w:t xml:space="preserve">Economic Opportunity and the Westward Migration of Canadians </w:t>
      </w:r>
      <w:r w:rsidR="00B96C4E">
        <w:rPr>
          <w:rFonts w:ascii="Times New Roman" w:eastAsia="Times New Roman" w:hAnsi="Times New Roman" w:cs="Times New Roman"/>
          <w:b/>
          <w:color w:val="000000" w:themeColor="text1"/>
          <w:sz w:val="24"/>
          <w:szCs w:val="24"/>
          <w:lang w:val="en-US" w:eastAsia="pt-BR"/>
        </w:rPr>
        <w:t>D</w:t>
      </w:r>
      <w:r w:rsidRPr="00E51225">
        <w:rPr>
          <w:rFonts w:ascii="Times New Roman" w:eastAsia="Times New Roman" w:hAnsi="Times New Roman" w:cs="Times New Roman"/>
          <w:b/>
          <w:color w:val="000000" w:themeColor="text1"/>
          <w:sz w:val="24"/>
          <w:szCs w:val="24"/>
          <w:lang w:val="en-US" w:eastAsia="pt-BR"/>
        </w:rPr>
        <w:t xml:space="preserve">uring the Late Nineteenth Century. </w:t>
      </w:r>
      <w:r w:rsidRPr="00E51225">
        <w:rPr>
          <w:rFonts w:ascii="Times New Roman" w:eastAsia="Times New Roman" w:hAnsi="Times New Roman" w:cs="Times New Roman"/>
          <w:color w:val="000000" w:themeColor="text1"/>
          <w:sz w:val="24"/>
          <w:szCs w:val="24"/>
          <w:lang w:val="en-US" w:eastAsia="pt-BR"/>
        </w:rPr>
        <w:t>Canadian Journal of Economics and Political Science 30, Nov. 1964.</w:t>
      </w:r>
    </w:p>
    <w:p w:rsidR="00047CB9" w:rsidRPr="00E51225" w:rsidRDefault="00047CB9" w:rsidP="002A3D24">
      <w:pPr>
        <w:spacing w:before="120" w:after="0" w:line="240" w:lineRule="auto"/>
        <w:jc w:val="both"/>
        <w:rPr>
          <w:rFonts w:ascii="Times New Roman" w:eastAsia="Times New Roman" w:hAnsi="Times New Roman" w:cs="Times New Roman"/>
          <w:color w:val="000000" w:themeColor="text1"/>
          <w:sz w:val="24"/>
          <w:szCs w:val="24"/>
          <w:lang w:val="en-US" w:eastAsia="pt-BR"/>
        </w:rPr>
      </w:pPr>
      <w:r w:rsidRPr="00E51225">
        <w:rPr>
          <w:rFonts w:ascii="Times New Roman" w:eastAsia="Times New Roman" w:hAnsi="Times New Roman" w:cs="Times New Roman"/>
          <w:color w:val="000000" w:themeColor="text1"/>
          <w:sz w:val="24"/>
          <w:szCs w:val="24"/>
          <w:lang w:val="en-US" w:eastAsia="pt-BR"/>
        </w:rPr>
        <w:t xml:space="preserve">TIMLIN, M. </w:t>
      </w:r>
      <w:r w:rsidRPr="00E51225">
        <w:rPr>
          <w:rFonts w:ascii="Times New Roman" w:eastAsia="Times New Roman" w:hAnsi="Times New Roman" w:cs="Times New Roman"/>
          <w:b/>
          <w:color w:val="000000" w:themeColor="text1"/>
          <w:sz w:val="24"/>
          <w:szCs w:val="24"/>
          <w:lang w:val="en-US" w:eastAsia="pt-BR"/>
        </w:rPr>
        <w:t>Canada’s Immigration Policy</w:t>
      </w:r>
      <w:r w:rsidRPr="00E51225">
        <w:rPr>
          <w:rFonts w:ascii="Times New Roman" w:eastAsia="Times New Roman" w:hAnsi="Times New Roman" w:cs="Times New Roman"/>
          <w:color w:val="000000" w:themeColor="text1"/>
          <w:sz w:val="24"/>
          <w:szCs w:val="24"/>
          <w:lang w:val="en-US" w:eastAsia="pt-BR"/>
        </w:rPr>
        <w:t>: 1896-1910. Canadian Journal of Economics and Political Science, V. 26, nº4, p. 517-532, 1960.</w:t>
      </w:r>
    </w:p>
    <w:p w:rsidR="00047CB9" w:rsidRPr="00E51225" w:rsidRDefault="00047CB9" w:rsidP="002A3D24">
      <w:pPr>
        <w:spacing w:before="120" w:after="0" w:line="240" w:lineRule="auto"/>
        <w:jc w:val="both"/>
        <w:rPr>
          <w:rFonts w:ascii="Times New Roman" w:eastAsia="Times New Roman" w:hAnsi="Times New Roman" w:cs="Times New Roman"/>
          <w:color w:val="000000" w:themeColor="text1"/>
          <w:sz w:val="24"/>
          <w:szCs w:val="24"/>
          <w:lang w:val="en-US" w:eastAsia="pt-BR"/>
        </w:rPr>
      </w:pPr>
      <w:r w:rsidRPr="00E51225">
        <w:rPr>
          <w:rFonts w:ascii="Times New Roman" w:eastAsia="Times New Roman" w:hAnsi="Times New Roman" w:cs="Times New Roman"/>
          <w:color w:val="000000" w:themeColor="text1"/>
          <w:sz w:val="24"/>
          <w:szCs w:val="24"/>
          <w:lang w:val="en-US" w:eastAsia="pt-BR"/>
        </w:rPr>
        <w:lastRenderedPageBreak/>
        <w:t xml:space="preserve">URQUHART, M.C.; BUCKLEY, K.A. </w:t>
      </w:r>
      <w:r w:rsidRPr="00E51225">
        <w:rPr>
          <w:rFonts w:ascii="Times New Roman" w:eastAsia="Times New Roman" w:hAnsi="Times New Roman" w:cs="Times New Roman"/>
          <w:b/>
          <w:color w:val="000000" w:themeColor="text1"/>
          <w:sz w:val="24"/>
          <w:szCs w:val="24"/>
          <w:lang w:val="en-US" w:eastAsia="pt-BR"/>
        </w:rPr>
        <w:t>Historical Statistics of Canada</w:t>
      </w:r>
      <w:r w:rsidRPr="00E51225">
        <w:rPr>
          <w:rFonts w:ascii="Times New Roman" w:eastAsia="Times New Roman" w:hAnsi="Times New Roman" w:cs="Times New Roman"/>
          <w:color w:val="000000" w:themeColor="text1"/>
          <w:sz w:val="24"/>
          <w:szCs w:val="24"/>
          <w:lang w:val="en-US" w:eastAsia="pt-BR"/>
        </w:rPr>
        <w:t>. Toronto: MacMillan, 1965.</w:t>
      </w:r>
    </w:p>
    <w:p w:rsidR="00F62248" w:rsidRDefault="00F62248" w:rsidP="002A3D24">
      <w:pPr>
        <w:spacing w:before="120" w:after="0" w:line="240" w:lineRule="auto"/>
        <w:jc w:val="both"/>
        <w:rPr>
          <w:rFonts w:ascii="Times New Roman" w:eastAsia="Times New Roman" w:hAnsi="Times New Roman" w:cs="Times New Roman"/>
          <w:color w:val="000000" w:themeColor="text1"/>
          <w:sz w:val="24"/>
          <w:szCs w:val="24"/>
          <w:lang w:val="en-US" w:eastAsia="pt-BR"/>
        </w:rPr>
      </w:pPr>
      <w:r w:rsidRPr="00E51225">
        <w:rPr>
          <w:rFonts w:ascii="Times New Roman" w:eastAsia="Times New Roman" w:hAnsi="Times New Roman" w:cs="Times New Roman"/>
          <w:color w:val="000000" w:themeColor="text1"/>
          <w:sz w:val="24"/>
          <w:szCs w:val="24"/>
          <w:lang w:val="en-US" w:eastAsia="pt-BR"/>
        </w:rPr>
        <w:t xml:space="preserve">URQUHART, M.C. </w:t>
      </w:r>
      <w:r w:rsidRPr="00E51225">
        <w:rPr>
          <w:rFonts w:ascii="Times New Roman" w:eastAsia="Times New Roman" w:hAnsi="Times New Roman" w:cs="Times New Roman"/>
          <w:b/>
          <w:color w:val="000000" w:themeColor="text1"/>
          <w:sz w:val="24"/>
          <w:szCs w:val="24"/>
          <w:lang w:val="en-US" w:eastAsia="pt-BR"/>
        </w:rPr>
        <w:t>New Estimates of Gross National Product</w:t>
      </w:r>
      <w:r w:rsidRPr="00E51225">
        <w:rPr>
          <w:rFonts w:ascii="Times New Roman" w:eastAsia="Times New Roman" w:hAnsi="Times New Roman" w:cs="Times New Roman"/>
          <w:color w:val="000000" w:themeColor="text1"/>
          <w:sz w:val="24"/>
          <w:szCs w:val="24"/>
          <w:lang w:val="en-US" w:eastAsia="pt-BR"/>
        </w:rPr>
        <w:t>, Canada, 1870-1926: Some Implications for Canadian Development. In: ENGERMAN; GALLMAN. Long-Term Factors in American Economic Growth. Chicago: University of Chicago Press, 1986.</w:t>
      </w:r>
    </w:p>
    <w:p w:rsidR="0070253D" w:rsidRPr="00E51225" w:rsidRDefault="0070253D" w:rsidP="002A3D24">
      <w:pPr>
        <w:spacing w:before="120" w:after="0" w:line="240" w:lineRule="auto"/>
        <w:jc w:val="both"/>
        <w:rPr>
          <w:rFonts w:ascii="Times New Roman" w:eastAsia="Times New Roman" w:hAnsi="Times New Roman" w:cs="Times New Roman"/>
          <w:color w:val="000000" w:themeColor="text1"/>
          <w:sz w:val="24"/>
          <w:szCs w:val="24"/>
          <w:lang w:val="en-US" w:eastAsia="pt-BR"/>
        </w:rPr>
      </w:pPr>
      <w:r>
        <w:rPr>
          <w:rFonts w:ascii="Times New Roman" w:eastAsia="Times New Roman" w:hAnsi="Times New Roman" w:cs="Times New Roman"/>
          <w:color w:val="000000" w:themeColor="text1"/>
          <w:sz w:val="24"/>
          <w:szCs w:val="24"/>
          <w:lang w:val="en-US" w:eastAsia="pt-BR"/>
        </w:rPr>
        <w:t xml:space="preserve">VILLE, S. </w:t>
      </w:r>
      <w:r w:rsidRPr="0070253D">
        <w:rPr>
          <w:rFonts w:ascii="Times New Roman" w:eastAsia="Times New Roman" w:hAnsi="Times New Roman" w:cs="Times New Roman"/>
          <w:b/>
          <w:color w:val="000000" w:themeColor="text1"/>
          <w:sz w:val="24"/>
          <w:szCs w:val="24"/>
          <w:lang w:val="en-US" w:eastAsia="pt-BR"/>
        </w:rPr>
        <w:t>Divergence and Convergence</w:t>
      </w:r>
      <w:r>
        <w:rPr>
          <w:rFonts w:ascii="Times New Roman" w:eastAsia="Times New Roman" w:hAnsi="Times New Roman" w:cs="Times New Roman"/>
          <w:color w:val="000000" w:themeColor="text1"/>
          <w:sz w:val="24"/>
          <w:szCs w:val="24"/>
          <w:lang w:val="en-US" w:eastAsia="pt-BR"/>
        </w:rPr>
        <w:t>: New and Shifting Paradigms in Comparative Economic History. Australian Economic History Review 55(1), p. 80-94, 2015.</w:t>
      </w:r>
    </w:p>
    <w:sectPr w:rsidR="0070253D" w:rsidRPr="00E51225" w:rsidSect="00F93D58">
      <w:footerReference w:type="default" r:id="rId13"/>
      <w:pgSz w:w="11906" w:h="16838"/>
      <w:pgMar w:top="1134" w:right="851" w:bottom="1134" w:left="85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61C" w:rsidRDefault="0020361C" w:rsidP="00047CB9">
      <w:pPr>
        <w:spacing w:after="0" w:line="240" w:lineRule="auto"/>
      </w:pPr>
      <w:r>
        <w:separator/>
      </w:r>
    </w:p>
  </w:endnote>
  <w:endnote w:type="continuationSeparator" w:id="0">
    <w:p w:rsidR="0020361C" w:rsidRDefault="0020361C" w:rsidP="00047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ont237">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6090165"/>
      <w:docPartObj>
        <w:docPartGallery w:val="Page Numbers (Bottom of Page)"/>
        <w:docPartUnique/>
      </w:docPartObj>
    </w:sdtPr>
    <w:sdtEndPr/>
    <w:sdtContent>
      <w:p w:rsidR="00E62B2C" w:rsidRDefault="00E62B2C">
        <w:pPr>
          <w:pStyle w:val="Rodap"/>
          <w:jc w:val="right"/>
        </w:pPr>
        <w:r>
          <w:fldChar w:fldCharType="begin"/>
        </w:r>
        <w:r>
          <w:instrText>PAGE   \* MERGEFORMAT</w:instrText>
        </w:r>
        <w:r>
          <w:fldChar w:fldCharType="separate"/>
        </w:r>
        <w:r w:rsidR="006A1B9A">
          <w:rPr>
            <w:noProof/>
          </w:rPr>
          <w:t>1</w:t>
        </w:r>
        <w:r>
          <w:fldChar w:fldCharType="end"/>
        </w:r>
      </w:p>
    </w:sdtContent>
  </w:sdt>
  <w:p w:rsidR="00E62B2C" w:rsidRDefault="00E62B2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61C" w:rsidRDefault="0020361C" w:rsidP="00047CB9">
      <w:pPr>
        <w:spacing w:after="0" w:line="240" w:lineRule="auto"/>
      </w:pPr>
      <w:r>
        <w:separator/>
      </w:r>
    </w:p>
  </w:footnote>
  <w:footnote w:type="continuationSeparator" w:id="0">
    <w:p w:rsidR="0020361C" w:rsidRDefault="0020361C" w:rsidP="00047CB9">
      <w:pPr>
        <w:spacing w:after="0" w:line="240" w:lineRule="auto"/>
      </w:pPr>
      <w:r>
        <w:continuationSeparator/>
      </w:r>
    </w:p>
  </w:footnote>
  <w:footnote w:id="1">
    <w:p w:rsidR="00E62B2C" w:rsidRPr="00442C50" w:rsidRDefault="00E62B2C">
      <w:pPr>
        <w:pStyle w:val="Textodenotaderodap"/>
      </w:pPr>
      <w:r w:rsidRPr="00442C50">
        <w:rPr>
          <w:rStyle w:val="Refdenotaderodap"/>
        </w:rPr>
        <w:footnoteRef/>
      </w:r>
      <w:r w:rsidRPr="00442C50">
        <w:t xml:space="preserve"> Na literatura especializada o termo National Policy é utilizado stricto senso para designar a política comercial protecionista </w:t>
      </w:r>
      <w:proofErr w:type="gramStart"/>
      <w:r w:rsidRPr="00442C50">
        <w:t>implementada</w:t>
      </w:r>
      <w:proofErr w:type="gramEnd"/>
      <w:r w:rsidRPr="00442C50">
        <w:t xml:space="preserve"> em 1879 pelo Primeiro Ministro canadense John MacDonald.  Porém, em um sentido lato o termo é empregado para tratar das políticas protecionistas, de transportes e de imigração entre o surgimento da Confederação até a década de 1930. No presente trabalho o termo é utilizado para se referir a esse conjunto de políticas.</w:t>
      </w:r>
    </w:p>
  </w:footnote>
  <w:footnote w:id="2">
    <w:p w:rsidR="00E62B2C" w:rsidRDefault="00E62B2C">
      <w:pPr>
        <w:pStyle w:val="Textodenotaderodap"/>
      </w:pPr>
      <w:r>
        <w:rPr>
          <w:rStyle w:val="Refdenotaderodap"/>
        </w:rPr>
        <w:footnoteRef/>
      </w:r>
      <w:r>
        <w:t xml:space="preserve"> O termo Confederação é utilizado para descrever o processo que uniu as Colônias Britânicas da América do Norte (Nova Escócia, Nova Brunswick, Ontário e Quebec) sob o novo nome de Domínio do Canadá em 1º de julho de 1867. Posteriormente o Domínio expandiu-se com a incorporação de Manitoba (1870), Colúmbia Britânica (1871), Ilha do Príncipe Eduardo (1873), Saskatchewan (1905), Alberta (1905) e Terra Nova e Labrador (1949).</w:t>
      </w:r>
    </w:p>
  </w:footnote>
  <w:footnote w:id="3">
    <w:p w:rsidR="00E62B2C" w:rsidRDefault="00E62B2C">
      <w:pPr>
        <w:pStyle w:val="Textodenotaderodap"/>
      </w:pPr>
      <w:r>
        <w:rPr>
          <w:rStyle w:val="Refdenotaderodap"/>
        </w:rPr>
        <w:footnoteRef/>
      </w:r>
      <w:r>
        <w:t xml:space="preserve"> Fundada em 1670 é a mais antiga empresa que ainda continua em atividade no Canadá. A companhia controlou o comércio de pele nas Colônias Britânicas da América do Norte desde a sua fundação até o século XIX, administrou grande parte do oeste do atual Canadá e também foi a maior proprietária de terras da América do Norte durante esse período. A partir do declínio do comércio de peles no século XIX, a Hudson’s Bay Company passou a vender uma diversificada gama de produtos aos assentados no oeste canadense. Com a assinatura do “Termo de Renúncia” em 1869 os vastos territórios pertencentes à Hudson’s Bay Company foram adquiridos pelo Domínio do Canadá. </w:t>
      </w:r>
    </w:p>
  </w:footnote>
  <w:footnote w:id="4">
    <w:p w:rsidR="00E62B2C" w:rsidRPr="002A5E8D" w:rsidRDefault="00E62B2C">
      <w:pPr>
        <w:pStyle w:val="Textodenotaderodap"/>
        <w:rPr>
          <w:color w:val="FF0000"/>
        </w:rPr>
      </w:pPr>
      <w:r>
        <w:rPr>
          <w:rStyle w:val="Refdenotaderodap"/>
        </w:rPr>
        <w:footnoteRef/>
      </w:r>
      <w:r>
        <w:t xml:space="preserve"> Foi uma importante empresa especializada no comércio de peles entre 1779 e 1821 que uniu comerciantes de Montreal para reduzir a concorrência entre os mesmos com o objetivo de resistir aos avanços da Hudson’s Bay Company na região do Canadá Inferior. </w:t>
      </w:r>
    </w:p>
  </w:footnote>
  <w:footnote w:id="5">
    <w:p w:rsidR="00E62B2C" w:rsidRPr="00883A0E" w:rsidRDefault="00E62B2C" w:rsidP="00047CB9">
      <w:pPr>
        <w:pStyle w:val="Textodenotaderodap"/>
        <w:rPr>
          <w:rFonts w:asciiTheme="majorHAnsi" w:hAnsiTheme="majorHAnsi"/>
          <w:color w:val="FF0000"/>
        </w:rPr>
      </w:pPr>
      <w:r>
        <w:rPr>
          <w:rStyle w:val="Refdenotaderodap"/>
        </w:rPr>
        <w:footnoteRef/>
      </w:r>
      <w:r w:rsidRPr="00006F7F">
        <w:rPr>
          <w:rFonts w:asciiTheme="majorHAnsi" w:eastAsia="Times New Roman" w:hAnsiTheme="majorHAnsi" w:cs="Times New Roman"/>
          <w:lang w:eastAsia="pt-BR"/>
        </w:rPr>
        <w:t xml:space="preserve">Foi o primeiro tratado que visava à liberdade comercial entre Canadá e EUA tendo por objetivo criar na América do Norte uma área de mercado </w:t>
      </w:r>
      <w:r>
        <w:rPr>
          <w:rFonts w:asciiTheme="majorHAnsi" w:eastAsia="Times New Roman" w:hAnsiTheme="majorHAnsi" w:cs="Times New Roman"/>
          <w:lang w:eastAsia="pt-BR"/>
        </w:rPr>
        <w:t>comum</w:t>
      </w:r>
      <w:r w:rsidRPr="00006F7F">
        <w:rPr>
          <w:rFonts w:asciiTheme="majorHAnsi" w:eastAsia="Times New Roman" w:hAnsiTheme="majorHAnsi" w:cs="Times New Roman"/>
          <w:lang w:eastAsia="pt-BR"/>
        </w:rPr>
        <w:t>, que abrangeria distintas jurisdições nas quais produtos específicos poderiam ser trocados livremente.</w:t>
      </w:r>
      <w:r>
        <w:rPr>
          <w:rFonts w:asciiTheme="majorHAnsi" w:eastAsia="Times New Roman" w:hAnsiTheme="majorHAnsi" w:cs="Times New Roman"/>
          <w:lang w:eastAsia="pt-BR"/>
        </w:rPr>
        <w:t xml:space="preserve"> </w:t>
      </w:r>
    </w:p>
  </w:footnote>
  <w:footnote w:id="6">
    <w:p w:rsidR="00E62B2C" w:rsidRDefault="00E62B2C" w:rsidP="00047CB9">
      <w:pPr>
        <w:pStyle w:val="Textodenotaderodap"/>
      </w:pPr>
      <w:r>
        <w:rPr>
          <w:rStyle w:val="Refdenotaderodap"/>
        </w:rPr>
        <w:footnoteRef/>
      </w:r>
      <w:r>
        <w:t xml:space="preserve">  Essa doutrina defendia </w:t>
      </w:r>
      <w:r w:rsidRPr="00307998">
        <w:t xml:space="preserve">a crença que o povo dos Estados Unidos </w:t>
      </w:r>
      <w:r>
        <w:t>teria sido</w:t>
      </w:r>
      <w:r w:rsidRPr="00307998">
        <w:t xml:space="preserve"> eleito por Deus para civilizar a América, e por isso o expansionismo americano </w:t>
      </w:r>
      <w:r>
        <w:t xml:space="preserve">seria </w:t>
      </w:r>
      <w:r w:rsidRPr="00307998">
        <w:t>apenas o cumprimento da vontade Divina</w:t>
      </w:r>
      <w:r>
        <w:t>.</w:t>
      </w:r>
    </w:p>
  </w:footnote>
  <w:footnote w:id="7">
    <w:p w:rsidR="00E62B2C" w:rsidRDefault="00E62B2C">
      <w:pPr>
        <w:pStyle w:val="Textodenotaderodap"/>
      </w:pPr>
      <w:r>
        <w:rPr>
          <w:rStyle w:val="Refdenotaderodap"/>
        </w:rPr>
        <w:footnoteRef/>
      </w:r>
      <w:r>
        <w:t xml:space="preserve"> Primeiro Ministro do Canadá entre 1867 e 1873 e entre 1878 e 1891.</w:t>
      </w:r>
    </w:p>
  </w:footnote>
  <w:footnote w:id="8">
    <w:p w:rsidR="00E62B2C" w:rsidRPr="00A648CA" w:rsidRDefault="00E62B2C">
      <w:pPr>
        <w:pStyle w:val="Textodenotaderodap"/>
      </w:pPr>
      <w:r>
        <w:rPr>
          <w:rStyle w:val="Refdenotaderodap"/>
        </w:rPr>
        <w:footnoteRef/>
      </w:r>
      <w:r>
        <w:t xml:space="preserve"> </w:t>
      </w:r>
      <w:r w:rsidRPr="00A648CA">
        <w:rPr>
          <w:i/>
        </w:rPr>
        <w:t>Commodity</w:t>
      </w:r>
      <w:r>
        <w:t xml:space="preserve"> que domina as exportações de uma economia que, de acordo com a </w:t>
      </w:r>
      <w:proofErr w:type="spellStart"/>
      <w:r w:rsidRPr="00A648CA">
        <w:rPr>
          <w:i/>
        </w:rPr>
        <w:t>St</w:t>
      </w:r>
      <w:r>
        <w:rPr>
          <w:i/>
        </w:rPr>
        <w:t>a</w:t>
      </w:r>
      <w:r w:rsidRPr="00A648CA">
        <w:rPr>
          <w:i/>
        </w:rPr>
        <w:t>ple</w:t>
      </w:r>
      <w:proofErr w:type="spellEnd"/>
      <w:r w:rsidRPr="00A648CA">
        <w:rPr>
          <w:i/>
        </w:rPr>
        <w:t xml:space="preserve"> </w:t>
      </w:r>
      <w:proofErr w:type="spellStart"/>
      <w:r w:rsidRPr="00A648CA">
        <w:rPr>
          <w:i/>
        </w:rPr>
        <w:t>Theory</w:t>
      </w:r>
      <w:proofErr w:type="spellEnd"/>
      <w:r>
        <w:t xml:space="preserve">, deveria ser relativamente pouco processada. São exemplos de </w:t>
      </w:r>
      <w:r w:rsidRPr="00A648CA">
        <w:rPr>
          <w:i/>
        </w:rPr>
        <w:t>staples</w:t>
      </w:r>
      <w:r>
        <w:t xml:space="preserve"> canadenses: peles, peixes, trigo e madeira.</w:t>
      </w:r>
    </w:p>
  </w:footnote>
  <w:footnote w:id="9">
    <w:p w:rsidR="00E62B2C" w:rsidRDefault="00E62B2C">
      <w:pPr>
        <w:pStyle w:val="Textodenotaderodap"/>
      </w:pPr>
      <w:r>
        <w:rPr>
          <w:rStyle w:val="Refdenotaderodap"/>
        </w:rPr>
        <w:footnoteRef/>
      </w:r>
      <w:r>
        <w:t xml:space="preserve"> Ferrovia transcontinental que cruzava o norte dos Estados Unidos ligando os estados de </w:t>
      </w:r>
      <w:r w:rsidRPr="004B7063">
        <w:t xml:space="preserve">Minnesota, Wisconsin, Dakota do Norte, Montana, </w:t>
      </w:r>
      <w:proofErr w:type="spellStart"/>
      <w:r w:rsidRPr="004B7063">
        <w:t>Idaho</w:t>
      </w:r>
      <w:proofErr w:type="spellEnd"/>
      <w:r w:rsidRPr="004B7063">
        <w:t>, Washington, e Oregon</w:t>
      </w:r>
      <w:r>
        <w:t>.</w:t>
      </w:r>
    </w:p>
  </w:footnote>
  <w:footnote w:id="10">
    <w:p w:rsidR="00E62B2C" w:rsidRDefault="00E62B2C">
      <w:pPr>
        <w:pStyle w:val="Textodenotaderodap"/>
      </w:pPr>
      <w:r>
        <w:rPr>
          <w:rStyle w:val="Refdenotaderodap"/>
        </w:rPr>
        <w:footnoteRef/>
      </w:r>
      <w:r>
        <w:t xml:space="preserve"> A</w:t>
      </w:r>
      <w:r w:rsidRPr="00ED6841">
        <w:t xml:space="preserve"> Grand </w:t>
      </w:r>
      <w:proofErr w:type="spellStart"/>
      <w:r w:rsidRPr="00ED6841">
        <w:t>Trunk</w:t>
      </w:r>
      <w:proofErr w:type="spellEnd"/>
      <w:r w:rsidRPr="00ED6841">
        <w:t xml:space="preserve"> Railway </w:t>
      </w:r>
      <w:proofErr w:type="spellStart"/>
      <w:r>
        <w:t>Company</w:t>
      </w:r>
      <w:proofErr w:type="spellEnd"/>
      <w:r>
        <w:t xml:space="preserve"> </w:t>
      </w:r>
      <w:r w:rsidRPr="00ED6841">
        <w:t>foi um</w:t>
      </w:r>
      <w:r>
        <w:t>a empresa que atuava no setor ferroviário com sede em Montreal, operando nas</w:t>
      </w:r>
      <w:r w:rsidRPr="00ED6841">
        <w:t xml:space="preserve"> províncias canadenses de Quebec e Ontário, e nos estados americanos de Connecticut, Maine, Michigan, Massachusetts, New Hampshire e Vermont. </w:t>
      </w:r>
    </w:p>
  </w:footnote>
  <w:footnote w:id="11">
    <w:p w:rsidR="00E62B2C" w:rsidRDefault="00E62B2C">
      <w:pPr>
        <w:pStyle w:val="Textodenotaderodap"/>
      </w:pPr>
      <w:r>
        <w:rPr>
          <w:rStyle w:val="Refdenotaderodap"/>
        </w:rPr>
        <w:footnoteRef/>
      </w:r>
      <w:r>
        <w:t xml:space="preserve"> Episódio em que John MacDonald e outros políticos do Partido Conservador canadense foram acusados de receber suborno do magnata do setor marítimo e ferroviário Hugh Allan, para a obtenção dos contratos de construção da Canadian Pacific Railway.</w:t>
      </w:r>
    </w:p>
  </w:footnote>
  <w:footnote w:id="12">
    <w:p w:rsidR="00E62B2C" w:rsidRDefault="00E62B2C">
      <w:pPr>
        <w:pStyle w:val="Textodenotaderodap"/>
      </w:pPr>
      <w:r>
        <w:rPr>
          <w:rStyle w:val="Refdenotaderodap"/>
        </w:rPr>
        <w:footnoteRef/>
      </w:r>
      <w:r>
        <w:t xml:space="preserve"> Geografo e explorador irlandês responsável por coordenar a British North American </w:t>
      </w:r>
      <w:proofErr w:type="spellStart"/>
      <w:r>
        <w:t>Exploring</w:t>
      </w:r>
      <w:proofErr w:type="spellEnd"/>
      <w:r>
        <w:t xml:space="preserve"> </w:t>
      </w:r>
      <w:proofErr w:type="spellStart"/>
      <w:r>
        <w:t>Expedition</w:t>
      </w:r>
      <w:proofErr w:type="spellEnd"/>
      <w:r>
        <w:t xml:space="preserve"> que investigou aspectos geográficos e climáticos do oeste canadense.</w:t>
      </w:r>
    </w:p>
  </w:footnote>
  <w:footnote w:id="13">
    <w:p w:rsidR="00E62B2C" w:rsidRPr="006E475A" w:rsidRDefault="00E62B2C" w:rsidP="006E475A">
      <w:pPr>
        <w:pStyle w:val="Textodenotaderodap"/>
      </w:pPr>
      <w:r>
        <w:rPr>
          <w:rStyle w:val="Refdenotaderodap"/>
        </w:rPr>
        <w:footnoteRef/>
      </w:r>
      <w:r w:rsidRPr="006E475A">
        <w:t xml:space="preserve">  O termo </w:t>
      </w:r>
      <w:r>
        <w:t>G</w:t>
      </w:r>
      <w:r w:rsidRPr="006E475A">
        <w:t xml:space="preserve">rande </w:t>
      </w:r>
      <w:r>
        <w:t>D</w:t>
      </w:r>
      <w:r w:rsidRPr="006E475A">
        <w:t xml:space="preserve">eserto </w:t>
      </w:r>
      <w:r>
        <w:t>A</w:t>
      </w:r>
      <w:r w:rsidRPr="006E475A">
        <w:t xml:space="preserve">mericano </w:t>
      </w:r>
      <w:r>
        <w:t>era utilizado</w:t>
      </w:r>
      <w:r w:rsidRPr="006E475A">
        <w:t xml:space="preserve"> no século </w:t>
      </w:r>
      <w:r>
        <w:t>XIX</w:t>
      </w:r>
      <w:r w:rsidRPr="006E475A">
        <w:t xml:space="preserve"> para descrever a parte ocidental</w:t>
      </w:r>
      <w:r>
        <w:t xml:space="preserve"> das Grandes Planícies ao leste das Montanhas Rochosas na América do Norte até o centésimo meridiano. </w:t>
      </w:r>
      <w:r w:rsidRPr="00692EC0">
        <w:t xml:space="preserve">Até o século XIX o termo deserto também era utilizado para descrever regiões sem árvores, de baixo </w:t>
      </w:r>
      <w:proofErr w:type="gramStart"/>
      <w:r w:rsidRPr="00692EC0">
        <w:t>potencial agrícola ou desabitadas</w:t>
      </w:r>
      <w:proofErr w:type="gramEnd"/>
      <w:r w:rsidRPr="00692EC0">
        <w:t xml:space="preserve"> fossem elas áridas ou não.</w:t>
      </w:r>
    </w:p>
  </w:footnote>
  <w:footnote w:id="14">
    <w:p w:rsidR="00E62B2C" w:rsidRPr="00632AC4" w:rsidRDefault="00E62B2C">
      <w:pPr>
        <w:pStyle w:val="Textodenotaderodap"/>
        <w:rPr>
          <w:lang w:val="en-US"/>
        </w:rPr>
      </w:pPr>
      <w:r>
        <w:rPr>
          <w:rStyle w:val="Refdenotaderodap"/>
        </w:rPr>
        <w:footnoteRef/>
      </w:r>
      <w:r>
        <w:t xml:space="preserve"> Lei canadense que tinha por objetivo encorajar o assentamento nas pradarias do oeste, assim como proteger essas terras de uma possível invasão pelos Estados Unidos. </w:t>
      </w:r>
      <w:r w:rsidRPr="00632AC4">
        <w:rPr>
          <w:lang w:val="en-US"/>
        </w:rPr>
        <w:t>A lei foi fortemente baseada no Homestead Act</w:t>
      </w:r>
      <w:r>
        <w:rPr>
          <w:lang w:val="en-US"/>
        </w:rPr>
        <w:t xml:space="preserve"> dos EUA</w:t>
      </w:r>
      <w:r w:rsidRPr="00632AC4">
        <w:rPr>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7D47"/>
    <w:multiLevelType w:val="hybridMultilevel"/>
    <w:tmpl w:val="0052A9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7B664D"/>
    <w:multiLevelType w:val="hybridMultilevel"/>
    <w:tmpl w:val="35543D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2D71187"/>
    <w:multiLevelType w:val="hybridMultilevel"/>
    <w:tmpl w:val="A3FEEE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41C5B04"/>
    <w:multiLevelType w:val="hybridMultilevel"/>
    <w:tmpl w:val="DE24C030"/>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nsid w:val="06D82BE1"/>
    <w:multiLevelType w:val="hybridMultilevel"/>
    <w:tmpl w:val="7752F406"/>
    <w:lvl w:ilvl="0" w:tplc="177C412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84F7BAF"/>
    <w:multiLevelType w:val="hybridMultilevel"/>
    <w:tmpl w:val="EB98E9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C537363"/>
    <w:multiLevelType w:val="multilevel"/>
    <w:tmpl w:val="2D4AC37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10C32945"/>
    <w:multiLevelType w:val="hybridMultilevel"/>
    <w:tmpl w:val="67BE3CC2"/>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2643627"/>
    <w:multiLevelType w:val="hybridMultilevel"/>
    <w:tmpl w:val="E14C9EA6"/>
    <w:lvl w:ilvl="0" w:tplc="3C12F31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54075CD"/>
    <w:multiLevelType w:val="hybridMultilevel"/>
    <w:tmpl w:val="6EF8B4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A8F1A96"/>
    <w:multiLevelType w:val="hybridMultilevel"/>
    <w:tmpl w:val="2A0C98CA"/>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1C051066"/>
    <w:multiLevelType w:val="hybridMultilevel"/>
    <w:tmpl w:val="6DE0A90E"/>
    <w:lvl w:ilvl="0" w:tplc="7DB85878">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1F2E5961"/>
    <w:multiLevelType w:val="hybridMultilevel"/>
    <w:tmpl w:val="0D98DF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1FC74BE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20231024"/>
    <w:multiLevelType w:val="hybridMultilevel"/>
    <w:tmpl w:val="D5D872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5A156F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5F42C1D"/>
    <w:multiLevelType w:val="hybridMultilevel"/>
    <w:tmpl w:val="B4C8DDCC"/>
    <w:lvl w:ilvl="0" w:tplc="1A64F49C">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674785E"/>
    <w:multiLevelType w:val="hybridMultilevel"/>
    <w:tmpl w:val="7946E20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25F15C0"/>
    <w:multiLevelType w:val="hybridMultilevel"/>
    <w:tmpl w:val="5CD23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3C12C36"/>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73524FA"/>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D7C7C1E"/>
    <w:multiLevelType w:val="hybridMultilevel"/>
    <w:tmpl w:val="D88C20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F490E3A"/>
    <w:multiLevelType w:val="hybridMultilevel"/>
    <w:tmpl w:val="E26607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1FD4907"/>
    <w:multiLevelType w:val="hybridMultilevel"/>
    <w:tmpl w:val="7194A804"/>
    <w:lvl w:ilvl="0" w:tplc="87229AF0">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48155A7"/>
    <w:multiLevelType w:val="hybridMultilevel"/>
    <w:tmpl w:val="5AA621B0"/>
    <w:lvl w:ilvl="0" w:tplc="BE400D1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5687797"/>
    <w:multiLevelType w:val="hybridMultilevel"/>
    <w:tmpl w:val="CC78C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47415BB8"/>
    <w:multiLevelType w:val="hybridMultilevel"/>
    <w:tmpl w:val="B668473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nsid w:val="47B5266F"/>
    <w:multiLevelType w:val="hybridMultilevel"/>
    <w:tmpl w:val="8D36BB0A"/>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65B1A2E"/>
    <w:multiLevelType w:val="multilevel"/>
    <w:tmpl w:val="F8E615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8050232"/>
    <w:multiLevelType w:val="multilevel"/>
    <w:tmpl w:val="217E63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0">
    <w:nsid w:val="5C934E5B"/>
    <w:multiLevelType w:val="hybridMultilevel"/>
    <w:tmpl w:val="294CA2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60321649"/>
    <w:multiLevelType w:val="multilevel"/>
    <w:tmpl w:val="6CB27AEE"/>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nsid w:val="60F13DDF"/>
    <w:multiLevelType w:val="hybridMultilevel"/>
    <w:tmpl w:val="DF8823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61C338BA"/>
    <w:multiLevelType w:val="hybridMultilevel"/>
    <w:tmpl w:val="56C8B448"/>
    <w:lvl w:ilvl="0" w:tplc="9FFE55B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3422989"/>
    <w:multiLevelType w:val="hybridMultilevel"/>
    <w:tmpl w:val="96EED076"/>
    <w:lvl w:ilvl="0" w:tplc="1598C5E6">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674622C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7C672EC"/>
    <w:multiLevelType w:val="hybridMultilevel"/>
    <w:tmpl w:val="401609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6C681340"/>
    <w:multiLevelType w:val="hybridMultilevel"/>
    <w:tmpl w:val="AD681FE2"/>
    <w:lvl w:ilvl="0" w:tplc="52481B3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6CC059BA"/>
    <w:multiLevelType w:val="hybridMultilevel"/>
    <w:tmpl w:val="64CA14CC"/>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6CE44591"/>
    <w:multiLevelType w:val="multilevel"/>
    <w:tmpl w:val="2D4AC37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0">
    <w:nsid w:val="7316670F"/>
    <w:multiLevelType w:val="multilevel"/>
    <w:tmpl w:val="D616A38A"/>
    <w:lvl w:ilvl="0">
      <w:start w:val="2"/>
      <w:numFmt w:val="decimal"/>
      <w:lvlText w:val="%1."/>
      <w:lvlJc w:val="left"/>
      <w:pPr>
        <w:ind w:left="585" w:hanging="585"/>
      </w:pPr>
      <w:rPr>
        <w:rFonts w:hint="default"/>
      </w:rPr>
    </w:lvl>
    <w:lvl w:ilvl="1">
      <w:start w:val="1"/>
      <w:numFmt w:val="decimal"/>
      <w:lvlText w:val="%1.%2."/>
      <w:lvlJc w:val="left"/>
      <w:pPr>
        <w:ind w:left="885" w:hanging="720"/>
      </w:pPr>
      <w:rPr>
        <w:rFonts w:hint="default"/>
      </w:rPr>
    </w:lvl>
    <w:lvl w:ilvl="2">
      <w:start w:val="2"/>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480" w:hanging="2160"/>
      </w:pPr>
      <w:rPr>
        <w:rFonts w:hint="default"/>
      </w:rPr>
    </w:lvl>
  </w:abstractNum>
  <w:abstractNum w:abstractNumId="41">
    <w:nsid w:val="76601D8F"/>
    <w:multiLevelType w:val="multilevel"/>
    <w:tmpl w:val="BC1AD6D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nsid w:val="7C8B2B48"/>
    <w:multiLevelType w:val="hybridMultilevel"/>
    <w:tmpl w:val="3AA897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40"/>
  </w:num>
  <w:num w:numId="4">
    <w:abstractNumId w:val="3"/>
  </w:num>
  <w:num w:numId="5">
    <w:abstractNumId w:val="28"/>
  </w:num>
  <w:num w:numId="6">
    <w:abstractNumId w:val="26"/>
  </w:num>
  <w:num w:numId="7">
    <w:abstractNumId w:val="35"/>
  </w:num>
  <w:num w:numId="8">
    <w:abstractNumId w:val="42"/>
  </w:num>
  <w:num w:numId="9">
    <w:abstractNumId w:val="36"/>
  </w:num>
  <w:num w:numId="10">
    <w:abstractNumId w:val="25"/>
  </w:num>
  <w:num w:numId="11">
    <w:abstractNumId w:val="41"/>
  </w:num>
  <w:num w:numId="12">
    <w:abstractNumId w:val="39"/>
  </w:num>
  <w:num w:numId="13">
    <w:abstractNumId w:val="6"/>
  </w:num>
  <w:num w:numId="14">
    <w:abstractNumId w:val="13"/>
  </w:num>
  <w:num w:numId="15">
    <w:abstractNumId w:val="20"/>
  </w:num>
  <w:num w:numId="16">
    <w:abstractNumId w:val="15"/>
  </w:num>
  <w:num w:numId="17">
    <w:abstractNumId w:val="19"/>
  </w:num>
  <w:num w:numId="18">
    <w:abstractNumId w:val="21"/>
  </w:num>
  <w:num w:numId="19">
    <w:abstractNumId w:val="7"/>
  </w:num>
  <w:num w:numId="20">
    <w:abstractNumId w:val="38"/>
  </w:num>
  <w:num w:numId="21">
    <w:abstractNumId w:val="17"/>
  </w:num>
  <w:num w:numId="22">
    <w:abstractNumId w:val="27"/>
  </w:num>
  <w:num w:numId="23">
    <w:abstractNumId w:val="16"/>
  </w:num>
  <w:num w:numId="24">
    <w:abstractNumId w:val="23"/>
  </w:num>
  <w:num w:numId="25">
    <w:abstractNumId w:val="11"/>
  </w:num>
  <w:num w:numId="26">
    <w:abstractNumId w:val="37"/>
  </w:num>
  <w:num w:numId="27">
    <w:abstractNumId w:val="8"/>
  </w:num>
  <w:num w:numId="28">
    <w:abstractNumId w:val="24"/>
  </w:num>
  <w:num w:numId="29">
    <w:abstractNumId w:val="4"/>
  </w:num>
  <w:num w:numId="30">
    <w:abstractNumId w:val="34"/>
  </w:num>
  <w:num w:numId="31">
    <w:abstractNumId w:val="33"/>
  </w:num>
  <w:num w:numId="32">
    <w:abstractNumId w:val="10"/>
  </w:num>
  <w:num w:numId="33">
    <w:abstractNumId w:val="5"/>
  </w:num>
  <w:num w:numId="34">
    <w:abstractNumId w:val="14"/>
  </w:num>
  <w:num w:numId="35">
    <w:abstractNumId w:val="32"/>
  </w:num>
  <w:num w:numId="36">
    <w:abstractNumId w:val="0"/>
  </w:num>
  <w:num w:numId="37">
    <w:abstractNumId w:val="30"/>
  </w:num>
  <w:num w:numId="38">
    <w:abstractNumId w:val="12"/>
  </w:num>
  <w:num w:numId="39">
    <w:abstractNumId w:val="2"/>
  </w:num>
  <w:num w:numId="40">
    <w:abstractNumId w:val="1"/>
  </w:num>
  <w:num w:numId="41">
    <w:abstractNumId w:val="22"/>
  </w:num>
  <w:num w:numId="42">
    <w:abstractNumId w:val="18"/>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CB9"/>
    <w:rsid w:val="00001645"/>
    <w:rsid w:val="00001760"/>
    <w:rsid w:val="000028CF"/>
    <w:rsid w:val="0000597E"/>
    <w:rsid w:val="000059B8"/>
    <w:rsid w:val="0000613C"/>
    <w:rsid w:val="00012A6F"/>
    <w:rsid w:val="00013C09"/>
    <w:rsid w:val="00015671"/>
    <w:rsid w:val="000165E9"/>
    <w:rsid w:val="00016A10"/>
    <w:rsid w:val="00017E5A"/>
    <w:rsid w:val="00020734"/>
    <w:rsid w:val="00023013"/>
    <w:rsid w:val="000232B6"/>
    <w:rsid w:val="0002531E"/>
    <w:rsid w:val="00026353"/>
    <w:rsid w:val="00026403"/>
    <w:rsid w:val="00026BD0"/>
    <w:rsid w:val="00030246"/>
    <w:rsid w:val="00030C73"/>
    <w:rsid w:val="000317DA"/>
    <w:rsid w:val="00031C95"/>
    <w:rsid w:val="00031CCF"/>
    <w:rsid w:val="0003315A"/>
    <w:rsid w:val="000340B1"/>
    <w:rsid w:val="00036B6E"/>
    <w:rsid w:val="000378F3"/>
    <w:rsid w:val="00037ACD"/>
    <w:rsid w:val="00037E98"/>
    <w:rsid w:val="000436FC"/>
    <w:rsid w:val="000452AD"/>
    <w:rsid w:val="0004594D"/>
    <w:rsid w:val="00047252"/>
    <w:rsid w:val="0004775C"/>
    <w:rsid w:val="00047929"/>
    <w:rsid w:val="00047CB9"/>
    <w:rsid w:val="000510B5"/>
    <w:rsid w:val="00051484"/>
    <w:rsid w:val="00052F46"/>
    <w:rsid w:val="0005315F"/>
    <w:rsid w:val="0005388C"/>
    <w:rsid w:val="00054043"/>
    <w:rsid w:val="00054141"/>
    <w:rsid w:val="000607D2"/>
    <w:rsid w:val="0006084F"/>
    <w:rsid w:val="00061696"/>
    <w:rsid w:val="000616E7"/>
    <w:rsid w:val="00064E4D"/>
    <w:rsid w:val="000656E7"/>
    <w:rsid w:val="000662D6"/>
    <w:rsid w:val="00066335"/>
    <w:rsid w:val="00066A3E"/>
    <w:rsid w:val="000722A6"/>
    <w:rsid w:val="00074278"/>
    <w:rsid w:val="00075F5B"/>
    <w:rsid w:val="0007737B"/>
    <w:rsid w:val="00077808"/>
    <w:rsid w:val="000803EC"/>
    <w:rsid w:val="00080561"/>
    <w:rsid w:val="00083843"/>
    <w:rsid w:val="00085CF0"/>
    <w:rsid w:val="00086F43"/>
    <w:rsid w:val="00086FF9"/>
    <w:rsid w:val="00087C7E"/>
    <w:rsid w:val="000914B5"/>
    <w:rsid w:val="0009591D"/>
    <w:rsid w:val="00096BC4"/>
    <w:rsid w:val="00097DC1"/>
    <w:rsid w:val="00097EF2"/>
    <w:rsid w:val="000A1163"/>
    <w:rsid w:val="000A1AA4"/>
    <w:rsid w:val="000A313A"/>
    <w:rsid w:val="000A3C2C"/>
    <w:rsid w:val="000A4A9D"/>
    <w:rsid w:val="000A6005"/>
    <w:rsid w:val="000A6AD4"/>
    <w:rsid w:val="000A7B96"/>
    <w:rsid w:val="000B073D"/>
    <w:rsid w:val="000B4018"/>
    <w:rsid w:val="000B501A"/>
    <w:rsid w:val="000B5E45"/>
    <w:rsid w:val="000C0A8E"/>
    <w:rsid w:val="000C16BD"/>
    <w:rsid w:val="000C2FBD"/>
    <w:rsid w:val="000C57CD"/>
    <w:rsid w:val="000D23A5"/>
    <w:rsid w:val="000D527C"/>
    <w:rsid w:val="000D5A32"/>
    <w:rsid w:val="000D6808"/>
    <w:rsid w:val="000D6D18"/>
    <w:rsid w:val="000D6E14"/>
    <w:rsid w:val="000E2D81"/>
    <w:rsid w:val="000E4371"/>
    <w:rsid w:val="000E6FD2"/>
    <w:rsid w:val="000F2B43"/>
    <w:rsid w:val="000F5315"/>
    <w:rsid w:val="000F5420"/>
    <w:rsid w:val="000F5704"/>
    <w:rsid w:val="000F5E01"/>
    <w:rsid w:val="000F6CA5"/>
    <w:rsid w:val="000F6DCE"/>
    <w:rsid w:val="000F7FC1"/>
    <w:rsid w:val="00100DCD"/>
    <w:rsid w:val="00102356"/>
    <w:rsid w:val="001023C5"/>
    <w:rsid w:val="00103760"/>
    <w:rsid w:val="00103AB2"/>
    <w:rsid w:val="00103BD5"/>
    <w:rsid w:val="00103EBA"/>
    <w:rsid w:val="00104467"/>
    <w:rsid w:val="001104EC"/>
    <w:rsid w:val="001107BE"/>
    <w:rsid w:val="0011174E"/>
    <w:rsid w:val="001118BF"/>
    <w:rsid w:val="00112EDD"/>
    <w:rsid w:val="00114207"/>
    <w:rsid w:val="00116BD0"/>
    <w:rsid w:val="00116C2D"/>
    <w:rsid w:val="00120C2A"/>
    <w:rsid w:val="001228E2"/>
    <w:rsid w:val="00123953"/>
    <w:rsid w:val="001262D1"/>
    <w:rsid w:val="00127B53"/>
    <w:rsid w:val="00130253"/>
    <w:rsid w:val="001306A6"/>
    <w:rsid w:val="00133088"/>
    <w:rsid w:val="001348F3"/>
    <w:rsid w:val="00134F07"/>
    <w:rsid w:val="00137B8C"/>
    <w:rsid w:val="001400D4"/>
    <w:rsid w:val="0014502C"/>
    <w:rsid w:val="001471F3"/>
    <w:rsid w:val="001505D8"/>
    <w:rsid w:val="00150DEE"/>
    <w:rsid w:val="001538E6"/>
    <w:rsid w:val="00154247"/>
    <w:rsid w:val="001557C3"/>
    <w:rsid w:val="001601B2"/>
    <w:rsid w:val="00160FAA"/>
    <w:rsid w:val="00161E16"/>
    <w:rsid w:val="00161E3C"/>
    <w:rsid w:val="00164078"/>
    <w:rsid w:val="0016515E"/>
    <w:rsid w:val="00165F53"/>
    <w:rsid w:val="00166010"/>
    <w:rsid w:val="00174779"/>
    <w:rsid w:val="00177052"/>
    <w:rsid w:val="00181718"/>
    <w:rsid w:val="00182C78"/>
    <w:rsid w:val="001866AA"/>
    <w:rsid w:val="00186BD3"/>
    <w:rsid w:val="0019359A"/>
    <w:rsid w:val="0019453F"/>
    <w:rsid w:val="001A58B6"/>
    <w:rsid w:val="001A644A"/>
    <w:rsid w:val="001B0800"/>
    <w:rsid w:val="001B1030"/>
    <w:rsid w:val="001B3A13"/>
    <w:rsid w:val="001B3D61"/>
    <w:rsid w:val="001B51BE"/>
    <w:rsid w:val="001B5DAE"/>
    <w:rsid w:val="001B71E5"/>
    <w:rsid w:val="001B765D"/>
    <w:rsid w:val="001C4C3C"/>
    <w:rsid w:val="001C7F5D"/>
    <w:rsid w:val="001D024F"/>
    <w:rsid w:val="001D0750"/>
    <w:rsid w:val="001D0CD3"/>
    <w:rsid w:val="001D20E1"/>
    <w:rsid w:val="001D291F"/>
    <w:rsid w:val="001D32B1"/>
    <w:rsid w:val="001D3CED"/>
    <w:rsid w:val="001D493D"/>
    <w:rsid w:val="001D4969"/>
    <w:rsid w:val="001D4C56"/>
    <w:rsid w:val="001D611F"/>
    <w:rsid w:val="001D631D"/>
    <w:rsid w:val="001E098E"/>
    <w:rsid w:val="001E0DE1"/>
    <w:rsid w:val="001E216B"/>
    <w:rsid w:val="001E2E04"/>
    <w:rsid w:val="001E43DF"/>
    <w:rsid w:val="001E6787"/>
    <w:rsid w:val="001E7E5D"/>
    <w:rsid w:val="001F2A5F"/>
    <w:rsid w:val="001F4908"/>
    <w:rsid w:val="001F4C82"/>
    <w:rsid w:val="001F65BA"/>
    <w:rsid w:val="00201A5F"/>
    <w:rsid w:val="0020273E"/>
    <w:rsid w:val="0020361C"/>
    <w:rsid w:val="00203777"/>
    <w:rsid w:val="00206AE9"/>
    <w:rsid w:val="00212B65"/>
    <w:rsid w:val="00214738"/>
    <w:rsid w:val="00214C75"/>
    <w:rsid w:val="00215850"/>
    <w:rsid w:val="0021591B"/>
    <w:rsid w:val="0021602F"/>
    <w:rsid w:val="002167B1"/>
    <w:rsid w:val="0022497E"/>
    <w:rsid w:val="00225E20"/>
    <w:rsid w:val="00226B9B"/>
    <w:rsid w:val="00226D7D"/>
    <w:rsid w:val="00237842"/>
    <w:rsid w:val="00241CF6"/>
    <w:rsid w:val="00241D15"/>
    <w:rsid w:val="00243A35"/>
    <w:rsid w:val="002455A0"/>
    <w:rsid w:val="002469A3"/>
    <w:rsid w:val="002501F1"/>
    <w:rsid w:val="00251A06"/>
    <w:rsid w:val="00252B05"/>
    <w:rsid w:val="002542E3"/>
    <w:rsid w:val="00255233"/>
    <w:rsid w:val="00255F31"/>
    <w:rsid w:val="0025741D"/>
    <w:rsid w:val="00260DC1"/>
    <w:rsid w:val="002614BA"/>
    <w:rsid w:val="00263F9D"/>
    <w:rsid w:val="00264310"/>
    <w:rsid w:val="002646A4"/>
    <w:rsid w:val="00264D70"/>
    <w:rsid w:val="002650F3"/>
    <w:rsid w:val="0026534D"/>
    <w:rsid w:val="00266F2D"/>
    <w:rsid w:val="002670F0"/>
    <w:rsid w:val="002676F9"/>
    <w:rsid w:val="002701FE"/>
    <w:rsid w:val="002704A0"/>
    <w:rsid w:val="00272555"/>
    <w:rsid w:val="00272A0E"/>
    <w:rsid w:val="0027555A"/>
    <w:rsid w:val="00276AE9"/>
    <w:rsid w:val="00276C71"/>
    <w:rsid w:val="00281864"/>
    <w:rsid w:val="002837EF"/>
    <w:rsid w:val="00283B74"/>
    <w:rsid w:val="00283B8F"/>
    <w:rsid w:val="00283EF1"/>
    <w:rsid w:val="00283FE5"/>
    <w:rsid w:val="00285041"/>
    <w:rsid w:val="002853A6"/>
    <w:rsid w:val="00286F24"/>
    <w:rsid w:val="00286F72"/>
    <w:rsid w:val="00291803"/>
    <w:rsid w:val="00292E8A"/>
    <w:rsid w:val="002944EE"/>
    <w:rsid w:val="00294937"/>
    <w:rsid w:val="00294E2D"/>
    <w:rsid w:val="00294F3E"/>
    <w:rsid w:val="002958AA"/>
    <w:rsid w:val="00296F5C"/>
    <w:rsid w:val="002A0650"/>
    <w:rsid w:val="002A333F"/>
    <w:rsid w:val="002A3464"/>
    <w:rsid w:val="002A360A"/>
    <w:rsid w:val="002A3D24"/>
    <w:rsid w:val="002A3DA4"/>
    <w:rsid w:val="002A3F1F"/>
    <w:rsid w:val="002A5322"/>
    <w:rsid w:val="002A5C54"/>
    <w:rsid w:val="002A5E8D"/>
    <w:rsid w:val="002A5E9B"/>
    <w:rsid w:val="002A6597"/>
    <w:rsid w:val="002A773B"/>
    <w:rsid w:val="002B14D8"/>
    <w:rsid w:val="002B23B6"/>
    <w:rsid w:val="002B5450"/>
    <w:rsid w:val="002B645D"/>
    <w:rsid w:val="002B69F3"/>
    <w:rsid w:val="002C0DB8"/>
    <w:rsid w:val="002C2C0B"/>
    <w:rsid w:val="002C2C63"/>
    <w:rsid w:val="002C2F35"/>
    <w:rsid w:val="002C5395"/>
    <w:rsid w:val="002C72AF"/>
    <w:rsid w:val="002D0244"/>
    <w:rsid w:val="002D1AAC"/>
    <w:rsid w:val="002D474E"/>
    <w:rsid w:val="002D7424"/>
    <w:rsid w:val="002D7D96"/>
    <w:rsid w:val="002E0891"/>
    <w:rsid w:val="002E503F"/>
    <w:rsid w:val="002E54E7"/>
    <w:rsid w:val="002E6B53"/>
    <w:rsid w:val="002F02DD"/>
    <w:rsid w:val="002F085E"/>
    <w:rsid w:val="002F3982"/>
    <w:rsid w:val="002F3A21"/>
    <w:rsid w:val="002F4745"/>
    <w:rsid w:val="002F4934"/>
    <w:rsid w:val="002F4D77"/>
    <w:rsid w:val="002F7744"/>
    <w:rsid w:val="00300F0F"/>
    <w:rsid w:val="00301C2A"/>
    <w:rsid w:val="00306293"/>
    <w:rsid w:val="003062A5"/>
    <w:rsid w:val="00307942"/>
    <w:rsid w:val="00307C56"/>
    <w:rsid w:val="00307E21"/>
    <w:rsid w:val="003103EA"/>
    <w:rsid w:val="00314511"/>
    <w:rsid w:val="0031613F"/>
    <w:rsid w:val="00317DB7"/>
    <w:rsid w:val="003206DB"/>
    <w:rsid w:val="00324C36"/>
    <w:rsid w:val="0033341E"/>
    <w:rsid w:val="0033470A"/>
    <w:rsid w:val="00334B98"/>
    <w:rsid w:val="003411B6"/>
    <w:rsid w:val="00341FCD"/>
    <w:rsid w:val="00342B90"/>
    <w:rsid w:val="00342DFC"/>
    <w:rsid w:val="003443D1"/>
    <w:rsid w:val="003459B0"/>
    <w:rsid w:val="00346F11"/>
    <w:rsid w:val="00347A71"/>
    <w:rsid w:val="00353A8C"/>
    <w:rsid w:val="003540CB"/>
    <w:rsid w:val="003550FA"/>
    <w:rsid w:val="003560CC"/>
    <w:rsid w:val="00360F80"/>
    <w:rsid w:val="00361734"/>
    <w:rsid w:val="00363391"/>
    <w:rsid w:val="003635D5"/>
    <w:rsid w:val="0036368A"/>
    <w:rsid w:val="003657DD"/>
    <w:rsid w:val="003663B5"/>
    <w:rsid w:val="00366EA4"/>
    <w:rsid w:val="003672F1"/>
    <w:rsid w:val="003674F8"/>
    <w:rsid w:val="00367905"/>
    <w:rsid w:val="003717D9"/>
    <w:rsid w:val="0037450E"/>
    <w:rsid w:val="00374655"/>
    <w:rsid w:val="00382BC7"/>
    <w:rsid w:val="00382EDF"/>
    <w:rsid w:val="00382FA0"/>
    <w:rsid w:val="00383556"/>
    <w:rsid w:val="00384301"/>
    <w:rsid w:val="00384CB2"/>
    <w:rsid w:val="003850A2"/>
    <w:rsid w:val="003903B0"/>
    <w:rsid w:val="003904F2"/>
    <w:rsid w:val="0039075A"/>
    <w:rsid w:val="00390A36"/>
    <w:rsid w:val="00390A78"/>
    <w:rsid w:val="003914F3"/>
    <w:rsid w:val="003922C6"/>
    <w:rsid w:val="003944D8"/>
    <w:rsid w:val="00394C2E"/>
    <w:rsid w:val="00395476"/>
    <w:rsid w:val="003955AE"/>
    <w:rsid w:val="00395BB3"/>
    <w:rsid w:val="00395EFE"/>
    <w:rsid w:val="003A02CB"/>
    <w:rsid w:val="003A56F0"/>
    <w:rsid w:val="003A70CE"/>
    <w:rsid w:val="003B0A82"/>
    <w:rsid w:val="003B0B94"/>
    <w:rsid w:val="003B1BBC"/>
    <w:rsid w:val="003B2552"/>
    <w:rsid w:val="003B360E"/>
    <w:rsid w:val="003B5AA7"/>
    <w:rsid w:val="003B610B"/>
    <w:rsid w:val="003B7B61"/>
    <w:rsid w:val="003C2A27"/>
    <w:rsid w:val="003C2E3F"/>
    <w:rsid w:val="003C3A2E"/>
    <w:rsid w:val="003C5EBC"/>
    <w:rsid w:val="003C78C1"/>
    <w:rsid w:val="003D151E"/>
    <w:rsid w:val="003D2AD3"/>
    <w:rsid w:val="003D4646"/>
    <w:rsid w:val="003D5297"/>
    <w:rsid w:val="003D566B"/>
    <w:rsid w:val="003D5787"/>
    <w:rsid w:val="003D6AC2"/>
    <w:rsid w:val="003E0B1F"/>
    <w:rsid w:val="003E3C3A"/>
    <w:rsid w:val="003E4958"/>
    <w:rsid w:val="003F3651"/>
    <w:rsid w:val="003F3DBD"/>
    <w:rsid w:val="003F526D"/>
    <w:rsid w:val="003F6202"/>
    <w:rsid w:val="0040053B"/>
    <w:rsid w:val="0040358F"/>
    <w:rsid w:val="00403F82"/>
    <w:rsid w:val="00405082"/>
    <w:rsid w:val="00406C49"/>
    <w:rsid w:val="00410BBF"/>
    <w:rsid w:val="00412C17"/>
    <w:rsid w:val="00416212"/>
    <w:rsid w:val="00422037"/>
    <w:rsid w:val="0042473D"/>
    <w:rsid w:val="0042480C"/>
    <w:rsid w:val="0042656C"/>
    <w:rsid w:val="00427E7E"/>
    <w:rsid w:val="004306C7"/>
    <w:rsid w:val="0043457E"/>
    <w:rsid w:val="00434FA6"/>
    <w:rsid w:val="00435DD0"/>
    <w:rsid w:val="004414B6"/>
    <w:rsid w:val="00442C50"/>
    <w:rsid w:val="00445444"/>
    <w:rsid w:val="00450862"/>
    <w:rsid w:val="00452694"/>
    <w:rsid w:val="00453014"/>
    <w:rsid w:val="004564A1"/>
    <w:rsid w:val="00457D69"/>
    <w:rsid w:val="004605D6"/>
    <w:rsid w:val="00461578"/>
    <w:rsid w:val="0046259A"/>
    <w:rsid w:val="0046262E"/>
    <w:rsid w:val="00467437"/>
    <w:rsid w:val="00467C32"/>
    <w:rsid w:val="004711D1"/>
    <w:rsid w:val="00474957"/>
    <w:rsid w:val="00475852"/>
    <w:rsid w:val="00475AC2"/>
    <w:rsid w:val="004813EF"/>
    <w:rsid w:val="0048231B"/>
    <w:rsid w:val="00482D0A"/>
    <w:rsid w:val="0048306B"/>
    <w:rsid w:val="00484F0B"/>
    <w:rsid w:val="00487B8B"/>
    <w:rsid w:val="00487BA0"/>
    <w:rsid w:val="00491172"/>
    <w:rsid w:val="0049147E"/>
    <w:rsid w:val="004931F4"/>
    <w:rsid w:val="00495602"/>
    <w:rsid w:val="0049761E"/>
    <w:rsid w:val="0049774B"/>
    <w:rsid w:val="004A0EED"/>
    <w:rsid w:val="004A134F"/>
    <w:rsid w:val="004A25C6"/>
    <w:rsid w:val="004A4030"/>
    <w:rsid w:val="004A5F7F"/>
    <w:rsid w:val="004B1C1A"/>
    <w:rsid w:val="004B2F3D"/>
    <w:rsid w:val="004B3A89"/>
    <w:rsid w:val="004B406C"/>
    <w:rsid w:val="004B583C"/>
    <w:rsid w:val="004B5A03"/>
    <w:rsid w:val="004B5A66"/>
    <w:rsid w:val="004B66CE"/>
    <w:rsid w:val="004B7063"/>
    <w:rsid w:val="004C0596"/>
    <w:rsid w:val="004C0CBE"/>
    <w:rsid w:val="004C0DA9"/>
    <w:rsid w:val="004C1E44"/>
    <w:rsid w:val="004C5FE2"/>
    <w:rsid w:val="004C7A98"/>
    <w:rsid w:val="004D02A2"/>
    <w:rsid w:val="004D0ED3"/>
    <w:rsid w:val="004D2028"/>
    <w:rsid w:val="004D3EDE"/>
    <w:rsid w:val="004D3F96"/>
    <w:rsid w:val="004D676B"/>
    <w:rsid w:val="004E0C0A"/>
    <w:rsid w:val="004E0D64"/>
    <w:rsid w:val="004E45DD"/>
    <w:rsid w:val="004F0EB3"/>
    <w:rsid w:val="004F11E1"/>
    <w:rsid w:val="004F1A5A"/>
    <w:rsid w:val="004F28F3"/>
    <w:rsid w:val="004F56B3"/>
    <w:rsid w:val="00500175"/>
    <w:rsid w:val="00500307"/>
    <w:rsid w:val="00501F94"/>
    <w:rsid w:val="0050393A"/>
    <w:rsid w:val="00505722"/>
    <w:rsid w:val="0051096A"/>
    <w:rsid w:val="005114C3"/>
    <w:rsid w:val="00513F69"/>
    <w:rsid w:val="005200A2"/>
    <w:rsid w:val="00520850"/>
    <w:rsid w:val="00522F41"/>
    <w:rsid w:val="00523733"/>
    <w:rsid w:val="005242C7"/>
    <w:rsid w:val="00524D13"/>
    <w:rsid w:val="00525041"/>
    <w:rsid w:val="00530366"/>
    <w:rsid w:val="00530B3C"/>
    <w:rsid w:val="00531606"/>
    <w:rsid w:val="00531BDA"/>
    <w:rsid w:val="00532C1D"/>
    <w:rsid w:val="00532D2A"/>
    <w:rsid w:val="00534073"/>
    <w:rsid w:val="005345E9"/>
    <w:rsid w:val="00537348"/>
    <w:rsid w:val="00537A58"/>
    <w:rsid w:val="00540153"/>
    <w:rsid w:val="00540ECA"/>
    <w:rsid w:val="005419F9"/>
    <w:rsid w:val="005424AB"/>
    <w:rsid w:val="005424E2"/>
    <w:rsid w:val="00543A9A"/>
    <w:rsid w:val="00543D0D"/>
    <w:rsid w:val="00543E31"/>
    <w:rsid w:val="0054426C"/>
    <w:rsid w:val="0054503B"/>
    <w:rsid w:val="00546E9A"/>
    <w:rsid w:val="00547007"/>
    <w:rsid w:val="00547543"/>
    <w:rsid w:val="005501BA"/>
    <w:rsid w:val="005508A9"/>
    <w:rsid w:val="0055487B"/>
    <w:rsid w:val="0055647D"/>
    <w:rsid w:val="00556EAF"/>
    <w:rsid w:val="00557957"/>
    <w:rsid w:val="005601DD"/>
    <w:rsid w:val="005609BA"/>
    <w:rsid w:val="005615BF"/>
    <w:rsid w:val="00561645"/>
    <w:rsid w:val="005616C8"/>
    <w:rsid w:val="005630C4"/>
    <w:rsid w:val="0056390B"/>
    <w:rsid w:val="00563D3E"/>
    <w:rsid w:val="00564040"/>
    <w:rsid w:val="0056407B"/>
    <w:rsid w:val="005651EE"/>
    <w:rsid w:val="00565483"/>
    <w:rsid w:val="00565637"/>
    <w:rsid w:val="005702F7"/>
    <w:rsid w:val="00572680"/>
    <w:rsid w:val="005761F5"/>
    <w:rsid w:val="00585207"/>
    <w:rsid w:val="00585A85"/>
    <w:rsid w:val="00586BAB"/>
    <w:rsid w:val="00587520"/>
    <w:rsid w:val="00594497"/>
    <w:rsid w:val="005946D9"/>
    <w:rsid w:val="00594A30"/>
    <w:rsid w:val="00596B88"/>
    <w:rsid w:val="00597667"/>
    <w:rsid w:val="00597C53"/>
    <w:rsid w:val="005A5368"/>
    <w:rsid w:val="005A7D3E"/>
    <w:rsid w:val="005B0C4F"/>
    <w:rsid w:val="005B1606"/>
    <w:rsid w:val="005B340B"/>
    <w:rsid w:val="005B47ED"/>
    <w:rsid w:val="005B4FD5"/>
    <w:rsid w:val="005B64E8"/>
    <w:rsid w:val="005C16F4"/>
    <w:rsid w:val="005C1948"/>
    <w:rsid w:val="005C1C81"/>
    <w:rsid w:val="005C1D93"/>
    <w:rsid w:val="005C23CA"/>
    <w:rsid w:val="005C3CE6"/>
    <w:rsid w:val="005C3DB1"/>
    <w:rsid w:val="005C4FBD"/>
    <w:rsid w:val="005C54BE"/>
    <w:rsid w:val="005C581A"/>
    <w:rsid w:val="005C614C"/>
    <w:rsid w:val="005C6610"/>
    <w:rsid w:val="005C7588"/>
    <w:rsid w:val="005D1468"/>
    <w:rsid w:val="005D270B"/>
    <w:rsid w:val="005D2E9D"/>
    <w:rsid w:val="005D408A"/>
    <w:rsid w:val="005D4BDC"/>
    <w:rsid w:val="005D5AFD"/>
    <w:rsid w:val="005D6A7E"/>
    <w:rsid w:val="005D6DD1"/>
    <w:rsid w:val="005D6F0A"/>
    <w:rsid w:val="005D6FF1"/>
    <w:rsid w:val="005E2791"/>
    <w:rsid w:val="005E40A3"/>
    <w:rsid w:val="005E47FA"/>
    <w:rsid w:val="005E4E67"/>
    <w:rsid w:val="005E623D"/>
    <w:rsid w:val="005E6A08"/>
    <w:rsid w:val="005E7F3E"/>
    <w:rsid w:val="005F12A6"/>
    <w:rsid w:val="005F2443"/>
    <w:rsid w:val="005F3540"/>
    <w:rsid w:val="005F66B1"/>
    <w:rsid w:val="005F6FDB"/>
    <w:rsid w:val="0060056B"/>
    <w:rsid w:val="006008ED"/>
    <w:rsid w:val="00602E51"/>
    <w:rsid w:val="00603091"/>
    <w:rsid w:val="00603D27"/>
    <w:rsid w:val="00603D7F"/>
    <w:rsid w:val="00603D8E"/>
    <w:rsid w:val="00605D93"/>
    <w:rsid w:val="00605FAE"/>
    <w:rsid w:val="006066CA"/>
    <w:rsid w:val="006072B3"/>
    <w:rsid w:val="00611914"/>
    <w:rsid w:val="00611A7D"/>
    <w:rsid w:val="00611F05"/>
    <w:rsid w:val="00612673"/>
    <w:rsid w:val="00615187"/>
    <w:rsid w:val="006153AF"/>
    <w:rsid w:val="006158AF"/>
    <w:rsid w:val="006179D1"/>
    <w:rsid w:val="00620035"/>
    <w:rsid w:val="006215AF"/>
    <w:rsid w:val="006217B6"/>
    <w:rsid w:val="006241D8"/>
    <w:rsid w:val="00625E10"/>
    <w:rsid w:val="00626B32"/>
    <w:rsid w:val="0062753D"/>
    <w:rsid w:val="00627C86"/>
    <w:rsid w:val="006300B4"/>
    <w:rsid w:val="00630FDE"/>
    <w:rsid w:val="0063142D"/>
    <w:rsid w:val="0063199B"/>
    <w:rsid w:val="00632AC4"/>
    <w:rsid w:val="00633DA7"/>
    <w:rsid w:val="00634E93"/>
    <w:rsid w:val="00634FFF"/>
    <w:rsid w:val="0063584D"/>
    <w:rsid w:val="006404DD"/>
    <w:rsid w:val="00642852"/>
    <w:rsid w:val="0064547B"/>
    <w:rsid w:val="0064758A"/>
    <w:rsid w:val="0064769D"/>
    <w:rsid w:val="00647706"/>
    <w:rsid w:val="00647CAF"/>
    <w:rsid w:val="00651E0B"/>
    <w:rsid w:val="00653041"/>
    <w:rsid w:val="0065307A"/>
    <w:rsid w:val="0065477F"/>
    <w:rsid w:val="006558C3"/>
    <w:rsid w:val="006562A9"/>
    <w:rsid w:val="006619B7"/>
    <w:rsid w:val="00661CEA"/>
    <w:rsid w:val="006667AD"/>
    <w:rsid w:val="00666A23"/>
    <w:rsid w:val="006675C5"/>
    <w:rsid w:val="00672154"/>
    <w:rsid w:val="006733F5"/>
    <w:rsid w:val="0067358D"/>
    <w:rsid w:val="00681C9D"/>
    <w:rsid w:val="0068296A"/>
    <w:rsid w:val="00683387"/>
    <w:rsid w:val="006855DB"/>
    <w:rsid w:val="00685DEF"/>
    <w:rsid w:val="0068761C"/>
    <w:rsid w:val="00690F9B"/>
    <w:rsid w:val="00691809"/>
    <w:rsid w:val="00691840"/>
    <w:rsid w:val="00691CCE"/>
    <w:rsid w:val="0069254C"/>
    <w:rsid w:val="00692AB9"/>
    <w:rsid w:val="00692B82"/>
    <w:rsid w:val="00692C6F"/>
    <w:rsid w:val="00692EC0"/>
    <w:rsid w:val="00693763"/>
    <w:rsid w:val="00694DF5"/>
    <w:rsid w:val="00694E25"/>
    <w:rsid w:val="0069551F"/>
    <w:rsid w:val="006964A4"/>
    <w:rsid w:val="006A07D5"/>
    <w:rsid w:val="006A11BD"/>
    <w:rsid w:val="006A13F1"/>
    <w:rsid w:val="006A1B9A"/>
    <w:rsid w:val="006A3E55"/>
    <w:rsid w:val="006A4470"/>
    <w:rsid w:val="006A4A2B"/>
    <w:rsid w:val="006A622E"/>
    <w:rsid w:val="006A7CF4"/>
    <w:rsid w:val="006B0156"/>
    <w:rsid w:val="006B02A5"/>
    <w:rsid w:val="006B106C"/>
    <w:rsid w:val="006B2431"/>
    <w:rsid w:val="006B24C2"/>
    <w:rsid w:val="006B27EE"/>
    <w:rsid w:val="006B3666"/>
    <w:rsid w:val="006B4BE7"/>
    <w:rsid w:val="006B6A24"/>
    <w:rsid w:val="006C0948"/>
    <w:rsid w:val="006C3B8C"/>
    <w:rsid w:val="006C4497"/>
    <w:rsid w:val="006C515E"/>
    <w:rsid w:val="006C51F9"/>
    <w:rsid w:val="006C69D6"/>
    <w:rsid w:val="006D05A5"/>
    <w:rsid w:val="006D12D1"/>
    <w:rsid w:val="006D2205"/>
    <w:rsid w:val="006D2B89"/>
    <w:rsid w:val="006D3492"/>
    <w:rsid w:val="006D3671"/>
    <w:rsid w:val="006E3094"/>
    <w:rsid w:val="006E475A"/>
    <w:rsid w:val="006E47D5"/>
    <w:rsid w:val="006E49CD"/>
    <w:rsid w:val="006F268B"/>
    <w:rsid w:val="006F3592"/>
    <w:rsid w:val="006F3961"/>
    <w:rsid w:val="006F56BA"/>
    <w:rsid w:val="006F6D2C"/>
    <w:rsid w:val="006F75F9"/>
    <w:rsid w:val="006F75FA"/>
    <w:rsid w:val="006F7757"/>
    <w:rsid w:val="006F7F03"/>
    <w:rsid w:val="00700200"/>
    <w:rsid w:val="0070253D"/>
    <w:rsid w:val="0070406E"/>
    <w:rsid w:val="00704AC1"/>
    <w:rsid w:val="007052DE"/>
    <w:rsid w:val="00705930"/>
    <w:rsid w:val="00705C1A"/>
    <w:rsid w:val="00710C0E"/>
    <w:rsid w:val="007137B3"/>
    <w:rsid w:val="0071381F"/>
    <w:rsid w:val="007162ED"/>
    <w:rsid w:val="007169A1"/>
    <w:rsid w:val="0072767C"/>
    <w:rsid w:val="00727C61"/>
    <w:rsid w:val="007308B6"/>
    <w:rsid w:val="00734DFC"/>
    <w:rsid w:val="00735669"/>
    <w:rsid w:val="0073725D"/>
    <w:rsid w:val="00737615"/>
    <w:rsid w:val="00737ACD"/>
    <w:rsid w:val="00742057"/>
    <w:rsid w:val="00742363"/>
    <w:rsid w:val="00743E22"/>
    <w:rsid w:val="007446C3"/>
    <w:rsid w:val="007448FE"/>
    <w:rsid w:val="00744DD9"/>
    <w:rsid w:val="00745DDA"/>
    <w:rsid w:val="00746DD3"/>
    <w:rsid w:val="00746F34"/>
    <w:rsid w:val="007473BD"/>
    <w:rsid w:val="00747ADB"/>
    <w:rsid w:val="00751065"/>
    <w:rsid w:val="00752BD1"/>
    <w:rsid w:val="0075358C"/>
    <w:rsid w:val="00753EDD"/>
    <w:rsid w:val="00754B1C"/>
    <w:rsid w:val="00756410"/>
    <w:rsid w:val="0075646D"/>
    <w:rsid w:val="00757528"/>
    <w:rsid w:val="00760A9C"/>
    <w:rsid w:val="00760B95"/>
    <w:rsid w:val="0076160D"/>
    <w:rsid w:val="0076182D"/>
    <w:rsid w:val="007621BF"/>
    <w:rsid w:val="00763C20"/>
    <w:rsid w:val="00764C24"/>
    <w:rsid w:val="007652A4"/>
    <w:rsid w:val="00767D1E"/>
    <w:rsid w:val="00773C31"/>
    <w:rsid w:val="00773F9E"/>
    <w:rsid w:val="007744F1"/>
    <w:rsid w:val="00775428"/>
    <w:rsid w:val="007808C0"/>
    <w:rsid w:val="007808D7"/>
    <w:rsid w:val="0078254A"/>
    <w:rsid w:val="00782B32"/>
    <w:rsid w:val="00785DA1"/>
    <w:rsid w:val="007911C9"/>
    <w:rsid w:val="00791D17"/>
    <w:rsid w:val="007929D5"/>
    <w:rsid w:val="007937AB"/>
    <w:rsid w:val="007954A8"/>
    <w:rsid w:val="00796018"/>
    <w:rsid w:val="007A095E"/>
    <w:rsid w:val="007A1069"/>
    <w:rsid w:val="007A3763"/>
    <w:rsid w:val="007A4C38"/>
    <w:rsid w:val="007A4FF2"/>
    <w:rsid w:val="007A5401"/>
    <w:rsid w:val="007A7393"/>
    <w:rsid w:val="007A7638"/>
    <w:rsid w:val="007B1068"/>
    <w:rsid w:val="007B1A5B"/>
    <w:rsid w:val="007B3FB4"/>
    <w:rsid w:val="007B431D"/>
    <w:rsid w:val="007B4E77"/>
    <w:rsid w:val="007B69B5"/>
    <w:rsid w:val="007B6ED0"/>
    <w:rsid w:val="007C19E0"/>
    <w:rsid w:val="007C2CA4"/>
    <w:rsid w:val="007C2FA4"/>
    <w:rsid w:val="007C624D"/>
    <w:rsid w:val="007C6311"/>
    <w:rsid w:val="007D02C2"/>
    <w:rsid w:val="007D1DA7"/>
    <w:rsid w:val="007D2B9E"/>
    <w:rsid w:val="007D2FD1"/>
    <w:rsid w:val="007D4050"/>
    <w:rsid w:val="007D5024"/>
    <w:rsid w:val="007E17F6"/>
    <w:rsid w:val="007E182A"/>
    <w:rsid w:val="007E4688"/>
    <w:rsid w:val="007E4C52"/>
    <w:rsid w:val="007E4F71"/>
    <w:rsid w:val="007E74DE"/>
    <w:rsid w:val="007F010F"/>
    <w:rsid w:val="007F01EF"/>
    <w:rsid w:val="007F0881"/>
    <w:rsid w:val="007F139F"/>
    <w:rsid w:val="007F1DDC"/>
    <w:rsid w:val="007F4494"/>
    <w:rsid w:val="007F5118"/>
    <w:rsid w:val="008017D6"/>
    <w:rsid w:val="0080190C"/>
    <w:rsid w:val="00801C10"/>
    <w:rsid w:val="008047FD"/>
    <w:rsid w:val="00806ABC"/>
    <w:rsid w:val="00810A3B"/>
    <w:rsid w:val="00811D3C"/>
    <w:rsid w:val="00812B67"/>
    <w:rsid w:val="008137D3"/>
    <w:rsid w:val="00813AA0"/>
    <w:rsid w:val="008145DC"/>
    <w:rsid w:val="00817305"/>
    <w:rsid w:val="0081742B"/>
    <w:rsid w:val="00817A35"/>
    <w:rsid w:val="008214CE"/>
    <w:rsid w:val="008224E0"/>
    <w:rsid w:val="00824876"/>
    <w:rsid w:val="00825431"/>
    <w:rsid w:val="0082617D"/>
    <w:rsid w:val="00826358"/>
    <w:rsid w:val="0082685C"/>
    <w:rsid w:val="008273C0"/>
    <w:rsid w:val="00832ADC"/>
    <w:rsid w:val="00833343"/>
    <w:rsid w:val="00833C1E"/>
    <w:rsid w:val="008348F9"/>
    <w:rsid w:val="0083570C"/>
    <w:rsid w:val="008369E8"/>
    <w:rsid w:val="00837297"/>
    <w:rsid w:val="00837740"/>
    <w:rsid w:val="008413D6"/>
    <w:rsid w:val="008416A7"/>
    <w:rsid w:val="008424E0"/>
    <w:rsid w:val="008435F2"/>
    <w:rsid w:val="00843B2E"/>
    <w:rsid w:val="00844F10"/>
    <w:rsid w:val="00845467"/>
    <w:rsid w:val="00851A0C"/>
    <w:rsid w:val="00851FE8"/>
    <w:rsid w:val="00853DB6"/>
    <w:rsid w:val="00854ACA"/>
    <w:rsid w:val="0085563F"/>
    <w:rsid w:val="008615C0"/>
    <w:rsid w:val="00862401"/>
    <w:rsid w:val="00864651"/>
    <w:rsid w:val="00864878"/>
    <w:rsid w:val="0086566A"/>
    <w:rsid w:val="008734EB"/>
    <w:rsid w:val="0087541B"/>
    <w:rsid w:val="00875FAD"/>
    <w:rsid w:val="00876394"/>
    <w:rsid w:val="00876630"/>
    <w:rsid w:val="008823C7"/>
    <w:rsid w:val="008830B7"/>
    <w:rsid w:val="0088379E"/>
    <w:rsid w:val="00883A0E"/>
    <w:rsid w:val="00883B2E"/>
    <w:rsid w:val="008846B7"/>
    <w:rsid w:val="00887EAB"/>
    <w:rsid w:val="00891497"/>
    <w:rsid w:val="00891DDA"/>
    <w:rsid w:val="00891F2B"/>
    <w:rsid w:val="00892FB3"/>
    <w:rsid w:val="0089414F"/>
    <w:rsid w:val="00895E87"/>
    <w:rsid w:val="0089619A"/>
    <w:rsid w:val="008A158C"/>
    <w:rsid w:val="008A1902"/>
    <w:rsid w:val="008A1B20"/>
    <w:rsid w:val="008A379E"/>
    <w:rsid w:val="008A505C"/>
    <w:rsid w:val="008A521E"/>
    <w:rsid w:val="008B3602"/>
    <w:rsid w:val="008B3D67"/>
    <w:rsid w:val="008B3EE3"/>
    <w:rsid w:val="008B66EE"/>
    <w:rsid w:val="008B6730"/>
    <w:rsid w:val="008B6881"/>
    <w:rsid w:val="008C1734"/>
    <w:rsid w:val="008C1C90"/>
    <w:rsid w:val="008C2BF6"/>
    <w:rsid w:val="008C38E1"/>
    <w:rsid w:val="008C3BE9"/>
    <w:rsid w:val="008C3C08"/>
    <w:rsid w:val="008C3D0A"/>
    <w:rsid w:val="008C5461"/>
    <w:rsid w:val="008C595F"/>
    <w:rsid w:val="008C5C77"/>
    <w:rsid w:val="008C5E05"/>
    <w:rsid w:val="008D06D3"/>
    <w:rsid w:val="008D0B90"/>
    <w:rsid w:val="008D1857"/>
    <w:rsid w:val="008D4017"/>
    <w:rsid w:val="008D46AD"/>
    <w:rsid w:val="008D6192"/>
    <w:rsid w:val="008D775D"/>
    <w:rsid w:val="008D788C"/>
    <w:rsid w:val="008E3052"/>
    <w:rsid w:val="008E365B"/>
    <w:rsid w:val="008E3DDF"/>
    <w:rsid w:val="008E435C"/>
    <w:rsid w:val="008E4A99"/>
    <w:rsid w:val="008E5047"/>
    <w:rsid w:val="008E5438"/>
    <w:rsid w:val="008F04F2"/>
    <w:rsid w:val="008F16FB"/>
    <w:rsid w:val="008F2A29"/>
    <w:rsid w:val="008F48A8"/>
    <w:rsid w:val="008F5432"/>
    <w:rsid w:val="008F5F3B"/>
    <w:rsid w:val="008F79AE"/>
    <w:rsid w:val="00900BB1"/>
    <w:rsid w:val="0090250B"/>
    <w:rsid w:val="0090294E"/>
    <w:rsid w:val="00903AC0"/>
    <w:rsid w:val="00903B60"/>
    <w:rsid w:val="0090634E"/>
    <w:rsid w:val="0091356F"/>
    <w:rsid w:val="00921C19"/>
    <w:rsid w:val="009229A2"/>
    <w:rsid w:val="00922A30"/>
    <w:rsid w:val="00925ADE"/>
    <w:rsid w:val="0092614D"/>
    <w:rsid w:val="009304AF"/>
    <w:rsid w:val="00931E0D"/>
    <w:rsid w:val="00935F26"/>
    <w:rsid w:val="00936C89"/>
    <w:rsid w:val="009372DF"/>
    <w:rsid w:val="00942579"/>
    <w:rsid w:val="00944636"/>
    <w:rsid w:val="009460FF"/>
    <w:rsid w:val="00947BF8"/>
    <w:rsid w:val="009503A0"/>
    <w:rsid w:val="00950C99"/>
    <w:rsid w:val="00951901"/>
    <w:rsid w:val="0095261D"/>
    <w:rsid w:val="00953835"/>
    <w:rsid w:val="00957A21"/>
    <w:rsid w:val="009600E8"/>
    <w:rsid w:val="0096147F"/>
    <w:rsid w:val="00962578"/>
    <w:rsid w:val="009643F4"/>
    <w:rsid w:val="009651AA"/>
    <w:rsid w:val="00965273"/>
    <w:rsid w:val="0096596E"/>
    <w:rsid w:val="00965CD4"/>
    <w:rsid w:val="009676FF"/>
    <w:rsid w:val="00967B75"/>
    <w:rsid w:val="00972626"/>
    <w:rsid w:val="009752A3"/>
    <w:rsid w:val="00975AAF"/>
    <w:rsid w:val="00976955"/>
    <w:rsid w:val="00980D5D"/>
    <w:rsid w:val="009814CB"/>
    <w:rsid w:val="00981E3F"/>
    <w:rsid w:val="00982052"/>
    <w:rsid w:val="0098226E"/>
    <w:rsid w:val="009831D2"/>
    <w:rsid w:val="00985715"/>
    <w:rsid w:val="00987F8F"/>
    <w:rsid w:val="00990402"/>
    <w:rsid w:val="009906F1"/>
    <w:rsid w:val="00991303"/>
    <w:rsid w:val="00991BB5"/>
    <w:rsid w:val="00992121"/>
    <w:rsid w:val="009934B7"/>
    <w:rsid w:val="0099378C"/>
    <w:rsid w:val="009954ED"/>
    <w:rsid w:val="00995B77"/>
    <w:rsid w:val="0099600D"/>
    <w:rsid w:val="009968A8"/>
    <w:rsid w:val="009A08EE"/>
    <w:rsid w:val="009A2B37"/>
    <w:rsid w:val="009A2F29"/>
    <w:rsid w:val="009A2F32"/>
    <w:rsid w:val="009A442E"/>
    <w:rsid w:val="009A46A7"/>
    <w:rsid w:val="009A65C5"/>
    <w:rsid w:val="009B0889"/>
    <w:rsid w:val="009B0E67"/>
    <w:rsid w:val="009B0ECB"/>
    <w:rsid w:val="009B10B3"/>
    <w:rsid w:val="009B124B"/>
    <w:rsid w:val="009B1771"/>
    <w:rsid w:val="009B2F97"/>
    <w:rsid w:val="009B5630"/>
    <w:rsid w:val="009B58E6"/>
    <w:rsid w:val="009B7863"/>
    <w:rsid w:val="009B7A28"/>
    <w:rsid w:val="009C04A0"/>
    <w:rsid w:val="009C09C8"/>
    <w:rsid w:val="009C0C50"/>
    <w:rsid w:val="009C1467"/>
    <w:rsid w:val="009C1CDC"/>
    <w:rsid w:val="009C27BC"/>
    <w:rsid w:val="009C2F24"/>
    <w:rsid w:val="009C4EF3"/>
    <w:rsid w:val="009C5F9B"/>
    <w:rsid w:val="009C5FB7"/>
    <w:rsid w:val="009C6675"/>
    <w:rsid w:val="009C7446"/>
    <w:rsid w:val="009D095A"/>
    <w:rsid w:val="009D0F0D"/>
    <w:rsid w:val="009D0FCA"/>
    <w:rsid w:val="009D1016"/>
    <w:rsid w:val="009D3934"/>
    <w:rsid w:val="009D4283"/>
    <w:rsid w:val="009D663C"/>
    <w:rsid w:val="009D694C"/>
    <w:rsid w:val="009E10C7"/>
    <w:rsid w:val="009E1351"/>
    <w:rsid w:val="009E1AF3"/>
    <w:rsid w:val="009E65DB"/>
    <w:rsid w:val="009E7935"/>
    <w:rsid w:val="009F32F8"/>
    <w:rsid w:val="009F36A5"/>
    <w:rsid w:val="009F457C"/>
    <w:rsid w:val="009F60CE"/>
    <w:rsid w:val="009F7BF6"/>
    <w:rsid w:val="00A01759"/>
    <w:rsid w:val="00A01821"/>
    <w:rsid w:val="00A047D4"/>
    <w:rsid w:val="00A06720"/>
    <w:rsid w:val="00A06E74"/>
    <w:rsid w:val="00A1121B"/>
    <w:rsid w:val="00A11D5E"/>
    <w:rsid w:val="00A12EB4"/>
    <w:rsid w:val="00A14EDF"/>
    <w:rsid w:val="00A159D6"/>
    <w:rsid w:val="00A15A75"/>
    <w:rsid w:val="00A169E0"/>
    <w:rsid w:val="00A17E83"/>
    <w:rsid w:val="00A2458D"/>
    <w:rsid w:val="00A2494D"/>
    <w:rsid w:val="00A25979"/>
    <w:rsid w:val="00A260B2"/>
    <w:rsid w:val="00A26651"/>
    <w:rsid w:val="00A26FEE"/>
    <w:rsid w:val="00A31080"/>
    <w:rsid w:val="00A3348B"/>
    <w:rsid w:val="00A3580F"/>
    <w:rsid w:val="00A361BA"/>
    <w:rsid w:val="00A365E0"/>
    <w:rsid w:val="00A36A4A"/>
    <w:rsid w:val="00A36B4A"/>
    <w:rsid w:val="00A36F32"/>
    <w:rsid w:val="00A3794C"/>
    <w:rsid w:val="00A414F1"/>
    <w:rsid w:val="00A432DF"/>
    <w:rsid w:val="00A45ACE"/>
    <w:rsid w:val="00A46E14"/>
    <w:rsid w:val="00A47540"/>
    <w:rsid w:val="00A4786B"/>
    <w:rsid w:val="00A50AB2"/>
    <w:rsid w:val="00A51EC3"/>
    <w:rsid w:val="00A52299"/>
    <w:rsid w:val="00A53391"/>
    <w:rsid w:val="00A53DF7"/>
    <w:rsid w:val="00A5494F"/>
    <w:rsid w:val="00A551A3"/>
    <w:rsid w:val="00A55D34"/>
    <w:rsid w:val="00A56631"/>
    <w:rsid w:val="00A56D06"/>
    <w:rsid w:val="00A6355D"/>
    <w:rsid w:val="00A64429"/>
    <w:rsid w:val="00A648CA"/>
    <w:rsid w:val="00A64B21"/>
    <w:rsid w:val="00A66103"/>
    <w:rsid w:val="00A66C58"/>
    <w:rsid w:val="00A67D2A"/>
    <w:rsid w:val="00A70454"/>
    <w:rsid w:val="00A707FC"/>
    <w:rsid w:val="00A70EC6"/>
    <w:rsid w:val="00A71C25"/>
    <w:rsid w:val="00A71E37"/>
    <w:rsid w:val="00A72476"/>
    <w:rsid w:val="00A7466F"/>
    <w:rsid w:val="00A759FF"/>
    <w:rsid w:val="00A77120"/>
    <w:rsid w:val="00A800DB"/>
    <w:rsid w:val="00A830A2"/>
    <w:rsid w:val="00A83606"/>
    <w:rsid w:val="00A837D9"/>
    <w:rsid w:val="00A83DBD"/>
    <w:rsid w:val="00A85A0B"/>
    <w:rsid w:val="00A85E13"/>
    <w:rsid w:val="00A85E49"/>
    <w:rsid w:val="00A865F0"/>
    <w:rsid w:val="00A86BA0"/>
    <w:rsid w:val="00A87E7A"/>
    <w:rsid w:val="00A87F83"/>
    <w:rsid w:val="00A90DF7"/>
    <w:rsid w:val="00A910A5"/>
    <w:rsid w:val="00A91C2A"/>
    <w:rsid w:val="00A91F25"/>
    <w:rsid w:val="00A94F96"/>
    <w:rsid w:val="00A95A57"/>
    <w:rsid w:val="00A9723B"/>
    <w:rsid w:val="00AA0351"/>
    <w:rsid w:val="00AA1DEC"/>
    <w:rsid w:val="00AA261D"/>
    <w:rsid w:val="00AA44D1"/>
    <w:rsid w:val="00AA6490"/>
    <w:rsid w:val="00AA7520"/>
    <w:rsid w:val="00AB1EF2"/>
    <w:rsid w:val="00AB2DB6"/>
    <w:rsid w:val="00AC3E0F"/>
    <w:rsid w:val="00AC5188"/>
    <w:rsid w:val="00AC595E"/>
    <w:rsid w:val="00AC5B73"/>
    <w:rsid w:val="00AC5F1C"/>
    <w:rsid w:val="00AC6933"/>
    <w:rsid w:val="00AC7015"/>
    <w:rsid w:val="00AD1820"/>
    <w:rsid w:val="00AD1B7F"/>
    <w:rsid w:val="00AD2444"/>
    <w:rsid w:val="00AD410E"/>
    <w:rsid w:val="00AD4545"/>
    <w:rsid w:val="00AD45AF"/>
    <w:rsid w:val="00AD4F73"/>
    <w:rsid w:val="00AD59AA"/>
    <w:rsid w:val="00AD6B9E"/>
    <w:rsid w:val="00AD6DB8"/>
    <w:rsid w:val="00AD7409"/>
    <w:rsid w:val="00AE03ED"/>
    <w:rsid w:val="00AE12E6"/>
    <w:rsid w:val="00AE4472"/>
    <w:rsid w:val="00AE575F"/>
    <w:rsid w:val="00AF0632"/>
    <w:rsid w:val="00AF2BBF"/>
    <w:rsid w:val="00AF2BF4"/>
    <w:rsid w:val="00AF3A2B"/>
    <w:rsid w:val="00AF6503"/>
    <w:rsid w:val="00AF7101"/>
    <w:rsid w:val="00B00816"/>
    <w:rsid w:val="00B02399"/>
    <w:rsid w:val="00B04C35"/>
    <w:rsid w:val="00B0507B"/>
    <w:rsid w:val="00B05324"/>
    <w:rsid w:val="00B05B25"/>
    <w:rsid w:val="00B116D7"/>
    <w:rsid w:val="00B1378B"/>
    <w:rsid w:val="00B13C43"/>
    <w:rsid w:val="00B15744"/>
    <w:rsid w:val="00B1690B"/>
    <w:rsid w:val="00B171B6"/>
    <w:rsid w:val="00B219F1"/>
    <w:rsid w:val="00B22FED"/>
    <w:rsid w:val="00B2345C"/>
    <w:rsid w:val="00B24D78"/>
    <w:rsid w:val="00B24F28"/>
    <w:rsid w:val="00B2590B"/>
    <w:rsid w:val="00B26C63"/>
    <w:rsid w:val="00B27315"/>
    <w:rsid w:val="00B27F4B"/>
    <w:rsid w:val="00B308AF"/>
    <w:rsid w:val="00B34461"/>
    <w:rsid w:val="00B348D7"/>
    <w:rsid w:val="00B428D3"/>
    <w:rsid w:val="00B43FCF"/>
    <w:rsid w:val="00B45FA6"/>
    <w:rsid w:val="00B507CC"/>
    <w:rsid w:val="00B5129D"/>
    <w:rsid w:val="00B53EBA"/>
    <w:rsid w:val="00B554DC"/>
    <w:rsid w:val="00B57DAA"/>
    <w:rsid w:val="00B60610"/>
    <w:rsid w:val="00B6379F"/>
    <w:rsid w:val="00B675C9"/>
    <w:rsid w:val="00B7446B"/>
    <w:rsid w:val="00B74DAF"/>
    <w:rsid w:val="00B75C44"/>
    <w:rsid w:val="00B76B29"/>
    <w:rsid w:val="00B771C8"/>
    <w:rsid w:val="00B77818"/>
    <w:rsid w:val="00B77CCF"/>
    <w:rsid w:val="00B80E81"/>
    <w:rsid w:val="00B81BEF"/>
    <w:rsid w:val="00B83162"/>
    <w:rsid w:val="00B83734"/>
    <w:rsid w:val="00B83CC9"/>
    <w:rsid w:val="00B853DB"/>
    <w:rsid w:val="00B85DAC"/>
    <w:rsid w:val="00B8671B"/>
    <w:rsid w:val="00B86B65"/>
    <w:rsid w:val="00B934F7"/>
    <w:rsid w:val="00B944F6"/>
    <w:rsid w:val="00B96C4E"/>
    <w:rsid w:val="00B97B61"/>
    <w:rsid w:val="00BA09AC"/>
    <w:rsid w:val="00BA0A3C"/>
    <w:rsid w:val="00BA1B74"/>
    <w:rsid w:val="00BB0AD1"/>
    <w:rsid w:val="00BB2CCC"/>
    <w:rsid w:val="00BB30FB"/>
    <w:rsid w:val="00BB3BF1"/>
    <w:rsid w:val="00BB61BD"/>
    <w:rsid w:val="00BB6B46"/>
    <w:rsid w:val="00BC28D4"/>
    <w:rsid w:val="00BC4312"/>
    <w:rsid w:val="00BC43AA"/>
    <w:rsid w:val="00BC653A"/>
    <w:rsid w:val="00BC6F11"/>
    <w:rsid w:val="00BD164F"/>
    <w:rsid w:val="00BD22E3"/>
    <w:rsid w:val="00BD35DA"/>
    <w:rsid w:val="00BD44C5"/>
    <w:rsid w:val="00BD4E7E"/>
    <w:rsid w:val="00BD6FED"/>
    <w:rsid w:val="00BD7386"/>
    <w:rsid w:val="00BE147D"/>
    <w:rsid w:val="00BE1E95"/>
    <w:rsid w:val="00BE2B96"/>
    <w:rsid w:val="00BE4307"/>
    <w:rsid w:val="00BE4E41"/>
    <w:rsid w:val="00BE6034"/>
    <w:rsid w:val="00BE6A2C"/>
    <w:rsid w:val="00BE72A6"/>
    <w:rsid w:val="00BF0DFA"/>
    <w:rsid w:val="00BF30C4"/>
    <w:rsid w:val="00BF4356"/>
    <w:rsid w:val="00BF5676"/>
    <w:rsid w:val="00BF7408"/>
    <w:rsid w:val="00BF7EC2"/>
    <w:rsid w:val="00C02376"/>
    <w:rsid w:val="00C03BAE"/>
    <w:rsid w:val="00C05103"/>
    <w:rsid w:val="00C05446"/>
    <w:rsid w:val="00C06BB5"/>
    <w:rsid w:val="00C06E82"/>
    <w:rsid w:val="00C10E66"/>
    <w:rsid w:val="00C11DA8"/>
    <w:rsid w:val="00C13191"/>
    <w:rsid w:val="00C13419"/>
    <w:rsid w:val="00C16A8D"/>
    <w:rsid w:val="00C26BC2"/>
    <w:rsid w:val="00C26D10"/>
    <w:rsid w:val="00C31273"/>
    <w:rsid w:val="00C33DAF"/>
    <w:rsid w:val="00C361CB"/>
    <w:rsid w:val="00C37A3D"/>
    <w:rsid w:val="00C402AA"/>
    <w:rsid w:val="00C410E1"/>
    <w:rsid w:val="00C41139"/>
    <w:rsid w:val="00C44BEB"/>
    <w:rsid w:val="00C45C64"/>
    <w:rsid w:val="00C5041E"/>
    <w:rsid w:val="00C50828"/>
    <w:rsid w:val="00C51283"/>
    <w:rsid w:val="00C557F4"/>
    <w:rsid w:val="00C56EE4"/>
    <w:rsid w:val="00C60404"/>
    <w:rsid w:val="00C612FF"/>
    <w:rsid w:val="00C638A2"/>
    <w:rsid w:val="00C6393E"/>
    <w:rsid w:val="00C63E62"/>
    <w:rsid w:val="00C64C0E"/>
    <w:rsid w:val="00C6506A"/>
    <w:rsid w:val="00C7129F"/>
    <w:rsid w:val="00C714C8"/>
    <w:rsid w:val="00C73813"/>
    <w:rsid w:val="00C747CA"/>
    <w:rsid w:val="00C752F5"/>
    <w:rsid w:val="00C76977"/>
    <w:rsid w:val="00C76DCD"/>
    <w:rsid w:val="00C804C4"/>
    <w:rsid w:val="00C8278D"/>
    <w:rsid w:val="00C83652"/>
    <w:rsid w:val="00C863D7"/>
    <w:rsid w:val="00C86C7C"/>
    <w:rsid w:val="00C91E3B"/>
    <w:rsid w:val="00C92A77"/>
    <w:rsid w:val="00C94B5C"/>
    <w:rsid w:val="00C94C03"/>
    <w:rsid w:val="00C960D2"/>
    <w:rsid w:val="00C961CE"/>
    <w:rsid w:val="00C97101"/>
    <w:rsid w:val="00C9769A"/>
    <w:rsid w:val="00CA022D"/>
    <w:rsid w:val="00CA030E"/>
    <w:rsid w:val="00CA2377"/>
    <w:rsid w:val="00CA2A9F"/>
    <w:rsid w:val="00CA34F2"/>
    <w:rsid w:val="00CA7E7D"/>
    <w:rsid w:val="00CA7FAA"/>
    <w:rsid w:val="00CB0813"/>
    <w:rsid w:val="00CB0AED"/>
    <w:rsid w:val="00CB18BD"/>
    <w:rsid w:val="00CB4AFC"/>
    <w:rsid w:val="00CB507A"/>
    <w:rsid w:val="00CB5490"/>
    <w:rsid w:val="00CC251E"/>
    <w:rsid w:val="00CC2B81"/>
    <w:rsid w:val="00CC75CF"/>
    <w:rsid w:val="00CC76C3"/>
    <w:rsid w:val="00CD056A"/>
    <w:rsid w:val="00CD13BC"/>
    <w:rsid w:val="00CD36BC"/>
    <w:rsid w:val="00CD3A7E"/>
    <w:rsid w:val="00CD732D"/>
    <w:rsid w:val="00CD75C0"/>
    <w:rsid w:val="00CE105A"/>
    <w:rsid w:val="00CE3B6E"/>
    <w:rsid w:val="00CE55E4"/>
    <w:rsid w:val="00CE5DE4"/>
    <w:rsid w:val="00CF2D71"/>
    <w:rsid w:val="00CF4EC9"/>
    <w:rsid w:val="00CF54F5"/>
    <w:rsid w:val="00CF6948"/>
    <w:rsid w:val="00D002CE"/>
    <w:rsid w:val="00D01095"/>
    <w:rsid w:val="00D01FA0"/>
    <w:rsid w:val="00D02E36"/>
    <w:rsid w:val="00D02E60"/>
    <w:rsid w:val="00D063C0"/>
    <w:rsid w:val="00D06429"/>
    <w:rsid w:val="00D07DEB"/>
    <w:rsid w:val="00D1008F"/>
    <w:rsid w:val="00D10848"/>
    <w:rsid w:val="00D139DE"/>
    <w:rsid w:val="00D1415C"/>
    <w:rsid w:val="00D16747"/>
    <w:rsid w:val="00D16A01"/>
    <w:rsid w:val="00D178A7"/>
    <w:rsid w:val="00D21D1F"/>
    <w:rsid w:val="00D221FC"/>
    <w:rsid w:val="00D2547C"/>
    <w:rsid w:val="00D25DBA"/>
    <w:rsid w:val="00D26FC3"/>
    <w:rsid w:val="00D30C79"/>
    <w:rsid w:val="00D31D94"/>
    <w:rsid w:val="00D31DF4"/>
    <w:rsid w:val="00D33E82"/>
    <w:rsid w:val="00D40C65"/>
    <w:rsid w:val="00D40E43"/>
    <w:rsid w:val="00D432D4"/>
    <w:rsid w:val="00D4593C"/>
    <w:rsid w:val="00D45A28"/>
    <w:rsid w:val="00D511C8"/>
    <w:rsid w:val="00D538BA"/>
    <w:rsid w:val="00D54899"/>
    <w:rsid w:val="00D5533F"/>
    <w:rsid w:val="00D57602"/>
    <w:rsid w:val="00D57800"/>
    <w:rsid w:val="00D6001D"/>
    <w:rsid w:val="00D60C93"/>
    <w:rsid w:val="00D63A22"/>
    <w:rsid w:val="00D64BE2"/>
    <w:rsid w:val="00D651A8"/>
    <w:rsid w:val="00D66370"/>
    <w:rsid w:val="00D70F13"/>
    <w:rsid w:val="00D74EE2"/>
    <w:rsid w:val="00D802E9"/>
    <w:rsid w:val="00D83B90"/>
    <w:rsid w:val="00D85D54"/>
    <w:rsid w:val="00D87363"/>
    <w:rsid w:val="00D87B95"/>
    <w:rsid w:val="00D907C5"/>
    <w:rsid w:val="00D928E4"/>
    <w:rsid w:val="00D93073"/>
    <w:rsid w:val="00D93D5A"/>
    <w:rsid w:val="00D96A55"/>
    <w:rsid w:val="00D96D5C"/>
    <w:rsid w:val="00D97E04"/>
    <w:rsid w:val="00DA1A0D"/>
    <w:rsid w:val="00DA2086"/>
    <w:rsid w:val="00DA2970"/>
    <w:rsid w:val="00DA2B1D"/>
    <w:rsid w:val="00DA37C4"/>
    <w:rsid w:val="00DA3D49"/>
    <w:rsid w:val="00DA53DC"/>
    <w:rsid w:val="00DA68F0"/>
    <w:rsid w:val="00DA740B"/>
    <w:rsid w:val="00DB1516"/>
    <w:rsid w:val="00DB4960"/>
    <w:rsid w:val="00DB75AD"/>
    <w:rsid w:val="00DB7F54"/>
    <w:rsid w:val="00DC0CF8"/>
    <w:rsid w:val="00DC1791"/>
    <w:rsid w:val="00DC34C1"/>
    <w:rsid w:val="00DC5160"/>
    <w:rsid w:val="00DC5875"/>
    <w:rsid w:val="00DC7109"/>
    <w:rsid w:val="00DD05C3"/>
    <w:rsid w:val="00DD17E7"/>
    <w:rsid w:val="00DD1FDA"/>
    <w:rsid w:val="00DD2E87"/>
    <w:rsid w:val="00DD39AF"/>
    <w:rsid w:val="00DD3FFD"/>
    <w:rsid w:val="00DD488A"/>
    <w:rsid w:val="00DD5289"/>
    <w:rsid w:val="00DD58C0"/>
    <w:rsid w:val="00DD5AB9"/>
    <w:rsid w:val="00DD665E"/>
    <w:rsid w:val="00DD765F"/>
    <w:rsid w:val="00DD78C5"/>
    <w:rsid w:val="00DE0BD6"/>
    <w:rsid w:val="00DE1367"/>
    <w:rsid w:val="00DE30BC"/>
    <w:rsid w:val="00DE3270"/>
    <w:rsid w:val="00DE7124"/>
    <w:rsid w:val="00DE73CA"/>
    <w:rsid w:val="00DF0CB6"/>
    <w:rsid w:val="00DF2E0A"/>
    <w:rsid w:val="00DF50A8"/>
    <w:rsid w:val="00DF637B"/>
    <w:rsid w:val="00DF6D60"/>
    <w:rsid w:val="00DF76A4"/>
    <w:rsid w:val="00E01587"/>
    <w:rsid w:val="00E0219A"/>
    <w:rsid w:val="00E0358E"/>
    <w:rsid w:val="00E03947"/>
    <w:rsid w:val="00E05265"/>
    <w:rsid w:val="00E05314"/>
    <w:rsid w:val="00E06D3C"/>
    <w:rsid w:val="00E0729D"/>
    <w:rsid w:val="00E104A1"/>
    <w:rsid w:val="00E125D4"/>
    <w:rsid w:val="00E1606D"/>
    <w:rsid w:val="00E17813"/>
    <w:rsid w:val="00E17DF1"/>
    <w:rsid w:val="00E2198D"/>
    <w:rsid w:val="00E21FC6"/>
    <w:rsid w:val="00E22144"/>
    <w:rsid w:val="00E249CC"/>
    <w:rsid w:val="00E25513"/>
    <w:rsid w:val="00E26414"/>
    <w:rsid w:val="00E30863"/>
    <w:rsid w:val="00E30D60"/>
    <w:rsid w:val="00E34605"/>
    <w:rsid w:val="00E358EB"/>
    <w:rsid w:val="00E36F1F"/>
    <w:rsid w:val="00E37006"/>
    <w:rsid w:val="00E42464"/>
    <w:rsid w:val="00E42E29"/>
    <w:rsid w:val="00E4433B"/>
    <w:rsid w:val="00E44869"/>
    <w:rsid w:val="00E44DCF"/>
    <w:rsid w:val="00E46DAF"/>
    <w:rsid w:val="00E51225"/>
    <w:rsid w:val="00E52B06"/>
    <w:rsid w:val="00E5492B"/>
    <w:rsid w:val="00E55E42"/>
    <w:rsid w:val="00E55E6A"/>
    <w:rsid w:val="00E56015"/>
    <w:rsid w:val="00E57436"/>
    <w:rsid w:val="00E57CBD"/>
    <w:rsid w:val="00E57D62"/>
    <w:rsid w:val="00E6024C"/>
    <w:rsid w:val="00E6036B"/>
    <w:rsid w:val="00E6063F"/>
    <w:rsid w:val="00E60FF7"/>
    <w:rsid w:val="00E62184"/>
    <w:rsid w:val="00E62263"/>
    <w:rsid w:val="00E62B2C"/>
    <w:rsid w:val="00E630F6"/>
    <w:rsid w:val="00E6422C"/>
    <w:rsid w:val="00E65084"/>
    <w:rsid w:val="00E71938"/>
    <w:rsid w:val="00E71F20"/>
    <w:rsid w:val="00E73520"/>
    <w:rsid w:val="00E735FD"/>
    <w:rsid w:val="00E7392B"/>
    <w:rsid w:val="00E75612"/>
    <w:rsid w:val="00E76F30"/>
    <w:rsid w:val="00E774A3"/>
    <w:rsid w:val="00E84123"/>
    <w:rsid w:val="00E84CD5"/>
    <w:rsid w:val="00E8500C"/>
    <w:rsid w:val="00E8560B"/>
    <w:rsid w:val="00E8786F"/>
    <w:rsid w:val="00E879C9"/>
    <w:rsid w:val="00E90A35"/>
    <w:rsid w:val="00E9241C"/>
    <w:rsid w:val="00E93ED6"/>
    <w:rsid w:val="00E9479B"/>
    <w:rsid w:val="00E96745"/>
    <w:rsid w:val="00E97A46"/>
    <w:rsid w:val="00EA0881"/>
    <w:rsid w:val="00EA0A3E"/>
    <w:rsid w:val="00EA1794"/>
    <w:rsid w:val="00EA3A59"/>
    <w:rsid w:val="00EA6153"/>
    <w:rsid w:val="00EB3BCE"/>
    <w:rsid w:val="00EB4F7A"/>
    <w:rsid w:val="00EC22A2"/>
    <w:rsid w:val="00EC291D"/>
    <w:rsid w:val="00EC55CF"/>
    <w:rsid w:val="00ED1045"/>
    <w:rsid w:val="00ED1145"/>
    <w:rsid w:val="00ED150E"/>
    <w:rsid w:val="00ED516C"/>
    <w:rsid w:val="00ED5C87"/>
    <w:rsid w:val="00ED6207"/>
    <w:rsid w:val="00ED6487"/>
    <w:rsid w:val="00ED6841"/>
    <w:rsid w:val="00ED68B1"/>
    <w:rsid w:val="00ED7493"/>
    <w:rsid w:val="00ED7C56"/>
    <w:rsid w:val="00EE0DAC"/>
    <w:rsid w:val="00EE3517"/>
    <w:rsid w:val="00EE617C"/>
    <w:rsid w:val="00EE652C"/>
    <w:rsid w:val="00EE74F0"/>
    <w:rsid w:val="00EE7540"/>
    <w:rsid w:val="00EF0FF4"/>
    <w:rsid w:val="00EF1635"/>
    <w:rsid w:val="00EF1E78"/>
    <w:rsid w:val="00F02961"/>
    <w:rsid w:val="00F04281"/>
    <w:rsid w:val="00F044BF"/>
    <w:rsid w:val="00F04C33"/>
    <w:rsid w:val="00F14E7C"/>
    <w:rsid w:val="00F1568F"/>
    <w:rsid w:val="00F15A6E"/>
    <w:rsid w:val="00F1763D"/>
    <w:rsid w:val="00F201A2"/>
    <w:rsid w:val="00F20769"/>
    <w:rsid w:val="00F249B5"/>
    <w:rsid w:val="00F25A92"/>
    <w:rsid w:val="00F2709D"/>
    <w:rsid w:val="00F27D87"/>
    <w:rsid w:val="00F30E2A"/>
    <w:rsid w:val="00F311D0"/>
    <w:rsid w:val="00F335CD"/>
    <w:rsid w:val="00F35CC4"/>
    <w:rsid w:val="00F35E2F"/>
    <w:rsid w:val="00F40133"/>
    <w:rsid w:val="00F42224"/>
    <w:rsid w:val="00F46090"/>
    <w:rsid w:val="00F500E0"/>
    <w:rsid w:val="00F51537"/>
    <w:rsid w:val="00F51B49"/>
    <w:rsid w:val="00F52909"/>
    <w:rsid w:val="00F53D5D"/>
    <w:rsid w:val="00F54339"/>
    <w:rsid w:val="00F56721"/>
    <w:rsid w:val="00F56BEC"/>
    <w:rsid w:val="00F572E7"/>
    <w:rsid w:val="00F60674"/>
    <w:rsid w:val="00F60892"/>
    <w:rsid w:val="00F60E35"/>
    <w:rsid w:val="00F62248"/>
    <w:rsid w:val="00F62AFF"/>
    <w:rsid w:val="00F630AC"/>
    <w:rsid w:val="00F6311E"/>
    <w:rsid w:val="00F63D9A"/>
    <w:rsid w:val="00F64D53"/>
    <w:rsid w:val="00F6720F"/>
    <w:rsid w:val="00F676BD"/>
    <w:rsid w:val="00F679A9"/>
    <w:rsid w:val="00F67AE4"/>
    <w:rsid w:val="00F67B16"/>
    <w:rsid w:val="00F70968"/>
    <w:rsid w:val="00F7257D"/>
    <w:rsid w:val="00F7283A"/>
    <w:rsid w:val="00F72FD1"/>
    <w:rsid w:val="00F74335"/>
    <w:rsid w:val="00F7625E"/>
    <w:rsid w:val="00F767BA"/>
    <w:rsid w:val="00F77277"/>
    <w:rsid w:val="00F77E09"/>
    <w:rsid w:val="00F80F5B"/>
    <w:rsid w:val="00F81183"/>
    <w:rsid w:val="00F82BF9"/>
    <w:rsid w:val="00F8533F"/>
    <w:rsid w:val="00F85AA5"/>
    <w:rsid w:val="00F85E48"/>
    <w:rsid w:val="00F865BA"/>
    <w:rsid w:val="00F869E4"/>
    <w:rsid w:val="00F91254"/>
    <w:rsid w:val="00F93D58"/>
    <w:rsid w:val="00F94046"/>
    <w:rsid w:val="00F96DC9"/>
    <w:rsid w:val="00F971AE"/>
    <w:rsid w:val="00FA1155"/>
    <w:rsid w:val="00FA279F"/>
    <w:rsid w:val="00FA2C60"/>
    <w:rsid w:val="00FA2D81"/>
    <w:rsid w:val="00FA3829"/>
    <w:rsid w:val="00FA4A67"/>
    <w:rsid w:val="00FA615D"/>
    <w:rsid w:val="00FA65AF"/>
    <w:rsid w:val="00FB08F0"/>
    <w:rsid w:val="00FB3B9D"/>
    <w:rsid w:val="00FB4FC1"/>
    <w:rsid w:val="00FB6270"/>
    <w:rsid w:val="00FC22AC"/>
    <w:rsid w:val="00FC2B28"/>
    <w:rsid w:val="00FC30C4"/>
    <w:rsid w:val="00FC4D0E"/>
    <w:rsid w:val="00FD232E"/>
    <w:rsid w:val="00FD311F"/>
    <w:rsid w:val="00FD438A"/>
    <w:rsid w:val="00FD4AF0"/>
    <w:rsid w:val="00FD4B77"/>
    <w:rsid w:val="00FD4B7C"/>
    <w:rsid w:val="00FD51A6"/>
    <w:rsid w:val="00FD5308"/>
    <w:rsid w:val="00FE0433"/>
    <w:rsid w:val="00FE0B23"/>
    <w:rsid w:val="00FE0DE1"/>
    <w:rsid w:val="00FE115D"/>
    <w:rsid w:val="00FE2443"/>
    <w:rsid w:val="00FE4F30"/>
    <w:rsid w:val="00FE5E56"/>
    <w:rsid w:val="00FE6DE3"/>
    <w:rsid w:val="00FE7B80"/>
    <w:rsid w:val="00FF0D15"/>
    <w:rsid w:val="00FF1B24"/>
    <w:rsid w:val="00FF1D84"/>
    <w:rsid w:val="00FF2EBB"/>
    <w:rsid w:val="00FF322A"/>
    <w:rsid w:val="00FF49A5"/>
    <w:rsid w:val="00FF64C3"/>
    <w:rsid w:val="00FF6E06"/>
    <w:rsid w:val="00FF7568"/>
    <w:rsid w:val="00FF7E9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6A4"/>
  </w:style>
  <w:style w:type="paragraph" w:styleId="Ttulo1">
    <w:name w:val="heading 1"/>
    <w:basedOn w:val="Normal"/>
    <w:next w:val="Normal"/>
    <w:link w:val="Ttulo1Char"/>
    <w:uiPriority w:val="9"/>
    <w:qFormat/>
    <w:rsid w:val="00C51283"/>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C51283"/>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C51283"/>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C51283"/>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C51283"/>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C51283"/>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C51283"/>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C51283"/>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C51283"/>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Semlista1">
    <w:name w:val="Sem lista1"/>
    <w:next w:val="Semlista"/>
    <w:uiPriority w:val="99"/>
    <w:semiHidden/>
    <w:unhideWhenUsed/>
    <w:rsid w:val="00047CB9"/>
  </w:style>
  <w:style w:type="character" w:styleId="Hyperlink">
    <w:name w:val="Hyperlink"/>
    <w:basedOn w:val="Fontepargpadro"/>
    <w:uiPriority w:val="99"/>
    <w:unhideWhenUsed/>
    <w:rsid w:val="00047CB9"/>
    <w:rPr>
      <w:color w:val="0000FF" w:themeColor="hyperlink"/>
      <w:u w:val="single"/>
    </w:rPr>
  </w:style>
  <w:style w:type="paragraph" w:styleId="PargrafodaLista">
    <w:name w:val="List Paragraph"/>
    <w:basedOn w:val="Normal"/>
    <w:uiPriority w:val="34"/>
    <w:qFormat/>
    <w:rsid w:val="00047CB9"/>
    <w:pPr>
      <w:spacing w:before="240" w:after="240" w:line="360" w:lineRule="auto"/>
      <w:ind w:left="720"/>
      <w:contextualSpacing/>
      <w:jc w:val="both"/>
    </w:pPr>
  </w:style>
  <w:style w:type="paragraph" w:styleId="Textodenotaderodap">
    <w:name w:val="footnote text"/>
    <w:basedOn w:val="Normal"/>
    <w:link w:val="TextodenotaderodapChar"/>
    <w:uiPriority w:val="99"/>
    <w:unhideWhenUsed/>
    <w:rsid w:val="00047CB9"/>
    <w:pPr>
      <w:spacing w:after="0" w:line="240" w:lineRule="auto"/>
      <w:jc w:val="both"/>
    </w:pPr>
    <w:rPr>
      <w:sz w:val="20"/>
      <w:szCs w:val="20"/>
    </w:rPr>
  </w:style>
  <w:style w:type="character" w:customStyle="1" w:styleId="TextodenotaderodapChar">
    <w:name w:val="Texto de nota de rodapé Char"/>
    <w:basedOn w:val="Fontepargpadro"/>
    <w:link w:val="Textodenotaderodap"/>
    <w:uiPriority w:val="99"/>
    <w:rsid w:val="00047CB9"/>
    <w:rPr>
      <w:sz w:val="20"/>
      <w:szCs w:val="20"/>
    </w:rPr>
  </w:style>
  <w:style w:type="character" w:styleId="Refdenotaderodap">
    <w:name w:val="footnote reference"/>
    <w:basedOn w:val="Fontepargpadro"/>
    <w:uiPriority w:val="99"/>
    <w:semiHidden/>
    <w:unhideWhenUsed/>
    <w:rsid w:val="00047CB9"/>
    <w:rPr>
      <w:vertAlign w:val="superscript"/>
    </w:rPr>
  </w:style>
  <w:style w:type="paragraph" w:styleId="Cabealho">
    <w:name w:val="header"/>
    <w:basedOn w:val="Normal"/>
    <w:link w:val="CabealhoChar"/>
    <w:uiPriority w:val="99"/>
    <w:unhideWhenUsed/>
    <w:rsid w:val="00047CB9"/>
    <w:pPr>
      <w:tabs>
        <w:tab w:val="center" w:pos="4252"/>
        <w:tab w:val="right" w:pos="8504"/>
      </w:tabs>
      <w:spacing w:after="0" w:line="240" w:lineRule="auto"/>
      <w:jc w:val="both"/>
    </w:pPr>
  </w:style>
  <w:style w:type="character" w:customStyle="1" w:styleId="CabealhoChar">
    <w:name w:val="Cabeçalho Char"/>
    <w:basedOn w:val="Fontepargpadro"/>
    <w:link w:val="Cabealho"/>
    <w:uiPriority w:val="99"/>
    <w:rsid w:val="00047CB9"/>
  </w:style>
  <w:style w:type="paragraph" w:styleId="Rodap">
    <w:name w:val="footer"/>
    <w:basedOn w:val="Normal"/>
    <w:link w:val="RodapChar"/>
    <w:uiPriority w:val="99"/>
    <w:unhideWhenUsed/>
    <w:rsid w:val="00047CB9"/>
    <w:pPr>
      <w:tabs>
        <w:tab w:val="center" w:pos="4252"/>
        <w:tab w:val="right" w:pos="8504"/>
      </w:tabs>
      <w:spacing w:after="0" w:line="240" w:lineRule="auto"/>
      <w:jc w:val="both"/>
    </w:pPr>
  </w:style>
  <w:style w:type="character" w:customStyle="1" w:styleId="RodapChar">
    <w:name w:val="Rodapé Char"/>
    <w:basedOn w:val="Fontepargpadro"/>
    <w:link w:val="Rodap"/>
    <w:uiPriority w:val="99"/>
    <w:rsid w:val="00047CB9"/>
  </w:style>
  <w:style w:type="table" w:customStyle="1" w:styleId="GradeClara-nfase11">
    <w:name w:val="Grade Clara - Ênfase 11"/>
    <w:basedOn w:val="Tabelanormal"/>
    <w:uiPriority w:val="62"/>
    <w:rsid w:val="00047C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047CB9"/>
    <w:pPr>
      <w:autoSpaceDE w:val="0"/>
      <w:autoSpaceDN w:val="0"/>
      <w:adjustRightInd w:val="0"/>
      <w:spacing w:after="0" w:line="240" w:lineRule="auto"/>
    </w:pPr>
    <w:rPr>
      <w:rFonts w:ascii="Arial" w:hAnsi="Arial" w:cs="Arial"/>
      <w:color w:val="000000"/>
      <w:sz w:val="24"/>
      <w:szCs w:val="24"/>
    </w:rPr>
  </w:style>
  <w:style w:type="table" w:styleId="Tabelacomgrade">
    <w:name w:val="Table Grid"/>
    <w:basedOn w:val="Tabelanormal"/>
    <w:uiPriority w:val="59"/>
    <w:rsid w:val="00047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
    <w:name w:val="Texto"/>
    <w:basedOn w:val="Normal"/>
    <w:rsid w:val="00047CB9"/>
    <w:pPr>
      <w:spacing w:before="120" w:after="0" w:line="360" w:lineRule="auto"/>
      <w:ind w:firstLine="709"/>
      <w:jc w:val="both"/>
    </w:pPr>
    <w:rPr>
      <w:rFonts w:ascii="Arial" w:eastAsia="Times New Roman" w:hAnsi="Arial" w:cs="Times New Roman"/>
      <w:sz w:val="20"/>
      <w:szCs w:val="20"/>
      <w:lang w:eastAsia="pt-BR"/>
    </w:rPr>
  </w:style>
  <w:style w:type="paragraph" w:styleId="Sumrio6">
    <w:name w:val="toc 6"/>
    <w:basedOn w:val="Normal"/>
    <w:next w:val="Normal"/>
    <w:autoRedefine/>
    <w:semiHidden/>
    <w:rsid w:val="00047CB9"/>
    <w:pPr>
      <w:spacing w:after="0" w:line="240" w:lineRule="auto"/>
      <w:ind w:left="1200"/>
    </w:pPr>
    <w:rPr>
      <w:rFonts w:ascii="Times New Roman" w:eastAsia="Times New Roman" w:hAnsi="Times New Roman" w:cs="Times New Roman"/>
      <w:sz w:val="18"/>
      <w:szCs w:val="20"/>
      <w:lang w:eastAsia="pt-BR"/>
    </w:rPr>
  </w:style>
  <w:style w:type="paragraph" w:styleId="Textodebalo">
    <w:name w:val="Balloon Text"/>
    <w:basedOn w:val="Normal"/>
    <w:link w:val="TextodebaloChar"/>
    <w:uiPriority w:val="99"/>
    <w:semiHidden/>
    <w:unhideWhenUsed/>
    <w:rsid w:val="002159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1591B"/>
    <w:rPr>
      <w:rFonts w:ascii="Tahoma" w:hAnsi="Tahoma" w:cs="Tahoma"/>
      <w:sz w:val="16"/>
      <w:szCs w:val="16"/>
    </w:rPr>
  </w:style>
  <w:style w:type="character" w:customStyle="1" w:styleId="Ttulo1Char">
    <w:name w:val="Título 1 Char"/>
    <w:basedOn w:val="Fontepargpadro"/>
    <w:link w:val="Ttulo1"/>
    <w:uiPriority w:val="9"/>
    <w:rsid w:val="00C5128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C51283"/>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C51283"/>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C5128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C5128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C5128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C5128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C5128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C51283"/>
    <w:rPr>
      <w:rFonts w:asciiTheme="majorHAnsi" w:eastAsiaTheme="majorEastAsia" w:hAnsiTheme="majorHAnsi" w:cstheme="majorBidi"/>
      <w:i/>
      <w:iCs/>
      <w:color w:val="404040" w:themeColor="text1" w:themeTint="BF"/>
      <w:sz w:val="20"/>
      <w:szCs w:val="20"/>
    </w:rPr>
  </w:style>
  <w:style w:type="table" w:styleId="GradeMdia1-nfase1">
    <w:name w:val="Medium Grid 1 Accent 1"/>
    <w:basedOn w:val="Tabelanormal"/>
    <w:uiPriority w:val="67"/>
    <w:rsid w:val="006217B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5">
    <w:name w:val="Medium Grid 1 Accent 5"/>
    <w:basedOn w:val="Tabelanormal"/>
    <w:uiPriority w:val="67"/>
    <w:rsid w:val="00605D9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lara-nfase5">
    <w:name w:val="Light Grid Accent 5"/>
    <w:basedOn w:val="Tabelanormal"/>
    <w:uiPriority w:val="62"/>
    <w:rsid w:val="005C3CE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Pr-formataoHTML">
    <w:name w:val="HTML Preformatted"/>
    <w:basedOn w:val="Normal"/>
    <w:link w:val="Pr-formataoHTMLChar"/>
    <w:uiPriority w:val="99"/>
    <w:unhideWhenUsed/>
    <w:rsid w:val="00E0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E0219A"/>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690F9B"/>
  </w:style>
  <w:style w:type="paragraph" w:styleId="Textodenotadefim">
    <w:name w:val="endnote text"/>
    <w:basedOn w:val="Normal"/>
    <w:link w:val="TextodenotadefimChar"/>
    <w:uiPriority w:val="99"/>
    <w:semiHidden/>
    <w:unhideWhenUsed/>
    <w:rsid w:val="00013C09"/>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013C09"/>
    <w:rPr>
      <w:sz w:val="20"/>
      <w:szCs w:val="20"/>
    </w:rPr>
  </w:style>
  <w:style w:type="character" w:styleId="Refdenotadefim">
    <w:name w:val="endnote reference"/>
    <w:basedOn w:val="Fontepargpadro"/>
    <w:uiPriority w:val="99"/>
    <w:semiHidden/>
    <w:unhideWhenUsed/>
    <w:rsid w:val="00013C09"/>
    <w:rPr>
      <w:vertAlign w:val="superscript"/>
    </w:rPr>
  </w:style>
  <w:style w:type="character" w:customStyle="1" w:styleId="Caracteresdenotaderodap">
    <w:name w:val="Caracteres de nota de rodapé"/>
    <w:rsid w:val="003F3651"/>
  </w:style>
  <w:style w:type="paragraph" w:customStyle="1" w:styleId="Textodenotaderodap1">
    <w:name w:val="Texto de nota de rodapé1"/>
    <w:basedOn w:val="Normal"/>
    <w:rsid w:val="003F3651"/>
    <w:pPr>
      <w:suppressAutoHyphens/>
      <w:spacing w:after="0" w:line="240" w:lineRule="auto"/>
      <w:jc w:val="both"/>
    </w:pPr>
    <w:rPr>
      <w:rFonts w:ascii="Calibri" w:eastAsia="Calibri" w:hAnsi="Calibri" w:cs="font237"/>
      <w:kern w:val="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6A4"/>
  </w:style>
  <w:style w:type="paragraph" w:styleId="Ttulo1">
    <w:name w:val="heading 1"/>
    <w:basedOn w:val="Normal"/>
    <w:next w:val="Normal"/>
    <w:link w:val="Ttulo1Char"/>
    <w:uiPriority w:val="9"/>
    <w:qFormat/>
    <w:rsid w:val="00C51283"/>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C51283"/>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C51283"/>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C51283"/>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C51283"/>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C51283"/>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C51283"/>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C51283"/>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C51283"/>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Semlista1">
    <w:name w:val="Sem lista1"/>
    <w:next w:val="Semlista"/>
    <w:uiPriority w:val="99"/>
    <w:semiHidden/>
    <w:unhideWhenUsed/>
    <w:rsid w:val="00047CB9"/>
  </w:style>
  <w:style w:type="character" w:styleId="Hyperlink">
    <w:name w:val="Hyperlink"/>
    <w:basedOn w:val="Fontepargpadro"/>
    <w:uiPriority w:val="99"/>
    <w:unhideWhenUsed/>
    <w:rsid w:val="00047CB9"/>
    <w:rPr>
      <w:color w:val="0000FF" w:themeColor="hyperlink"/>
      <w:u w:val="single"/>
    </w:rPr>
  </w:style>
  <w:style w:type="paragraph" w:styleId="PargrafodaLista">
    <w:name w:val="List Paragraph"/>
    <w:basedOn w:val="Normal"/>
    <w:uiPriority w:val="34"/>
    <w:qFormat/>
    <w:rsid w:val="00047CB9"/>
    <w:pPr>
      <w:spacing w:before="240" w:after="240" w:line="360" w:lineRule="auto"/>
      <w:ind w:left="720"/>
      <w:contextualSpacing/>
      <w:jc w:val="both"/>
    </w:pPr>
  </w:style>
  <w:style w:type="paragraph" w:styleId="Textodenotaderodap">
    <w:name w:val="footnote text"/>
    <w:basedOn w:val="Normal"/>
    <w:link w:val="TextodenotaderodapChar"/>
    <w:uiPriority w:val="99"/>
    <w:unhideWhenUsed/>
    <w:rsid w:val="00047CB9"/>
    <w:pPr>
      <w:spacing w:after="0" w:line="240" w:lineRule="auto"/>
      <w:jc w:val="both"/>
    </w:pPr>
    <w:rPr>
      <w:sz w:val="20"/>
      <w:szCs w:val="20"/>
    </w:rPr>
  </w:style>
  <w:style w:type="character" w:customStyle="1" w:styleId="TextodenotaderodapChar">
    <w:name w:val="Texto de nota de rodapé Char"/>
    <w:basedOn w:val="Fontepargpadro"/>
    <w:link w:val="Textodenotaderodap"/>
    <w:uiPriority w:val="99"/>
    <w:rsid w:val="00047CB9"/>
    <w:rPr>
      <w:sz w:val="20"/>
      <w:szCs w:val="20"/>
    </w:rPr>
  </w:style>
  <w:style w:type="character" w:styleId="Refdenotaderodap">
    <w:name w:val="footnote reference"/>
    <w:basedOn w:val="Fontepargpadro"/>
    <w:uiPriority w:val="99"/>
    <w:semiHidden/>
    <w:unhideWhenUsed/>
    <w:rsid w:val="00047CB9"/>
    <w:rPr>
      <w:vertAlign w:val="superscript"/>
    </w:rPr>
  </w:style>
  <w:style w:type="paragraph" w:styleId="Cabealho">
    <w:name w:val="header"/>
    <w:basedOn w:val="Normal"/>
    <w:link w:val="CabealhoChar"/>
    <w:uiPriority w:val="99"/>
    <w:unhideWhenUsed/>
    <w:rsid w:val="00047CB9"/>
    <w:pPr>
      <w:tabs>
        <w:tab w:val="center" w:pos="4252"/>
        <w:tab w:val="right" w:pos="8504"/>
      </w:tabs>
      <w:spacing w:after="0" w:line="240" w:lineRule="auto"/>
      <w:jc w:val="both"/>
    </w:pPr>
  </w:style>
  <w:style w:type="character" w:customStyle="1" w:styleId="CabealhoChar">
    <w:name w:val="Cabeçalho Char"/>
    <w:basedOn w:val="Fontepargpadro"/>
    <w:link w:val="Cabealho"/>
    <w:uiPriority w:val="99"/>
    <w:rsid w:val="00047CB9"/>
  </w:style>
  <w:style w:type="paragraph" w:styleId="Rodap">
    <w:name w:val="footer"/>
    <w:basedOn w:val="Normal"/>
    <w:link w:val="RodapChar"/>
    <w:uiPriority w:val="99"/>
    <w:unhideWhenUsed/>
    <w:rsid w:val="00047CB9"/>
    <w:pPr>
      <w:tabs>
        <w:tab w:val="center" w:pos="4252"/>
        <w:tab w:val="right" w:pos="8504"/>
      </w:tabs>
      <w:spacing w:after="0" w:line="240" w:lineRule="auto"/>
      <w:jc w:val="both"/>
    </w:pPr>
  </w:style>
  <w:style w:type="character" w:customStyle="1" w:styleId="RodapChar">
    <w:name w:val="Rodapé Char"/>
    <w:basedOn w:val="Fontepargpadro"/>
    <w:link w:val="Rodap"/>
    <w:uiPriority w:val="99"/>
    <w:rsid w:val="00047CB9"/>
  </w:style>
  <w:style w:type="table" w:customStyle="1" w:styleId="GradeClara-nfase11">
    <w:name w:val="Grade Clara - Ênfase 11"/>
    <w:basedOn w:val="Tabelanormal"/>
    <w:uiPriority w:val="62"/>
    <w:rsid w:val="00047C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047CB9"/>
    <w:pPr>
      <w:autoSpaceDE w:val="0"/>
      <w:autoSpaceDN w:val="0"/>
      <w:adjustRightInd w:val="0"/>
      <w:spacing w:after="0" w:line="240" w:lineRule="auto"/>
    </w:pPr>
    <w:rPr>
      <w:rFonts w:ascii="Arial" w:hAnsi="Arial" w:cs="Arial"/>
      <w:color w:val="000000"/>
      <w:sz w:val="24"/>
      <w:szCs w:val="24"/>
    </w:rPr>
  </w:style>
  <w:style w:type="table" w:styleId="Tabelacomgrade">
    <w:name w:val="Table Grid"/>
    <w:basedOn w:val="Tabelanormal"/>
    <w:uiPriority w:val="59"/>
    <w:rsid w:val="00047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
    <w:name w:val="Texto"/>
    <w:basedOn w:val="Normal"/>
    <w:rsid w:val="00047CB9"/>
    <w:pPr>
      <w:spacing w:before="120" w:after="0" w:line="360" w:lineRule="auto"/>
      <w:ind w:firstLine="709"/>
      <w:jc w:val="both"/>
    </w:pPr>
    <w:rPr>
      <w:rFonts w:ascii="Arial" w:eastAsia="Times New Roman" w:hAnsi="Arial" w:cs="Times New Roman"/>
      <w:sz w:val="20"/>
      <w:szCs w:val="20"/>
      <w:lang w:eastAsia="pt-BR"/>
    </w:rPr>
  </w:style>
  <w:style w:type="paragraph" w:styleId="Sumrio6">
    <w:name w:val="toc 6"/>
    <w:basedOn w:val="Normal"/>
    <w:next w:val="Normal"/>
    <w:autoRedefine/>
    <w:semiHidden/>
    <w:rsid w:val="00047CB9"/>
    <w:pPr>
      <w:spacing w:after="0" w:line="240" w:lineRule="auto"/>
      <w:ind w:left="1200"/>
    </w:pPr>
    <w:rPr>
      <w:rFonts w:ascii="Times New Roman" w:eastAsia="Times New Roman" w:hAnsi="Times New Roman" w:cs="Times New Roman"/>
      <w:sz w:val="18"/>
      <w:szCs w:val="20"/>
      <w:lang w:eastAsia="pt-BR"/>
    </w:rPr>
  </w:style>
  <w:style w:type="paragraph" w:styleId="Textodebalo">
    <w:name w:val="Balloon Text"/>
    <w:basedOn w:val="Normal"/>
    <w:link w:val="TextodebaloChar"/>
    <w:uiPriority w:val="99"/>
    <w:semiHidden/>
    <w:unhideWhenUsed/>
    <w:rsid w:val="002159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1591B"/>
    <w:rPr>
      <w:rFonts w:ascii="Tahoma" w:hAnsi="Tahoma" w:cs="Tahoma"/>
      <w:sz w:val="16"/>
      <w:szCs w:val="16"/>
    </w:rPr>
  </w:style>
  <w:style w:type="character" w:customStyle="1" w:styleId="Ttulo1Char">
    <w:name w:val="Título 1 Char"/>
    <w:basedOn w:val="Fontepargpadro"/>
    <w:link w:val="Ttulo1"/>
    <w:uiPriority w:val="9"/>
    <w:rsid w:val="00C5128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C51283"/>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C51283"/>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C5128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C5128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C5128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C5128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C5128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C51283"/>
    <w:rPr>
      <w:rFonts w:asciiTheme="majorHAnsi" w:eastAsiaTheme="majorEastAsia" w:hAnsiTheme="majorHAnsi" w:cstheme="majorBidi"/>
      <w:i/>
      <w:iCs/>
      <w:color w:val="404040" w:themeColor="text1" w:themeTint="BF"/>
      <w:sz w:val="20"/>
      <w:szCs w:val="20"/>
    </w:rPr>
  </w:style>
  <w:style w:type="table" w:styleId="GradeMdia1-nfase1">
    <w:name w:val="Medium Grid 1 Accent 1"/>
    <w:basedOn w:val="Tabelanormal"/>
    <w:uiPriority w:val="67"/>
    <w:rsid w:val="006217B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5">
    <w:name w:val="Medium Grid 1 Accent 5"/>
    <w:basedOn w:val="Tabelanormal"/>
    <w:uiPriority w:val="67"/>
    <w:rsid w:val="00605D9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lara-nfase5">
    <w:name w:val="Light Grid Accent 5"/>
    <w:basedOn w:val="Tabelanormal"/>
    <w:uiPriority w:val="62"/>
    <w:rsid w:val="005C3CE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Pr-formataoHTML">
    <w:name w:val="HTML Preformatted"/>
    <w:basedOn w:val="Normal"/>
    <w:link w:val="Pr-formataoHTMLChar"/>
    <w:uiPriority w:val="99"/>
    <w:unhideWhenUsed/>
    <w:rsid w:val="00E0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E0219A"/>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690F9B"/>
  </w:style>
  <w:style w:type="paragraph" w:styleId="Textodenotadefim">
    <w:name w:val="endnote text"/>
    <w:basedOn w:val="Normal"/>
    <w:link w:val="TextodenotadefimChar"/>
    <w:uiPriority w:val="99"/>
    <w:semiHidden/>
    <w:unhideWhenUsed/>
    <w:rsid w:val="00013C09"/>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013C09"/>
    <w:rPr>
      <w:sz w:val="20"/>
      <w:szCs w:val="20"/>
    </w:rPr>
  </w:style>
  <w:style w:type="character" w:styleId="Refdenotadefim">
    <w:name w:val="endnote reference"/>
    <w:basedOn w:val="Fontepargpadro"/>
    <w:uiPriority w:val="99"/>
    <w:semiHidden/>
    <w:unhideWhenUsed/>
    <w:rsid w:val="00013C09"/>
    <w:rPr>
      <w:vertAlign w:val="superscript"/>
    </w:rPr>
  </w:style>
  <w:style w:type="character" w:customStyle="1" w:styleId="Caracteresdenotaderodap">
    <w:name w:val="Caracteres de nota de rodapé"/>
    <w:rsid w:val="003F3651"/>
  </w:style>
  <w:style w:type="paragraph" w:customStyle="1" w:styleId="Textodenotaderodap1">
    <w:name w:val="Texto de nota de rodapé1"/>
    <w:basedOn w:val="Normal"/>
    <w:rsid w:val="003F3651"/>
    <w:pPr>
      <w:suppressAutoHyphens/>
      <w:spacing w:after="0" w:line="240" w:lineRule="auto"/>
      <w:jc w:val="both"/>
    </w:pPr>
    <w:rPr>
      <w:rFonts w:ascii="Calibri" w:eastAsia="Calibri" w:hAnsi="Calibri" w:cs="font237"/>
      <w:ker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004251">
      <w:bodyDiv w:val="1"/>
      <w:marLeft w:val="0"/>
      <w:marRight w:val="0"/>
      <w:marTop w:val="0"/>
      <w:marBottom w:val="0"/>
      <w:divBdr>
        <w:top w:val="none" w:sz="0" w:space="0" w:color="auto"/>
        <w:left w:val="none" w:sz="0" w:space="0" w:color="auto"/>
        <w:bottom w:val="none" w:sz="0" w:space="0" w:color="auto"/>
        <w:right w:val="none" w:sz="0" w:space="0" w:color="auto"/>
      </w:divBdr>
    </w:div>
    <w:div w:id="616916225">
      <w:bodyDiv w:val="1"/>
      <w:marLeft w:val="0"/>
      <w:marRight w:val="0"/>
      <w:marTop w:val="0"/>
      <w:marBottom w:val="0"/>
      <w:divBdr>
        <w:top w:val="none" w:sz="0" w:space="0" w:color="auto"/>
        <w:left w:val="none" w:sz="0" w:space="0" w:color="auto"/>
        <w:bottom w:val="none" w:sz="0" w:space="0" w:color="auto"/>
        <w:right w:val="none" w:sz="0" w:space="0" w:color="auto"/>
      </w:divBdr>
    </w:div>
    <w:div w:id="1155416364">
      <w:bodyDiv w:val="1"/>
      <w:marLeft w:val="0"/>
      <w:marRight w:val="0"/>
      <w:marTop w:val="0"/>
      <w:marBottom w:val="0"/>
      <w:divBdr>
        <w:top w:val="none" w:sz="0" w:space="0" w:color="auto"/>
        <w:left w:val="none" w:sz="0" w:space="0" w:color="auto"/>
        <w:bottom w:val="none" w:sz="0" w:space="0" w:color="auto"/>
        <w:right w:val="none" w:sz="0" w:space="0" w:color="auto"/>
      </w:divBdr>
    </w:div>
    <w:div w:id="1247760353">
      <w:bodyDiv w:val="1"/>
      <w:marLeft w:val="0"/>
      <w:marRight w:val="0"/>
      <w:marTop w:val="0"/>
      <w:marBottom w:val="0"/>
      <w:divBdr>
        <w:top w:val="none" w:sz="0" w:space="0" w:color="auto"/>
        <w:left w:val="none" w:sz="0" w:space="0" w:color="auto"/>
        <w:bottom w:val="none" w:sz="0" w:space="0" w:color="auto"/>
        <w:right w:val="none" w:sz="0" w:space="0" w:color="auto"/>
      </w:divBdr>
    </w:div>
    <w:div w:id="1464693012">
      <w:bodyDiv w:val="1"/>
      <w:marLeft w:val="0"/>
      <w:marRight w:val="0"/>
      <w:marTop w:val="0"/>
      <w:marBottom w:val="0"/>
      <w:divBdr>
        <w:top w:val="none" w:sz="0" w:space="0" w:color="auto"/>
        <w:left w:val="none" w:sz="0" w:space="0" w:color="auto"/>
        <w:bottom w:val="none" w:sz="0" w:space="0" w:color="auto"/>
        <w:right w:val="none" w:sz="0" w:space="0" w:color="auto"/>
      </w:divBdr>
    </w:div>
    <w:div w:id="1522628624">
      <w:bodyDiv w:val="1"/>
      <w:marLeft w:val="0"/>
      <w:marRight w:val="0"/>
      <w:marTop w:val="0"/>
      <w:marBottom w:val="0"/>
      <w:divBdr>
        <w:top w:val="none" w:sz="0" w:space="0" w:color="auto"/>
        <w:left w:val="none" w:sz="0" w:space="0" w:color="auto"/>
        <w:bottom w:val="none" w:sz="0" w:space="0" w:color="auto"/>
        <w:right w:val="none" w:sz="0" w:space="0" w:color="auto"/>
      </w:divBdr>
    </w:div>
    <w:div w:id="1606381642">
      <w:bodyDiv w:val="1"/>
      <w:marLeft w:val="0"/>
      <w:marRight w:val="0"/>
      <w:marTop w:val="0"/>
      <w:marBottom w:val="0"/>
      <w:divBdr>
        <w:top w:val="none" w:sz="0" w:space="0" w:color="auto"/>
        <w:left w:val="none" w:sz="0" w:space="0" w:color="auto"/>
        <w:bottom w:val="none" w:sz="0" w:space="0" w:color="auto"/>
        <w:right w:val="none" w:sz="0" w:space="0" w:color="auto"/>
      </w:divBdr>
    </w:div>
    <w:div w:id="1893030654">
      <w:bodyDiv w:val="1"/>
      <w:marLeft w:val="0"/>
      <w:marRight w:val="0"/>
      <w:marTop w:val="0"/>
      <w:marBottom w:val="0"/>
      <w:divBdr>
        <w:top w:val="none" w:sz="0" w:space="0" w:color="auto"/>
        <w:left w:val="none" w:sz="0" w:space="0" w:color="auto"/>
        <w:bottom w:val="none" w:sz="0" w:space="0" w:color="auto"/>
        <w:right w:val="none" w:sz="0" w:space="0" w:color="auto"/>
      </w:divBdr>
    </w:div>
    <w:div w:id="1943225885">
      <w:bodyDiv w:val="1"/>
      <w:marLeft w:val="0"/>
      <w:marRight w:val="0"/>
      <w:marTop w:val="0"/>
      <w:marBottom w:val="0"/>
      <w:divBdr>
        <w:top w:val="none" w:sz="0" w:space="0" w:color="auto"/>
        <w:left w:val="none" w:sz="0" w:space="0" w:color="auto"/>
        <w:bottom w:val="none" w:sz="0" w:space="0" w:color="auto"/>
        <w:right w:val="none" w:sz="0" w:space="0" w:color="auto"/>
      </w:divBdr>
    </w:div>
    <w:div w:id="2039621429">
      <w:bodyDiv w:val="1"/>
      <w:marLeft w:val="0"/>
      <w:marRight w:val="0"/>
      <w:marTop w:val="0"/>
      <w:marBottom w:val="0"/>
      <w:divBdr>
        <w:top w:val="none" w:sz="0" w:space="0" w:color="auto"/>
        <w:left w:val="none" w:sz="0" w:space="0" w:color="auto"/>
        <w:bottom w:val="none" w:sz="0" w:space="0" w:color="auto"/>
        <w:right w:val="none" w:sz="0" w:space="0" w:color="auto"/>
      </w:divBdr>
    </w:div>
    <w:div w:id="205326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hecanadianencyclopedia.ca/en/article/crows-nest-pass-agre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rl.canadiana.ca/view/oop.debates_HOC0305_01/890?r=0&amp;s=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0823673082531355E-2"/>
          <c:y val="2.0247245139480327E-2"/>
          <c:w val="0.81439741907261587"/>
          <c:h val="0.58540152432868964"/>
        </c:manualLayout>
      </c:layout>
      <c:barChart>
        <c:barDir val="col"/>
        <c:grouping val="clustered"/>
        <c:varyColors val="0"/>
        <c:ser>
          <c:idx val="0"/>
          <c:order val="0"/>
          <c:tx>
            <c:strRef>
              <c:f>Plan1!$B$1</c:f>
              <c:strCache>
                <c:ptCount val="1"/>
                <c:pt idx="0">
                  <c:v>1870</c:v>
                </c:pt>
              </c:strCache>
            </c:strRef>
          </c:tx>
          <c:invertIfNegative val="0"/>
          <c:cat>
            <c:strRef>
              <c:f>Plan1!$A$2:$A$17</c:f>
              <c:strCache>
                <c:ptCount val="16"/>
                <c:pt idx="0">
                  <c:v>Madeira</c:v>
                </c:pt>
                <c:pt idx="1">
                  <c:v>Aço/Ferro</c:v>
                </c:pt>
                <c:pt idx="2">
                  <c:v>Couro</c:v>
                </c:pt>
                <c:pt idx="3">
                  <c:v>Alimentos/ Bebidas</c:v>
                </c:pt>
                <c:pt idx="4">
                  <c:v>Equipamentos Transporte</c:v>
                </c:pt>
                <c:pt idx="5">
                  <c:v>Vestuário</c:v>
                </c:pt>
                <c:pt idx="6">
                  <c:v>Têxtil</c:v>
                </c:pt>
                <c:pt idx="7">
                  <c:v>Minerais não metálicos</c:v>
                </c:pt>
                <c:pt idx="8">
                  <c:v>Impressão/ Publicação</c:v>
                </c:pt>
                <c:pt idx="9">
                  <c:v>Produtos Quimicos</c:v>
                </c:pt>
                <c:pt idx="10">
                  <c:v>Petróleo/Carvão</c:v>
                </c:pt>
                <c:pt idx="11">
                  <c:v>Industrias Diversas</c:v>
                </c:pt>
                <c:pt idx="12">
                  <c:v>Tabaco</c:v>
                </c:pt>
                <c:pt idx="13">
                  <c:v>Metais não ferrosos</c:v>
                </c:pt>
                <c:pt idx="14">
                  <c:v>Papel</c:v>
                </c:pt>
                <c:pt idx="15">
                  <c:v>Borracha</c:v>
                </c:pt>
              </c:strCache>
            </c:strRef>
          </c:cat>
          <c:val>
            <c:numRef>
              <c:f>Plan1!$B$2:$B$17</c:f>
              <c:numCache>
                <c:formatCode>General</c:formatCode>
                <c:ptCount val="16"/>
                <c:pt idx="0">
                  <c:v>21</c:v>
                </c:pt>
                <c:pt idx="1">
                  <c:v>16.600000000000001</c:v>
                </c:pt>
                <c:pt idx="2">
                  <c:v>15.2</c:v>
                </c:pt>
                <c:pt idx="3">
                  <c:v>14.6</c:v>
                </c:pt>
                <c:pt idx="4">
                  <c:v>7.7</c:v>
                </c:pt>
                <c:pt idx="5">
                  <c:v>7</c:v>
                </c:pt>
                <c:pt idx="6">
                  <c:v>3.5</c:v>
                </c:pt>
                <c:pt idx="7">
                  <c:v>3.1</c:v>
                </c:pt>
                <c:pt idx="8">
                  <c:v>3</c:v>
                </c:pt>
                <c:pt idx="9">
                  <c:v>2</c:v>
                </c:pt>
                <c:pt idx="10">
                  <c:v>1.5</c:v>
                </c:pt>
                <c:pt idx="11">
                  <c:v>1.4</c:v>
                </c:pt>
                <c:pt idx="12">
                  <c:v>1.3</c:v>
                </c:pt>
                <c:pt idx="13">
                  <c:v>1</c:v>
                </c:pt>
                <c:pt idx="14">
                  <c:v>0.9</c:v>
                </c:pt>
                <c:pt idx="15">
                  <c:v>0.2</c:v>
                </c:pt>
              </c:numCache>
            </c:numRef>
          </c:val>
        </c:ser>
        <c:ser>
          <c:idx val="1"/>
          <c:order val="1"/>
          <c:tx>
            <c:strRef>
              <c:f>Plan1!$C$1</c:f>
              <c:strCache>
                <c:ptCount val="1"/>
                <c:pt idx="0">
                  <c:v>1910</c:v>
                </c:pt>
              </c:strCache>
            </c:strRef>
          </c:tx>
          <c:invertIfNegative val="0"/>
          <c:cat>
            <c:strRef>
              <c:f>Plan1!$A$2:$A$17</c:f>
              <c:strCache>
                <c:ptCount val="16"/>
                <c:pt idx="0">
                  <c:v>Madeira</c:v>
                </c:pt>
                <c:pt idx="1">
                  <c:v>Aço/Ferro</c:v>
                </c:pt>
                <c:pt idx="2">
                  <c:v>Couro</c:v>
                </c:pt>
                <c:pt idx="3">
                  <c:v>Alimentos/ Bebidas</c:v>
                </c:pt>
                <c:pt idx="4">
                  <c:v>Equipamentos Transporte</c:v>
                </c:pt>
                <c:pt idx="5">
                  <c:v>Vestuário</c:v>
                </c:pt>
                <c:pt idx="6">
                  <c:v>Têxtil</c:v>
                </c:pt>
                <c:pt idx="7">
                  <c:v>Minerais não metálicos</c:v>
                </c:pt>
                <c:pt idx="8">
                  <c:v>Impressão/ Publicação</c:v>
                </c:pt>
                <c:pt idx="9">
                  <c:v>Produtos Quimicos</c:v>
                </c:pt>
                <c:pt idx="10">
                  <c:v>Petróleo/Carvão</c:v>
                </c:pt>
                <c:pt idx="11">
                  <c:v>Industrias Diversas</c:v>
                </c:pt>
                <c:pt idx="12">
                  <c:v>Tabaco</c:v>
                </c:pt>
                <c:pt idx="13">
                  <c:v>Metais não ferrosos</c:v>
                </c:pt>
                <c:pt idx="14">
                  <c:v>Papel</c:v>
                </c:pt>
                <c:pt idx="15">
                  <c:v>Borracha</c:v>
                </c:pt>
              </c:strCache>
            </c:strRef>
          </c:cat>
          <c:val>
            <c:numRef>
              <c:f>Plan1!$C$2:$C$17</c:f>
              <c:numCache>
                <c:formatCode>General</c:formatCode>
                <c:ptCount val="16"/>
                <c:pt idx="0">
                  <c:v>16</c:v>
                </c:pt>
                <c:pt idx="1">
                  <c:v>16.8</c:v>
                </c:pt>
                <c:pt idx="2">
                  <c:v>5.9</c:v>
                </c:pt>
                <c:pt idx="3">
                  <c:v>14.3</c:v>
                </c:pt>
                <c:pt idx="4">
                  <c:v>6.9</c:v>
                </c:pt>
                <c:pt idx="5">
                  <c:v>11.2</c:v>
                </c:pt>
                <c:pt idx="6">
                  <c:v>4</c:v>
                </c:pt>
                <c:pt idx="7">
                  <c:v>3.8</c:v>
                </c:pt>
                <c:pt idx="8">
                  <c:v>3.5</c:v>
                </c:pt>
                <c:pt idx="9">
                  <c:v>2.9</c:v>
                </c:pt>
                <c:pt idx="10">
                  <c:v>0.5</c:v>
                </c:pt>
                <c:pt idx="11">
                  <c:v>1.7</c:v>
                </c:pt>
                <c:pt idx="12">
                  <c:v>1.9</c:v>
                </c:pt>
                <c:pt idx="13">
                  <c:v>5.4</c:v>
                </c:pt>
                <c:pt idx="14">
                  <c:v>2.7</c:v>
                </c:pt>
                <c:pt idx="15">
                  <c:v>1</c:v>
                </c:pt>
              </c:numCache>
            </c:numRef>
          </c:val>
        </c:ser>
        <c:ser>
          <c:idx val="2"/>
          <c:order val="2"/>
          <c:tx>
            <c:strRef>
              <c:f>Plan1!$D$1</c:f>
              <c:strCache>
                <c:ptCount val="1"/>
                <c:pt idx="0">
                  <c:v>1920</c:v>
                </c:pt>
              </c:strCache>
            </c:strRef>
          </c:tx>
          <c:invertIfNegative val="0"/>
          <c:cat>
            <c:strRef>
              <c:f>Plan1!$A$2:$A$17</c:f>
              <c:strCache>
                <c:ptCount val="16"/>
                <c:pt idx="0">
                  <c:v>Madeira</c:v>
                </c:pt>
                <c:pt idx="1">
                  <c:v>Aço/Ferro</c:v>
                </c:pt>
                <c:pt idx="2">
                  <c:v>Couro</c:v>
                </c:pt>
                <c:pt idx="3">
                  <c:v>Alimentos/ Bebidas</c:v>
                </c:pt>
                <c:pt idx="4">
                  <c:v>Equipamentos Transporte</c:v>
                </c:pt>
                <c:pt idx="5">
                  <c:v>Vestuário</c:v>
                </c:pt>
                <c:pt idx="6">
                  <c:v>Têxtil</c:v>
                </c:pt>
                <c:pt idx="7">
                  <c:v>Minerais não metálicos</c:v>
                </c:pt>
                <c:pt idx="8">
                  <c:v>Impressão/ Publicação</c:v>
                </c:pt>
                <c:pt idx="9">
                  <c:v>Produtos Quimicos</c:v>
                </c:pt>
                <c:pt idx="10">
                  <c:v>Petróleo/Carvão</c:v>
                </c:pt>
                <c:pt idx="11">
                  <c:v>Industrias Diversas</c:v>
                </c:pt>
                <c:pt idx="12">
                  <c:v>Tabaco</c:v>
                </c:pt>
                <c:pt idx="13">
                  <c:v>Metais não ferrosos</c:v>
                </c:pt>
                <c:pt idx="14">
                  <c:v>Papel</c:v>
                </c:pt>
                <c:pt idx="15">
                  <c:v>Borracha</c:v>
                </c:pt>
              </c:strCache>
            </c:strRef>
          </c:cat>
          <c:val>
            <c:numRef>
              <c:f>Plan1!$D$2:$D$17</c:f>
              <c:numCache>
                <c:formatCode>General</c:formatCode>
                <c:ptCount val="16"/>
                <c:pt idx="0">
                  <c:v>10.8</c:v>
                </c:pt>
                <c:pt idx="1">
                  <c:v>16.3</c:v>
                </c:pt>
                <c:pt idx="2">
                  <c:v>3.6</c:v>
                </c:pt>
                <c:pt idx="3">
                  <c:v>14.7</c:v>
                </c:pt>
                <c:pt idx="4">
                  <c:v>8.8000000000000007</c:v>
                </c:pt>
                <c:pt idx="5">
                  <c:v>8.6</c:v>
                </c:pt>
                <c:pt idx="6">
                  <c:v>4.5999999999999996</c:v>
                </c:pt>
                <c:pt idx="7">
                  <c:v>2.6</c:v>
                </c:pt>
                <c:pt idx="8">
                  <c:v>4.3</c:v>
                </c:pt>
                <c:pt idx="9">
                  <c:v>3.1</c:v>
                </c:pt>
                <c:pt idx="10">
                  <c:v>1.4</c:v>
                </c:pt>
                <c:pt idx="11">
                  <c:v>2</c:v>
                </c:pt>
                <c:pt idx="12">
                  <c:v>1.5</c:v>
                </c:pt>
                <c:pt idx="13">
                  <c:v>2.9</c:v>
                </c:pt>
                <c:pt idx="14">
                  <c:v>10.6</c:v>
                </c:pt>
                <c:pt idx="15">
                  <c:v>2.4</c:v>
                </c:pt>
              </c:numCache>
            </c:numRef>
          </c:val>
        </c:ser>
        <c:dLbls>
          <c:showLegendKey val="0"/>
          <c:showVal val="0"/>
          <c:showCatName val="0"/>
          <c:showSerName val="0"/>
          <c:showPercent val="0"/>
          <c:showBubbleSize val="0"/>
        </c:dLbls>
        <c:gapWidth val="150"/>
        <c:axId val="166684672"/>
        <c:axId val="72431808"/>
      </c:barChart>
      <c:catAx>
        <c:axId val="166684672"/>
        <c:scaling>
          <c:orientation val="minMax"/>
        </c:scaling>
        <c:delete val="0"/>
        <c:axPos val="b"/>
        <c:majorTickMark val="out"/>
        <c:minorTickMark val="none"/>
        <c:tickLblPos val="nextTo"/>
        <c:txPr>
          <a:bodyPr rot="-5400000" vert="horz"/>
          <a:lstStyle/>
          <a:p>
            <a:pPr>
              <a:defRPr/>
            </a:pPr>
            <a:endParaRPr lang="pt-BR"/>
          </a:p>
        </c:txPr>
        <c:crossAx val="72431808"/>
        <c:crosses val="autoZero"/>
        <c:auto val="1"/>
        <c:lblAlgn val="ctr"/>
        <c:lblOffset val="100"/>
        <c:noMultiLvlLbl val="0"/>
      </c:catAx>
      <c:valAx>
        <c:axId val="72431808"/>
        <c:scaling>
          <c:orientation val="minMax"/>
        </c:scaling>
        <c:delete val="0"/>
        <c:axPos val="l"/>
        <c:majorGridlines/>
        <c:numFmt formatCode="General" sourceLinked="1"/>
        <c:majorTickMark val="out"/>
        <c:minorTickMark val="none"/>
        <c:tickLblPos val="nextTo"/>
        <c:crossAx val="1666846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BD4DA-3168-4993-847B-8F470EE5B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20</Pages>
  <Words>11076</Words>
  <Characters>59815</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 Soares</dc:creator>
  <cp:lastModifiedBy>Cliente</cp:lastModifiedBy>
  <cp:revision>27</cp:revision>
  <cp:lastPrinted>2017-04-21T12:22:00Z</cp:lastPrinted>
  <dcterms:created xsi:type="dcterms:W3CDTF">2017-07-13T12:53:00Z</dcterms:created>
  <dcterms:modified xsi:type="dcterms:W3CDTF">2017-07-14T19:48:00Z</dcterms:modified>
</cp:coreProperties>
</file>