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C8CF0" w14:textId="77777777" w:rsidR="004601DE" w:rsidRPr="004601DE" w:rsidRDefault="004601DE" w:rsidP="00F25AC8">
      <w:pPr>
        <w:pStyle w:val="Ttulo"/>
        <w:spacing w:before="0" w:after="120"/>
      </w:pPr>
      <w:bookmarkStart w:id="0" w:name="_Toc456276876"/>
      <w:r w:rsidRPr="004601DE">
        <w:t>Comércio internacional, salários e prêmios por qualificação nos municípios brasileiros no decênio 2000-2010</w:t>
      </w:r>
      <w:bookmarkEnd w:id="0"/>
    </w:p>
    <w:p w14:paraId="19D7920E" w14:textId="522CA207" w:rsidR="004601DE" w:rsidRDefault="004601DE" w:rsidP="00F25AC8">
      <w:pPr>
        <w:spacing w:after="120"/>
      </w:pPr>
      <w:bookmarkStart w:id="1" w:name="_Toc446599101"/>
    </w:p>
    <w:p w14:paraId="1550BD17" w14:textId="78FBA906" w:rsidR="00BF157C" w:rsidRDefault="00BF157C" w:rsidP="00F25AC8">
      <w:pPr>
        <w:spacing w:after="120"/>
        <w:jc w:val="right"/>
      </w:pPr>
      <w:r>
        <w:t>Krisley Mendes</w:t>
      </w:r>
      <w:r w:rsidR="00FE69DE">
        <w:t xml:space="preserve"> (UnB)</w:t>
      </w:r>
    </w:p>
    <w:p w14:paraId="2AC8B294" w14:textId="19BD6336" w:rsidR="00BF157C" w:rsidRDefault="00BF157C" w:rsidP="00F25AC8">
      <w:pPr>
        <w:spacing w:after="120"/>
        <w:jc w:val="right"/>
      </w:pPr>
      <w:r>
        <w:t>Álvaro Barrantes Hidalgo</w:t>
      </w:r>
      <w:r w:rsidR="00FE69DE">
        <w:t xml:space="preserve"> (UFPE)</w:t>
      </w:r>
    </w:p>
    <w:p w14:paraId="624E4956" w14:textId="7B8E4640" w:rsidR="00BF157C" w:rsidRPr="00E60E24" w:rsidRDefault="00BF157C" w:rsidP="00F25AC8">
      <w:pPr>
        <w:spacing w:after="120"/>
        <w:jc w:val="right"/>
      </w:pPr>
      <w:r>
        <w:t>André Luchine</w:t>
      </w:r>
      <w:r w:rsidR="00FE69DE">
        <w:t xml:space="preserve"> (UnB)</w:t>
      </w:r>
    </w:p>
    <w:p w14:paraId="7E0AE5C5" w14:textId="77777777" w:rsidR="004601DE" w:rsidRDefault="004601DE" w:rsidP="00F25AC8">
      <w:pPr>
        <w:pStyle w:val="Ttulo"/>
        <w:spacing w:before="0" w:after="120"/>
      </w:pPr>
      <w:bookmarkStart w:id="2" w:name="_Toc456276877"/>
      <w:r w:rsidRPr="00E60E24">
        <w:t>RESUMO</w:t>
      </w:r>
      <w:bookmarkEnd w:id="2"/>
    </w:p>
    <w:p w14:paraId="031DA9BC" w14:textId="77777777" w:rsidR="004601DE" w:rsidRPr="00961DFF" w:rsidRDefault="004601DE" w:rsidP="00F25AC8">
      <w:pPr>
        <w:spacing w:after="120"/>
      </w:pPr>
    </w:p>
    <w:p w14:paraId="24054BD1" w14:textId="7151CCDD" w:rsidR="004601DE" w:rsidRPr="00E60E24" w:rsidRDefault="00E57B34" w:rsidP="00F25AC8">
      <w:pPr>
        <w:spacing w:after="120"/>
        <w:jc w:val="both"/>
      </w:pPr>
      <w:r>
        <w:t>O objetivo deste estudo</w:t>
      </w:r>
      <w:r w:rsidR="004D0EAF">
        <w:t xml:space="preserve"> é</w:t>
      </w:r>
      <w:r w:rsidR="004601DE" w:rsidRPr="00E60E24">
        <w:t xml:space="preserve"> identificar no Brasil as respostas dos salários e dos prêmios por qualificação </w:t>
      </w:r>
      <w:r w:rsidR="00A962F1">
        <w:t>ao</w:t>
      </w:r>
      <w:r w:rsidR="004601DE" w:rsidRPr="00E60E24">
        <w:t xml:space="preserve"> comércio</w:t>
      </w:r>
      <w:r w:rsidR="00A962F1">
        <w:t xml:space="preserve"> internacional, determinando</w:t>
      </w:r>
      <w:r w:rsidR="00915D64">
        <w:t xml:space="preserve"> os diferentes padrões locais de especialização</w:t>
      </w:r>
      <w:r w:rsidR="004D0EAF">
        <w:t xml:space="preserve"> com dados em nível municipal</w:t>
      </w:r>
      <w:r w:rsidR="00CE2DEB">
        <w:t xml:space="preserve">. O modelo teórico </w:t>
      </w:r>
      <w:r w:rsidR="004601DE" w:rsidRPr="00E60E24">
        <w:t xml:space="preserve">foi </w:t>
      </w:r>
      <w:r w:rsidR="004601DE">
        <w:t>desenvolvido por Venables e Limã</w:t>
      </w:r>
      <w:r w:rsidR="004601DE" w:rsidRPr="00E60E24">
        <w:t xml:space="preserve">o </w:t>
      </w:r>
      <w:sdt>
        <w:sdtPr>
          <w:id w:val="203769100"/>
          <w:citation/>
        </w:sdtPr>
        <w:sdtContent>
          <w:r w:rsidR="004601DE" w:rsidRPr="00E60E24">
            <w:fldChar w:fldCharType="begin"/>
          </w:r>
          <w:r w:rsidR="004601DE" w:rsidRPr="00E60E24">
            <w:instrText xml:space="preserve">CITATION Ven02 \n  \t  \l 1046 </w:instrText>
          </w:r>
          <w:r w:rsidR="004601DE" w:rsidRPr="00E60E24">
            <w:fldChar w:fldCharType="separate"/>
          </w:r>
          <w:r w:rsidR="004601DE" w:rsidRPr="00E60E24">
            <w:t>(2002)</w:t>
          </w:r>
          <w:r w:rsidR="004601DE" w:rsidRPr="00E60E24">
            <w:fldChar w:fldCharType="end"/>
          </w:r>
        </w:sdtContent>
      </w:sdt>
      <w:r w:rsidR="004601DE" w:rsidRPr="00E60E24">
        <w:t xml:space="preserve">, que sustentam que </w:t>
      </w:r>
      <w:r w:rsidR="008E27AE">
        <w:t>a distância é variável não neutra</w:t>
      </w:r>
      <w:r w:rsidR="004601DE" w:rsidRPr="00E60E24">
        <w:t xml:space="preserve"> na determinação dos padrões comerciais. </w:t>
      </w:r>
      <w:r w:rsidR="00A962F1">
        <w:t>Os resultados apontam</w:t>
      </w:r>
      <w:r w:rsidR="004601DE" w:rsidRPr="00E60E24">
        <w:t xml:space="preserve"> que as respostas dos salários e prêmios por qualificação </w:t>
      </w:r>
      <w:r w:rsidR="00A962F1">
        <w:t>ao</w:t>
      </w:r>
      <w:r w:rsidR="004601DE" w:rsidRPr="00E60E24">
        <w:t xml:space="preserve"> comércio exterior são heterogêneas</w:t>
      </w:r>
      <w:r w:rsidR="004601DE">
        <w:t>,</w:t>
      </w:r>
      <w:r w:rsidR="004601DE" w:rsidRPr="00E60E24">
        <w:t xml:space="preserve"> a</w:t>
      </w:r>
      <w:r>
        <w:t xml:space="preserve"> depender da posição geográfica</w:t>
      </w:r>
      <w:r w:rsidR="00A962F1">
        <w:t xml:space="preserve">. </w:t>
      </w:r>
      <w:r w:rsidR="00CE2DEB">
        <w:t>O comércio internacional parece contribuir para a redução das desigualdades inter-regionais, mas nas zonas mais fechadas</w:t>
      </w:r>
      <w:r w:rsidR="004601DE" w:rsidRPr="00E60E24">
        <w:t xml:space="preserve"> parece intensificar as desigualdades salariais interqualificações.</w:t>
      </w:r>
    </w:p>
    <w:p w14:paraId="7A3A6572" w14:textId="77777777" w:rsidR="004601DE" w:rsidRPr="00E60E24" w:rsidRDefault="004601DE" w:rsidP="00F25AC8">
      <w:pPr>
        <w:spacing w:after="120"/>
        <w:jc w:val="both"/>
      </w:pPr>
    </w:p>
    <w:p w14:paraId="2D52B310" w14:textId="1C29ECBA" w:rsidR="004601DE" w:rsidRDefault="004601DE" w:rsidP="00F25AC8">
      <w:pPr>
        <w:spacing w:after="120"/>
        <w:jc w:val="both"/>
      </w:pPr>
      <w:r w:rsidRPr="00E60E24">
        <w:rPr>
          <w:b/>
        </w:rPr>
        <w:t>Palavras-chave</w:t>
      </w:r>
      <w:r w:rsidRPr="00E60E24">
        <w:t>: zonas de especialização, preço de insumos, distância.</w:t>
      </w:r>
    </w:p>
    <w:p w14:paraId="0F6B6F91" w14:textId="4D9CA57A" w:rsidR="00FE69DE" w:rsidRDefault="00FE69DE" w:rsidP="00F25AC8">
      <w:pPr>
        <w:spacing w:after="120"/>
        <w:jc w:val="both"/>
      </w:pPr>
    </w:p>
    <w:p w14:paraId="0D8513D6" w14:textId="326B7D64" w:rsidR="000830B8" w:rsidRDefault="000830B8" w:rsidP="00F25AC8">
      <w:pPr>
        <w:spacing w:after="120"/>
        <w:jc w:val="both"/>
      </w:pPr>
      <w:r w:rsidRPr="009F6839">
        <w:rPr>
          <w:lang w:val="en-US"/>
        </w:rPr>
        <w:t>The purpose of this investigation was to detect the responses of wages and skill premiums to changes in international trade in Brazil and to identify local patterns of specialization.</w:t>
      </w:r>
      <w:r>
        <w:t xml:space="preserve"> </w:t>
      </w:r>
      <w:r w:rsidRPr="009F6839">
        <w:rPr>
          <w:lang w:val="en-US"/>
        </w:rPr>
        <w:t>The theoretical model, developed by Venables and Limao (2002), holds that distance is not a neutral variable in de</w:t>
      </w:r>
      <w:r>
        <w:rPr>
          <w:lang w:val="en-US"/>
        </w:rPr>
        <w:t>termining the patterns of trade</w:t>
      </w:r>
      <w:r w:rsidRPr="009F6839">
        <w:rPr>
          <w:lang w:val="en-US"/>
        </w:rPr>
        <w:t>.</w:t>
      </w:r>
      <w:r w:rsidRPr="00E60E24">
        <w:t xml:space="preserve"> </w:t>
      </w:r>
      <w:r w:rsidRPr="00184BBB">
        <w:rPr>
          <w:lang w:val="en-US"/>
        </w:rPr>
        <w:t>The results confirmed the existence of heterogeneous responses of salaries and skill premiums to variations in foreign trade that were geographically dependent.</w:t>
      </w:r>
      <w:r w:rsidRPr="00E60E24">
        <w:t xml:space="preserve"> </w:t>
      </w:r>
      <w:r w:rsidRPr="00184BBB">
        <w:rPr>
          <w:lang w:val="en-US"/>
        </w:rPr>
        <w:t xml:space="preserve">International trade seems to contribute towards reducing inter-regional inequalities, </w:t>
      </w:r>
      <w:r>
        <w:rPr>
          <w:lang w:val="en-US"/>
        </w:rPr>
        <w:t>while</w:t>
      </w:r>
      <w:r w:rsidRPr="00184BBB">
        <w:rPr>
          <w:lang w:val="en-US"/>
        </w:rPr>
        <w:t xml:space="preserve"> zones more closed appear to exacerbate interskill salary inequalities</w:t>
      </w:r>
    </w:p>
    <w:p w14:paraId="5E6EB4DB" w14:textId="77777777" w:rsidR="00F25AC8" w:rsidRDefault="00F25AC8" w:rsidP="00F25AC8">
      <w:pPr>
        <w:spacing w:after="120"/>
        <w:jc w:val="both"/>
      </w:pPr>
    </w:p>
    <w:p w14:paraId="3CA5AE52" w14:textId="1CCBB4B6" w:rsidR="000830B8" w:rsidRDefault="00F25AC8" w:rsidP="00F25AC8">
      <w:pPr>
        <w:spacing w:after="120"/>
        <w:jc w:val="both"/>
      </w:pPr>
      <w:r w:rsidRPr="00F25AC8">
        <w:rPr>
          <w:b/>
        </w:rPr>
        <w:t>Key-words:</w:t>
      </w:r>
      <w:r>
        <w:t xml:space="preserve"> </w:t>
      </w:r>
      <w:r w:rsidRPr="00F25AC8">
        <w:t>Zones of specialization. Input prices. Distance. Counties.</w:t>
      </w:r>
    </w:p>
    <w:p w14:paraId="1304D4DB" w14:textId="77777777" w:rsidR="000830B8" w:rsidRDefault="000830B8" w:rsidP="00F25AC8">
      <w:pPr>
        <w:spacing w:after="120"/>
        <w:jc w:val="both"/>
      </w:pPr>
    </w:p>
    <w:p w14:paraId="3B8DA871" w14:textId="4CA86C68" w:rsidR="00FE69DE" w:rsidRDefault="00FE69DE" w:rsidP="00F25AC8">
      <w:pPr>
        <w:spacing w:after="120"/>
        <w:jc w:val="both"/>
      </w:pPr>
      <w:r w:rsidRPr="00F25AC8">
        <w:rPr>
          <w:b/>
        </w:rPr>
        <w:t>Área</w:t>
      </w:r>
      <w:r w:rsidR="00F25AC8" w:rsidRPr="00F25AC8">
        <w:rPr>
          <w:b/>
        </w:rPr>
        <w:t xml:space="preserve"> 7</w:t>
      </w:r>
      <w:r w:rsidR="00F25AC8">
        <w:t>: Economia Internacional</w:t>
      </w:r>
    </w:p>
    <w:p w14:paraId="5572F6B8" w14:textId="77777777" w:rsidR="00FE69DE" w:rsidRDefault="00FE69DE" w:rsidP="00F25AC8">
      <w:pPr>
        <w:spacing w:after="120"/>
        <w:jc w:val="both"/>
      </w:pPr>
    </w:p>
    <w:p w14:paraId="27EAC9A4" w14:textId="59DBE33B" w:rsidR="00FE69DE" w:rsidRPr="00E60E24" w:rsidRDefault="00FE69DE" w:rsidP="00F25AC8">
      <w:pPr>
        <w:spacing w:after="120"/>
        <w:jc w:val="both"/>
      </w:pPr>
      <w:r>
        <w:t xml:space="preserve">JEL: </w:t>
      </w:r>
      <w:r w:rsidRPr="00FE69DE">
        <w:t>F11; F14; F16; J31</w:t>
      </w:r>
    </w:p>
    <w:p w14:paraId="29336DE6" w14:textId="4CE355B1" w:rsidR="004601DE" w:rsidRPr="00E60E24" w:rsidRDefault="004601DE" w:rsidP="00F25AC8">
      <w:pPr>
        <w:pStyle w:val="Ttulo1"/>
        <w:spacing w:before="0" w:after="120"/>
      </w:pPr>
      <w:r w:rsidRPr="004D0EAF">
        <w:br w:type="page"/>
      </w:r>
      <w:bookmarkStart w:id="3" w:name="_Toc446599104"/>
      <w:bookmarkStart w:id="4" w:name="_Toc456276880"/>
      <w:bookmarkEnd w:id="1"/>
      <w:r w:rsidR="001C7D07" w:rsidRPr="00E60E24">
        <w:lastRenderedPageBreak/>
        <w:t xml:space="preserve"> </w:t>
      </w:r>
      <w:r w:rsidRPr="00E60E24">
        <w:t>Introdução</w:t>
      </w:r>
      <w:bookmarkEnd w:id="3"/>
      <w:bookmarkEnd w:id="4"/>
    </w:p>
    <w:p w14:paraId="4F77714A" w14:textId="413837C1" w:rsidR="00F25AC8" w:rsidRDefault="00F25AC8" w:rsidP="00F25AC8">
      <w:pPr>
        <w:spacing w:after="120"/>
        <w:ind w:firstLine="709"/>
        <w:jc w:val="both"/>
      </w:pPr>
      <w:r>
        <w:t xml:space="preserve">Há hoje no Brasil um crescente entendimento de que a retomada do crescimento econômico passa por uma maior inserção do país no mundo. No entanto, a década atual vê crescer um processo de recrudescimento de políticas protecionistas e de forças anticomércio nos países desenvolvidos. Parte desse aumento das restrições comerciais tem sido atribuído aos efeitos adversos da integração econômica sobre o emprego e renda (IMF, 2017). Rodrick (2017) avalia que a liberalização comercial, experimentada a partir dos anos 80, parece ter produzido perdas sem compensações a alguns grupos de um mesmo país, sobretudo assalariados, e isso tem incitado a aderência política de propostas populistas e o consequente fechamento de mercados importantes. </w:t>
      </w:r>
    </w:p>
    <w:p w14:paraId="5BE7AC18" w14:textId="6FFD754C" w:rsidR="005831E1" w:rsidRDefault="00F25AC8" w:rsidP="00F25AC8">
      <w:pPr>
        <w:spacing w:after="120"/>
        <w:ind w:firstLine="709"/>
        <w:jc w:val="both"/>
      </w:pPr>
      <w:r>
        <w:t xml:space="preserve">Portanto, conhecer a relação existente entre comércio internacional e salários oferece implicações relevantes para a definição de políticas que garantam a disseminação dos benefícios do livre comércio e o consequente fortalecimento do mercado mundial. </w:t>
      </w:r>
      <w:r w:rsidR="004601DE" w:rsidRPr="00E60E24">
        <w:t xml:space="preserve">O objetivo deste ensaio foi identificar no Brasil a heterogeneidade de respostas dos salários e dos prêmios por qualificação a variações no comércio internacional e determinar as diferentes zonas de especialização, na acepção adotada por Venables e </w:t>
      </w:r>
      <w:r w:rsidR="004601DE">
        <w:t>Limão</w:t>
      </w:r>
      <w:r w:rsidR="005831E1">
        <w:t xml:space="preserve"> (2002).</w:t>
      </w:r>
    </w:p>
    <w:p w14:paraId="20F0471F" w14:textId="77777777" w:rsidR="004601DE" w:rsidRPr="00E60E24" w:rsidRDefault="004601DE" w:rsidP="00F25AC8">
      <w:pPr>
        <w:spacing w:after="120"/>
        <w:ind w:firstLine="709"/>
        <w:jc w:val="both"/>
      </w:pPr>
      <w:r w:rsidRPr="00E60E24">
        <w:t>A teoria de Heckscher–Ohlin (HO) e o teorema de Stolper-Samuelson (SS) (modelo HO-SS) são referências para explicar os efeitos do livre comércio sobre a distribuição de renda entre fatores produtivos. Entretanto, alguns estudos empíricos</w:t>
      </w:r>
      <w:r w:rsidRPr="00E60E24">
        <w:rPr>
          <w:rStyle w:val="Refdenotaderodap"/>
          <w:rFonts w:eastAsiaTheme="majorEastAsia"/>
        </w:rPr>
        <w:footnoteReference w:id="1"/>
      </w:r>
      <w:r w:rsidRPr="00E60E24">
        <w:t xml:space="preserve"> apontam efeitos diversos dos </w:t>
      </w:r>
      <w:r>
        <w:t>previstos na teoria tradicional</w:t>
      </w:r>
      <w:r w:rsidRPr="00E60E24">
        <w:t xml:space="preserve">. De acordo com a teoria tradicional, esperava-se que países abundantes em trabalho não qualificado, ao comercializarem com países mais avançados, experimentassem um decréscimo no prêmio por qualificação e, portanto, uma diminuição na desigualdade de rendimentos entre qualificados e não qualificados. No entanto, dados empíricos parecem apontar um resultado inverso em países em desenvolvimento, sinalizando que o prêmio por qualificação pode aumentar na presença de abertura comercial, incrementando a desigualdade entre rendimentos. Venables e </w:t>
      </w:r>
      <w:r>
        <w:t>Limão</w:t>
      </w:r>
      <w:r w:rsidRPr="00E60E24">
        <w:t xml:space="preserve"> </w:t>
      </w:r>
      <w:sdt>
        <w:sdtPr>
          <w:id w:val="-7527976"/>
          <w:citation/>
        </w:sdtPr>
        <w:sdtContent>
          <w:r w:rsidRPr="00E60E24">
            <w:fldChar w:fldCharType="begin"/>
          </w:r>
          <w:r w:rsidRPr="00E60E24">
            <w:instrText xml:space="preserve">CITATION Ven02 \n  \t  \l 1046 </w:instrText>
          </w:r>
          <w:r w:rsidRPr="00E60E24">
            <w:fldChar w:fldCharType="separate"/>
          </w:r>
          <w:r w:rsidRPr="00E60E24">
            <w:t>(2002)</w:t>
          </w:r>
          <w:r w:rsidRPr="00E60E24">
            <w:fldChar w:fldCharType="end"/>
          </w:r>
        </w:sdtContent>
      </w:sdt>
      <w:r w:rsidRPr="00E60E24">
        <w:t xml:space="preserve"> atribuem à localização geográfica e aos custos de transporte esse resultado improvável e hipotetizam que, na presença de comércio exterior, regiões distantes e com altos custos de transporte experimentariam um aumento na desigualdade, enquanto regiões próximas e/ou com baixos custos de transporte mostrariam os efeitos esperados pela teoria tradicional. Se essa hipótese é verdadeira, a utilização de dados agregados de um país esconderia a diversidade regional quanto à resposta à exposição ao comércio internacional.</w:t>
      </w:r>
    </w:p>
    <w:p w14:paraId="716845E9" w14:textId="77777777" w:rsidR="005831E1" w:rsidRPr="00E60E24" w:rsidRDefault="005831E1" w:rsidP="00F25AC8">
      <w:pPr>
        <w:spacing w:after="120"/>
        <w:ind w:firstLine="709"/>
        <w:jc w:val="both"/>
      </w:pPr>
      <w:r w:rsidRPr="00E60E24">
        <w:t>Para determinar os diferentes padrões de inserção regional</w:t>
      </w:r>
      <w:r w:rsidRPr="00E60E24">
        <w:rPr>
          <w:rStyle w:val="Refdenotaderodap"/>
          <w:rFonts w:eastAsiaTheme="majorEastAsia"/>
        </w:rPr>
        <w:footnoteReference w:id="2"/>
      </w:r>
      <w:r w:rsidRPr="00E60E24">
        <w:t xml:space="preserve"> ao comércio exterior, levou-se em conta a dimensão espacial </w:t>
      </w:r>
      <w:r>
        <w:t>com dados em nível</w:t>
      </w:r>
      <w:r w:rsidRPr="00E60E24">
        <w:t xml:space="preserve"> munic</w:t>
      </w:r>
      <w:r>
        <w:t>ipal. O modelo teórico</w:t>
      </w:r>
      <w:r w:rsidRPr="00E60E24">
        <w:t xml:space="preserve"> foi desenvolvido por Venables e </w:t>
      </w:r>
      <w:r>
        <w:t>Limão</w:t>
      </w:r>
      <w:r w:rsidRPr="00E60E24">
        <w:t xml:space="preserve"> </w:t>
      </w:r>
      <w:sdt>
        <w:sdtPr>
          <w:id w:val="185334572"/>
          <w:citation/>
        </w:sdtPr>
        <w:sdtContent>
          <w:r w:rsidRPr="00E60E24">
            <w:fldChar w:fldCharType="begin"/>
          </w:r>
          <w:r w:rsidRPr="00E60E24">
            <w:instrText xml:space="preserve">CITATION Ven02 \n  \t  \l 1046 </w:instrText>
          </w:r>
          <w:r w:rsidRPr="00E60E24">
            <w:fldChar w:fldCharType="separate"/>
          </w:r>
          <w:r w:rsidRPr="00E60E24">
            <w:t>(2002)</w:t>
          </w:r>
          <w:r w:rsidRPr="00E60E24">
            <w:fldChar w:fldCharType="end"/>
          </w:r>
        </w:sdtContent>
      </w:sdt>
      <w:r w:rsidRPr="00E60E24">
        <w:t xml:space="preserve">, que sustentam que a distância, a localidade e os custos de transporte são variáveis não neutras na determinação dos padrões comerciais, do preço dos fatores e da renda. A estratégia empírica, tomada de Chiquiar </w:t>
      </w:r>
      <w:sdt>
        <w:sdtPr>
          <w:id w:val="129302675"/>
          <w:citation/>
        </w:sdtPr>
        <w:sdtContent>
          <w:r w:rsidRPr="00E60E24">
            <w:fldChar w:fldCharType="begin"/>
          </w:r>
          <w:r w:rsidRPr="00E60E24">
            <w:instrText xml:space="preserve">CITATION Chi08 \n  \t  \l 1046 </w:instrText>
          </w:r>
          <w:r w:rsidRPr="00E60E24">
            <w:fldChar w:fldCharType="separate"/>
          </w:r>
          <w:r w:rsidRPr="00E60E24">
            <w:t>(2008)</w:t>
          </w:r>
          <w:r w:rsidRPr="00E60E24">
            <w:fldChar w:fldCharType="end"/>
          </w:r>
        </w:sdtContent>
      </w:sdt>
      <w:r w:rsidRPr="00E60E24">
        <w:t>, permite identificar os diferentes padrões locais de especialização ao comércio exterior a partir do comportamento dos salários e dos prêmios por qualificação.</w:t>
      </w:r>
    </w:p>
    <w:p w14:paraId="40649B21" w14:textId="0405DD55" w:rsidR="004601DE" w:rsidRPr="00E60E24" w:rsidRDefault="004601DE" w:rsidP="00F25AC8">
      <w:pPr>
        <w:spacing w:after="120"/>
        <w:ind w:firstLine="709"/>
        <w:jc w:val="both"/>
      </w:pPr>
      <w:r w:rsidRPr="00E60E24">
        <w:t>A contribuição deste estudo está em utilizar dados</w:t>
      </w:r>
      <w:r w:rsidR="00B06511">
        <w:t xml:space="preserve"> de comércio exterior</w:t>
      </w:r>
      <w:r w:rsidRPr="00E60E24">
        <w:t xml:space="preserve"> em nível municipal, com os quais buscou-se chegar ao menor nível de agregação de dados disponibilizado por fontes oficiais brasileiras.  </w:t>
      </w:r>
      <w:r>
        <w:t xml:space="preserve">A análise é realizada com um painel </w:t>
      </w:r>
      <w:r w:rsidRPr="00007601">
        <w:rPr>
          <w:i/>
        </w:rPr>
        <w:t>pooled</w:t>
      </w:r>
      <w:r>
        <w:t xml:space="preserve"> formado por dados dos dois anos extremos do </w:t>
      </w:r>
      <w:r w:rsidRPr="00E60E24">
        <w:t>decênio 2000-2010</w:t>
      </w:r>
      <w:r>
        <w:t>, de modo que a comparação entre os resultados do início e do final desse período indica a evolução ocorrida. O estudo dos anos de 2000 e de 2010</w:t>
      </w:r>
      <w:r w:rsidRPr="00E60E24">
        <w:t xml:space="preserve"> justifica-se por ser</w:t>
      </w:r>
      <w:r>
        <w:t>em os anos extremos d</w:t>
      </w:r>
      <w:r w:rsidRPr="00E60E24">
        <w:t xml:space="preserve">o período em que os dados em nível municipal, como PIB, variáveis de comércio e os controles utilizados nesta pesquisa, são encontrados em fontes oficiais. O ano 2000 foi adotado como o inicial por ser, dos que contam com dados municipais disponíveis, o mais próximo da abertura comercial, além de ser, assim como 2010, um ano de realização do censo demográfico no Brasil, o que enriquece a utilização de variáveis de controle.  </w:t>
      </w:r>
    </w:p>
    <w:p w14:paraId="095901F5" w14:textId="0EC261FB" w:rsidR="004601DE" w:rsidRDefault="004601DE" w:rsidP="00F25AC8">
      <w:pPr>
        <w:spacing w:after="120"/>
        <w:ind w:firstLine="709"/>
        <w:jc w:val="both"/>
      </w:pPr>
      <w:r>
        <w:lastRenderedPageBreak/>
        <w:t xml:space="preserve">Na </w:t>
      </w:r>
      <w:r w:rsidRPr="00E60E24">
        <w:t xml:space="preserve">seção </w:t>
      </w:r>
      <w:r w:rsidRPr="00E60E24">
        <w:fldChar w:fldCharType="begin"/>
      </w:r>
      <w:r w:rsidRPr="00E60E24">
        <w:instrText xml:space="preserve"> REF _Ref446512783 \r \h </w:instrText>
      </w:r>
      <w:r w:rsidRPr="00E60E24">
        <w:fldChar w:fldCharType="separate"/>
      </w:r>
      <w:r>
        <w:t>2</w:t>
      </w:r>
      <w:r w:rsidRPr="00E60E24">
        <w:fldChar w:fldCharType="end"/>
      </w:r>
      <w:r w:rsidRPr="00E60E24">
        <w:t xml:space="preserve"> são apresentados os aspectos teóricos do modelo de Venables e </w:t>
      </w:r>
      <w:r>
        <w:t>Limão</w:t>
      </w:r>
      <w:r w:rsidRPr="00E60E24">
        <w:t xml:space="preserve"> </w:t>
      </w:r>
      <w:sdt>
        <w:sdtPr>
          <w:id w:val="-1422708882"/>
          <w:citation/>
        </w:sdtPr>
        <w:sdtContent>
          <w:r w:rsidRPr="00E60E24">
            <w:fldChar w:fldCharType="begin"/>
          </w:r>
          <w:r w:rsidRPr="00E60E24">
            <w:instrText xml:space="preserve">CITATION Ven02 \n  \t  \l 1046 </w:instrText>
          </w:r>
          <w:r w:rsidRPr="00E60E24">
            <w:fldChar w:fldCharType="separate"/>
          </w:r>
          <w:r w:rsidRPr="00E60E24">
            <w:t>(2002)</w:t>
          </w:r>
          <w:r w:rsidRPr="00E60E24">
            <w:fldChar w:fldCharType="end"/>
          </w:r>
        </w:sdtContent>
      </w:sdt>
      <w:r w:rsidR="00B06511">
        <w:t xml:space="preserve">; em </w:t>
      </w:r>
      <w:r>
        <w:t xml:space="preserve">3 </w:t>
      </w:r>
      <w:r w:rsidRPr="00E60E24">
        <w:t>descrevem-se a estratégia empírica e os dados u</w:t>
      </w:r>
      <w:r w:rsidR="00B06511">
        <w:t xml:space="preserve">tilizados nas estimações. Na </w:t>
      </w:r>
      <w:r w:rsidRPr="00E60E24">
        <w:t xml:space="preserve">seção </w:t>
      </w:r>
      <w:r w:rsidR="00EF7162">
        <w:t>4</w:t>
      </w:r>
      <w:r w:rsidRPr="00E60E24">
        <w:t xml:space="preserve"> são apresentados e discut</w:t>
      </w:r>
      <w:r w:rsidR="009E6497">
        <w:t xml:space="preserve">idos os resultados. A última </w:t>
      </w:r>
      <w:r w:rsidRPr="00E60E24">
        <w:t>seção traz as considerações finais.</w:t>
      </w:r>
    </w:p>
    <w:p w14:paraId="52359BAC" w14:textId="77777777" w:rsidR="00F25AC8" w:rsidRPr="00E60E24" w:rsidRDefault="00F25AC8" w:rsidP="00F25AC8">
      <w:pPr>
        <w:spacing w:after="120"/>
        <w:ind w:firstLine="709"/>
        <w:jc w:val="both"/>
      </w:pPr>
    </w:p>
    <w:p w14:paraId="36ACCA8D" w14:textId="77777777" w:rsidR="004601DE" w:rsidRPr="00E60E24" w:rsidRDefault="004601DE" w:rsidP="00F25AC8">
      <w:pPr>
        <w:pStyle w:val="Ttulo1"/>
        <w:spacing w:before="0" w:after="120"/>
      </w:pPr>
      <w:bookmarkStart w:id="5" w:name="_Ref446512783"/>
      <w:bookmarkStart w:id="6" w:name="_Toc446599105"/>
      <w:bookmarkStart w:id="7" w:name="_Toc456276881"/>
      <w:r w:rsidRPr="00E60E24">
        <w:t>Teoria: intensidade de fatores e intensidade de transportes</w:t>
      </w:r>
      <w:bookmarkEnd w:id="5"/>
      <w:bookmarkEnd w:id="6"/>
      <w:bookmarkEnd w:id="7"/>
    </w:p>
    <w:p w14:paraId="1DE3660E" w14:textId="77777777" w:rsidR="004601DE" w:rsidRPr="00E60E24" w:rsidRDefault="004601DE" w:rsidP="00F25AC8">
      <w:pPr>
        <w:spacing w:after="120"/>
        <w:ind w:firstLine="709"/>
        <w:jc w:val="both"/>
      </w:pPr>
      <w:r w:rsidRPr="00E60E24">
        <w:t xml:space="preserve">Esta seção focaliza aspectos teóricos, apoiando-se em Venables e </w:t>
      </w:r>
      <w:r>
        <w:t>Limão</w:t>
      </w:r>
      <w:r w:rsidRPr="00E60E24">
        <w:t xml:space="preserve"> </w:t>
      </w:r>
      <w:sdt>
        <w:sdtPr>
          <w:id w:val="-438843806"/>
          <w:citation/>
        </w:sdtPr>
        <w:sdtContent>
          <w:r w:rsidRPr="00E60E24">
            <w:fldChar w:fldCharType="begin"/>
          </w:r>
          <w:r w:rsidRPr="00E60E24">
            <w:instrText xml:space="preserve">CITATION Ven02 \n  \t  \l 1046 </w:instrText>
          </w:r>
          <w:r w:rsidRPr="00E60E24">
            <w:fldChar w:fldCharType="separate"/>
          </w:r>
          <w:r w:rsidRPr="00E60E24">
            <w:t>(2002)</w:t>
          </w:r>
          <w:r w:rsidRPr="00E60E24">
            <w:fldChar w:fldCharType="end"/>
          </w:r>
        </w:sdtContent>
      </w:sdt>
      <w:r w:rsidRPr="00E60E24">
        <w:t xml:space="preserve">, em Chiquiar </w:t>
      </w:r>
      <w:sdt>
        <w:sdtPr>
          <w:id w:val="-1535191180"/>
          <w:citation/>
        </w:sdtPr>
        <w:sdtContent>
          <w:r w:rsidRPr="00E60E24">
            <w:fldChar w:fldCharType="begin"/>
          </w:r>
          <w:r w:rsidRPr="00E60E24">
            <w:instrText xml:space="preserve">CITATION Chi08 \n  \t  \l 1046 </w:instrText>
          </w:r>
          <w:r w:rsidRPr="00E60E24">
            <w:fldChar w:fldCharType="separate"/>
          </w:r>
          <w:r w:rsidRPr="00E60E24">
            <w:t>(2008)</w:t>
          </w:r>
          <w:r w:rsidRPr="00E60E24">
            <w:fldChar w:fldCharType="end"/>
          </w:r>
        </w:sdtContent>
      </w:sdt>
      <w:r w:rsidRPr="00E60E24">
        <w:t xml:space="preserve"> e em Hidalgo e Sales </w:t>
      </w:r>
      <w:sdt>
        <w:sdtPr>
          <w:id w:val="1397013131"/>
          <w:citation/>
        </w:sdtPr>
        <w:sdtContent>
          <w:r w:rsidRPr="00E60E24">
            <w:fldChar w:fldCharType="begin"/>
          </w:r>
          <w:r w:rsidRPr="00E60E24">
            <w:instrText xml:space="preserve">CITATION Hid14 \n  \t  \l 1046 </w:instrText>
          </w:r>
          <w:r w:rsidRPr="00E60E24">
            <w:fldChar w:fldCharType="separate"/>
          </w:r>
          <w:r w:rsidRPr="00E60E24">
            <w:t>(2014)</w:t>
          </w:r>
          <w:r w:rsidRPr="00E60E24">
            <w:fldChar w:fldCharType="end"/>
          </w:r>
        </w:sdtContent>
      </w:sdt>
      <w:r w:rsidRPr="00E60E24">
        <w:t xml:space="preserve">. </w:t>
      </w:r>
    </w:p>
    <w:p w14:paraId="37CEF0F7" w14:textId="77777777" w:rsidR="004601DE" w:rsidRPr="00E60E24" w:rsidRDefault="004601DE" w:rsidP="00F25AC8">
      <w:pPr>
        <w:spacing w:after="120"/>
        <w:ind w:firstLine="709"/>
        <w:jc w:val="both"/>
      </w:pPr>
      <w:r w:rsidRPr="00E60E24">
        <w:t>Se a força de trabalho no Brasil fosse homogênea e móvel, os salários seriam equalizados em todo o país, exceto por amenidades regionais ou pelos preços de bens não comercializáveis. Nesse cenário, se o comércio internacional consistisse em choques regionalmente heterogêneos, o ajuste se refletiria na realocação da força de trabalho entre as regiões, e não em mudanças no diferencial de salários.</w:t>
      </w:r>
    </w:p>
    <w:p w14:paraId="18FF1152" w14:textId="2DB8F66C" w:rsidR="004601DE" w:rsidRDefault="004601DE" w:rsidP="00F25AC8">
      <w:pPr>
        <w:spacing w:after="120"/>
        <w:ind w:firstLine="709"/>
        <w:jc w:val="both"/>
      </w:pPr>
      <w:r w:rsidRPr="00E60E24">
        <w:t xml:space="preserve">Entretanto, a força de trabalho parece não ser nem homogênea nem móvel entre as regiões. Hidalgo e Sales </w:t>
      </w:r>
      <w:sdt>
        <w:sdtPr>
          <w:id w:val="1605460116"/>
          <w:citation/>
        </w:sdtPr>
        <w:sdtContent>
          <w:r w:rsidRPr="00E60E24">
            <w:fldChar w:fldCharType="begin"/>
          </w:r>
          <w:r w:rsidRPr="00E60E24">
            <w:instrText xml:space="preserve">CITATION Hid14 \n  \t  \l 1046 </w:instrText>
          </w:r>
          <w:r w:rsidRPr="00E60E24">
            <w:fldChar w:fldCharType="separate"/>
          </w:r>
          <w:r w:rsidRPr="00E60E24">
            <w:t>(2014)</w:t>
          </w:r>
          <w:r w:rsidRPr="00E60E24">
            <w:fldChar w:fldCharType="end"/>
          </w:r>
        </w:sdtContent>
      </w:sdt>
      <w:r w:rsidRPr="00E60E24">
        <w:t xml:space="preserve"> mostram que os salários entre as regiões brasileiras diferem persistentemente e respondem diferentemente a choques no comércio internacional. Sob perfeita mobilidade de recursos, se esperariam salários homogêneos. Seguindo Chiquiar </w:t>
      </w:r>
      <w:sdt>
        <w:sdtPr>
          <w:id w:val="-1041663513"/>
          <w:citation/>
        </w:sdtPr>
        <w:sdtContent>
          <w:r w:rsidRPr="00E60E24">
            <w:fldChar w:fldCharType="begin"/>
          </w:r>
          <w:r w:rsidRPr="00E60E24">
            <w:instrText xml:space="preserve">CITATION Chi08 \n  \t  \l 1046 </w:instrText>
          </w:r>
          <w:r w:rsidRPr="00E60E24">
            <w:fldChar w:fldCharType="separate"/>
          </w:r>
          <w:r w:rsidRPr="00E60E24">
            <w:t>(2008)</w:t>
          </w:r>
          <w:r w:rsidRPr="00E60E24">
            <w:fldChar w:fldCharType="end"/>
          </w:r>
        </w:sdtContent>
      </w:sdt>
      <w:r w:rsidRPr="00E60E24">
        <w:t>, admitir mobilidade de fatores imperfeita, heterogeneidade nas dotações ou diferenças na posição geográfica de cada região pode ser importante para a determinação do padrão local de especialização ou do preço dos insumos. Assim, a abertura comercial pode imprimir diferentes direções ao preço dos insumos, dependendo da região. Tanto a diferença nas dotações dos fatores quanto a intensidade no uso dos transportes podem explicar a resposta heterogênea dos salários à exposição ao comércio internacional.</w:t>
      </w:r>
    </w:p>
    <w:p w14:paraId="2BD24DAD" w14:textId="77777777" w:rsidR="00F25AC8" w:rsidRPr="00E60E24" w:rsidRDefault="00F25AC8" w:rsidP="00F25AC8">
      <w:pPr>
        <w:spacing w:after="120"/>
        <w:ind w:firstLine="709"/>
        <w:jc w:val="both"/>
      </w:pPr>
    </w:p>
    <w:p w14:paraId="52FC517E" w14:textId="768951FA" w:rsidR="004601DE" w:rsidRPr="00E60E24" w:rsidRDefault="006476E7" w:rsidP="00F25AC8">
      <w:pPr>
        <w:pStyle w:val="Ttulo2"/>
        <w:spacing w:before="0" w:after="120"/>
      </w:pPr>
      <w:r>
        <w:t>Intensidade de fatores e de transporte</w:t>
      </w:r>
      <w:r w:rsidR="00E00D91">
        <w:t>s</w:t>
      </w:r>
      <w:r>
        <w:t xml:space="preserve"> na determinação dos padrões</w:t>
      </w:r>
      <w:r w:rsidR="00E00D91">
        <w:t xml:space="preserve"> regionais</w:t>
      </w:r>
      <w:r>
        <w:t xml:space="preserve"> de comércio</w:t>
      </w:r>
    </w:p>
    <w:p w14:paraId="0BEE0E59" w14:textId="77777777" w:rsidR="004601DE" w:rsidRPr="00E60E24" w:rsidRDefault="004601DE" w:rsidP="00F25AC8">
      <w:pPr>
        <w:spacing w:after="120"/>
        <w:ind w:firstLine="709"/>
        <w:jc w:val="both"/>
      </w:pPr>
      <w:r w:rsidRPr="00E60E24">
        <w:t>Formalmente, o modelo considera uma região central, que aqui chamaremos de mercado estrangeiro, e regiões que dela distam gradativamente mais. Três bens são produzidos e comercializáveis (subscritos por 0, 1 e 2). O espaço geográfico é a linha real, cuja origem (</w:t>
      </w:r>
      <w:r w:rsidRPr="00E60E24">
        <w:rPr>
          <w:i/>
        </w:rPr>
        <w:t>z</w:t>
      </w:r>
      <w:r w:rsidRPr="00E60E24">
        <w:t xml:space="preserve"> = 0) representa o mercado estrangeiro. À direita de 0, as regiões do país estão dispostas conforme suas distâncias ao mercado estrangeiro.</w:t>
      </w:r>
    </w:p>
    <w:p w14:paraId="46A9159E" w14:textId="77777777" w:rsidR="004601DE" w:rsidRPr="00E60E24" w:rsidRDefault="004601DE" w:rsidP="00F25AC8">
      <w:pPr>
        <w:spacing w:after="120"/>
        <w:ind w:firstLine="709"/>
        <w:jc w:val="both"/>
      </w:pPr>
      <w:r w:rsidRPr="00E60E24">
        <w:t xml:space="preserve">Sejam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z</m:t>
            </m:r>
          </m:e>
        </m:d>
      </m:oMath>
      <w:r w:rsidRPr="00E60E24">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z</m:t>
            </m:r>
          </m:e>
        </m:d>
      </m:oMath>
      <w:r w:rsidRPr="00E60E24">
        <w:rPr>
          <w:rFonts w:eastAsiaTheme="minorEastAsia"/>
        </w:rPr>
        <w:t xml:space="preserve"> 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(wL</m:t>
        </m:r>
        <m:d>
          <m:dPr>
            <m:ctrlPr>
              <w:rPr>
                <w:rFonts w:ascii="Cambria Math" w:hAnsi="Cambria Math"/>
                <w:i/>
              </w:rPr>
            </m:ctrlPr>
          </m:dPr>
          <m:e>
            <m:r>
              <w:rPr>
                <w:rFonts w:ascii="Cambria Math" w:hAnsi="Cambria Math"/>
              </w:rPr>
              <m:t>z</m:t>
            </m:r>
          </m:e>
        </m:d>
        <m:r>
          <w:rPr>
            <w:rFonts w:ascii="Cambria Math" w:hAnsi="Cambria Math"/>
          </w:rPr>
          <m:t>, wH</m:t>
        </m:r>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oMath>
      <w:r w:rsidRPr="00E60E24">
        <w:rPr>
          <w:rFonts w:eastAsiaTheme="minorEastAsia"/>
        </w:rPr>
        <w:t xml:space="preserve"> respectivamente o preço, a produção e o custo unitário da produção do bem </w:t>
      </w:r>
      <w:r w:rsidRPr="00E60E24">
        <w:rPr>
          <w:rFonts w:eastAsiaTheme="minorEastAsia"/>
          <w:i/>
        </w:rPr>
        <w:t>i</w:t>
      </w:r>
      <w:r w:rsidRPr="00E60E24">
        <w:rPr>
          <w:rFonts w:eastAsiaTheme="minorEastAsia"/>
        </w:rPr>
        <w:t xml:space="preserve"> na região </w:t>
      </w:r>
      <w:r w:rsidRPr="00E60E24">
        <w:rPr>
          <w:rFonts w:eastAsiaTheme="minorEastAsia"/>
          <w:i/>
        </w:rPr>
        <w:t>z</w:t>
      </w:r>
      <w:r w:rsidRPr="00E60E24">
        <w:rPr>
          <w:rFonts w:eastAsiaTheme="minorEastAsia"/>
        </w:rPr>
        <w:t xml:space="preserve">, onde </w:t>
      </w:r>
      <m:oMath>
        <m:r>
          <w:rPr>
            <w:rFonts w:ascii="Cambria Math" w:hAnsi="Cambria Math"/>
          </w:rPr>
          <m:t>wL</m:t>
        </m:r>
        <m:d>
          <m:dPr>
            <m:ctrlPr>
              <w:rPr>
                <w:rFonts w:ascii="Cambria Math" w:hAnsi="Cambria Math"/>
                <w:i/>
              </w:rPr>
            </m:ctrlPr>
          </m:dPr>
          <m:e>
            <m:r>
              <w:rPr>
                <w:rFonts w:ascii="Cambria Math" w:hAnsi="Cambria Math"/>
              </w:rPr>
              <m:t>z</m:t>
            </m:r>
          </m:e>
        </m:d>
      </m:oMath>
      <w:r w:rsidRPr="00E60E24">
        <w:rPr>
          <w:rFonts w:eastAsiaTheme="minorEastAsia"/>
        </w:rPr>
        <w:t xml:space="preserve"> e </w:t>
      </w:r>
      <m:oMath>
        <m:r>
          <w:rPr>
            <w:rFonts w:ascii="Cambria Math" w:hAnsi="Cambria Math"/>
          </w:rPr>
          <m:t>wH</m:t>
        </m:r>
        <m:d>
          <m:dPr>
            <m:ctrlPr>
              <w:rPr>
                <w:rFonts w:ascii="Cambria Math" w:hAnsi="Cambria Math"/>
                <w:i/>
              </w:rPr>
            </m:ctrlPr>
          </m:dPr>
          <m:e>
            <m:r>
              <w:rPr>
                <w:rFonts w:ascii="Cambria Math" w:hAnsi="Cambria Math"/>
              </w:rPr>
              <m:t>z</m:t>
            </m:r>
          </m:e>
        </m:d>
      </m:oMath>
      <w:r w:rsidRPr="00E60E24">
        <w:rPr>
          <w:rFonts w:eastAsiaTheme="minorEastAsia"/>
        </w:rPr>
        <w:t xml:space="preserve"> são os preços dos fatores ‘</w:t>
      </w:r>
      <w:r w:rsidRPr="00E60E24">
        <w:t>trabalho não qualificado’ (</w:t>
      </w:r>
      <m:oMath>
        <m:r>
          <w:rPr>
            <w:rFonts w:ascii="Cambria Math" w:hAnsi="Cambria Math"/>
          </w:rPr>
          <m:t>L</m:t>
        </m:r>
        <m:d>
          <m:dPr>
            <m:ctrlPr>
              <w:rPr>
                <w:rFonts w:ascii="Cambria Math" w:hAnsi="Cambria Math"/>
                <w:i/>
              </w:rPr>
            </m:ctrlPr>
          </m:dPr>
          <m:e>
            <m:r>
              <w:rPr>
                <w:rFonts w:ascii="Cambria Math" w:hAnsi="Cambria Math"/>
              </w:rPr>
              <m:t>z</m:t>
            </m:r>
          </m:e>
        </m:d>
      </m:oMath>
      <w:r w:rsidRPr="00E60E24">
        <w:t>) e ‘trabalho qualificado’ (</w:t>
      </w:r>
      <m:oMath>
        <m:r>
          <w:rPr>
            <w:rFonts w:ascii="Cambria Math" w:hAnsi="Cambria Math"/>
          </w:rPr>
          <m:t>H</m:t>
        </m:r>
        <m:d>
          <m:dPr>
            <m:ctrlPr>
              <w:rPr>
                <w:rFonts w:ascii="Cambria Math" w:hAnsi="Cambria Math"/>
                <w:i/>
              </w:rPr>
            </m:ctrlPr>
          </m:dPr>
          <m:e>
            <m:r>
              <w:rPr>
                <w:rFonts w:ascii="Cambria Math" w:hAnsi="Cambria Math"/>
              </w:rPr>
              <m:t>z</m:t>
            </m:r>
          </m:e>
        </m:d>
      </m:oMath>
      <w:r w:rsidRPr="00E60E24">
        <w:t xml:space="preserve">), respectivamente. Em cada região em que o bem </w:t>
      </w:r>
      <w:r w:rsidRPr="00E60E24">
        <w:rPr>
          <w:i/>
        </w:rPr>
        <w:t>i</w:t>
      </w:r>
      <w:r w:rsidRPr="00E60E24">
        <w:t xml:space="preserve"> é produzido, o preço é igual ao custo unitário, enquanto nas regiões em que não são produzidos, o custo unitário pode ser maior que preço, dado o adicional de transporte.</w:t>
      </w:r>
    </w:p>
    <w:tbl>
      <w:tblPr>
        <w:tblStyle w:val="Tabelacomgrade"/>
        <w:tblW w:w="48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928"/>
        <w:gridCol w:w="634"/>
      </w:tblGrid>
      <w:tr w:rsidR="004601DE" w:rsidRPr="00E60E24" w14:paraId="20212583" w14:textId="77777777" w:rsidTr="004601DE">
        <w:tc>
          <w:tcPr>
            <w:tcW w:w="312" w:type="pct"/>
          </w:tcPr>
          <w:p w14:paraId="5FAF2B75" w14:textId="77777777" w:rsidR="004601DE" w:rsidRPr="00E60E24" w:rsidRDefault="004601DE" w:rsidP="00F25AC8">
            <w:pPr>
              <w:spacing w:after="120"/>
              <w:jc w:val="both"/>
            </w:pPr>
          </w:p>
        </w:tc>
        <w:tc>
          <w:tcPr>
            <w:tcW w:w="4377" w:type="pct"/>
            <w:vAlign w:val="center"/>
          </w:tcPr>
          <w:p w14:paraId="5E231845" w14:textId="77777777" w:rsidR="004601DE" w:rsidRPr="00E60E24" w:rsidRDefault="00F25AC8" w:rsidP="00F25AC8">
            <w:pPr>
              <w:spacing w:after="120"/>
              <w:ind w:hanging="1"/>
              <w:jc w:val="cente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(wL</m:t>
              </m:r>
              <m:d>
                <m:dPr>
                  <m:ctrlPr>
                    <w:rPr>
                      <w:rFonts w:ascii="Cambria Math" w:hAnsi="Cambria Math"/>
                      <w:i/>
                    </w:rPr>
                  </m:ctrlPr>
                </m:dPr>
                <m:e>
                  <m:r>
                    <w:rPr>
                      <w:rFonts w:ascii="Cambria Math" w:hAnsi="Cambria Math"/>
                    </w:rPr>
                    <m:t>z</m:t>
                  </m:r>
                </m:e>
              </m:d>
              <m:r>
                <w:rPr>
                  <w:rFonts w:ascii="Cambria Math" w:hAnsi="Cambria Math"/>
                </w:rPr>
                <m:t>, wH</m:t>
              </m:r>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eastAsiaTheme="minorEastAsia" w:hAnsi="Cambria Math"/>
                </w:rPr>
                <m:t xml:space="preserve"> ≥0</m:t>
              </m:r>
            </m:oMath>
            <w:r w:rsidR="004601DE" w:rsidRPr="00E60E24">
              <w:rPr>
                <w:rFonts w:eastAsiaTheme="minorEastAsia"/>
              </w:rPr>
              <w:t xml:space="preserve">, folga complementar </w:t>
            </w:r>
            <w:r w:rsidR="004601DE" w:rsidRPr="00E60E24">
              <w:rPr>
                <w:rFonts w:eastAsiaTheme="minorEastAsia"/>
                <w:i/>
              </w:rPr>
              <w:t>i</w:t>
            </w:r>
            <w:r w:rsidR="004601DE" w:rsidRPr="00E60E24">
              <w:rPr>
                <w:rFonts w:eastAsiaTheme="minorEastAsia"/>
              </w:rPr>
              <w:t xml:space="preserve"> = 0, 1, 2</w:t>
            </w:r>
          </w:p>
        </w:tc>
        <w:tc>
          <w:tcPr>
            <w:tcW w:w="311" w:type="pct"/>
            <w:vAlign w:val="center"/>
          </w:tcPr>
          <w:p w14:paraId="0366F712" w14:textId="3CBA08BB" w:rsidR="004601DE" w:rsidRPr="00E60E24" w:rsidRDefault="004601DE" w:rsidP="00F25AC8">
            <w:pPr>
              <w:spacing w:after="120"/>
              <w:jc w:val="center"/>
            </w:pPr>
            <w:r w:rsidRPr="00E60E24">
              <w:t>(</w:t>
            </w:r>
            <w:fldSimple w:instr=" SEQ equacao \* MERGEFORMAT ">
              <w:r w:rsidR="00E634D1">
                <w:rPr>
                  <w:noProof/>
                </w:rPr>
                <w:t>1</w:t>
              </w:r>
            </w:fldSimple>
            <w:r w:rsidRPr="00E60E24">
              <w:t>)</w:t>
            </w:r>
          </w:p>
        </w:tc>
      </w:tr>
    </w:tbl>
    <w:p w14:paraId="32A8E05E" w14:textId="77777777" w:rsidR="004601DE" w:rsidRPr="00E60E24" w:rsidRDefault="004601DE" w:rsidP="00F25AC8">
      <w:pPr>
        <w:spacing w:after="120"/>
        <w:ind w:firstLine="709"/>
        <w:jc w:val="both"/>
      </w:pPr>
      <w:r w:rsidRPr="00E60E24">
        <w:t>O mercado de fatores em cada região é dado pelo somatório do produto entre o custo marginal de cada bem produzido e o produto:</w:t>
      </w:r>
    </w:p>
    <w:tbl>
      <w:tblPr>
        <w:tblStyle w:val="Tabelacomgrade"/>
        <w:tblW w:w="48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8"/>
        <w:gridCol w:w="570"/>
      </w:tblGrid>
      <w:tr w:rsidR="004601DE" w:rsidRPr="00E60E24" w14:paraId="3FDB591B" w14:textId="77777777" w:rsidTr="004601DE">
        <w:tc>
          <w:tcPr>
            <w:tcW w:w="4720" w:type="pct"/>
          </w:tcPr>
          <w:p w14:paraId="13B43E75" w14:textId="77777777" w:rsidR="004601DE" w:rsidRPr="00E60E24" w:rsidRDefault="004601DE" w:rsidP="00F25AC8">
            <w:pPr>
              <w:spacing w:after="120"/>
              <w:jc w:val="center"/>
              <w:rPr>
                <w:sz w:val="22"/>
                <w:szCs w:val="22"/>
              </w:rPr>
            </w:pPr>
            <m:oMathPara>
              <m:oMath>
                <m:r>
                  <w:rPr>
                    <w:rFonts w:ascii="Cambria Math" w:eastAsiaTheme="minorEastAsia" w:hAnsi="Cambria Math"/>
                    <w:sz w:val="22"/>
                    <w:szCs w:val="22"/>
                  </w:rPr>
                  <m:t>L</m:t>
                </m:r>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0</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 </m:t>
                </m:r>
                <m:f>
                  <m:fPr>
                    <m:ctrlPr>
                      <w:rPr>
                        <w:rFonts w:ascii="Cambria Math" w:eastAsiaTheme="minorEastAsia"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
                      <m:dPr>
                        <m:ctrlPr>
                          <w:rPr>
                            <w:rFonts w:ascii="Cambria Math" w:hAnsi="Cambria Math"/>
                            <w:i/>
                            <w:sz w:val="22"/>
                            <w:szCs w:val="22"/>
                          </w:rPr>
                        </m:ctrlPr>
                      </m:dPr>
                      <m:e>
                        <m:r>
                          <w:rPr>
                            <w:rFonts w:ascii="Cambria Math" w:hAnsi="Cambria Math"/>
                            <w:sz w:val="22"/>
                            <w:szCs w:val="22"/>
                          </w:rPr>
                          <m:t xml:space="preserve">wL, wH,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e>
                    </m:d>
                  </m:num>
                  <m:den>
                    <m:r>
                      <w:rPr>
                        <w:rFonts w:ascii="Cambria Math" w:hAnsi="Cambria Math"/>
                        <w:sz w:val="22"/>
                        <w:szCs w:val="22"/>
                      </w:rPr>
                      <m:t>∂wL</m:t>
                    </m:r>
                  </m:den>
                </m:f>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  </m:t>
                </m:r>
                <m:f>
                  <m:fPr>
                    <m:ctrlPr>
                      <w:rPr>
                        <w:rFonts w:ascii="Cambria Math" w:eastAsiaTheme="minorEastAsia"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 xml:space="preserve">wL, wH,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e>
                    </m:d>
                  </m:num>
                  <m:den>
                    <m:r>
                      <w:rPr>
                        <w:rFonts w:ascii="Cambria Math" w:hAnsi="Cambria Math"/>
                        <w:sz w:val="22"/>
                        <w:szCs w:val="22"/>
                      </w:rPr>
                      <m:t>∂wL</m:t>
                    </m:r>
                  </m:den>
                </m:f>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  </m:t>
                </m:r>
                <m:f>
                  <m:fPr>
                    <m:ctrlPr>
                      <w:rPr>
                        <w:rFonts w:ascii="Cambria Math" w:eastAsiaTheme="minorEastAsia"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(wL, wH,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num>
                  <m:den>
                    <m:r>
                      <w:rPr>
                        <w:rFonts w:ascii="Cambria Math" w:hAnsi="Cambria Math"/>
                        <w:sz w:val="22"/>
                        <w:szCs w:val="22"/>
                      </w:rPr>
                      <m:t>∂wL</m:t>
                    </m:r>
                  </m:den>
                </m:f>
              </m:oMath>
            </m:oMathPara>
          </w:p>
        </w:tc>
        <w:tc>
          <w:tcPr>
            <w:tcW w:w="280" w:type="pct"/>
          </w:tcPr>
          <w:p w14:paraId="04CCCCD9" w14:textId="6914BE24" w:rsidR="004601DE" w:rsidRPr="00E60E24" w:rsidRDefault="004601DE" w:rsidP="00F25AC8">
            <w:pPr>
              <w:spacing w:after="120"/>
              <w:jc w:val="right"/>
            </w:pPr>
            <w:r w:rsidRPr="00E60E24">
              <w:t>(</w:t>
            </w:r>
            <w:fldSimple w:instr=" SEQ equacao \* MERGEFORMAT ">
              <w:r w:rsidR="00E634D1">
                <w:rPr>
                  <w:noProof/>
                </w:rPr>
                <w:t>2</w:t>
              </w:r>
            </w:fldSimple>
            <w:r w:rsidRPr="00E60E24">
              <w:t>)</w:t>
            </w:r>
          </w:p>
        </w:tc>
      </w:tr>
    </w:tbl>
    <w:p w14:paraId="5CF62418" w14:textId="77777777" w:rsidR="004601DE" w:rsidRPr="00E60E24" w:rsidRDefault="004601DE" w:rsidP="00F25AC8">
      <w:pPr>
        <w:spacing w:after="120"/>
      </w:pPr>
    </w:p>
    <w:tbl>
      <w:tblPr>
        <w:tblStyle w:val="Tabelacomgrade"/>
        <w:tblW w:w="48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gridCol w:w="596"/>
      </w:tblGrid>
      <w:tr w:rsidR="004601DE" w:rsidRPr="00E60E24" w14:paraId="42E5C3CF" w14:textId="77777777" w:rsidTr="004601DE">
        <w:tc>
          <w:tcPr>
            <w:tcW w:w="4708" w:type="pct"/>
          </w:tcPr>
          <w:p w14:paraId="69D38AE7" w14:textId="77777777" w:rsidR="004601DE" w:rsidRPr="00E60E24" w:rsidRDefault="004601DE" w:rsidP="00F25AC8">
            <w:pPr>
              <w:spacing w:after="120"/>
              <w:jc w:val="center"/>
            </w:pPr>
            <m:oMathPara>
              <m:oMath>
                <m:r>
                  <w:rPr>
                    <w:rFonts w:ascii="Cambria Math" w:eastAsiaTheme="minorEastAsia" w:hAnsi="Cambria Math"/>
                    <w:sz w:val="22"/>
                    <w:szCs w:val="22"/>
                  </w:rPr>
                  <m:t>H</m:t>
                </m:r>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0</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 </m:t>
                </m:r>
                <m:f>
                  <m:fPr>
                    <m:ctrlPr>
                      <w:rPr>
                        <w:rFonts w:ascii="Cambria Math" w:eastAsiaTheme="minorEastAsia"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
                      <m:dPr>
                        <m:ctrlPr>
                          <w:rPr>
                            <w:rFonts w:ascii="Cambria Math" w:hAnsi="Cambria Math"/>
                            <w:i/>
                            <w:sz w:val="22"/>
                            <w:szCs w:val="22"/>
                          </w:rPr>
                        </m:ctrlPr>
                      </m:dPr>
                      <m:e>
                        <m:r>
                          <w:rPr>
                            <w:rFonts w:ascii="Cambria Math" w:hAnsi="Cambria Math"/>
                            <w:sz w:val="22"/>
                            <w:szCs w:val="22"/>
                          </w:rPr>
                          <m:t xml:space="preserve">wL, wH,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e>
                    </m:d>
                  </m:num>
                  <m:den>
                    <m:r>
                      <w:rPr>
                        <w:rFonts w:ascii="Cambria Math" w:hAnsi="Cambria Math"/>
                        <w:sz w:val="22"/>
                        <w:szCs w:val="22"/>
                      </w:rPr>
                      <m:t>∂wH</m:t>
                    </m:r>
                  </m:den>
                </m:f>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 </m:t>
                </m:r>
                <m:f>
                  <m:fPr>
                    <m:ctrlPr>
                      <w:rPr>
                        <w:rFonts w:ascii="Cambria Math" w:eastAsiaTheme="minorEastAsia"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 xml:space="preserve">wL, wH,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e>
                    </m:d>
                  </m:num>
                  <m:den>
                    <m:r>
                      <w:rPr>
                        <w:rFonts w:ascii="Cambria Math" w:hAnsi="Cambria Math"/>
                        <w:sz w:val="22"/>
                        <w:szCs w:val="22"/>
                      </w:rPr>
                      <m:t>∂wH</m:t>
                    </m:r>
                  </m:den>
                </m:f>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r>
                  <w:rPr>
                    <w:rFonts w:ascii="Cambria Math" w:eastAsiaTheme="minorEastAsia" w:hAnsi="Cambria Math"/>
                    <w:sz w:val="22"/>
                    <w:szCs w:val="22"/>
                  </w:rPr>
                  <m:t xml:space="preserve"> ∙  </m:t>
                </m:r>
                <m:f>
                  <m:fPr>
                    <m:ctrlPr>
                      <w:rPr>
                        <w:rFonts w:ascii="Cambria Math" w:eastAsiaTheme="minorEastAsia"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(wL, wH,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num>
                  <m:den>
                    <m:r>
                      <w:rPr>
                        <w:rFonts w:ascii="Cambria Math" w:hAnsi="Cambria Math"/>
                        <w:sz w:val="22"/>
                        <w:szCs w:val="22"/>
                      </w:rPr>
                      <m:t>∂wH</m:t>
                    </m:r>
                  </m:den>
                </m:f>
              </m:oMath>
            </m:oMathPara>
          </w:p>
        </w:tc>
        <w:tc>
          <w:tcPr>
            <w:tcW w:w="292" w:type="pct"/>
          </w:tcPr>
          <w:p w14:paraId="7384A61E" w14:textId="0153CD63" w:rsidR="004601DE" w:rsidRPr="00E60E24" w:rsidRDefault="004601DE" w:rsidP="00F25AC8">
            <w:pPr>
              <w:spacing w:after="120"/>
              <w:jc w:val="right"/>
            </w:pPr>
            <w:r w:rsidRPr="00E60E24">
              <w:t>(</w:t>
            </w:r>
            <w:fldSimple w:instr=" SEQ equacao \* MERGEFORMAT ">
              <w:r w:rsidR="00E634D1">
                <w:rPr>
                  <w:noProof/>
                </w:rPr>
                <w:t>3</w:t>
              </w:r>
            </w:fldSimple>
            <w:r w:rsidRPr="00E60E24">
              <w:t>)</w:t>
            </w:r>
          </w:p>
        </w:tc>
      </w:tr>
    </w:tbl>
    <w:p w14:paraId="0395C03C" w14:textId="77777777" w:rsidR="004601DE" w:rsidRPr="00E60E24" w:rsidRDefault="004601DE" w:rsidP="00F25AC8">
      <w:pPr>
        <w:spacing w:after="120"/>
        <w:ind w:firstLine="709"/>
        <w:jc w:val="both"/>
        <w:rPr>
          <w:rFonts w:eastAsiaTheme="minorEastAsia"/>
        </w:rPr>
      </w:pPr>
      <w:r w:rsidRPr="00E60E24">
        <w:t xml:space="preserve">O nível de renda é determinado por: </w:t>
      </w:r>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 wH</m:t>
        </m:r>
        <m:d>
          <m:dPr>
            <m:ctrlPr>
              <w:rPr>
                <w:rFonts w:ascii="Cambria Math" w:hAnsi="Cambria Math"/>
                <w:i/>
              </w:rPr>
            </m:ctrlPr>
          </m:dPr>
          <m:e>
            <m:r>
              <w:rPr>
                <w:rFonts w:ascii="Cambria Math" w:hAnsi="Cambria Math"/>
              </w:rPr>
              <m:t>z</m:t>
            </m:r>
          </m:e>
        </m:d>
        <m:r>
          <w:rPr>
            <w:rFonts w:ascii="Cambria Math" w:eastAsiaTheme="minorEastAsia" w:hAnsi="Cambria Math"/>
            <w:sz w:val="22"/>
            <w:szCs w:val="22"/>
          </w:rPr>
          <m:t xml:space="preserve"> ∙ </m:t>
        </m:r>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wL</m:t>
        </m:r>
        <m:d>
          <m:dPr>
            <m:ctrlPr>
              <w:rPr>
                <w:rFonts w:ascii="Cambria Math" w:hAnsi="Cambria Math"/>
                <w:i/>
              </w:rPr>
            </m:ctrlPr>
          </m:dPr>
          <m:e>
            <m:r>
              <w:rPr>
                <w:rFonts w:ascii="Cambria Math" w:hAnsi="Cambria Math"/>
              </w:rPr>
              <m:t>z</m:t>
            </m:r>
          </m:e>
        </m:d>
        <m:r>
          <w:rPr>
            <w:rFonts w:ascii="Cambria Math" w:eastAsiaTheme="minorEastAsia" w:hAnsi="Cambria Math"/>
            <w:sz w:val="22"/>
            <w:szCs w:val="22"/>
          </w:rPr>
          <m:t xml:space="preserve">  ∙ </m:t>
        </m:r>
        <m:r>
          <w:rPr>
            <w:rFonts w:ascii="Cambria Math" w:hAnsi="Cambria Math"/>
          </w:rPr>
          <m:t>L(z)</m:t>
        </m:r>
      </m:oMath>
      <w:r w:rsidRPr="00E60E24">
        <w:rPr>
          <w:rFonts w:eastAsiaTheme="minorEastAsia"/>
        </w:rPr>
        <w:t xml:space="preserve">. </w:t>
      </w:r>
      <w:r w:rsidRPr="00E60E24">
        <w:t xml:space="preserve">Assumem-se consumidores com utilidade </w:t>
      </w:r>
      <w:r w:rsidRPr="00E60E24">
        <w:rPr>
          <w:i/>
        </w:rPr>
        <w:t>u</w:t>
      </w:r>
      <w:r w:rsidRPr="00E60E24">
        <w:t>(</w:t>
      </w:r>
      <w:r w:rsidRPr="00E60E24">
        <w:rPr>
          <w:i/>
        </w:rPr>
        <w:t>z</w:t>
      </w:r>
      <w:r w:rsidRPr="00E60E24">
        <w:t xml:space="preserve">) descrita por uma função ‘despesa homotética’, de forma que a igualdade entre renda e despesa na região </w:t>
      </w:r>
      <w:r w:rsidRPr="00E60E24">
        <w:rPr>
          <w:i/>
        </w:rPr>
        <w:t>z</w:t>
      </w:r>
      <w:r w:rsidRPr="00E60E24">
        <w:t xml:space="preserve"> é dada por: </w:t>
      </w:r>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 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z</m:t>
                </m:r>
              </m:e>
            </m:d>
          </m:e>
        </m:d>
        <m:r>
          <w:rPr>
            <w:rFonts w:ascii="Cambria Math" w:eastAsiaTheme="minorEastAsia" w:hAnsi="Cambria Math"/>
            <w:sz w:val="22"/>
            <w:szCs w:val="22"/>
          </w:rPr>
          <m:t xml:space="preserve"> ∙ </m:t>
        </m:r>
        <m:r>
          <w:rPr>
            <w:rFonts w:ascii="Cambria Math" w:hAnsi="Cambria Math"/>
          </w:rPr>
          <m:t>u(z)</m:t>
        </m:r>
      </m:oMath>
      <w:r w:rsidRPr="00E60E24">
        <w:rPr>
          <w:rFonts w:eastAsiaTheme="minorEastAsia"/>
        </w:rPr>
        <w:t>.</w:t>
      </w:r>
    </w:p>
    <w:p w14:paraId="22FC5DB8" w14:textId="77777777" w:rsidR="004601DE" w:rsidRPr="00E60E24" w:rsidRDefault="004601DE" w:rsidP="00F25AC8">
      <w:pPr>
        <w:spacing w:after="120"/>
        <w:ind w:firstLine="709"/>
        <w:jc w:val="both"/>
        <w:rPr>
          <w:rFonts w:eastAsiaTheme="minorEastAsia"/>
        </w:rPr>
      </w:pPr>
      <w:r w:rsidRPr="00E60E24">
        <w:t xml:space="preserve">O mercado estrangeiro exporta o bem 0 e importa os bens 1 e 2. O preço de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E60E24">
        <w:t xml:space="preserve"> para o mercado estrangeiro é a unidade, e sua renda é fixa em termos do bem 0. As importações dos outros dois bens </w:t>
      </w:r>
      <m:oMath>
        <m:sSub>
          <m:sSubPr>
            <m:ctrlPr>
              <w:rPr>
                <w:rFonts w:ascii="Cambria Math" w:hAnsi="Cambria Math"/>
              </w:rPr>
            </m:ctrlPr>
          </m:sSubPr>
          <m:e>
            <m:r>
              <w:rPr>
                <w:rFonts w:ascii="Cambria Math" w:hAnsi="Cambria Math"/>
              </w:rPr>
              <m:t>c</m:t>
            </m:r>
          </m:e>
          <m:sub>
            <m:r>
              <m:rPr>
                <m:sty m:val="p"/>
              </m:rPr>
              <w:rPr>
                <w:rFonts w:ascii="Cambria Math" w:hAnsi="Cambria Math"/>
              </w:rPr>
              <m:t>i</m:t>
            </m:r>
          </m:sub>
        </m:sSub>
        <m:r>
          <m:rPr>
            <m:sty m:val="p"/>
          </m:rPr>
          <w:rPr>
            <w:rFonts w:ascii="Cambria Math" w:hAnsi="Cambria Math"/>
          </w:rPr>
          <m:t>(0)</m:t>
        </m:r>
      </m:oMath>
      <w:r w:rsidRPr="00E60E24">
        <w:t xml:space="preserve"> são dadas pelas funções ‘demanda por importação’. As regiões </w:t>
      </w:r>
      <w:r w:rsidRPr="00E60E24">
        <w:rPr>
          <w:i/>
        </w:rPr>
        <w:t>z</w:t>
      </w:r>
      <w:r w:rsidRPr="00E60E24">
        <w:t xml:space="preserve"> &gt; 0 podem produzir os três bens usando fatores primários e o bem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E60E24">
        <w:t xml:space="preserve"> como intermediário.</w:t>
      </w:r>
    </w:p>
    <w:p w14:paraId="46A41DDB" w14:textId="77777777" w:rsidR="004601DE" w:rsidRPr="00E60E24" w:rsidRDefault="004601DE" w:rsidP="00F25AC8">
      <w:pPr>
        <w:spacing w:after="120"/>
        <w:ind w:firstLine="709"/>
        <w:jc w:val="both"/>
      </w:pPr>
      <w:r w:rsidRPr="00E60E24">
        <w:rPr>
          <w:rFonts w:eastAsiaTheme="minorEastAsia"/>
        </w:rPr>
        <w:t xml:space="preserve">Com isso é possível determinar o preço dos bens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z</m:t>
            </m:r>
          </m:e>
        </m:d>
      </m:oMath>
      <w:r w:rsidRPr="00E60E24">
        <w:rPr>
          <w:rFonts w:eastAsiaTheme="minorEastAsia"/>
        </w:rPr>
        <w:t xml:space="preserve">.  Os preços dos bens no mercado estrangeiro,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0</m:t>
            </m:r>
          </m:e>
        </m:d>
      </m:oMath>
      <w:r w:rsidRPr="00E60E24">
        <w:rPr>
          <w:rFonts w:eastAsiaTheme="minorEastAsia"/>
        </w:rPr>
        <w:t xml:space="preserve"> (que se estabelece como numerário),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oMath>
      <w:r w:rsidRPr="00E60E24">
        <w:rPr>
          <w:rFonts w:eastAsiaTheme="minorEastAsia"/>
        </w:rPr>
        <w:t xml:space="preserve"> 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0</m:t>
            </m:r>
          </m:e>
        </m:d>
      </m:oMath>
      <w:r w:rsidRPr="00E60E24">
        <w:rPr>
          <w:rFonts w:eastAsiaTheme="minorEastAsia"/>
        </w:rPr>
        <w:t xml:space="preserve">, são assumidos como exógenos. Os custos de transporte levam à existência de funções ‘preço sobre o espaço’. </w:t>
      </w:r>
      <w:r w:rsidRPr="00E60E24">
        <w:t xml:space="preserve">Os bens produzidos estão sujeitos a custos de comércio que crescem exponencialmente, de forma que entregar uma unidade do bem </w:t>
      </w:r>
      <w:r w:rsidRPr="00E60E24">
        <w:rPr>
          <w:i/>
        </w:rPr>
        <w:t>i</w:t>
      </w:r>
      <w:r w:rsidRPr="00E60E24">
        <w:t xml:space="preserve"> desde a região </w:t>
      </w:r>
      <w:r w:rsidRPr="00E60E24">
        <w:rPr>
          <w:i/>
        </w:rPr>
        <w:t>z</w:t>
      </w:r>
      <w:r w:rsidRPr="00E60E24">
        <w:rPr>
          <w:vertAlign w:val="subscript"/>
        </w:rPr>
        <w:t>0</w:t>
      </w:r>
      <w:r w:rsidRPr="00E60E24">
        <w:t xml:space="preserve"> até </w:t>
      </w:r>
      <w:r w:rsidRPr="00E60E24">
        <w:rPr>
          <w:i/>
        </w:rPr>
        <w:t>z</w:t>
      </w:r>
      <w:r w:rsidRPr="00E60E24">
        <w:rPr>
          <w:vertAlign w:val="subscript"/>
        </w:rPr>
        <w:t>i</w:t>
      </w:r>
      <w:r w:rsidRPr="00E60E24">
        <w:t xml:space="preserve"> custa</w:t>
      </w:r>
      <m:oMath>
        <m:sSub>
          <m:sSubPr>
            <m:ctrlPr>
              <w:rPr>
                <w:rFonts w:ascii="Cambria Math" w:hAnsi="Cambria Math"/>
              </w:rPr>
            </m:ctrlPr>
          </m:sSubPr>
          <m:e>
            <m:r>
              <m:rPr>
                <m:sty m:val="p"/>
              </m:rPr>
              <w:rPr>
                <w:rFonts w:ascii="Cambria Math" w:hAnsi="Cambria Math"/>
              </w:rPr>
              <m:t xml:space="preserve"> τ</m:t>
            </m:r>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 exp</m:t>
            </m:r>
          </m:fNa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 xml:space="preserve">i </m:t>
                </m:r>
              </m:sub>
            </m:sSub>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r>
          <m:rPr>
            <m:sty m:val="p"/>
          </m:rPr>
          <w:rPr>
            <w:rFonts w:ascii="Cambria Math" w:hAnsi="Cambria Math"/>
          </w:rPr>
          <m:t xml:space="preserve"> ≥1</m:t>
        </m:r>
      </m:oMath>
      <w:r w:rsidRPr="00E60E24">
        <w:t>.</w:t>
      </w:r>
    </w:p>
    <w:p w14:paraId="211A3560" w14:textId="77777777" w:rsidR="004601DE" w:rsidRPr="00E60E24" w:rsidRDefault="004601DE" w:rsidP="00F25AC8">
      <w:pPr>
        <w:spacing w:after="120"/>
        <w:ind w:firstLine="709"/>
        <w:jc w:val="both"/>
        <w:rPr>
          <w:rFonts w:eastAsiaTheme="minorEastAsia"/>
        </w:rPr>
      </w:pPr>
      <w:r w:rsidRPr="00E60E24">
        <w:t xml:space="preserve">Considere-se o preço do bem 0,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0</m:t>
            </m:r>
          </m:e>
        </m:d>
      </m:oMath>
      <w:r w:rsidRPr="00E60E24">
        <w:t xml:space="preserve">. À medida que nos distanciamos de </w:t>
      </w:r>
      <w:r w:rsidRPr="00E60E24">
        <w:rPr>
          <w:i/>
        </w:rPr>
        <w:t>z</w:t>
      </w:r>
      <w:r w:rsidRPr="00E60E24">
        <w:t xml:space="preserve"> = 0, a função ‘preço’ cresce exponencialmente. As regiões podem ser suficientemente distantes para que a importação seja 0, </w:t>
      </w:r>
      <m:oMath>
        <m:sSub>
          <m:sSubPr>
            <m:ctrlPr>
              <w:rPr>
                <w:rFonts w:ascii="Cambria Math" w:hAnsi="Cambria Math"/>
              </w:rPr>
            </m:ctrlPr>
          </m:sSubPr>
          <m:e>
            <m: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z</m:t>
            </m:r>
          </m:e>
        </m:d>
        <m:r>
          <m:rPr>
            <m:sty m:val="p"/>
          </m:rPr>
          <w:rPr>
            <w:rFonts w:ascii="Cambria Math" w:hAnsi="Cambria Math"/>
          </w:rPr>
          <m:t>=0</m:t>
        </m:r>
      </m:oMath>
      <w:r w:rsidRPr="00E60E24">
        <w:t xml:space="preserve">. À esquerda dessa região </w:t>
      </w:r>
      <m:oMath>
        <m:sSub>
          <m:sSubPr>
            <m:ctrlPr>
              <w:rPr>
                <w:rFonts w:ascii="Cambria Math" w:hAnsi="Cambria Math"/>
              </w:rPr>
            </m:ctrlPr>
          </m:sSubPr>
          <m:e>
            <m: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z</m:t>
            </m:r>
          </m:e>
        </m:d>
        <m:r>
          <m:rPr>
            <m:sty m:val="p"/>
          </m:rPr>
          <w:rPr>
            <w:rFonts w:ascii="Cambria Math" w:hAnsi="Cambria Math"/>
          </w:rPr>
          <m:t>≥0</m:t>
        </m:r>
      </m:oMath>
      <w:r w:rsidRPr="00E60E24">
        <w:rPr>
          <w:rFonts w:eastAsiaTheme="minorEastAsia"/>
        </w:rPr>
        <w:t xml:space="preserve">, o preço é fixado pelas importações do centro,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τ</m:t>
            </m:r>
          </m:e>
          <m:sub>
            <m:r>
              <m:rPr>
                <m:sty m:val="p"/>
              </m:rPr>
              <w:rPr>
                <w:rFonts w:ascii="Cambria Math" w:hAnsi="Cambria Math"/>
              </w:rPr>
              <m:t>0</m:t>
            </m:r>
          </m:sub>
        </m:sSub>
        <m:d>
          <m:dPr>
            <m:ctrlPr>
              <w:rPr>
                <w:rFonts w:ascii="Cambria Math" w:hAnsi="Cambria Math"/>
              </w:rPr>
            </m:ctrlPr>
          </m:dPr>
          <m:e>
            <m:r>
              <w:rPr>
                <w:rFonts w:ascii="Cambria Math" w:hAnsi="Cambria Math"/>
              </w:rPr>
              <m:t>z</m:t>
            </m:r>
          </m:e>
        </m:d>
      </m:oMath>
      <w:r w:rsidRPr="00E60E24">
        <w:rPr>
          <w:rFonts w:eastAsiaTheme="minorEastAsia"/>
        </w:rPr>
        <w:t xml:space="preserve">. À direita dessa região (na qual </w:t>
      </w:r>
      <m:oMath>
        <m:sSub>
          <m:sSubPr>
            <m:ctrlPr>
              <w:rPr>
                <w:rFonts w:ascii="Cambria Math" w:hAnsi="Cambria Math"/>
              </w:rPr>
            </m:ctrlPr>
          </m:sSubPr>
          <m:e>
            <m:r>
              <w:rPr>
                <w:rFonts w:ascii="Cambria Math" w:hAnsi="Cambria Math"/>
              </w:rPr>
              <m:t>c</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rsidRPr="00E60E24">
        <w:t xml:space="preserve">), todas as regiões são desconectadas do mercado estrangeiro e têm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rPr>
            </m:ctrlPr>
          </m:sSubPr>
          <m:e>
            <m:r>
              <m:rPr>
                <m:sty m:val="p"/>
              </m:rPr>
              <w:rPr>
                <w:rFonts w:ascii="Cambria Math" w:hAnsi="Cambria Math"/>
              </w:rPr>
              <m:t xml:space="preserve"> τ</m:t>
            </m:r>
          </m:e>
          <m:sub>
            <m:r>
              <m:rPr>
                <m:sty m:val="p"/>
              </m:rPr>
              <w:rPr>
                <w:rFonts w:ascii="Cambria Math" w:hAnsi="Cambria Math"/>
              </w:rPr>
              <m:t>0</m:t>
            </m:r>
          </m:sub>
        </m:sSub>
        <m:d>
          <m:dPr>
            <m:ctrlPr>
              <w:rPr>
                <w:rFonts w:ascii="Cambria Math" w:hAnsi="Cambria Math"/>
              </w:rPr>
            </m:ctrlPr>
          </m:dPr>
          <m:e>
            <m:r>
              <w:rPr>
                <w:rFonts w:ascii="Cambria Math" w:hAnsi="Cambria Math"/>
              </w:rPr>
              <m:t>z</m:t>
            </m:r>
          </m:e>
        </m:d>
      </m:oMath>
      <w:r w:rsidRPr="00E60E24">
        <w:rPr>
          <w:rFonts w:eastAsiaTheme="minorEastAsia"/>
        </w:rPr>
        <w:t>. Essas regiões seriam então autossuficientes no bem 0 e seu preço seria determinado pelas condições locais. Teríamos então o preço de autarquia</w:t>
      </w:r>
      <w:r>
        <w:rPr>
          <w:rStyle w:val="Refdenotaderodap"/>
          <w:rFonts w:eastAsiaTheme="minorEastAsia"/>
        </w:rPr>
        <w:footnoteReference w:id="3"/>
      </w:r>
      <w:r w:rsidRPr="00E60E24">
        <w:rPr>
          <w:rFonts w:eastAsiaTheme="minorEastAsia"/>
        </w:rPr>
        <w:t>.</w:t>
      </w:r>
    </w:p>
    <w:p w14:paraId="057E5D0D" w14:textId="77777777" w:rsidR="004601DE" w:rsidRPr="00E60E24" w:rsidRDefault="004601DE" w:rsidP="00F25AC8">
      <w:pPr>
        <w:spacing w:after="120"/>
        <w:ind w:firstLine="709"/>
        <w:jc w:val="both"/>
      </w:pPr>
      <w:r w:rsidRPr="00E60E24">
        <w:rPr>
          <w:rFonts w:eastAsiaTheme="minorEastAsia"/>
        </w:rPr>
        <w:t xml:space="preserve">Os preços dos outros dois bens,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z</m:t>
            </m:r>
          </m:e>
        </m:d>
      </m:oMath>
      <w:r w:rsidRPr="00E60E24">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z</m:t>
            </m:r>
          </m:e>
        </m:d>
      </m:oMath>
      <w:r w:rsidRPr="00E60E24">
        <w:rPr>
          <w:rFonts w:eastAsiaTheme="minorEastAsia"/>
        </w:rPr>
        <w:t>, têm dois componentes: os preços determinados pelo mercado estrangeiro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0</m:t>
            </m:r>
          </m:e>
        </m:d>
      </m:oMath>
      <w:r w:rsidRPr="00E60E24">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0</m:t>
            </m:r>
          </m:e>
        </m:d>
      </m:oMath>
      <w:r w:rsidRPr="00E60E24">
        <w:rPr>
          <w:rFonts w:eastAsiaTheme="minorEastAsia"/>
        </w:rPr>
        <w:t xml:space="preserve">) e as distâncias em relação ao mercado estrangeiro. Dependem, portanto, dos custos de transporte, como na determinação de </w:t>
      </w:r>
      <m:oMath>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z</m:t>
            </m:r>
          </m:e>
        </m:d>
      </m:oMath>
      <w:r w:rsidRPr="00E60E24">
        <w:rPr>
          <w:rFonts w:eastAsiaTheme="minorEastAsia"/>
        </w:rPr>
        <w:t>, porém, como esses produtos serão enviados ao mercado estrangeiro, a função tem gradiente negativo. Novamente, haveria um ponto de corte ou uma região a partir da qual deixaria de ser lucrativa a exportação desses bens. À esquerda desses pontos, os preços seriam definidos pelos preços da região central líquidos de custos de transportes; à direita, as regiões seriam autossuficientes e o preço seria de autarquia.</w:t>
      </w:r>
    </w:p>
    <w:p w14:paraId="5BC45F89" w14:textId="7024275F" w:rsidR="004601DE" w:rsidRDefault="004601DE" w:rsidP="00F25AC8">
      <w:pPr>
        <w:spacing w:after="120"/>
        <w:ind w:firstLine="709"/>
        <w:jc w:val="both"/>
      </w:pPr>
      <w:r w:rsidRPr="00E60E24">
        <w:t>Assim, as funções ‘preços dos produtos’ e ‘preços dos fatores’ são determinadas conforme a distância e os custos de transporte. Nas regiões em que há autossuficiência de um dado bem, o preço deste é definido pela igualdade de oferta e demanda locais. Essa hipótese é sustentada pela condição suficiente de que o custo do transporte supera o preço do bem caso ele seja produzido localmente.  Para produtos de livre comércio, as funções ‘preço’ são determinadas pela oferta e demanda globais.</w:t>
      </w:r>
    </w:p>
    <w:p w14:paraId="36076175" w14:textId="77777777" w:rsidR="00F25AC8" w:rsidRPr="00E60E24" w:rsidRDefault="00F25AC8" w:rsidP="00F25AC8">
      <w:pPr>
        <w:spacing w:after="120"/>
        <w:ind w:firstLine="709"/>
        <w:jc w:val="both"/>
      </w:pPr>
    </w:p>
    <w:p w14:paraId="1792043B" w14:textId="77777777" w:rsidR="004601DE" w:rsidRPr="00E60E24" w:rsidRDefault="004601DE" w:rsidP="00F25AC8">
      <w:pPr>
        <w:pStyle w:val="Ttulo3"/>
        <w:spacing w:before="0" w:after="120" w:line="240" w:lineRule="auto"/>
      </w:pPr>
      <w:r w:rsidRPr="00E60E24">
        <w:t xml:space="preserve">Zonas de especialização </w:t>
      </w:r>
    </w:p>
    <w:p w14:paraId="57B90FC4" w14:textId="3348E40A" w:rsidR="004601DE" w:rsidRPr="00E60E24" w:rsidRDefault="004601DE" w:rsidP="00F25AC8">
      <w:pPr>
        <w:spacing w:after="120"/>
        <w:ind w:firstLine="709"/>
        <w:jc w:val="both"/>
      </w:pPr>
      <w:r w:rsidRPr="00E60E24">
        <w:t>Como resultado, o modelo define cinco zonas de especialização que se caracterizam segundo a intensidade relativa dos transportes e dos fatores na produção dos bens, do diferencial na dotação dos fatores entre as regiões, da distância e da elasticidade de substituição dos fatores e de suas consequências no fluxo de comércio</w:t>
      </w:r>
      <w:r w:rsidR="005831E1">
        <w:t xml:space="preserve">. </w:t>
      </w:r>
      <w:r w:rsidRPr="00E60E24">
        <w:t xml:space="preserve">Essas zonas se formam segundo o comportamento dos preços dos fatores e da renda entre os espaços, bem como suas respostas a um crescimento no preço do bem exportado. </w:t>
      </w:r>
    </w:p>
    <w:p w14:paraId="7300C836" w14:textId="0E613199" w:rsidR="004601DE" w:rsidRPr="00E60E24" w:rsidRDefault="004601DE" w:rsidP="00F25AC8">
      <w:pPr>
        <w:spacing w:after="120"/>
        <w:ind w:firstLine="709"/>
        <w:jc w:val="both"/>
      </w:pPr>
      <w:r w:rsidRPr="00E60E24">
        <w:t>A definição das zonas</w:t>
      </w:r>
      <w:r w:rsidR="005831E1">
        <w:rPr>
          <w:rStyle w:val="Refdenotaderodap"/>
        </w:rPr>
        <w:footnoteReference w:id="4"/>
      </w:r>
      <w:r w:rsidRPr="00E60E24">
        <w:t xml:space="preserve"> supõe que o bem 1 seja mais intensivo em transporte do que o bem 2. Assume-se inicialmente que as dotações de fatores sejam idênticas nas diferentes regiões.</w:t>
      </w:r>
    </w:p>
    <w:p w14:paraId="000DBBED" w14:textId="77777777" w:rsidR="004601DE" w:rsidRPr="00E60E24" w:rsidRDefault="004601DE" w:rsidP="00F25AC8">
      <w:pPr>
        <w:spacing w:after="120"/>
        <w:ind w:firstLine="709"/>
        <w:jc w:val="both"/>
      </w:pPr>
      <w:r w:rsidRPr="00E60E24">
        <w:t xml:space="preserve">Zona I: As regiões assim designadas seriam exportadoras, especializadas em produzir bens exportáveis. Localizadas próximas ao mercado estrangeiro, produzem e exportam o bem 1, intensivo em transporte, e importam os bens 0 e 2. </w:t>
      </w:r>
    </w:p>
    <w:p w14:paraId="29EF33C3" w14:textId="77777777" w:rsidR="004601DE" w:rsidRPr="00E60E24" w:rsidRDefault="004601DE" w:rsidP="00F25AC8">
      <w:pPr>
        <w:spacing w:after="120"/>
        <w:ind w:firstLine="709"/>
        <w:jc w:val="both"/>
      </w:pPr>
      <w:r w:rsidRPr="00E60E24">
        <w:t>Nesta zona os custos de transporte causam queda equiproporcional no preço dos fatores, de modo que os custos de transporte não alteram a desigualdade de rendimentos. Essa desigualdade só seria afetada em função da diferença na intensidade dos fatores utilizados na produção dos bens 1 e 2. À medida que se avança adentro da zona I, a rentabilidade do bem 2 dependeria da intensidade relativa dos transportes e da mudança relativa da abundância dos fatores nessas regiões. Se as regiões se tornam mais abundantes em trabalho qualificado e o bem 2 é intensivo nesse fator, sua lucratividade aumenta.</w:t>
      </w:r>
    </w:p>
    <w:p w14:paraId="492A37AF" w14:textId="77777777" w:rsidR="004601DE" w:rsidRPr="00E60E24" w:rsidRDefault="004601DE" w:rsidP="00F25AC8">
      <w:pPr>
        <w:spacing w:after="120"/>
        <w:ind w:firstLine="709"/>
        <w:jc w:val="both"/>
      </w:pPr>
      <w:r w:rsidRPr="00E60E24">
        <w:lastRenderedPageBreak/>
        <w:t>Zona II: Tais regiões produzem o bem 1 e 2, exportando o bem 1. A produção do bem 1 vai diminuindo com a distância, enquanto a produção do bem 2 vai aumentando em função da menor intensidade de transporte. Na zona II as duas atividades serão ativas. Os bens 1 e 2 têm diferentes intensidades de fatores, sendo o bem 2 mais intensivo em trabalho qualificado. Isso resulta em divergência no preço dos fatores.</w:t>
      </w:r>
    </w:p>
    <w:p w14:paraId="73A7209E" w14:textId="77777777" w:rsidR="004601DE" w:rsidRPr="00E60E24" w:rsidRDefault="004601DE" w:rsidP="00F25AC8">
      <w:pPr>
        <w:spacing w:after="120"/>
        <w:ind w:firstLine="709"/>
        <w:jc w:val="both"/>
      </w:pPr>
      <w:r w:rsidRPr="00E60E24">
        <w:t>Se o bem 1 é transporte-intensivo, o preço relativo do fator intensivo no bem 1 (no caso, o trabalho não qualificado) decresce à medida que a distância avança, pois sua produção diminui. Isso incentiva ambas as indústrias (bem 1 e 2) a se tornarem mais intensivas em trabalho não qualificado, já que este se barateia. O pleno emprego dos fatores requer que a indústria 1 encolha e a indústria 2 se expanda.</w:t>
      </w:r>
    </w:p>
    <w:p w14:paraId="6D9B4AC0" w14:textId="77777777" w:rsidR="004601DE" w:rsidRPr="00E60E24" w:rsidRDefault="004601DE" w:rsidP="00F25AC8">
      <w:pPr>
        <w:spacing w:after="120"/>
        <w:ind w:firstLine="709"/>
        <w:jc w:val="both"/>
      </w:pPr>
      <w:r w:rsidRPr="00E60E24">
        <w:t>Essa zona tem as características de uma economia do tipo Heckscher-Ohlin, ou seja, exporta o bem que utiliza seu fator abundante intensivamente e o comércio é interindustrial, incentivando a especialização. Aqui os preços dos fatores mudam apenas por causa dos custos de transporte e são independentes das dotações dos fatores. Quanto mais nos movemos para longe do mercado estrangeiro, o preço do trabalho qualificado aumenta e do trabalho não qualificado diminui, obtendo-se com isso um usual efeito Stolper-Samuelson.</w:t>
      </w:r>
    </w:p>
    <w:p w14:paraId="798FA39A" w14:textId="77777777" w:rsidR="004601DE" w:rsidRPr="00E60E24" w:rsidRDefault="004601DE" w:rsidP="00F25AC8">
      <w:pPr>
        <w:spacing w:after="120"/>
        <w:ind w:firstLine="709"/>
        <w:jc w:val="both"/>
      </w:pPr>
      <w:r w:rsidRPr="00E60E24">
        <w:t>Zona III: Esta zona é suficientemente distante para que a produção do bem 1 se torne não lucrativa. Ela se torna autossuficiente no bem 1, enquanto continua exportando o bem 2 e importando o bem 0.</w:t>
      </w:r>
    </w:p>
    <w:p w14:paraId="168454E4" w14:textId="77777777" w:rsidR="004601DE" w:rsidRPr="00E60E24" w:rsidRDefault="004601DE" w:rsidP="00F25AC8">
      <w:pPr>
        <w:spacing w:after="120"/>
        <w:ind w:firstLine="709"/>
        <w:jc w:val="both"/>
      </w:pPr>
      <w:r w:rsidRPr="00E60E24">
        <w:t>O preço do bem 1 é definido, portanto, por condições locais, enquanto o preço do bem 2 o é pelas vendas ao mercado estrangeiro. Nessa região, é preferível importar o bem 0 do que produzi-lo localmente, pois o custo de transporte é menor que o custo unitário de produção. Não é uma região do tipo Heckscher-Ohlin (H-O), pois apenas o bem 2 é produzido, e como consequência o preço dos fatores depende das dotações e preferências locais.</w:t>
      </w:r>
    </w:p>
    <w:p w14:paraId="6DB971BD" w14:textId="77777777" w:rsidR="004601DE" w:rsidRPr="00E60E24" w:rsidRDefault="004601DE" w:rsidP="00F25AC8">
      <w:pPr>
        <w:spacing w:after="120"/>
        <w:ind w:firstLine="709"/>
        <w:jc w:val="both"/>
      </w:pPr>
      <w:r w:rsidRPr="00E60E24">
        <w:t>Zona IV: É a zona de substituição de importações. A importação do bem 0 do mercado estrangeiro se torna tão cara que passa a ser mais lucrativo produzi-lo localmente. Nesta zona, cada região importa o bem 0 e exporta o bem 2, mas em quantidades cada vez menores à medida que nos movemos adentro.</w:t>
      </w:r>
    </w:p>
    <w:p w14:paraId="7E4D415D" w14:textId="77777777" w:rsidR="004601DE" w:rsidRPr="00E60E24" w:rsidRDefault="004601DE" w:rsidP="00F25AC8">
      <w:pPr>
        <w:spacing w:after="120"/>
        <w:ind w:firstLine="709"/>
        <w:jc w:val="both"/>
      </w:pPr>
      <w:r w:rsidRPr="00E60E24">
        <w:t>Nessa zona há locais produzindo todos os três bens. Os bens 0 e 2 são comercializáveis ao mercado estrangeiro, enquanto o bem 1 é produzido para venda local. Os preços dos fatores se tornam independentes de suas dotações e preferências. As intensidades de transporte que determinam os preços dos fatores são as das indústrias 0 e 2. O preço do trabalho qualificado diminui e do trabalho não qualificado aumenta caso o bem 0 seja intensivo em trabalho não qualificado, comparado ao bem 2.</w:t>
      </w:r>
    </w:p>
    <w:p w14:paraId="74D18797" w14:textId="0C5E7C4F" w:rsidR="004601DE" w:rsidRDefault="004601DE" w:rsidP="00F25AC8">
      <w:pPr>
        <w:spacing w:after="120"/>
        <w:ind w:firstLine="709"/>
        <w:jc w:val="both"/>
      </w:pPr>
      <w:r w:rsidRPr="00E60E24">
        <w:t>Zona V: Seria a zona de autarquia. Os preços são todos definidos pelas ofertas e demandas locais.</w:t>
      </w:r>
    </w:p>
    <w:p w14:paraId="1FD393DB" w14:textId="77777777" w:rsidR="00F25AC8" w:rsidRPr="00E60E24" w:rsidRDefault="00F25AC8" w:rsidP="00F25AC8">
      <w:pPr>
        <w:spacing w:after="120"/>
        <w:ind w:firstLine="709"/>
        <w:jc w:val="both"/>
      </w:pPr>
    </w:p>
    <w:p w14:paraId="616B2056" w14:textId="77777777" w:rsidR="004601DE" w:rsidRPr="004601DE" w:rsidRDefault="004601DE" w:rsidP="00F25AC8">
      <w:pPr>
        <w:pStyle w:val="Ttulo1"/>
        <w:spacing w:before="0" w:after="120"/>
      </w:pPr>
      <w:bookmarkStart w:id="8" w:name="_Toc443922801"/>
      <w:bookmarkStart w:id="9" w:name="_Toc456276884"/>
      <w:r w:rsidRPr="004601DE">
        <w:t>Estratégia empírica e dados utilizados</w:t>
      </w:r>
      <w:bookmarkEnd w:id="8"/>
      <w:bookmarkEnd w:id="9"/>
    </w:p>
    <w:p w14:paraId="65C45FB4" w14:textId="77777777" w:rsidR="004601DE" w:rsidRPr="00875F5E" w:rsidRDefault="004601DE" w:rsidP="00F25AC8">
      <w:pPr>
        <w:pStyle w:val="Ttulo2"/>
        <w:spacing w:before="0" w:after="120"/>
      </w:pPr>
      <w:bookmarkStart w:id="10" w:name="_Toc456276885"/>
      <w:r w:rsidRPr="00875F5E">
        <w:t>Estratégia empírica</w:t>
      </w:r>
      <w:bookmarkEnd w:id="10"/>
    </w:p>
    <w:p w14:paraId="39985BC6" w14:textId="77777777" w:rsidR="004601DE" w:rsidRPr="00E60E24" w:rsidRDefault="004601DE" w:rsidP="00F25AC8">
      <w:pPr>
        <w:spacing w:after="120"/>
        <w:ind w:firstLine="709"/>
        <w:jc w:val="both"/>
      </w:pPr>
      <w:r w:rsidRPr="00E60E24">
        <w:t xml:space="preserve">A estratégia empírica segue a abordagem utilizada por Chiquiar </w:t>
      </w:r>
      <w:sdt>
        <w:sdtPr>
          <w:id w:val="1694187972"/>
          <w:citation/>
        </w:sdtPr>
        <w:sdtContent>
          <w:r w:rsidRPr="00E60E24">
            <w:fldChar w:fldCharType="begin"/>
          </w:r>
          <w:r w:rsidRPr="00E60E24">
            <w:instrText xml:space="preserve">CITATION Chi08 \n  \t  \l 1046 </w:instrText>
          </w:r>
          <w:r w:rsidRPr="00E60E24">
            <w:fldChar w:fldCharType="separate"/>
          </w:r>
          <w:r w:rsidRPr="00E60E24">
            <w:t>(2008)</w:t>
          </w:r>
          <w:r w:rsidRPr="00E60E24">
            <w:fldChar w:fldCharType="end"/>
          </w:r>
        </w:sdtContent>
      </w:sdt>
      <w:r w:rsidRPr="00E60E24">
        <w:t xml:space="preserve"> e identifica os padrões de comportamento dos preços dos insumos</w:t>
      </w:r>
      <w:r w:rsidRPr="00E60E24">
        <w:rPr>
          <w:rStyle w:val="Refdenotaderodap"/>
          <w:rFonts w:eastAsiaTheme="majorEastAsia"/>
        </w:rPr>
        <w:footnoteReference w:id="5"/>
      </w:r>
      <w:r w:rsidRPr="00E60E24">
        <w:t xml:space="preserve">, para determinar no Brasil as zonas de especialização estabelecidas em Venables e </w:t>
      </w:r>
      <w:r>
        <w:t>Limão</w:t>
      </w:r>
      <w:r w:rsidRPr="00E60E24">
        <w:t xml:space="preserve"> (2002) e apresentadas na revisão teórica do presente estudo.</w:t>
      </w:r>
    </w:p>
    <w:p w14:paraId="25059D8A" w14:textId="77777777" w:rsidR="004601DE" w:rsidRPr="00E60E24" w:rsidRDefault="004601DE" w:rsidP="00F25AC8">
      <w:pPr>
        <w:spacing w:after="120"/>
        <w:ind w:firstLine="709"/>
        <w:jc w:val="both"/>
      </w:pPr>
      <w:r w:rsidRPr="00E60E24">
        <w:t xml:space="preserve">Chiquiar (2008) estuda o impacto do NAFTA na economia mexicana. Para isso, pré-determina as regiões consideradas próximas e distantes dos EUA e observa o movimento dos coeficientes de </w:t>
      </w:r>
      <w:r w:rsidRPr="00E60E24">
        <w:rPr>
          <w:i/>
        </w:rPr>
        <w:t>dummies</w:t>
      </w:r>
      <w:r w:rsidRPr="00E60E24">
        <w:t xml:space="preserve"> regionais, que representam o diferencial regional de salários e de prêmios por qualificação ao inserir variáveis de controle de características locais e, subsequentemente, variáveis de exposição ao comércio – </w:t>
      </w:r>
      <w:r w:rsidRPr="00E60E24">
        <w:lastRenderedPageBreak/>
        <w:t>isto para identificar os fatores que determinaram as mudanças nos salários do México nos anos 1990, em especial o impacto diferencial da liberalização nas regiões.</w:t>
      </w:r>
    </w:p>
    <w:p w14:paraId="63796C1B" w14:textId="73E79285" w:rsidR="004601DE" w:rsidRPr="00E60E24" w:rsidRDefault="004601DE" w:rsidP="00F25AC8">
      <w:pPr>
        <w:spacing w:after="120"/>
        <w:ind w:firstLine="709"/>
        <w:jc w:val="both"/>
      </w:pPr>
      <w:r w:rsidRPr="00E60E24">
        <w:t xml:space="preserve">Diferentemente, neste ensaio estuda-se o comércio internacional do Brasil em geral e não em relação a um centro de comércio específico. No decorrer da década, o comércio internacional no país foi elegendo diferentes destinos com volume significativo, de modo que parece inadequado selecionar um deles como o centro de comércio de relevância. Diante disto, estabelecer </w:t>
      </w:r>
      <w:r w:rsidRPr="00E60E24">
        <w:rPr>
          <w:i/>
        </w:rPr>
        <w:t>a priori</w:t>
      </w:r>
      <w:r w:rsidRPr="00E60E24">
        <w:t xml:space="preserve"> qual região é distante ou próxima parece inadequado. Venables e </w:t>
      </w:r>
      <w:r>
        <w:t>Limão</w:t>
      </w:r>
      <w:r w:rsidRPr="00E60E24">
        <w:t xml:space="preserve"> </w:t>
      </w:r>
      <w:sdt>
        <w:sdtPr>
          <w:id w:val="1473795708"/>
          <w:citation/>
        </w:sdtPr>
        <w:sdtContent>
          <w:r w:rsidRPr="00E60E24">
            <w:fldChar w:fldCharType="begin"/>
          </w:r>
          <w:r w:rsidRPr="00E60E24">
            <w:instrText xml:space="preserve">CITATION Ven02 \n  \t  \l 1046 </w:instrText>
          </w:r>
          <w:r w:rsidRPr="00E60E24">
            <w:fldChar w:fldCharType="separate"/>
          </w:r>
          <w:r w:rsidRPr="00E60E24">
            <w:t>(2002)</w:t>
          </w:r>
          <w:r w:rsidRPr="00E60E24">
            <w:fldChar w:fldCharType="end"/>
          </w:r>
        </w:sdtContent>
      </w:sdt>
      <w:r w:rsidRPr="00E60E24">
        <w:t xml:space="preserve">, no entanto, estabelecem padrões no comportamento dos salários e dos prêmios por qualificação das regiões consideradas distantes ou próximas, de modo que se buscou aqui identificar esses padrões para então estabelecer qual região no Brasil pode ser considerada distante e qual próxima, determinando-se a partir disso as zonas de especialização. </w:t>
      </w:r>
    </w:p>
    <w:p w14:paraId="443531C2" w14:textId="77777777" w:rsidR="004601DE" w:rsidRPr="00E60E24" w:rsidRDefault="004601DE" w:rsidP="00F25AC8">
      <w:pPr>
        <w:spacing w:after="120"/>
        <w:ind w:firstLine="709"/>
        <w:jc w:val="both"/>
      </w:pPr>
      <w:r w:rsidRPr="00E60E24">
        <w:t xml:space="preserve">Assim, neste estudo o caminho é inverso ao trilhado por Chiquiar (2008). Observa-se o movimento das </w:t>
      </w:r>
      <w:r w:rsidRPr="00E60E24">
        <w:rPr>
          <w:i/>
        </w:rPr>
        <w:t>dummies</w:t>
      </w:r>
      <w:r w:rsidRPr="00E60E24">
        <w:t xml:space="preserve"> regionais e dos prêmios por qualificação para estabelecer as zonas de especialização, conforme descritas na revisão teórica deste trabalho, para então analisar o impacto do aumento do comércio sobre o preço do insumo trabalho e do prêmio por qualificação no período.</w:t>
      </w:r>
    </w:p>
    <w:p w14:paraId="47C2B32C" w14:textId="5191A434" w:rsidR="004601DE" w:rsidRDefault="004601DE" w:rsidP="00F25AC8">
      <w:pPr>
        <w:spacing w:after="120"/>
        <w:ind w:firstLine="709"/>
        <w:jc w:val="both"/>
      </w:pPr>
      <w:r w:rsidRPr="00E60E24">
        <w:t>Primeiro, será estimada uma regressão dos sa</w:t>
      </w:r>
      <w:r w:rsidR="00875F5E">
        <w:t>lários contra dados individuais</w:t>
      </w:r>
      <w:r w:rsidRPr="00E60E24">
        <w:t xml:space="preserve">. Em seguida, serão incluídos controles, tais como características dos municípios e participação no comércio exterior, para avaliar em que medida e em qual sentido essas variáveis contribuem para alterar os salários e a desigualdade de salários entre qualificações nos municípios. </w:t>
      </w:r>
    </w:p>
    <w:p w14:paraId="5B553D86" w14:textId="77777777" w:rsidR="00F25AC8" w:rsidRPr="00E60E24" w:rsidRDefault="00F25AC8" w:rsidP="00F25AC8">
      <w:pPr>
        <w:spacing w:after="120"/>
        <w:ind w:firstLine="709"/>
        <w:jc w:val="both"/>
      </w:pPr>
    </w:p>
    <w:p w14:paraId="136074B5" w14:textId="4395CF09" w:rsidR="004601DE" w:rsidRPr="00E60E24" w:rsidRDefault="004601DE" w:rsidP="00F25AC8">
      <w:pPr>
        <w:pStyle w:val="Ttulo3"/>
        <w:spacing w:before="0" w:after="120" w:line="240" w:lineRule="auto"/>
      </w:pPr>
      <w:r w:rsidRPr="00E60E24">
        <w:t>Regressão com microdados</w:t>
      </w:r>
      <w:r w:rsidR="00061251">
        <w:t xml:space="preserve"> e dados municipais,</w:t>
      </w:r>
      <w:r w:rsidR="00F03C07">
        <w:t xml:space="preserve"> autosseleção e variáveis omitidas</w:t>
      </w:r>
    </w:p>
    <w:p w14:paraId="7669EF6F" w14:textId="71781FB3" w:rsidR="004601DE" w:rsidRPr="00E60E24" w:rsidRDefault="00061251" w:rsidP="00F25AC8">
      <w:pPr>
        <w:spacing w:after="120"/>
        <w:ind w:firstLine="709"/>
        <w:jc w:val="both"/>
      </w:pPr>
      <w:r>
        <w:t>Uma equação em t</w:t>
      </w:r>
      <w:r w:rsidR="00F03C07">
        <w:t xml:space="preserve">rês </w:t>
      </w:r>
      <w:r>
        <w:t>etapas será regredida</w:t>
      </w:r>
      <w:r w:rsidR="004601DE" w:rsidRPr="00E60E24">
        <w:t xml:space="preserve"> por mín</w:t>
      </w:r>
      <w:r w:rsidR="004601DE">
        <w:t>imos quadrados</w:t>
      </w:r>
      <w:r w:rsidR="004601DE" w:rsidRPr="00E60E24">
        <w:t xml:space="preserve"> generalizados factíveis (MQGF)</w:t>
      </w:r>
      <w:r w:rsidR="004601DE" w:rsidRPr="00E60E24">
        <w:rPr>
          <w:rStyle w:val="Refdenotaderodap"/>
          <w:rFonts w:eastAsiaTheme="majorEastAsia"/>
        </w:rPr>
        <w:footnoteReference w:id="6"/>
      </w:r>
      <w:r w:rsidR="004601DE" w:rsidRPr="00E60E24">
        <w:t xml:space="preserve"> a partir de dados </w:t>
      </w:r>
      <w:r w:rsidR="004601DE" w:rsidRPr="00A86B78">
        <w:t>empilhados</w:t>
      </w:r>
      <w:r w:rsidR="004601DE" w:rsidRPr="00E60E24">
        <w:rPr>
          <w:i/>
        </w:rPr>
        <w:t xml:space="preserve"> </w:t>
      </w:r>
      <w:r w:rsidR="004601DE">
        <w:t xml:space="preserve">com </w:t>
      </w:r>
      <w:r w:rsidR="004601DE" w:rsidRPr="00E60E24">
        <w:t xml:space="preserve">cada </w:t>
      </w:r>
      <w:r w:rsidR="00113860">
        <w:t xml:space="preserve">um dos anos extremos do decênio. Cada etapa inclui grupos de controles diferentes, com </w:t>
      </w:r>
      <w:r w:rsidR="004601DE" w:rsidRPr="00E60E24">
        <w:t>os salários absolutos a preços de 2000 (</w:t>
      </w:r>
      <w:r w:rsidR="004601DE" w:rsidRPr="00E60E24">
        <w:rPr>
          <w:i/>
        </w:rPr>
        <w:t>y</w:t>
      </w:r>
      <w:r w:rsidR="004601DE" w:rsidRPr="00E60E24">
        <w:t>), dependendo</w:t>
      </w:r>
      <w:r>
        <w:t>:</w:t>
      </w:r>
      <w:r w:rsidR="004601DE" w:rsidRPr="00E60E24">
        <w:t xml:space="preserve"> </w:t>
      </w:r>
      <w:r>
        <w:t xml:space="preserve">1) </w:t>
      </w:r>
      <w:r w:rsidR="004601DE" w:rsidRPr="00E60E24">
        <w:t>de características individuais (anos de escolaridade, experiência, exper</w:t>
      </w:r>
      <w:r w:rsidR="004601DE">
        <w:t>iência ao quadrado</w:t>
      </w:r>
      <w:r w:rsidR="004601DE" w:rsidRPr="00E60E24">
        <w:t>, sexo e setor de at</w:t>
      </w:r>
      <w:r>
        <w:t xml:space="preserve">ividade); 2) de características municipais; 3) de </w:t>
      </w:r>
      <w:r w:rsidR="004601DE" w:rsidRPr="00E60E24">
        <w:t>variáveis da exposição ao comércio exterior</w:t>
      </w:r>
      <w:bookmarkStart w:id="11" w:name="_Ref449101695"/>
      <w:r w:rsidR="004601DE" w:rsidRPr="00E60E24">
        <w:rPr>
          <w:rStyle w:val="Refdenotaderodap"/>
          <w:rFonts w:eastAsiaTheme="majorEastAsia"/>
        </w:rPr>
        <w:footnoteReference w:id="7"/>
      </w:r>
      <w:bookmarkEnd w:id="11"/>
      <w:r>
        <w:t xml:space="preserve">. São incluídas em cada regressão </w:t>
      </w:r>
      <w:r w:rsidR="004601DE" w:rsidRPr="00E60E24">
        <w:rPr>
          <w:i/>
        </w:rPr>
        <w:t>dummies</w:t>
      </w:r>
      <w:r w:rsidR="004601DE">
        <w:t xml:space="preserve"> para as 137</w:t>
      </w:r>
      <w:r w:rsidR="004601DE" w:rsidRPr="00E60E24">
        <w:t xml:space="preserve"> mesorregiões brasileiras</w:t>
      </w:r>
      <w:r>
        <w:t>, para avaliar o diferencial de salários em resposta a cada grupo de controle</w:t>
      </w:r>
      <w:r w:rsidR="004601DE" w:rsidRPr="00E60E24">
        <w:t xml:space="preserve">. Serão também incluídas </w:t>
      </w:r>
      <w:r w:rsidR="004601DE" w:rsidRPr="00E60E24">
        <w:rPr>
          <w:i/>
        </w:rPr>
        <w:t>dummies</w:t>
      </w:r>
      <w:r w:rsidR="004601DE" w:rsidRPr="00E60E24">
        <w:t xml:space="preserve"> </w:t>
      </w:r>
      <w:r w:rsidR="004601DE">
        <w:t>meso</w:t>
      </w:r>
      <w:r w:rsidR="004601DE" w:rsidRPr="00E60E24">
        <w:t xml:space="preserve">regionais iteradas com a escolaridade, para avaliar o retorno por escolaridade das mesorregiões. Para testar a significância estatística dessas </w:t>
      </w:r>
      <w:r w:rsidR="004601DE" w:rsidRPr="00E60E24">
        <w:rPr>
          <w:i/>
        </w:rPr>
        <w:t>dummies</w:t>
      </w:r>
      <w:r w:rsidR="004601DE" w:rsidRPr="00E60E24">
        <w:t>, será avaliado se a inclusão dos controles altera a mudança observada nos salários</w:t>
      </w:r>
      <w:r w:rsidR="004601DE" w:rsidRPr="00E60E24">
        <w:rPr>
          <w:rStyle w:val="Refdenotaderodap"/>
          <w:rFonts w:eastAsiaTheme="majorEastAsia"/>
        </w:rPr>
        <w:footnoteReference w:id="8"/>
      </w:r>
      <w:r w:rsidR="004601DE" w:rsidRPr="00E60E24">
        <w:t xml:space="preserve">. </w:t>
      </w:r>
    </w:p>
    <w:p w14:paraId="59F834B8" w14:textId="77777777" w:rsidR="004601DE" w:rsidRPr="00E60E24" w:rsidRDefault="004601DE" w:rsidP="00F25AC8">
      <w:pPr>
        <w:spacing w:after="120"/>
        <w:ind w:firstLine="709"/>
        <w:jc w:val="both"/>
      </w:pPr>
      <w:r w:rsidRPr="00E60E24">
        <w:lastRenderedPageBreak/>
        <w:t>Assim a equação, inspirada em Chiquiar (2008), a ser estimada é:</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7"/>
        <w:gridCol w:w="623"/>
      </w:tblGrid>
      <w:tr w:rsidR="004601DE" w:rsidRPr="00E60E24" w14:paraId="712C9CC2" w14:textId="77777777" w:rsidTr="004601DE">
        <w:tc>
          <w:tcPr>
            <w:tcW w:w="4701" w:type="pct"/>
          </w:tcPr>
          <w:p w14:paraId="220B5269" w14:textId="77777777" w:rsidR="004601DE" w:rsidRPr="00E60E24" w:rsidRDefault="00F25AC8" w:rsidP="00F25AC8">
            <w:pPr>
              <w:spacing w:after="120"/>
              <w:jc w:val="center"/>
            </w:pPr>
            <m:oMathPara>
              <m:oMath>
                <m:sSub>
                  <m:sSubPr>
                    <m:ctrlPr>
                      <w:rPr>
                        <w:rFonts w:ascii="Cambria Math" w:hAnsi="Cambria Math"/>
                        <w:i/>
                      </w:rPr>
                    </m:ctrlPr>
                  </m:sSubPr>
                  <m:e>
                    <m:r>
                      <w:rPr>
                        <w:rFonts w:ascii="Cambria Math" w:hAnsi="Cambria Math"/>
                      </w:rPr>
                      <m:t>Y</m:t>
                    </m:r>
                  </m:e>
                  <m:sub>
                    <m:r>
                      <w:rPr>
                        <w:rFonts w:ascii="Cambria Math" w:hAnsi="Cambria Math"/>
                      </w:rPr>
                      <m:t>iz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Ex</m:t>
                    </m:r>
                  </m:e>
                  <m:sub>
                    <m:r>
                      <w:rPr>
                        <w:rFonts w:ascii="Cambria Math" w:hAnsi="Cambria Math"/>
                      </w:rPr>
                      <m:t>iz</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Ex</m:t>
                        </m:r>
                      </m:e>
                      <m:sub>
                        <m:r>
                          <w:rPr>
                            <w:rFonts w:ascii="Cambria Math" w:hAnsi="Cambria Math"/>
                          </w:rPr>
                          <m:t>iz</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AE</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Di</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CExt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DzAE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iz</m:t>
                    </m:r>
                  </m:sub>
                </m:sSub>
              </m:oMath>
            </m:oMathPara>
          </w:p>
        </w:tc>
        <w:tc>
          <w:tcPr>
            <w:tcW w:w="299" w:type="pct"/>
          </w:tcPr>
          <w:p w14:paraId="27653846" w14:textId="4C091B1B" w:rsidR="004601DE" w:rsidRPr="00E60E24" w:rsidRDefault="004601DE" w:rsidP="00F25AC8">
            <w:pPr>
              <w:spacing w:after="120"/>
              <w:jc w:val="both"/>
            </w:pPr>
            <w:r w:rsidRPr="00E60E24">
              <w:t>(</w:t>
            </w:r>
            <w:fldSimple w:instr=" SEQ equacao \* MERGEFORMAT ">
              <w:r w:rsidR="00E634D1">
                <w:rPr>
                  <w:noProof/>
                </w:rPr>
                <w:t>4</w:t>
              </w:r>
            </w:fldSimple>
            <w:r w:rsidRPr="00E60E24">
              <w:t>)</w:t>
            </w:r>
          </w:p>
        </w:tc>
      </w:tr>
    </w:tbl>
    <w:p w14:paraId="5786BBAE" w14:textId="6C251C2E" w:rsidR="004601DE" w:rsidRDefault="004601DE" w:rsidP="00F25AC8">
      <w:pPr>
        <w:spacing w:after="120"/>
        <w:jc w:val="both"/>
        <w:rPr>
          <w:rFonts w:eastAsiaTheme="minorEastAsia"/>
        </w:rPr>
      </w:pPr>
      <w:r w:rsidRPr="00E60E24">
        <w:t xml:space="preserve">onde </w:t>
      </w:r>
      <m:oMath>
        <m:sSub>
          <m:sSubPr>
            <m:ctrlPr>
              <w:rPr>
                <w:rFonts w:ascii="Cambria Math" w:hAnsi="Cambria Math"/>
                <w:i/>
              </w:rPr>
            </m:ctrlPr>
          </m:sSubPr>
          <m:e>
            <m:r>
              <w:rPr>
                <w:rFonts w:ascii="Cambria Math" w:hAnsi="Cambria Math"/>
              </w:rPr>
              <m:t>Y</m:t>
            </m:r>
          </m:e>
          <m:sub>
            <m:r>
              <w:rPr>
                <w:rFonts w:ascii="Cambria Math" w:hAnsi="Cambria Math"/>
              </w:rPr>
              <m:t>iz</m:t>
            </m:r>
          </m:sub>
        </m:sSub>
      </m:oMath>
      <w:r w:rsidRPr="00E60E24">
        <w:rPr>
          <w:rFonts w:eastAsiaTheme="minorEastAsia"/>
        </w:rPr>
        <w:t xml:space="preserve"> </w:t>
      </w:r>
      <w:r w:rsidRPr="00A95CFB">
        <w:rPr>
          <w:rFonts w:eastAsiaTheme="minorEastAsia"/>
        </w:rPr>
        <w:t>é o valor médio anual do salário absoluto</w:t>
      </w:r>
      <w:r w:rsidRPr="00E60E24">
        <w:rPr>
          <w:rFonts w:eastAsiaTheme="minorEastAsia"/>
        </w:rPr>
        <w:t xml:space="preserve"> do trabalhador </w:t>
      </w:r>
      <w:r w:rsidRPr="00E60E24">
        <w:rPr>
          <w:rFonts w:eastAsiaTheme="minorEastAsia"/>
          <w:i/>
        </w:rPr>
        <w:t>i</w:t>
      </w:r>
      <w:r w:rsidRPr="00E60E24">
        <w:rPr>
          <w:rFonts w:eastAsiaTheme="minorEastAsia"/>
        </w:rPr>
        <w:t xml:space="preserve"> no município </w:t>
      </w:r>
      <w:r w:rsidRPr="00E60E24">
        <w:rPr>
          <w:rFonts w:eastAsiaTheme="minorEastAsia"/>
          <w:i/>
        </w:rPr>
        <w:t>z</w:t>
      </w:r>
      <w:r w:rsidRPr="00E60E24">
        <w:rPr>
          <w:rFonts w:eastAsiaTheme="minorEastAsia"/>
        </w:rPr>
        <w:t xml:space="preserve"> recebido no ano, a preços de 2000, em logaritmo natural; </w:t>
      </w:r>
      <m:oMath>
        <m:sSub>
          <m:sSubPr>
            <m:ctrlPr>
              <w:rPr>
                <w:rFonts w:ascii="Cambria Math" w:hAnsi="Cambria Math"/>
                <w:i/>
              </w:rPr>
            </m:ctrlPr>
          </m:sSubPr>
          <m:e>
            <m:r>
              <w:rPr>
                <w:rFonts w:ascii="Cambria Math" w:hAnsi="Cambria Math"/>
              </w:rPr>
              <m:t>Ex</m:t>
            </m:r>
          </m:e>
          <m:sub>
            <m:r>
              <w:rPr>
                <w:rFonts w:ascii="Cambria Math" w:hAnsi="Cambria Math"/>
              </w:rPr>
              <m:t>iz</m:t>
            </m:r>
          </m:sub>
        </m:sSub>
      </m:oMath>
      <w:r w:rsidRPr="00E60E24">
        <w:rPr>
          <w:rFonts w:eastAsiaTheme="minorEastAsia"/>
        </w:rPr>
        <w:t xml:space="preserve"> é a experiência desse trabalhador; </w:t>
      </w:r>
      <m:oMath>
        <m:sSub>
          <m:sSubPr>
            <m:ctrlPr>
              <w:rPr>
                <w:rFonts w:ascii="Cambria Math" w:hAnsi="Cambria Math"/>
                <w:i/>
              </w:rPr>
            </m:ctrlPr>
          </m:sSubPr>
          <m:e>
            <m:r>
              <w:rPr>
                <w:rFonts w:ascii="Cambria Math" w:hAnsi="Cambria Math"/>
              </w:rPr>
              <m:t>AE</m:t>
            </m:r>
          </m:e>
          <m:sub>
            <m:r>
              <w:rPr>
                <w:rFonts w:ascii="Cambria Math" w:hAnsi="Cambria Math"/>
              </w:rPr>
              <m:t>iz</m:t>
            </m:r>
          </m:sub>
        </m:sSub>
      </m:oMath>
      <w:r w:rsidRPr="00E60E24">
        <w:rPr>
          <w:rFonts w:eastAsiaTheme="minorEastAsia"/>
        </w:rPr>
        <w:t xml:space="preserve"> é a quantidade de anos de estudo do trabalhador; </w:t>
      </w:r>
      <m:oMath>
        <m:sSub>
          <m:sSubPr>
            <m:ctrlPr>
              <w:rPr>
                <w:rFonts w:ascii="Cambria Math" w:hAnsi="Cambria Math"/>
                <w:i/>
              </w:rPr>
            </m:ctrlPr>
          </m:sSubPr>
          <m:e>
            <m:r>
              <w:rPr>
                <w:rFonts w:ascii="Cambria Math" w:hAnsi="Cambria Math"/>
              </w:rPr>
              <m:t>Di</m:t>
            </m:r>
          </m:e>
          <m:sub>
            <m:r>
              <w:rPr>
                <w:rFonts w:ascii="Cambria Math" w:hAnsi="Cambria Math"/>
              </w:rPr>
              <m:t>iz</m:t>
            </m:r>
          </m:sub>
        </m:sSub>
      </m:oMath>
      <w:r w:rsidRPr="00E60E24">
        <w:rPr>
          <w:rFonts w:eastAsiaTheme="minorEastAsia"/>
        </w:rPr>
        <w:t xml:space="preserve"> é um vetor de </w:t>
      </w:r>
      <w:r w:rsidRPr="00E60E24">
        <w:rPr>
          <w:rFonts w:eastAsiaTheme="minorEastAsia"/>
          <w:i/>
        </w:rPr>
        <w:t>dummies</w:t>
      </w:r>
      <w:r w:rsidRPr="00E60E24">
        <w:rPr>
          <w:rFonts w:eastAsiaTheme="minorEastAsia"/>
        </w:rPr>
        <w:t xml:space="preserve"> das características do trabalhador, como sexo, faixa etária e setor de atividade; </w:t>
      </w:r>
      <m:oMath>
        <m:sSub>
          <m:sSubPr>
            <m:ctrlPr>
              <w:rPr>
                <w:rFonts w:ascii="Cambria Math" w:hAnsi="Cambria Math"/>
                <w:i/>
              </w:rPr>
            </m:ctrlPr>
          </m:sSubPr>
          <m:e>
            <m:r>
              <w:rPr>
                <w:rFonts w:ascii="Cambria Math" w:hAnsi="Cambria Math"/>
              </w:rPr>
              <m:t>Cl</m:t>
            </m:r>
          </m:e>
          <m:sub>
            <m:r>
              <w:rPr>
                <w:rFonts w:ascii="Cambria Math" w:hAnsi="Cambria Math"/>
              </w:rPr>
              <m:t>z</m:t>
            </m:r>
          </m:sub>
        </m:sSub>
      </m:oMath>
      <w:r w:rsidRPr="00E60E24">
        <w:rPr>
          <w:rFonts w:eastAsiaTheme="minorEastAsia"/>
        </w:rPr>
        <w:t xml:space="preserve"> é o vetor de controles das características municipais; </w:t>
      </w:r>
      <m:oMath>
        <m:sSub>
          <m:sSubPr>
            <m:ctrlPr>
              <w:rPr>
                <w:rFonts w:ascii="Cambria Math" w:hAnsi="Cambria Math"/>
                <w:i/>
              </w:rPr>
            </m:ctrlPr>
          </m:sSubPr>
          <m:e>
            <m:r>
              <w:rPr>
                <w:rFonts w:ascii="Cambria Math" w:hAnsi="Cambria Math"/>
              </w:rPr>
              <m:t>CExt</m:t>
            </m:r>
          </m:e>
          <m:sub>
            <m:r>
              <w:rPr>
                <w:rFonts w:ascii="Cambria Math" w:hAnsi="Cambria Math"/>
              </w:rPr>
              <m:t>z</m:t>
            </m:r>
          </m:sub>
        </m:sSub>
      </m:oMath>
      <w:r w:rsidRPr="00E60E24">
        <w:rPr>
          <w:rFonts w:eastAsiaTheme="minorEastAsia"/>
        </w:rPr>
        <w:t xml:space="preserve"> é o vetor de variáveis de exposição ao comércio exterior;</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Dz</m:t>
            </m:r>
          </m:e>
          <m:sub>
            <m:r>
              <w:rPr>
                <w:rFonts w:ascii="Cambria Math" w:hAnsi="Cambria Math"/>
              </w:rPr>
              <m:t>i</m:t>
            </m:r>
          </m:sub>
        </m:sSub>
      </m:oMath>
      <w:r w:rsidRPr="00E60E24">
        <w:rPr>
          <w:rFonts w:eastAsiaTheme="minorEastAsia"/>
        </w:rPr>
        <w:t xml:space="preserve"> são as </w:t>
      </w:r>
      <w:r w:rsidRPr="00E60E24">
        <w:rPr>
          <w:rFonts w:eastAsiaTheme="minorEastAsia"/>
          <w:i/>
        </w:rPr>
        <w:t>dummies</w:t>
      </w:r>
      <w:r w:rsidRPr="00E60E24">
        <w:rPr>
          <w:rFonts w:eastAsiaTheme="minorEastAsia"/>
        </w:rPr>
        <w:t xml:space="preserve"> para mesorregiões; e, por fim, </w:t>
      </w:r>
      <m:oMath>
        <m:sSub>
          <m:sSubPr>
            <m:ctrlPr>
              <w:rPr>
                <w:rFonts w:ascii="Cambria Math" w:hAnsi="Cambria Math"/>
                <w:i/>
              </w:rPr>
            </m:ctrlPr>
          </m:sSubPr>
          <m:e>
            <m:r>
              <w:rPr>
                <w:rFonts w:ascii="Cambria Math" w:hAnsi="Cambria Math"/>
              </w:rPr>
              <m:t>DzAE</m:t>
            </m:r>
          </m:e>
          <m:sub>
            <m:r>
              <w:rPr>
                <w:rFonts w:ascii="Cambria Math" w:hAnsi="Cambria Math"/>
              </w:rPr>
              <m:t>i</m:t>
            </m:r>
          </m:sub>
        </m:sSub>
      </m:oMath>
      <w:r w:rsidRPr="00E60E24">
        <w:rPr>
          <w:rFonts w:eastAsiaTheme="minorEastAsia"/>
        </w:rPr>
        <w:t xml:space="preserve"> são as </w:t>
      </w:r>
      <w:r w:rsidRPr="00E60E24">
        <w:rPr>
          <w:rFonts w:eastAsiaTheme="minorEastAsia"/>
          <w:i/>
        </w:rPr>
        <w:t>dummies</w:t>
      </w:r>
      <w:r w:rsidRPr="00E60E24">
        <w:rPr>
          <w:rFonts w:eastAsiaTheme="minorEastAsia"/>
        </w:rPr>
        <w:t xml:space="preserve"> para mesorregiões iteradas com anos de escolaridade, sendo a Macrometropolitana Paulista o grupo-base.</w:t>
      </w:r>
    </w:p>
    <w:p w14:paraId="66DAF021" w14:textId="75AEA6AD" w:rsidR="004601DE" w:rsidRDefault="004601DE" w:rsidP="00F25AC8">
      <w:pPr>
        <w:spacing w:after="120"/>
        <w:ind w:firstLine="709"/>
        <w:jc w:val="both"/>
        <w:rPr>
          <w:rFonts w:eastAsiaTheme="minorEastAsia"/>
        </w:rPr>
      </w:pPr>
      <w:r w:rsidRPr="00E60E24">
        <w:t xml:space="preserve">Para avaliar a robustez dos resultados para viés de variáveis omitidas, será utilizado o procedimento apresentado por Oster </w:t>
      </w:r>
      <w:sdt>
        <w:sdtPr>
          <w:id w:val="739066657"/>
          <w:citation/>
        </w:sdtPr>
        <w:sdtContent>
          <w:r w:rsidRPr="00E60E24">
            <w:fldChar w:fldCharType="begin"/>
          </w:r>
          <w:r w:rsidRPr="00E60E24">
            <w:instrText xml:space="preserve">CITATION Ost14 \n  \t  \l 1046 </w:instrText>
          </w:r>
          <w:r w:rsidRPr="00E60E24">
            <w:fldChar w:fldCharType="separate"/>
          </w:r>
          <w:r w:rsidRPr="00E60E24">
            <w:t>(2014)</w:t>
          </w:r>
          <w:r w:rsidRPr="00E60E24">
            <w:fldChar w:fldCharType="end"/>
          </w:r>
        </w:sdtContent>
      </w:sdt>
      <w:r w:rsidRPr="00E60E24">
        <w:t xml:space="preserve">, que sugere avaliar movimentos nos coeficientes com a inclusão de controles em conjunto com avaliação dos movimentos em </w:t>
      </w:r>
      <w:r w:rsidRPr="00E60E24">
        <w:rPr>
          <w:i/>
        </w:rPr>
        <w:t>R</w:t>
      </w:r>
      <w:r w:rsidRPr="00E60E24">
        <w:rPr>
          <w:vertAlign w:val="superscript"/>
        </w:rPr>
        <w:t>2</w:t>
      </w:r>
      <w:r w:rsidRPr="00E60E24">
        <w:t xml:space="preserve">. O procedimento, que utiliza a hipótese de relação de covariância proporcional nas observáveis e não observáveis, sugere (1) calcular o viés sob a hipótese </w:t>
      </w:r>
      <m:oMath>
        <m:r>
          <m:rPr>
            <m:sty m:val="p"/>
          </m:rPr>
          <w:rPr>
            <w:rFonts w:ascii="Cambria Math" w:hAnsi="Cambria Math"/>
          </w:rPr>
          <m:t>δ</m:t>
        </m:r>
        <m:r>
          <w:rPr>
            <w:rFonts w:ascii="Cambria Math" w:hAnsi="Cambria Math"/>
          </w:rPr>
          <m:t>=1</m:t>
        </m:r>
      </m:oMath>
      <w:r w:rsidRPr="00E60E24">
        <w:rPr>
          <w:rFonts w:eastAsiaTheme="minorEastAsia"/>
        </w:rPr>
        <w:t xml:space="preserve"> e/ou (2) calcular o valor de </w:t>
      </w:r>
      <m:oMath>
        <m:r>
          <m:rPr>
            <m:sty m:val="p"/>
          </m:rPr>
          <w:rPr>
            <w:rFonts w:ascii="Cambria Math" w:hAnsi="Cambria Math"/>
          </w:rPr>
          <m:t>δ</m:t>
        </m:r>
      </m:oMath>
      <w:r w:rsidRPr="00E60E24">
        <w:rPr>
          <w:rFonts w:eastAsiaTheme="minorEastAsia"/>
        </w:rPr>
        <w:t xml:space="preserve"> tal que β = 0.</w:t>
      </w:r>
      <w:r w:rsidRPr="00E60E24">
        <w:rPr>
          <w:rStyle w:val="Refdenotaderodap"/>
          <w:rFonts w:eastAsiaTheme="minorEastAsia"/>
        </w:rPr>
        <w:footnoteReference w:id="9"/>
      </w:r>
    </w:p>
    <w:p w14:paraId="483D4384" w14:textId="77777777" w:rsidR="00F25AC8" w:rsidRPr="00E60E24" w:rsidRDefault="00F25AC8" w:rsidP="00F25AC8">
      <w:pPr>
        <w:spacing w:after="120"/>
        <w:ind w:firstLine="709"/>
        <w:jc w:val="both"/>
        <w:rPr>
          <w:rFonts w:eastAsiaTheme="minorEastAsia"/>
        </w:rPr>
      </w:pPr>
    </w:p>
    <w:p w14:paraId="6BE6CCCE" w14:textId="22400D72" w:rsidR="00FD72D7" w:rsidRPr="00FD72D7" w:rsidRDefault="00FD72D7" w:rsidP="00F25AC8">
      <w:pPr>
        <w:pStyle w:val="Ttulo3"/>
        <w:spacing w:before="0" w:after="120" w:line="240" w:lineRule="auto"/>
      </w:pPr>
      <w:r w:rsidRPr="00FD72D7">
        <w:t>Estratégia de interpretação dos resultados</w:t>
      </w:r>
    </w:p>
    <w:p w14:paraId="783B0DBB" w14:textId="3EEB81FE" w:rsidR="004601DE" w:rsidRPr="00E60E24" w:rsidRDefault="004601DE" w:rsidP="00F25AC8">
      <w:pPr>
        <w:spacing w:after="120"/>
        <w:ind w:firstLine="709"/>
        <w:jc w:val="both"/>
        <w:rPr>
          <w:rFonts w:eastAsiaTheme="minorEastAsia"/>
        </w:rPr>
      </w:pPr>
      <w:r w:rsidRPr="00E60E24">
        <w:rPr>
          <w:rFonts w:eastAsiaTheme="minorEastAsia"/>
        </w:rPr>
        <w:t>Para a interpretação dos resultados,</w:t>
      </w:r>
      <w:r w:rsidR="0038303D">
        <w:rPr>
          <w:rFonts w:eastAsiaTheme="minorEastAsia"/>
        </w:rPr>
        <w:t xml:space="preserve"> primeiro avaliou-se o movimento do diferencial de salários a cada grupo de controle. Segundo, para a determinação das zonas de especialização, </w:t>
      </w:r>
      <w:r w:rsidRPr="00E60E24">
        <w:t xml:space="preserve">somou-se a constante da regressão ao coeficiente da </w:t>
      </w:r>
      <w:r w:rsidRPr="00E60E24">
        <w:rPr>
          <w:i/>
        </w:rPr>
        <w:t>dummy</w:t>
      </w:r>
      <w:r w:rsidRPr="00E60E24">
        <w:t xml:space="preserve"> mesorregional para obter o salário em logaritmo natural estimado para cada mesorregião; também se efetuou a soma do coeficiente da variável ‘anos de escolaridade’ ao coeficiente da iteração para obter o prêmio por escolaridade em logaritmo natural estimado para cada mesorregião. </w:t>
      </w:r>
      <w:r w:rsidRPr="00E60E24">
        <w:rPr>
          <w:rFonts w:eastAsiaTheme="minorEastAsia"/>
        </w:rPr>
        <w:t xml:space="preserve">Serão avaliadas as alterações ocorridas nesses dois coeficientes estimados para a mesorregião quando adicionados os controles de características locais e depois os de exposição ao comércio exterior, seguindo a estratégia adotada em Chiquiar (2008). Assim, </w:t>
      </w:r>
      <w:r w:rsidR="0038303D">
        <w:rPr>
          <w:rFonts w:eastAsiaTheme="minorEastAsia"/>
        </w:rPr>
        <w:t xml:space="preserve">na determinação das zonas de especialização, </w:t>
      </w:r>
      <w:r w:rsidRPr="00E60E24">
        <w:rPr>
          <w:rFonts w:eastAsiaTheme="minorEastAsia"/>
        </w:rPr>
        <w:t>três passos</w:t>
      </w:r>
      <w:r w:rsidRPr="00E60E24">
        <w:rPr>
          <w:rFonts w:eastAsiaTheme="minorEastAsia"/>
          <w:vertAlign w:val="superscript"/>
        </w:rPr>
        <w:footnoteReference w:id="10"/>
      </w:r>
      <w:r w:rsidRPr="00E60E24">
        <w:rPr>
          <w:rFonts w:eastAsiaTheme="minorEastAsia"/>
        </w:rPr>
        <w:t xml:space="preserve"> serão necessários:</w:t>
      </w:r>
    </w:p>
    <w:p w14:paraId="0C8AC6C8" w14:textId="77777777" w:rsidR="004601DE" w:rsidRPr="00E60E24" w:rsidRDefault="004601DE" w:rsidP="00F25AC8">
      <w:pPr>
        <w:numPr>
          <w:ilvl w:val="0"/>
          <w:numId w:val="16"/>
        </w:numPr>
        <w:spacing w:after="120"/>
        <w:contextualSpacing/>
        <w:jc w:val="both"/>
        <w:rPr>
          <w:rFonts w:eastAsiaTheme="minorEastAsia"/>
        </w:rPr>
      </w:pPr>
      <w:r w:rsidRPr="00E60E24">
        <w:rPr>
          <w:rFonts w:eastAsiaTheme="minorEastAsia"/>
        </w:rPr>
        <w:t xml:space="preserve">Primeiro: Uma primeira regressão é realizada com os salários absolutos dependendo de características individuais (experiência, o quadrado da experiência, anos de escolaridade, </w:t>
      </w:r>
      <w:r w:rsidRPr="00E60E24">
        <w:rPr>
          <w:rFonts w:eastAsiaTheme="minorEastAsia"/>
          <w:i/>
        </w:rPr>
        <w:t>dummies</w:t>
      </w:r>
      <w:r w:rsidRPr="00E60E24">
        <w:rPr>
          <w:rFonts w:eastAsiaTheme="minorEastAsia"/>
        </w:rPr>
        <w:t xml:space="preserve"> para sexo</w:t>
      </w:r>
      <w:r w:rsidRPr="00A95CFB">
        <w:rPr>
          <w:rFonts w:eastAsiaTheme="minorEastAsia"/>
        </w:rPr>
        <w:t>, idade</w:t>
      </w:r>
      <w:r w:rsidRPr="00E60E24">
        <w:rPr>
          <w:rFonts w:eastAsiaTheme="minorEastAsia"/>
        </w:rPr>
        <w:t xml:space="preserve"> e setor em que o indivíduo trabalha, </w:t>
      </w:r>
      <w:r w:rsidRPr="00E60E24">
        <w:rPr>
          <w:rFonts w:eastAsiaTheme="minorEastAsia"/>
          <w:i/>
        </w:rPr>
        <w:t>dummies</w:t>
      </w:r>
      <w:r w:rsidRPr="00E60E24">
        <w:rPr>
          <w:rFonts w:eastAsiaTheme="minorEastAsia"/>
        </w:rPr>
        <w:t xml:space="preserve"> para localidade – as quais capturam o diferencial regional de salário – e localidade iterada com anos de escolaridade – que captura o diferencial regional de prêmio por qualificação).</w:t>
      </w:r>
    </w:p>
    <w:p w14:paraId="42F8A645" w14:textId="209A427E" w:rsidR="004601DE" w:rsidRPr="00E60E24" w:rsidRDefault="004601DE" w:rsidP="00F25AC8">
      <w:pPr>
        <w:numPr>
          <w:ilvl w:val="0"/>
          <w:numId w:val="16"/>
        </w:numPr>
        <w:spacing w:after="120"/>
        <w:contextualSpacing/>
        <w:jc w:val="both"/>
        <w:rPr>
          <w:rFonts w:eastAsiaTheme="minorEastAsia"/>
        </w:rPr>
      </w:pPr>
      <w:r w:rsidRPr="00E60E24">
        <w:rPr>
          <w:rFonts w:eastAsiaTheme="minorEastAsia"/>
        </w:rPr>
        <w:t>Segundo: Uma segunda regressão é realizada incluindo à primeira as características municipais listadas na nota de rodapé</w:t>
      </w:r>
      <w:r w:rsidR="0038303D">
        <w:rPr>
          <w:rFonts w:eastAsiaTheme="minorEastAsia"/>
        </w:rPr>
        <w:t xml:space="preserve"> 7</w:t>
      </w:r>
      <w:r w:rsidRPr="00E60E24">
        <w:rPr>
          <w:rFonts w:eastAsiaTheme="minorEastAsia"/>
        </w:rPr>
        <w:t xml:space="preserve">. Essas variáveis representam o conjunto de itens que determina o perfil da dotação de fatores municipais, sendo por isso doravante </w:t>
      </w:r>
      <w:r w:rsidRPr="00E60E24">
        <w:rPr>
          <w:rFonts w:eastAsiaTheme="minorEastAsia"/>
        </w:rPr>
        <w:lastRenderedPageBreak/>
        <w:t xml:space="preserve">denominadas apenas dotações de fatores. São computadas as regiões cujos salários estimados se reduziram, aquelas em que aumentaram e aquelas em que não se alteraram significativamente. </w:t>
      </w:r>
    </w:p>
    <w:p w14:paraId="580F8712" w14:textId="77777777" w:rsidR="004601DE" w:rsidRPr="00E60E24" w:rsidRDefault="004601DE" w:rsidP="00F25AC8">
      <w:pPr>
        <w:numPr>
          <w:ilvl w:val="1"/>
          <w:numId w:val="16"/>
        </w:numPr>
        <w:spacing w:after="120"/>
        <w:contextualSpacing/>
        <w:jc w:val="both"/>
        <w:rPr>
          <w:rFonts w:eastAsiaTheme="minorEastAsia"/>
        </w:rPr>
      </w:pPr>
      <w:r w:rsidRPr="00E60E24">
        <w:rPr>
          <w:rFonts w:eastAsiaTheme="minorEastAsia"/>
        </w:rPr>
        <w:t>Uma redução no salário, ao incluir as dotações de fatores, significa que o prêmio de salário antes atribuído ao local pode na realidade ser atribuído a elas, cuja ausência antes sobrevalorizava o intercepto local.</w:t>
      </w:r>
    </w:p>
    <w:p w14:paraId="66BDADDB" w14:textId="77777777" w:rsidR="004601DE" w:rsidRPr="00E60E24" w:rsidRDefault="004601DE" w:rsidP="00F25AC8">
      <w:pPr>
        <w:numPr>
          <w:ilvl w:val="1"/>
          <w:numId w:val="16"/>
        </w:numPr>
        <w:spacing w:after="120"/>
        <w:contextualSpacing/>
        <w:jc w:val="both"/>
        <w:rPr>
          <w:rFonts w:eastAsiaTheme="minorEastAsia"/>
        </w:rPr>
      </w:pPr>
      <w:r w:rsidRPr="00E60E24">
        <w:rPr>
          <w:rFonts w:eastAsiaTheme="minorEastAsia"/>
        </w:rPr>
        <w:t xml:space="preserve">Por outro lado, um aumento no salário significa que há um prêmio negativo nos salários atribuível às dotações de fatores, cuja ausência antes subvalorizava o coeficiente de intercepto local. </w:t>
      </w:r>
    </w:p>
    <w:p w14:paraId="15C38F1E" w14:textId="77777777" w:rsidR="004601DE" w:rsidRPr="00E60E24" w:rsidRDefault="004601DE" w:rsidP="00F25AC8">
      <w:pPr>
        <w:numPr>
          <w:ilvl w:val="1"/>
          <w:numId w:val="16"/>
        </w:numPr>
        <w:spacing w:after="120"/>
        <w:contextualSpacing/>
        <w:jc w:val="both"/>
        <w:rPr>
          <w:rFonts w:eastAsiaTheme="minorEastAsia"/>
        </w:rPr>
      </w:pPr>
      <w:r w:rsidRPr="00E60E24">
        <w:rPr>
          <w:rFonts w:eastAsiaTheme="minorEastAsia"/>
        </w:rPr>
        <w:t xml:space="preserve">Aquelas regiões cujos salários não sofreram alteração significativa significam que o salário local pouco responde às dotações de fatores. </w:t>
      </w:r>
    </w:p>
    <w:p w14:paraId="0A561C3D" w14:textId="77777777" w:rsidR="004601DE" w:rsidRPr="00E60E24" w:rsidRDefault="004601DE" w:rsidP="00F25AC8">
      <w:pPr>
        <w:numPr>
          <w:ilvl w:val="1"/>
          <w:numId w:val="16"/>
        </w:numPr>
        <w:spacing w:after="120"/>
        <w:contextualSpacing/>
        <w:jc w:val="both"/>
        <w:rPr>
          <w:rFonts w:eastAsiaTheme="minorEastAsia"/>
        </w:rPr>
      </w:pPr>
      <w:r w:rsidRPr="00E60E24">
        <w:rPr>
          <w:rFonts w:eastAsiaTheme="minorEastAsia"/>
        </w:rPr>
        <w:t>O mesmo trabalho será realizado com os prêmios por qualificados estimados. Eles representam o retorno por escolaridade das mesorregiões. Uma redução significa que há um prêmio positivo por escolaridade na região atribuível à dotação de fatores. Um aumento significa que há um prêmio negativo por escolaridade atribuível à dotação de fatores. Coeficientes que não sofreram alteração representam regiões cujo ganho por escolaridade pouco responde às dotações de fatores.</w:t>
      </w:r>
    </w:p>
    <w:p w14:paraId="2485F554" w14:textId="77777777" w:rsidR="004601DE" w:rsidRPr="00E60E24" w:rsidRDefault="004601DE" w:rsidP="00F25AC8">
      <w:pPr>
        <w:pStyle w:val="PargrafodaLista"/>
        <w:numPr>
          <w:ilvl w:val="0"/>
          <w:numId w:val="16"/>
        </w:numPr>
        <w:spacing w:after="120"/>
        <w:jc w:val="both"/>
        <w:rPr>
          <w:rFonts w:eastAsiaTheme="minorEastAsia"/>
        </w:rPr>
      </w:pPr>
      <w:r w:rsidRPr="00E60E24">
        <w:rPr>
          <w:rFonts w:eastAsiaTheme="minorEastAsia"/>
        </w:rPr>
        <w:t xml:space="preserve">Terceiro: uma terceira regressão é realizada incluindo as variáveis de exposição ao comércio exterior também listadas na nota de rodapé </w:t>
      </w:r>
      <w:r>
        <w:rPr>
          <w:rFonts w:eastAsiaTheme="minorEastAsia"/>
        </w:rPr>
        <w:fldChar w:fldCharType="begin"/>
      </w:r>
      <w:r>
        <w:rPr>
          <w:rFonts w:eastAsiaTheme="minorEastAsia"/>
        </w:rPr>
        <w:instrText xml:space="preserve"> NOTEREF _Ref449101695 \h </w:instrText>
      </w:r>
      <w:r>
        <w:rPr>
          <w:rFonts w:eastAsiaTheme="minorEastAsia"/>
        </w:rPr>
      </w:r>
      <w:r>
        <w:rPr>
          <w:rFonts w:eastAsiaTheme="minorEastAsia"/>
        </w:rPr>
        <w:fldChar w:fldCharType="separate"/>
      </w:r>
      <w:r>
        <w:rPr>
          <w:rFonts w:eastAsiaTheme="minorEastAsia"/>
        </w:rPr>
        <w:t>12</w:t>
      </w:r>
      <w:r>
        <w:rPr>
          <w:rFonts w:eastAsiaTheme="minorEastAsia"/>
        </w:rPr>
        <w:fldChar w:fldCharType="end"/>
      </w:r>
      <w:r w:rsidRPr="00E60E24">
        <w:rPr>
          <w:rFonts w:eastAsiaTheme="minorEastAsia"/>
        </w:rPr>
        <w:t>. São computadas as regiões cujos salários se reduziram, aquelas em que aumentaram e aquelas em que não se alteraram significativamente. Da mesma forma que no passo anterior, nesta tarefa fazem-se as seguintes interpretações:</w:t>
      </w:r>
    </w:p>
    <w:p w14:paraId="42214E97" w14:textId="77777777" w:rsidR="004601DE" w:rsidRPr="00E60E24" w:rsidRDefault="004601DE" w:rsidP="00F25AC8">
      <w:pPr>
        <w:pStyle w:val="PargrafodaLista"/>
        <w:numPr>
          <w:ilvl w:val="1"/>
          <w:numId w:val="16"/>
        </w:numPr>
        <w:spacing w:after="120"/>
        <w:jc w:val="both"/>
        <w:rPr>
          <w:rFonts w:eastAsiaTheme="minorEastAsia"/>
        </w:rPr>
      </w:pPr>
      <w:r w:rsidRPr="00E60E24">
        <w:rPr>
          <w:rFonts w:eastAsiaTheme="minorEastAsia"/>
        </w:rPr>
        <w:t>Uma redução no salário significa que o prêmio positivo de salários que antes sobrevalorizava o intercepto local pode ser atribuível à exposição ao comércio exterior. Deste modo, os salários destas regiões respondem positivamente à exposição ao comércio internacional.</w:t>
      </w:r>
    </w:p>
    <w:p w14:paraId="12D0BDBE" w14:textId="77777777" w:rsidR="004601DE" w:rsidRPr="00E60E24" w:rsidRDefault="004601DE" w:rsidP="00F25AC8">
      <w:pPr>
        <w:pStyle w:val="PargrafodaLista"/>
        <w:numPr>
          <w:ilvl w:val="1"/>
          <w:numId w:val="16"/>
        </w:numPr>
        <w:spacing w:after="120"/>
        <w:jc w:val="both"/>
        <w:rPr>
          <w:rFonts w:eastAsiaTheme="minorEastAsia"/>
        </w:rPr>
      </w:pPr>
      <w:r w:rsidRPr="00E60E24">
        <w:rPr>
          <w:rFonts w:eastAsiaTheme="minorEastAsia"/>
        </w:rPr>
        <w:t>O mesmo movimento no prêmio por qualificação significa que há um prêmio positivo por escolaridade atribuível ao comércio exterior. Nessas regiões, o trabalho qualificado ganha mais na presença de comércio internacional e a desigualdade de salários aumenta.</w:t>
      </w:r>
    </w:p>
    <w:p w14:paraId="6D0BCF0E" w14:textId="77777777" w:rsidR="004601DE" w:rsidRPr="00E60E24" w:rsidRDefault="004601DE" w:rsidP="00F25AC8">
      <w:pPr>
        <w:pStyle w:val="PargrafodaLista"/>
        <w:numPr>
          <w:ilvl w:val="1"/>
          <w:numId w:val="16"/>
        </w:numPr>
        <w:spacing w:after="120"/>
        <w:jc w:val="both"/>
        <w:rPr>
          <w:rFonts w:eastAsiaTheme="minorEastAsia"/>
        </w:rPr>
      </w:pPr>
      <w:r w:rsidRPr="00E60E24">
        <w:rPr>
          <w:rFonts w:eastAsiaTheme="minorEastAsia"/>
        </w:rPr>
        <w:t>Um aumento no salário significa que há um prêmio negativo na região atribuível ao comércio exterior, cujas variáveis ausentes antes subvalorizava o intercepto local. Nestas regiões, os salários respondem negativamente à exposição ao comércio internacional.</w:t>
      </w:r>
    </w:p>
    <w:p w14:paraId="79132C4A" w14:textId="77777777" w:rsidR="004601DE" w:rsidRPr="00E60E24" w:rsidRDefault="004601DE" w:rsidP="00F25AC8">
      <w:pPr>
        <w:pStyle w:val="PargrafodaLista"/>
        <w:numPr>
          <w:ilvl w:val="1"/>
          <w:numId w:val="16"/>
        </w:numPr>
        <w:spacing w:after="120"/>
        <w:jc w:val="both"/>
        <w:rPr>
          <w:rFonts w:eastAsiaTheme="minorEastAsia"/>
        </w:rPr>
      </w:pPr>
      <w:r w:rsidRPr="00E60E24">
        <w:rPr>
          <w:rFonts w:eastAsiaTheme="minorEastAsia"/>
        </w:rPr>
        <w:t>O mesmo movimento no prêmio por qualificação significa que há um prêmio negativo por escolaridade atribuível ao comércio exterior. Nestas regiões, o trabalho qualificado se reduz na presença de comércio e a desigualdade de salários diminui.</w:t>
      </w:r>
    </w:p>
    <w:p w14:paraId="6F971BC6" w14:textId="7C371A65" w:rsidR="004601DE" w:rsidRPr="00E60E24" w:rsidRDefault="004601DE" w:rsidP="00F25AC8">
      <w:pPr>
        <w:spacing w:after="120"/>
        <w:ind w:firstLine="709"/>
        <w:jc w:val="both"/>
        <w:rPr>
          <w:rFonts w:eastAsiaTheme="minorEastAsia"/>
        </w:rPr>
      </w:pPr>
      <w:r w:rsidRPr="00E60E24">
        <w:rPr>
          <w:rFonts w:eastAsiaTheme="minorEastAsia"/>
        </w:rPr>
        <w:t xml:space="preserve">Estas regiões, computadas segundo a reação de seus coeficientes de localidade e das iterações com escolaridade à dotação de fatores e ao comércio exterior, serão organizadas segundo as combinações dessas reações esperadas nas diferentes zonas de especialização categorizadas por Venables e </w:t>
      </w:r>
      <w:r>
        <w:rPr>
          <w:rFonts w:eastAsiaTheme="minorEastAsia"/>
        </w:rPr>
        <w:t>Limão</w:t>
      </w:r>
      <w:sdt>
        <w:sdtPr>
          <w:rPr>
            <w:rFonts w:eastAsiaTheme="minorEastAsia"/>
          </w:rPr>
          <w:id w:val="-1619589179"/>
          <w:citation/>
        </w:sdtPr>
        <w:sdtContent>
          <w:r w:rsidRPr="00E60E24">
            <w:rPr>
              <w:rFonts w:eastAsiaTheme="minorEastAsia"/>
            </w:rPr>
            <w:fldChar w:fldCharType="begin"/>
          </w:r>
          <w:r w:rsidRPr="00E60E24">
            <w:rPr>
              <w:rFonts w:eastAsiaTheme="minorEastAsia"/>
            </w:rPr>
            <w:instrText xml:space="preserve">CITATION Ven02 \n  \t  \l 1046 </w:instrText>
          </w:r>
          <w:r w:rsidRPr="00E60E24">
            <w:rPr>
              <w:rFonts w:eastAsiaTheme="minorEastAsia"/>
            </w:rPr>
            <w:fldChar w:fldCharType="separate"/>
          </w:r>
          <w:r w:rsidRPr="00E60E24">
            <w:rPr>
              <w:rFonts w:eastAsiaTheme="minorEastAsia"/>
            </w:rPr>
            <w:t xml:space="preserve"> (2002)</w:t>
          </w:r>
          <w:r w:rsidRPr="00E60E24">
            <w:rPr>
              <w:rFonts w:eastAsiaTheme="minorEastAsia"/>
            </w:rPr>
            <w:fldChar w:fldCharType="end"/>
          </w:r>
        </w:sdtContent>
      </w:sdt>
      <w:r w:rsidRPr="00E60E24">
        <w:rPr>
          <w:rFonts w:eastAsiaTheme="minorEastAsia"/>
        </w:rPr>
        <w:t xml:space="preserve"> e apresentadas na discussão teórica. </w:t>
      </w:r>
    </w:p>
    <w:p w14:paraId="3B096C50" w14:textId="77777777" w:rsidR="004601DE" w:rsidRPr="00E60E24" w:rsidRDefault="004601DE" w:rsidP="00F25AC8">
      <w:pPr>
        <w:spacing w:after="120"/>
        <w:ind w:firstLine="709"/>
        <w:jc w:val="both"/>
        <w:rPr>
          <w:rFonts w:eastAsiaTheme="minorEastAsia"/>
        </w:rPr>
      </w:pPr>
      <w:r w:rsidRPr="00E60E24">
        <w:rPr>
          <w:rFonts w:eastAsiaTheme="minorEastAsia"/>
        </w:rPr>
        <w:t xml:space="preserve">O comportamento do preço dos fatores em cada zona de especialização é desenhado em Venables e </w:t>
      </w:r>
      <w:r>
        <w:rPr>
          <w:rFonts w:eastAsiaTheme="minorEastAsia"/>
        </w:rPr>
        <w:t>Limão</w:t>
      </w:r>
      <w:r w:rsidRPr="00E60E24">
        <w:rPr>
          <w:rFonts w:eastAsiaTheme="minorEastAsia"/>
        </w:rPr>
        <w:t xml:space="preserve"> </w:t>
      </w:r>
      <w:sdt>
        <w:sdtPr>
          <w:rPr>
            <w:rFonts w:eastAsiaTheme="minorEastAsia"/>
          </w:rPr>
          <w:id w:val="1727720030"/>
          <w:citation/>
        </w:sdtPr>
        <w:sdtContent>
          <w:r w:rsidRPr="00E60E24">
            <w:rPr>
              <w:rFonts w:eastAsiaTheme="minorEastAsia"/>
            </w:rPr>
            <w:fldChar w:fldCharType="begin"/>
          </w:r>
          <w:r w:rsidRPr="00E60E24">
            <w:rPr>
              <w:rFonts w:eastAsiaTheme="minorEastAsia"/>
            </w:rPr>
            <w:instrText xml:space="preserve">CITATION Ven02 \n  \t  \l 1046 </w:instrText>
          </w:r>
          <w:r w:rsidRPr="00E60E24">
            <w:rPr>
              <w:rFonts w:eastAsiaTheme="minorEastAsia"/>
            </w:rPr>
            <w:fldChar w:fldCharType="separate"/>
          </w:r>
          <w:r w:rsidRPr="00E60E24">
            <w:rPr>
              <w:rFonts w:eastAsiaTheme="minorEastAsia"/>
            </w:rPr>
            <w:t>(2002)</w:t>
          </w:r>
          <w:r w:rsidRPr="00E60E24">
            <w:rPr>
              <w:rFonts w:eastAsiaTheme="minorEastAsia"/>
            </w:rPr>
            <w:fldChar w:fldCharType="end"/>
          </w:r>
        </w:sdtContent>
      </w:sdt>
      <w:r w:rsidRPr="00E60E24">
        <w:rPr>
          <w:rFonts w:eastAsiaTheme="minorEastAsia"/>
        </w:rPr>
        <w:t xml:space="preserve"> segundo a</w:t>
      </w:r>
      <w:r>
        <w:rPr>
          <w:rFonts w:eastAsiaTheme="minorEastAsia"/>
        </w:rPr>
        <w:t xml:space="preserve"> Figura 3, abaixo</w:t>
      </w:r>
      <w:r w:rsidRPr="00E60E24">
        <w:rPr>
          <w:rFonts w:eastAsiaTheme="minorEastAsia"/>
        </w:rPr>
        <w:t>. Esse comportamento orienta os movimentos esperados nos coeficientes de localidade à medida que se acrescentam variáveis às regressões (ver</w:t>
      </w:r>
      <w:r>
        <w:rPr>
          <w:rFonts w:eastAsiaTheme="minorEastAsia"/>
        </w:rPr>
        <w:t xml:space="preserve"> Quadro 2.1, Anexo B</w:t>
      </w:r>
      <w:r w:rsidRPr="00E60E24">
        <w:rPr>
          <w:rFonts w:eastAsiaTheme="minorEastAsia"/>
        </w:rPr>
        <w:t>).</w:t>
      </w:r>
    </w:p>
    <w:p w14:paraId="738D0E8E" w14:textId="77777777" w:rsidR="004601DE" w:rsidRPr="00E60E24" w:rsidRDefault="004601DE" w:rsidP="00F25AC8">
      <w:pPr>
        <w:spacing w:after="120"/>
        <w:jc w:val="center"/>
        <w:rPr>
          <w:rFonts w:eastAsiaTheme="minorEastAsia"/>
        </w:rPr>
      </w:pPr>
      <w:r w:rsidRPr="00E60E24">
        <w:rPr>
          <w:rFonts w:eastAsiaTheme="minorEastAsia"/>
          <w:noProof/>
          <w:lang w:eastAsia="pt-BR"/>
        </w:rPr>
        <w:lastRenderedPageBreak/>
        <w:drawing>
          <wp:inline distT="0" distB="0" distL="0" distR="0" wp14:anchorId="245DD8A3" wp14:editId="3F4CB8C3">
            <wp:extent cx="3962400" cy="2794612"/>
            <wp:effectExtent l="0" t="0" r="0" b="6350"/>
            <wp:docPr id="302" name="Imagem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525" cy="2798227"/>
                    </a:xfrm>
                    <a:prstGeom prst="rect">
                      <a:avLst/>
                    </a:prstGeom>
                    <a:noFill/>
                    <a:ln>
                      <a:noFill/>
                    </a:ln>
                  </pic:spPr>
                </pic:pic>
              </a:graphicData>
            </a:graphic>
          </wp:inline>
        </w:drawing>
      </w:r>
    </w:p>
    <w:p w14:paraId="05744118" w14:textId="1B229AA0" w:rsidR="004601DE" w:rsidRPr="00E60E24" w:rsidRDefault="0031021E" w:rsidP="00F25AC8">
      <w:pPr>
        <w:pStyle w:val="Legenda"/>
        <w:spacing w:after="120"/>
        <w:ind w:left="709"/>
        <w:rPr>
          <w:rFonts w:eastAsiaTheme="minorEastAsia"/>
        </w:rPr>
      </w:pPr>
      <w:bookmarkStart w:id="12" w:name="_Toc449684383"/>
      <w:r>
        <w:t xml:space="preserve">Figura </w:t>
      </w:r>
      <w:fldSimple w:instr=" SEQ Figura \* ARABIC ">
        <w:r w:rsidR="00924BCB">
          <w:rPr>
            <w:noProof/>
          </w:rPr>
          <w:t>1</w:t>
        </w:r>
      </w:fldSimple>
      <w:r w:rsidR="004601DE" w:rsidRPr="00E60E24">
        <w:t>. Comportamento do preço dos fatores e da renda ao longo das zonas de especialização.</w:t>
      </w:r>
      <w:bookmarkEnd w:id="12"/>
    </w:p>
    <w:p w14:paraId="57F1F196" w14:textId="77777777" w:rsidR="004601DE" w:rsidRPr="00E60E24" w:rsidRDefault="004601DE" w:rsidP="00F25AC8">
      <w:pPr>
        <w:spacing w:after="120"/>
        <w:ind w:left="709" w:firstLine="1"/>
        <w:rPr>
          <w:rFonts w:eastAsiaTheme="minorEastAsia"/>
        </w:rPr>
      </w:pPr>
      <w:r w:rsidRPr="00E60E24">
        <w:rPr>
          <w:rFonts w:eastAsiaTheme="minorEastAsia"/>
        </w:rPr>
        <w:t xml:space="preserve">Fonte: Venables e </w:t>
      </w:r>
      <w:r>
        <w:rPr>
          <w:rFonts w:eastAsiaTheme="minorEastAsia"/>
        </w:rPr>
        <w:t>Limão</w:t>
      </w:r>
      <w:r w:rsidRPr="00E60E24">
        <w:rPr>
          <w:rFonts w:eastAsiaTheme="minorEastAsia"/>
        </w:rPr>
        <w:t xml:space="preserve"> (2002).</w:t>
      </w:r>
    </w:p>
    <w:p w14:paraId="77CDE659" w14:textId="67753625" w:rsidR="004601DE" w:rsidRDefault="004601DE" w:rsidP="00F25AC8">
      <w:pPr>
        <w:spacing w:after="120"/>
        <w:ind w:firstLine="709"/>
        <w:jc w:val="both"/>
        <w:rPr>
          <w:rFonts w:eastAsiaTheme="minorEastAsia"/>
        </w:rPr>
      </w:pPr>
      <w:r w:rsidRPr="00E60E24">
        <w:rPr>
          <w:rFonts w:eastAsiaTheme="minorEastAsia"/>
        </w:rPr>
        <w:t xml:space="preserve">Ao longo das zonas, o salário qualificado (Real </w:t>
      </w:r>
      <w:r w:rsidRPr="00E60E24">
        <w:rPr>
          <w:rFonts w:eastAsiaTheme="minorEastAsia"/>
          <w:i/>
        </w:rPr>
        <w:t>r</w:t>
      </w:r>
      <w:r w:rsidRPr="00E60E24">
        <w:rPr>
          <w:rFonts w:eastAsiaTheme="minorEastAsia"/>
        </w:rPr>
        <w:t>)</w:t>
      </w:r>
      <w:r w:rsidRPr="00E60E24">
        <w:rPr>
          <w:rStyle w:val="Refdenotaderodap"/>
          <w:rFonts w:eastAsiaTheme="minorEastAsia"/>
        </w:rPr>
        <w:footnoteReference w:id="11"/>
      </w:r>
      <w:r w:rsidRPr="00E60E24">
        <w:rPr>
          <w:rFonts w:eastAsiaTheme="minorEastAsia"/>
        </w:rPr>
        <w:t xml:space="preserve"> aumenta e o preço do não qualificado (Real </w:t>
      </w:r>
      <w:r w:rsidRPr="00E60E24">
        <w:rPr>
          <w:rFonts w:eastAsiaTheme="minorEastAsia"/>
          <w:i/>
        </w:rPr>
        <w:t>w</w:t>
      </w:r>
      <w:r w:rsidRPr="00E60E24">
        <w:rPr>
          <w:rFonts w:eastAsiaTheme="minorEastAsia"/>
        </w:rPr>
        <w:t xml:space="preserve">) diminui com a distância e, quanto mais distante, menor é o ganho real de uma liberalização de comércio. Assim, espera-se determinar as zonas de especialização segundo o comportamento do preço dos fatores ‘salário não qualificado’ e ‘prêmio por qualificação’. Essas zonas podem se ampliar ou se comprimir segundo a intensidade relativa dos transportes e dos fatores, do diferencial na dotação dos fatores entre as </w:t>
      </w:r>
      <w:r>
        <w:rPr>
          <w:rFonts w:eastAsiaTheme="minorEastAsia"/>
        </w:rPr>
        <w:t>meso</w:t>
      </w:r>
      <w:r w:rsidRPr="00E60E24">
        <w:rPr>
          <w:rFonts w:eastAsiaTheme="minorEastAsia"/>
        </w:rPr>
        <w:t>regiões e da variação na demanda pelo bem exportável e não intenso em transporte (ver no</w:t>
      </w:r>
      <w:r>
        <w:rPr>
          <w:rFonts w:eastAsiaTheme="minorEastAsia"/>
        </w:rPr>
        <w:t xml:space="preserve"> Quadro 2.1, Anexo B</w:t>
      </w:r>
      <w:r w:rsidRPr="00E60E24">
        <w:rPr>
          <w:rFonts w:eastAsiaTheme="minorEastAsia"/>
        </w:rPr>
        <w:t>, como as zonas se alteram).</w:t>
      </w:r>
    </w:p>
    <w:p w14:paraId="16AB174A" w14:textId="77777777" w:rsidR="00F25AC8" w:rsidRPr="00E60E24" w:rsidRDefault="00F25AC8" w:rsidP="00F25AC8">
      <w:pPr>
        <w:spacing w:after="120"/>
        <w:ind w:firstLine="709"/>
        <w:jc w:val="both"/>
        <w:rPr>
          <w:rFonts w:eastAsiaTheme="minorEastAsia"/>
        </w:rPr>
      </w:pPr>
    </w:p>
    <w:p w14:paraId="09AEF05D" w14:textId="77777777" w:rsidR="004601DE" w:rsidRPr="00E60E24" w:rsidRDefault="004601DE" w:rsidP="00F25AC8">
      <w:pPr>
        <w:pStyle w:val="Ttulo2"/>
        <w:spacing w:before="0" w:after="120"/>
      </w:pPr>
      <w:bookmarkStart w:id="13" w:name="_Toc446599110"/>
      <w:bookmarkStart w:id="14" w:name="_Toc456276886"/>
      <w:r w:rsidRPr="00E60E24">
        <w:t>Dados utilizados</w:t>
      </w:r>
      <w:bookmarkEnd w:id="13"/>
      <w:bookmarkEnd w:id="14"/>
    </w:p>
    <w:p w14:paraId="1747E7B8" w14:textId="3FC0DBDB" w:rsidR="004601DE" w:rsidRDefault="004601DE" w:rsidP="00F25AC8">
      <w:pPr>
        <w:spacing w:after="120"/>
        <w:ind w:firstLine="709"/>
        <w:jc w:val="both"/>
      </w:pPr>
      <w:r w:rsidRPr="00E60E24">
        <w:t>A análise é realizada com microdados da relação anual de informações sociais (RAIS)</w:t>
      </w:r>
      <w:sdt>
        <w:sdtPr>
          <w:id w:val="-657999979"/>
          <w:citation/>
        </w:sdtPr>
        <w:sdtContent>
          <w:r w:rsidRPr="00E60E24">
            <w:fldChar w:fldCharType="begin"/>
          </w:r>
          <w:r w:rsidRPr="00E60E24">
            <w:instrText xml:space="preserve">CITATION Min15 \t  \l 1046 </w:instrText>
          </w:r>
          <w:r w:rsidRPr="00E60E24">
            <w:fldChar w:fldCharType="separate"/>
          </w:r>
          <w:r w:rsidRPr="00E60E24">
            <w:t xml:space="preserve"> (MINISTÉRIO DO TRABALHO E EMPREGO, 2015)</w:t>
          </w:r>
          <w:r w:rsidRPr="00E60E24">
            <w:fldChar w:fldCharType="end"/>
          </w:r>
        </w:sdtContent>
      </w:sdt>
      <w:r w:rsidRPr="00E60E24">
        <w:t>, abrangendo todos os empregados ativos em dezembro de cada um dos anos extremos do decênio 2000-2010. Essa base de dados forneceu o valor do rendimento médio anual e as características individuais, como idade, escolaridade, sexo, município de registro trabalhista e setor de atividade (dado pelo código CNAE 1.0 e 2.0) do trabalhador</w:t>
      </w:r>
      <w:r w:rsidRPr="00E60E24">
        <w:rPr>
          <w:rStyle w:val="Refdenotaderodap"/>
          <w:rFonts w:eastAsiaTheme="majorEastAsia"/>
        </w:rPr>
        <w:footnoteReference w:id="12"/>
      </w:r>
      <w:r w:rsidRPr="00E60E24">
        <w:t>. A coleta resultou em 28.345.964 observações individuais para o ano de 2000 e 43.270.151 para 2010</w:t>
      </w:r>
      <w:r>
        <w:t>, das quais retirou-se uma amostra aleatória de 15% da base de 2000 e 7,5% da base de 2010</w:t>
      </w:r>
      <w:r w:rsidRPr="00E60E24">
        <w:rPr>
          <w:rStyle w:val="Refdenotaderodap"/>
          <w:rFonts w:eastAsiaTheme="majorEastAsia"/>
        </w:rPr>
        <w:footnoteReference w:id="13"/>
      </w:r>
      <w:r w:rsidRPr="00E60E24">
        <w:t xml:space="preserve">. A </w:t>
      </w:r>
      <w:r>
        <w:t xml:space="preserve">Tabela </w:t>
      </w:r>
      <w:r w:rsidR="00FD72D7">
        <w:t>1</w:t>
      </w:r>
      <w:r>
        <w:t xml:space="preserve"> </w:t>
      </w:r>
      <w:r w:rsidRPr="00E60E24">
        <w:t>relaciona as variáveis selecionadas e as fontes da estratégia empírica.</w:t>
      </w:r>
    </w:p>
    <w:p w14:paraId="64BF385F" w14:textId="599996E9" w:rsidR="00F25AC8" w:rsidRDefault="00F25AC8" w:rsidP="00F25AC8">
      <w:pPr>
        <w:spacing w:after="120"/>
        <w:ind w:firstLine="709"/>
        <w:jc w:val="both"/>
      </w:pPr>
    </w:p>
    <w:p w14:paraId="743F5E5B" w14:textId="3009581C" w:rsidR="00F25AC8" w:rsidRDefault="00F25AC8" w:rsidP="00F25AC8">
      <w:pPr>
        <w:spacing w:after="120"/>
        <w:ind w:firstLine="709"/>
        <w:jc w:val="both"/>
      </w:pPr>
    </w:p>
    <w:p w14:paraId="7185F34D" w14:textId="4FD845E2" w:rsidR="00F25AC8" w:rsidRDefault="00F25AC8" w:rsidP="00F25AC8">
      <w:pPr>
        <w:spacing w:after="120"/>
        <w:ind w:firstLine="709"/>
        <w:jc w:val="both"/>
      </w:pPr>
    </w:p>
    <w:p w14:paraId="36FDD741" w14:textId="77777777" w:rsidR="00F25AC8" w:rsidRPr="00E60E24" w:rsidRDefault="00F25AC8" w:rsidP="00F25AC8">
      <w:pPr>
        <w:spacing w:after="120"/>
        <w:ind w:firstLine="709"/>
        <w:jc w:val="both"/>
      </w:pPr>
    </w:p>
    <w:p w14:paraId="3C913FB5" w14:textId="7C098DF6" w:rsidR="004601DE" w:rsidRPr="00E60E24" w:rsidRDefault="0031021E" w:rsidP="00F25AC8">
      <w:pPr>
        <w:pStyle w:val="Legenda"/>
        <w:keepNext/>
        <w:spacing w:after="120"/>
      </w:pPr>
      <w:bookmarkStart w:id="15" w:name="_Ref446058865"/>
      <w:bookmarkStart w:id="16" w:name="_Toc445481591"/>
      <w:bookmarkStart w:id="17" w:name="_Toc456276402"/>
      <w:r>
        <w:lastRenderedPageBreak/>
        <w:t xml:space="preserve">Tabela </w:t>
      </w:r>
      <w:fldSimple w:instr=" SEQ Tabela \* ARABIC ">
        <w:r>
          <w:rPr>
            <w:noProof/>
          </w:rPr>
          <w:t>1</w:t>
        </w:r>
      </w:fldSimple>
      <w:bookmarkEnd w:id="15"/>
      <w:r>
        <w:t>:</w:t>
      </w:r>
      <w:r w:rsidR="004601DE" w:rsidRPr="00E60E24">
        <w:t xml:space="preserve"> Variáveis, dados e fontes de informação para as regressões com microdados</w:t>
      </w:r>
      <w:bookmarkEnd w:id="16"/>
      <w:r w:rsidR="004601DE" w:rsidRPr="00E60E24">
        <w:t>.</w:t>
      </w:r>
      <w:bookmarkEnd w:id="17"/>
    </w:p>
    <w:tbl>
      <w:tblPr>
        <w:tblW w:w="9637" w:type="dxa"/>
        <w:tblLayout w:type="fixed"/>
        <w:tblCellMar>
          <w:left w:w="70" w:type="dxa"/>
          <w:right w:w="70" w:type="dxa"/>
        </w:tblCellMar>
        <w:tblLook w:val="04A0" w:firstRow="1" w:lastRow="0" w:firstColumn="1" w:lastColumn="0" w:noHBand="0" w:noVBand="1"/>
      </w:tblPr>
      <w:tblGrid>
        <w:gridCol w:w="2480"/>
        <w:gridCol w:w="5528"/>
        <w:gridCol w:w="1487"/>
        <w:gridCol w:w="73"/>
        <w:gridCol w:w="69"/>
      </w:tblGrid>
      <w:tr w:rsidR="004601DE" w:rsidRPr="00E60E24" w14:paraId="7997177D" w14:textId="77777777" w:rsidTr="00F25AC8">
        <w:trPr>
          <w:gridAfter w:val="2"/>
          <w:wAfter w:w="142" w:type="dxa"/>
          <w:trHeight w:val="315"/>
        </w:trPr>
        <w:tc>
          <w:tcPr>
            <w:tcW w:w="2480" w:type="dxa"/>
            <w:tcBorders>
              <w:top w:val="single" w:sz="4" w:space="0" w:color="auto"/>
              <w:left w:val="nil"/>
              <w:bottom w:val="double" w:sz="6" w:space="0" w:color="auto"/>
              <w:right w:val="nil"/>
            </w:tcBorders>
            <w:shd w:val="clear" w:color="auto" w:fill="auto"/>
            <w:noWrap/>
            <w:vAlign w:val="bottom"/>
            <w:hideMark/>
          </w:tcPr>
          <w:p w14:paraId="2B45CFA2" w14:textId="77777777" w:rsidR="004601DE" w:rsidRPr="00E60E24" w:rsidRDefault="004601DE" w:rsidP="00F25AC8">
            <w:pPr>
              <w:spacing w:after="120"/>
              <w:jc w:val="both"/>
              <w:rPr>
                <w:color w:val="000000"/>
                <w:lang w:eastAsia="pt-BR"/>
              </w:rPr>
            </w:pPr>
            <w:r w:rsidRPr="00E60E24">
              <w:rPr>
                <w:color w:val="000000"/>
                <w:lang w:eastAsia="pt-BR"/>
              </w:rPr>
              <w:t>Variáveis</w:t>
            </w:r>
          </w:p>
        </w:tc>
        <w:tc>
          <w:tcPr>
            <w:tcW w:w="5528" w:type="dxa"/>
            <w:tcBorders>
              <w:top w:val="single" w:sz="4" w:space="0" w:color="auto"/>
              <w:left w:val="nil"/>
              <w:bottom w:val="double" w:sz="6" w:space="0" w:color="auto"/>
              <w:right w:val="nil"/>
            </w:tcBorders>
            <w:shd w:val="clear" w:color="auto" w:fill="auto"/>
            <w:noWrap/>
            <w:vAlign w:val="bottom"/>
            <w:hideMark/>
          </w:tcPr>
          <w:p w14:paraId="303B3B44" w14:textId="77777777" w:rsidR="004601DE" w:rsidRPr="00E60E24" w:rsidRDefault="004601DE" w:rsidP="00F25AC8">
            <w:pPr>
              <w:spacing w:after="120"/>
              <w:jc w:val="both"/>
              <w:rPr>
                <w:color w:val="000000"/>
                <w:lang w:eastAsia="pt-BR"/>
              </w:rPr>
            </w:pPr>
            <w:r w:rsidRPr="00E60E24">
              <w:rPr>
                <w:color w:val="000000"/>
                <w:lang w:eastAsia="pt-BR"/>
              </w:rPr>
              <w:t>Descrição</w:t>
            </w:r>
          </w:p>
        </w:tc>
        <w:tc>
          <w:tcPr>
            <w:tcW w:w="1487" w:type="dxa"/>
            <w:tcBorders>
              <w:top w:val="single" w:sz="4" w:space="0" w:color="auto"/>
              <w:left w:val="nil"/>
              <w:bottom w:val="double" w:sz="6" w:space="0" w:color="auto"/>
              <w:right w:val="nil"/>
            </w:tcBorders>
            <w:shd w:val="clear" w:color="auto" w:fill="auto"/>
            <w:noWrap/>
            <w:vAlign w:val="bottom"/>
            <w:hideMark/>
          </w:tcPr>
          <w:p w14:paraId="6B5D6921" w14:textId="77777777" w:rsidR="004601DE" w:rsidRPr="00E60E24" w:rsidRDefault="004601DE" w:rsidP="00F25AC8">
            <w:pPr>
              <w:spacing w:after="120"/>
              <w:jc w:val="both"/>
              <w:rPr>
                <w:color w:val="000000"/>
                <w:lang w:eastAsia="pt-BR"/>
              </w:rPr>
            </w:pPr>
            <w:r w:rsidRPr="00E60E24">
              <w:rPr>
                <w:color w:val="000000"/>
                <w:lang w:eastAsia="pt-BR"/>
              </w:rPr>
              <w:t>Fonte</w:t>
            </w:r>
          </w:p>
        </w:tc>
      </w:tr>
      <w:tr w:rsidR="004601DE" w:rsidRPr="00E60E24" w14:paraId="251C8222" w14:textId="77777777" w:rsidTr="00F25AC8">
        <w:trPr>
          <w:gridAfter w:val="2"/>
          <w:wAfter w:w="142" w:type="dxa"/>
          <w:trHeight w:val="375"/>
        </w:trPr>
        <w:tc>
          <w:tcPr>
            <w:tcW w:w="8008" w:type="dxa"/>
            <w:gridSpan w:val="2"/>
            <w:tcBorders>
              <w:top w:val="double" w:sz="6" w:space="0" w:color="auto"/>
              <w:left w:val="nil"/>
              <w:bottom w:val="single" w:sz="4" w:space="0" w:color="auto"/>
              <w:right w:val="nil"/>
            </w:tcBorders>
            <w:shd w:val="clear" w:color="auto" w:fill="auto"/>
            <w:noWrap/>
            <w:vAlign w:val="bottom"/>
            <w:hideMark/>
          </w:tcPr>
          <w:p w14:paraId="346D0408" w14:textId="77777777" w:rsidR="004601DE" w:rsidRPr="00E60E24" w:rsidRDefault="004601DE" w:rsidP="00F25AC8">
            <w:pPr>
              <w:spacing w:after="120"/>
              <w:jc w:val="both"/>
              <w:rPr>
                <w:i/>
                <w:iCs/>
                <w:color w:val="000000"/>
                <w:lang w:eastAsia="pt-BR"/>
              </w:rPr>
            </w:pPr>
            <w:r w:rsidRPr="00E60E24">
              <w:rPr>
                <w:i/>
                <w:iCs/>
                <w:color w:val="000000"/>
                <w:lang w:eastAsia="pt-BR"/>
              </w:rPr>
              <w:t>Variável dependente (y</w:t>
            </w:r>
            <w:r w:rsidRPr="00E60E24">
              <w:rPr>
                <w:i/>
                <w:iCs/>
                <w:color w:val="000000"/>
                <w:vertAlign w:val="subscript"/>
                <w:lang w:eastAsia="pt-BR"/>
              </w:rPr>
              <w:t>it</w:t>
            </w:r>
            <w:r w:rsidRPr="00E60E24">
              <w:rPr>
                <w:i/>
                <w:iCs/>
                <w:color w:val="000000"/>
                <w:lang w:eastAsia="pt-BR"/>
              </w:rPr>
              <w:t>)</w:t>
            </w:r>
          </w:p>
        </w:tc>
        <w:tc>
          <w:tcPr>
            <w:tcW w:w="1487" w:type="dxa"/>
            <w:tcBorders>
              <w:top w:val="nil"/>
              <w:left w:val="nil"/>
              <w:bottom w:val="single" w:sz="4" w:space="0" w:color="auto"/>
              <w:right w:val="nil"/>
            </w:tcBorders>
            <w:shd w:val="clear" w:color="auto" w:fill="auto"/>
            <w:noWrap/>
            <w:vAlign w:val="bottom"/>
            <w:hideMark/>
          </w:tcPr>
          <w:p w14:paraId="554076DB" w14:textId="77777777" w:rsidR="004601DE" w:rsidRPr="00E60E24" w:rsidRDefault="004601DE" w:rsidP="00F25AC8">
            <w:pPr>
              <w:spacing w:after="120"/>
              <w:jc w:val="both"/>
              <w:rPr>
                <w:color w:val="000000"/>
                <w:lang w:eastAsia="pt-BR"/>
              </w:rPr>
            </w:pPr>
            <w:r w:rsidRPr="00E60E24">
              <w:rPr>
                <w:color w:val="000000"/>
                <w:lang w:eastAsia="pt-BR"/>
              </w:rPr>
              <w:t> </w:t>
            </w:r>
          </w:p>
        </w:tc>
      </w:tr>
      <w:tr w:rsidR="004601DE" w:rsidRPr="00E60E24" w14:paraId="54B6EA2E" w14:textId="77777777" w:rsidTr="00F25AC8">
        <w:trPr>
          <w:gridAfter w:val="2"/>
          <w:wAfter w:w="142" w:type="dxa"/>
          <w:trHeight w:val="600"/>
        </w:trPr>
        <w:tc>
          <w:tcPr>
            <w:tcW w:w="2480" w:type="dxa"/>
            <w:tcBorders>
              <w:top w:val="nil"/>
              <w:left w:val="nil"/>
              <w:bottom w:val="single" w:sz="4" w:space="0" w:color="auto"/>
              <w:right w:val="nil"/>
            </w:tcBorders>
            <w:shd w:val="clear" w:color="auto" w:fill="auto"/>
            <w:vAlign w:val="center"/>
            <w:hideMark/>
          </w:tcPr>
          <w:p w14:paraId="51B90C45" w14:textId="77777777" w:rsidR="004601DE" w:rsidRPr="00E60E24" w:rsidRDefault="004601DE" w:rsidP="00F25AC8">
            <w:pPr>
              <w:spacing w:after="120"/>
              <w:jc w:val="both"/>
              <w:rPr>
                <w:color w:val="000000"/>
                <w:lang w:eastAsia="pt-BR"/>
              </w:rPr>
            </w:pPr>
            <w:r w:rsidRPr="00E60E24">
              <w:rPr>
                <w:color w:val="000000"/>
                <w:lang w:eastAsia="pt-BR"/>
              </w:rPr>
              <w:t>Salário (</w:t>
            </w:r>
            <w:r w:rsidRPr="00E60E24">
              <w:rPr>
                <w:i/>
                <w:color w:val="000000"/>
                <w:lang w:eastAsia="pt-BR"/>
              </w:rPr>
              <w:t>Y</w:t>
            </w:r>
            <w:r w:rsidRPr="00E60E24">
              <w:rPr>
                <w:color w:val="000000"/>
                <w:vertAlign w:val="subscript"/>
                <w:lang w:eastAsia="pt-BR"/>
              </w:rPr>
              <w:t>iz</w:t>
            </w:r>
            <w:r w:rsidRPr="00E60E24">
              <w:rPr>
                <w:color w:val="000000"/>
                <w:lang w:eastAsia="pt-BR"/>
              </w:rPr>
              <w:t>)</w:t>
            </w:r>
          </w:p>
        </w:tc>
        <w:tc>
          <w:tcPr>
            <w:tcW w:w="5528" w:type="dxa"/>
            <w:tcBorders>
              <w:top w:val="nil"/>
              <w:left w:val="single" w:sz="4" w:space="0" w:color="auto"/>
              <w:bottom w:val="single" w:sz="4" w:space="0" w:color="auto"/>
              <w:right w:val="single" w:sz="4" w:space="0" w:color="auto"/>
            </w:tcBorders>
            <w:shd w:val="clear" w:color="auto" w:fill="auto"/>
            <w:vAlign w:val="bottom"/>
            <w:hideMark/>
          </w:tcPr>
          <w:p w14:paraId="43189C91" w14:textId="77777777" w:rsidR="004601DE" w:rsidRPr="00E60E24" w:rsidRDefault="004601DE" w:rsidP="00F25AC8">
            <w:pPr>
              <w:spacing w:after="120"/>
              <w:jc w:val="both"/>
              <w:rPr>
                <w:color w:val="000000"/>
                <w:lang w:eastAsia="pt-BR"/>
              </w:rPr>
            </w:pPr>
            <w:r w:rsidRPr="00E60E24">
              <w:rPr>
                <w:color w:val="000000"/>
                <w:lang w:eastAsia="pt-BR"/>
              </w:rPr>
              <w:t xml:space="preserve">É o valor médio anual do salário absoluto recebido pelo indivíduo </w:t>
            </w:r>
            <w:r w:rsidRPr="00E60E24">
              <w:rPr>
                <w:i/>
                <w:color w:val="000000"/>
                <w:lang w:eastAsia="pt-BR"/>
              </w:rPr>
              <w:t>i</w:t>
            </w:r>
            <w:r w:rsidRPr="00E60E24">
              <w:rPr>
                <w:color w:val="000000"/>
                <w:lang w:eastAsia="pt-BR"/>
              </w:rPr>
              <w:t xml:space="preserve"> no município </w:t>
            </w:r>
            <w:r w:rsidRPr="00E60E24">
              <w:rPr>
                <w:i/>
                <w:color w:val="000000"/>
                <w:lang w:eastAsia="pt-BR"/>
              </w:rPr>
              <w:t>z</w:t>
            </w:r>
            <w:r w:rsidRPr="00E60E24">
              <w:rPr>
                <w:color w:val="000000"/>
                <w:lang w:eastAsia="pt-BR"/>
              </w:rPr>
              <w:t xml:space="preserve"> a preços de 2000, sendo os valores de 2010 deflacionados pelo IGP-di.</w:t>
            </w:r>
          </w:p>
        </w:tc>
        <w:tc>
          <w:tcPr>
            <w:tcW w:w="1487" w:type="dxa"/>
            <w:tcBorders>
              <w:top w:val="nil"/>
              <w:left w:val="nil"/>
              <w:bottom w:val="single" w:sz="4" w:space="0" w:color="auto"/>
              <w:right w:val="nil"/>
            </w:tcBorders>
            <w:shd w:val="clear" w:color="auto" w:fill="auto"/>
            <w:vAlign w:val="center"/>
            <w:hideMark/>
          </w:tcPr>
          <w:p w14:paraId="223B36ED" w14:textId="77777777" w:rsidR="004601DE" w:rsidRPr="00E60E24" w:rsidRDefault="004601DE" w:rsidP="00F25AC8">
            <w:pPr>
              <w:spacing w:after="120"/>
              <w:jc w:val="both"/>
              <w:rPr>
                <w:color w:val="000000"/>
                <w:lang w:eastAsia="pt-BR"/>
              </w:rPr>
            </w:pPr>
            <w:r w:rsidRPr="00E60E24">
              <w:rPr>
                <w:color w:val="000000"/>
                <w:lang w:eastAsia="pt-BR"/>
              </w:rPr>
              <w:t>RAIS e FGV</w:t>
            </w:r>
          </w:p>
        </w:tc>
      </w:tr>
      <w:tr w:rsidR="004601DE" w:rsidRPr="00E60E24" w14:paraId="4BBD673B" w14:textId="77777777" w:rsidTr="00F25AC8">
        <w:trPr>
          <w:gridAfter w:val="2"/>
          <w:wAfter w:w="142" w:type="dxa"/>
          <w:trHeight w:val="360"/>
        </w:trPr>
        <w:tc>
          <w:tcPr>
            <w:tcW w:w="8008" w:type="dxa"/>
            <w:gridSpan w:val="2"/>
            <w:tcBorders>
              <w:top w:val="single" w:sz="4" w:space="0" w:color="auto"/>
              <w:left w:val="nil"/>
              <w:bottom w:val="single" w:sz="4" w:space="0" w:color="auto"/>
              <w:right w:val="nil"/>
            </w:tcBorders>
            <w:shd w:val="clear" w:color="auto" w:fill="auto"/>
            <w:noWrap/>
            <w:vAlign w:val="bottom"/>
            <w:hideMark/>
          </w:tcPr>
          <w:p w14:paraId="0842B683" w14:textId="77777777" w:rsidR="004601DE" w:rsidRPr="00E60E24" w:rsidRDefault="004601DE" w:rsidP="00F25AC8">
            <w:pPr>
              <w:spacing w:after="120"/>
              <w:jc w:val="both"/>
              <w:rPr>
                <w:i/>
                <w:iCs/>
                <w:color w:val="000000"/>
                <w:lang w:eastAsia="pt-BR"/>
              </w:rPr>
            </w:pPr>
            <w:r>
              <w:rPr>
                <w:i/>
                <w:iCs/>
                <w:color w:val="000000"/>
                <w:lang w:eastAsia="pt-BR"/>
              </w:rPr>
              <w:t>Variáveis</w:t>
            </w:r>
            <w:r w:rsidRPr="00E60E24">
              <w:rPr>
                <w:i/>
                <w:iCs/>
                <w:color w:val="000000"/>
                <w:lang w:eastAsia="pt-BR"/>
              </w:rPr>
              <w:t xml:space="preserve"> de interesse (x</w:t>
            </w:r>
            <w:r w:rsidRPr="00E60E24">
              <w:rPr>
                <w:i/>
                <w:iCs/>
                <w:color w:val="000000"/>
                <w:vertAlign w:val="subscript"/>
                <w:lang w:eastAsia="pt-BR"/>
              </w:rPr>
              <w:t>z</w:t>
            </w:r>
            <w:r w:rsidRPr="00E60E24">
              <w:rPr>
                <w:i/>
                <w:iCs/>
                <w:color w:val="000000"/>
                <w:lang w:eastAsia="pt-BR"/>
              </w:rPr>
              <w:t>)</w:t>
            </w:r>
          </w:p>
        </w:tc>
        <w:tc>
          <w:tcPr>
            <w:tcW w:w="1487" w:type="dxa"/>
            <w:tcBorders>
              <w:top w:val="nil"/>
              <w:left w:val="nil"/>
              <w:bottom w:val="single" w:sz="4" w:space="0" w:color="auto"/>
              <w:right w:val="nil"/>
            </w:tcBorders>
            <w:shd w:val="clear" w:color="auto" w:fill="auto"/>
            <w:noWrap/>
            <w:vAlign w:val="bottom"/>
            <w:hideMark/>
          </w:tcPr>
          <w:p w14:paraId="0260843A" w14:textId="77777777" w:rsidR="004601DE" w:rsidRPr="00E60E24" w:rsidRDefault="004601DE" w:rsidP="00F25AC8">
            <w:pPr>
              <w:spacing w:after="120"/>
              <w:jc w:val="both"/>
              <w:rPr>
                <w:color w:val="000000"/>
                <w:lang w:eastAsia="pt-BR"/>
              </w:rPr>
            </w:pPr>
            <w:r w:rsidRPr="00E60E24">
              <w:rPr>
                <w:color w:val="000000"/>
                <w:lang w:eastAsia="pt-BR"/>
              </w:rPr>
              <w:t> </w:t>
            </w:r>
          </w:p>
        </w:tc>
      </w:tr>
      <w:tr w:rsidR="004601DE" w:rsidRPr="00E60E24" w14:paraId="6D9FCDC0" w14:textId="77777777" w:rsidTr="00F25AC8">
        <w:trPr>
          <w:gridAfter w:val="2"/>
          <w:wAfter w:w="142" w:type="dxa"/>
          <w:trHeight w:val="660"/>
        </w:trPr>
        <w:tc>
          <w:tcPr>
            <w:tcW w:w="2480" w:type="dxa"/>
            <w:tcBorders>
              <w:top w:val="nil"/>
              <w:bottom w:val="single" w:sz="4" w:space="0" w:color="auto"/>
              <w:right w:val="single" w:sz="4" w:space="0" w:color="auto"/>
            </w:tcBorders>
            <w:shd w:val="clear" w:color="auto" w:fill="auto"/>
            <w:vAlign w:val="center"/>
            <w:hideMark/>
          </w:tcPr>
          <w:p w14:paraId="3C2E2B30" w14:textId="77777777" w:rsidR="004601DE" w:rsidRPr="00E60E24" w:rsidRDefault="004601DE" w:rsidP="00F25AC8">
            <w:pPr>
              <w:spacing w:after="120"/>
              <w:jc w:val="both"/>
              <w:rPr>
                <w:color w:val="000000"/>
                <w:lang w:eastAsia="pt-BR"/>
              </w:rPr>
            </w:pPr>
            <w:r w:rsidRPr="00E60E24">
              <w:rPr>
                <w:color w:val="000000"/>
                <w:lang w:eastAsia="pt-BR"/>
              </w:rPr>
              <w:t>Coeficiente de abertura</w:t>
            </w:r>
          </w:p>
        </w:tc>
        <w:tc>
          <w:tcPr>
            <w:tcW w:w="5528" w:type="dxa"/>
            <w:tcBorders>
              <w:top w:val="nil"/>
              <w:left w:val="nil"/>
              <w:bottom w:val="single" w:sz="4" w:space="0" w:color="auto"/>
              <w:right w:val="single" w:sz="4" w:space="0" w:color="auto"/>
            </w:tcBorders>
            <w:shd w:val="clear" w:color="auto" w:fill="auto"/>
            <w:vAlign w:val="center"/>
            <w:hideMark/>
          </w:tcPr>
          <w:p w14:paraId="523B985E" w14:textId="77777777" w:rsidR="004601DE" w:rsidRPr="00E60E24" w:rsidRDefault="004601DE" w:rsidP="00F25AC8">
            <w:pPr>
              <w:spacing w:after="120"/>
              <w:jc w:val="both"/>
              <w:rPr>
                <w:color w:val="000000"/>
                <w:lang w:eastAsia="pt-BR"/>
              </w:rPr>
            </w:pPr>
            <w:r w:rsidRPr="00E60E24">
              <w:rPr>
                <w:color w:val="000000"/>
                <w:lang w:eastAsia="pt-BR"/>
              </w:rPr>
              <w:t xml:space="preserve">É a razão entre a soma das exportações e importações e o PIB em dólares do município </w:t>
            </w:r>
            <w:r w:rsidRPr="00E60E24">
              <w:rPr>
                <w:i/>
                <w:color w:val="000000"/>
                <w:lang w:eastAsia="pt-BR"/>
              </w:rPr>
              <w:t>z</w:t>
            </w:r>
            <w:r w:rsidRPr="00E60E24">
              <w:rPr>
                <w:color w:val="000000"/>
                <w:lang w:eastAsia="pt-BR"/>
              </w:rPr>
              <w:t>.</w:t>
            </w:r>
          </w:p>
        </w:tc>
        <w:tc>
          <w:tcPr>
            <w:tcW w:w="1487" w:type="dxa"/>
            <w:tcBorders>
              <w:top w:val="nil"/>
              <w:left w:val="nil"/>
              <w:bottom w:val="single" w:sz="4" w:space="0" w:color="auto"/>
              <w:right w:val="nil"/>
            </w:tcBorders>
            <w:shd w:val="clear" w:color="auto" w:fill="auto"/>
            <w:vAlign w:val="center"/>
            <w:hideMark/>
          </w:tcPr>
          <w:p w14:paraId="5351365F" w14:textId="77777777" w:rsidR="004601DE" w:rsidRPr="00E60E24" w:rsidRDefault="004601DE" w:rsidP="00F25AC8">
            <w:pPr>
              <w:spacing w:after="120"/>
              <w:jc w:val="both"/>
              <w:rPr>
                <w:color w:val="000000"/>
                <w:lang w:eastAsia="pt-BR"/>
              </w:rPr>
            </w:pPr>
            <w:r w:rsidRPr="00E60E24">
              <w:rPr>
                <w:color w:val="000000"/>
                <w:lang w:eastAsia="pt-BR"/>
              </w:rPr>
              <w:t>SECEX, IBGE e IPEADATA</w:t>
            </w:r>
          </w:p>
        </w:tc>
      </w:tr>
      <w:tr w:rsidR="004601DE" w:rsidRPr="00E60E24" w14:paraId="3ECA5E28" w14:textId="77777777" w:rsidTr="00F25AC8">
        <w:trPr>
          <w:trHeight w:val="900"/>
        </w:trPr>
        <w:tc>
          <w:tcPr>
            <w:tcW w:w="2480" w:type="dxa"/>
            <w:tcBorders>
              <w:top w:val="nil"/>
              <w:left w:val="nil"/>
              <w:bottom w:val="single" w:sz="4" w:space="0" w:color="auto"/>
              <w:right w:val="single" w:sz="4" w:space="0" w:color="auto"/>
            </w:tcBorders>
            <w:shd w:val="clear" w:color="auto" w:fill="auto"/>
            <w:vAlign w:val="center"/>
          </w:tcPr>
          <w:p w14:paraId="26A52687" w14:textId="77777777" w:rsidR="004601DE" w:rsidRPr="00B5797E" w:rsidRDefault="004601DE" w:rsidP="00F25AC8">
            <w:pPr>
              <w:spacing w:after="120"/>
              <w:jc w:val="both"/>
              <w:rPr>
                <w:color w:val="000000"/>
                <w:lang w:eastAsia="pt-BR"/>
              </w:rPr>
            </w:pPr>
            <w:r w:rsidRPr="00B5797E">
              <w:rPr>
                <w:color w:val="000000"/>
                <w:lang w:eastAsia="pt-BR"/>
              </w:rPr>
              <w:t>Fração do pessoal empregado na agropecuária</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28C3D28D" w14:textId="77777777" w:rsidR="004601DE" w:rsidRPr="00E60E24" w:rsidRDefault="004601DE" w:rsidP="00F25AC8">
            <w:pPr>
              <w:spacing w:after="120"/>
              <w:jc w:val="both"/>
              <w:rPr>
                <w:color w:val="000000"/>
                <w:lang w:eastAsia="pt-BR"/>
              </w:rPr>
            </w:pPr>
            <w:r w:rsidRPr="00E60E24">
              <w:rPr>
                <w:color w:val="000000"/>
                <w:lang w:eastAsia="pt-BR"/>
              </w:rPr>
              <w:t xml:space="preserve">É o logaritmo da participação do </w:t>
            </w:r>
            <w:r>
              <w:rPr>
                <w:color w:val="000000"/>
                <w:lang w:eastAsia="pt-BR"/>
              </w:rPr>
              <w:t>pessoal empregado na</w:t>
            </w:r>
            <w:r w:rsidRPr="00E60E24">
              <w:rPr>
                <w:color w:val="000000"/>
                <w:lang w:eastAsia="pt-BR"/>
              </w:rPr>
              <w:t xml:space="preserve"> agropecuária </w:t>
            </w:r>
            <w:r>
              <w:rPr>
                <w:color w:val="000000"/>
                <w:lang w:eastAsia="pt-BR"/>
              </w:rPr>
              <w:t xml:space="preserve">em 2000 e em </w:t>
            </w:r>
            <w:r w:rsidRPr="00E60E24">
              <w:rPr>
                <w:color w:val="000000"/>
                <w:lang w:eastAsia="pt-BR"/>
              </w:rPr>
              <w:t>2010</w:t>
            </w:r>
            <w:r>
              <w:rPr>
                <w:color w:val="000000"/>
                <w:lang w:eastAsia="pt-BR"/>
              </w:rPr>
              <w:t xml:space="preserve"> por município.</w:t>
            </w:r>
          </w:p>
        </w:tc>
        <w:tc>
          <w:tcPr>
            <w:tcW w:w="1629" w:type="dxa"/>
            <w:gridSpan w:val="3"/>
            <w:tcBorders>
              <w:top w:val="nil"/>
              <w:left w:val="single" w:sz="4" w:space="0" w:color="auto"/>
              <w:bottom w:val="single" w:sz="4" w:space="0" w:color="auto"/>
              <w:right w:val="nil"/>
            </w:tcBorders>
            <w:shd w:val="clear" w:color="auto" w:fill="auto"/>
            <w:vAlign w:val="center"/>
          </w:tcPr>
          <w:p w14:paraId="7B7125F7" w14:textId="77777777" w:rsidR="004601DE" w:rsidRPr="00E60E24" w:rsidRDefault="004601DE" w:rsidP="00F25AC8">
            <w:pPr>
              <w:spacing w:after="120"/>
              <w:jc w:val="both"/>
              <w:rPr>
                <w:color w:val="000000"/>
                <w:lang w:eastAsia="pt-BR"/>
              </w:rPr>
            </w:pPr>
            <w:r>
              <w:rPr>
                <w:color w:val="000000"/>
                <w:lang w:eastAsia="pt-BR"/>
              </w:rPr>
              <w:t>RAIS</w:t>
            </w:r>
          </w:p>
        </w:tc>
      </w:tr>
      <w:tr w:rsidR="004601DE" w:rsidRPr="00E60E24" w14:paraId="7A5C3E96" w14:textId="77777777" w:rsidTr="00F25AC8">
        <w:trPr>
          <w:trHeight w:val="900"/>
        </w:trPr>
        <w:tc>
          <w:tcPr>
            <w:tcW w:w="2480" w:type="dxa"/>
            <w:tcBorders>
              <w:top w:val="nil"/>
              <w:left w:val="nil"/>
              <w:bottom w:val="single" w:sz="4" w:space="0" w:color="auto"/>
              <w:right w:val="single" w:sz="4" w:space="0" w:color="auto"/>
            </w:tcBorders>
            <w:shd w:val="clear" w:color="auto" w:fill="auto"/>
            <w:vAlign w:val="center"/>
          </w:tcPr>
          <w:p w14:paraId="748AEDE2" w14:textId="77777777" w:rsidR="004601DE" w:rsidRPr="00B5797E" w:rsidRDefault="004601DE" w:rsidP="00F25AC8">
            <w:pPr>
              <w:spacing w:after="120"/>
              <w:jc w:val="both"/>
              <w:rPr>
                <w:color w:val="000000"/>
                <w:lang w:eastAsia="pt-BR"/>
              </w:rPr>
            </w:pPr>
            <w:r w:rsidRPr="00B5797E">
              <w:rPr>
                <w:color w:val="000000"/>
                <w:lang w:eastAsia="pt-BR"/>
              </w:rPr>
              <w:t>Fração do pessoal empregado na indústria</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10D4F0A3" w14:textId="77777777" w:rsidR="004601DE" w:rsidRPr="00E60E24" w:rsidRDefault="004601DE" w:rsidP="00F25AC8">
            <w:pPr>
              <w:spacing w:after="120"/>
              <w:jc w:val="both"/>
              <w:rPr>
                <w:color w:val="000000"/>
                <w:lang w:eastAsia="pt-BR"/>
              </w:rPr>
            </w:pPr>
            <w:r w:rsidRPr="00E60E24">
              <w:rPr>
                <w:color w:val="000000"/>
                <w:lang w:eastAsia="pt-BR"/>
              </w:rPr>
              <w:t xml:space="preserve">É o logaritmo da participação </w:t>
            </w:r>
            <w:r>
              <w:rPr>
                <w:color w:val="000000"/>
                <w:lang w:eastAsia="pt-BR"/>
              </w:rPr>
              <w:t>da participação do pessoal empregado na</w:t>
            </w:r>
            <w:r w:rsidRPr="00E60E24">
              <w:rPr>
                <w:color w:val="000000"/>
                <w:lang w:eastAsia="pt-BR"/>
              </w:rPr>
              <w:t xml:space="preserve"> indústria </w:t>
            </w:r>
            <w:r>
              <w:rPr>
                <w:color w:val="000000"/>
                <w:lang w:eastAsia="pt-BR"/>
              </w:rPr>
              <w:t>em 2000 e em 2010 por município.</w:t>
            </w:r>
            <w:r w:rsidRPr="00E60E24">
              <w:rPr>
                <w:color w:val="000000"/>
                <w:lang w:eastAsia="pt-BR"/>
              </w:rPr>
              <w:t xml:space="preserve"> </w:t>
            </w:r>
          </w:p>
        </w:tc>
        <w:tc>
          <w:tcPr>
            <w:tcW w:w="1629" w:type="dxa"/>
            <w:gridSpan w:val="3"/>
            <w:tcBorders>
              <w:top w:val="nil"/>
              <w:left w:val="single" w:sz="4" w:space="0" w:color="auto"/>
              <w:bottom w:val="single" w:sz="4" w:space="0" w:color="auto"/>
              <w:right w:val="nil"/>
            </w:tcBorders>
            <w:shd w:val="clear" w:color="auto" w:fill="auto"/>
            <w:vAlign w:val="center"/>
          </w:tcPr>
          <w:p w14:paraId="542068AB" w14:textId="77777777" w:rsidR="004601DE" w:rsidRPr="00E60E24" w:rsidRDefault="004601DE" w:rsidP="00F25AC8">
            <w:pPr>
              <w:spacing w:after="120"/>
              <w:jc w:val="both"/>
              <w:rPr>
                <w:color w:val="000000"/>
                <w:lang w:eastAsia="pt-BR"/>
              </w:rPr>
            </w:pPr>
            <w:r>
              <w:rPr>
                <w:color w:val="000000"/>
                <w:lang w:eastAsia="pt-BR"/>
              </w:rPr>
              <w:t>RAIS</w:t>
            </w:r>
          </w:p>
        </w:tc>
      </w:tr>
      <w:tr w:rsidR="00671D24" w:rsidRPr="00E60E24" w14:paraId="521886D6" w14:textId="77777777" w:rsidTr="00F25AC8">
        <w:trPr>
          <w:trHeight w:val="900"/>
        </w:trPr>
        <w:tc>
          <w:tcPr>
            <w:tcW w:w="2480" w:type="dxa"/>
            <w:tcBorders>
              <w:top w:val="single" w:sz="4" w:space="0" w:color="auto"/>
              <w:left w:val="nil"/>
              <w:bottom w:val="single" w:sz="4" w:space="0" w:color="auto"/>
              <w:right w:val="single" w:sz="4" w:space="0" w:color="auto"/>
            </w:tcBorders>
            <w:shd w:val="clear" w:color="auto" w:fill="auto"/>
            <w:vAlign w:val="center"/>
          </w:tcPr>
          <w:p w14:paraId="0032B0B9" w14:textId="77777777" w:rsidR="00671D24" w:rsidRPr="00E60E24" w:rsidRDefault="00671D24" w:rsidP="00F25AC8">
            <w:pPr>
              <w:spacing w:after="120"/>
              <w:jc w:val="both"/>
              <w:rPr>
                <w:color w:val="000000"/>
                <w:lang w:eastAsia="pt-BR"/>
              </w:rPr>
            </w:pPr>
            <w:r w:rsidRPr="00E60E24">
              <w:rPr>
                <w:color w:val="000000"/>
                <w:lang w:eastAsia="pt-BR"/>
              </w:rPr>
              <w:t>Distância ao centro econômico</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tcPr>
          <w:p w14:paraId="33B2641A" w14:textId="75A58C93" w:rsidR="00671D24" w:rsidRPr="00E60E24" w:rsidRDefault="00671D24" w:rsidP="00F25AC8">
            <w:pPr>
              <w:spacing w:after="120"/>
              <w:jc w:val="both"/>
              <w:rPr>
                <w:color w:val="000000"/>
                <w:lang w:eastAsia="pt-BR"/>
              </w:rPr>
            </w:pPr>
            <w:r>
              <w:rPr>
                <w:color w:val="000000"/>
                <w:lang w:eastAsia="pt-BR"/>
              </w:rPr>
              <w:t>Conforme Apêndice</w:t>
            </w:r>
          </w:p>
        </w:tc>
        <w:tc>
          <w:tcPr>
            <w:tcW w:w="1629" w:type="dxa"/>
            <w:gridSpan w:val="3"/>
            <w:tcBorders>
              <w:top w:val="single" w:sz="4" w:space="0" w:color="auto"/>
              <w:left w:val="single" w:sz="4" w:space="0" w:color="auto"/>
              <w:bottom w:val="single" w:sz="4" w:space="0" w:color="auto"/>
              <w:right w:val="nil"/>
            </w:tcBorders>
            <w:shd w:val="clear" w:color="auto" w:fill="auto"/>
            <w:vAlign w:val="center"/>
          </w:tcPr>
          <w:p w14:paraId="5DB70A71" w14:textId="77777777" w:rsidR="00671D24" w:rsidRPr="00E60E24" w:rsidRDefault="00671D24" w:rsidP="00F25AC8">
            <w:pPr>
              <w:spacing w:after="120"/>
              <w:jc w:val="both"/>
              <w:rPr>
                <w:color w:val="000000"/>
                <w:lang w:eastAsia="pt-BR"/>
              </w:rPr>
            </w:pPr>
          </w:p>
        </w:tc>
      </w:tr>
      <w:tr w:rsidR="009116C7" w:rsidRPr="00E60E24" w14:paraId="774EA51D" w14:textId="77777777" w:rsidTr="00F25AC8">
        <w:trPr>
          <w:trHeight w:val="360"/>
        </w:trPr>
        <w:tc>
          <w:tcPr>
            <w:tcW w:w="8008" w:type="dxa"/>
            <w:gridSpan w:val="2"/>
            <w:tcBorders>
              <w:top w:val="single" w:sz="4" w:space="0" w:color="auto"/>
              <w:left w:val="nil"/>
              <w:bottom w:val="nil"/>
              <w:right w:val="nil"/>
            </w:tcBorders>
            <w:shd w:val="clear" w:color="auto" w:fill="auto"/>
            <w:noWrap/>
            <w:vAlign w:val="bottom"/>
          </w:tcPr>
          <w:p w14:paraId="1192B516" w14:textId="77777777" w:rsidR="009116C7" w:rsidRPr="00E60E24" w:rsidRDefault="009116C7" w:rsidP="00F25AC8">
            <w:pPr>
              <w:spacing w:after="120"/>
              <w:ind w:left="708"/>
              <w:jc w:val="both"/>
              <w:rPr>
                <w:i/>
                <w:iCs/>
                <w:color w:val="000000"/>
                <w:lang w:eastAsia="pt-BR"/>
              </w:rPr>
            </w:pPr>
            <w:r w:rsidRPr="00E60E24">
              <w:rPr>
                <w:i/>
                <w:iCs/>
                <w:color w:val="000000"/>
                <w:lang w:eastAsia="pt-BR"/>
              </w:rPr>
              <w:t>Controles individuais</w:t>
            </w:r>
          </w:p>
        </w:tc>
        <w:tc>
          <w:tcPr>
            <w:tcW w:w="1629" w:type="dxa"/>
            <w:gridSpan w:val="3"/>
            <w:tcBorders>
              <w:top w:val="single" w:sz="4" w:space="0" w:color="auto"/>
              <w:left w:val="nil"/>
              <w:bottom w:val="nil"/>
              <w:right w:val="nil"/>
            </w:tcBorders>
            <w:shd w:val="clear" w:color="auto" w:fill="auto"/>
            <w:noWrap/>
            <w:vAlign w:val="bottom"/>
          </w:tcPr>
          <w:p w14:paraId="4439C530" w14:textId="77777777" w:rsidR="009116C7" w:rsidRPr="00E60E24" w:rsidRDefault="009116C7" w:rsidP="00F25AC8">
            <w:pPr>
              <w:spacing w:after="120"/>
              <w:jc w:val="both"/>
              <w:rPr>
                <w:i/>
                <w:iCs/>
                <w:color w:val="000000"/>
                <w:lang w:eastAsia="pt-BR"/>
              </w:rPr>
            </w:pPr>
          </w:p>
        </w:tc>
      </w:tr>
      <w:tr w:rsidR="009116C7" w:rsidRPr="00E60E24" w14:paraId="0AE5BB35" w14:textId="77777777" w:rsidTr="00F25AC8">
        <w:trPr>
          <w:trHeight w:val="540"/>
        </w:trPr>
        <w:tc>
          <w:tcPr>
            <w:tcW w:w="2480" w:type="dxa"/>
            <w:tcBorders>
              <w:top w:val="single" w:sz="4" w:space="0" w:color="auto"/>
              <w:left w:val="nil"/>
              <w:bottom w:val="single" w:sz="4" w:space="0" w:color="auto"/>
              <w:right w:val="nil"/>
            </w:tcBorders>
            <w:shd w:val="clear" w:color="auto" w:fill="auto"/>
            <w:noWrap/>
            <w:vAlign w:val="center"/>
            <w:hideMark/>
          </w:tcPr>
          <w:p w14:paraId="1F215235" w14:textId="77777777" w:rsidR="009116C7" w:rsidRPr="00E60E24" w:rsidRDefault="009116C7" w:rsidP="00F25AC8">
            <w:pPr>
              <w:spacing w:after="120"/>
              <w:jc w:val="both"/>
              <w:rPr>
                <w:color w:val="000000"/>
                <w:lang w:eastAsia="pt-BR"/>
              </w:rPr>
            </w:pPr>
            <w:r w:rsidRPr="00E60E24">
              <w:rPr>
                <w:color w:val="000000"/>
                <w:lang w:eastAsia="pt-BR"/>
              </w:rPr>
              <w:t>Experiência</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5B7AB7" w14:textId="77777777" w:rsidR="009116C7" w:rsidRPr="00E60E24" w:rsidRDefault="009116C7" w:rsidP="00F25AC8">
            <w:pPr>
              <w:spacing w:after="120"/>
              <w:jc w:val="both"/>
              <w:rPr>
                <w:color w:val="000000"/>
                <w:lang w:eastAsia="pt-BR"/>
              </w:rPr>
            </w:pPr>
            <w:r w:rsidRPr="00E60E24">
              <w:rPr>
                <w:color w:val="000000"/>
                <w:lang w:eastAsia="pt-BR"/>
              </w:rPr>
              <w:t>Calculada como idade – 6 – anos de estudo, como usual.</w:t>
            </w:r>
          </w:p>
        </w:tc>
        <w:tc>
          <w:tcPr>
            <w:tcW w:w="1629" w:type="dxa"/>
            <w:gridSpan w:val="3"/>
            <w:tcBorders>
              <w:top w:val="single" w:sz="4" w:space="0" w:color="auto"/>
              <w:left w:val="nil"/>
              <w:bottom w:val="single" w:sz="4" w:space="0" w:color="auto"/>
              <w:right w:val="nil"/>
            </w:tcBorders>
            <w:shd w:val="clear" w:color="auto" w:fill="auto"/>
            <w:vAlign w:val="center"/>
            <w:hideMark/>
          </w:tcPr>
          <w:p w14:paraId="3C7FB8EA" w14:textId="77777777" w:rsidR="009116C7" w:rsidRPr="00E60E24" w:rsidRDefault="009116C7" w:rsidP="00F25AC8">
            <w:pPr>
              <w:spacing w:after="120"/>
              <w:jc w:val="both"/>
              <w:rPr>
                <w:color w:val="000000"/>
                <w:lang w:eastAsia="pt-BR"/>
              </w:rPr>
            </w:pPr>
            <w:r w:rsidRPr="00E60E24">
              <w:rPr>
                <w:color w:val="000000"/>
                <w:lang w:eastAsia="pt-BR"/>
              </w:rPr>
              <w:t>RAIS</w:t>
            </w:r>
          </w:p>
        </w:tc>
      </w:tr>
      <w:tr w:rsidR="004601DE" w:rsidRPr="00E60E24" w14:paraId="730A7822" w14:textId="77777777" w:rsidTr="00F25AC8">
        <w:trPr>
          <w:gridAfter w:val="1"/>
          <w:wAfter w:w="69" w:type="dxa"/>
          <w:trHeight w:val="360"/>
        </w:trPr>
        <w:tc>
          <w:tcPr>
            <w:tcW w:w="8008" w:type="dxa"/>
            <w:gridSpan w:val="2"/>
            <w:tcBorders>
              <w:top w:val="nil"/>
              <w:left w:val="nil"/>
              <w:bottom w:val="single" w:sz="4" w:space="0" w:color="auto"/>
              <w:right w:val="nil"/>
            </w:tcBorders>
            <w:shd w:val="clear" w:color="auto" w:fill="auto"/>
            <w:noWrap/>
            <w:vAlign w:val="bottom"/>
            <w:hideMark/>
          </w:tcPr>
          <w:p w14:paraId="7C2C5678" w14:textId="77777777" w:rsidR="004601DE" w:rsidRPr="00E60E24" w:rsidRDefault="004601DE" w:rsidP="00F25AC8">
            <w:pPr>
              <w:spacing w:after="120"/>
              <w:jc w:val="both"/>
              <w:rPr>
                <w:i/>
                <w:iCs/>
                <w:color w:val="000000"/>
                <w:lang w:eastAsia="pt-BR"/>
              </w:rPr>
            </w:pPr>
            <w:r w:rsidRPr="00E60E24">
              <w:rPr>
                <w:i/>
                <w:iCs/>
                <w:color w:val="000000"/>
                <w:lang w:eastAsia="pt-BR"/>
              </w:rPr>
              <w:t>Variáveis de controle</w:t>
            </w:r>
          </w:p>
        </w:tc>
        <w:tc>
          <w:tcPr>
            <w:tcW w:w="1560" w:type="dxa"/>
            <w:gridSpan w:val="2"/>
            <w:tcBorders>
              <w:top w:val="nil"/>
              <w:left w:val="nil"/>
              <w:bottom w:val="single" w:sz="4" w:space="0" w:color="auto"/>
              <w:right w:val="nil"/>
            </w:tcBorders>
            <w:shd w:val="clear" w:color="auto" w:fill="auto"/>
            <w:noWrap/>
            <w:vAlign w:val="bottom"/>
            <w:hideMark/>
          </w:tcPr>
          <w:p w14:paraId="4BFE3A2C" w14:textId="77777777" w:rsidR="004601DE" w:rsidRPr="00E60E24" w:rsidRDefault="004601DE" w:rsidP="00F25AC8">
            <w:pPr>
              <w:spacing w:after="120"/>
              <w:jc w:val="both"/>
              <w:rPr>
                <w:i/>
                <w:iCs/>
                <w:color w:val="000000"/>
                <w:lang w:eastAsia="pt-BR"/>
              </w:rPr>
            </w:pPr>
          </w:p>
        </w:tc>
      </w:tr>
      <w:tr w:rsidR="009116C7" w:rsidRPr="00E60E24" w14:paraId="7065D24B" w14:textId="77777777" w:rsidTr="00F25AC8">
        <w:trPr>
          <w:gridAfter w:val="1"/>
          <w:wAfter w:w="69" w:type="dxa"/>
          <w:trHeight w:val="623"/>
        </w:trPr>
        <w:tc>
          <w:tcPr>
            <w:tcW w:w="2480" w:type="dxa"/>
            <w:tcBorders>
              <w:top w:val="nil"/>
              <w:left w:val="nil"/>
              <w:bottom w:val="single" w:sz="4" w:space="0" w:color="auto"/>
              <w:right w:val="nil"/>
            </w:tcBorders>
            <w:shd w:val="clear" w:color="auto" w:fill="auto"/>
            <w:noWrap/>
            <w:vAlign w:val="center"/>
            <w:hideMark/>
          </w:tcPr>
          <w:p w14:paraId="451D6A53" w14:textId="77777777" w:rsidR="009116C7" w:rsidRPr="00E60E24" w:rsidRDefault="009116C7" w:rsidP="00F25AC8">
            <w:pPr>
              <w:spacing w:after="120"/>
              <w:jc w:val="both"/>
              <w:rPr>
                <w:color w:val="000000"/>
                <w:lang w:eastAsia="pt-BR"/>
              </w:rPr>
            </w:pPr>
            <w:r w:rsidRPr="00E60E24">
              <w:rPr>
                <w:color w:val="000000"/>
                <w:lang w:eastAsia="pt-BR"/>
              </w:rPr>
              <w:t>Experiência^2/100</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1484BD9C" w14:textId="77777777" w:rsidR="009116C7" w:rsidRPr="00E60E24" w:rsidRDefault="009116C7" w:rsidP="00F25AC8">
            <w:pPr>
              <w:spacing w:after="120"/>
              <w:jc w:val="both"/>
              <w:rPr>
                <w:color w:val="000000"/>
                <w:lang w:eastAsia="pt-BR"/>
              </w:rPr>
            </w:pPr>
            <w:r w:rsidRPr="00E60E24">
              <w:rPr>
                <w:color w:val="000000"/>
                <w:lang w:eastAsia="pt-BR"/>
              </w:rPr>
              <w:t>Variável ‘experiência’ elevada ao quadrado.</w:t>
            </w:r>
          </w:p>
        </w:tc>
        <w:tc>
          <w:tcPr>
            <w:tcW w:w="1560" w:type="dxa"/>
            <w:gridSpan w:val="2"/>
            <w:tcBorders>
              <w:top w:val="nil"/>
              <w:left w:val="nil"/>
              <w:bottom w:val="single" w:sz="4" w:space="0" w:color="auto"/>
              <w:right w:val="nil"/>
            </w:tcBorders>
            <w:shd w:val="clear" w:color="auto" w:fill="auto"/>
            <w:vAlign w:val="center"/>
            <w:hideMark/>
          </w:tcPr>
          <w:p w14:paraId="436AB9C7" w14:textId="77777777" w:rsidR="009116C7" w:rsidRPr="00E60E24" w:rsidRDefault="009116C7" w:rsidP="00F25AC8">
            <w:pPr>
              <w:spacing w:after="120"/>
              <w:jc w:val="both"/>
              <w:rPr>
                <w:color w:val="000000"/>
                <w:lang w:eastAsia="pt-BR"/>
              </w:rPr>
            </w:pPr>
            <w:r w:rsidRPr="00E60E24">
              <w:rPr>
                <w:color w:val="000000"/>
                <w:lang w:eastAsia="pt-BR"/>
              </w:rPr>
              <w:t xml:space="preserve">RAIS </w:t>
            </w:r>
          </w:p>
        </w:tc>
      </w:tr>
      <w:tr w:rsidR="004601DE" w:rsidRPr="00E60E24" w14:paraId="57C22DBA" w14:textId="77777777" w:rsidTr="00F25AC8">
        <w:trPr>
          <w:gridAfter w:val="1"/>
          <w:wAfter w:w="69" w:type="dxa"/>
          <w:trHeight w:val="698"/>
        </w:trPr>
        <w:tc>
          <w:tcPr>
            <w:tcW w:w="2480" w:type="dxa"/>
            <w:tcBorders>
              <w:top w:val="nil"/>
              <w:left w:val="nil"/>
              <w:bottom w:val="single" w:sz="4" w:space="0" w:color="auto"/>
              <w:right w:val="nil"/>
            </w:tcBorders>
            <w:shd w:val="clear" w:color="auto" w:fill="auto"/>
            <w:vAlign w:val="center"/>
            <w:hideMark/>
          </w:tcPr>
          <w:p w14:paraId="0F01681A" w14:textId="77777777" w:rsidR="004601DE" w:rsidRPr="00E60E24" w:rsidRDefault="004601DE" w:rsidP="00F25AC8">
            <w:pPr>
              <w:spacing w:after="120"/>
              <w:jc w:val="both"/>
              <w:rPr>
                <w:color w:val="000000"/>
                <w:lang w:eastAsia="pt-BR"/>
              </w:rPr>
            </w:pPr>
            <w:r w:rsidRPr="00E60E24">
              <w:rPr>
                <w:color w:val="000000"/>
                <w:lang w:eastAsia="pt-BR"/>
              </w:rPr>
              <w:t>Anos de escolaridade</w:t>
            </w:r>
          </w:p>
        </w:tc>
        <w:tc>
          <w:tcPr>
            <w:tcW w:w="5528" w:type="dxa"/>
            <w:tcBorders>
              <w:top w:val="nil"/>
              <w:left w:val="single" w:sz="4" w:space="0" w:color="auto"/>
              <w:bottom w:val="single" w:sz="4" w:space="0" w:color="auto"/>
              <w:right w:val="single" w:sz="4" w:space="0" w:color="auto"/>
            </w:tcBorders>
            <w:shd w:val="clear" w:color="auto" w:fill="auto"/>
            <w:vAlign w:val="center"/>
            <w:hideMark/>
          </w:tcPr>
          <w:p w14:paraId="44037886" w14:textId="77777777" w:rsidR="004601DE" w:rsidRPr="00E60E24" w:rsidRDefault="004601DE" w:rsidP="00F25AC8">
            <w:pPr>
              <w:spacing w:after="120"/>
              <w:jc w:val="both"/>
              <w:rPr>
                <w:color w:val="000000"/>
                <w:lang w:eastAsia="pt-BR"/>
              </w:rPr>
            </w:pPr>
            <w:r w:rsidRPr="00E60E24">
              <w:rPr>
                <w:color w:val="000000"/>
                <w:lang w:eastAsia="pt-BR"/>
              </w:rPr>
              <w:t xml:space="preserve">Grau de instrução do trabalhador, obtido </w:t>
            </w:r>
            <w:r>
              <w:rPr>
                <w:color w:val="000000"/>
                <w:lang w:eastAsia="pt-BR"/>
              </w:rPr>
              <w:t xml:space="preserve">convertendo-se em anos o </w:t>
            </w:r>
            <w:r w:rsidRPr="00E60E24">
              <w:rPr>
                <w:color w:val="000000"/>
                <w:lang w:eastAsia="pt-BR"/>
              </w:rPr>
              <w:t>nível de escolaridade alcançado.</w:t>
            </w:r>
          </w:p>
        </w:tc>
        <w:tc>
          <w:tcPr>
            <w:tcW w:w="1560" w:type="dxa"/>
            <w:gridSpan w:val="2"/>
            <w:tcBorders>
              <w:top w:val="nil"/>
              <w:left w:val="nil"/>
              <w:bottom w:val="single" w:sz="4" w:space="0" w:color="auto"/>
              <w:right w:val="nil"/>
            </w:tcBorders>
            <w:shd w:val="clear" w:color="auto" w:fill="auto"/>
            <w:vAlign w:val="center"/>
            <w:hideMark/>
          </w:tcPr>
          <w:p w14:paraId="543386AB" w14:textId="77777777" w:rsidR="004601DE" w:rsidRPr="00E60E24" w:rsidRDefault="004601DE" w:rsidP="00F25AC8">
            <w:pPr>
              <w:spacing w:after="120"/>
              <w:jc w:val="both"/>
              <w:rPr>
                <w:color w:val="000000"/>
                <w:lang w:eastAsia="pt-BR"/>
              </w:rPr>
            </w:pPr>
            <w:r w:rsidRPr="00E60E24">
              <w:rPr>
                <w:color w:val="000000"/>
                <w:lang w:eastAsia="pt-BR"/>
              </w:rPr>
              <w:t>RAIS</w:t>
            </w:r>
          </w:p>
        </w:tc>
      </w:tr>
      <w:tr w:rsidR="004601DE" w:rsidRPr="00E60E24" w14:paraId="6C0BAFF2" w14:textId="77777777" w:rsidTr="00F25AC8">
        <w:trPr>
          <w:gridAfter w:val="1"/>
          <w:wAfter w:w="69" w:type="dxa"/>
          <w:trHeight w:val="1500"/>
        </w:trPr>
        <w:tc>
          <w:tcPr>
            <w:tcW w:w="2480" w:type="dxa"/>
            <w:tcBorders>
              <w:top w:val="nil"/>
              <w:left w:val="nil"/>
              <w:bottom w:val="single" w:sz="4" w:space="0" w:color="auto"/>
              <w:right w:val="single" w:sz="4" w:space="0" w:color="auto"/>
            </w:tcBorders>
            <w:shd w:val="clear" w:color="auto" w:fill="auto"/>
            <w:vAlign w:val="center"/>
            <w:hideMark/>
          </w:tcPr>
          <w:p w14:paraId="4F613015" w14:textId="77777777" w:rsidR="004601DE" w:rsidRPr="00E60E24" w:rsidRDefault="004601DE" w:rsidP="00F25AC8">
            <w:pPr>
              <w:spacing w:after="120"/>
              <w:jc w:val="both"/>
              <w:rPr>
                <w:color w:val="000000"/>
                <w:lang w:eastAsia="pt-BR"/>
              </w:rPr>
            </w:pPr>
            <w:r w:rsidRPr="00A95CFB">
              <w:rPr>
                <w:i/>
                <w:color w:val="000000"/>
                <w:lang w:eastAsia="pt-BR"/>
              </w:rPr>
              <w:t>Dummy</w:t>
            </w:r>
            <w:r w:rsidRPr="00A95CFB">
              <w:rPr>
                <w:color w:val="000000"/>
                <w:lang w:eastAsia="pt-BR"/>
              </w:rPr>
              <w:t xml:space="preserve"> faixa-etária</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E649A" w14:textId="77777777" w:rsidR="004601DE" w:rsidRPr="00E60E24" w:rsidRDefault="004601DE" w:rsidP="00F25AC8">
            <w:pPr>
              <w:spacing w:after="120"/>
              <w:jc w:val="both"/>
              <w:rPr>
                <w:color w:val="000000"/>
                <w:lang w:eastAsia="pt-BR"/>
              </w:rPr>
            </w:pPr>
            <w:r w:rsidRPr="00E60E24">
              <w:rPr>
                <w:color w:val="000000"/>
                <w:lang w:eastAsia="pt-BR"/>
              </w:rPr>
              <w:t xml:space="preserve">Faixa etária do indivíduo </w:t>
            </w:r>
            <w:r w:rsidRPr="00E60E24">
              <w:rPr>
                <w:i/>
                <w:color w:val="000000"/>
                <w:lang w:eastAsia="pt-BR"/>
              </w:rPr>
              <w:t>i</w:t>
            </w:r>
            <w:r w:rsidRPr="00E60E24">
              <w:rPr>
                <w:color w:val="000000"/>
                <w:lang w:eastAsia="pt-BR"/>
              </w:rPr>
              <w:t xml:space="preserve"> no município </w:t>
            </w:r>
            <w:r w:rsidRPr="00E60E24">
              <w:rPr>
                <w:i/>
                <w:color w:val="000000"/>
                <w:lang w:eastAsia="pt-BR"/>
              </w:rPr>
              <w:t>z</w:t>
            </w:r>
            <w:r w:rsidRPr="00E60E24">
              <w:rPr>
                <w:color w:val="000000"/>
                <w:lang w:eastAsia="pt-BR"/>
              </w:rPr>
              <w:t>. As faixas reportadas pela RAIS são: 10 a 14, 15 a 17, 18 a 24, 25 a 29, 30 a 39, 40 a 49, 50 a 64 e 65 ou mais. Neste estudo, trabalha-se com indivíduos de 18 a 64 anos. O grupo-base é o de 30 a 35 anos.</w:t>
            </w:r>
          </w:p>
        </w:tc>
        <w:tc>
          <w:tcPr>
            <w:tcW w:w="1560" w:type="dxa"/>
            <w:gridSpan w:val="2"/>
            <w:tcBorders>
              <w:top w:val="nil"/>
              <w:left w:val="single" w:sz="4" w:space="0" w:color="auto"/>
              <w:bottom w:val="single" w:sz="4" w:space="0" w:color="auto"/>
              <w:right w:val="nil"/>
            </w:tcBorders>
            <w:shd w:val="clear" w:color="auto" w:fill="auto"/>
            <w:vAlign w:val="center"/>
            <w:hideMark/>
          </w:tcPr>
          <w:p w14:paraId="31E65305" w14:textId="77777777" w:rsidR="004601DE" w:rsidRPr="00E60E24" w:rsidRDefault="004601DE" w:rsidP="00F25AC8">
            <w:pPr>
              <w:spacing w:after="120"/>
              <w:jc w:val="both"/>
              <w:rPr>
                <w:color w:val="000000"/>
                <w:lang w:eastAsia="pt-BR"/>
              </w:rPr>
            </w:pPr>
            <w:r w:rsidRPr="00E60E24">
              <w:rPr>
                <w:color w:val="000000"/>
                <w:lang w:eastAsia="pt-BR"/>
              </w:rPr>
              <w:t>RAIS</w:t>
            </w:r>
          </w:p>
        </w:tc>
      </w:tr>
      <w:tr w:rsidR="004601DE" w:rsidRPr="00E60E24" w14:paraId="619AFE75" w14:textId="77777777" w:rsidTr="00F25AC8">
        <w:trPr>
          <w:gridAfter w:val="1"/>
          <w:wAfter w:w="69" w:type="dxa"/>
          <w:trHeight w:val="900"/>
        </w:trPr>
        <w:tc>
          <w:tcPr>
            <w:tcW w:w="2480" w:type="dxa"/>
            <w:tcBorders>
              <w:top w:val="nil"/>
              <w:left w:val="nil"/>
              <w:bottom w:val="single" w:sz="4" w:space="0" w:color="auto"/>
              <w:right w:val="single" w:sz="4" w:space="0" w:color="auto"/>
            </w:tcBorders>
            <w:shd w:val="clear" w:color="auto" w:fill="auto"/>
            <w:vAlign w:val="center"/>
            <w:hideMark/>
          </w:tcPr>
          <w:p w14:paraId="1769BB8C" w14:textId="77777777" w:rsidR="004601DE" w:rsidRPr="00E60E24" w:rsidRDefault="004601DE" w:rsidP="00F25AC8">
            <w:pPr>
              <w:spacing w:after="120"/>
              <w:jc w:val="both"/>
              <w:rPr>
                <w:color w:val="000000"/>
                <w:lang w:eastAsia="pt-BR"/>
              </w:rPr>
            </w:pPr>
            <w:r w:rsidRPr="00E60E24">
              <w:rPr>
                <w:i/>
                <w:color w:val="000000"/>
                <w:lang w:eastAsia="pt-BR"/>
              </w:rPr>
              <w:t>Dummy</w:t>
            </w:r>
            <w:r w:rsidRPr="00E60E24">
              <w:rPr>
                <w:color w:val="000000"/>
                <w:lang w:eastAsia="pt-BR"/>
              </w:rPr>
              <w:t xml:space="preserve"> setor</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C9B3D" w14:textId="77777777" w:rsidR="004601DE" w:rsidRPr="00E60E24" w:rsidRDefault="004601DE" w:rsidP="00F25AC8">
            <w:pPr>
              <w:spacing w:after="120"/>
              <w:jc w:val="both"/>
              <w:rPr>
                <w:color w:val="000000"/>
                <w:lang w:eastAsia="pt-BR"/>
              </w:rPr>
            </w:pPr>
            <w:r w:rsidRPr="00E60E24">
              <w:rPr>
                <w:color w:val="000000"/>
                <w:lang w:eastAsia="pt-BR"/>
              </w:rPr>
              <w:t xml:space="preserve">Setor em que o indivíduo </w:t>
            </w:r>
            <w:r w:rsidRPr="00E60E24">
              <w:rPr>
                <w:i/>
                <w:color w:val="000000"/>
                <w:lang w:eastAsia="pt-BR"/>
              </w:rPr>
              <w:t>i</w:t>
            </w:r>
            <w:r>
              <w:rPr>
                <w:color w:val="000000"/>
                <w:lang w:eastAsia="pt-BR"/>
              </w:rPr>
              <w:t xml:space="preserve"> trabalha, sendo comércio o grupo base.</w:t>
            </w:r>
          </w:p>
        </w:tc>
        <w:tc>
          <w:tcPr>
            <w:tcW w:w="1560" w:type="dxa"/>
            <w:gridSpan w:val="2"/>
            <w:tcBorders>
              <w:top w:val="nil"/>
              <w:left w:val="single" w:sz="4" w:space="0" w:color="auto"/>
              <w:bottom w:val="single" w:sz="4" w:space="0" w:color="auto"/>
              <w:right w:val="nil"/>
            </w:tcBorders>
            <w:shd w:val="clear" w:color="auto" w:fill="auto"/>
            <w:vAlign w:val="center"/>
            <w:hideMark/>
          </w:tcPr>
          <w:p w14:paraId="6BEC4188" w14:textId="77777777" w:rsidR="004601DE" w:rsidRPr="00E60E24" w:rsidRDefault="004601DE" w:rsidP="00F25AC8">
            <w:pPr>
              <w:spacing w:after="120"/>
              <w:jc w:val="both"/>
              <w:rPr>
                <w:color w:val="000000"/>
                <w:lang w:eastAsia="pt-BR"/>
              </w:rPr>
            </w:pPr>
            <w:r w:rsidRPr="00E60E24">
              <w:rPr>
                <w:color w:val="000000"/>
                <w:lang w:eastAsia="pt-BR"/>
              </w:rPr>
              <w:t>RAIS e CONCLA-IBGE</w:t>
            </w:r>
          </w:p>
        </w:tc>
      </w:tr>
      <w:tr w:rsidR="004601DE" w:rsidRPr="00E60E24" w14:paraId="675FDE21" w14:textId="77777777" w:rsidTr="00F25AC8">
        <w:trPr>
          <w:gridAfter w:val="1"/>
          <w:wAfter w:w="69" w:type="dxa"/>
          <w:trHeight w:val="360"/>
        </w:trPr>
        <w:tc>
          <w:tcPr>
            <w:tcW w:w="8008" w:type="dxa"/>
            <w:gridSpan w:val="2"/>
            <w:tcBorders>
              <w:top w:val="nil"/>
              <w:left w:val="nil"/>
              <w:bottom w:val="single" w:sz="4" w:space="0" w:color="auto"/>
              <w:right w:val="nil"/>
            </w:tcBorders>
            <w:shd w:val="clear" w:color="auto" w:fill="auto"/>
            <w:noWrap/>
            <w:vAlign w:val="bottom"/>
          </w:tcPr>
          <w:p w14:paraId="1220B8AE" w14:textId="77777777" w:rsidR="004601DE" w:rsidRPr="00E60E24" w:rsidRDefault="004601DE" w:rsidP="00F25AC8">
            <w:pPr>
              <w:spacing w:after="120"/>
              <w:ind w:left="708"/>
              <w:jc w:val="both"/>
              <w:rPr>
                <w:i/>
                <w:iCs/>
                <w:color w:val="000000"/>
                <w:lang w:eastAsia="pt-BR"/>
              </w:rPr>
            </w:pPr>
            <w:r w:rsidRPr="00E60E24">
              <w:rPr>
                <w:i/>
                <w:iCs/>
                <w:color w:val="000000"/>
                <w:lang w:eastAsia="pt-BR"/>
              </w:rPr>
              <w:t>Controles municipais</w:t>
            </w:r>
          </w:p>
        </w:tc>
        <w:tc>
          <w:tcPr>
            <w:tcW w:w="1560" w:type="dxa"/>
            <w:gridSpan w:val="2"/>
            <w:tcBorders>
              <w:top w:val="nil"/>
              <w:left w:val="nil"/>
              <w:bottom w:val="single" w:sz="4" w:space="0" w:color="auto"/>
              <w:right w:val="nil"/>
            </w:tcBorders>
            <w:shd w:val="clear" w:color="auto" w:fill="auto"/>
            <w:noWrap/>
            <w:vAlign w:val="bottom"/>
          </w:tcPr>
          <w:p w14:paraId="0C59AD73" w14:textId="77777777" w:rsidR="004601DE" w:rsidRPr="00E60E24" w:rsidRDefault="004601DE" w:rsidP="00F25AC8">
            <w:pPr>
              <w:spacing w:after="120"/>
              <w:jc w:val="both"/>
              <w:rPr>
                <w:i/>
                <w:iCs/>
                <w:color w:val="000000"/>
                <w:lang w:eastAsia="pt-BR"/>
              </w:rPr>
            </w:pPr>
          </w:p>
        </w:tc>
      </w:tr>
      <w:tr w:rsidR="004601DE" w:rsidRPr="00E60E24" w14:paraId="5F2E9A82" w14:textId="77777777" w:rsidTr="00F25AC8">
        <w:trPr>
          <w:gridAfter w:val="1"/>
          <w:wAfter w:w="69" w:type="dxa"/>
          <w:trHeight w:val="600"/>
        </w:trPr>
        <w:tc>
          <w:tcPr>
            <w:tcW w:w="2480" w:type="dxa"/>
            <w:tcBorders>
              <w:top w:val="single" w:sz="4" w:space="0" w:color="auto"/>
              <w:left w:val="nil"/>
              <w:bottom w:val="single" w:sz="4" w:space="0" w:color="auto"/>
              <w:right w:val="single" w:sz="4" w:space="0" w:color="auto"/>
            </w:tcBorders>
            <w:shd w:val="clear" w:color="auto" w:fill="auto"/>
            <w:vAlign w:val="center"/>
            <w:hideMark/>
          </w:tcPr>
          <w:p w14:paraId="63D99185" w14:textId="77777777" w:rsidR="004601DE" w:rsidRPr="00E60E24" w:rsidRDefault="004601DE" w:rsidP="00F25AC8">
            <w:pPr>
              <w:spacing w:after="120"/>
              <w:jc w:val="both"/>
              <w:rPr>
                <w:color w:val="000000"/>
                <w:lang w:eastAsia="pt-BR"/>
              </w:rPr>
            </w:pPr>
            <w:r w:rsidRPr="00E60E24">
              <w:rPr>
                <w:i/>
                <w:color w:val="000000"/>
                <w:lang w:eastAsia="pt-BR"/>
              </w:rPr>
              <w:t>Spillover</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08CFC" w14:textId="77777777" w:rsidR="004601DE" w:rsidRPr="00E60E24" w:rsidRDefault="004601DE" w:rsidP="00F25AC8">
            <w:pPr>
              <w:spacing w:after="120"/>
              <w:jc w:val="both"/>
              <w:rPr>
                <w:color w:val="000000"/>
                <w:lang w:eastAsia="pt-BR"/>
              </w:rPr>
            </w:pPr>
            <w:r w:rsidRPr="00E60E24">
              <w:rPr>
                <w:color w:val="000000"/>
                <w:lang w:eastAsia="pt-BR"/>
              </w:rPr>
              <w:t xml:space="preserve">Média de escolaridade dos trabalhadores no município </w:t>
            </w:r>
            <w:r w:rsidRPr="00E60E24">
              <w:rPr>
                <w:i/>
                <w:color w:val="000000"/>
                <w:lang w:eastAsia="pt-BR"/>
              </w:rPr>
              <w:t>z</w:t>
            </w:r>
            <w:r w:rsidRPr="00E60E24">
              <w:rPr>
                <w:color w:val="000000"/>
                <w:lang w:eastAsia="pt-BR"/>
              </w:rPr>
              <w:t xml:space="preserve">. Representa o </w:t>
            </w:r>
            <w:r w:rsidRPr="00E60E24">
              <w:rPr>
                <w:i/>
                <w:color w:val="000000"/>
                <w:lang w:eastAsia="pt-BR"/>
              </w:rPr>
              <w:t>spillover</w:t>
            </w:r>
            <w:r w:rsidRPr="00E60E24">
              <w:rPr>
                <w:color w:val="000000"/>
                <w:lang w:eastAsia="pt-BR"/>
              </w:rPr>
              <w:t xml:space="preserve"> de capital humano.</w:t>
            </w:r>
          </w:p>
        </w:tc>
        <w:tc>
          <w:tcPr>
            <w:tcW w:w="1560" w:type="dxa"/>
            <w:gridSpan w:val="2"/>
            <w:tcBorders>
              <w:top w:val="single" w:sz="4" w:space="0" w:color="auto"/>
              <w:left w:val="single" w:sz="4" w:space="0" w:color="auto"/>
              <w:bottom w:val="single" w:sz="4" w:space="0" w:color="auto"/>
              <w:right w:val="nil"/>
            </w:tcBorders>
            <w:shd w:val="clear" w:color="auto" w:fill="auto"/>
            <w:vAlign w:val="center"/>
            <w:hideMark/>
          </w:tcPr>
          <w:p w14:paraId="0C1D6815" w14:textId="77777777" w:rsidR="004601DE" w:rsidRPr="00E60E24" w:rsidRDefault="004601DE" w:rsidP="00F25AC8">
            <w:pPr>
              <w:spacing w:after="120"/>
              <w:jc w:val="both"/>
              <w:rPr>
                <w:color w:val="000000"/>
                <w:lang w:eastAsia="pt-BR"/>
              </w:rPr>
            </w:pPr>
            <w:r w:rsidRPr="00E60E24">
              <w:rPr>
                <w:color w:val="000000"/>
                <w:lang w:eastAsia="pt-BR"/>
              </w:rPr>
              <w:t xml:space="preserve">RAIS </w:t>
            </w:r>
          </w:p>
        </w:tc>
      </w:tr>
      <w:tr w:rsidR="004601DE" w:rsidRPr="00E60E24" w14:paraId="09CDAA46" w14:textId="77777777" w:rsidTr="00F25AC8">
        <w:trPr>
          <w:gridAfter w:val="1"/>
          <w:wAfter w:w="69" w:type="dxa"/>
          <w:trHeight w:val="900"/>
        </w:trPr>
        <w:tc>
          <w:tcPr>
            <w:tcW w:w="2480" w:type="dxa"/>
            <w:tcBorders>
              <w:top w:val="nil"/>
              <w:left w:val="nil"/>
              <w:bottom w:val="single" w:sz="4" w:space="0" w:color="auto"/>
              <w:right w:val="single" w:sz="4" w:space="0" w:color="auto"/>
            </w:tcBorders>
            <w:shd w:val="clear" w:color="auto" w:fill="auto"/>
            <w:vAlign w:val="center"/>
            <w:hideMark/>
          </w:tcPr>
          <w:p w14:paraId="19EA65DD" w14:textId="77777777" w:rsidR="004601DE" w:rsidRPr="00E60E24" w:rsidRDefault="004601DE" w:rsidP="00F25AC8">
            <w:pPr>
              <w:spacing w:after="120"/>
              <w:jc w:val="both"/>
              <w:rPr>
                <w:color w:val="000000"/>
                <w:lang w:eastAsia="pt-BR"/>
              </w:rPr>
            </w:pPr>
            <w:r w:rsidRPr="00E60E24">
              <w:rPr>
                <w:i/>
                <w:color w:val="000000"/>
                <w:lang w:eastAsia="pt-BR"/>
              </w:rPr>
              <w:t>Dummy</w:t>
            </w:r>
            <w:r w:rsidRPr="00E60E24">
              <w:rPr>
                <w:color w:val="000000"/>
                <w:lang w:eastAsia="pt-BR"/>
              </w:rPr>
              <w:t xml:space="preserve"> tamanho do município</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293B2" w14:textId="77777777" w:rsidR="004601DE" w:rsidRPr="00E60E24" w:rsidRDefault="004601DE" w:rsidP="00F25AC8">
            <w:pPr>
              <w:spacing w:after="120"/>
              <w:jc w:val="both"/>
              <w:rPr>
                <w:color w:val="000000"/>
                <w:lang w:eastAsia="pt-BR"/>
              </w:rPr>
            </w:pPr>
            <w:r w:rsidRPr="00E60E24">
              <w:rPr>
                <w:color w:val="000000"/>
                <w:lang w:eastAsia="pt-BR"/>
              </w:rPr>
              <w:t>Faixa de tamanho do município. Atribuíram-se duas categorias: menos e mais de 500 mil habitantes, sendo menos de 500 mil o grupo-base. Representa o efeito de aglomeração urbana.</w:t>
            </w:r>
          </w:p>
        </w:tc>
        <w:tc>
          <w:tcPr>
            <w:tcW w:w="1560" w:type="dxa"/>
            <w:gridSpan w:val="2"/>
            <w:tcBorders>
              <w:top w:val="nil"/>
              <w:left w:val="single" w:sz="4" w:space="0" w:color="auto"/>
              <w:bottom w:val="single" w:sz="4" w:space="0" w:color="auto"/>
              <w:right w:val="nil"/>
            </w:tcBorders>
            <w:shd w:val="clear" w:color="auto" w:fill="auto"/>
            <w:vAlign w:val="center"/>
            <w:hideMark/>
          </w:tcPr>
          <w:p w14:paraId="0AF8E74A" w14:textId="77777777" w:rsidR="004601DE" w:rsidRPr="00E60E24" w:rsidRDefault="004601DE" w:rsidP="00F25AC8">
            <w:pPr>
              <w:spacing w:after="120"/>
              <w:jc w:val="both"/>
              <w:rPr>
                <w:color w:val="000000"/>
                <w:lang w:eastAsia="pt-BR"/>
              </w:rPr>
            </w:pPr>
            <w:r w:rsidRPr="00E60E24">
              <w:rPr>
                <w:color w:val="000000"/>
                <w:lang w:eastAsia="pt-BR"/>
              </w:rPr>
              <w:t>IBGE</w:t>
            </w:r>
          </w:p>
        </w:tc>
      </w:tr>
    </w:tbl>
    <w:p w14:paraId="2487EEC6" w14:textId="5CA99A26" w:rsidR="00F25AC8" w:rsidRDefault="00F25AC8"/>
    <w:p w14:paraId="134C393B" w14:textId="77777777" w:rsidR="00F25AC8" w:rsidRPr="00E60E24" w:rsidRDefault="00F25AC8" w:rsidP="00F25AC8">
      <w:pPr>
        <w:pStyle w:val="Legenda"/>
        <w:spacing w:after="120"/>
        <w:jc w:val="both"/>
      </w:pPr>
      <w:r>
        <w:lastRenderedPageBreak/>
        <w:t>Tabela 1</w:t>
      </w:r>
      <w:r w:rsidRPr="00E60E24">
        <w:t>. Variáveis, dados e fontes de informação para as regre</w:t>
      </w:r>
      <w:r>
        <w:t>ssões com microdados do segundo</w:t>
      </w:r>
      <w:r w:rsidRPr="00E60E24">
        <w:t xml:space="preserve"> ensaio (continuação)</w:t>
      </w:r>
    </w:p>
    <w:tbl>
      <w:tblPr>
        <w:tblW w:w="9568" w:type="dxa"/>
        <w:tblLayout w:type="fixed"/>
        <w:tblCellMar>
          <w:left w:w="70" w:type="dxa"/>
          <w:right w:w="70" w:type="dxa"/>
        </w:tblCellMar>
        <w:tblLook w:val="04A0" w:firstRow="1" w:lastRow="0" w:firstColumn="1" w:lastColumn="0" w:noHBand="0" w:noVBand="1"/>
      </w:tblPr>
      <w:tblGrid>
        <w:gridCol w:w="1728"/>
        <w:gridCol w:w="752"/>
        <w:gridCol w:w="5245"/>
        <w:gridCol w:w="283"/>
        <w:gridCol w:w="1206"/>
        <w:gridCol w:w="354"/>
      </w:tblGrid>
      <w:tr w:rsidR="00F25AC8" w:rsidRPr="00E60E24" w14:paraId="6F76BF21" w14:textId="77777777" w:rsidTr="00F25AC8">
        <w:trPr>
          <w:gridAfter w:val="1"/>
          <w:wAfter w:w="354" w:type="dxa"/>
          <w:trHeight w:val="315"/>
        </w:trPr>
        <w:tc>
          <w:tcPr>
            <w:tcW w:w="1728" w:type="dxa"/>
            <w:tcBorders>
              <w:top w:val="single" w:sz="4" w:space="0" w:color="auto"/>
              <w:left w:val="nil"/>
              <w:bottom w:val="double" w:sz="6" w:space="0" w:color="auto"/>
              <w:right w:val="nil"/>
            </w:tcBorders>
            <w:shd w:val="clear" w:color="auto" w:fill="auto"/>
            <w:noWrap/>
            <w:vAlign w:val="bottom"/>
            <w:hideMark/>
          </w:tcPr>
          <w:p w14:paraId="6E3C4A3F" w14:textId="77777777" w:rsidR="00F25AC8" w:rsidRPr="00E60E24" w:rsidRDefault="00F25AC8" w:rsidP="00F25AC8">
            <w:pPr>
              <w:spacing w:after="120"/>
              <w:jc w:val="both"/>
              <w:rPr>
                <w:color w:val="000000"/>
                <w:lang w:eastAsia="pt-BR"/>
              </w:rPr>
            </w:pPr>
            <w:r w:rsidRPr="00E60E24">
              <w:rPr>
                <w:color w:val="000000"/>
                <w:lang w:eastAsia="pt-BR"/>
              </w:rPr>
              <w:t>Variáveis</w:t>
            </w:r>
          </w:p>
        </w:tc>
        <w:tc>
          <w:tcPr>
            <w:tcW w:w="5997" w:type="dxa"/>
            <w:gridSpan w:val="2"/>
            <w:tcBorders>
              <w:top w:val="single" w:sz="4" w:space="0" w:color="auto"/>
              <w:left w:val="nil"/>
              <w:bottom w:val="double" w:sz="6" w:space="0" w:color="auto"/>
              <w:right w:val="nil"/>
            </w:tcBorders>
            <w:shd w:val="clear" w:color="auto" w:fill="auto"/>
            <w:noWrap/>
            <w:vAlign w:val="bottom"/>
            <w:hideMark/>
          </w:tcPr>
          <w:p w14:paraId="19F94D79" w14:textId="77777777" w:rsidR="00F25AC8" w:rsidRPr="00E60E24" w:rsidRDefault="00F25AC8" w:rsidP="00F25AC8">
            <w:pPr>
              <w:spacing w:after="120"/>
              <w:jc w:val="both"/>
              <w:rPr>
                <w:color w:val="000000"/>
                <w:lang w:eastAsia="pt-BR"/>
              </w:rPr>
            </w:pPr>
            <w:r w:rsidRPr="00E60E24">
              <w:rPr>
                <w:color w:val="000000"/>
                <w:lang w:eastAsia="pt-BR"/>
              </w:rPr>
              <w:t>Descrição</w:t>
            </w:r>
          </w:p>
        </w:tc>
        <w:tc>
          <w:tcPr>
            <w:tcW w:w="1489" w:type="dxa"/>
            <w:gridSpan w:val="2"/>
            <w:tcBorders>
              <w:top w:val="single" w:sz="4" w:space="0" w:color="auto"/>
              <w:left w:val="nil"/>
              <w:bottom w:val="double" w:sz="6" w:space="0" w:color="auto"/>
              <w:right w:val="nil"/>
            </w:tcBorders>
            <w:shd w:val="clear" w:color="auto" w:fill="auto"/>
            <w:noWrap/>
            <w:vAlign w:val="bottom"/>
            <w:hideMark/>
          </w:tcPr>
          <w:p w14:paraId="0C1DD4BB" w14:textId="77777777" w:rsidR="00F25AC8" w:rsidRPr="00E60E24" w:rsidRDefault="00F25AC8" w:rsidP="00F25AC8">
            <w:pPr>
              <w:spacing w:after="120"/>
              <w:jc w:val="both"/>
              <w:rPr>
                <w:color w:val="000000"/>
                <w:lang w:eastAsia="pt-BR"/>
              </w:rPr>
            </w:pPr>
            <w:r w:rsidRPr="00E60E24">
              <w:rPr>
                <w:color w:val="000000"/>
                <w:lang w:eastAsia="pt-BR"/>
              </w:rPr>
              <w:t>Fonte</w:t>
            </w:r>
          </w:p>
        </w:tc>
      </w:tr>
      <w:tr w:rsidR="004601DE" w:rsidRPr="00E60E24" w14:paraId="09C0E033" w14:textId="77777777" w:rsidTr="00F25AC8">
        <w:trPr>
          <w:trHeight w:val="900"/>
        </w:trPr>
        <w:tc>
          <w:tcPr>
            <w:tcW w:w="2480" w:type="dxa"/>
            <w:gridSpan w:val="2"/>
            <w:tcBorders>
              <w:top w:val="single" w:sz="4" w:space="0" w:color="auto"/>
              <w:left w:val="nil"/>
              <w:bottom w:val="single" w:sz="4" w:space="0" w:color="auto"/>
              <w:right w:val="single" w:sz="4" w:space="0" w:color="auto"/>
            </w:tcBorders>
            <w:shd w:val="clear" w:color="auto" w:fill="auto"/>
            <w:vAlign w:val="center"/>
          </w:tcPr>
          <w:p w14:paraId="3209EF3C" w14:textId="77777777" w:rsidR="004601DE" w:rsidRPr="00E60E24" w:rsidRDefault="004601DE" w:rsidP="00F25AC8">
            <w:pPr>
              <w:spacing w:after="120"/>
              <w:jc w:val="both"/>
              <w:rPr>
                <w:color w:val="000000"/>
                <w:lang w:eastAsia="pt-BR"/>
              </w:rPr>
            </w:pPr>
            <w:r w:rsidRPr="00E60E24">
              <w:rPr>
                <w:color w:val="000000"/>
                <w:lang w:eastAsia="pt-BR"/>
              </w:rPr>
              <w:t>Altitude</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2BA64A" w14:textId="77777777" w:rsidR="004601DE" w:rsidRPr="00E60E24" w:rsidRDefault="004601DE" w:rsidP="00F25AC8">
            <w:pPr>
              <w:spacing w:after="120"/>
              <w:jc w:val="both"/>
            </w:pPr>
            <w:r w:rsidRPr="00E60E24">
              <w:t>Altitude do município, segundo a divisão político-administrativa vigente em 2000.</w:t>
            </w:r>
          </w:p>
        </w:tc>
        <w:tc>
          <w:tcPr>
            <w:tcW w:w="1560" w:type="dxa"/>
            <w:gridSpan w:val="2"/>
            <w:tcBorders>
              <w:top w:val="single" w:sz="4" w:space="0" w:color="auto"/>
              <w:left w:val="single" w:sz="4" w:space="0" w:color="auto"/>
              <w:bottom w:val="single" w:sz="4" w:space="0" w:color="auto"/>
              <w:right w:val="nil"/>
            </w:tcBorders>
            <w:shd w:val="clear" w:color="auto" w:fill="auto"/>
            <w:vAlign w:val="center"/>
          </w:tcPr>
          <w:p w14:paraId="1F974864" w14:textId="77777777" w:rsidR="004601DE" w:rsidRPr="00E60E24" w:rsidRDefault="004601DE" w:rsidP="00F25AC8">
            <w:pPr>
              <w:spacing w:after="120"/>
              <w:jc w:val="both"/>
              <w:rPr>
                <w:color w:val="000000"/>
                <w:lang w:eastAsia="pt-BR"/>
              </w:rPr>
            </w:pPr>
            <w:r w:rsidRPr="00E60E24">
              <w:rPr>
                <w:color w:val="000000"/>
                <w:lang w:eastAsia="pt-BR"/>
              </w:rPr>
              <w:t>IPEADATA</w:t>
            </w:r>
          </w:p>
        </w:tc>
      </w:tr>
      <w:tr w:rsidR="004601DE" w:rsidRPr="00E60E24" w14:paraId="44B69934" w14:textId="77777777" w:rsidTr="00F25AC8">
        <w:trPr>
          <w:trHeight w:val="900"/>
        </w:trPr>
        <w:tc>
          <w:tcPr>
            <w:tcW w:w="2480" w:type="dxa"/>
            <w:gridSpan w:val="2"/>
            <w:tcBorders>
              <w:top w:val="single" w:sz="4" w:space="0" w:color="auto"/>
              <w:left w:val="nil"/>
              <w:bottom w:val="single" w:sz="4" w:space="0" w:color="auto"/>
              <w:right w:val="single" w:sz="4" w:space="0" w:color="auto"/>
            </w:tcBorders>
            <w:shd w:val="clear" w:color="auto" w:fill="auto"/>
            <w:vAlign w:val="center"/>
          </w:tcPr>
          <w:p w14:paraId="4765BD06" w14:textId="77777777" w:rsidR="004601DE" w:rsidRPr="00E60E24" w:rsidRDefault="004601DE" w:rsidP="00F25AC8">
            <w:pPr>
              <w:spacing w:after="120"/>
              <w:jc w:val="both"/>
              <w:rPr>
                <w:color w:val="000000"/>
                <w:lang w:eastAsia="pt-BR"/>
              </w:rPr>
            </w:pPr>
            <w:r w:rsidRPr="00E60E24">
              <w:rPr>
                <w:color w:val="000000"/>
                <w:lang w:eastAsia="pt-BR"/>
              </w:rPr>
              <w:t>Precipitação pluviométrica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11675F" w14:textId="77777777" w:rsidR="004601DE" w:rsidRPr="00E60E24" w:rsidRDefault="004601DE" w:rsidP="00F25AC8">
            <w:pPr>
              <w:spacing w:after="120"/>
              <w:jc w:val="both"/>
            </w:pPr>
            <w:r w:rsidRPr="00E60E24">
              <w:t>Média das estimativas das médias trimestrais de precipitação pluviométrica do banco de dados CRU CL 2.0 10′, da Climate Research Unit, University of East Anglia (CRU-UEA), Inglaterra.</w:t>
            </w:r>
          </w:p>
        </w:tc>
        <w:tc>
          <w:tcPr>
            <w:tcW w:w="1560" w:type="dxa"/>
            <w:gridSpan w:val="2"/>
            <w:tcBorders>
              <w:top w:val="single" w:sz="4" w:space="0" w:color="auto"/>
              <w:left w:val="single" w:sz="4" w:space="0" w:color="auto"/>
              <w:bottom w:val="single" w:sz="4" w:space="0" w:color="auto"/>
              <w:right w:val="nil"/>
            </w:tcBorders>
            <w:shd w:val="clear" w:color="auto" w:fill="auto"/>
            <w:vAlign w:val="center"/>
          </w:tcPr>
          <w:p w14:paraId="27B77956" w14:textId="77777777" w:rsidR="004601DE" w:rsidRPr="00E60E24" w:rsidRDefault="004601DE" w:rsidP="00F25AC8">
            <w:pPr>
              <w:spacing w:after="120"/>
              <w:jc w:val="both"/>
              <w:rPr>
                <w:color w:val="000000"/>
                <w:lang w:eastAsia="pt-BR"/>
              </w:rPr>
            </w:pPr>
            <w:r w:rsidRPr="00E60E24">
              <w:rPr>
                <w:color w:val="000000"/>
                <w:lang w:eastAsia="pt-BR"/>
              </w:rPr>
              <w:t>IPEADATA</w:t>
            </w:r>
          </w:p>
        </w:tc>
      </w:tr>
      <w:tr w:rsidR="004601DE" w:rsidRPr="00E60E24" w14:paraId="67AAD655" w14:textId="77777777" w:rsidTr="00F25AC8">
        <w:trPr>
          <w:trHeight w:val="900"/>
        </w:trPr>
        <w:tc>
          <w:tcPr>
            <w:tcW w:w="2480" w:type="dxa"/>
            <w:gridSpan w:val="2"/>
            <w:tcBorders>
              <w:top w:val="single" w:sz="4" w:space="0" w:color="auto"/>
              <w:left w:val="nil"/>
              <w:bottom w:val="single" w:sz="4" w:space="0" w:color="auto"/>
              <w:right w:val="single" w:sz="4" w:space="0" w:color="auto"/>
            </w:tcBorders>
            <w:shd w:val="clear" w:color="auto" w:fill="auto"/>
            <w:vAlign w:val="center"/>
          </w:tcPr>
          <w:p w14:paraId="2C204C3D" w14:textId="77777777" w:rsidR="004601DE" w:rsidRPr="00E60E24" w:rsidRDefault="004601DE" w:rsidP="00F25AC8">
            <w:pPr>
              <w:spacing w:after="120"/>
              <w:jc w:val="both"/>
              <w:rPr>
                <w:color w:val="000000"/>
                <w:lang w:eastAsia="pt-BR"/>
              </w:rPr>
            </w:pPr>
            <w:r w:rsidRPr="00E60E24">
              <w:rPr>
                <w:color w:val="000000"/>
                <w:lang w:eastAsia="pt-BR"/>
              </w:rPr>
              <w:t>Dotação do fator trabalho</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198CA9" w14:textId="77777777" w:rsidR="004601DE" w:rsidRPr="00E60E24" w:rsidRDefault="004601DE" w:rsidP="00F25AC8">
            <w:pPr>
              <w:spacing w:after="120"/>
              <w:jc w:val="both"/>
              <w:rPr>
                <w:rFonts w:ascii="Arial" w:hAnsi="Arial" w:cs="Arial"/>
                <w:color w:val="000000"/>
                <w:sz w:val="20"/>
                <w:szCs w:val="20"/>
              </w:rPr>
            </w:pPr>
            <w:r w:rsidRPr="00E60E24">
              <w:t>Percentual da população economicamente ativa na população total.</w:t>
            </w:r>
          </w:p>
        </w:tc>
        <w:tc>
          <w:tcPr>
            <w:tcW w:w="1560" w:type="dxa"/>
            <w:gridSpan w:val="2"/>
            <w:tcBorders>
              <w:top w:val="single" w:sz="4" w:space="0" w:color="auto"/>
              <w:left w:val="single" w:sz="4" w:space="0" w:color="auto"/>
              <w:bottom w:val="single" w:sz="4" w:space="0" w:color="auto"/>
              <w:right w:val="nil"/>
            </w:tcBorders>
            <w:shd w:val="clear" w:color="auto" w:fill="auto"/>
            <w:vAlign w:val="center"/>
          </w:tcPr>
          <w:p w14:paraId="65361AB1" w14:textId="77777777" w:rsidR="004601DE" w:rsidRPr="00E60E24" w:rsidRDefault="004601DE" w:rsidP="00F25AC8">
            <w:pPr>
              <w:spacing w:after="120"/>
              <w:jc w:val="both"/>
              <w:rPr>
                <w:color w:val="000000"/>
                <w:lang w:eastAsia="pt-BR"/>
              </w:rPr>
            </w:pPr>
            <w:r w:rsidRPr="00E60E24">
              <w:rPr>
                <w:color w:val="000000"/>
                <w:lang w:eastAsia="pt-BR"/>
              </w:rPr>
              <w:t>IBGE</w:t>
            </w:r>
          </w:p>
        </w:tc>
      </w:tr>
      <w:tr w:rsidR="004601DE" w:rsidRPr="00E60E24" w14:paraId="17A9932C" w14:textId="77777777" w:rsidTr="00F25AC8">
        <w:trPr>
          <w:trHeight w:val="900"/>
        </w:trPr>
        <w:tc>
          <w:tcPr>
            <w:tcW w:w="2480" w:type="dxa"/>
            <w:gridSpan w:val="2"/>
            <w:tcBorders>
              <w:top w:val="single" w:sz="4" w:space="0" w:color="auto"/>
              <w:left w:val="nil"/>
              <w:bottom w:val="single" w:sz="4" w:space="0" w:color="auto"/>
              <w:right w:val="single" w:sz="4" w:space="0" w:color="auto"/>
            </w:tcBorders>
            <w:shd w:val="clear" w:color="auto" w:fill="auto"/>
            <w:vAlign w:val="center"/>
          </w:tcPr>
          <w:p w14:paraId="1FED7983" w14:textId="77777777" w:rsidR="004601DE" w:rsidRPr="00E60E24" w:rsidRDefault="004601DE" w:rsidP="00F25AC8">
            <w:pPr>
              <w:spacing w:after="120"/>
              <w:jc w:val="both"/>
              <w:rPr>
                <w:color w:val="000000"/>
                <w:lang w:eastAsia="pt-BR"/>
              </w:rPr>
            </w:pPr>
            <w:r w:rsidRPr="00E60E24">
              <w:rPr>
                <w:color w:val="000000"/>
                <w:lang w:eastAsia="pt-BR"/>
              </w:rPr>
              <w:t xml:space="preserve">Dotação do fator </w:t>
            </w:r>
          </w:p>
          <w:p w14:paraId="745B4904" w14:textId="77777777" w:rsidR="004601DE" w:rsidRPr="00E60E24" w:rsidRDefault="004601DE" w:rsidP="00F25AC8">
            <w:pPr>
              <w:spacing w:after="120"/>
              <w:jc w:val="both"/>
              <w:rPr>
                <w:color w:val="000000"/>
                <w:lang w:eastAsia="pt-BR"/>
              </w:rPr>
            </w:pPr>
            <w:r w:rsidRPr="00E60E24">
              <w:rPr>
                <w:color w:val="000000"/>
                <w:lang w:eastAsia="pt-BR"/>
              </w:rPr>
              <w:t>terra</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0D01A8" w14:textId="77777777" w:rsidR="004601DE" w:rsidRPr="00E60E24" w:rsidRDefault="004601DE" w:rsidP="00F25AC8">
            <w:pPr>
              <w:spacing w:after="120"/>
              <w:jc w:val="both"/>
            </w:pPr>
            <w:r w:rsidRPr="00E60E24">
              <w:t>Quantidade de área plantada, em logaritmo natural</w:t>
            </w:r>
            <w:r>
              <w:rPr>
                <w:rStyle w:val="Refdenotaderodap"/>
                <w:rFonts w:eastAsiaTheme="majorEastAsia"/>
              </w:rPr>
              <w:footnoteReference w:id="14"/>
            </w:r>
            <w:r w:rsidRPr="00E60E24">
              <w:t>.</w:t>
            </w:r>
          </w:p>
        </w:tc>
        <w:tc>
          <w:tcPr>
            <w:tcW w:w="1560" w:type="dxa"/>
            <w:gridSpan w:val="2"/>
            <w:tcBorders>
              <w:top w:val="single" w:sz="4" w:space="0" w:color="auto"/>
              <w:left w:val="single" w:sz="4" w:space="0" w:color="auto"/>
              <w:bottom w:val="single" w:sz="4" w:space="0" w:color="auto"/>
              <w:right w:val="nil"/>
            </w:tcBorders>
            <w:shd w:val="clear" w:color="auto" w:fill="auto"/>
            <w:vAlign w:val="center"/>
          </w:tcPr>
          <w:p w14:paraId="270576C1" w14:textId="77777777" w:rsidR="004601DE" w:rsidRPr="00E60E24" w:rsidRDefault="004601DE" w:rsidP="00F25AC8">
            <w:pPr>
              <w:spacing w:after="120"/>
              <w:jc w:val="both"/>
              <w:rPr>
                <w:color w:val="000000"/>
                <w:lang w:eastAsia="pt-BR"/>
              </w:rPr>
            </w:pPr>
            <w:r w:rsidRPr="00E60E24">
              <w:rPr>
                <w:color w:val="000000"/>
                <w:lang w:eastAsia="pt-BR"/>
              </w:rPr>
              <w:t>IPEADATA/ IBGE</w:t>
            </w:r>
          </w:p>
        </w:tc>
      </w:tr>
      <w:tr w:rsidR="00671D24" w:rsidRPr="00E60E24" w14:paraId="7E420281" w14:textId="77777777" w:rsidTr="00F25AC8">
        <w:trPr>
          <w:trHeight w:val="900"/>
        </w:trPr>
        <w:tc>
          <w:tcPr>
            <w:tcW w:w="2480" w:type="dxa"/>
            <w:gridSpan w:val="2"/>
            <w:tcBorders>
              <w:top w:val="single" w:sz="4" w:space="0" w:color="auto"/>
              <w:left w:val="nil"/>
              <w:bottom w:val="single" w:sz="4" w:space="0" w:color="auto"/>
              <w:right w:val="single" w:sz="4" w:space="0" w:color="auto"/>
            </w:tcBorders>
            <w:shd w:val="clear" w:color="auto" w:fill="auto"/>
            <w:vAlign w:val="center"/>
          </w:tcPr>
          <w:p w14:paraId="2B5C2C70" w14:textId="77777777" w:rsidR="00671D24" w:rsidRPr="00E60E24" w:rsidRDefault="00671D24" w:rsidP="00F25AC8">
            <w:pPr>
              <w:spacing w:after="120"/>
              <w:jc w:val="both"/>
              <w:rPr>
                <w:color w:val="000000"/>
                <w:lang w:eastAsia="pt-BR"/>
              </w:rPr>
            </w:pPr>
            <w:r w:rsidRPr="00E60E24">
              <w:rPr>
                <w:color w:val="000000"/>
                <w:lang w:eastAsia="pt-BR"/>
              </w:rPr>
              <w:t>Dotação do fator capital</w:t>
            </w:r>
          </w:p>
        </w:tc>
        <w:tc>
          <w:tcPr>
            <w:tcW w:w="55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21989C" w14:textId="77777777" w:rsidR="00671D24" w:rsidRPr="00E60E24" w:rsidRDefault="00671D24" w:rsidP="00F25AC8">
            <w:pPr>
              <w:spacing w:after="120"/>
              <w:jc w:val="both"/>
            </w:pPr>
            <w:r w:rsidRPr="00E60E24">
              <w:t xml:space="preserve">Frota de veículos como </w:t>
            </w:r>
            <w:r w:rsidRPr="00E60E24">
              <w:rPr>
                <w:i/>
              </w:rPr>
              <w:t>proxy</w:t>
            </w:r>
            <w:r w:rsidRPr="00E60E24">
              <w:t>, em logaritmo natural.</w:t>
            </w:r>
          </w:p>
        </w:tc>
        <w:tc>
          <w:tcPr>
            <w:tcW w:w="1560" w:type="dxa"/>
            <w:gridSpan w:val="2"/>
            <w:tcBorders>
              <w:top w:val="single" w:sz="4" w:space="0" w:color="auto"/>
              <w:left w:val="single" w:sz="4" w:space="0" w:color="auto"/>
              <w:bottom w:val="single" w:sz="4" w:space="0" w:color="auto"/>
              <w:right w:val="nil"/>
            </w:tcBorders>
            <w:shd w:val="clear" w:color="auto" w:fill="auto"/>
            <w:vAlign w:val="center"/>
          </w:tcPr>
          <w:p w14:paraId="45E85CEE" w14:textId="77777777" w:rsidR="00671D24" w:rsidRPr="00E60E24" w:rsidRDefault="00671D24" w:rsidP="00F25AC8">
            <w:pPr>
              <w:spacing w:after="120"/>
              <w:jc w:val="both"/>
              <w:rPr>
                <w:color w:val="000000"/>
                <w:lang w:eastAsia="pt-BR"/>
              </w:rPr>
            </w:pPr>
            <w:r w:rsidRPr="00E60E24">
              <w:rPr>
                <w:color w:val="000000"/>
                <w:lang w:eastAsia="pt-BR"/>
              </w:rPr>
              <w:t>DENATRAN</w:t>
            </w:r>
          </w:p>
        </w:tc>
      </w:tr>
    </w:tbl>
    <w:p w14:paraId="6582427F" w14:textId="6EDD796E" w:rsidR="00F25AC8" w:rsidRDefault="00F25AC8" w:rsidP="00F25AC8">
      <w:pPr>
        <w:spacing w:after="120"/>
        <w:ind w:firstLine="709"/>
        <w:jc w:val="both"/>
      </w:pPr>
    </w:p>
    <w:p w14:paraId="5DB43A9F" w14:textId="4C1BE9FE" w:rsidR="004601DE" w:rsidRDefault="003A2607" w:rsidP="00F25AC8">
      <w:pPr>
        <w:spacing w:after="120"/>
        <w:ind w:firstLine="709"/>
        <w:jc w:val="both"/>
      </w:pPr>
      <w:r>
        <w:t xml:space="preserve">Além dessas variáveis foram incluídas as dummies mesorregionais, sendo o grupo base a Macrometropolitana Paulista, que apresentou a mediana do salário médio de 2000. </w:t>
      </w:r>
      <w:r w:rsidR="004601DE" w:rsidRPr="00E60E24">
        <w:t xml:space="preserve">Os dados de comércio exterior foram coletados do banco de dados Aliceweb, disponibilizado pela SECEX </w:t>
      </w:r>
      <w:sdt>
        <w:sdtPr>
          <w:id w:val="-696840328"/>
          <w:citation/>
        </w:sdtPr>
        <w:sdtContent>
          <w:r w:rsidR="004601DE" w:rsidRPr="00E60E24">
            <w:fldChar w:fldCharType="begin"/>
          </w:r>
          <w:r w:rsidR="004601DE" w:rsidRPr="00E60E24">
            <w:instrText xml:space="preserve">CITATION SEC15 \n  \t  \l 1046 </w:instrText>
          </w:r>
          <w:r w:rsidR="004601DE" w:rsidRPr="00E60E24">
            <w:fldChar w:fldCharType="separate"/>
          </w:r>
          <w:r w:rsidR="004601DE" w:rsidRPr="00E60E24">
            <w:t>(2015)</w:t>
          </w:r>
          <w:r w:rsidR="004601DE" w:rsidRPr="00E60E24">
            <w:fldChar w:fldCharType="end"/>
          </w:r>
        </w:sdtContent>
      </w:sdt>
      <w:r w:rsidR="004601DE" w:rsidRPr="00E60E24">
        <w:t xml:space="preserve">. Os dados foram levantados em nível municipal para os anos 2000 e 2010. Foram obtidos os valores em US$ das exportações e importações. Para se obter o coeficiente de abertura, esses dados foram complementados pelo PIB municipal do período, obtido no IBGE </w:t>
      </w:r>
      <w:sdt>
        <w:sdtPr>
          <w:id w:val="1083268199"/>
          <w:citation/>
        </w:sdtPr>
        <w:sdtContent>
          <w:r w:rsidR="004601DE" w:rsidRPr="00E60E24">
            <w:fldChar w:fldCharType="begin"/>
          </w:r>
          <w:r w:rsidR="004601DE" w:rsidRPr="00E60E24">
            <w:instrText xml:space="preserve">CITATION Ins15 \n  \t  \l 1046 </w:instrText>
          </w:r>
          <w:r w:rsidR="004601DE" w:rsidRPr="00E60E24">
            <w:fldChar w:fldCharType="separate"/>
          </w:r>
          <w:r w:rsidR="004601DE" w:rsidRPr="00E60E24">
            <w:t>(2015)</w:t>
          </w:r>
          <w:r w:rsidR="004601DE" w:rsidRPr="00E60E24">
            <w:fldChar w:fldCharType="end"/>
          </w:r>
        </w:sdtContent>
      </w:sdt>
      <w:r w:rsidR="004601DE" w:rsidRPr="00E60E24">
        <w:t xml:space="preserve"> e convertido em dólares pela taxa de câmbio média anual fornecida pelo IPEADATA</w:t>
      </w:r>
      <w:sdt>
        <w:sdtPr>
          <w:id w:val="1514418714"/>
          <w:citation/>
        </w:sdtPr>
        <w:sdtContent>
          <w:r w:rsidR="004601DE" w:rsidRPr="00E60E24">
            <w:fldChar w:fldCharType="begin"/>
          </w:r>
          <w:r w:rsidR="004601DE" w:rsidRPr="00E60E24">
            <w:instrText xml:space="preserve"> CITATION IPE15 \l 1046 </w:instrText>
          </w:r>
          <w:r w:rsidR="004601DE" w:rsidRPr="00E60E24">
            <w:fldChar w:fldCharType="separate"/>
          </w:r>
          <w:r w:rsidR="004601DE" w:rsidRPr="00E60E24">
            <w:t xml:space="preserve"> (IPEA, 2015)</w:t>
          </w:r>
          <w:r w:rsidR="004601DE" w:rsidRPr="00E60E24">
            <w:fldChar w:fldCharType="end"/>
          </w:r>
        </w:sdtContent>
      </w:sdt>
      <w:r w:rsidR="004601DE" w:rsidRPr="00E60E24">
        <w:t xml:space="preserve">. </w:t>
      </w:r>
    </w:p>
    <w:p w14:paraId="65EC9614" w14:textId="77777777" w:rsidR="004A5DEE" w:rsidRPr="00E60E24" w:rsidRDefault="004A5DEE" w:rsidP="00F25AC8">
      <w:pPr>
        <w:spacing w:after="120"/>
        <w:ind w:firstLine="709"/>
        <w:jc w:val="both"/>
      </w:pPr>
    </w:p>
    <w:p w14:paraId="6639D374" w14:textId="019881A1" w:rsidR="004601DE" w:rsidRPr="00E60E24" w:rsidRDefault="004601DE" w:rsidP="00F25AC8">
      <w:pPr>
        <w:pStyle w:val="Ttulo1"/>
        <w:spacing w:before="0" w:after="120"/>
      </w:pPr>
      <w:bookmarkStart w:id="18" w:name="_Ref446512874"/>
      <w:bookmarkStart w:id="19" w:name="_Toc446599111"/>
      <w:bookmarkStart w:id="20" w:name="_Toc456276887"/>
      <w:r w:rsidRPr="00E60E24">
        <w:t>Resultados</w:t>
      </w:r>
      <w:bookmarkEnd w:id="18"/>
      <w:bookmarkEnd w:id="19"/>
      <w:bookmarkEnd w:id="20"/>
    </w:p>
    <w:p w14:paraId="53720658" w14:textId="4D6EC035" w:rsidR="004601DE" w:rsidRPr="00E60E24" w:rsidRDefault="00E634D1" w:rsidP="00F25AC8">
      <w:pPr>
        <w:spacing w:after="120"/>
        <w:ind w:firstLine="709"/>
        <w:jc w:val="both"/>
      </w:pPr>
      <w:r>
        <w:t>Nesta subseção, a equação 4</w:t>
      </w:r>
      <w:r w:rsidR="004601DE" w:rsidRPr="00E60E24">
        <w:t xml:space="preserve"> é estimada com o log</w:t>
      </w:r>
      <w:r w:rsidR="004601DE" w:rsidRPr="00E60E24">
        <w:rPr>
          <w:color w:val="000000"/>
          <w:lang w:eastAsia="pt-BR"/>
        </w:rPr>
        <w:t>aritmo</w:t>
      </w:r>
      <w:r w:rsidR="004601DE" w:rsidRPr="00E60E24">
        <w:t xml:space="preserve"> dos salários absolutos médios anuais, a preços de 2000, dependendo de características individuais, características municipais e variáveis de exposição ao comércio. Os dados correspondem a 15% da base de dados disponibilizada pela RAIS para 2000, resultando em uma amostra com 3.700.633 indivíduos de 18 a 64 anos. Para 2010, dado o grande volume da base de dados, a amostra foi de 7,5%, resultando em 3.118.047 indivíduos na mesma faixa etária. Foram incluídas </w:t>
      </w:r>
      <w:r w:rsidR="004601DE" w:rsidRPr="00E60E24">
        <w:rPr>
          <w:i/>
        </w:rPr>
        <w:t>dummies</w:t>
      </w:r>
      <w:r w:rsidR="00FD72D7">
        <w:t xml:space="preserve"> de localidade para as 137</w:t>
      </w:r>
      <w:r w:rsidR="004601DE" w:rsidRPr="00E60E24">
        <w:t xml:space="preserve"> mesorregiões do país, para capturar o efeito da diferença regional de salários, e também suas iterações com anos de escolaridade, para avaliar o retorno por escolaridade das mesorregiões. A </w:t>
      </w:r>
      <w:r w:rsidR="004601DE">
        <w:fldChar w:fldCharType="begin"/>
      </w:r>
      <w:r w:rsidR="004601DE">
        <w:instrText xml:space="preserve"> REF _Ref449688705 \h </w:instrText>
      </w:r>
      <w:r w:rsidR="004601DE">
        <w:fldChar w:fldCharType="separate"/>
      </w:r>
      <w:r w:rsidR="004601DE" w:rsidRPr="00E60E24">
        <w:t xml:space="preserve">Tabela </w:t>
      </w:r>
      <w:r w:rsidR="004601DE">
        <w:fldChar w:fldCharType="end"/>
      </w:r>
      <w:r w:rsidR="00FD72D7">
        <w:t xml:space="preserve">2 </w:t>
      </w:r>
      <w:r w:rsidR="004601DE" w:rsidRPr="00E60E24">
        <w:t>res</w:t>
      </w:r>
      <w:r>
        <w:t>ume os resultados da estimação</w:t>
      </w:r>
      <w:r w:rsidR="004601DE" w:rsidRPr="00E60E24">
        <w:rPr>
          <w:rStyle w:val="Refdenotaderodap"/>
          <w:rFonts w:eastAsiaTheme="majorEastAsia"/>
        </w:rPr>
        <w:footnoteReference w:id="15"/>
      </w:r>
      <w:r w:rsidR="004601DE" w:rsidRPr="00E60E24">
        <w:t>.</w:t>
      </w:r>
    </w:p>
    <w:p w14:paraId="586A4BD0" w14:textId="77777777" w:rsidR="004601DE" w:rsidRPr="00E60E24" w:rsidRDefault="004601DE" w:rsidP="00F25AC8">
      <w:pPr>
        <w:spacing w:after="120"/>
        <w:ind w:firstLine="709"/>
        <w:jc w:val="both"/>
      </w:pPr>
      <w:r w:rsidRPr="00E60E24">
        <w:t xml:space="preserve">As regressões na coluna I apresentam os resultados com os salários médios anuais absolutos, dependendo de anos de educação, experiência, quadrado da experiência, </w:t>
      </w:r>
      <w:r w:rsidRPr="00E60E24">
        <w:rPr>
          <w:i/>
        </w:rPr>
        <w:t xml:space="preserve">dummy </w:t>
      </w:r>
      <w:r w:rsidRPr="00E60E24">
        <w:t xml:space="preserve">para sexo (sendo masculino o grupo-base), idade, setor, mesorregião e suas iterações com anos de escolaridade. Os resultados sugerem que os salários, representados pela constante, cresceram em todo o país e que o </w:t>
      </w:r>
      <w:r w:rsidRPr="00E60E24">
        <w:lastRenderedPageBreak/>
        <w:t>retorno por escolaridade, ou o prêmio por qualificação, reduziu-se no decênio, embora essa mudança não tenha se mostrado estatisticamente significativa. O ganho por experiência parece ter se tornado mais plano. Ainda, os resultados sugerem que o diferencial de salários por gênero foi reduzido no decênio 2000-2010 em cerca de 5%.</w:t>
      </w:r>
    </w:p>
    <w:p w14:paraId="00EB4F58" w14:textId="63B3622D" w:rsidR="004601DE" w:rsidRPr="00E60E24" w:rsidRDefault="004601DE" w:rsidP="00F25AC8">
      <w:pPr>
        <w:spacing w:after="120"/>
        <w:ind w:firstLine="709"/>
        <w:jc w:val="both"/>
      </w:pPr>
      <w:r w:rsidRPr="00E60E24">
        <w:t xml:space="preserve">Nesta primeira </w:t>
      </w:r>
      <w:r w:rsidR="00ED44CF">
        <w:t xml:space="preserve">regressão, algumas mesorregiões </w:t>
      </w:r>
      <w:r w:rsidRPr="00E60E24">
        <w:t>apresentaram grandes interceptos</w:t>
      </w:r>
      <w:r w:rsidR="00ED44CF">
        <w:rPr>
          <w:rStyle w:val="Refdenotaderodap"/>
        </w:rPr>
        <w:footnoteReference w:id="16"/>
      </w:r>
      <w:r w:rsidRPr="00E60E24">
        <w:t xml:space="preserve">, combinados com menores retornos por escolaridade, padrão este de regiões próximas segundo o modelo apresentado na revisão teórica. Em outras observaram-se baixos interceptos combinados com maiores retornos por escolaridade, padrão este de regiões distantes do mercado estrangeiro. Esses coeficientes foram ranqueados de modo a se obter o posicionamento das mesorregiões no país de acordo com o nível salarial e com o prêmio por qualificação (dado pelo coeficiente da </w:t>
      </w:r>
      <w:r w:rsidRPr="00E60E24">
        <w:rPr>
          <w:i/>
        </w:rPr>
        <w:t>dummy</w:t>
      </w:r>
      <w:r w:rsidRPr="00E60E24">
        <w:t xml:space="preserve"> de mesorregião iterada com escolaridade). Dez das 136 </w:t>
      </w:r>
      <w:r w:rsidRPr="00E60E24">
        <w:rPr>
          <w:i/>
        </w:rPr>
        <w:t>dummies</w:t>
      </w:r>
      <w:r w:rsidRPr="00E60E24">
        <w:t xml:space="preserve"> de localidade e 78 das iterações não apresentaram significância estatística. Para essas regiões, a análise foi complementada pelo ranqueamento do coeficiente de abertura e dos salários</w:t>
      </w:r>
      <w:r w:rsidR="0013447C">
        <w:t xml:space="preserve"> médios anuais.</w:t>
      </w:r>
    </w:p>
    <w:p w14:paraId="5E4FA235" w14:textId="6C01711A" w:rsidR="004601DE" w:rsidRDefault="004601DE" w:rsidP="00F25AC8">
      <w:pPr>
        <w:spacing w:after="120"/>
        <w:ind w:firstLine="709"/>
        <w:jc w:val="both"/>
      </w:pPr>
      <w:r w:rsidRPr="00E60E24">
        <w:t xml:space="preserve">As </w:t>
      </w:r>
      <w:r>
        <w:t>meso</w:t>
      </w:r>
      <w:r w:rsidR="00ED44CF">
        <w:t>r</w:t>
      </w:r>
      <w:r w:rsidRPr="00E60E24">
        <w:t xml:space="preserve">regiões com grandes interceptos e baixos retornos por escolaridade, padrão de regiões próximas pelo modelo teórico, se concentram no Sul, Sudeste e Centro-Oeste do país, bem como em algumas mesorregiões do litoral nordestino. Já os menores interceptos combinados com altos retornos por escolaridade, padrão de regiões distantes, concentram-se em mesorregiões do Norte e Nordeste e em algumas </w:t>
      </w:r>
      <w:r>
        <w:t>meso</w:t>
      </w:r>
      <w:r w:rsidR="0013447C">
        <w:t>r</w:t>
      </w:r>
      <w:r w:rsidRPr="00E60E24">
        <w:t>regiões serranas</w:t>
      </w:r>
      <w:r>
        <w:t xml:space="preserve"> do centro-sul e do Sudeste</w:t>
      </w:r>
      <w:r w:rsidRPr="00E60E24">
        <w:t>. As maiores mudanças positivas</w:t>
      </w:r>
      <w:r w:rsidR="00ED44CF">
        <w:rPr>
          <w:rStyle w:val="Refdenotaderodap"/>
        </w:rPr>
        <w:footnoteReference w:id="17"/>
      </w:r>
      <w:r w:rsidRPr="00E60E24">
        <w:t xml:space="preserve"> nos salários no período 2000-2010, análise que evidencia a evolução regional no período, concentram-se nas regiões Norte e Nordeste, indicando haver um processo de redução na desigualdade regional de salários. A mudança no prêmio por escolaridade também foi maior em mesorregiões do Norte e Centro-Oeste, indicando que a desigualdade entre qualificações continua a crescer nessas regiões consideradas afastadas, o que corrobora a hipótese teórica. Também é importante notar que essas </w:t>
      </w:r>
      <w:r>
        <w:t>meso</w:t>
      </w:r>
      <w:r w:rsidR="00ED44CF">
        <w:t>r</w:t>
      </w:r>
      <w:r w:rsidRPr="00E60E24">
        <w:t>regiões também experimentaram crescimento significativo na exposição ao comércio, principalmente a Centro-Oeste, de modo que o comércio parece contribuir para diminuir a desigualdade entre regiões, embora ainda não colabore para a redução da desigualdade intrarregional.</w:t>
      </w:r>
    </w:p>
    <w:p w14:paraId="300EB0C9" w14:textId="55E29FA0" w:rsidR="004601DE" w:rsidRPr="00E60E24" w:rsidRDefault="0031021E" w:rsidP="00F25AC8">
      <w:pPr>
        <w:pStyle w:val="Legenda"/>
        <w:keepNext/>
        <w:spacing w:after="120"/>
      </w:pPr>
      <w:bookmarkStart w:id="21" w:name="_Ref444095267"/>
      <w:bookmarkStart w:id="22" w:name="_Ref449688705"/>
      <w:bookmarkStart w:id="23" w:name="_Toc445481592"/>
      <w:bookmarkStart w:id="24" w:name="_Toc456276403"/>
      <w:r>
        <w:t xml:space="preserve">Tabela </w:t>
      </w:r>
      <w:fldSimple w:instr=" SEQ Tabela \* ARABIC ">
        <w:r>
          <w:rPr>
            <w:noProof/>
          </w:rPr>
          <w:t>2</w:t>
        </w:r>
      </w:fldSimple>
      <w:bookmarkEnd w:id="21"/>
      <w:bookmarkEnd w:id="22"/>
      <w:r>
        <w:t>:</w:t>
      </w:r>
      <w:r w:rsidR="004601DE" w:rsidRPr="00E60E24">
        <w:t xml:space="preserve"> Resultados das regressões com microdados.</w:t>
      </w:r>
      <w:bookmarkEnd w:id="23"/>
      <w:bookmarkEnd w:id="24"/>
    </w:p>
    <w:tbl>
      <w:tblPr>
        <w:tblW w:w="5000" w:type="pct"/>
        <w:tblLayout w:type="fixed"/>
        <w:tblCellMar>
          <w:left w:w="0" w:type="dxa"/>
          <w:right w:w="0" w:type="dxa"/>
        </w:tblCellMar>
        <w:tblLook w:val="04A0" w:firstRow="1" w:lastRow="0" w:firstColumn="1" w:lastColumn="0" w:noHBand="0" w:noVBand="1"/>
      </w:tblPr>
      <w:tblGrid>
        <w:gridCol w:w="2230"/>
        <w:gridCol w:w="846"/>
        <w:gridCol w:w="927"/>
        <w:gridCol w:w="845"/>
        <w:gridCol w:w="84"/>
        <w:gridCol w:w="843"/>
        <w:gridCol w:w="927"/>
        <w:gridCol w:w="843"/>
        <w:gridCol w:w="84"/>
        <w:gridCol w:w="843"/>
        <w:gridCol w:w="927"/>
        <w:gridCol w:w="835"/>
      </w:tblGrid>
      <w:tr w:rsidR="004601DE" w:rsidRPr="00E60E24" w14:paraId="010A582A" w14:textId="77777777" w:rsidTr="004A5DEE">
        <w:trPr>
          <w:trHeight w:val="20"/>
        </w:trPr>
        <w:tc>
          <w:tcPr>
            <w:tcW w:w="1089" w:type="pct"/>
            <w:vMerge w:val="restart"/>
            <w:tcBorders>
              <w:top w:val="single" w:sz="4" w:space="0" w:color="auto"/>
              <w:left w:val="nil"/>
              <w:bottom w:val="single" w:sz="8" w:space="0" w:color="000000"/>
              <w:right w:val="nil"/>
            </w:tcBorders>
            <w:shd w:val="clear" w:color="auto" w:fill="auto"/>
            <w:noWrap/>
            <w:tcMar>
              <w:top w:w="15" w:type="dxa"/>
              <w:left w:w="15" w:type="dxa"/>
              <w:bottom w:w="0" w:type="dxa"/>
              <w:right w:w="15" w:type="dxa"/>
            </w:tcMar>
            <w:vAlign w:val="center"/>
            <w:hideMark/>
          </w:tcPr>
          <w:p w14:paraId="3EA0D2AE" w14:textId="77777777" w:rsidR="004601DE" w:rsidRPr="00E60E24" w:rsidRDefault="004601DE" w:rsidP="00F25AC8">
            <w:pPr>
              <w:spacing w:after="120"/>
              <w:jc w:val="center"/>
              <w:rPr>
                <w:sz w:val="18"/>
                <w:szCs w:val="18"/>
                <w:lang w:eastAsia="pt-BR"/>
              </w:rPr>
            </w:pPr>
            <w:r w:rsidRPr="00E60E24">
              <w:rPr>
                <w:sz w:val="18"/>
                <w:szCs w:val="18"/>
                <w:lang w:eastAsia="pt-BR"/>
              </w:rPr>
              <w:t>Variáveis</w:t>
            </w:r>
          </w:p>
        </w:tc>
        <w:tc>
          <w:tcPr>
            <w:tcW w:w="1279" w:type="pct"/>
            <w:gridSpan w:val="3"/>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ABF37E0" w14:textId="77777777" w:rsidR="004601DE" w:rsidRPr="00E60E24" w:rsidRDefault="004601DE" w:rsidP="00F25AC8">
            <w:pPr>
              <w:spacing w:after="120"/>
              <w:jc w:val="center"/>
              <w:rPr>
                <w:sz w:val="18"/>
                <w:szCs w:val="18"/>
                <w:lang w:eastAsia="pt-BR"/>
              </w:rPr>
            </w:pPr>
            <w:r w:rsidRPr="00E60E24">
              <w:rPr>
                <w:sz w:val="18"/>
                <w:szCs w:val="18"/>
                <w:lang w:eastAsia="pt-BR"/>
              </w:rPr>
              <w:t>I </w:t>
            </w:r>
          </w:p>
        </w:tc>
        <w:tc>
          <w:tcPr>
            <w:tcW w:w="41"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4CF5DF9" w14:textId="77777777" w:rsidR="004601DE" w:rsidRPr="00E60E24" w:rsidRDefault="004601DE" w:rsidP="00F25AC8">
            <w:pPr>
              <w:spacing w:after="120"/>
              <w:jc w:val="center"/>
              <w:rPr>
                <w:sz w:val="18"/>
                <w:szCs w:val="18"/>
                <w:lang w:eastAsia="pt-BR"/>
              </w:rPr>
            </w:pPr>
            <w:r w:rsidRPr="00E60E24">
              <w:rPr>
                <w:sz w:val="18"/>
                <w:szCs w:val="18"/>
                <w:lang w:eastAsia="pt-BR"/>
              </w:rPr>
              <w:t> </w:t>
            </w:r>
          </w:p>
        </w:tc>
        <w:tc>
          <w:tcPr>
            <w:tcW w:w="1277" w:type="pct"/>
            <w:gridSpan w:val="3"/>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254EBE1" w14:textId="77777777" w:rsidR="004601DE" w:rsidRPr="00E60E24" w:rsidRDefault="004601DE" w:rsidP="00F25AC8">
            <w:pPr>
              <w:spacing w:after="120"/>
              <w:jc w:val="center"/>
              <w:rPr>
                <w:sz w:val="18"/>
                <w:szCs w:val="18"/>
                <w:lang w:eastAsia="pt-BR"/>
              </w:rPr>
            </w:pPr>
            <w:r w:rsidRPr="00E60E24">
              <w:rPr>
                <w:sz w:val="18"/>
                <w:szCs w:val="18"/>
                <w:lang w:eastAsia="pt-BR"/>
              </w:rPr>
              <w:t>II</w:t>
            </w:r>
          </w:p>
        </w:tc>
        <w:tc>
          <w:tcPr>
            <w:tcW w:w="41"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EE9E915" w14:textId="77777777" w:rsidR="004601DE" w:rsidRPr="00E60E24" w:rsidRDefault="004601DE" w:rsidP="00F25AC8">
            <w:pPr>
              <w:spacing w:after="120"/>
              <w:jc w:val="center"/>
              <w:rPr>
                <w:sz w:val="18"/>
                <w:szCs w:val="18"/>
                <w:lang w:eastAsia="pt-BR"/>
              </w:rPr>
            </w:pPr>
            <w:r w:rsidRPr="00E60E24">
              <w:rPr>
                <w:sz w:val="18"/>
                <w:szCs w:val="18"/>
                <w:lang w:eastAsia="pt-BR"/>
              </w:rPr>
              <w:t> </w:t>
            </w:r>
          </w:p>
        </w:tc>
        <w:tc>
          <w:tcPr>
            <w:tcW w:w="1274" w:type="pct"/>
            <w:gridSpan w:val="3"/>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E9FBC5E" w14:textId="77777777" w:rsidR="004601DE" w:rsidRPr="00E60E24" w:rsidRDefault="004601DE" w:rsidP="00F25AC8">
            <w:pPr>
              <w:spacing w:after="120"/>
              <w:jc w:val="center"/>
              <w:rPr>
                <w:sz w:val="18"/>
                <w:szCs w:val="18"/>
                <w:lang w:eastAsia="pt-BR"/>
              </w:rPr>
            </w:pPr>
            <w:r w:rsidRPr="00E60E24">
              <w:rPr>
                <w:sz w:val="18"/>
                <w:szCs w:val="18"/>
                <w:lang w:eastAsia="pt-BR"/>
              </w:rPr>
              <w:t>III</w:t>
            </w:r>
          </w:p>
        </w:tc>
      </w:tr>
      <w:tr w:rsidR="004601DE" w:rsidRPr="00E60E24" w14:paraId="51B5417A" w14:textId="77777777" w:rsidTr="004A5DEE">
        <w:trPr>
          <w:trHeight w:val="20"/>
        </w:trPr>
        <w:tc>
          <w:tcPr>
            <w:tcW w:w="1089" w:type="pct"/>
            <w:vMerge/>
            <w:tcBorders>
              <w:top w:val="single" w:sz="4" w:space="0" w:color="auto"/>
              <w:left w:val="nil"/>
              <w:bottom w:val="single" w:sz="8" w:space="0" w:color="000000"/>
              <w:right w:val="nil"/>
            </w:tcBorders>
            <w:vAlign w:val="center"/>
            <w:hideMark/>
          </w:tcPr>
          <w:p w14:paraId="04E4FA09" w14:textId="77777777" w:rsidR="004601DE" w:rsidRPr="00E60E24" w:rsidRDefault="004601DE" w:rsidP="00F25AC8">
            <w:pPr>
              <w:spacing w:after="120"/>
              <w:rPr>
                <w:sz w:val="18"/>
                <w:szCs w:val="18"/>
                <w:lang w:eastAsia="pt-BR"/>
              </w:rPr>
            </w:pPr>
          </w:p>
        </w:tc>
        <w:tc>
          <w:tcPr>
            <w:tcW w:w="41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F58D647" w14:textId="77777777" w:rsidR="004601DE" w:rsidRPr="00E60E24" w:rsidRDefault="004601DE" w:rsidP="00F25AC8">
            <w:pPr>
              <w:spacing w:after="120"/>
              <w:jc w:val="center"/>
              <w:rPr>
                <w:sz w:val="18"/>
                <w:szCs w:val="18"/>
                <w:lang w:eastAsia="pt-BR"/>
              </w:rPr>
            </w:pPr>
            <w:r w:rsidRPr="00E60E24">
              <w:rPr>
                <w:sz w:val="18"/>
                <w:szCs w:val="18"/>
                <w:lang w:eastAsia="pt-BR"/>
              </w:rPr>
              <w:t>2000</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E21512B" w14:textId="77777777" w:rsidR="004601DE" w:rsidRPr="00E60E24" w:rsidRDefault="004601DE" w:rsidP="00F25AC8">
            <w:pPr>
              <w:spacing w:after="120"/>
              <w:jc w:val="center"/>
              <w:rPr>
                <w:sz w:val="18"/>
                <w:szCs w:val="18"/>
                <w:lang w:eastAsia="pt-BR"/>
              </w:rPr>
            </w:pPr>
            <w:r w:rsidRPr="00E60E24">
              <w:rPr>
                <w:sz w:val="18"/>
                <w:szCs w:val="18"/>
                <w:lang w:eastAsia="pt-BR"/>
              </w:rPr>
              <w:t>2010</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3C461" w14:textId="77777777" w:rsidR="004601DE" w:rsidRPr="00E60E24" w:rsidRDefault="004601DE" w:rsidP="00F25AC8">
            <w:pPr>
              <w:spacing w:after="120"/>
              <w:jc w:val="center"/>
              <w:rPr>
                <w:sz w:val="18"/>
                <w:szCs w:val="18"/>
                <w:lang w:eastAsia="pt-BR"/>
              </w:rPr>
            </w:pPr>
            <w:r w:rsidRPr="00E60E24">
              <w:rPr>
                <w:sz w:val="18"/>
                <w:szCs w:val="18"/>
                <w:lang w:eastAsia="pt-BR"/>
              </w:rPr>
              <w:t>Mudança</w:t>
            </w:r>
          </w:p>
        </w:tc>
        <w:tc>
          <w:tcPr>
            <w:tcW w:w="41"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0016420" w14:textId="77777777" w:rsidR="004601DE" w:rsidRPr="00E60E24" w:rsidRDefault="004601DE" w:rsidP="00F25AC8">
            <w:pPr>
              <w:spacing w:after="120"/>
              <w:jc w:val="center"/>
              <w:rPr>
                <w:sz w:val="18"/>
                <w:szCs w:val="18"/>
                <w:lang w:eastAsia="pt-BR"/>
              </w:rPr>
            </w:pPr>
            <w:r w:rsidRPr="00E60E24">
              <w:rPr>
                <w:sz w:val="18"/>
                <w:szCs w:val="18"/>
                <w:lang w:eastAsia="pt-BR"/>
              </w:rPr>
              <w:t> </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06B03E1" w14:textId="77777777" w:rsidR="004601DE" w:rsidRPr="00E60E24" w:rsidRDefault="004601DE" w:rsidP="00F25AC8">
            <w:pPr>
              <w:spacing w:after="120"/>
              <w:jc w:val="center"/>
              <w:rPr>
                <w:sz w:val="18"/>
                <w:szCs w:val="18"/>
                <w:lang w:eastAsia="pt-BR"/>
              </w:rPr>
            </w:pPr>
            <w:r w:rsidRPr="00E60E24">
              <w:rPr>
                <w:sz w:val="18"/>
                <w:szCs w:val="18"/>
                <w:lang w:eastAsia="pt-BR"/>
              </w:rPr>
              <w:t>2000</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80A9EE" w14:textId="77777777" w:rsidR="004601DE" w:rsidRPr="00E60E24" w:rsidRDefault="004601DE" w:rsidP="00F25AC8">
            <w:pPr>
              <w:spacing w:after="120"/>
              <w:jc w:val="center"/>
              <w:rPr>
                <w:sz w:val="18"/>
                <w:szCs w:val="18"/>
                <w:lang w:eastAsia="pt-BR"/>
              </w:rPr>
            </w:pPr>
            <w:r w:rsidRPr="00E60E24">
              <w:rPr>
                <w:sz w:val="18"/>
                <w:szCs w:val="18"/>
                <w:lang w:eastAsia="pt-BR"/>
              </w:rPr>
              <w:t>2010</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703C51C" w14:textId="77777777" w:rsidR="004601DE" w:rsidRPr="00E60E24" w:rsidRDefault="004601DE" w:rsidP="00F25AC8">
            <w:pPr>
              <w:spacing w:after="120"/>
              <w:jc w:val="center"/>
              <w:rPr>
                <w:sz w:val="18"/>
                <w:szCs w:val="18"/>
                <w:lang w:eastAsia="pt-BR"/>
              </w:rPr>
            </w:pPr>
            <w:r w:rsidRPr="00E60E24">
              <w:rPr>
                <w:sz w:val="18"/>
                <w:szCs w:val="18"/>
                <w:lang w:eastAsia="pt-BR"/>
              </w:rPr>
              <w:t>Mudança</w:t>
            </w:r>
          </w:p>
        </w:tc>
        <w:tc>
          <w:tcPr>
            <w:tcW w:w="41"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6AD9F1C" w14:textId="77777777" w:rsidR="004601DE" w:rsidRPr="00E60E24" w:rsidRDefault="004601DE" w:rsidP="00F25AC8">
            <w:pPr>
              <w:spacing w:after="120"/>
              <w:jc w:val="center"/>
              <w:rPr>
                <w:sz w:val="18"/>
                <w:szCs w:val="18"/>
                <w:lang w:eastAsia="pt-BR"/>
              </w:rPr>
            </w:pPr>
            <w:r w:rsidRPr="00E60E24">
              <w:rPr>
                <w:sz w:val="18"/>
                <w:szCs w:val="18"/>
                <w:lang w:eastAsia="pt-BR"/>
              </w:rPr>
              <w:t> </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DBDCA25" w14:textId="77777777" w:rsidR="004601DE" w:rsidRPr="00E60E24" w:rsidRDefault="004601DE" w:rsidP="00F25AC8">
            <w:pPr>
              <w:spacing w:after="120"/>
              <w:jc w:val="center"/>
              <w:rPr>
                <w:sz w:val="18"/>
                <w:szCs w:val="18"/>
                <w:lang w:eastAsia="pt-BR"/>
              </w:rPr>
            </w:pPr>
            <w:r w:rsidRPr="00E60E24">
              <w:rPr>
                <w:sz w:val="18"/>
                <w:szCs w:val="18"/>
                <w:lang w:eastAsia="pt-BR"/>
              </w:rPr>
              <w:t>2000</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500A02B" w14:textId="77777777" w:rsidR="004601DE" w:rsidRPr="00E60E24" w:rsidRDefault="004601DE" w:rsidP="00F25AC8">
            <w:pPr>
              <w:spacing w:after="120"/>
              <w:jc w:val="center"/>
              <w:rPr>
                <w:sz w:val="18"/>
                <w:szCs w:val="18"/>
                <w:lang w:eastAsia="pt-BR"/>
              </w:rPr>
            </w:pPr>
            <w:r w:rsidRPr="00E60E24">
              <w:rPr>
                <w:sz w:val="18"/>
                <w:szCs w:val="18"/>
                <w:lang w:eastAsia="pt-BR"/>
              </w:rPr>
              <w:t>2010</w:t>
            </w:r>
          </w:p>
        </w:tc>
        <w:tc>
          <w:tcPr>
            <w:tcW w:w="409"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40D6A56" w14:textId="77777777" w:rsidR="004601DE" w:rsidRPr="00E60E24" w:rsidRDefault="004601DE" w:rsidP="00F25AC8">
            <w:pPr>
              <w:spacing w:after="120"/>
              <w:jc w:val="center"/>
              <w:rPr>
                <w:sz w:val="18"/>
                <w:szCs w:val="18"/>
                <w:lang w:eastAsia="pt-BR"/>
              </w:rPr>
            </w:pPr>
            <w:r w:rsidRPr="00E60E24">
              <w:rPr>
                <w:sz w:val="18"/>
                <w:szCs w:val="18"/>
                <w:lang w:eastAsia="pt-BR"/>
              </w:rPr>
              <w:t>Mudança</w:t>
            </w:r>
          </w:p>
        </w:tc>
      </w:tr>
      <w:tr w:rsidR="004601DE" w:rsidRPr="00E60E24" w14:paraId="0C83F4B7"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319DD62A"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0F2DD1DE"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BD8E57F" w14:textId="77777777" w:rsidR="004601DE" w:rsidRPr="00E60E24" w:rsidRDefault="004601DE" w:rsidP="00F25AC8">
            <w:pPr>
              <w:spacing w:after="120"/>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AE92DA6"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E892487"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E4B262F"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404BC6E" w14:textId="77777777" w:rsidR="004601DE" w:rsidRPr="00E60E24" w:rsidRDefault="004601DE" w:rsidP="00F25AC8">
            <w:pPr>
              <w:spacing w:after="120"/>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4BD9C42"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692050B6"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7C553ED"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8315D9A"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68E0A0C1" w14:textId="77777777" w:rsidR="004601DE" w:rsidRPr="00E60E24" w:rsidRDefault="004601DE" w:rsidP="00F25AC8">
            <w:pPr>
              <w:spacing w:after="120"/>
              <w:jc w:val="center"/>
              <w:rPr>
                <w:sz w:val="18"/>
                <w:szCs w:val="18"/>
                <w:lang w:eastAsia="pt-BR"/>
              </w:rPr>
            </w:pPr>
          </w:p>
        </w:tc>
      </w:tr>
      <w:tr w:rsidR="004601DE" w:rsidRPr="00E60E24" w14:paraId="3FDEE2A6"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3D4FD9D6" w14:textId="77777777" w:rsidR="004601DE" w:rsidRPr="00E60E24" w:rsidRDefault="004601DE" w:rsidP="00F25AC8">
            <w:pPr>
              <w:spacing w:after="120"/>
              <w:rPr>
                <w:sz w:val="18"/>
                <w:szCs w:val="18"/>
                <w:lang w:eastAsia="pt-BR"/>
              </w:rPr>
            </w:pPr>
            <w:r w:rsidRPr="00E60E24">
              <w:rPr>
                <w:sz w:val="18"/>
                <w:szCs w:val="18"/>
                <w:lang w:eastAsia="pt-BR"/>
              </w:rPr>
              <w:t>Anos de escolaridade</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3B64B9EA" w14:textId="77777777" w:rsidR="004601DE" w:rsidRPr="00E60E24" w:rsidRDefault="004601DE" w:rsidP="00F25AC8">
            <w:pPr>
              <w:spacing w:after="120"/>
              <w:jc w:val="center"/>
              <w:rPr>
                <w:sz w:val="18"/>
                <w:szCs w:val="18"/>
                <w:lang w:eastAsia="pt-BR"/>
              </w:rPr>
            </w:pPr>
            <w:r w:rsidRPr="00E60E24">
              <w:rPr>
                <w:sz w:val="18"/>
                <w:szCs w:val="18"/>
                <w:lang w:eastAsia="pt-BR"/>
              </w:rPr>
              <w:t>0,0903</w:t>
            </w:r>
            <w:r w:rsidRPr="00E60E24">
              <w:rPr>
                <w:sz w:val="18"/>
                <w:szCs w:val="18"/>
                <w:vertAlign w:val="superscript"/>
                <w:lang w:eastAsia="pt-BR"/>
              </w:rPr>
              <w:t>a</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23D1150" w14:textId="77777777" w:rsidR="004601DE" w:rsidRPr="00E60E24" w:rsidRDefault="004601DE" w:rsidP="00F25AC8">
            <w:pPr>
              <w:spacing w:after="120"/>
              <w:jc w:val="center"/>
              <w:rPr>
                <w:sz w:val="18"/>
                <w:szCs w:val="18"/>
                <w:lang w:eastAsia="pt-BR"/>
              </w:rPr>
            </w:pPr>
            <w:r w:rsidRPr="00E60E24">
              <w:rPr>
                <w:sz w:val="18"/>
                <w:szCs w:val="18"/>
                <w:lang w:eastAsia="pt-BR"/>
              </w:rPr>
              <w:t>0,0842ª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BCDF298" w14:textId="77777777" w:rsidR="004601DE" w:rsidRPr="00E60E24" w:rsidRDefault="004601DE" w:rsidP="00F25AC8">
            <w:pPr>
              <w:spacing w:after="120"/>
              <w:jc w:val="center"/>
              <w:rPr>
                <w:sz w:val="18"/>
                <w:szCs w:val="18"/>
                <w:lang w:eastAsia="pt-BR"/>
              </w:rPr>
            </w:pPr>
            <w:r w:rsidRPr="00E60E24">
              <w:rPr>
                <w:sz w:val="18"/>
                <w:szCs w:val="18"/>
                <w:lang w:eastAsia="pt-BR"/>
              </w:rPr>
              <w:t>-0,00619</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6E08477"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E469B81" w14:textId="77777777" w:rsidR="004601DE" w:rsidRPr="00E60E24" w:rsidRDefault="004601DE" w:rsidP="00F25AC8">
            <w:pPr>
              <w:spacing w:after="120"/>
              <w:jc w:val="center"/>
              <w:rPr>
                <w:sz w:val="18"/>
                <w:szCs w:val="18"/>
                <w:lang w:eastAsia="pt-BR"/>
              </w:rPr>
            </w:pPr>
            <w:r w:rsidRPr="00E60E24">
              <w:rPr>
                <w:sz w:val="18"/>
                <w:szCs w:val="18"/>
                <w:lang w:eastAsia="pt-BR"/>
              </w:rPr>
              <w:t>0,0875ª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5C86845" w14:textId="77777777" w:rsidR="004601DE" w:rsidRPr="00E60E24" w:rsidRDefault="004601DE" w:rsidP="00F25AC8">
            <w:pPr>
              <w:spacing w:after="120"/>
              <w:jc w:val="center"/>
              <w:rPr>
                <w:sz w:val="18"/>
                <w:szCs w:val="18"/>
                <w:lang w:eastAsia="pt-BR"/>
              </w:rPr>
            </w:pPr>
            <w:r w:rsidRPr="00E60E24">
              <w:rPr>
                <w:sz w:val="18"/>
                <w:szCs w:val="18"/>
                <w:lang w:eastAsia="pt-BR"/>
              </w:rPr>
              <w:t>0,0822ª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455190C" w14:textId="77777777" w:rsidR="004601DE" w:rsidRPr="00E60E24" w:rsidRDefault="004601DE" w:rsidP="00F25AC8">
            <w:pPr>
              <w:spacing w:after="120"/>
              <w:jc w:val="center"/>
              <w:rPr>
                <w:sz w:val="18"/>
                <w:szCs w:val="18"/>
                <w:lang w:eastAsia="pt-BR"/>
              </w:rPr>
            </w:pPr>
            <w:r w:rsidRPr="00E60E24">
              <w:rPr>
                <w:sz w:val="18"/>
                <w:szCs w:val="18"/>
                <w:lang w:eastAsia="pt-BR"/>
              </w:rPr>
              <w:t>-0,00530</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FAED678"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166B620" w14:textId="77777777" w:rsidR="004601DE" w:rsidRPr="00E60E24" w:rsidRDefault="004601DE" w:rsidP="00F25AC8">
            <w:pPr>
              <w:spacing w:after="120"/>
              <w:jc w:val="center"/>
              <w:rPr>
                <w:sz w:val="18"/>
                <w:szCs w:val="18"/>
                <w:lang w:eastAsia="pt-BR"/>
              </w:rPr>
            </w:pPr>
            <w:r w:rsidRPr="00E60E24">
              <w:rPr>
                <w:sz w:val="18"/>
                <w:szCs w:val="18"/>
                <w:lang w:eastAsia="pt-BR"/>
              </w:rPr>
              <w:t>0,0871ª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C65BF1E" w14:textId="77777777" w:rsidR="004601DE" w:rsidRPr="00E60E24" w:rsidRDefault="004601DE" w:rsidP="00F25AC8">
            <w:pPr>
              <w:spacing w:after="120"/>
              <w:jc w:val="center"/>
              <w:rPr>
                <w:sz w:val="18"/>
                <w:szCs w:val="18"/>
                <w:lang w:eastAsia="pt-BR"/>
              </w:rPr>
            </w:pPr>
            <w:r w:rsidRPr="00E60E24">
              <w:rPr>
                <w:sz w:val="18"/>
                <w:szCs w:val="18"/>
                <w:lang w:eastAsia="pt-BR"/>
              </w:rPr>
              <w:t>0,0819ª</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1661C568" w14:textId="77777777" w:rsidR="004601DE" w:rsidRPr="00E60E24" w:rsidRDefault="004601DE" w:rsidP="00F25AC8">
            <w:pPr>
              <w:spacing w:after="120"/>
              <w:jc w:val="center"/>
              <w:rPr>
                <w:sz w:val="18"/>
                <w:szCs w:val="18"/>
                <w:lang w:eastAsia="pt-BR"/>
              </w:rPr>
            </w:pPr>
            <w:r w:rsidRPr="00E60E24">
              <w:rPr>
                <w:sz w:val="18"/>
                <w:szCs w:val="18"/>
                <w:lang w:eastAsia="pt-BR"/>
              </w:rPr>
              <w:t>-0,00523</w:t>
            </w:r>
          </w:p>
        </w:tc>
      </w:tr>
      <w:tr w:rsidR="004601DE" w:rsidRPr="00E60E24" w14:paraId="3684E0FC"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64A9D929"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62FCF872" w14:textId="77777777" w:rsidR="004601DE" w:rsidRPr="00E60E24" w:rsidRDefault="004601DE" w:rsidP="00F25AC8">
            <w:pPr>
              <w:spacing w:after="120"/>
              <w:jc w:val="center"/>
              <w:rPr>
                <w:sz w:val="18"/>
                <w:szCs w:val="18"/>
                <w:lang w:eastAsia="pt-BR"/>
              </w:rPr>
            </w:pPr>
            <w:r w:rsidRPr="00E60E24">
              <w:rPr>
                <w:sz w:val="18"/>
                <w:szCs w:val="18"/>
                <w:lang w:eastAsia="pt-BR"/>
              </w:rPr>
              <w:t>(0,00606)</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DD4259A" w14:textId="77777777" w:rsidR="004601DE" w:rsidRPr="00E60E24" w:rsidRDefault="004601DE" w:rsidP="00F25AC8">
            <w:pPr>
              <w:spacing w:after="120"/>
              <w:jc w:val="center"/>
              <w:rPr>
                <w:sz w:val="18"/>
                <w:szCs w:val="18"/>
                <w:lang w:eastAsia="pt-BR"/>
              </w:rPr>
            </w:pPr>
            <w:r w:rsidRPr="00E60E24">
              <w:rPr>
                <w:sz w:val="18"/>
                <w:szCs w:val="18"/>
                <w:lang w:eastAsia="pt-BR"/>
              </w:rPr>
              <w:t>(0,00239)</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EB345E8" w14:textId="77777777" w:rsidR="004601DE" w:rsidRPr="00E60E24" w:rsidRDefault="004601DE" w:rsidP="00F25AC8">
            <w:pPr>
              <w:spacing w:after="120"/>
              <w:jc w:val="center"/>
              <w:rPr>
                <w:sz w:val="18"/>
                <w:szCs w:val="18"/>
                <w:lang w:eastAsia="pt-BR"/>
              </w:rPr>
            </w:pPr>
            <w:r w:rsidRPr="00E60E24">
              <w:rPr>
                <w:sz w:val="18"/>
                <w:szCs w:val="18"/>
                <w:lang w:eastAsia="pt-BR"/>
              </w:rPr>
              <w:t>(0,0055)</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6E8DC1A0"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F4A0A24" w14:textId="77777777" w:rsidR="004601DE" w:rsidRPr="00E60E24" w:rsidRDefault="004601DE" w:rsidP="00F25AC8">
            <w:pPr>
              <w:spacing w:after="120"/>
              <w:jc w:val="center"/>
              <w:rPr>
                <w:sz w:val="18"/>
                <w:szCs w:val="18"/>
                <w:lang w:eastAsia="pt-BR"/>
              </w:rPr>
            </w:pPr>
            <w:r w:rsidRPr="00E60E24">
              <w:rPr>
                <w:sz w:val="18"/>
                <w:szCs w:val="18"/>
                <w:lang w:eastAsia="pt-BR"/>
              </w:rPr>
              <w:t>(0,00575)</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673DA06" w14:textId="77777777" w:rsidR="004601DE" w:rsidRPr="00E60E24" w:rsidRDefault="004601DE" w:rsidP="00F25AC8">
            <w:pPr>
              <w:spacing w:after="120"/>
              <w:jc w:val="center"/>
              <w:rPr>
                <w:sz w:val="18"/>
                <w:szCs w:val="18"/>
                <w:lang w:eastAsia="pt-BR"/>
              </w:rPr>
            </w:pPr>
            <w:r w:rsidRPr="00E60E24">
              <w:rPr>
                <w:sz w:val="18"/>
                <w:szCs w:val="18"/>
                <w:lang w:eastAsia="pt-BR"/>
              </w:rPr>
              <w:t>(0,00188)</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57FF4F2" w14:textId="77777777" w:rsidR="004601DE" w:rsidRPr="00E60E24" w:rsidRDefault="004601DE" w:rsidP="00F25AC8">
            <w:pPr>
              <w:spacing w:after="120"/>
              <w:jc w:val="center"/>
              <w:rPr>
                <w:sz w:val="18"/>
                <w:szCs w:val="18"/>
                <w:lang w:eastAsia="pt-BR"/>
              </w:rPr>
            </w:pPr>
            <w:r w:rsidRPr="00E60E24">
              <w:rPr>
                <w:sz w:val="18"/>
                <w:szCs w:val="18"/>
                <w:lang w:eastAsia="pt-BR"/>
              </w:rPr>
              <w:t>(0,0054)</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8E49672"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46C658A" w14:textId="77777777" w:rsidR="004601DE" w:rsidRPr="00E60E24" w:rsidRDefault="004601DE" w:rsidP="00F25AC8">
            <w:pPr>
              <w:spacing w:after="120"/>
              <w:jc w:val="center"/>
              <w:rPr>
                <w:sz w:val="18"/>
                <w:szCs w:val="18"/>
                <w:lang w:eastAsia="pt-BR"/>
              </w:rPr>
            </w:pPr>
            <w:r w:rsidRPr="00E60E24">
              <w:rPr>
                <w:sz w:val="18"/>
                <w:szCs w:val="18"/>
                <w:lang w:eastAsia="pt-BR"/>
              </w:rPr>
              <w:t>(0,00567)</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D80159C" w14:textId="77777777" w:rsidR="004601DE" w:rsidRPr="00E60E24" w:rsidRDefault="004601DE" w:rsidP="00F25AC8">
            <w:pPr>
              <w:spacing w:after="120"/>
              <w:jc w:val="center"/>
              <w:rPr>
                <w:sz w:val="18"/>
                <w:szCs w:val="18"/>
                <w:lang w:eastAsia="pt-BR"/>
              </w:rPr>
            </w:pPr>
            <w:r w:rsidRPr="00E60E24">
              <w:rPr>
                <w:sz w:val="18"/>
                <w:szCs w:val="18"/>
                <w:lang w:eastAsia="pt-BR"/>
              </w:rPr>
              <w:t>(0,00178)</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55C9B72B" w14:textId="77777777" w:rsidR="004601DE" w:rsidRPr="00E60E24" w:rsidRDefault="004601DE" w:rsidP="00F25AC8">
            <w:pPr>
              <w:spacing w:after="120"/>
              <w:jc w:val="center"/>
              <w:rPr>
                <w:sz w:val="18"/>
                <w:szCs w:val="18"/>
                <w:lang w:eastAsia="pt-BR"/>
              </w:rPr>
            </w:pPr>
            <w:r w:rsidRPr="00E60E24">
              <w:rPr>
                <w:sz w:val="18"/>
                <w:szCs w:val="18"/>
                <w:lang w:eastAsia="pt-BR"/>
              </w:rPr>
              <w:t>(0,00533)</w:t>
            </w:r>
          </w:p>
        </w:tc>
      </w:tr>
      <w:tr w:rsidR="004601DE" w:rsidRPr="00E60E24" w14:paraId="028993B7"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22B800C3" w14:textId="77777777" w:rsidR="004601DE" w:rsidRPr="00E60E24" w:rsidRDefault="004601DE" w:rsidP="00F25AC8">
            <w:pPr>
              <w:spacing w:after="120"/>
              <w:rPr>
                <w:sz w:val="18"/>
                <w:szCs w:val="18"/>
                <w:lang w:eastAsia="pt-BR"/>
              </w:rPr>
            </w:pPr>
            <w:r w:rsidRPr="00E60E24">
              <w:rPr>
                <w:sz w:val="18"/>
                <w:szCs w:val="18"/>
                <w:lang w:eastAsia="pt-BR"/>
              </w:rPr>
              <w:t>Experiência</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0801EAD2" w14:textId="77777777" w:rsidR="004601DE" w:rsidRPr="00E60E24" w:rsidRDefault="004601DE" w:rsidP="00F25AC8">
            <w:pPr>
              <w:spacing w:after="120"/>
              <w:jc w:val="center"/>
              <w:rPr>
                <w:sz w:val="18"/>
                <w:szCs w:val="18"/>
                <w:lang w:eastAsia="pt-BR"/>
              </w:rPr>
            </w:pPr>
            <w:r w:rsidRPr="00E60E24">
              <w:rPr>
                <w:sz w:val="18"/>
                <w:szCs w:val="18"/>
                <w:lang w:eastAsia="pt-BR"/>
              </w:rPr>
              <w:t>0,0495ª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4C9A33AF" w14:textId="77777777" w:rsidR="004601DE" w:rsidRPr="00E60E24" w:rsidRDefault="004601DE" w:rsidP="00F25AC8">
            <w:pPr>
              <w:spacing w:after="120"/>
              <w:jc w:val="center"/>
              <w:rPr>
                <w:sz w:val="18"/>
                <w:szCs w:val="18"/>
                <w:lang w:eastAsia="pt-BR"/>
              </w:rPr>
            </w:pPr>
            <w:r w:rsidRPr="00E60E24">
              <w:rPr>
                <w:sz w:val="18"/>
                <w:szCs w:val="18"/>
                <w:lang w:eastAsia="pt-BR"/>
              </w:rPr>
              <w:t>0,0303ª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2BD9FA8" w14:textId="77777777" w:rsidR="004601DE" w:rsidRPr="00E60E24" w:rsidRDefault="004601DE" w:rsidP="00F25AC8">
            <w:pPr>
              <w:spacing w:after="120"/>
              <w:jc w:val="center"/>
              <w:rPr>
                <w:sz w:val="18"/>
                <w:szCs w:val="18"/>
                <w:lang w:eastAsia="pt-BR"/>
              </w:rPr>
            </w:pPr>
            <w:r w:rsidRPr="00E60E24">
              <w:rPr>
                <w:sz w:val="18"/>
                <w:szCs w:val="18"/>
                <w:lang w:eastAsia="pt-BR"/>
              </w:rPr>
              <w:t>-0,0192ª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FA2DD20"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60A0073" w14:textId="77777777" w:rsidR="004601DE" w:rsidRPr="00E60E24" w:rsidRDefault="004601DE" w:rsidP="00F25AC8">
            <w:pPr>
              <w:spacing w:after="120"/>
              <w:jc w:val="center"/>
              <w:rPr>
                <w:sz w:val="18"/>
                <w:szCs w:val="18"/>
                <w:lang w:eastAsia="pt-BR"/>
              </w:rPr>
            </w:pPr>
            <w:r w:rsidRPr="00E60E24">
              <w:rPr>
                <w:sz w:val="18"/>
                <w:szCs w:val="18"/>
                <w:lang w:eastAsia="pt-BR"/>
              </w:rPr>
              <w:t>0,0481ª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8BFFDDD" w14:textId="77777777" w:rsidR="004601DE" w:rsidRPr="00E60E24" w:rsidRDefault="004601DE" w:rsidP="00F25AC8">
            <w:pPr>
              <w:spacing w:after="120"/>
              <w:jc w:val="center"/>
              <w:rPr>
                <w:sz w:val="18"/>
                <w:szCs w:val="18"/>
                <w:lang w:eastAsia="pt-BR"/>
              </w:rPr>
            </w:pPr>
            <w:r w:rsidRPr="00E60E24">
              <w:rPr>
                <w:sz w:val="18"/>
                <w:szCs w:val="18"/>
                <w:lang w:eastAsia="pt-BR"/>
              </w:rPr>
              <w:t>0,0296ª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87AE911" w14:textId="77777777" w:rsidR="004601DE" w:rsidRPr="00E60E24" w:rsidRDefault="004601DE" w:rsidP="00F25AC8">
            <w:pPr>
              <w:spacing w:after="120"/>
              <w:jc w:val="center"/>
              <w:rPr>
                <w:sz w:val="18"/>
                <w:szCs w:val="18"/>
                <w:lang w:eastAsia="pt-BR"/>
              </w:rPr>
            </w:pPr>
            <w:r w:rsidRPr="00E60E24">
              <w:rPr>
                <w:sz w:val="18"/>
                <w:szCs w:val="18"/>
                <w:lang w:eastAsia="pt-BR"/>
              </w:rPr>
              <w:t>-0,0185ª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E4C0C96"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68BC769" w14:textId="77777777" w:rsidR="004601DE" w:rsidRPr="00E60E24" w:rsidRDefault="004601DE" w:rsidP="00F25AC8">
            <w:pPr>
              <w:spacing w:after="120"/>
              <w:jc w:val="center"/>
              <w:rPr>
                <w:sz w:val="18"/>
                <w:szCs w:val="18"/>
                <w:lang w:eastAsia="pt-BR"/>
              </w:rPr>
            </w:pPr>
            <w:r w:rsidRPr="00E60E24">
              <w:rPr>
                <w:sz w:val="18"/>
                <w:szCs w:val="18"/>
                <w:lang w:eastAsia="pt-BR"/>
              </w:rPr>
              <w:t>0,0480ª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B6DD6B8" w14:textId="77777777" w:rsidR="004601DE" w:rsidRPr="00E60E24" w:rsidRDefault="004601DE" w:rsidP="00F25AC8">
            <w:pPr>
              <w:spacing w:after="120"/>
              <w:jc w:val="center"/>
              <w:rPr>
                <w:sz w:val="18"/>
                <w:szCs w:val="18"/>
                <w:lang w:eastAsia="pt-BR"/>
              </w:rPr>
            </w:pPr>
            <w:r w:rsidRPr="00E60E24">
              <w:rPr>
                <w:sz w:val="18"/>
                <w:szCs w:val="18"/>
                <w:lang w:eastAsia="pt-BR"/>
              </w:rPr>
              <w:t>0,0296ª</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1FD326F0" w14:textId="77777777" w:rsidR="004601DE" w:rsidRPr="00E60E24" w:rsidRDefault="004601DE" w:rsidP="00F25AC8">
            <w:pPr>
              <w:spacing w:after="120"/>
              <w:jc w:val="center"/>
              <w:rPr>
                <w:sz w:val="18"/>
                <w:szCs w:val="18"/>
                <w:lang w:eastAsia="pt-BR"/>
              </w:rPr>
            </w:pPr>
            <w:r w:rsidRPr="00E60E24">
              <w:rPr>
                <w:sz w:val="18"/>
                <w:szCs w:val="18"/>
                <w:lang w:eastAsia="pt-BR"/>
              </w:rPr>
              <w:t>-0,0184ª</w:t>
            </w:r>
          </w:p>
        </w:tc>
      </w:tr>
      <w:tr w:rsidR="004601DE" w:rsidRPr="00E60E24" w14:paraId="3A168B22"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72F494BD"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2BFB1EE2" w14:textId="77777777" w:rsidR="004601DE" w:rsidRPr="00E60E24" w:rsidRDefault="004601DE" w:rsidP="00F25AC8">
            <w:pPr>
              <w:spacing w:after="120"/>
              <w:jc w:val="center"/>
              <w:rPr>
                <w:sz w:val="18"/>
                <w:szCs w:val="18"/>
                <w:lang w:eastAsia="pt-BR"/>
              </w:rPr>
            </w:pPr>
            <w:r w:rsidRPr="00E60E24">
              <w:rPr>
                <w:sz w:val="18"/>
                <w:szCs w:val="18"/>
                <w:lang w:eastAsia="pt-BR"/>
              </w:rPr>
              <w:t>(0,0008)</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BDC9732" w14:textId="77777777" w:rsidR="004601DE" w:rsidRPr="00E60E24" w:rsidRDefault="004601DE" w:rsidP="00F25AC8">
            <w:pPr>
              <w:spacing w:after="120"/>
              <w:jc w:val="center"/>
              <w:rPr>
                <w:sz w:val="18"/>
                <w:szCs w:val="18"/>
                <w:lang w:eastAsia="pt-BR"/>
              </w:rPr>
            </w:pPr>
            <w:r w:rsidRPr="00E60E24">
              <w:rPr>
                <w:sz w:val="18"/>
                <w:szCs w:val="18"/>
                <w:lang w:eastAsia="pt-BR"/>
              </w:rPr>
              <w:t>(0,0005)</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8A143DD" w14:textId="77777777" w:rsidR="004601DE" w:rsidRPr="00E60E24" w:rsidRDefault="004601DE" w:rsidP="00F25AC8">
            <w:pPr>
              <w:spacing w:after="120"/>
              <w:jc w:val="center"/>
              <w:rPr>
                <w:sz w:val="18"/>
                <w:szCs w:val="18"/>
                <w:lang w:eastAsia="pt-BR"/>
              </w:rPr>
            </w:pPr>
            <w:r w:rsidRPr="00E60E24">
              <w:rPr>
                <w:sz w:val="18"/>
                <w:szCs w:val="18"/>
                <w:lang w:eastAsia="pt-BR"/>
              </w:rPr>
              <w:t>(0,0010)</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DB541F0"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DAF670F" w14:textId="77777777" w:rsidR="004601DE" w:rsidRPr="00E60E24" w:rsidRDefault="004601DE" w:rsidP="00F25AC8">
            <w:pPr>
              <w:spacing w:after="120"/>
              <w:jc w:val="center"/>
              <w:rPr>
                <w:sz w:val="18"/>
                <w:szCs w:val="18"/>
                <w:lang w:eastAsia="pt-BR"/>
              </w:rPr>
            </w:pPr>
            <w:r w:rsidRPr="00E60E24">
              <w:rPr>
                <w:sz w:val="18"/>
                <w:szCs w:val="18"/>
                <w:lang w:eastAsia="pt-BR"/>
              </w:rPr>
              <w:t>(0,00080)</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D11803E" w14:textId="77777777" w:rsidR="004601DE" w:rsidRPr="00E60E24" w:rsidRDefault="004601DE" w:rsidP="00F25AC8">
            <w:pPr>
              <w:spacing w:after="120"/>
              <w:jc w:val="center"/>
              <w:rPr>
                <w:sz w:val="18"/>
                <w:szCs w:val="18"/>
                <w:lang w:eastAsia="pt-BR"/>
              </w:rPr>
            </w:pPr>
            <w:r w:rsidRPr="00E60E24">
              <w:rPr>
                <w:sz w:val="18"/>
                <w:szCs w:val="18"/>
                <w:lang w:eastAsia="pt-BR"/>
              </w:rPr>
              <w:t>(0,00053)</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371A38B" w14:textId="77777777" w:rsidR="004601DE" w:rsidRPr="00E60E24" w:rsidRDefault="004601DE" w:rsidP="00F25AC8">
            <w:pPr>
              <w:spacing w:after="120"/>
              <w:jc w:val="center"/>
              <w:rPr>
                <w:sz w:val="18"/>
                <w:szCs w:val="18"/>
                <w:lang w:eastAsia="pt-BR"/>
              </w:rPr>
            </w:pPr>
            <w:r w:rsidRPr="00E60E24">
              <w:rPr>
                <w:sz w:val="18"/>
                <w:szCs w:val="18"/>
                <w:lang w:eastAsia="pt-BR"/>
              </w:rPr>
              <w:t>(0,00101)</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399BB6E1"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5C3B619" w14:textId="77777777" w:rsidR="004601DE" w:rsidRPr="00E60E24" w:rsidRDefault="004601DE" w:rsidP="00F25AC8">
            <w:pPr>
              <w:spacing w:after="120"/>
              <w:jc w:val="center"/>
              <w:rPr>
                <w:sz w:val="18"/>
                <w:szCs w:val="18"/>
                <w:lang w:eastAsia="pt-BR"/>
              </w:rPr>
            </w:pPr>
            <w:r w:rsidRPr="00E60E24">
              <w:rPr>
                <w:sz w:val="18"/>
                <w:szCs w:val="18"/>
                <w:lang w:eastAsia="pt-BR"/>
              </w:rPr>
              <w:t>(0,00080)</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02DA72F" w14:textId="77777777" w:rsidR="004601DE" w:rsidRPr="00E60E24" w:rsidRDefault="004601DE" w:rsidP="00F25AC8">
            <w:pPr>
              <w:spacing w:after="120"/>
              <w:jc w:val="center"/>
              <w:rPr>
                <w:sz w:val="18"/>
                <w:szCs w:val="18"/>
                <w:lang w:eastAsia="pt-BR"/>
              </w:rPr>
            </w:pPr>
            <w:r w:rsidRPr="00E60E24">
              <w:rPr>
                <w:sz w:val="18"/>
                <w:szCs w:val="18"/>
                <w:lang w:eastAsia="pt-BR"/>
              </w:rPr>
              <w:t>(0,00054)</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5273A890" w14:textId="77777777" w:rsidR="004601DE" w:rsidRPr="00E60E24" w:rsidRDefault="004601DE" w:rsidP="00F25AC8">
            <w:pPr>
              <w:spacing w:after="120"/>
              <w:jc w:val="center"/>
              <w:rPr>
                <w:sz w:val="18"/>
                <w:szCs w:val="18"/>
                <w:lang w:eastAsia="pt-BR"/>
              </w:rPr>
            </w:pPr>
            <w:r w:rsidRPr="00E60E24">
              <w:rPr>
                <w:sz w:val="18"/>
                <w:szCs w:val="18"/>
                <w:lang w:eastAsia="pt-BR"/>
              </w:rPr>
              <w:t>(0,00101)</w:t>
            </w:r>
          </w:p>
        </w:tc>
      </w:tr>
      <w:tr w:rsidR="004601DE" w:rsidRPr="00E60E24" w14:paraId="62FD3F0C"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0DE463A2" w14:textId="77777777" w:rsidR="004601DE" w:rsidRPr="00E60E24" w:rsidRDefault="004601DE" w:rsidP="00F25AC8">
            <w:pPr>
              <w:spacing w:after="120"/>
              <w:rPr>
                <w:sz w:val="18"/>
                <w:szCs w:val="18"/>
                <w:lang w:eastAsia="pt-BR"/>
              </w:rPr>
            </w:pPr>
            <w:r w:rsidRPr="00E60E24">
              <w:rPr>
                <w:sz w:val="18"/>
                <w:szCs w:val="18"/>
                <w:lang w:eastAsia="pt-BR"/>
              </w:rPr>
              <w:t>Experiência</w:t>
            </w:r>
            <w:r w:rsidRPr="00E60E24">
              <w:rPr>
                <w:sz w:val="18"/>
                <w:szCs w:val="18"/>
                <w:vertAlign w:val="superscript"/>
                <w:lang w:eastAsia="pt-BR"/>
              </w:rPr>
              <w:t>2</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0DCEEDE2" w14:textId="77777777" w:rsidR="004601DE" w:rsidRPr="00E60E24" w:rsidRDefault="004601DE" w:rsidP="00F25AC8">
            <w:pPr>
              <w:spacing w:after="120"/>
              <w:jc w:val="center"/>
              <w:rPr>
                <w:sz w:val="18"/>
                <w:szCs w:val="18"/>
                <w:lang w:eastAsia="pt-BR"/>
              </w:rPr>
            </w:pPr>
            <w:r w:rsidRPr="00E60E24">
              <w:rPr>
                <w:sz w:val="18"/>
                <w:szCs w:val="18"/>
                <w:lang w:eastAsia="pt-BR"/>
              </w:rPr>
              <w:t>-0,0627ª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688BB23" w14:textId="77777777" w:rsidR="004601DE" w:rsidRPr="00E60E24" w:rsidRDefault="004601DE" w:rsidP="00F25AC8">
            <w:pPr>
              <w:spacing w:after="120"/>
              <w:jc w:val="center"/>
              <w:rPr>
                <w:sz w:val="18"/>
                <w:szCs w:val="18"/>
                <w:lang w:eastAsia="pt-BR"/>
              </w:rPr>
            </w:pPr>
            <w:r w:rsidRPr="00E60E24">
              <w:rPr>
                <w:sz w:val="18"/>
                <w:szCs w:val="18"/>
                <w:lang w:eastAsia="pt-BR"/>
              </w:rPr>
              <w:t>-0,0338ª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68004DB" w14:textId="77777777" w:rsidR="004601DE" w:rsidRPr="00E60E24" w:rsidRDefault="004601DE" w:rsidP="00F25AC8">
            <w:pPr>
              <w:spacing w:after="120"/>
              <w:jc w:val="center"/>
              <w:rPr>
                <w:sz w:val="18"/>
                <w:szCs w:val="18"/>
                <w:lang w:eastAsia="pt-BR"/>
              </w:rPr>
            </w:pPr>
            <w:r w:rsidRPr="00E60E24">
              <w:rPr>
                <w:sz w:val="18"/>
                <w:szCs w:val="18"/>
                <w:lang w:eastAsia="pt-BR"/>
              </w:rPr>
              <w:t>0,0290ª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084728EB"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CF96D4E" w14:textId="77777777" w:rsidR="004601DE" w:rsidRPr="00E60E24" w:rsidRDefault="004601DE" w:rsidP="00F25AC8">
            <w:pPr>
              <w:spacing w:after="120"/>
              <w:jc w:val="center"/>
              <w:rPr>
                <w:sz w:val="18"/>
                <w:szCs w:val="18"/>
                <w:lang w:eastAsia="pt-BR"/>
              </w:rPr>
            </w:pPr>
            <w:r w:rsidRPr="00E60E24">
              <w:rPr>
                <w:sz w:val="18"/>
                <w:szCs w:val="18"/>
                <w:lang w:eastAsia="pt-BR"/>
              </w:rPr>
              <w:t>-0,0606ª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7E30A12" w14:textId="77777777" w:rsidR="004601DE" w:rsidRPr="00E60E24" w:rsidRDefault="004601DE" w:rsidP="00F25AC8">
            <w:pPr>
              <w:spacing w:after="120"/>
              <w:jc w:val="center"/>
              <w:rPr>
                <w:sz w:val="18"/>
                <w:szCs w:val="18"/>
                <w:lang w:eastAsia="pt-BR"/>
              </w:rPr>
            </w:pPr>
            <w:r w:rsidRPr="00E60E24">
              <w:rPr>
                <w:sz w:val="18"/>
                <w:szCs w:val="18"/>
                <w:lang w:eastAsia="pt-BR"/>
              </w:rPr>
              <w:t>-0,0327ª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C065258" w14:textId="77777777" w:rsidR="004601DE" w:rsidRPr="00E60E24" w:rsidRDefault="004601DE" w:rsidP="00F25AC8">
            <w:pPr>
              <w:spacing w:after="120"/>
              <w:jc w:val="center"/>
              <w:rPr>
                <w:sz w:val="18"/>
                <w:szCs w:val="18"/>
                <w:lang w:eastAsia="pt-BR"/>
              </w:rPr>
            </w:pPr>
            <w:r w:rsidRPr="00E60E24">
              <w:rPr>
                <w:sz w:val="18"/>
                <w:szCs w:val="18"/>
                <w:lang w:eastAsia="pt-BR"/>
              </w:rPr>
              <w:t>0,0279ª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7991D2E8"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A54FF6C" w14:textId="77777777" w:rsidR="004601DE" w:rsidRPr="00E60E24" w:rsidRDefault="004601DE" w:rsidP="00F25AC8">
            <w:pPr>
              <w:spacing w:after="120"/>
              <w:jc w:val="center"/>
              <w:rPr>
                <w:sz w:val="18"/>
                <w:szCs w:val="18"/>
                <w:lang w:eastAsia="pt-BR"/>
              </w:rPr>
            </w:pPr>
            <w:r w:rsidRPr="00E60E24">
              <w:rPr>
                <w:sz w:val="18"/>
                <w:szCs w:val="18"/>
                <w:lang w:eastAsia="pt-BR"/>
              </w:rPr>
              <w:t>-0,0604ª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9D7B6DD" w14:textId="77777777" w:rsidR="004601DE" w:rsidRPr="00E60E24" w:rsidRDefault="004601DE" w:rsidP="00F25AC8">
            <w:pPr>
              <w:spacing w:after="120"/>
              <w:jc w:val="center"/>
              <w:rPr>
                <w:sz w:val="18"/>
                <w:szCs w:val="18"/>
                <w:lang w:eastAsia="pt-BR"/>
              </w:rPr>
            </w:pPr>
            <w:r w:rsidRPr="00E60E24">
              <w:rPr>
                <w:sz w:val="18"/>
                <w:szCs w:val="18"/>
                <w:lang w:eastAsia="pt-BR"/>
              </w:rPr>
              <w:t>-0,0325ª</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38F13F4" w14:textId="77777777" w:rsidR="004601DE" w:rsidRPr="00E60E24" w:rsidRDefault="004601DE" w:rsidP="00F25AC8">
            <w:pPr>
              <w:spacing w:after="120"/>
              <w:jc w:val="center"/>
              <w:rPr>
                <w:sz w:val="18"/>
                <w:szCs w:val="18"/>
                <w:lang w:eastAsia="pt-BR"/>
              </w:rPr>
            </w:pPr>
            <w:r w:rsidRPr="00E60E24">
              <w:rPr>
                <w:sz w:val="18"/>
                <w:szCs w:val="18"/>
                <w:lang w:eastAsia="pt-BR"/>
              </w:rPr>
              <w:t>0,0279ª</w:t>
            </w:r>
          </w:p>
        </w:tc>
      </w:tr>
      <w:tr w:rsidR="004601DE" w:rsidRPr="00E60E24" w14:paraId="2534109A"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28688D2C"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4DFC9458" w14:textId="77777777" w:rsidR="004601DE" w:rsidRPr="00E60E24" w:rsidRDefault="004601DE" w:rsidP="00F25AC8">
            <w:pPr>
              <w:spacing w:after="120"/>
              <w:jc w:val="center"/>
              <w:rPr>
                <w:sz w:val="18"/>
                <w:szCs w:val="18"/>
                <w:lang w:eastAsia="pt-BR"/>
              </w:rPr>
            </w:pPr>
            <w:r w:rsidRPr="00E60E24">
              <w:rPr>
                <w:sz w:val="18"/>
                <w:szCs w:val="18"/>
                <w:lang w:eastAsia="pt-BR"/>
              </w:rPr>
              <w:t>(0,00181)</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DD3D91F" w14:textId="77777777" w:rsidR="004601DE" w:rsidRPr="00E60E24" w:rsidRDefault="004601DE" w:rsidP="00F25AC8">
            <w:pPr>
              <w:spacing w:after="120"/>
              <w:jc w:val="center"/>
              <w:rPr>
                <w:sz w:val="18"/>
                <w:szCs w:val="18"/>
                <w:lang w:eastAsia="pt-BR"/>
              </w:rPr>
            </w:pPr>
            <w:r w:rsidRPr="00E60E24">
              <w:rPr>
                <w:sz w:val="18"/>
                <w:szCs w:val="18"/>
                <w:lang w:eastAsia="pt-BR"/>
              </w:rPr>
              <w:t>(0,00061)</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33D5C57" w14:textId="77777777" w:rsidR="004601DE" w:rsidRPr="00E60E24" w:rsidRDefault="004601DE" w:rsidP="00F25AC8">
            <w:pPr>
              <w:spacing w:after="120"/>
              <w:jc w:val="center"/>
              <w:rPr>
                <w:sz w:val="18"/>
                <w:szCs w:val="18"/>
                <w:lang w:eastAsia="pt-BR"/>
              </w:rPr>
            </w:pPr>
            <w:r w:rsidRPr="00E60E24">
              <w:rPr>
                <w:sz w:val="18"/>
                <w:szCs w:val="18"/>
                <w:lang w:eastAsia="pt-BR"/>
              </w:rPr>
              <w:t>(0,00203)</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40C6CF8"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BBD2735" w14:textId="77777777" w:rsidR="004601DE" w:rsidRPr="00E60E24" w:rsidRDefault="004601DE" w:rsidP="00F25AC8">
            <w:pPr>
              <w:spacing w:after="120"/>
              <w:jc w:val="center"/>
              <w:rPr>
                <w:sz w:val="18"/>
                <w:szCs w:val="18"/>
                <w:lang w:eastAsia="pt-BR"/>
              </w:rPr>
            </w:pPr>
            <w:r w:rsidRPr="00E60E24">
              <w:rPr>
                <w:sz w:val="18"/>
                <w:szCs w:val="18"/>
                <w:lang w:eastAsia="pt-BR"/>
              </w:rPr>
              <w:t>(0,00166)</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295F02C" w14:textId="77777777" w:rsidR="004601DE" w:rsidRPr="00E60E24" w:rsidRDefault="004601DE" w:rsidP="00F25AC8">
            <w:pPr>
              <w:spacing w:after="120"/>
              <w:jc w:val="center"/>
              <w:rPr>
                <w:sz w:val="18"/>
                <w:szCs w:val="18"/>
                <w:lang w:eastAsia="pt-BR"/>
              </w:rPr>
            </w:pPr>
            <w:r w:rsidRPr="00E60E24">
              <w:rPr>
                <w:sz w:val="18"/>
                <w:szCs w:val="18"/>
                <w:lang w:eastAsia="pt-BR"/>
              </w:rPr>
              <w:t>(0,00063)</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D2BB29C" w14:textId="77777777" w:rsidR="004601DE" w:rsidRPr="00E60E24" w:rsidRDefault="004601DE" w:rsidP="00F25AC8">
            <w:pPr>
              <w:spacing w:after="120"/>
              <w:jc w:val="center"/>
              <w:rPr>
                <w:sz w:val="18"/>
                <w:szCs w:val="18"/>
                <w:lang w:eastAsia="pt-BR"/>
              </w:rPr>
            </w:pPr>
            <w:r w:rsidRPr="00E60E24">
              <w:rPr>
                <w:sz w:val="18"/>
                <w:szCs w:val="18"/>
                <w:lang w:eastAsia="pt-BR"/>
              </w:rPr>
              <w:t>(0,00188)</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006FD05C"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C990A0D" w14:textId="77777777" w:rsidR="004601DE" w:rsidRPr="00E60E24" w:rsidRDefault="004601DE" w:rsidP="00F25AC8">
            <w:pPr>
              <w:spacing w:after="120"/>
              <w:jc w:val="center"/>
              <w:rPr>
                <w:sz w:val="18"/>
                <w:szCs w:val="18"/>
                <w:lang w:eastAsia="pt-BR"/>
              </w:rPr>
            </w:pPr>
            <w:r w:rsidRPr="00E60E24">
              <w:rPr>
                <w:sz w:val="18"/>
                <w:szCs w:val="18"/>
                <w:lang w:eastAsia="pt-BR"/>
              </w:rPr>
              <w:t>(0,00165)</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6236A24" w14:textId="77777777" w:rsidR="004601DE" w:rsidRPr="00E60E24" w:rsidRDefault="004601DE" w:rsidP="00F25AC8">
            <w:pPr>
              <w:spacing w:after="120"/>
              <w:jc w:val="center"/>
              <w:rPr>
                <w:sz w:val="18"/>
                <w:szCs w:val="18"/>
                <w:lang w:eastAsia="pt-BR"/>
              </w:rPr>
            </w:pPr>
            <w:r w:rsidRPr="00E60E24">
              <w:rPr>
                <w:sz w:val="18"/>
                <w:szCs w:val="18"/>
                <w:lang w:eastAsia="pt-BR"/>
              </w:rPr>
              <w:t>(0,00063)</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7ABCF14" w14:textId="77777777" w:rsidR="004601DE" w:rsidRPr="00E60E24" w:rsidRDefault="004601DE" w:rsidP="00F25AC8">
            <w:pPr>
              <w:spacing w:after="120"/>
              <w:jc w:val="center"/>
              <w:rPr>
                <w:sz w:val="18"/>
                <w:szCs w:val="18"/>
                <w:lang w:eastAsia="pt-BR"/>
              </w:rPr>
            </w:pPr>
            <w:r w:rsidRPr="00E60E24">
              <w:rPr>
                <w:sz w:val="18"/>
                <w:szCs w:val="18"/>
                <w:lang w:eastAsia="pt-BR"/>
              </w:rPr>
              <w:t>(0,00189)</w:t>
            </w:r>
          </w:p>
        </w:tc>
      </w:tr>
      <w:tr w:rsidR="004601DE" w:rsidRPr="00E60E24" w14:paraId="793CAC6A"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596DB1B8" w14:textId="77777777" w:rsidR="004601DE" w:rsidRPr="00E60E24" w:rsidRDefault="004601DE" w:rsidP="00F25AC8">
            <w:pPr>
              <w:spacing w:after="120"/>
              <w:rPr>
                <w:sz w:val="18"/>
                <w:szCs w:val="18"/>
                <w:lang w:eastAsia="pt-BR"/>
              </w:rPr>
            </w:pPr>
            <w:r w:rsidRPr="00E60E24">
              <w:rPr>
                <w:sz w:val="18"/>
                <w:szCs w:val="18"/>
                <w:lang w:eastAsia="pt-BR"/>
              </w:rPr>
              <w:t>Feminino</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6047CE83" w14:textId="77777777" w:rsidR="004601DE" w:rsidRPr="00E60E24" w:rsidRDefault="004601DE" w:rsidP="00F25AC8">
            <w:pPr>
              <w:spacing w:after="120"/>
              <w:jc w:val="center"/>
              <w:rPr>
                <w:sz w:val="18"/>
                <w:szCs w:val="18"/>
                <w:lang w:eastAsia="pt-BR"/>
              </w:rPr>
            </w:pPr>
            <w:r w:rsidRPr="00E60E24">
              <w:rPr>
                <w:sz w:val="18"/>
                <w:szCs w:val="18"/>
                <w:lang w:eastAsia="pt-BR"/>
              </w:rPr>
              <w:t>-0,269ª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DCA5C4B" w14:textId="77777777" w:rsidR="004601DE" w:rsidRPr="00E60E24" w:rsidRDefault="004601DE" w:rsidP="00F25AC8">
            <w:pPr>
              <w:spacing w:after="120"/>
              <w:jc w:val="center"/>
              <w:rPr>
                <w:sz w:val="18"/>
                <w:szCs w:val="18"/>
                <w:lang w:eastAsia="pt-BR"/>
              </w:rPr>
            </w:pPr>
            <w:r w:rsidRPr="00E60E24">
              <w:rPr>
                <w:sz w:val="18"/>
                <w:szCs w:val="18"/>
                <w:lang w:eastAsia="pt-BR"/>
              </w:rPr>
              <w:t>-0,223ª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74387E2" w14:textId="77777777" w:rsidR="004601DE" w:rsidRPr="00E60E24" w:rsidRDefault="004601DE" w:rsidP="00F25AC8">
            <w:pPr>
              <w:spacing w:after="120"/>
              <w:jc w:val="center"/>
              <w:rPr>
                <w:sz w:val="18"/>
                <w:szCs w:val="18"/>
                <w:lang w:eastAsia="pt-BR"/>
              </w:rPr>
            </w:pPr>
            <w:r w:rsidRPr="00E60E24">
              <w:rPr>
                <w:sz w:val="18"/>
                <w:szCs w:val="18"/>
                <w:lang w:eastAsia="pt-BR"/>
              </w:rPr>
              <w:t>0,0457ª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4C0AC64"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EA23026" w14:textId="77777777" w:rsidR="004601DE" w:rsidRPr="00E60E24" w:rsidRDefault="004601DE" w:rsidP="00F25AC8">
            <w:pPr>
              <w:spacing w:after="120"/>
              <w:jc w:val="center"/>
              <w:rPr>
                <w:sz w:val="18"/>
                <w:szCs w:val="18"/>
                <w:lang w:eastAsia="pt-BR"/>
              </w:rPr>
            </w:pPr>
            <w:r w:rsidRPr="00E60E24">
              <w:rPr>
                <w:sz w:val="18"/>
                <w:szCs w:val="18"/>
                <w:lang w:eastAsia="pt-BR"/>
              </w:rPr>
              <w:t>-0,265ª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F1E0801" w14:textId="77777777" w:rsidR="004601DE" w:rsidRPr="00E60E24" w:rsidRDefault="004601DE" w:rsidP="00F25AC8">
            <w:pPr>
              <w:spacing w:after="120"/>
              <w:jc w:val="center"/>
              <w:rPr>
                <w:sz w:val="18"/>
                <w:szCs w:val="18"/>
                <w:lang w:eastAsia="pt-BR"/>
              </w:rPr>
            </w:pPr>
            <w:r w:rsidRPr="00E60E24">
              <w:rPr>
                <w:sz w:val="18"/>
                <w:szCs w:val="18"/>
                <w:lang w:eastAsia="pt-BR"/>
              </w:rPr>
              <w:t>-0,222ª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E260546" w14:textId="77777777" w:rsidR="004601DE" w:rsidRPr="00E60E24" w:rsidRDefault="004601DE" w:rsidP="00F25AC8">
            <w:pPr>
              <w:spacing w:after="120"/>
              <w:jc w:val="center"/>
              <w:rPr>
                <w:sz w:val="18"/>
                <w:szCs w:val="18"/>
                <w:lang w:eastAsia="pt-BR"/>
              </w:rPr>
            </w:pPr>
            <w:r w:rsidRPr="00E60E24">
              <w:rPr>
                <w:sz w:val="18"/>
                <w:szCs w:val="18"/>
                <w:lang w:eastAsia="pt-BR"/>
              </w:rPr>
              <w:t>0,0434ª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3A53276"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38D9F3A" w14:textId="77777777" w:rsidR="004601DE" w:rsidRPr="00E60E24" w:rsidRDefault="004601DE" w:rsidP="00F25AC8">
            <w:pPr>
              <w:spacing w:after="120"/>
              <w:jc w:val="center"/>
              <w:rPr>
                <w:sz w:val="18"/>
                <w:szCs w:val="18"/>
                <w:lang w:eastAsia="pt-BR"/>
              </w:rPr>
            </w:pPr>
            <w:r w:rsidRPr="00E60E24">
              <w:rPr>
                <w:sz w:val="18"/>
                <w:szCs w:val="18"/>
                <w:lang w:eastAsia="pt-BR"/>
              </w:rPr>
              <w:t>-0,265ª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B223D0D" w14:textId="77777777" w:rsidR="004601DE" w:rsidRPr="00E60E24" w:rsidRDefault="004601DE" w:rsidP="00F25AC8">
            <w:pPr>
              <w:spacing w:after="120"/>
              <w:jc w:val="center"/>
              <w:rPr>
                <w:sz w:val="18"/>
                <w:szCs w:val="18"/>
                <w:lang w:eastAsia="pt-BR"/>
              </w:rPr>
            </w:pPr>
            <w:r w:rsidRPr="00E60E24">
              <w:rPr>
                <w:sz w:val="18"/>
                <w:szCs w:val="18"/>
                <w:lang w:eastAsia="pt-BR"/>
              </w:rPr>
              <w:t>-0,220ª</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B8CF26A" w14:textId="77777777" w:rsidR="004601DE" w:rsidRPr="00E60E24" w:rsidRDefault="004601DE" w:rsidP="00F25AC8">
            <w:pPr>
              <w:spacing w:after="120"/>
              <w:jc w:val="center"/>
              <w:rPr>
                <w:sz w:val="18"/>
                <w:szCs w:val="18"/>
                <w:lang w:eastAsia="pt-BR"/>
              </w:rPr>
            </w:pPr>
            <w:r w:rsidRPr="00E60E24">
              <w:rPr>
                <w:sz w:val="18"/>
                <w:szCs w:val="18"/>
                <w:lang w:eastAsia="pt-BR"/>
              </w:rPr>
              <w:t>0,0451ª</w:t>
            </w:r>
          </w:p>
        </w:tc>
      </w:tr>
      <w:tr w:rsidR="004601DE" w:rsidRPr="00E60E24" w14:paraId="7E347356"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27AF4B88"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0AF15EFA" w14:textId="77777777" w:rsidR="004601DE" w:rsidRPr="00E60E24" w:rsidRDefault="004601DE" w:rsidP="00F25AC8">
            <w:pPr>
              <w:spacing w:after="120"/>
              <w:jc w:val="center"/>
              <w:rPr>
                <w:sz w:val="18"/>
                <w:szCs w:val="18"/>
                <w:lang w:eastAsia="pt-BR"/>
              </w:rPr>
            </w:pPr>
            <w:r w:rsidRPr="00E60E24">
              <w:rPr>
                <w:sz w:val="18"/>
                <w:szCs w:val="18"/>
                <w:lang w:eastAsia="pt-BR"/>
              </w:rPr>
              <w:t>(0,00454)</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8D543A2" w14:textId="77777777" w:rsidR="004601DE" w:rsidRPr="00E60E24" w:rsidRDefault="004601DE" w:rsidP="00F25AC8">
            <w:pPr>
              <w:spacing w:after="120"/>
              <w:jc w:val="center"/>
              <w:rPr>
                <w:sz w:val="18"/>
                <w:szCs w:val="18"/>
                <w:lang w:eastAsia="pt-BR"/>
              </w:rPr>
            </w:pPr>
            <w:r w:rsidRPr="00E60E24">
              <w:rPr>
                <w:sz w:val="18"/>
                <w:szCs w:val="18"/>
                <w:lang w:eastAsia="pt-BR"/>
              </w:rPr>
              <w:t>(0,00405)</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8907B23" w14:textId="77777777" w:rsidR="004601DE" w:rsidRPr="00E60E24" w:rsidRDefault="004601DE" w:rsidP="00F25AC8">
            <w:pPr>
              <w:spacing w:after="120"/>
              <w:jc w:val="center"/>
              <w:rPr>
                <w:sz w:val="18"/>
                <w:szCs w:val="18"/>
                <w:lang w:eastAsia="pt-BR"/>
              </w:rPr>
            </w:pPr>
            <w:r w:rsidRPr="00E60E24">
              <w:rPr>
                <w:sz w:val="18"/>
                <w:szCs w:val="18"/>
                <w:lang w:eastAsia="pt-BR"/>
              </w:rPr>
              <w:t>(0,00413)</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39D0CD06"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A563AD2" w14:textId="77777777" w:rsidR="004601DE" w:rsidRPr="00E60E24" w:rsidRDefault="004601DE" w:rsidP="00F25AC8">
            <w:pPr>
              <w:spacing w:after="120"/>
              <w:jc w:val="center"/>
              <w:rPr>
                <w:sz w:val="18"/>
                <w:szCs w:val="18"/>
                <w:lang w:eastAsia="pt-BR"/>
              </w:rPr>
            </w:pPr>
            <w:r w:rsidRPr="00E60E24">
              <w:rPr>
                <w:sz w:val="18"/>
                <w:szCs w:val="18"/>
                <w:lang w:eastAsia="pt-BR"/>
              </w:rPr>
              <w:t>(0,00419)</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91B4362" w14:textId="77777777" w:rsidR="004601DE" w:rsidRPr="00E60E24" w:rsidRDefault="004601DE" w:rsidP="00F25AC8">
            <w:pPr>
              <w:spacing w:after="120"/>
              <w:jc w:val="center"/>
              <w:rPr>
                <w:sz w:val="18"/>
                <w:szCs w:val="18"/>
                <w:lang w:eastAsia="pt-BR"/>
              </w:rPr>
            </w:pPr>
            <w:r w:rsidRPr="00E60E24">
              <w:rPr>
                <w:sz w:val="18"/>
                <w:szCs w:val="18"/>
                <w:lang w:eastAsia="pt-BR"/>
              </w:rPr>
              <w:t>(0,00392)</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5F4F02D" w14:textId="77777777" w:rsidR="004601DE" w:rsidRPr="00E60E24" w:rsidRDefault="004601DE" w:rsidP="00F25AC8">
            <w:pPr>
              <w:spacing w:after="120"/>
              <w:jc w:val="center"/>
              <w:rPr>
                <w:sz w:val="18"/>
                <w:szCs w:val="18"/>
                <w:lang w:eastAsia="pt-BR"/>
              </w:rPr>
            </w:pPr>
            <w:r w:rsidRPr="00E60E24">
              <w:rPr>
                <w:sz w:val="18"/>
                <w:szCs w:val="18"/>
                <w:lang w:eastAsia="pt-BR"/>
              </w:rPr>
              <w:t>(0,00375)</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0AEC5A4"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BE0EF83" w14:textId="77777777" w:rsidR="004601DE" w:rsidRPr="00E60E24" w:rsidRDefault="004601DE" w:rsidP="00F25AC8">
            <w:pPr>
              <w:spacing w:after="120"/>
              <w:jc w:val="center"/>
              <w:rPr>
                <w:sz w:val="18"/>
                <w:szCs w:val="18"/>
                <w:lang w:eastAsia="pt-BR"/>
              </w:rPr>
            </w:pPr>
            <w:r w:rsidRPr="00E60E24">
              <w:rPr>
                <w:sz w:val="18"/>
                <w:szCs w:val="18"/>
                <w:lang w:eastAsia="pt-BR"/>
              </w:rPr>
              <w:t>(0,00416)</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4F511A47" w14:textId="77777777" w:rsidR="004601DE" w:rsidRPr="00E60E24" w:rsidRDefault="004601DE" w:rsidP="00F25AC8">
            <w:pPr>
              <w:spacing w:after="120"/>
              <w:jc w:val="center"/>
              <w:rPr>
                <w:sz w:val="18"/>
                <w:szCs w:val="18"/>
                <w:lang w:eastAsia="pt-BR"/>
              </w:rPr>
            </w:pPr>
            <w:r w:rsidRPr="00E60E24">
              <w:rPr>
                <w:sz w:val="18"/>
                <w:szCs w:val="18"/>
                <w:lang w:eastAsia="pt-BR"/>
              </w:rPr>
              <w:t>(0,00393)</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7569FDA4" w14:textId="77777777" w:rsidR="004601DE" w:rsidRPr="00E60E24" w:rsidRDefault="004601DE" w:rsidP="00F25AC8">
            <w:pPr>
              <w:spacing w:after="120"/>
              <w:jc w:val="center"/>
              <w:rPr>
                <w:sz w:val="18"/>
                <w:szCs w:val="18"/>
                <w:lang w:eastAsia="pt-BR"/>
              </w:rPr>
            </w:pPr>
            <w:r w:rsidRPr="00E60E24">
              <w:rPr>
                <w:sz w:val="18"/>
                <w:szCs w:val="18"/>
                <w:lang w:eastAsia="pt-BR"/>
              </w:rPr>
              <w:t>(0,00376)</w:t>
            </w:r>
          </w:p>
        </w:tc>
      </w:tr>
      <w:tr w:rsidR="004601DE" w:rsidRPr="00E60E24" w14:paraId="33E2E9FF"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3D39A6B3" w14:textId="77777777" w:rsidR="004601DE" w:rsidRPr="00E60E24" w:rsidRDefault="004601DE" w:rsidP="00F25AC8">
            <w:pPr>
              <w:spacing w:after="120"/>
              <w:rPr>
                <w:sz w:val="18"/>
                <w:szCs w:val="18"/>
                <w:lang w:eastAsia="pt-BR"/>
              </w:rPr>
            </w:pPr>
            <w:r w:rsidRPr="00E60E24">
              <w:rPr>
                <w:sz w:val="18"/>
                <w:szCs w:val="18"/>
                <w:lang w:eastAsia="pt-BR"/>
              </w:rPr>
              <w:t>Idade</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67BCEFA0"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641BBB8"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2CB5F95"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3F1E9386"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30E3E98"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4840890"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84950C1"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2FABF127"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24F3484"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39E9381"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558D96E6" w14:textId="77777777" w:rsidR="004601DE" w:rsidRPr="00E60E24" w:rsidRDefault="004601DE" w:rsidP="00F25AC8">
            <w:pPr>
              <w:spacing w:after="120"/>
              <w:jc w:val="center"/>
              <w:rPr>
                <w:sz w:val="18"/>
                <w:szCs w:val="18"/>
                <w:lang w:eastAsia="pt-BR"/>
              </w:rPr>
            </w:pPr>
          </w:p>
        </w:tc>
      </w:tr>
      <w:tr w:rsidR="004601DE" w:rsidRPr="00E60E24" w14:paraId="1BECA8BE"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23379974"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2706CB5D"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4AB4688E"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61BEB27"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7818E94B"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EBACFF0"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FC82765"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C9C1540"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AE7FDA2"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0FA1156"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477CFC8"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636B06B1" w14:textId="77777777" w:rsidR="004601DE" w:rsidRPr="00E60E24" w:rsidRDefault="004601DE" w:rsidP="00F25AC8">
            <w:pPr>
              <w:spacing w:after="120"/>
              <w:jc w:val="center"/>
              <w:rPr>
                <w:sz w:val="18"/>
                <w:szCs w:val="18"/>
                <w:lang w:eastAsia="pt-BR"/>
              </w:rPr>
            </w:pPr>
          </w:p>
        </w:tc>
      </w:tr>
      <w:tr w:rsidR="004601DE" w:rsidRPr="00E60E24" w14:paraId="36FC65D8"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61123ED6" w14:textId="77777777" w:rsidR="004601DE" w:rsidRPr="00E60E24" w:rsidRDefault="004601DE" w:rsidP="00F25AC8">
            <w:pPr>
              <w:spacing w:after="120"/>
              <w:rPr>
                <w:sz w:val="18"/>
                <w:szCs w:val="18"/>
                <w:lang w:eastAsia="pt-BR"/>
              </w:rPr>
            </w:pPr>
            <w:r w:rsidRPr="00E60E24">
              <w:rPr>
                <w:sz w:val="18"/>
                <w:szCs w:val="18"/>
                <w:lang w:eastAsia="pt-BR"/>
              </w:rPr>
              <w:t>Setores</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14019254"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B575A4A"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12F7E16"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604C41F"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FE4A098"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0F1C991"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6CE6F7B"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897972D"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A8F7CDA"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DB5996C"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3ACBC975" w14:textId="77777777" w:rsidR="004601DE" w:rsidRPr="00E60E24" w:rsidRDefault="004601DE" w:rsidP="00F25AC8">
            <w:pPr>
              <w:spacing w:after="120"/>
              <w:jc w:val="center"/>
              <w:rPr>
                <w:sz w:val="18"/>
                <w:szCs w:val="18"/>
                <w:lang w:eastAsia="pt-BR"/>
              </w:rPr>
            </w:pPr>
          </w:p>
        </w:tc>
      </w:tr>
      <w:tr w:rsidR="004601DE" w:rsidRPr="00E60E24" w14:paraId="2222DD3D"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0BDBEF3B"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0F756328"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569BC44"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4684229"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0EBF0759"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1899CC0"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74F4D2A"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8500ED0"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22551123"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47F41CF"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10C70BA"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254D50D6" w14:textId="77777777" w:rsidR="004601DE" w:rsidRPr="00E60E24" w:rsidRDefault="004601DE" w:rsidP="00F25AC8">
            <w:pPr>
              <w:spacing w:after="120"/>
              <w:jc w:val="center"/>
              <w:rPr>
                <w:sz w:val="18"/>
                <w:szCs w:val="18"/>
                <w:lang w:eastAsia="pt-BR"/>
              </w:rPr>
            </w:pPr>
          </w:p>
        </w:tc>
      </w:tr>
      <w:tr w:rsidR="004601DE" w:rsidRPr="00E60E24" w14:paraId="78066475"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2E8E292E" w14:textId="77777777" w:rsidR="004601DE" w:rsidRPr="00E60E24" w:rsidRDefault="004601DE" w:rsidP="00F25AC8">
            <w:pPr>
              <w:spacing w:after="120"/>
              <w:rPr>
                <w:sz w:val="18"/>
                <w:szCs w:val="18"/>
                <w:lang w:eastAsia="pt-BR"/>
              </w:rPr>
            </w:pPr>
            <w:r w:rsidRPr="00E60E24">
              <w:rPr>
                <w:i/>
                <w:sz w:val="18"/>
                <w:szCs w:val="18"/>
                <w:lang w:eastAsia="pt-BR"/>
              </w:rPr>
              <w:t>Dummies</w:t>
            </w:r>
            <w:r w:rsidRPr="00E60E24">
              <w:rPr>
                <w:sz w:val="18"/>
                <w:szCs w:val="18"/>
                <w:lang w:eastAsia="pt-BR"/>
              </w:rPr>
              <w:t xml:space="preserve"> mesorregionais</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1ECE9025"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57CAB63"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AC7EDE6"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72FE70FC"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6416AFC"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6B20DB4"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7C48928"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79CEAA68"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86C40AF"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BFA3871"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095409BE" w14:textId="77777777" w:rsidR="004601DE" w:rsidRPr="00E60E24" w:rsidRDefault="004601DE" w:rsidP="00F25AC8">
            <w:pPr>
              <w:spacing w:after="120"/>
              <w:jc w:val="center"/>
              <w:rPr>
                <w:sz w:val="18"/>
                <w:szCs w:val="18"/>
                <w:lang w:eastAsia="pt-BR"/>
              </w:rPr>
            </w:pPr>
          </w:p>
        </w:tc>
      </w:tr>
      <w:tr w:rsidR="004601DE" w:rsidRPr="00E60E24" w14:paraId="4E1812F0"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2848E3AD"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0F533167"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59AEFD3"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3EF15FF"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262B8EC9"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01182DE"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AD67449"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037F541"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3DC88545"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0AD8CEB"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D03FFF2"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0D7EA1F6" w14:textId="77777777" w:rsidR="004601DE" w:rsidRPr="00E60E24" w:rsidRDefault="004601DE" w:rsidP="00F25AC8">
            <w:pPr>
              <w:spacing w:after="120"/>
              <w:jc w:val="center"/>
              <w:rPr>
                <w:sz w:val="18"/>
                <w:szCs w:val="18"/>
                <w:lang w:eastAsia="pt-BR"/>
              </w:rPr>
            </w:pPr>
          </w:p>
        </w:tc>
      </w:tr>
      <w:tr w:rsidR="004601DE" w:rsidRPr="00E60E24" w14:paraId="1E8BB864" w14:textId="77777777" w:rsidTr="004A5DEE">
        <w:trPr>
          <w:trHeight w:val="20"/>
        </w:trPr>
        <w:tc>
          <w:tcPr>
            <w:tcW w:w="1089" w:type="pct"/>
            <w:tcBorders>
              <w:top w:val="nil"/>
              <w:left w:val="nil"/>
              <w:bottom w:val="nil"/>
              <w:right w:val="nil"/>
            </w:tcBorders>
            <w:shd w:val="clear" w:color="auto" w:fill="auto"/>
            <w:tcMar>
              <w:top w:w="15" w:type="dxa"/>
              <w:left w:w="15" w:type="dxa"/>
              <w:bottom w:w="0" w:type="dxa"/>
              <w:right w:w="15" w:type="dxa"/>
            </w:tcMar>
            <w:vAlign w:val="bottom"/>
            <w:hideMark/>
          </w:tcPr>
          <w:p w14:paraId="0C9B605A" w14:textId="77777777" w:rsidR="004601DE" w:rsidRPr="00E60E24" w:rsidRDefault="004601DE" w:rsidP="00F25AC8">
            <w:pPr>
              <w:spacing w:after="120"/>
              <w:rPr>
                <w:sz w:val="18"/>
                <w:szCs w:val="18"/>
                <w:lang w:eastAsia="pt-BR"/>
              </w:rPr>
            </w:pPr>
            <w:r w:rsidRPr="00E60E24">
              <w:rPr>
                <w:i/>
                <w:sz w:val="18"/>
                <w:szCs w:val="18"/>
                <w:lang w:eastAsia="pt-BR"/>
              </w:rPr>
              <w:t>Dummies</w:t>
            </w:r>
            <w:r w:rsidRPr="00E60E24">
              <w:rPr>
                <w:sz w:val="18"/>
                <w:szCs w:val="18"/>
                <w:lang w:eastAsia="pt-BR"/>
              </w:rPr>
              <w:t xml:space="preserve"> mesorregionais iteradas com anos de escolaridade</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3FCC0408"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0C38E9C"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942B922"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center"/>
            <w:hideMark/>
          </w:tcPr>
          <w:p w14:paraId="4FC52B9C"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A26ECD7"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258E6E6"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79EC385"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center"/>
            <w:hideMark/>
          </w:tcPr>
          <w:p w14:paraId="30BFA779"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388A4D9"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C28F524"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7A515DE3" w14:textId="77777777" w:rsidR="004601DE" w:rsidRPr="00E60E24" w:rsidRDefault="004601DE" w:rsidP="00F25AC8">
            <w:pPr>
              <w:spacing w:after="120"/>
              <w:jc w:val="center"/>
              <w:rPr>
                <w:sz w:val="18"/>
                <w:szCs w:val="18"/>
                <w:lang w:eastAsia="pt-BR"/>
              </w:rPr>
            </w:pPr>
          </w:p>
        </w:tc>
      </w:tr>
      <w:tr w:rsidR="004601DE" w:rsidRPr="00E60E24" w14:paraId="7F82A3C3" w14:textId="77777777" w:rsidTr="004A5DEE">
        <w:trPr>
          <w:trHeight w:val="20"/>
        </w:trPr>
        <w:tc>
          <w:tcPr>
            <w:tcW w:w="1089" w:type="pct"/>
            <w:tcBorders>
              <w:top w:val="nil"/>
              <w:left w:val="nil"/>
              <w:bottom w:val="nil"/>
              <w:right w:val="nil"/>
            </w:tcBorders>
            <w:shd w:val="clear" w:color="auto" w:fill="auto"/>
            <w:noWrap/>
            <w:tcMar>
              <w:top w:w="15" w:type="dxa"/>
              <w:left w:w="15" w:type="dxa"/>
              <w:bottom w:w="0" w:type="dxa"/>
              <w:right w:w="15" w:type="dxa"/>
            </w:tcMar>
            <w:vAlign w:val="bottom"/>
            <w:hideMark/>
          </w:tcPr>
          <w:p w14:paraId="712D8F98"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7BEAAE0E"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5244864"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BFA2788"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6CB41FC"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EAF0F28"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CE52441"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DACD0B1"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9CEF289"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33B629C"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4842E9A4"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A0A12DE" w14:textId="77777777" w:rsidR="004601DE" w:rsidRPr="00E60E24" w:rsidRDefault="004601DE" w:rsidP="00F25AC8">
            <w:pPr>
              <w:spacing w:after="120"/>
              <w:jc w:val="center"/>
              <w:rPr>
                <w:sz w:val="18"/>
                <w:szCs w:val="18"/>
                <w:lang w:eastAsia="pt-BR"/>
              </w:rPr>
            </w:pPr>
          </w:p>
        </w:tc>
      </w:tr>
    </w:tbl>
    <w:p w14:paraId="4CC97470" w14:textId="3DA5B689" w:rsidR="004A5DEE" w:rsidRPr="004A5DEE" w:rsidRDefault="004A5DEE" w:rsidP="004A5DEE">
      <w:pPr>
        <w:jc w:val="right"/>
        <w:rPr>
          <w:sz w:val="20"/>
        </w:rPr>
      </w:pPr>
      <w:r>
        <w:rPr>
          <w:sz w:val="20"/>
        </w:rPr>
        <w:lastRenderedPageBreak/>
        <w:t>(</w:t>
      </w:r>
      <w:r w:rsidRPr="004A5DEE">
        <w:rPr>
          <w:sz w:val="20"/>
        </w:rPr>
        <w:t>Continua</w:t>
      </w:r>
      <w:r>
        <w:rPr>
          <w:sz w:val="20"/>
        </w:rPr>
        <w:t>)</w:t>
      </w:r>
    </w:p>
    <w:p w14:paraId="7962031E" w14:textId="72A3C23F" w:rsidR="004A5DEE" w:rsidRPr="00E60E24" w:rsidRDefault="004A5DEE" w:rsidP="004A5DEE">
      <w:pPr>
        <w:pStyle w:val="Legenda"/>
        <w:keepNext/>
        <w:spacing w:after="120"/>
      </w:pPr>
      <w:r>
        <w:t xml:space="preserve">Tabela </w:t>
      </w:r>
      <w:r>
        <w:fldChar w:fldCharType="begin"/>
      </w:r>
      <w:r>
        <w:instrText xml:space="preserve"> SEQ Tabela \* ARABIC </w:instrText>
      </w:r>
      <w:r>
        <w:fldChar w:fldCharType="separate"/>
      </w:r>
      <w:r>
        <w:rPr>
          <w:noProof/>
        </w:rPr>
        <w:t>2</w:t>
      </w:r>
      <w:r>
        <w:rPr>
          <w:noProof/>
        </w:rPr>
        <w:fldChar w:fldCharType="end"/>
      </w:r>
      <w:r>
        <w:t>:</w:t>
      </w:r>
      <w:r w:rsidRPr="00E60E24">
        <w:t xml:space="preserve"> Resultados das regressões com mi</w:t>
      </w:r>
      <w:r>
        <w:t>crodados (continuação).</w:t>
      </w:r>
    </w:p>
    <w:tbl>
      <w:tblPr>
        <w:tblW w:w="5000" w:type="pct"/>
        <w:tblLayout w:type="fixed"/>
        <w:tblCellMar>
          <w:left w:w="0" w:type="dxa"/>
          <w:right w:w="0" w:type="dxa"/>
        </w:tblCellMar>
        <w:tblLook w:val="04A0" w:firstRow="1" w:lastRow="0" w:firstColumn="1" w:lastColumn="0" w:noHBand="0" w:noVBand="1"/>
      </w:tblPr>
      <w:tblGrid>
        <w:gridCol w:w="2232"/>
        <w:gridCol w:w="846"/>
        <w:gridCol w:w="927"/>
        <w:gridCol w:w="845"/>
        <w:gridCol w:w="84"/>
        <w:gridCol w:w="843"/>
        <w:gridCol w:w="927"/>
        <w:gridCol w:w="843"/>
        <w:gridCol w:w="84"/>
        <w:gridCol w:w="843"/>
        <w:gridCol w:w="927"/>
        <w:gridCol w:w="833"/>
      </w:tblGrid>
      <w:tr w:rsidR="004A5DEE" w:rsidRPr="00E60E24" w14:paraId="25014953" w14:textId="77777777" w:rsidTr="004A5DEE">
        <w:trPr>
          <w:trHeight w:val="20"/>
        </w:trPr>
        <w:tc>
          <w:tcPr>
            <w:tcW w:w="1090" w:type="pct"/>
            <w:vMerge w:val="restart"/>
            <w:tcBorders>
              <w:top w:val="single" w:sz="4" w:space="0" w:color="auto"/>
              <w:left w:val="nil"/>
              <w:bottom w:val="single" w:sz="8" w:space="0" w:color="000000"/>
              <w:right w:val="nil"/>
            </w:tcBorders>
            <w:shd w:val="clear" w:color="auto" w:fill="auto"/>
            <w:noWrap/>
            <w:tcMar>
              <w:top w:w="15" w:type="dxa"/>
              <w:left w:w="15" w:type="dxa"/>
              <w:bottom w:w="0" w:type="dxa"/>
              <w:right w:w="15" w:type="dxa"/>
            </w:tcMar>
            <w:vAlign w:val="center"/>
            <w:hideMark/>
          </w:tcPr>
          <w:p w14:paraId="401E8B03" w14:textId="77777777" w:rsidR="004A5DEE" w:rsidRPr="00E60E24" w:rsidRDefault="004A5DEE" w:rsidP="006D3FB3">
            <w:pPr>
              <w:spacing w:after="120"/>
              <w:jc w:val="center"/>
              <w:rPr>
                <w:sz w:val="18"/>
                <w:szCs w:val="18"/>
                <w:lang w:eastAsia="pt-BR"/>
              </w:rPr>
            </w:pPr>
            <w:r w:rsidRPr="00E60E24">
              <w:rPr>
                <w:sz w:val="18"/>
                <w:szCs w:val="18"/>
                <w:lang w:eastAsia="pt-BR"/>
              </w:rPr>
              <w:t>Variáveis</w:t>
            </w:r>
          </w:p>
        </w:tc>
        <w:tc>
          <w:tcPr>
            <w:tcW w:w="1279" w:type="pct"/>
            <w:gridSpan w:val="3"/>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EC7C854" w14:textId="77777777" w:rsidR="004A5DEE" w:rsidRPr="00E60E24" w:rsidRDefault="004A5DEE" w:rsidP="006D3FB3">
            <w:pPr>
              <w:spacing w:after="120"/>
              <w:jc w:val="center"/>
              <w:rPr>
                <w:sz w:val="18"/>
                <w:szCs w:val="18"/>
                <w:lang w:eastAsia="pt-BR"/>
              </w:rPr>
            </w:pPr>
            <w:r w:rsidRPr="00E60E24">
              <w:rPr>
                <w:sz w:val="18"/>
                <w:szCs w:val="18"/>
                <w:lang w:eastAsia="pt-BR"/>
              </w:rPr>
              <w:t>I </w:t>
            </w:r>
          </w:p>
        </w:tc>
        <w:tc>
          <w:tcPr>
            <w:tcW w:w="41"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15D4158" w14:textId="77777777" w:rsidR="004A5DEE" w:rsidRPr="00E60E24" w:rsidRDefault="004A5DEE" w:rsidP="006D3FB3">
            <w:pPr>
              <w:spacing w:after="120"/>
              <w:jc w:val="center"/>
              <w:rPr>
                <w:sz w:val="18"/>
                <w:szCs w:val="18"/>
                <w:lang w:eastAsia="pt-BR"/>
              </w:rPr>
            </w:pPr>
            <w:r w:rsidRPr="00E60E24">
              <w:rPr>
                <w:sz w:val="18"/>
                <w:szCs w:val="18"/>
                <w:lang w:eastAsia="pt-BR"/>
              </w:rPr>
              <w:t> </w:t>
            </w:r>
          </w:p>
        </w:tc>
        <w:tc>
          <w:tcPr>
            <w:tcW w:w="1277" w:type="pct"/>
            <w:gridSpan w:val="3"/>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1A08623" w14:textId="77777777" w:rsidR="004A5DEE" w:rsidRPr="00E60E24" w:rsidRDefault="004A5DEE" w:rsidP="006D3FB3">
            <w:pPr>
              <w:spacing w:after="120"/>
              <w:jc w:val="center"/>
              <w:rPr>
                <w:sz w:val="18"/>
                <w:szCs w:val="18"/>
                <w:lang w:eastAsia="pt-BR"/>
              </w:rPr>
            </w:pPr>
            <w:r w:rsidRPr="00E60E24">
              <w:rPr>
                <w:sz w:val="18"/>
                <w:szCs w:val="18"/>
                <w:lang w:eastAsia="pt-BR"/>
              </w:rPr>
              <w:t>II</w:t>
            </w:r>
          </w:p>
        </w:tc>
        <w:tc>
          <w:tcPr>
            <w:tcW w:w="41"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646DD42" w14:textId="77777777" w:rsidR="004A5DEE" w:rsidRPr="00E60E24" w:rsidRDefault="004A5DEE" w:rsidP="006D3FB3">
            <w:pPr>
              <w:spacing w:after="120"/>
              <w:jc w:val="center"/>
              <w:rPr>
                <w:sz w:val="18"/>
                <w:szCs w:val="18"/>
                <w:lang w:eastAsia="pt-BR"/>
              </w:rPr>
            </w:pPr>
            <w:r w:rsidRPr="00E60E24">
              <w:rPr>
                <w:sz w:val="18"/>
                <w:szCs w:val="18"/>
                <w:lang w:eastAsia="pt-BR"/>
              </w:rPr>
              <w:t> </w:t>
            </w:r>
          </w:p>
        </w:tc>
        <w:tc>
          <w:tcPr>
            <w:tcW w:w="1273" w:type="pct"/>
            <w:gridSpan w:val="3"/>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7A30B9C" w14:textId="77777777" w:rsidR="004A5DEE" w:rsidRPr="00E60E24" w:rsidRDefault="004A5DEE" w:rsidP="006D3FB3">
            <w:pPr>
              <w:spacing w:after="120"/>
              <w:jc w:val="center"/>
              <w:rPr>
                <w:sz w:val="18"/>
                <w:szCs w:val="18"/>
                <w:lang w:eastAsia="pt-BR"/>
              </w:rPr>
            </w:pPr>
            <w:r w:rsidRPr="00E60E24">
              <w:rPr>
                <w:sz w:val="18"/>
                <w:szCs w:val="18"/>
                <w:lang w:eastAsia="pt-BR"/>
              </w:rPr>
              <w:t>III</w:t>
            </w:r>
          </w:p>
        </w:tc>
      </w:tr>
      <w:tr w:rsidR="004A5DEE" w:rsidRPr="00E60E24" w14:paraId="4370AC97" w14:textId="77777777" w:rsidTr="004A5DEE">
        <w:trPr>
          <w:trHeight w:val="20"/>
        </w:trPr>
        <w:tc>
          <w:tcPr>
            <w:tcW w:w="1090" w:type="pct"/>
            <w:vMerge/>
            <w:tcBorders>
              <w:top w:val="single" w:sz="4" w:space="0" w:color="auto"/>
              <w:left w:val="nil"/>
              <w:bottom w:val="single" w:sz="8" w:space="0" w:color="000000"/>
              <w:right w:val="nil"/>
            </w:tcBorders>
            <w:vAlign w:val="center"/>
            <w:hideMark/>
          </w:tcPr>
          <w:p w14:paraId="3D66ACF9" w14:textId="77777777" w:rsidR="004A5DEE" w:rsidRPr="00E60E24" w:rsidRDefault="004A5DEE" w:rsidP="006D3FB3">
            <w:pPr>
              <w:spacing w:after="120"/>
              <w:rPr>
                <w:sz w:val="18"/>
                <w:szCs w:val="18"/>
                <w:lang w:eastAsia="pt-BR"/>
              </w:rPr>
            </w:pPr>
          </w:p>
        </w:tc>
        <w:tc>
          <w:tcPr>
            <w:tcW w:w="41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706B2A9" w14:textId="77777777" w:rsidR="004A5DEE" w:rsidRPr="00E60E24" w:rsidRDefault="004A5DEE" w:rsidP="006D3FB3">
            <w:pPr>
              <w:spacing w:after="120"/>
              <w:jc w:val="center"/>
              <w:rPr>
                <w:sz w:val="18"/>
                <w:szCs w:val="18"/>
                <w:lang w:eastAsia="pt-BR"/>
              </w:rPr>
            </w:pPr>
            <w:r w:rsidRPr="00E60E24">
              <w:rPr>
                <w:sz w:val="18"/>
                <w:szCs w:val="18"/>
                <w:lang w:eastAsia="pt-BR"/>
              </w:rPr>
              <w:t>2000</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00CDF1" w14:textId="77777777" w:rsidR="004A5DEE" w:rsidRPr="00E60E24" w:rsidRDefault="004A5DEE" w:rsidP="006D3FB3">
            <w:pPr>
              <w:spacing w:after="120"/>
              <w:jc w:val="center"/>
              <w:rPr>
                <w:sz w:val="18"/>
                <w:szCs w:val="18"/>
                <w:lang w:eastAsia="pt-BR"/>
              </w:rPr>
            </w:pPr>
            <w:r w:rsidRPr="00E60E24">
              <w:rPr>
                <w:sz w:val="18"/>
                <w:szCs w:val="18"/>
                <w:lang w:eastAsia="pt-BR"/>
              </w:rPr>
              <w:t>2010</w:t>
            </w:r>
          </w:p>
        </w:tc>
        <w:tc>
          <w:tcPr>
            <w:tcW w:w="41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E97A82" w14:textId="77777777" w:rsidR="004A5DEE" w:rsidRPr="00E60E24" w:rsidRDefault="004A5DEE" w:rsidP="006D3FB3">
            <w:pPr>
              <w:spacing w:after="120"/>
              <w:jc w:val="center"/>
              <w:rPr>
                <w:sz w:val="18"/>
                <w:szCs w:val="18"/>
                <w:lang w:eastAsia="pt-BR"/>
              </w:rPr>
            </w:pPr>
            <w:r w:rsidRPr="00E60E24">
              <w:rPr>
                <w:sz w:val="18"/>
                <w:szCs w:val="18"/>
                <w:lang w:eastAsia="pt-BR"/>
              </w:rPr>
              <w:t>Mudança</w:t>
            </w:r>
          </w:p>
        </w:tc>
        <w:tc>
          <w:tcPr>
            <w:tcW w:w="41"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C0D8C8B" w14:textId="77777777" w:rsidR="004A5DEE" w:rsidRPr="00E60E24" w:rsidRDefault="004A5DEE" w:rsidP="006D3FB3">
            <w:pPr>
              <w:spacing w:after="120"/>
              <w:jc w:val="center"/>
              <w:rPr>
                <w:sz w:val="18"/>
                <w:szCs w:val="18"/>
                <w:lang w:eastAsia="pt-BR"/>
              </w:rPr>
            </w:pPr>
            <w:r w:rsidRPr="00E60E24">
              <w:rPr>
                <w:sz w:val="18"/>
                <w:szCs w:val="18"/>
                <w:lang w:eastAsia="pt-BR"/>
              </w:rPr>
              <w:t> </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D576A0" w14:textId="77777777" w:rsidR="004A5DEE" w:rsidRPr="00E60E24" w:rsidRDefault="004A5DEE" w:rsidP="006D3FB3">
            <w:pPr>
              <w:spacing w:after="120"/>
              <w:jc w:val="center"/>
              <w:rPr>
                <w:sz w:val="18"/>
                <w:szCs w:val="18"/>
                <w:lang w:eastAsia="pt-BR"/>
              </w:rPr>
            </w:pPr>
            <w:r w:rsidRPr="00E60E24">
              <w:rPr>
                <w:sz w:val="18"/>
                <w:szCs w:val="18"/>
                <w:lang w:eastAsia="pt-BR"/>
              </w:rPr>
              <w:t>2000</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E34D8ED" w14:textId="77777777" w:rsidR="004A5DEE" w:rsidRPr="00E60E24" w:rsidRDefault="004A5DEE" w:rsidP="006D3FB3">
            <w:pPr>
              <w:spacing w:after="120"/>
              <w:jc w:val="center"/>
              <w:rPr>
                <w:sz w:val="18"/>
                <w:szCs w:val="18"/>
                <w:lang w:eastAsia="pt-BR"/>
              </w:rPr>
            </w:pPr>
            <w:r w:rsidRPr="00E60E24">
              <w:rPr>
                <w:sz w:val="18"/>
                <w:szCs w:val="18"/>
                <w:lang w:eastAsia="pt-BR"/>
              </w:rPr>
              <w:t>2010</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C72DF3B" w14:textId="77777777" w:rsidR="004A5DEE" w:rsidRPr="00E60E24" w:rsidRDefault="004A5DEE" w:rsidP="006D3FB3">
            <w:pPr>
              <w:spacing w:after="120"/>
              <w:jc w:val="center"/>
              <w:rPr>
                <w:sz w:val="18"/>
                <w:szCs w:val="18"/>
                <w:lang w:eastAsia="pt-BR"/>
              </w:rPr>
            </w:pPr>
            <w:r w:rsidRPr="00E60E24">
              <w:rPr>
                <w:sz w:val="18"/>
                <w:szCs w:val="18"/>
                <w:lang w:eastAsia="pt-BR"/>
              </w:rPr>
              <w:t>Mudança</w:t>
            </w:r>
          </w:p>
        </w:tc>
        <w:tc>
          <w:tcPr>
            <w:tcW w:w="41"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DEA99D3" w14:textId="77777777" w:rsidR="004A5DEE" w:rsidRPr="00E60E24" w:rsidRDefault="004A5DEE" w:rsidP="006D3FB3">
            <w:pPr>
              <w:spacing w:after="120"/>
              <w:jc w:val="center"/>
              <w:rPr>
                <w:sz w:val="18"/>
                <w:szCs w:val="18"/>
                <w:lang w:eastAsia="pt-BR"/>
              </w:rPr>
            </w:pPr>
            <w:r w:rsidRPr="00E60E24">
              <w:rPr>
                <w:sz w:val="18"/>
                <w:szCs w:val="18"/>
                <w:lang w:eastAsia="pt-BR"/>
              </w:rPr>
              <w:t> </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C1C00C1" w14:textId="77777777" w:rsidR="004A5DEE" w:rsidRPr="00E60E24" w:rsidRDefault="004A5DEE" w:rsidP="006D3FB3">
            <w:pPr>
              <w:spacing w:after="120"/>
              <w:jc w:val="center"/>
              <w:rPr>
                <w:sz w:val="18"/>
                <w:szCs w:val="18"/>
                <w:lang w:eastAsia="pt-BR"/>
              </w:rPr>
            </w:pPr>
            <w:r w:rsidRPr="00E60E24">
              <w:rPr>
                <w:sz w:val="18"/>
                <w:szCs w:val="18"/>
                <w:lang w:eastAsia="pt-BR"/>
              </w:rPr>
              <w:t>2000</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955C26F" w14:textId="77777777" w:rsidR="004A5DEE" w:rsidRPr="00E60E24" w:rsidRDefault="004A5DEE" w:rsidP="006D3FB3">
            <w:pPr>
              <w:spacing w:after="120"/>
              <w:jc w:val="center"/>
              <w:rPr>
                <w:sz w:val="18"/>
                <w:szCs w:val="18"/>
                <w:lang w:eastAsia="pt-BR"/>
              </w:rPr>
            </w:pPr>
            <w:r w:rsidRPr="00E60E24">
              <w:rPr>
                <w:sz w:val="18"/>
                <w:szCs w:val="18"/>
                <w:lang w:eastAsia="pt-BR"/>
              </w:rPr>
              <w:t>2010</w:t>
            </w:r>
          </w:p>
        </w:tc>
        <w:tc>
          <w:tcPr>
            <w:tcW w:w="408"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10D965" w14:textId="77777777" w:rsidR="004A5DEE" w:rsidRPr="00E60E24" w:rsidRDefault="004A5DEE" w:rsidP="006D3FB3">
            <w:pPr>
              <w:spacing w:after="120"/>
              <w:jc w:val="center"/>
              <w:rPr>
                <w:sz w:val="18"/>
                <w:szCs w:val="18"/>
                <w:lang w:eastAsia="pt-BR"/>
              </w:rPr>
            </w:pPr>
            <w:r w:rsidRPr="00E60E24">
              <w:rPr>
                <w:sz w:val="18"/>
                <w:szCs w:val="18"/>
                <w:lang w:eastAsia="pt-BR"/>
              </w:rPr>
              <w:t>Mudança</w:t>
            </w:r>
          </w:p>
        </w:tc>
      </w:tr>
      <w:tr w:rsidR="004601DE" w:rsidRPr="00E60E24" w14:paraId="549DF0D6"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51D17D3B" w14:textId="77777777" w:rsidR="004601DE" w:rsidRPr="00E60E24" w:rsidRDefault="004601DE" w:rsidP="00F25AC8">
            <w:pPr>
              <w:spacing w:after="120"/>
              <w:rPr>
                <w:sz w:val="18"/>
                <w:szCs w:val="18"/>
                <w:lang w:eastAsia="pt-BR"/>
              </w:rPr>
            </w:pPr>
            <w:r w:rsidRPr="00E60E24">
              <w:rPr>
                <w:sz w:val="18"/>
                <w:szCs w:val="18"/>
                <w:lang w:eastAsia="pt-BR"/>
              </w:rPr>
              <w:t>Características municipais</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6CBE10FB" w14:textId="77777777" w:rsidR="004601DE" w:rsidRPr="00E60E24" w:rsidRDefault="004601DE" w:rsidP="00F25AC8">
            <w:pPr>
              <w:spacing w:after="120"/>
              <w:jc w:val="center"/>
              <w:rPr>
                <w:sz w:val="18"/>
                <w:szCs w:val="18"/>
                <w:lang w:eastAsia="pt-BR"/>
              </w:rPr>
            </w:pPr>
            <w:r w:rsidRPr="00E60E24">
              <w:rPr>
                <w:sz w:val="18"/>
                <w:szCs w:val="18"/>
                <w:lang w:eastAsia="pt-BR"/>
              </w:rPr>
              <w:t>Não</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529E5123" w14:textId="77777777" w:rsidR="004601DE" w:rsidRPr="00E60E24" w:rsidRDefault="004601DE" w:rsidP="00F25AC8">
            <w:pPr>
              <w:spacing w:after="120"/>
              <w:jc w:val="center"/>
              <w:rPr>
                <w:sz w:val="18"/>
                <w:szCs w:val="18"/>
                <w:lang w:eastAsia="pt-BR"/>
              </w:rPr>
            </w:pPr>
            <w:r w:rsidRPr="00E60E24">
              <w:rPr>
                <w:sz w:val="18"/>
                <w:szCs w:val="18"/>
                <w:lang w:eastAsia="pt-BR"/>
              </w:rPr>
              <w:t>Não</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E9B918B"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12B5591"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67E6DE0"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B49E7D1"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D4F14AB"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7DD8B27E"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D448BD3"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49B507D3"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0FA1254" w14:textId="77777777" w:rsidR="004601DE" w:rsidRPr="00E60E24" w:rsidRDefault="004601DE" w:rsidP="00F25AC8">
            <w:pPr>
              <w:spacing w:after="120"/>
              <w:jc w:val="center"/>
              <w:rPr>
                <w:sz w:val="18"/>
                <w:szCs w:val="18"/>
                <w:lang w:eastAsia="pt-BR"/>
              </w:rPr>
            </w:pPr>
          </w:p>
        </w:tc>
      </w:tr>
      <w:tr w:rsidR="004601DE" w:rsidRPr="00E60E24" w14:paraId="5209E10A"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4A2D3728"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43A9C535"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2FF6DA0"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C1D7820"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1965E23"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0A61797"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EE3E283"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7756938"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E527AEF"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4D430AC0"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0003F1E"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48233CC" w14:textId="77777777" w:rsidR="004601DE" w:rsidRPr="00E60E24" w:rsidRDefault="004601DE" w:rsidP="00F25AC8">
            <w:pPr>
              <w:spacing w:after="120"/>
              <w:jc w:val="center"/>
              <w:rPr>
                <w:sz w:val="18"/>
                <w:szCs w:val="18"/>
                <w:lang w:eastAsia="pt-BR"/>
              </w:rPr>
            </w:pPr>
          </w:p>
        </w:tc>
      </w:tr>
      <w:tr w:rsidR="004601DE" w:rsidRPr="00E60E24" w14:paraId="56A9F16D"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600B24DB" w14:textId="77777777" w:rsidR="004601DE" w:rsidRPr="00E60E24" w:rsidRDefault="004601DE" w:rsidP="00F25AC8">
            <w:pPr>
              <w:spacing w:after="120"/>
              <w:rPr>
                <w:sz w:val="18"/>
                <w:szCs w:val="18"/>
                <w:lang w:eastAsia="pt-BR"/>
              </w:rPr>
            </w:pPr>
            <w:r w:rsidRPr="00E60E24">
              <w:rPr>
                <w:sz w:val="18"/>
                <w:szCs w:val="18"/>
                <w:lang w:eastAsia="pt-BR"/>
              </w:rPr>
              <w:t>Exposição ao comércio</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2691D8CD" w14:textId="77777777" w:rsidR="004601DE" w:rsidRPr="00E60E24" w:rsidRDefault="004601DE" w:rsidP="00F25AC8">
            <w:pPr>
              <w:spacing w:after="120"/>
              <w:jc w:val="center"/>
              <w:rPr>
                <w:sz w:val="18"/>
                <w:szCs w:val="18"/>
                <w:lang w:eastAsia="pt-BR"/>
              </w:rPr>
            </w:pPr>
            <w:r w:rsidRPr="00E60E24">
              <w:rPr>
                <w:sz w:val="18"/>
                <w:szCs w:val="18"/>
                <w:lang w:eastAsia="pt-BR"/>
              </w:rPr>
              <w:t>Não</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4436F1E3" w14:textId="77777777" w:rsidR="004601DE" w:rsidRPr="00E60E24" w:rsidRDefault="004601DE" w:rsidP="00F25AC8">
            <w:pPr>
              <w:spacing w:after="120"/>
              <w:jc w:val="center"/>
              <w:rPr>
                <w:sz w:val="18"/>
                <w:szCs w:val="18"/>
                <w:lang w:eastAsia="pt-BR"/>
              </w:rPr>
            </w:pPr>
            <w:r w:rsidRPr="00E60E24">
              <w:rPr>
                <w:sz w:val="18"/>
                <w:szCs w:val="18"/>
                <w:lang w:eastAsia="pt-BR"/>
              </w:rPr>
              <w:t>Não</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AEA5AE6"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BADDD54"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810CD10" w14:textId="77777777" w:rsidR="004601DE" w:rsidRPr="00E60E24" w:rsidRDefault="004601DE" w:rsidP="00F25AC8">
            <w:pPr>
              <w:spacing w:after="120"/>
              <w:jc w:val="center"/>
              <w:rPr>
                <w:sz w:val="18"/>
                <w:szCs w:val="18"/>
                <w:lang w:eastAsia="pt-BR"/>
              </w:rPr>
            </w:pPr>
            <w:r w:rsidRPr="00E60E24">
              <w:rPr>
                <w:sz w:val="18"/>
                <w:szCs w:val="18"/>
                <w:lang w:eastAsia="pt-BR"/>
              </w:rPr>
              <w:t>Não</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797A7B7" w14:textId="77777777" w:rsidR="004601DE" w:rsidRPr="00E60E24" w:rsidRDefault="004601DE" w:rsidP="00F25AC8">
            <w:pPr>
              <w:spacing w:after="120"/>
              <w:jc w:val="center"/>
              <w:rPr>
                <w:sz w:val="18"/>
                <w:szCs w:val="18"/>
                <w:lang w:eastAsia="pt-BR"/>
              </w:rPr>
            </w:pPr>
            <w:r w:rsidRPr="00E60E24">
              <w:rPr>
                <w:sz w:val="18"/>
                <w:szCs w:val="18"/>
                <w:lang w:eastAsia="pt-BR"/>
              </w:rPr>
              <w:t>Não</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100A0D92"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6CB757B4"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0AC8109"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4DF1ECC" w14:textId="77777777" w:rsidR="004601DE" w:rsidRPr="00E60E24" w:rsidRDefault="004601DE" w:rsidP="00F25AC8">
            <w:pPr>
              <w:spacing w:after="120"/>
              <w:jc w:val="center"/>
              <w:rPr>
                <w:sz w:val="18"/>
                <w:szCs w:val="18"/>
                <w:lang w:eastAsia="pt-BR"/>
              </w:rPr>
            </w:pPr>
            <w:r w:rsidRPr="00E60E24">
              <w:rPr>
                <w:sz w:val="18"/>
                <w:szCs w:val="18"/>
                <w:lang w:eastAsia="pt-BR"/>
              </w:rPr>
              <w:t>Sim</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7EAD3A7E" w14:textId="77777777" w:rsidR="004601DE" w:rsidRPr="00E60E24" w:rsidRDefault="004601DE" w:rsidP="00F25AC8">
            <w:pPr>
              <w:spacing w:after="120"/>
              <w:jc w:val="center"/>
              <w:rPr>
                <w:sz w:val="18"/>
                <w:szCs w:val="18"/>
                <w:lang w:eastAsia="pt-BR"/>
              </w:rPr>
            </w:pPr>
          </w:p>
        </w:tc>
      </w:tr>
      <w:tr w:rsidR="004601DE" w:rsidRPr="00E60E24" w14:paraId="0CAA099A"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509FD3F7"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1E937DC1"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B4C127B"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06DC975"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1ED66001"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12DB951"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22B1FAE"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B6B4C72"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E60A387"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C6E6476" w14:textId="77777777" w:rsidR="004601DE" w:rsidRPr="00E60E24" w:rsidRDefault="004601DE" w:rsidP="00F25AC8">
            <w:pPr>
              <w:spacing w:after="120"/>
              <w:jc w:val="center"/>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210C45A" w14:textId="77777777" w:rsidR="004601DE" w:rsidRPr="00E60E24" w:rsidRDefault="004601DE" w:rsidP="00F25AC8">
            <w:pPr>
              <w:spacing w:after="120"/>
              <w:jc w:val="center"/>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0849A776" w14:textId="77777777" w:rsidR="004601DE" w:rsidRPr="00E60E24" w:rsidRDefault="004601DE" w:rsidP="00F25AC8">
            <w:pPr>
              <w:spacing w:after="120"/>
              <w:jc w:val="center"/>
              <w:rPr>
                <w:sz w:val="18"/>
                <w:szCs w:val="18"/>
                <w:lang w:eastAsia="pt-BR"/>
              </w:rPr>
            </w:pPr>
          </w:p>
        </w:tc>
      </w:tr>
      <w:tr w:rsidR="004601DE" w:rsidRPr="00E60E24" w14:paraId="5A510D65"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723F011B" w14:textId="77777777" w:rsidR="004601DE" w:rsidRPr="00E60E24" w:rsidRDefault="004601DE" w:rsidP="00F25AC8">
            <w:pPr>
              <w:spacing w:after="120"/>
              <w:rPr>
                <w:sz w:val="18"/>
                <w:szCs w:val="18"/>
                <w:lang w:eastAsia="pt-BR"/>
              </w:rPr>
            </w:pPr>
            <w:r w:rsidRPr="00E60E24">
              <w:rPr>
                <w:sz w:val="18"/>
                <w:szCs w:val="18"/>
                <w:lang w:eastAsia="pt-BR"/>
              </w:rPr>
              <w:t>Constante</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761A506E" w14:textId="77777777" w:rsidR="004601DE" w:rsidRPr="00E60E24" w:rsidRDefault="004601DE" w:rsidP="00F25AC8">
            <w:pPr>
              <w:spacing w:after="120"/>
              <w:jc w:val="center"/>
              <w:rPr>
                <w:sz w:val="18"/>
                <w:szCs w:val="18"/>
                <w:lang w:eastAsia="pt-BR"/>
              </w:rPr>
            </w:pPr>
            <w:r w:rsidRPr="00E60E24">
              <w:rPr>
                <w:sz w:val="18"/>
                <w:szCs w:val="18"/>
                <w:lang w:eastAsia="pt-BR"/>
              </w:rPr>
              <w:t>5,058ª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A8C9441" w14:textId="77777777" w:rsidR="004601DE" w:rsidRPr="00E60E24" w:rsidRDefault="004601DE" w:rsidP="00F25AC8">
            <w:pPr>
              <w:spacing w:after="120"/>
              <w:jc w:val="center"/>
              <w:rPr>
                <w:sz w:val="18"/>
                <w:szCs w:val="18"/>
                <w:lang w:eastAsia="pt-BR"/>
              </w:rPr>
            </w:pPr>
            <w:r w:rsidRPr="00E60E24">
              <w:rPr>
                <w:sz w:val="18"/>
                <w:szCs w:val="18"/>
                <w:lang w:eastAsia="pt-BR"/>
              </w:rPr>
              <w:t>5,716ª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E206B0A" w14:textId="77777777" w:rsidR="004601DE" w:rsidRPr="00E60E24" w:rsidRDefault="004601DE" w:rsidP="00F25AC8">
            <w:pPr>
              <w:spacing w:after="120"/>
              <w:jc w:val="center"/>
              <w:rPr>
                <w:sz w:val="18"/>
                <w:szCs w:val="18"/>
                <w:lang w:eastAsia="pt-BR"/>
              </w:rPr>
            </w:pPr>
            <w:r w:rsidRPr="00E60E24">
              <w:rPr>
                <w:sz w:val="18"/>
                <w:szCs w:val="18"/>
                <w:lang w:eastAsia="pt-BR"/>
              </w:rPr>
              <w:t>0,658ª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2CB727EA"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9830837" w14:textId="77777777" w:rsidR="004601DE" w:rsidRPr="00E60E24" w:rsidRDefault="004601DE" w:rsidP="00F25AC8">
            <w:pPr>
              <w:spacing w:after="120"/>
              <w:jc w:val="center"/>
              <w:rPr>
                <w:sz w:val="18"/>
                <w:szCs w:val="18"/>
                <w:lang w:eastAsia="pt-BR"/>
              </w:rPr>
            </w:pPr>
            <w:r w:rsidRPr="00E60E24">
              <w:rPr>
                <w:sz w:val="18"/>
                <w:szCs w:val="18"/>
                <w:lang w:eastAsia="pt-BR"/>
              </w:rPr>
              <w:t>4,324ª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2DECF0C" w14:textId="77777777" w:rsidR="004601DE" w:rsidRPr="00E60E24" w:rsidRDefault="004601DE" w:rsidP="00F25AC8">
            <w:pPr>
              <w:spacing w:after="120"/>
              <w:jc w:val="center"/>
              <w:rPr>
                <w:sz w:val="18"/>
                <w:szCs w:val="18"/>
                <w:lang w:eastAsia="pt-BR"/>
              </w:rPr>
            </w:pPr>
            <w:r w:rsidRPr="00E60E24">
              <w:rPr>
                <w:sz w:val="18"/>
                <w:szCs w:val="18"/>
                <w:lang w:eastAsia="pt-BR"/>
              </w:rPr>
              <w:t>5,237ª</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8B9A127" w14:textId="77777777" w:rsidR="004601DE" w:rsidRPr="00E60E24" w:rsidRDefault="004601DE" w:rsidP="00F25AC8">
            <w:pPr>
              <w:spacing w:after="120"/>
              <w:jc w:val="center"/>
              <w:rPr>
                <w:sz w:val="18"/>
                <w:szCs w:val="18"/>
                <w:lang w:eastAsia="pt-BR"/>
              </w:rPr>
            </w:pPr>
            <w:r w:rsidRPr="00E60E24">
              <w:rPr>
                <w:sz w:val="18"/>
                <w:szCs w:val="18"/>
                <w:lang w:eastAsia="pt-BR"/>
              </w:rPr>
              <w:t>0,913ª</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4682BF0"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B6A6DB4" w14:textId="77777777" w:rsidR="004601DE" w:rsidRPr="00E60E24" w:rsidRDefault="004601DE" w:rsidP="00F25AC8">
            <w:pPr>
              <w:spacing w:after="120"/>
              <w:jc w:val="center"/>
              <w:rPr>
                <w:sz w:val="18"/>
                <w:szCs w:val="18"/>
                <w:lang w:eastAsia="pt-BR"/>
              </w:rPr>
            </w:pPr>
            <w:r w:rsidRPr="00E60E24">
              <w:rPr>
                <w:sz w:val="18"/>
                <w:szCs w:val="18"/>
                <w:lang w:eastAsia="pt-BR"/>
              </w:rPr>
              <w:t>3,533ª</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CFF7239" w14:textId="77777777" w:rsidR="004601DE" w:rsidRPr="00E60E24" w:rsidRDefault="004601DE" w:rsidP="00F25AC8">
            <w:pPr>
              <w:spacing w:after="120"/>
              <w:jc w:val="center"/>
              <w:rPr>
                <w:sz w:val="18"/>
                <w:szCs w:val="18"/>
                <w:lang w:eastAsia="pt-BR"/>
              </w:rPr>
            </w:pPr>
            <w:r w:rsidRPr="00E60E24">
              <w:rPr>
                <w:sz w:val="18"/>
                <w:szCs w:val="18"/>
                <w:lang w:eastAsia="pt-BR"/>
              </w:rPr>
              <w:t>4,879ª</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1ECDDAD6" w14:textId="77777777" w:rsidR="004601DE" w:rsidRPr="00E60E24" w:rsidRDefault="004601DE" w:rsidP="00F25AC8">
            <w:pPr>
              <w:spacing w:after="120"/>
              <w:jc w:val="center"/>
              <w:rPr>
                <w:sz w:val="18"/>
                <w:szCs w:val="18"/>
                <w:lang w:eastAsia="pt-BR"/>
              </w:rPr>
            </w:pPr>
            <w:r w:rsidRPr="00E60E24">
              <w:rPr>
                <w:sz w:val="18"/>
                <w:szCs w:val="18"/>
                <w:lang w:eastAsia="pt-BR"/>
              </w:rPr>
              <w:t>1,346ª</w:t>
            </w:r>
          </w:p>
        </w:tc>
      </w:tr>
      <w:tr w:rsidR="004601DE" w:rsidRPr="00E60E24" w14:paraId="044E4383"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727BCABB"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121D6F7B" w14:textId="77777777" w:rsidR="004601DE" w:rsidRPr="00E60E24" w:rsidRDefault="004601DE" w:rsidP="00F25AC8">
            <w:pPr>
              <w:spacing w:after="120"/>
              <w:jc w:val="center"/>
              <w:rPr>
                <w:sz w:val="18"/>
                <w:szCs w:val="18"/>
                <w:lang w:eastAsia="pt-BR"/>
              </w:rPr>
            </w:pPr>
            <w:r w:rsidRPr="00E60E24">
              <w:rPr>
                <w:sz w:val="18"/>
                <w:szCs w:val="18"/>
                <w:lang w:eastAsia="pt-BR"/>
              </w:rPr>
              <w:t>(0,0451)</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0E4A8BCB" w14:textId="77777777" w:rsidR="004601DE" w:rsidRPr="00E60E24" w:rsidRDefault="004601DE" w:rsidP="00F25AC8">
            <w:pPr>
              <w:spacing w:after="120"/>
              <w:jc w:val="center"/>
              <w:rPr>
                <w:sz w:val="18"/>
                <w:szCs w:val="18"/>
                <w:lang w:eastAsia="pt-BR"/>
              </w:rPr>
            </w:pPr>
            <w:r w:rsidRPr="00E60E24">
              <w:rPr>
                <w:sz w:val="18"/>
                <w:szCs w:val="18"/>
                <w:lang w:eastAsia="pt-BR"/>
              </w:rPr>
              <w:t>(0,0355)</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CE19082" w14:textId="77777777" w:rsidR="004601DE" w:rsidRPr="00E60E24" w:rsidRDefault="004601DE" w:rsidP="00F25AC8">
            <w:pPr>
              <w:spacing w:after="120"/>
              <w:jc w:val="center"/>
              <w:rPr>
                <w:sz w:val="18"/>
                <w:szCs w:val="18"/>
                <w:lang w:eastAsia="pt-BR"/>
              </w:rPr>
            </w:pPr>
            <w:r w:rsidRPr="00E60E24">
              <w:rPr>
                <w:sz w:val="18"/>
                <w:szCs w:val="18"/>
                <w:lang w:eastAsia="pt-BR"/>
              </w:rPr>
              <w:t>(0,0355)</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471BA0B"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29FB2AA3" w14:textId="77777777" w:rsidR="004601DE" w:rsidRPr="00E60E24" w:rsidRDefault="004601DE" w:rsidP="00F25AC8">
            <w:pPr>
              <w:spacing w:after="120"/>
              <w:jc w:val="center"/>
              <w:rPr>
                <w:sz w:val="18"/>
                <w:szCs w:val="18"/>
                <w:lang w:eastAsia="pt-BR"/>
              </w:rPr>
            </w:pPr>
            <w:r w:rsidRPr="00E60E24">
              <w:rPr>
                <w:sz w:val="18"/>
                <w:szCs w:val="18"/>
                <w:lang w:eastAsia="pt-BR"/>
              </w:rPr>
              <w:t>(0,0734)</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39F859C" w14:textId="77777777" w:rsidR="004601DE" w:rsidRPr="00E60E24" w:rsidRDefault="004601DE" w:rsidP="00F25AC8">
            <w:pPr>
              <w:spacing w:after="120"/>
              <w:jc w:val="center"/>
              <w:rPr>
                <w:sz w:val="18"/>
                <w:szCs w:val="18"/>
                <w:lang w:eastAsia="pt-BR"/>
              </w:rPr>
            </w:pPr>
            <w:r w:rsidRPr="00E60E24">
              <w:rPr>
                <w:sz w:val="18"/>
                <w:szCs w:val="18"/>
                <w:lang w:eastAsia="pt-BR"/>
              </w:rPr>
              <w:t>(0,0528)</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9D575B5" w14:textId="77777777" w:rsidR="004601DE" w:rsidRPr="00E60E24" w:rsidRDefault="004601DE" w:rsidP="00F25AC8">
            <w:pPr>
              <w:spacing w:after="120"/>
              <w:jc w:val="center"/>
              <w:rPr>
                <w:sz w:val="18"/>
                <w:szCs w:val="18"/>
                <w:lang w:eastAsia="pt-BR"/>
              </w:rPr>
            </w:pPr>
            <w:r w:rsidRPr="00E60E24">
              <w:rPr>
                <w:sz w:val="18"/>
                <w:szCs w:val="18"/>
                <w:lang w:eastAsia="pt-BR"/>
              </w:rPr>
              <w:t>(0,0583)</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4D1177E5"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2316F8C" w14:textId="77777777" w:rsidR="004601DE" w:rsidRPr="00E60E24" w:rsidRDefault="004601DE" w:rsidP="00F25AC8">
            <w:pPr>
              <w:spacing w:after="120"/>
              <w:jc w:val="center"/>
              <w:rPr>
                <w:sz w:val="18"/>
                <w:szCs w:val="18"/>
                <w:lang w:eastAsia="pt-BR"/>
              </w:rPr>
            </w:pPr>
            <w:r w:rsidRPr="00E60E24">
              <w:rPr>
                <w:sz w:val="18"/>
                <w:szCs w:val="18"/>
                <w:lang w:eastAsia="pt-BR"/>
              </w:rPr>
              <w:t>(0,211)</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D912228" w14:textId="77777777" w:rsidR="004601DE" w:rsidRPr="00E60E24" w:rsidRDefault="004601DE" w:rsidP="00F25AC8">
            <w:pPr>
              <w:spacing w:after="120"/>
              <w:jc w:val="center"/>
              <w:rPr>
                <w:sz w:val="18"/>
                <w:szCs w:val="18"/>
                <w:lang w:eastAsia="pt-BR"/>
              </w:rPr>
            </w:pPr>
            <w:r w:rsidRPr="00E60E24">
              <w:rPr>
                <w:sz w:val="18"/>
                <w:szCs w:val="18"/>
                <w:lang w:eastAsia="pt-BR"/>
              </w:rPr>
              <w:t>(0,0988)</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33D81945" w14:textId="77777777" w:rsidR="004601DE" w:rsidRPr="00E60E24" w:rsidRDefault="004601DE" w:rsidP="00F25AC8">
            <w:pPr>
              <w:spacing w:after="120"/>
              <w:jc w:val="center"/>
              <w:rPr>
                <w:sz w:val="18"/>
                <w:szCs w:val="18"/>
                <w:lang w:eastAsia="pt-BR"/>
              </w:rPr>
            </w:pPr>
            <w:r w:rsidRPr="00E60E24">
              <w:rPr>
                <w:sz w:val="18"/>
                <w:szCs w:val="18"/>
                <w:lang w:eastAsia="pt-BR"/>
              </w:rPr>
              <w:t>(0,184)</w:t>
            </w:r>
          </w:p>
        </w:tc>
      </w:tr>
      <w:tr w:rsidR="004601DE" w:rsidRPr="00E60E24" w14:paraId="292DA6D2"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4980AB17" w14:textId="77777777" w:rsidR="004601DE" w:rsidRPr="00E60E24" w:rsidRDefault="004601DE" w:rsidP="00F25AC8">
            <w:pPr>
              <w:spacing w:after="120"/>
              <w:jc w:val="center"/>
              <w:rPr>
                <w:sz w:val="18"/>
                <w:szCs w:val="18"/>
                <w:lang w:eastAsia="pt-BR"/>
              </w:rPr>
            </w:pP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68307B87"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6FFD2A5" w14:textId="77777777" w:rsidR="004601DE" w:rsidRPr="00E60E24" w:rsidRDefault="004601DE" w:rsidP="00F25AC8">
            <w:pPr>
              <w:spacing w:after="120"/>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F40CD4C"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3410AFC8"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7F3456F5"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15F8E3E7" w14:textId="77777777" w:rsidR="004601DE" w:rsidRPr="00E60E24" w:rsidRDefault="004601DE" w:rsidP="00F25AC8">
            <w:pPr>
              <w:spacing w:after="120"/>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084BC1CE" w14:textId="77777777" w:rsidR="004601DE" w:rsidRPr="00E60E24" w:rsidRDefault="004601DE" w:rsidP="00F25AC8">
            <w:pPr>
              <w:spacing w:after="120"/>
              <w:jc w:val="center"/>
              <w:rPr>
                <w:sz w:val="18"/>
                <w:szCs w:val="18"/>
                <w:lang w:eastAsia="pt-BR"/>
              </w:rPr>
            </w:pP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5D56A7BE" w14:textId="77777777" w:rsidR="004601DE" w:rsidRPr="00E60E24" w:rsidRDefault="004601DE" w:rsidP="00F25AC8">
            <w:pPr>
              <w:spacing w:after="120"/>
              <w:jc w:val="center"/>
              <w:rPr>
                <w:sz w:val="18"/>
                <w:szCs w:val="18"/>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606E0ECB" w14:textId="77777777" w:rsidR="004601DE" w:rsidRPr="00E60E24" w:rsidRDefault="004601DE" w:rsidP="00F25AC8">
            <w:pPr>
              <w:spacing w:after="120"/>
              <w:rPr>
                <w:sz w:val="18"/>
                <w:szCs w:val="18"/>
                <w:lang w:eastAsia="pt-BR"/>
              </w:rPr>
            </w:pP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793A7BBA" w14:textId="77777777" w:rsidR="004601DE" w:rsidRPr="00E60E24" w:rsidRDefault="004601DE" w:rsidP="00F25AC8">
            <w:pPr>
              <w:spacing w:after="120"/>
              <w:rPr>
                <w:sz w:val="18"/>
                <w:szCs w:val="18"/>
                <w:lang w:eastAsia="pt-BR"/>
              </w:rPr>
            </w:pP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53A983AF" w14:textId="77777777" w:rsidR="004601DE" w:rsidRPr="00E60E24" w:rsidRDefault="004601DE" w:rsidP="00F25AC8">
            <w:pPr>
              <w:spacing w:after="120"/>
              <w:jc w:val="center"/>
              <w:rPr>
                <w:sz w:val="18"/>
                <w:szCs w:val="18"/>
                <w:lang w:eastAsia="pt-BR"/>
              </w:rPr>
            </w:pPr>
          </w:p>
        </w:tc>
      </w:tr>
      <w:tr w:rsidR="004601DE" w:rsidRPr="00E60E24" w14:paraId="31B73AF9" w14:textId="77777777" w:rsidTr="004A5DEE">
        <w:trPr>
          <w:trHeight w:val="20"/>
        </w:trPr>
        <w:tc>
          <w:tcPr>
            <w:tcW w:w="1090" w:type="pct"/>
            <w:tcBorders>
              <w:top w:val="nil"/>
              <w:left w:val="nil"/>
              <w:bottom w:val="nil"/>
              <w:right w:val="nil"/>
            </w:tcBorders>
            <w:shd w:val="clear" w:color="auto" w:fill="auto"/>
            <w:noWrap/>
            <w:tcMar>
              <w:top w:w="15" w:type="dxa"/>
              <w:left w:w="15" w:type="dxa"/>
              <w:bottom w:w="0" w:type="dxa"/>
              <w:right w:w="15" w:type="dxa"/>
            </w:tcMar>
            <w:vAlign w:val="bottom"/>
            <w:hideMark/>
          </w:tcPr>
          <w:p w14:paraId="57657C63" w14:textId="77777777" w:rsidR="004601DE" w:rsidRPr="00E60E24" w:rsidRDefault="004601DE" w:rsidP="00F25AC8">
            <w:pPr>
              <w:spacing w:after="120"/>
              <w:rPr>
                <w:sz w:val="16"/>
                <w:szCs w:val="16"/>
                <w:lang w:eastAsia="pt-BR"/>
              </w:rPr>
            </w:pPr>
            <w:r w:rsidRPr="00E60E24">
              <w:rPr>
                <w:sz w:val="18"/>
                <w:szCs w:val="16"/>
                <w:lang w:eastAsia="pt-BR"/>
              </w:rPr>
              <w:t>Observações</w:t>
            </w:r>
          </w:p>
        </w:tc>
        <w:tc>
          <w:tcPr>
            <w:tcW w:w="413" w:type="pct"/>
            <w:tcBorders>
              <w:top w:val="nil"/>
              <w:left w:val="nil"/>
              <w:bottom w:val="nil"/>
              <w:right w:val="nil"/>
            </w:tcBorders>
            <w:shd w:val="clear" w:color="auto" w:fill="auto"/>
            <w:noWrap/>
            <w:tcMar>
              <w:top w:w="15" w:type="dxa"/>
              <w:left w:w="15" w:type="dxa"/>
              <w:bottom w:w="0" w:type="dxa"/>
              <w:right w:w="15" w:type="dxa"/>
            </w:tcMar>
            <w:vAlign w:val="bottom"/>
            <w:hideMark/>
          </w:tcPr>
          <w:p w14:paraId="6B61C159" w14:textId="77777777" w:rsidR="004601DE" w:rsidRPr="00E60E24" w:rsidRDefault="004601DE" w:rsidP="00F25AC8">
            <w:pPr>
              <w:spacing w:after="120"/>
              <w:jc w:val="center"/>
              <w:rPr>
                <w:sz w:val="16"/>
                <w:szCs w:val="16"/>
                <w:lang w:eastAsia="pt-BR"/>
              </w:rPr>
            </w:pPr>
            <w:r w:rsidRPr="00E60E24">
              <w:rPr>
                <w:sz w:val="16"/>
                <w:szCs w:val="16"/>
                <w:lang w:eastAsia="pt-BR"/>
              </w:rPr>
              <w:t>3.700.633</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204355F1" w14:textId="77777777" w:rsidR="004601DE" w:rsidRPr="00E60E24" w:rsidRDefault="004601DE" w:rsidP="00F25AC8">
            <w:pPr>
              <w:spacing w:after="120"/>
              <w:jc w:val="center"/>
              <w:rPr>
                <w:sz w:val="16"/>
                <w:szCs w:val="16"/>
                <w:lang w:eastAsia="pt-BR"/>
              </w:rPr>
            </w:pPr>
            <w:r w:rsidRPr="00E60E24">
              <w:rPr>
                <w:sz w:val="16"/>
                <w:szCs w:val="16"/>
                <w:lang w:eastAsia="pt-BR"/>
              </w:rPr>
              <w:t>3.118.047</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244B386" w14:textId="77777777" w:rsidR="004601DE" w:rsidRPr="00E60E24" w:rsidRDefault="004601DE" w:rsidP="00F25AC8">
            <w:pPr>
              <w:spacing w:after="120"/>
              <w:jc w:val="center"/>
              <w:rPr>
                <w:sz w:val="16"/>
                <w:szCs w:val="16"/>
                <w:lang w:eastAsia="pt-BR"/>
              </w:rPr>
            </w:pPr>
            <w:r w:rsidRPr="00E60E24">
              <w:rPr>
                <w:sz w:val="16"/>
                <w:szCs w:val="16"/>
                <w:lang w:eastAsia="pt-BR"/>
              </w:rPr>
              <w:t>6.818.680</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30A805A1" w14:textId="77777777" w:rsidR="004601DE" w:rsidRPr="00E60E24" w:rsidRDefault="004601DE" w:rsidP="00F25AC8">
            <w:pPr>
              <w:spacing w:after="120"/>
              <w:jc w:val="center"/>
              <w:rPr>
                <w:sz w:val="16"/>
                <w:szCs w:val="16"/>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8ECC52F" w14:textId="77777777" w:rsidR="004601DE" w:rsidRPr="00E60E24" w:rsidRDefault="004601DE" w:rsidP="00F25AC8">
            <w:pPr>
              <w:spacing w:after="120"/>
              <w:jc w:val="center"/>
              <w:rPr>
                <w:sz w:val="16"/>
                <w:szCs w:val="16"/>
                <w:lang w:eastAsia="pt-BR"/>
              </w:rPr>
            </w:pPr>
            <w:r w:rsidRPr="00E60E24">
              <w:rPr>
                <w:sz w:val="16"/>
                <w:szCs w:val="16"/>
                <w:lang w:eastAsia="pt-BR"/>
              </w:rPr>
              <w:t>3.700.633</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6E5571CA" w14:textId="77777777" w:rsidR="004601DE" w:rsidRPr="00E60E24" w:rsidRDefault="004601DE" w:rsidP="00F25AC8">
            <w:pPr>
              <w:spacing w:after="120"/>
              <w:jc w:val="center"/>
              <w:rPr>
                <w:sz w:val="16"/>
                <w:szCs w:val="16"/>
                <w:lang w:eastAsia="pt-BR"/>
              </w:rPr>
            </w:pPr>
            <w:r w:rsidRPr="00E60E24">
              <w:rPr>
                <w:sz w:val="16"/>
                <w:szCs w:val="16"/>
                <w:lang w:eastAsia="pt-BR"/>
              </w:rPr>
              <w:t>3.118.047</w:t>
            </w: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5EFB4ACB" w14:textId="77777777" w:rsidR="004601DE" w:rsidRPr="00E60E24" w:rsidRDefault="004601DE" w:rsidP="00F25AC8">
            <w:pPr>
              <w:spacing w:after="120"/>
              <w:jc w:val="center"/>
              <w:rPr>
                <w:sz w:val="16"/>
                <w:szCs w:val="16"/>
                <w:lang w:eastAsia="pt-BR"/>
              </w:rPr>
            </w:pPr>
            <w:r w:rsidRPr="00E60E24">
              <w:rPr>
                <w:sz w:val="16"/>
                <w:szCs w:val="16"/>
                <w:lang w:eastAsia="pt-BR"/>
              </w:rPr>
              <w:t>6.818.680</w:t>
            </w:r>
          </w:p>
        </w:tc>
        <w:tc>
          <w:tcPr>
            <w:tcW w:w="41" w:type="pct"/>
            <w:tcBorders>
              <w:top w:val="nil"/>
              <w:left w:val="nil"/>
              <w:bottom w:val="nil"/>
              <w:right w:val="nil"/>
            </w:tcBorders>
            <w:shd w:val="clear" w:color="auto" w:fill="auto"/>
            <w:noWrap/>
            <w:tcMar>
              <w:top w:w="15" w:type="dxa"/>
              <w:left w:w="15" w:type="dxa"/>
              <w:bottom w:w="0" w:type="dxa"/>
              <w:right w:w="15" w:type="dxa"/>
            </w:tcMar>
            <w:vAlign w:val="bottom"/>
            <w:hideMark/>
          </w:tcPr>
          <w:p w14:paraId="697123B0" w14:textId="77777777" w:rsidR="004601DE" w:rsidRPr="00E60E24" w:rsidRDefault="004601DE" w:rsidP="00F25AC8">
            <w:pPr>
              <w:spacing w:after="120"/>
              <w:jc w:val="center"/>
              <w:rPr>
                <w:sz w:val="16"/>
                <w:szCs w:val="16"/>
                <w:lang w:eastAsia="pt-BR"/>
              </w:rPr>
            </w:pPr>
          </w:p>
        </w:tc>
        <w:tc>
          <w:tcPr>
            <w:tcW w:w="412" w:type="pct"/>
            <w:tcBorders>
              <w:top w:val="nil"/>
              <w:left w:val="nil"/>
              <w:bottom w:val="nil"/>
              <w:right w:val="nil"/>
            </w:tcBorders>
            <w:shd w:val="clear" w:color="auto" w:fill="auto"/>
            <w:noWrap/>
            <w:tcMar>
              <w:top w:w="15" w:type="dxa"/>
              <w:left w:w="15" w:type="dxa"/>
              <w:bottom w:w="0" w:type="dxa"/>
              <w:right w:w="15" w:type="dxa"/>
            </w:tcMar>
            <w:vAlign w:val="bottom"/>
            <w:hideMark/>
          </w:tcPr>
          <w:p w14:paraId="3472FDE4" w14:textId="77777777" w:rsidR="004601DE" w:rsidRPr="00E60E24" w:rsidRDefault="004601DE" w:rsidP="00F25AC8">
            <w:pPr>
              <w:spacing w:after="120"/>
              <w:jc w:val="center"/>
              <w:rPr>
                <w:sz w:val="16"/>
                <w:szCs w:val="16"/>
                <w:lang w:eastAsia="pt-BR"/>
              </w:rPr>
            </w:pPr>
            <w:r w:rsidRPr="00E60E24">
              <w:rPr>
                <w:sz w:val="16"/>
                <w:szCs w:val="16"/>
                <w:lang w:eastAsia="pt-BR"/>
              </w:rPr>
              <w:t>3.700.633</w:t>
            </w:r>
          </w:p>
        </w:tc>
        <w:tc>
          <w:tcPr>
            <w:tcW w:w="453" w:type="pct"/>
            <w:tcBorders>
              <w:top w:val="nil"/>
              <w:left w:val="nil"/>
              <w:bottom w:val="nil"/>
              <w:right w:val="nil"/>
            </w:tcBorders>
            <w:shd w:val="clear" w:color="auto" w:fill="auto"/>
            <w:noWrap/>
            <w:tcMar>
              <w:top w:w="15" w:type="dxa"/>
              <w:left w:w="15" w:type="dxa"/>
              <w:bottom w:w="0" w:type="dxa"/>
              <w:right w:w="15" w:type="dxa"/>
            </w:tcMar>
            <w:vAlign w:val="bottom"/>
            <w:hideMark/>
          </w:tcPr>
          <w:p w14:paraId="3A82DD55" w14:textId="77777777" w:rsidR="004601DE" w:rsidRPr="00E60E24" w:rsidRDefault="004601DE" w:rsidP="00F25AC8">
            <w:pPr>
              <w:spacing w:after="120"/>
              <w:jc w:val="center"/>
              <w:rPr>
                <w:sz w:val="16"/>
                <w:szCs w:val="16"/>
                <w:lang w:eastAsia="pt-BR"/>
              </w:rPr>
            </w:pPr>
            <w:r w:rsidRPr="00E60E24">
              <w:rPr>
                <w:sz w:val="16"/>
                <w:szCs w:val="16"/>
                <w:lang w:eastAsia="pt-BR"/>
              </w:rPr>
              <w:t>3.118.047</w:t>
            </w:r>
          </w:p>
        </w:tc>
        <w:tc>
          <w:tcPr>
            <w:tcW w:w="409" w:type="pct"/>
            <w:tcBorders>
              <w:top w:val="nil"/>
              <w:left w:val="nil"/>
              <w:bottom w:val="nil"/>
              <w:right w:val="nil"/>
            </w:tcBorders>
            <w:shd w:val="clear" w:color="auto" w:fill="auto"/>
            <w:noWrap/>
            <w:tcMar>
              <w:top w:w="15" w:type="dxa"/>
              <w:left w:w="15" w:type="dxa"/>
              <w:bottom w:w="0" w:type="dxa"/>
              <w:right w:w="15" w:type="dxa"/>
            </w:tcMar>
            <w:vAlign w:val="bottom"/>
            <w:hideMark/>
          </w:tcPr>
          <w:p w14:paraId="4971E6FC" w14:textId="77777777" w:rsidR="004601DE" w:rsidRPr="00E60E24" w:rsidRDefault="004601DE" w:rsidP="00F25AC8">
            <w:pPr>
              <w:spacing w:after="120"/>
              <w:jc w:val="center"/>
              <w:rPr>
                <w:sz w:val="16"/>
                <w:szCs w:val="16"/>
                <w:lang w:eastAsia="pt-BR"/>
              </w:rPr>
            </w:pPr>
            <w:r w:rsidRPr="00E60E24">
              <w:rPr>
                <w:sz w:val="16"/>
                <w:szCs w:val="16"/>
                <w:lang w:eastAsia="pt-BR"/>
              </w:rPr>
              <w:t>6.818.680</w:t>
            </w:r>
          </w:p>
        </w:tc>
      </w:tr>
      <w:tr w:rsidR="004601DE" w:rsidRPr="00E60E24" w14:paraId="17748FED" w14:textId="77777777" w:rsidTr="004A5DEE">
        <w:trPr>
          <w:trHeight w:val="20"/>
        </w:trPr>
        <w:tc>
          <w:tcPr>
            <w:tcW w:w="1090"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D5E2BBC" w14:textId="77777777" w:rsidR="004601DE" w:rsidRPr="00E60E24" w:rsidRDefault="004601DE" w:rsidP="00F25AC8">
            <w:pPr>
              <w:spacing w:after="120"/>
              <w:rPr>
                <w:sz w:val="18"/>
                <w:szCs w:val="18"/>
                <w:lang w:eastAsia="pt-BR"/>
              </w:rPr>
            </w:pPr>
            <w:r w:rsidRPr="00E60E24">
              <w:rPr>
                <w:i/>
                <w:sz w:val="18"/>
                <w:szCs w:val="18"/>
                <w:lang w:eastAsia="pt-BR"/>
              </w:rPr>
              <w:t>R</w:t>
            </w:r>
            <w:r w:rsidRPr="00E60E24">
              <w:rPr>
                <w:sz w:val="18"/>
                <w:szCs w:val="18"/>
                <w:vertAlign w:val="superscript"/>
                <w:lang w:eastAsia="pt-BR"/>
              </w:rPr>
              <w:t>2</w:t>
            </w:r>
          </w:p>
        </w:tc>
        <w:tc>
          <w:tcPr>
            <w:tcW w:w="41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0C0BDDE" w14:textId="77777777" w:rsidR="004601DE" w:rsidRPr="00E60E24" w:rsidRDefault="004601DE" w:rsidP="00F25AC8">
            <w:pPr>
              <w:spacing w:after="120"/>
              <w:jc w:val="center"/>
              <w:rPr>
                <w:sz w:val="18"/>
                <w:szCs w:val="18"/>
                <w:lang w:eastAsia="pt-BR"/>
              </w:rPr>
            </w:pPr>
            <w:r w:rsidRPr="00E60E24">
              <w:rPr>
                <w:sz w:val="18"/>
                <w:szCs w:val="18"/>
                <w:lang w:eastAsia="pt-BR"/>
              </w:rPr>
              <w:t>0,444</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D4096B5" w14:textId="77777777" w:rsidR="004601DE" w:rsidRPr="00E60E24" w:rsidRDefault="004601DE" w:rsidP="00F25AC8">
            <w:pPr>
              <w:spacing w:after="120"/>
              <w:jc w:val="center"/>
              <w:rPr>
                <w:sz w:val="18"/>
                <w:szCs w:val="18"/>
                <w:lang w:eastAsia="pt-BR"/>
              </w:rPr>
            </w:pPr>
            <w:r w:rsidRPr="00E60E24">
              <w:rPr>
                <w:sz w:val="18"/>
                <w:szCs w:val="18"/>
                <w:lang w:eastAsia="pt-BR"/>
              </w:rPr>
              <w:t>0,346</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1E28C47" w14:textId="77777777" w:rsidR="004601DE" w:rsidRPr="00E60E24" w:rsidRDefault="004601DE" w:rsidP="00F25AC8">
            <w:pPr>
              <w:spacing w:after="120"/>
              <w:jc w:val="center"/>
              <w:rPr>
                <w:sz w:val="18"/>
                <w:szCs w:val="18"/>
                <w:lang w:eastAsia="pt-BR"/>
              </w:rPr>
            </w:pPr>
            <w:r w:rsidRPr="00E60E24">
              <w:rPr>
                <w:sz w:val="18"/>
                <w:szCs w:val="18"/>
                <w:lang w:eastAsia="pt-BR"/>
              </w:rPr>
              <w:t>0,504</w:t>
            </w:r>
          </w:p>
        </w:tc>
        <w:tc>
          <w:tcPr>
            <w:tcW w:w="41"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B2C3BCF" w14:textId="77777777" w:rsidR="004601DE" w:rsidRPr="00E60E24" w:rsidRDefault="004601DE" w:rsidP="00F25AC8">
            <w:pPr>
              <w:spacing w:after="120"/>
              <w:rPr>
                <w:sz w:val="18"/>
                <w:szCs w:val="18"/>
                <w:lang w:eastAsia="pt-BR"/>
              </w:rPr>
            </w:pPr>
            <w:r w:rsidRPr="00E60E24">
              <w:rPr>
                <w:sz w:val="18"/>
                <w:szCs w:val="18"/>
                <w:lang w:eastAsia="pt-BR"/>
              </w:rPr>
              <w:t> </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FF60FF" w14:textId="77777777" w:rsidR="004601DE" w:rsidRPr="00E60E24" w:rsidRDefault="004601DE" w:rsidP="00F25AC8">
            <w:pPr>
              <w:spacing w:after="120"/>
              <w:jc w:val="center"/>
              <w:rPr>
                <w:sz w:val="18"/>
                <w:szCs w:val="18"/>
                <w:lang w:eastAsia="pt-BR"/>
              </w:rPr>
            </w:pPr>
            <w:r w:rsidRPr="00E60E24">
              <w:rPr>
                <w:sz w:val="18"/>
                <w:szCs w:val="18"/>
                <w:lang w:eastAsia="pt-BR"/>
              </w:rPr>
              <w:t>0,455</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238E696" w14:textId="77777777" w:rsidR="004601DE" w:rsidRPr="00E60E24" w:rsidRDefault="004601DE" w:rsidP="00F25AC8">
            <w:pPr>
              <w:spacing w:after="120"/>
              <w:jc w:val="center"/>
              <w:rPr>
                <w:sz w:val="18"/>
                <w:szCs w:val="18"/>
                <w:lang w:eastAsia="pt-BR"/>
              </w:rPr>
            </w:pPr>
            <w:r w:rsidRPr="00E60E24">
              <w:rPr>
                <w:sz w:val="18"/>
                <w:szCs w:val="18"/>
                <w:lang w:eastAsia="pt-BR"/>
              </w:rPr>
              <w:t>0,353</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BF2DB11" w14:textId="77777777" w:rsidR="004601DE" w:rsidRPr="00E60E24" w:rsidRDefault="004601DE" w:rsidP="00F25AC8">
            <w:pPr>
              <w:spacing w:after="120"/>
              <w:jc w:val="center"/>
              <w:rPr>
                <w:sz w:val="18"/>
                <w:szCs w:val="18"/>
                <w:lang w:eastAsia="pt-BR"/>
              </w:rPr>
            </w:pPr>
            <w:r w:rsidRPr="00E60E24">
              <w:rPr>
                <w:sz w:val="18"/>
                <w:szCs w:val="18"/>
                <w:lang w:eastAsia="pt-BR"/>
              </w:rPr>
              <w:t>0,514</w:t>
            </w:r>
          </w:p>
        </w:tc>
        <w:tc>
          <w:tcPr>
            <w:tcW w:w="41"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ECAD518" w14:textId="77777777" w:rsidR="004601DE" w:rsidRPr="00E60E24" w:rsidRDefault="004601DE" w:rsidP="00F25AC8">
            <w:pPr>
              <w:spacing w:after="120"/>
              <w:rPr>
                <w:sz w:val="18"/>
                <w:szCs w:val="18"/>
                <w:lang w:eastAsia="pt-BR"/>
              </w:rPr>
            </w:pPr>
            <w:r w:rsidRPr="00E60E24">
              <w:rPr>
                <w:sz w:val="18"/>
                <w:szCs w:val="18"/>
                <w:lang w:eastAsia="pt-BR"/>
              </w:rPr>
              <w:t> </w:t>
            </w:r>
          </w:p>
        </w:tc>
        <w:tc>
          <w:tcPr>
            <w:tcW w:w="412"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565DE337" w14:textId="77777777" w:rsidR="004601DE" w:rsidRPr="00E60E24" w:rsidRDefault="004601DE" w:rsidP="00F25AC8">
            <w:pPr>
              <w:spacing w:after="120"/>
              <w:jc w:val="center"/>
              <w:rPr>
                <w:sz w:val="18"/>
                <w:szCs w:val="18"/>
                <w:lang w:eastAsia="pt-BR"/>
              </w:rPr>
            </w:pPr>
            <w:r w:rsidRPr="00E60E24">
              <w:rPr>
                <w:sz w:val="18"/>
                <w:szCs w:val="18"/>
                <w:lang w:eastAsia="pt-BR"/>
              </w:rPr>
              <w:t>0,458</w:t>
            </w:r>
          </w:p>
        </w:tc>
        <w:tc>
          <w:tcPr>
            <w:tcW w:w="453"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AE2AB97" w14:textId="77777777" w:rsidR="004601DE" w:rsidRPr="00E60E24" w:rsidRDefault="004601DE" w:rsidP="00F25AC8">
            <w:pPr>
              <w:spacing w:after="120"/>
              <w:jc w:val="center"/>
              <w:rPr>
                <w:sz w:val="18"/>
                <w:szCs w:val="18"/>
                <w:lang w:eastAsia="pt-BR"/>
              </w:rPr>
            </w:pPr>
            <w:r w:rsidRPr="00E60E24">
              <w:rPr>
                <w:sz w:val="18"/>
                <w:szCs w:val="18"/>
                <w:lang w:eastAsia="pt-BR"/>
              </w:rPr>
              <w:t>0,356</w:t>
            </w:r>
          </w:p>
        </w:tc>
        <w:tc>
          <w:tcPr>
            <w:tcW w:w="409" w:type="pct"/>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4DDAE4E" w14:textId="77777777" w:rsidR="004601DE" w:rsidRPr="00E60E24" w:rsidRDefault="004601DE" w:rsidP="00F25AC8">
            <w:pPr>
              <w:spacing w:after="120"/>
              <w:jc w:val="center"/>
              <w:rPr>
                <w:sz w:val="18"/>
                <w:szCs w:val="18"/>
                <w:lang w:eastAsia="pt-BR"/>
              </w:rPr>
            </w:pPr>
            <w:r w:rsidRPr="00E60E24">
              <w:rPr>
                <w:sz w:val="18"/>
                <w:szCs w:val="18"/>
                <w:lang w:eastAsia="pt-BR"/>
              </w:rPr>
              <w:t>0,517</w:t>
            </w:r>
          </w:p>
        </w:tc>
      </w:tr>
      <w:tr w:rsidR="004601DE" w:rsidRPr="00E60E24" w14:paraId="4BD1479E" w14:textId="77777777" w:rsidTr="004A5DEE">
        <w:trPr>
          <w:trHeight w:val="276"/>
        </w:trPr>
        <w:tc>
          <w:tcPr>
            <w:tcW w:w="5000" w:type="pct"/>
            <w:gridSpan w:val="12"/>
            <w:tcBorders>
              <w:top w:val="nil"/>
              <w:left w:val="nil"/>
              <w:bottom w:val="nil"/>
              <w:right w:val="nil"/>
            </w:tcBorders>
            <w:shd w:val="clear" w:color="auto" w:fill="auto"/>
            <w:noWrap/>
            <w:tcMar>
              <w:top w:w="15" w:type="dxa"/>
              <w:left w:w="15" w:type="dxa"/>
              <w:bottom w:w="0" w:type="dxa"/>
              <w:right w:w="15" w:type="dxa"/>
            </w:tcMar>
            <w:vAlign w:val="bottom"/>
            <w:hideMark/>
          </w:tcPr>
          <w:p w14:paraId="6DC2234E" w14:textId="77777777" w:rsidR="004601DE" w:rsidRPr="00E60E24" w:rsidRDefault="004601DE" w:rsidP="00F25AC8">
            <w:pPr>
              <w:spacing w:after="120"/>
              <w:rPr>
                <w:sz w:val="18"/>
                <w:szCs w:val="18"/>
                <w:lang w:eastAsia="pt-BR"/>
              </w:rPr>
            </w:pPr>
            <w:r w:rsidRPr="00E60E24">
              <w:rPr>
                <w:sz w:val="18"/>
                <w:szCs w:val="18"/>
                <w:lang w:eastAsia="pt-BR"/>
              </w:rPr>
              <w:t xml:space="preserve">Os coeficientes foram estimados por MQGF usando-se o logaritmo natural dos salários médios anuais absolutos como variável dependente, a preços de 2000. A amostra corresponde a 15% dos trabalhadores reportados na RAIS de 2000 e a 7,5% dos reportados em 2010. Entre parênteses, erros-padrão robustos clusterizados por municípios, onde </w:t>
            </w:r>
            <w:r w:rsidRPr="00E60E24">
              <w:rPr>
                <w:i/>
                <w:sz w:val="18"/>
                <w:szCs w:val="18"/>
                <w:lang w:eastAsia="pt-BR"/>
              </w:rPr>
              <w:t>a, b</w:t>
            </w:r>
            <w:r w:rsidRPr="00E60E24">
              <w:rPr>
                <w:sz w:val="18"/>
                <w:szCs w:val="18"/>
                <w:lang w:eastAsia="pt-BR"/>
              </w:rPr>
              <w:t xml:space="preserve"> e </w:t>
            </w:r>
            <w:r w:rsidRPr="00E60E24">
              <w:rPr>
                <w:i/>
                <w:sz w:val="18"/>
                <w:szCs w:val="18"/>
                <w:lang w:eastAsia="pt-BR"/>
              </w:rPr>
              <w:t>c</w:t>
            </w:r>
            <w:r w:rsidRPr="00E60E24">
              <w:rPr>
                <w:sz w:val="18"/>
                <w:szCs w:val="18"/>
                <w:lang w:eastAsia="pt-BR"/>
              </w:rPr>
              <w:t xml:space="preserve"> indicam </w:t>
            </w:r>
            <w:r w:rsidRPr="00E60E24">
              <w:rPr>
                <w:i/>
                <w:sz w:val="18"/>
                <w:szCs w:val="18"/>
                <w:lang w:eastAsia="pt-BR"/>
              </w:rPr>
              <w:t>p</w:t>
            </w:r>
            <w:r w:rsidRPr="00E60E24">
              <w:rPr>
                <w:sz w:val="18"/>
                <w:szCs w:val="18"/>
                <w:lang w:eastAsia="pt-BR"/>
              </w:rPr>
              <w:t xml:space="preserve"> &lt; 0,01, </w:t>
            </w:r>
            <w:r w:rsidRPr="00E60E24">
              <w:rPr>
                <w:i/>
                <w:sz w:val="18"/>
                <w:szCs w:val="18"/>
                <w:lang w:eastAsia="pt-BR"/>
              </w:rPr>
              <w:t>p</w:t>
            </w:r>
            <w:r w:rsidRPr="00E60E24">
              <w:rPr>
                <w:sz w:val="18"/>
                <w:szCs w:val="18"/>
                <w:lang w:eastAsia="pt-BR"/>
              </w:rPr>
              <w:t xml:space="preserve"> &lt; 0,05 e </w:t>
            </w:r>
            <w:r w:rsidRPr="00E60E24">
              <w:rPr>
                <w:i/>
                <w:sz w:val="18"/>
                <w:szCs w:val="18"/>
                <w:lang w:eastAsia="pt-BR"/>
              </w:rPr>
              <w:t>p</w:t>
            </w:r>
            <w:r w:rsidRPr="00E60E24">
              <w:rPr>
                <w:sz w:val="18"/>
                <w:szCs w:val="18"/>
                <w:lang w:eastAsia="pt-BR"/>
              </w:rPr>
              <w:t xml:space="preserve"> &lt; 0,1, respectivamente.</w:t>
            </w:r>
          </w:p>
        </w:tc>
      </w:tr>
    </w:tbl>
    <w:p w14:paraId="36B561F9" w14:textId="5D3E7BDD" w:rsidR="004601DE" w:rsidRPr="00E60E24" w:rsidRDefault="004601DE" w:rsidP="00F25AC8">
      <w:pPr>
        <w:spacing w:after="120"/>
        <w:ind w:firstLine="709"/>
        <w:jc w:val="both"/>
      </w:pPr>
      <w:r w:rsidRPr="00E60E24">
        <w:t>Na coluna II são incluídas variáveis relacionadas às características municipais</w:t>
      </w:r>
      <w:r>
        <w:t xml:space="preserve"> elencadas na nota </w:t>
      </w:r>
      <w:r w:rsidR="00ED44CF">
        <w:t>de rodapé número 7</w:t>
      </w:r>
      <w:r>
        <w:t>, representando</w:t>
      </w:r>
      <w:r w:rsidRPr="00E60E24">
        <w:t xml:space="preserve"> amenidades locais, orientação econômica e dotação de fatores, a fim de verificar o quanto podem justificar os diferenciais regionais de salários ide</w:t>
      </w:r>
      <w:r>
        <w:t>ntificados na regressão da coluna I</w:t>
      </w:r>
      <w:r w:rsidRPr="00E60E24">
        <w:t>. As variáveis de controle parecem não serem afetadas por esse conjunto de variáveis, embora a constante se reduza significativamente. Isso pode significar que, embora afetem os salários, essas variáveis não alteram as diferenças de gênero, idade e experiência.</w:t>
      </w:r>
    </w:p>
    <w:p w14:paraId="677C64AC" w14:textId="77777777" w:rsidR="004601DE" w:rsidRPr="00E60E24" w:rsidRDefault="004601DE" w:rsidP="00F25AC8">
      <w:pPr>
        <w:spacing w:after="120"/>
        <w:ind w:firstLine="709"/>
        <w:jc w:val="both"/>
      </w:pPr>
      <w:r w:rsidRPr="00E60E24">
        <w:t>O coeficiente positivo da mesorregião metropolitana de São Paulo (dmeso 3515) decresceu significativamente, indicando que o prêmio observado nessa mesorregião possivelmente reflete ganhos relacionados ao tamanho da cidade, à aglomeração de capital humano e à orientação industrial. O coeficiente negativo tornou-se ainda maior, principalmente em mesorregiões do norte (notadamente a Zona Franca de Manaus), litoral do Nordeste, Centro-Oeste e litoral do Sul e Sudeste (com destaque às regiões metropolitanas). Isso indica que o prêmio nessas mesorregiões pode parcialmente ser também explicado por estes tipos de efeitos. Nessa regressão, apenas sete mesorregiões perderam significância, além de sete que já não a apresentavam na primeira, de modo que a significância da maioria das mesorregiões não foi afetada pelos controles dessa regressão. As mesorregiões cujos coeficientes tornaram-se não significantes concentram-se no estado de São Paulo, indicando que não há diferenças significativas nos salários em relação aos praticados na mesorregião do grup</w:t>
      </w:r>
      <w:r>
        <w:t>o-base (Macrometropolitana Paulista</w:t>
      </w:r>
      <w:r w:rsidRPr="00E60E24">
        <w:t>) depois de se adicionarem controles relacionados às características municipais.</w:t>
      </w:r>
    </w:p>
    <w:p w14:paraId="2A2F04CF" w14:textId="4F2E74FA" w:rsidR="004601DE" w:rsidRDefault="004601DE" w:rsidP="00F25AC8">
      <w:pPr>
        <w:spacing w:after="120"/>
        <w:ind w:firstLine="709"/>
        <w:jc w:val="both"/>
      </w:pPr>
      <w:r w:rsidRPr="00E60E24">
        <w:t xml:space="preserve">Na coluna III são adicionados os controles relacionados à exposição ao comércio internacional. </w:t>
      </w:r>
      <w:r w:rsidRPr="00A95CFB">
        <w:t xml:space="preserve">O teste proposto por Oster </w:t>
      </w:r>
      <w:sdt>
        <w:sdtPr>
          <w:id w:val="-1341693862"/>
          <w:citation/>
        </w:sdtPr>
        <w:sdtContent>
          <w:r w:rsidRPr="00A95CFB">
            <w:fldChar w:fldCharType="begin"/>
          </w:r>
          <w:r w:rsidRPr="00A95CFB">
            <w:instrText xml:space="preserve">CITATION Ost14 \n  \t  \l 1046 </w:instrText>
          </w:r>
          <w:r w:rsidRPr="00A95CFB">
            <w:fldChar w:fldCharType="separate"/>
          </w:r>
          <w:r w:rsidRPr="00A95CFB">
            <w:t>(2014)</w:t>
          </w:r>
          <w:r w:rsidRPr="00A95CFB">
            <w:fldChar w:fldCharType="end"/>
          </w:r>
        </w:sdtContent>
      </w:sdt>
      <w:r w:rsidRPr="00A95CFB">
        <w:t xml:space="preserve"> para viés de variável omitida foi realizado considerando a hipótese nula de que o coeficiente da variável ‘coeficiente de abertura’</w:t>
      </w:r>
      <w:r w:rsidRPr="00E60E24">
        <w:t xml:space="preserve"> estaria viesado por variáveis relacionadas a determinantes individuais não incluídos no modelo. O teste apresentou não haver viés de variável omitida para o coeficiente de abertura depois de incluídas variáveis relacionadas a características locais. Especificamente, o valor de </w:t>
      </w:r>
      <m:oMath>
        <m:r>
          <w:rPr>
            <w:rFonts w:ascii="Cambria Math" w:eastAsiaTheme="minorEastAsia" w:hAnsi="Cambria Math"/>
          </w:rPr>
          <m:t>δ</m:t>
        </m:r>
      </m:oMath>
      <w:r w:rsidRPr="00E60E24">
        <w:t xml:space="preserve"> para o ano de 2000 foi de 8.13 e, para 2010, foi de 8.57, indicando que as variáveis omitidas precisariam ser ao menos cerca de oito vezes mais importantes na determinação dos salários do que as incluídas no modelo, para que o coeficiente de abertura fosse considerado viesado.</w:t>
      </w:r>
    </w:p>
    <w:p w14:paraId="444A7F99" w14:textId="68571BE7" w:rsidR="002720A0" w:rsidRDefault="002720A0" w:rsidP="00F25AC8">
      <w:pPr>
        <w:spacing w:after="120"/>
        <w:ind w:firstLine="709"/>
        <w:jc w:val="both"/>
      </w:pPr>
      <w:r w:rsidRPr="00E60E24">
        <w:t>Da mesma forma que na regressão anterior, a inclusão de variáveis de exposição ao comércio afeta os salários, mas não o diferencial de gênero, idade e experiência</w:t>
      </w:r>
      <w:r>
        <w:t xml:space="preserve">. A </w:t>
      </w:r>
      <w:r>
        <w:fldChar w:fldCharType="begin"/>
      </w:r>
      <w:r>
        <w:instrText xml:space="preserve"> REF _Ref457066133 \h </w:instrText>
      </w:r>
      <w:r>
        <w:fldChar w:fldCharType="separate"/>
      </w:r>
      <w:r>
        <w:t xml:space="preserve">Figura </w:t>
      </w:r>
      <w:r>
        <w:rPr>
          <w:noProof/>
        </w:rPr>
        <w:t>2</w:t>
      </w:r>
      <w:r>
        <w:fldChar w:fldCharType="end"/>
      </w:r>
      <w:r>
        <w:t xml:space="preserve"> apresenta o movimento ocorrido nas dummies de localidade e de iteração quando incluídas as variáveis de exposição ao comércio no ano de 2000.</w:t>
      </w:r>
    </w:p>
    <w:p w14:paraId="24CE250C" w14:textId="03D39ED1" w:rsidR="0031021E" w:rsidRPr="00E60E24" w:rsidRDefault="0031021E" w:rsidP="00F25AC8">
      <w:pPr>
        <w:spacing w:after="120"/>
        <w:jc w:val="both"/>
      </w:pPr>
      <w:r>
        <w:rPr>
          <w:noProof/>
          <w:lang w:eastAsia="pt-BR"/>
        </w:rPr>
        <w:lastRenderedPageBreak/>
        <w:drawing>
          <wp:inline distT="0" distB="0" distL="0" distR="0" wp14:anchorId="511CB81B" wp14:editId="49FD1D06">
            <wp:extent cx="2674620" cy="2312334"/>
            <wp:effectExtent l="0" t="0" r="0" b="0"/>
            <wp:docPr id="3" name="Imagem 3" descr="C:\Users\krisl_000\AppData\Local\Microsoft\Windows\INetCacheContent.Word\2016-07-23-variacao-localidade-etapa2-3-2000_cores-cla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l_000\AppData\Local\Microsoft\Windows\INetCacheContent.Word\2016-07-23-variacao-localidade-etapa2-3-2000_cores-clar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1850" cy="2361812"/>
                    </a:xfrm>
                    <a:prstGeom prst="rect">
                      <a:avLst/>
                    </a:prstGeom>
                    <a:noFill/>
                    <a:ln>
                      <a:noFill/>
                    </a:ln>
                  </pic:spPr>
                </pic:pic>
              </a:graphicData>
            </a:graphic>
          </wp:inline>
        </w:drawing>
      </w:r>
      <w:r w:rsidR="004A5DEE">
        <w:rPr>
          <w:noProof/>
          <w:lang w:eastAsia="pt-BR"/>
        </w:rPr>
        <w:t xml:space="preserve">                            </w:t>
      </w:r>
      <w:r>
        <w:rPr>
          <w:noProof/>
          <w:lang w:eastAsia="pt-BR"/>
        </w:rPr>
        <w:drawing>
          <wp:inline distT="0" distB="0" distL="0" distR="0" wp14:anchorId="026508E1" wp14:editId="79D2ED5C">
            <wp:extent cx="2697480" cy="2332096"/>
            <wp:effectExtent l="0" t="0" r="7620" b="0"/>
            <wp:docPr id="4" name="Imagem 4" descr="C:\Users\krisl_000\AppData\Local\Microsoft\Windows\INetCacheContent.Word\2016-07-23-variacao-iterada-etapa2-3-2000_cores-claras_novo-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l_000\AppData\Local\Microsoft\Windows\INetCacheContent.Word\2016-07-23-variacao-iterada-etapa2-3-2000_cores-claras_novo-az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96" cy="2361245"/>
                    </a:xfrm>
                    <a:prstGeom prst="rect">
                      <a:avLst/>
                    </a:prstGeom>
                    <a:noFill/>
                    <a:ln>
                      <a:noFill/>
                    </a:ln>
                  </pic:spPr>
                </pic:pic>
              </a:graphicData>
            </a:graphic>
          </wp:inline>
        </w:drawing>
      </w:r>
    </w:p>
    <w:p w14:paraId="14438463" w14:textId="299E887C" w:rsidR="0031021E" w:rsidRDefault="0031021E" w:rsidP="00F25AC8">
      <w:pPr>
        <w:pStyle w:val="Legenda"/>
        <w:spacing w:after="120"/>
      </w:pPr>
      <w:bookmarkStart w:id="25" w:name="_Ref457066133"/>
      <w:r>
        <w:t xml:space="preserve">Figura </w:t>
      </w:r>
      <w:fldSimple w:instr=" SEQ Figura \* ARABIC ">
        <w:r w:rsidR="00924BCB">
          <w:rPr>
            <w:noProof/>
          </w:rPr>
          <w:t>2</w:t>
        </w:r>
      </w:fldSimple>
      <w:bookmarkEnd w:id="25"/>
      <w:r>
        <w:t xml:space="preserve">: Movimentos dos coeficientes das </w:t>
      </w:r>
      <w:r w:rsidRPr="00260FBA">
        <w:rPr>
          <w:i/>
        </w:rPr>
        <w:t>dummies</w:t>
      </w:r>
      <w:r>
        <w:t xml:space="preserve"> </w:t>
      </w:r>
      <w:r w:rsidR="002720A0">
        <w:t>mesor</w:t>
      </w:r>
      <w:r>
        <w:t>regionais (esquerda) e das iteradas com anos de educação (direita) à exposição ao comércio</w:t>
      </w:r>
      <w:r w:rsidR="002720A0">
        <w:t xml:space="preserve"> exterior</w:t>
      </w:r>
      <w:r>
        <w:t xml:space="preserve"> em 2000 </w:t>
      </w:r>
    </w:p>
    <w:p w14:paraId="68D8495F" w14:textId="6AA09627" w:rsidR="004601DE" w:rsidRPr="00E60E24" w:rsidRDefault="002720A0" w:rsidP="00F25AC8">
      <w:pPr>
        <w:spacing w:after="120"/>
        <w:ind w:firstLine="709"/>
        <w:jc w:val="both"/>
      </w:pPr>
      <w:r>
        <w:t xml:space="preserve">Como mostra a </w:t>
      </w:r>
      <w:r>
        <w:fldChar w:fldCharType="begin"/>
      </w:r>
      <w:r>
        <w:instrText xml:space="preserve"> REF _Ref457066133 \h </w:instrText>
      </w:r>
      <w:r>
        <w:fldChar w:fldCharType="separate"/>
      </w:r>
      <w:r>
        <w:t xml:space="preserve">Figura </w:t>
      </w:r>
      <w:r>
        <w:rPr>
          <w:noProof/>
        </w:rPr>
        <w:t>2</w:t>
      </w:r>
      <w:r>
        <w:fldChar w:fldCharType="end"/>
      </w:r>
      <w:r>
        <w:t>, t</w:t>
      </w:r>
      <w:r w:rsidR="004601DE" w:rsidRPr="00E60E24">
        <w:t>odas as mesorregiões do Rio Grande do Sul e de Santa Catarina, seis das 10 mesorregiões do Paraná e duas de São Paulo (Araraquara e Campinas) apresentaram redução em seus coeficientes de localidade</w:t>
      </w:r>
      <w:r>
        <w:t xml:space="preserve"> (mapa à esquerda em vermelho)</w:t>
      </w:r>
      <w:r w:rsidR="004601DE" w:rsidRPr="00E60E24">
        <w:t xml:space="preserve">. Isso indica que parte do prêmio salarial atribuível a essas mesorregiões é explicada pela exposição ao comércio. Associado a isso, predomina nestas </w:t>
      </w:r>
      <w:r w:rsidR="004601DE">
        <w:t>mesor</w:t>
      </w:r>
      <w:r w:rsidR="004601DE" w:rsidRPr="00E60E24">
        <w:t xml:space="preserve">regiões aumento nos coeficientes das </w:t>
      </w:r>
      <w:r w:rsidR="004601DE" w:rsidRPr="00E60E24">
        <w:rPr>
          <w:i/>
        </w:rPr>
        <w:t>dummies</w:t>
      </w:r>
      <w:r w:rsidR="004601DE" w:rsidRPr="00E60E24">
        <w:t xml:space="preserve"> iteradas com escolaridade</w:t>
      </w:r>
      <w:r>
        <w:t xml:space="preserve"> (à direita em verde)</w:t>
      </w:r>
      <w:r w:rsidR="004601DE" w:rsidRPr="00E60E24">
        <w:t>, indicando que ao comércio internacional pode-se associar uma redução do prêmio por escolaridade. Portanto, uma redução na desigualdade salarial pode ser associada a maior exposição ao comércio. É interessante notar que as mesorregiões da região Sul em que o prêmio por escolaridade diminui ao invés de aumentar</w:t>
      </w:r>
      <w:r>
        <w:t xml:space="preserve"> (à direita em vermelho)</w:t>
      </w:r>
      <w:r w:rsidR="004601DE" w:rsidRPr="00E60E24">
        <w:t>, indicando um aumento no prêmio por escolaridade atribuível ao comércio exterior, são as regiões serranas do Paraná e o oeste do Rio Grande do Sul, que apresentam baixa exposição ao comércio. Isso alerta para a hipótese de que os custos de transporte não estejam associados apenas à distância, mas também às condições geográficas de relevo.</w:t>
      </w:r>
    </w:p>
    <w:p w14:paraId="4C83A8FD" w14:textId="1BC01049" w:rsidR="004601DE" w:rsidRPr="00E60E24" w:rsidRDefault="004601DE" w:rsidP="00F25AC8">
      <w:pPr>
        <w:spacing w:after="120"/>
        <w:ind w:firstLine="709"/>
        <w:jc w:val="both"/>
      </w:pPr>
      <w:r w:rsidRPr="00E60E24">
        <w:t>Em todas as demais mesorregiões do país, os coeficientes</w:t>
      </w:r>
      <w:r w:rsidR="002720A0">
        <w:t xml:space="preserve"> de localidade</w:t>
      </w:r>
      <w:r w:rsidRPr="00E60E24">
        <w:t xml:space="preserve"> aumentam com a inclusão de controles de comércio exterior</w:t>
      </w:r>
      <w:r w:rsidR="002720A0">
        <w:t xml:space="preserve"> (mapa à esquerda, em verde)</w:t>
      </w:r>
      <w:r w:rsidRPr="00E60E24">
        <w:t>. Isso significa que o prêmio regional de salários atribuível à localidade estava subvalorizado com a ausência dos controles de exposição ao comércio internacional. Dizendo de outra forma, a ausência de variáveis de comércio capturava parte do prêmio positivo da mesorregião. Logo, pode-se associar ao comércio internacional uma redução dos salários. Uma gradação interessante deve ser destacada: essa redução é menor em regiões do Sudeste e nas quatro mesorregiões do Paraná que não entraram no grupo anterior; os maiores percentuais dessas reduções concentram-se em regiões do Norte, Nordeste e Centro-Oeste. Assim, o comércio reduz os salários principalmente nas regiões mais distantes.</w:t>
      </w:r>
    </w:p>
    <w:p w14:paraId="71F6C5D4" w14:textId="323D8ED2" w:rsidR="004601DE" w:rsidRDefault="004601DE" w:rsidP="00F25AC8">
      <w:pPr>
        <w:spacing w:after="120"/>
        <w:ind w:firstLine="709"/>
        <w:jc w:val="both"/>
      </w:pPr>
      <w:r w:rsidRPr="00E60E24">
        <w:t xml:space="preserve">No Norte, Nordeste e Centro-Oeste se concentram regiões em que se associam crescimento na </w:t>
      </w:r>
      <w:r w:rsidRPr="00E60E24">
        <w:rPr>
          <w:i/>
        </w:rPr>
        <w:t>dummy</w:t>
      </w:r>
      <w:r w:rsidRPr="00E60E24">
        <w:t xml:space="preserve"> regional e redução no coeficiente do prêmio por escolaridade quando se incluem variáveis de comércio exterior. Isso significa que a ausência das variáveis de comércio subvalorizava o intercepto regional e sobrevalorizava o prêmio por escolaridade. Desse modo, além de uma redução nos salários em geral, ao comércio exterior também se associa um aumento no prêmio por qualificação, aumentando ainda mais a desigualdade interqualificação nessas localidades. O sul da Bahia e algumas regiões serranas do Paraná, do Rio de Janeiro, do leste de Minas Gerais e do Espírito Santo também apresentaram esse padrão.</w:t>
      </w:r>
    </w:p>
    <w:p w14:paraId="7E9CE102" w14:textId="57EB52D8" w:rsidR="002720A0" w:rsidRDefault="002720A0" w:rsidP="00F25AC8">
      <w:pPr>
        <w:spacing w:after="120"/>
        <w:ind w:firstLine="709"/>
        <w:jc w:val="both"/>
      </w:pPr>
      <w:r>
        <w:t xml:space="preserve">O padrão em 2010 pouco se altera se comparado a 2000. A </w:t>
      </w:r>
      <w:r>
        <w:fldChar w:fldCharType="begin"/>
      </w:r>
      <w:r>
        <w:instrText xml:space="preserve"> REF _Ref457066549 \h </w:instrText>
      </w:r>
      <w:r>
        <w:fldChar w:fldCharType="separate"/>
      </w:r>
      <w:r>
        <w:t xml:space="preserve">Figura </w:t>
      </w:r>
      <w:r>
        <w:rPr>
          <w:noProof/>
        </w:rPr>
        <w:t>3</w:t>
      </w:r>
      <w:r>
        <w:fldChar w:fldCharType="end"/>
      </w:r>
      <w:r>
        <w:t xml:space="preserve"> apresenta o movimento ocorrido nas </w:t>
      </w:r>
      <w:r w:rsidRPr="00260FBA">
        <w:rPr>
          <w:i/>
        </w:rPr>
        <w:t>dummies</w:t>
      </w:r>
      <w:r>
        <w:t xml:space="preserve"> de localidade e de iteração quando incluídas as variáveis de exposição ao comércio no ano de 2010.</w:t>
      </w:r>
    </w:p>
    <w:p w14:paraId="6FF36F88" w14:textId="0ABB3CE6" w:rsidR="002720A0" w:rsidRDefault="00260FBA" w:rsidP="00F25AC8">
      <w:pPr>
        <w:spacing w:after="120"/>
        <w:jc w:val="both"/>
      </w:pPr>
      <w:r>
        <w:rPr>
          <w:noProof/>
          <w:lang w:eastAsia="pt-BR"/>
        </w:rPr>
        <w:lastRenderedPageBreak/>
        <w:drawing>
          <wp:inline distT="0" distB="0" distL="0" distR="0" wp14:anchorId="04588234" wp14:editId="5564BE86">
            <wp:extent cx="2675992" cy="2313520"/>
            <wp:effectExtent l="0" t="0" r="0" b="0"/>
            <wp:docPr id="6" name="Imagem 6" descr="C:\Users\krisl_000\AppData\Local\Microsoft\Windows\INetCacheContent.Word\2016-07-23-variacao-localidade-etapa2-3-2010_cores-cla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l_000\AppData\Local\Microsoft\Windows\INetCacheContent.Word\2016-07-23-variacao-localidade-etapa2-3-2010_cores-clara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5657" cy="2356458"/>
                    </a:xfrm>
                    <a:prstGeom prst="rect">
                      <a:avLst/>
                    </a:prstGeom>
                    <a:noFill/>
                    <a:ln>
                      <a:noFill/>
                    </a:ln>
                  </pic:spPr>
                </pic:pic>
              </a:graphicData>
            </a:graphic>
          </wp:inline>
        </w:drawing>
      </w:r>
      <w:r w:rsidR="004A5DEE">
        <w:rPr>
          <w:noProof/>
          <w:lang w:eastAsia="pt-BR"/>
        </w:rPr>
        <w:t xml:space="preserve">                             </w:t>
      </w:r>
      <w:r>
        <w:rPr>
          <w:noProof/>
          <w:lang w:eastAsia="pt-BR"/>
        </w:rPr>
        <w:drawing>
          <wp:inline distT="0" distB="0" distL="0" distR="0" wp14:anchorId="345594CC" wp14:editId="4F214793">
            <wp:extent cx="2674620" cy="2312333"/>
            <wp:effectExtent l="0" t="0" r="0" b="0"/>
            <wp:docPr id="5" name="Imagem 5" descr="C:\Users\krisl_000\AppData\Local\Microsoft\Windows\INetCacheContent.Word\2016-07-23-variacao-iterada-etapa2-3-2010_cores-cla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l_000\AppData\Local\Microsoft\Windows\INetCacheContent.Word\2016-07-23-variacao-iterada-etapa2-3-2010_cores-clara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7590" cy="2332192"/>
                    </a:xfrm>
                    <a:prstGeom prst="rect">
                      <a:avLst/>
                    </a:prstGeom>
                    <a:noFill/>
                    <a:ln>
                      <a:noFill/>
                    </a:ln>
                  </pic:spPr>
                </pic:pic>
              </a:graphicData>
            </a:graphic>
          </wp:inline>
        </w:drawing>
      </w:r>
    </w:p>
    <w:p w14:paraId="01157141" w14:textId="0F9847AE" w:rsidR="002720A0" w:rsidRDefault="002720A0" w:rsidP="00F25AC8">
      <w:pPr>
        <w:pStyle w:val="Legenda"/>
        <w:spacing w:after="120"/>
      </w:pPr>
      <w:bookmarkStart w:id="26" w:name="_Ref457066549"/>
      <w:r>
        <w:t xml:space="preserve">Figura </w:t>
      </w:r>
      <w:fldSimple w:instr=" SEQ Figura \* ARABIC ">
        <w:r w:rsidR="00924BCB">
          <w:rPr>
            <w:noProof/>
          </w:rPr>
          <w:t>3</w:t>
        </w:r>
      </w:fldSimple>
      <w:bookmarkEnd w:id="26"/>
      <w:r>
        <w:t xml:space="preserve">: Movimentos dos coeficientes das </w:t>
      </w:r>
      <w:r w:rsidRPr="00260FBA">
        <w:rPr>
          <w:i/>
        </w:rPr>
        <w:t>dummies</w:t>
      </w:r>
      <w:r>
        <w:t xml:space="preserve"> mesorregionais (esquerda) e das iteradas com anos de educação (direita) à exposição ao comércio exterior</w:t>
      </w:r>
      <w:r w:rsidR="00924BCB">
        <w:t xml:space="preserve"> em 2010.</w:t>
      </w:r>
    </w:p>
    <w:p w14:paraId="0B57BECE" w14:textId="6C3A9233" w:rsidR="00924BCB" w:rsidRDefault="00924BCB" w:rsidP="00F25AC8">
      <w:pPr>
        <w:spacing w:after="120"/>
        <w:ind w:firstLine="709"/>
        <w:jc w:val="both"/>
      </w:pPr>
      <w:r>
        <w:t>A desigualdade de salários interqualificações aumenta nas mesorregiões que combinam aumento no diferencial de salário (à esquerda) e diminuição no diferencial de prêmio por qualificação (à direita). As regiões nas quais se pode atribuir respostas Stolper-Samuelson são aquelas que combinam diminuição (em vermelho) no mapa à esquerda e aumento (em verde) no mapa à direita, o que se concentra principalmente nas mesorregiões do Sul e algumas do Sudeste.</w:t>
      </w:r>
    </w:p>
    <w:p w14:paraId="1E0791BC" w14:textId="77777777" w:rsidR="004A5DEE" w:rsidRPr="00924BCB" w:rsidRDefault="004A5DEE" w:rsidP="00F25AC8">
      <w:pPr>
        <w:spacing w:after="120"/>
        <w:ind w:firstLine="709"/>
        <w:jc w:val="both"/>
      </w:pPr>
    </w:p>
    <w:p w14:paraId="231040A4" w14:textId="77777777" w:rsidR="004601DE" w:rsidRPr="00E60E24" w:rsidRDefault="004601DE" w:rsidP="00F25AC8">
      <w:pPr>
        <w:pStyle w:val="Ttulo2"/>
        <w:spacing w:before="0" w:after="120"/>
      </w:pPr>
      <w:bookmarkStart w:id="27" w:name="_Toc446599112"/>
      <w:bookmarkStart w:id="28" w:name="_Toc456276888"/>
      <w:r w:rsidRPr="00E60E24">
        <w:t>Determinação das zonas de especialização</w:t>
      </w:r>
      <w:bookmarkEnd w:id="27"/>
      <w:bookmarkEnd w:id="28"/>
    </w:p>
    <w:p w14:paraId="04B5405A" w14:textId="26530CC5" w:rsidR="004601DE" w:rsidRPr="00E60E24" w:rsidRDefault="004601DE" w:rsidP="00F25AC8">
      <w:pPr>
        <w:spacing w:after="120"/>
        <w:ind w:firstLine="709"/>
        <w:jc w:val="both"/>
      </w:pPr>
      <w:r w:rsidRPr="00E60E24">
        <w:t>A determinação das zonas levou em conta a reação d</w:t>
      </w:r>
      <w:r w:rsidR="00AA0D21">
        <w:t>os salários e prêmios por qualificação estimados</w:t>
      </w:r>
      <w:r w:rsidRPr="00E60E24">
        <w:t xml:space="preserve"> de cada mesorregião frente a dois conjuntos de variáveis de controle: dotação de fatores e exposição ao comércio internacional</w:t>
      </w:r>
      <w:r w:rsidR="00AA0D21">
        <w:t xml:space="preserve"> depois de descontados os determinantes individuais</w:t>
      </w:r>
      <w:r w:rsidRPr="00E60E24">
        <w:t xml:space="preserve">. As reações esperadas em cada zona de especialização são reportadas </w:t>
      </w:r>
      <w:r w:rsidRPr="00AA0D21">
        <w:t xml:space="preserve">no </w:t>
      </w:r>
      <w:r w:rsidRPr="00AA0D21">
        <w:fldChar w:fldCharType="begin"/>
      </w:r>
      <w:r w:rsidRPr="00AA0D21">
        <w:instrText xml:space="preserve"> REF _Ref449339345 \h </w:instrText>
      </w:r>
      <w:r w:rsidR="006476E7" w:rsidRPr="00AA0D21">
        <w:instrText xml:space="preserve"> \* MERGEFORMAT </w:instrText>
      </w:r>
      <w:r w:rsidRPr="00AA0D21">
        <w:fldChar w:fldCharType="separate"/>
      </w:r>
      <w:r w:rsidR="00AA0D21" w:rsidRPr="00AA0D21">
        <w:t>Quadro 1</w:t>
      </w:r>
      <w:r w:rsidRPr="00AA0D21">
        <w:t>.</w:t>
      </w:r>
      <w:r w:rsidRPr="00AA0D21">
        <w:rPr>
          <w:noProof/>
        </w:rPr>
        <w:t>1</w:t>
      </w:r>
      <w:r w:rsidRPr="00AA0D21">
        <w:fldChar w:fldCharType="end"/>
      </w:r>
      <w:r w:rsidR="00AA0D21" w:rsidRPr="00AA0D21">
        <w:t xml:space="preserve"> do Anexo</w:t>
      </w:r>
      <w:r w:rsidRPr="00AA0D21">
        <w:t>.</w:t>
      </w:r>
    </w:p>
    <w:p w14:paraId="3872792A" w14:textId="5AAB927E" w:rsidR="004601DE" w:rsidRDefault="004601DE" w:rsidP="00F25AC8">
      <w:pPr>
        <w:spacing w:after="120"/>
        <w:ind w:firstLine="709"/>
        <w:jc w:val="both"/>
      </w:pPr>
      <w:r w:rsidRPr="00E60E24">
        <w:t>Em todo o país, os coeficientes dos salários mesorregionais se reduzem com a dotação dos fatores e também com as variáveis de exposição ao comércio. Isso indica que em todas as mesorregiões o salário estava sobrevalorizado com a ausência dessas variáveis. Logo há ganhos de salário atribuíveis à dotação de fatores e ao comércio exterior. O coeficiente prêmio por qualificação aumenta principalmente nas regiões Norte e Nordeste do país quando se incluem variáveis de comércio. Isso indica que nestas regiões pode-se atribuir ao comércio exterior um ganho nos salários e uma queda nos prêmios por escolaridade.</w:t>
      </w:r>
    </w:p>
    <w:p w14:paraId="031FDD4B" w14:textId="201D30BD" w:rsidR="000E24FF" w:rsidRDefault="000E24FF" w:rsidP="00F25AC8">
      <w:pPr>
        <w:pStyle w:val="Ttulo3"/>
        <w:spacing w:before="0" w:after="120" w:line="240" w:lineRule="auto"/>
      </w:pPr>
      <w:r>
        <w:t>Zonas de Especialização em 2000</w:t>
      </w:r>
    </w:p>
    <w:p w14:paraId="1AE39815" w14:textId="14938624" w:rsidR="000E24FF" w:rsidRDefault="000E24FF" w:rsidP="00F25AC8">
      <w:pPr>
        <w:spacing w:after="120"/>
        <w:ind w:firstLine="709"/>
        <w:jc w:val="both"/>
      </w:pPr>
      <w:r>
        <w:t>As zonas de especialização foram estabelecidas de I a V, da mais aberta para a mais fechada.</w:t>
      </w:r>
      <w:r w:rsidR="00924BCB">
        <w:t xml:space="preserve"> A</w:t>
      </w:r>
      <w:r>
        <w:t xml:space="preserve"> </w:t>
      </w:r>
      <w:r w:rsidR="00924BCB">
        <w:t>Figura 4</w:t>
      </w:r>
      <w:r>
        <w:t xml:space="preserve"> abaixo, apresenta</w:t>
      </w:r>
      <w:r w:rsidR="00924BCB">
        <w:t xml:space="preserve"> as mesorregiões distribuídas entre as zonas</w:t>
      </w:r>
      <w:r w:rsidR="006421D1">
        <w:t xml:space="preserve"> para 2000</w:t>
      </w:r>
      <w:r>
        <w:t>.</w:t>
      </w:r>
      <w:r w:rsidR="006421D1">
        <w:t xml:space="preserve"> </w:t>
      </w:r>
      <w:r>
        <w:t xml:space="preserve">Mesorregiões ao Norte e interior do Nordeste apresentaram comportamento de zonas VI e V, ou seja, as mais fechadas. Destaque para a região ao Norte </w:t>
      </w:r>
      <w:r w:rsidR="006421D1">
        <w:t>que se caracterizou como zona I</w:t>
      </w:r>
      <w:r>
        <w:t xml:space="preserve">, na qual se inclui a Zona Franca de Manaus. As zonas mais abertas se concentram </w:t>
      </w:r>
      <w:r w:rsidR="006421D1">
        <w:t>no Sul, Sudeste e Centro Oeste.</w:t>
      </w:r>
    </w:p>
    <w:p w14:paraId="728D1BDE" w14:textId="6EE74AA3" w:rsidR="000E24FF" w:rsidRDefault="000E24FF" w:rsidP="004A5DEE">
      <w:pPr>
        <w:spacing w:after="120"/>
        <w:jc w:val="center"/>
      </w:pPr>
      <w:r w:rsidRPr="009E39AF">
        <w:rPr>
          <w:noProof/>
          <w:sz w:val="20"/>
          <w:szCs w:val="20"/>
          <w:lang w:eastAsia="pt-BR"/>
        </w:rPr>
        <w:lastRenderedPageBreak/>
        <w:drawing>
          <wp:inline distT="0" distB="0" distL="0" distR="0" wp14:anchorId="06D2F845" wp14:editId="668B1979">
            <wp:extent cx="4317187" cy="3732410"/>
            <wp:effectExtent l="19050" t="19050" r="26670" b="20955"/>
            <wp:docPr id="31" name="Imagem 31" descr="D:\Tese\Artigo_2\Arquivos Stata\log\2016-03\2016-02-25-mapa-mesoreg-zonas-2000-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e\Artigo_2\Arquivos Stata\log\2016-03\2016-02-25-mapa-mesoreg-zonas-2000-ti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710" cy="3789058"/>
                    </a:xfrm>
                    <a:prstGeom prst="rect">
                      <a:avLst/>
                    </a:prstGeom>
                    <a:noFill/>
                    <a:ln>
                      <a:solidFill>
                        <a:schemeClr val="tx1"/>
                      </a:solidFill>
                    </a:ln>
                  </pic:spPr>
                </pic:pic>
              </a:graphicData>
            </a:graphic>
          </wp:inline>
        </w:drawing>
      </w:r>
    </w:p>
    <w:p w14:paraId="0DD45397" w14:textId="2E5725E2" w:rsidR="002A082A" w:rsidRPr="009E39AF" w:rsidRDefault="00924BCB" w:rsidP="00F25AC8">
      <w:pPr>
        <w:pStyle w:val="Legenda"/>
        <w:spacing w:after="120"/>
        <w:ind w:left="709"/>
        <w:rPr>
          <w:sz w:val="20"/>
          <w:szCs w:val="20"/>
        </w:rPr>
      </w:pPr>
      <w:r>
        <w:t xml:space="preserve">Figura </w:t>
      </w:r>
      <w:fldSimple w:instr=" SEQ Figura \* ARABIC ">
        <w:r>
          <w:rPr>
            <w:noProof/>
          </w:rPr>
          <w:t>4</w:t>
        </w:r>
      </w:fldSimple>
      <w:r w:rsidR="002A082A" w:rsidRPr="009E39AF">
        <w:t xml:space="preserve">: Mesorregiões do Brasil, destacando as zonas de especialização de Venables e </w:t>
      </w:r>
      <w:r w:rsidR="002A082A">
        <w:t>Limão (2002) em 2000</w:t>
      </w:r>
    </w:p>
    <w:p w14:paraId="6254BE4C" w14:textId="3387BC07" w:rsidR="004601DE" w:rsidRPr="00E60E24" w:rsidRDefault="004601DE" w:rsidP="00F25AC8">
      <w:pPr>
        <w:tabs>
          <w:tab w:val="left" w:pos="567"/>
        </w:tabs>
        <w:spacing w:after="120"/>
        <w:ind w:left="567" w:hanging="567"/>
        <w:jc w:val="both"/>
      </w:pPr>
      <w:r w:rsidRPr="00E60E24">
        <w:t>▪</w:t>
      </w:r>
      <w:r w:rsidRPr="00E60E24">
        <w:tab/>
        <w:t xml:space="preserve">Zona I: </w:t>
      </w:r>
      <w:r w:rsidRPr="00E60E24">
        <w:tab/>
        <w:t xml:space="preserve">As mesorregiões da zona I, a partir da análise dos resultados das regressões, são aquelas que apresentaram redução nos coeficientes de salário, indicando uma associação entre comércio e crescimento de salário mesorregional, combinada com baixa alteração nos coeficientes de prêmio por qualificação. </w:t>
      </w:r>
    </w:p>
    <w:p w14:paraId="681564CA" w14:textId="77777777" w:rsidR="004601DE" w:rsidRPr="00E60E24" w:rsidRDefault="004601DE" w:rsidP="00F25AC8">
      <w:pPr>
        <w:tabs>
          <w:tab w:val="left" w:pos="567"/>
        </w:tabs>
        <w:spacing w:after="120"/>
        <w:ind w:left="567" w:hanging="567"/>
        <w:jc w:val="both"/>
      </w:pPr>
      <w:r w:rsidRPr="00E60E24">
        <w:tab/>
        <w:t>Em 2000, no início do decênio, as 44 mesorregiões com essas características nas estimações concentraram-se nas regiões Sul, Sudeste e Centro-Oeste, bem como no litoral baiano e na mesorregião Centro-Amazonense, em que se localiza a Zona Franca de Manaus.</w:t>
      </w:r>
    </w:p>
    <w:p w14:paraId="32B9CF14" w14:textId="2962F9B1" w:rsidR="004601DE" w:rsidRPr="00E60E24" w:rsidRDefault="004601DE" w:rsidP="00F25AC8">
      <w:pPr>
        <w:tabs>
          <w:tab w:val="left" w:pos="567"/>
        </w:tabs>
        <w:spacing w:after="120"/>
        <w:ind w:left="567" w:hanging="567"/>
        <w:jc w:val="both"/>
      </w:pPr>
      <w:r w:rsidRPr="00E60E24">
        <w:t>▪</w:t>
      </w:r>
      <w:r w:rsidRPr="00E60E24">
        <w:tab/>
        <w:t xml:space="preserve">Zona II: </w:t>
      </w:r>
      <w:r w:rsidRPr="00E60E24">
        <w:tab/>
        <w:t>No início do decênio 2000-2010, 20 mesorregiões, das 136 do país, espalhadas principalmente pelo oeste do Rio Grande do Sul e do Paraná, norte de Minas Gerais, região central do Centro-Oeste e duas no litoral do Nordeste (Paraíba e Rio G</w:t>
      </w:r>
      <w:r>
        <w:t xml:space="preserve">rande do Norte) apresentaram </w:t>
      </w:r>
      <w:r w:rsidRPr="00E60E24">
        <w:t>as características</w:t>
      </w:r>
      <w:r>
        <w:t xml:space="preserve"> </w:t>
      </w:r>
      <w:r w:rsidR="006421D1">
        <w:t>de zona II</w:t>
      </w:r>
    </w:p>
    <w:p w14:paraId="3E851336" w14:textId="3D43BF03" w:rsidR="004601DE" w:rsidRPr="00E60E24" w:rsidRDefault="004601DE" w:rsidP="00F25AC8">
      <w:pPr>
        <w:tabs>
          <w:tab w:val="left" w:pos="567"/>
        </w:tabs>
        <w:spacing w:after="120"/>
        <w:ind w:left="567" w:hanging="567"/>
        <w:jc w:val="both"/>
      </w:pPr>
      <w:r w:rsidRPr="00E60E24">
        <w:t>▪</w:t>
      </w:r>
      <w:r w:rsidRPr="00E60E24">
        <w:tab/>
        <w:t xml:space="preserve">Zona III: Em 2000, 12 mesorregiões espalhadas pelo oeste de Mato Grosso do Sul, norte de Mato Grosso, leste e norte do Pará, norte do Maranhão, região central da Bahia, sul de Pernambuco, leste do Piauí e litoral do Ceará </w:t>
      </w:r>
      <w:r w:rsidR="006421D1">
        <w:t>se caracterizaram como zona III.</w:t>
      </w:r>
    </w:p>
    <w:p w14:paraId="0CCFFB64" w14:textId="556D5949" w:rsidR="004601DE" w:rsidRPr="00E60E24" w:rsidRDefault="004601DE" w:rsidP="00F25AC8">
      <w:pPr>
        <w:tabs>
          <w:tab w:val="left" w:pos="567"/>
        </w:tabs>
        <w:spacing w:after="120"/>
        <w:ind w:left="567" w:hanging="567"/>
        <w:jc w:val="both"/>
      </w:pPr>
      <w:r w:rsidRPr="00E60E24">
        <w:t>▪</w:t>
      </w:r>
      <w:r w:rsidRPr="00E60E24">
        <w:tab/>
        <w:t xml:space="preserve">Zona IV: </w:t>
      </w:r>
      <w:r w:rsidR="006476E7">
        <w:t>N</w:t>
      </w:r>
      <w:r w:rsidRPr="00E60E24">
        <w:t>o início do decênio, em 2000, 25 regiões apresentaram essas características, concentrando-se no oeste de Santa Catarina, Paraná e São Paulo, no leste de Minas Gerais, no norte de Goiás, no sul da Bahia e em algumas mesorregiões do Norte do país.</w:t>
      </w:r>
    </w:p>
    <w:p w14:paraId="3DEE85D9" w14:textId="4FA359DF" w:rsidR="004601DE" w:rsidRPr="00E60E24" w:rsidRDefault="004601DE" w:rsidP="00F25AC8">
      <w:pPr>
        <w:tabs>
          <w:tab w:val="left" w:pos="567"/>
        </w:tabs>
        <w:spacing w:after="120"/>
        <w:ind w:left="567" w:hanging="567"/>
        <w:jc w:val="both"/>
      </w:pPr>
      <w:r w:rsidRPr="00E60E24">
        <w:t>▪</w:t>
      </w:r>
      <w:r w:rsidRPr="00E60E24">
        <w:tab/>
        <w:t>Zona V: Em 2000, 35 mesorregiões no Brasil se caracterizaram como zona V, concentradas nas porções norte e oeste do Nordeste do país. Estas regiões são, de fato, as que apresentaram o menor coeficiente de abertura.</w:t>
      </w:r>
    </w:p>
    <w:p w14:paraId="6F003E3D" w14:textId="77CA376E" w:rsidR="000E24FF" w:rsidRDefault="000E24FF" w:rsidP="00F25AC8">
      <w:pPr>
        <w:pStyle w:val="Ttulo3"/>
        <w:spacing w:before="0" w:after="120" w:line="240" w:lineRule="auto"/>
      </w:pPr>
      <w:r>
        <w:t>Zonas de Especialização em 2010</w:t>
      </w:r>
    </w:p>
    <w:p w14:paraId="2EA06B76" w14:textId="46C2EBB9" w:rsidR="000E24FF" w:rsidRDefault="000E24FF" w:rsidP="00F25AC8">
      <w:pPr>
        <w:spacing w:after="120"/>
        <w:ind w:firstLine="709"/>
        <w:jc w:val="both"/>
      </w:pPr>
      <w:r>
        <w:t>A</w:t>
      </w:r>
      <w:r w:rsidR="006421D1">
        <w:t xml:space="preserve">s </w:t>
      </w:r>
      <w:r w:rsidR="00924BCB">
        <w:t xml:space="preserve">mesorregiões distribuídas entre as </w:t>
      </w:r>
      <w:r w:rsidR="006421D1">
        <w:t>zonas de especialização em 201</w:t>
      </w:r>
      <w:r>
        <w:t>0</w:t>
      </w:r>
      <w:r w:rsidR="006421D1">
        <w:t xml:space="preserve"> são apresentadas na Figura 3 abaixo. </w:t>
      </w:r>
      <w:r w:rsidR="002A082A">
        <w:t xml:space="preserve">As zonas mais abertas se ampliaram consideravelmente comparando-se com os resultados de 2000. Sul, Sudeste e Centro-Oeste apresentaram características de zonas mais abertas, enquanto as mais fechadas mantiveram-se em mesorregiões do Norte e Nordeste. </w:t>
      </w:r>
    </w:p>
    <w:p w14:paraId="5B475606" w14:textId="4BC1DD1A" w:rsidR="000E24FF" w:rsidRDefault="000E24FF" w:rsidP="004A5DEE">
      <w:pPr>
        <w:spacing w:after="120"/>
        <w:jc w:val="center"/>
      </w:pPr>
      <w:r w:rsidRPr="009E39AF">
        <w:rPr>
          <w:noProof/>
          <w:sz w:val="20"/>
          <w:szCs w:val="20"/>
          <w:bdr w:val="single" w:sz="4" w:space="0" w:color="auto"/>
          <w:lang w:eastAsia="pt-BR"/>
        </w:rPr>
        <w:lastRenderedPageBreak/>
        <w:drawing>
          <wp:inline distT="0" distB="0" distL="0" distR="0" wp14:anchorId="7BC5D34F" wp14:editId="0FB91B75">
            <wp:extent cx="4318588" cy="3733448"/>
            <wp:effectExtent l="0" t="0" r="6350" b="635"/>
            <wp:docPr id="290" name="Imagem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6641" cy="3749055"/>
                    </a:xfrm>
                    <a:prstGeom prst="rect">
                      <a:avLst/>
                    </a:prstGeom>
                    <a:noFill/>
                    <a:ln>
                      <a:noFill/>
                    </a:ln>
                  </pic:spPr>
                </pic:pic>
              </a:graphicData>
            </a:graphic>
          </wp:inline>
        </w:drawing>
      </w:r>
      <w:bookmarkStart w:id="29" w:name="_GoBack"/>
      <w:bookmarkEnd w:id="29"/>
    </w:p>
    <w:p w14:paraId="699C1910" w14:textId="5A7EE213" w:rsidR="002A082A" w:rsidRPr="009E39AF" w:rsidRDefault="00924BCB" w:rsidP="00F25AC8">
      <w:pPr>
        <w:pStyle w:val="Legenda"/>
        <w:spacing w:after="120"/>
        <w:ind w:left="709" w:right="1133"/>
        <w:rPr>
          <w:sz w:val="20"/>
          <w:szCs w:val="20"/>
        </w:rPr>
      </w:pPr>
      <w:r>
        <w:t>Figura</w:t>
      </w:r>
      <w:fldSimple w:instr=" SEQ Figura \* ARABIC ">
        <w:r>
          <w:rPr>
            <w:noProof/>
          </w:rPr>
          <w:t>5</w:t>
        </w:r>
      </w:fldSimple>
      <w:r w:rsidR="002A082A" w:rsidRPr="009E39AF">
        <w:t xml:space="preserve">: Mesorregiões do Brasil, destacando as zonas de especialização de Venables e </w:t>
      </w:r>
      <w:r w:rsidR="002A082A">
        <w:t>Limão</w:t>
      </w:r>
      <w:r w:rsidR="002A082A" w:rsidRPr="009E39AF">
        <w:t xml:space="preserve"> (2002) </w:t>
      </w:r>
      <w:r w:rsidR="002A082A">
        <w:t>em 2010.</w:t>
      </w:r>
    </w:p>
    <w:p w14:paraId="536CBA48" w14:textId="7ED0016A" w:rsidR="000E24FF" w:rsidRPr="00E60E24" w:rsidRDefault="000E24FF" w:rsidP="00F25AC8">
      <w:pPr>
        <w:tabs>
          <w:tab w:val="left" w:pos="567"/>
        </w:tabs>
        <w:spacing w:after="120"/>
        <w:ind w:left="567" w:hanging="567"/>
        <w:jc w:val="both"/>
      </w:pPr>
      <w:r w:rsidRPr="00E60E24">
        <w:t>▪</w:t>
      </w:r>
      <w:r w:rsidRPr="00E60E24">
        <w:tab/>
        <w:t xml:space="preserve">Zona I: </w:t>
      </w:r>
      <w:r w:rsidRPr="00E60E24">
        <w:tab/>
        <w:t>Em 2010, a zona I se ampliou para 71 mesorregiões, situadas no Centro-Oeste, Nordeste e Norte do país. No final do decênio, a zona I se compunha de mesorregiões do Sul, do Sudeste, da região central do país (Minas Gerais, Goiás, Mato Grosso e leste de Mato Grosso do Sul), do oeste do Tocantins e do leste do Pará. A redução na demanda externa por produtos intensivos em transporte e/ou uma redução nos custos de transporte das regiões centrais, Norte e Nordeste do país podem estar associadas a esse movimento da zona I no decênio.</w:t>
      </w:r>
    </w:p>
    <w:p w14:paraId="026035A8" w14:textId="19E1E0EE" w:rsidR="000E24FF" w:rsidRPr="00E60E24" w:rsidRDefault="000E24FF" w:rsidP="00F25AC8">
      <w:pPr>
        <w:tabs>
          <w:tab w:val="left" w:pos="567"/>
        </w:tabs>
        <w:spacing w:after="120"/>
        <w:ind w:left="567" w:hanging="567"/>
        <w:jc w:val="both"/>
      </w:pPr>
      <w:r w:rsidRPr="00E60E24">
        <w:t>▪</w:t>
      </w:r>
      <w:r w:rsidRPr="00E60E24">
        <w:tab/>
        <w:t xml:space="preserve">Zona II: </w:t>
      </w:r>
      <w:r w:rsidRPr="00E60E24">
        <w:tab/>
        <w:t>No final do decênio, a zona encolheu para 11 mesorregiões, no oeste do Rio Grande do Sul, do Paraná e de Mato Grosso do Sul, no leste de Minas Gerais, no sul e norte da Bahia, no norte do Piauí e no sul do Ceará. Esse movimento reforça a hipótese de redução na demanda externa por produtos intensivos em transporte.</w:t>
      </w:r>
    </w:p>
    <w:p w14:paraId="04D92068" w14:textId="07A152B0" w:rsidR="000E24FF" w:rsidRPr="00E60E24" w:rsidRDefault="000E24FF" w:rsidP="00F25AC8">
      <w:pPr>
        <w:tabs>
          <w:tab w:val="left" w:pos="567"/>
        </w:tabs>
        <w:spacing w:after="120"/>
        <w:ind w:left="567" w:hanging="567"/>
        <w:jc w:val="both"/>
      </w:pPr>
      <w:r w:rsidRPr="00E60E24">
        <w:t>▪</w:t>
      </w:r>
      <w:r w:rsidRPr="00E60E24">
        <w:tab/>
        <w:t>Zona III: Em 2010, a zona III reduziu-se para 11 mesorregiões, que migraram principalmente para o Nordeste brasileiro: o oeste da Bahia, o sul de Pernambuco, o leste do Rio Grande do Norte e o oeste da Paraíba passaram a compor a zona III; o leste de Rondônia e o sul do Rio Grande do Sul também apresentaram características de zona III. Uma redução na dotação do fator ‘trabalho’ pode estar associado a esta redução na zona III.</w:t>
      </w:r>
    </w:p>
    <w:p w14:paraId="23E86828" w14:textId="6B7FCD3E" w:rsidR="000E24FF" w:rsidRPr="00E60E24" w:rsidRDefault="000E24FF" w:rsidP="00F25AC8">
      <w:pPr>
        <w:tabs>
          <w:tab w:val="left" w:pos="567"/>
        </w:tabs>
        <w:spacing w:after="120"/>
        <w:ind w:left="567" w:hanging="567"/>
        <w:jc w:val="both"/>
      </w:pPr>
      <w:r w:rsidRPr="00E60E24">
        <w:t>▪</w:t>
      </w:r>
      <w:r w:rsidRPr="00E60E24">
        <w:tab/>
        <w:t>Zona IV:</w:t>
      </w:r>
      <w:r w:rsidR="006421D1">
        <w:t xml:space="preserve"> </w:t>
      </w:r>
      <w:r w:rsidRPr="00E60E24">
        <w:t>Em 2010, a zona IV manteve a quantidade de mesorregiões, que porém migraram para o Norte e Nordeste do país. Esse movimento da zona IV indica que o Norte e Nordeste parecem apresentar um avanço relacionado a barateamento nos custos de transporte para insumos de produção.</w:t>
      </w:r>
    </w:p>
    <w:p w14:paraId="23BD64E2" w14:textId="58CD653B" w:rsidR="000E24FF" w:rsidRDefault="000E24FF" w:rsidP="00F25AC8">
      <w:pPr>
        <w:tabs>
          <w:tab w:val="left" w:pos="567"/>
        </w:tabs>
        <w:spacing w:after="120"/>
        <w:ind w:left="567" w:hanging="567"/>
        <w:jc w:val="both"/>
      </w:pPr>
      <w:r w:rsidRPr="00E60E24">
        <w:t>▪</w:t>
      </w:r>
      <w:r w:rsidRPr="00E60E24">
        <w:tab/>
        <w:t>Zona V: Em 2010, a zona se reduziu a 18 mesorregiões, também concentradas no Norte e Nordeste, mas com algumas ocorrências nos litorais da Bahia, do Rio Grande do Norte e do Ceará. Uma mesorregião no leste do Tocantins e na região serrana de Santa Catarina também apresentaram comportamento de zona V. Esse movimento pode estar relacionado a uma redução na demanda externa por produtos intensivos em transportes, um barateamento dos custos de transportes das regiões antes consideradas distantes e/ou a uma alteração na intensidade relativa de transportes dos produtos de regiões distantes.</w:t>
      </w:r>
    </w:p>
    <w:p w14:paraId="5AB17E86" w14:textId="14803969" w:rsidR="0031021E" w:rsidRPr="00E60E24" w:rsidRDefault="0031021E" w:rsidP="00F25AC8">
      <w:pPr>
        <w:spacing w:after="120"/>
        <w:ind w:firstLine="709"/>
        <w:jc w:val="both"/>
      </w:pPr>
      <w:r>
        <w:lastRenderedPageBreak/>
        <w:t>A evolução no período parece sugerir ter havido uma ampliação da exposição ao comércio a locais antes mais fechados</w:t>
      </w:r>
    </w:p>
    <w:p w14:paraId="27444B3B" w14:textId="77777777" w:rsidR="004601DE" w:rsidRPr="00E60E24" w:rsidRDefault="004601DE" w:rsidP="00F25AC8">
      <w:pPr>
        <w:pStyle w:val="Ttulo2"/>
        <w:spacing w:before="0" w:after="120"/>
      </w:pPr>
      <w:bookmarkStart w:id="30" w:name="_Toc446599113"/>
      <w:bookmarkStart w:id="31" w:name="_Toc456276889"/>
      <w:r w:rsidRPr="00E60E24">
        <w:t>Considerações finais</w:t>
      </w:r>
      <w:bookmarkEnd w:id="30"/>
      <w:bookmarkEnd w:id="31"/>
    </w:p>
    <w:p w14:paraId="0206E20B" w14:textId="77777777" w:rsidR="004601DE" w:rsidRPr="00E60E24" w:rsidRDefault="004601DE" w:rsidP="00F25AC8">
      <w:pPr>
        <w:spacing w:after="120"/>
        <w:ind w:firstLine="709"/>
        <w:jc w:val="both"/>
      </w:pPr>
      <w:r w:rsidRPr="00E60E24">
        <w:t xml:space="preserve">Este trabalho discute </w:t>
      </w:r>
      <w:r>
        <w:t>a</w:t>
      </w:r>
      <w:r w:rsidRPr="00E60E24">
        <w:t xml:space="preserve"> crescente discrepância entre as predições teóricas tradicionais e os resultados de recentes estudos empíricos a respeito da relação entre os salários e prêmios por qualificação e a abertura comercial nos países em desenvolvimento. Duas das hipóteses levantadas por contribuições te</w:t>
      </w:r>
      <w:r>
        <w:t>óricas atuais são as de que essa</w:t>
      </w:r>
      <w:r w:rsidRPr="00E60E24">
        <w:t xml:space="preserve"> discrepância se deve, primeiro, ao fato de que os trabalhos empíricos consideram implicitamente que as diferentes regiões de um país são igualmente ligadas ao comércio exterior; e, segundo, ao  uso de dados agregados em nível de país para o estudo dessa relação.</w:t>
      </w:r>
    </w:p>
    <w:p w14:paraId="5D1A6EAD" w14:textId="4B5F09B5" w:rsidR="004601DE" w:rsidRPr="00E60E24" w:rsidRDefault="004601DE" w:rsidP="00F25AC8">
      <w:pPr>
        <w:spacing w:after="120"/>
        <w:ind w:firstLine="709"/>
        <w:jc w:val="both"/>
      </w:pPr>
      <w:r w:rsidRPr="00E60E24">
        <w:t xml:space="preserve">Este trabalho aborda essas duas hipóteses explicitamente ao analisar a relação entre salários e comércio exterior no Brasil durante </w:t>
      </w:r>
      <w:r>
        <w:t xml:space="preserve">nos anos 2000 e </w:t>
      </w:r>
      <w:r w:rsidRPr="00E60E24">
        <w:t xml:space="preserve">2010. Para tanto, utiliza dados desagregados no menor nível de agregação geográfica disponível em fontes oficiais brasileiras, qual seja, o nível municipal, e explora a heterogeneidade de respostas dos salários e prêmios por qualificação a variações na exposição ao comércio a depender da posição geográfica. </w:t>
      </w:r>
    </w:p>
    <w:p w14:paraId="5A14C2E8" w14:textId="77777777" w:rsidR="004601DE" w:rsidRPr="00E60E24" w:rsidRDefault="004601DE" w:rsidP="00F25AC8">
      <w:pPr>
        <w:spacing w:after="120"/>
        <w:ind w:firstLine="709"/>
        <w:jc w:val="both"/>
      </w:pPr>
      <w:r w:rsidRPr="00E60E24">
        <w:t>No modelo teórico, as zonas de especialização são determinadas pela relação entre o comércio internacional e os custos de transporte, custos estes que, por sua vez, induzem as respostas dos salários e prêmios por qualificação nas regiões, a depender de sua posição geográfica em relação ao centro de comércio. No presente estudo, as zonas de especialização no Brasil foram identificadas a partir das respostas dos salários e dos prêmios por escolaridade a variáveis de exposição ao comércio, depois de controladas por determinantes individuais e características locais. A hipótese considerada foi que, se o modelo teórico possuísse aderência empírica, regiões consideradas distantes pelo comportamento dos salários e prêmios por qualificação seriam aquelas com baixo coeficiente de abertura, baixos salários e altos prêmios por qualificação. Inversamente, aquelas consideradas próximas ao centro de comércio apresentariam alto coeficiente de abertura, altos salários e baixos prêmios por qualificação.</w:t>
      </w:r>
    </w:p>
    <w:p w14:paraId="698629E0" w14:textId="77777777" w:rsidR="004601DE" w:rsidRPr="00E60E24" w:rsidRDefault="004601DE" w:rsidP="00F25AC8">
      <w:pPr>
        <w:spacing w:after="120"/>
        <w:ind w:firstLine="709"/>
        <w:jc w:val="both"/>
      </w:pPr>
      <w:r w:rsidRPr="00E60E24">
        <w:t>Os resultados para o Brasil corresponderam a estas expectativas, ou seja, o comportamento dos salários e prêmios por qualificação frente a variáveis de comércio exterior que seria típico de regiões consideradas distantes ou fechadas ao comércio pelo modelo teórico selecionou mesorregiões de baixo coeficiente de abertura, baixos salários e altos prêmios por qualificação. Já as mesorregiões que apresentaram respostas dos salários e dos prêmios por qualificação que seriam típicas de regiões próximas foram aquelas com alto coeficiente de abertura, altos salários e baixos prêmios por qualificação. Assim, determinaram-se, por nível decrescente de abertura comercial, as zonas de especialização de I a V no Brasil em 2000 e 2010 para avaliar sua evolução.</w:t>
      </w:r>
    </w:p>
    <w:p w14:paraId="5B017048" w14:textId="77777777" w:rsidR="004601DE" w:rsidRPr="00E60E24" w:rsidRDefault="004601DE" w:rsidP="00F25AC8">
      <w:pPr>
        <w:spacing w:after="120"/>
        <w:ind w:firstLine="709"/>
        <w:jc w:val="both"/>
      </w:pPr>
      <w:r w:rsidRPr="00E60E24">
        <w:t>Em 2000, as zonas de especialização I, II e III, consideradas mais abertas ao comércio exterior, concentraram-se no Sul, Sudeste, Centro-Oeste e regiões litorâneas do Nordeste, assim como na mesorregião do Norte em que se localiza a Zona Franca de Manaus. As zonas de especialização consideradas mais fechadas ao comércio concentraram-se no Norte, no Nordeste, em regiões serranas do Sul e Sudeste e ainda em parte do Centro-Oeste. Em 2010, a zona I se expandiu de modo considerável a praticamente todo o Sul, Sudeste e Centro-Oeste, parte da região Norte e litoral nordestino, indicando que a abertura comercial no decênio atingiu áreas antes mais fechadas ao comércio. Este movimento parece ser bem explicado pelo aumento na demanda externa por produtos não intensivos em transporte e/ou por uma redução nos custos de transporte dessas regiões. Alterações na intensidade relativa dos custos de transportes dos produtos comercializados também podem explicar esta ampliação da zona I. Por sua vez, as zonas IV e V, mais fechadas ao comércio, passaram a se concentrar em 2010 na região Norte e no oeste nordestino.</w:t>
      </w:r>
    </w:p>
    <w:p w14:paraId="613D684D" w14:textId="77777777" w:rsidR="004601DE" w:rsidRPr="00E60E24" w:rsidRDefault="004601DE" w:rsidP="00F25AC8">
      <w:pPr>
        <w:spacing w:after="120"/>
        <w:ind w:firstLine="709"/>
        <w:jc w:val="both"/>
      </w:pPr>
      <w:r w:rsidRPr="00E60E24">
        <w:t xml:space="preserve">Os resultados também revelam que respostas Stolper–Samuelson se verificam apenas em algumas regiões do país, notadamente as consideradas mais próximas ao comércio – como sustenta o modelo teórico adotado neste trabalho. Enquanto as mesorregiões do Sul e algumas do Sudeste experimentam uma redução na desigualdade de rendimentos atribuível à exposição ao comércio exterior, regiões do Norte, Nordeste e Centro-Oeste experimentam um aumento nesta desigualdade. Apesar disso, é notável </w:t>
      </w:r>
      <w:r w:rsidRPr="00E60E24">
        <w:lastRenderedPageBreak/>
        <w:t>que tenha havido no período estudado um processo de redução na desigualdade de rendimentos entre as regiões.</w:t>
      </w:r>
    </w:p>
    <w:p w14:paraId="0BD72C44" w14:textId="77777777" w:rsidR="004601DE" w:rsidRPr="00E60E24" w:rsidRDefault="004601DE" w:rsidP="00F25AC8">
      <w:pPr>
        <w:spacing w:after="120"/>
        <w:ind w:firstLine="709"/>
        <w:jc w:val="both"/>
      </w:pPr>
      <w:r w:rsidRPr="00E60E24">
        <w:t xml:space="preserve">Estes resultados comprovam a validade dos pressupostos do modelo teórico de Venables e </w:t>
      </w:r>
      <w:r>
        <w:t>Limão</w:t>
      </w:r>
      <w:r w:rsidRPr="00E60E24">
        <w:t xml:space="preserve"> (2002) para o estudo da relação entre salários, prêmios por qualificação e comércio exterior. Também indicam que respostas Stolper–Samuelson seriam válidas, a depender de certas condições dadas pela posição geográfica das regiões, da distância ao centro de comércio, da intensidade relativa dos transportes e dos fatores nos produtos comercializados – ou seja, a redução da desigualdade de rendimentos em função de maior abertura comercial não é homogênea em todas as regiões de um dado país em desenvolvimento. Sendo assim, políticas que disseminem geograficamente os benefícios do comércio internacional no país teriam que considerar a ocorrência de respostas regionalmente heterogêneas.</w:t>
      </w:r>
    </w:p>
    <w:p w14:paraId="58C9DB75" w14:textId="7D55550F" w:rsidR="004601DE" w:rsidRPr="00E60E24" w:rsidRDefault="004601DE" w:rsidP="00F25AC8">
      <w:pPr>
        <w:spacing w:after="120"/>
        <w:ind w:firstLine="709"/>
        <w:jc w:val="both"/>
      </w:pPr>
      <w:r w:rsidRPr="00E60E24">
        <w:t xml:space="preserve">Este estudo apresenta limitações importantes. A principal delas provém da formação da base de dados de comércio exterior, que para registro da ocorrência de comércio no nível municipal considera o domicílio fiscal da empresa exportadora, e não o município produtor, o que pode distorcer as respostas do preço dos insumos a variações de comércio. Outra limitação está na formação da amostra, que não considerou estratificação por nível de qualificação, o que pode ter ocasionado alta ocorrência de não significância nas </w:t>
      </w:r>
      <w:r w:rsidRPr="00E60E24">
        <w:rPr>
          <w:i/>
        </w:rPr>
        <w:t>dummies</w:t>
      </w:r>
      <w:r w:rsidRPr="00E60E24">
        <w:t xml:space="preserve"> de localidade iteradas com anos de educação. O uso de </w:t>
      </w:r>
      <w:r w:rsidRPr="00E60E24">
        <w:rPr>
          <w:i/>
        </w:rPr>
        <w:t>dummies</w:t>
      </w:r>
      <w:r w:rsidRPr="00E60E24">
        <w:t xml:space="preserve"> mesorregionais, e não em níveis de agregação menores, como microrregional ou mesmo municipal, també</w:t>
      </w:r>
      <w:r>
        <w:t>m é uma limitação, motivada pela</w:t>
      </w:r>
      <w:r w:rsidRPr="00E60E24">
        <w:t xml:space="preserve">s </w:t>
      </w:r>
      <w:r>
        <w:t xml:space="preserve">restrições dos </w:t>
      </w:r>
      <w:r w:rsidRPr="00E60E24">
        <w:t>recursos tecnológico</w:t>
      </w:r>
      <w:r w:rsidR="0053305A">
        <w:t>s disponíveis para este estudo.</w:t>
      </w:r>
    </w:p>
    <w:p w14:paraId="0CFB3AB3" w14:textId="2A7CB244" w:rsidR="0053305A" w:rsidRDefault="004601DE" w:rsidP="00F25AC8">
      <w:pPr>
        <w:spacing w:after="120"/>
        <w:ind w:firstLine="709"/>
        <w:jc w:val="both"/>
      </w:pPr>
      <w:r w:rsidRPr="00E60E24">
        <w:t xml:space="preserve">Este trabalho sugere que caberá a estudos futuros </w:t>
      </w:r>
      <w:r>
        <w:t>compreender as razões que levam determinadas regiões no Brasil a não responderem positivamente ao comércio exterior, utilizando-se de dados desagregados no nível de municípios.</w:t>
      </w:r>
      <w:r w:rsidRPr="00E60E24">
        <w:t xml:space="preserve"> </w:t>
      </w:r>
      <w:bookmarkStart w:id="32" w:name="_Toc456276904"/>
    </w:p>
    <w:p w14:paraId="0CCF984C" w14:textId="0022E571" w:rsidR="00EF7162" w:rsidRDefault="00EF7162" w:rsidP="00F25AC8">
      <w:pPr>
        <w:pStyle w:val="Ttulo1"/>
        <w:spacing w:before="0" w:after="120"/>
      </w:pPr>
      <w:r>
        <w:t>Referências</w:t>
      </w:r>
    </w:p>
    <w:p w14:paraId="51396976" w14:textId="77777777" w:rsidR="00EF7162" w:rsidRPr="004D0EAF" w:rsidRDefault="00EF7162" w:rsidP="00F25AC8">
      <w:pPr>
        <w:pStyle w:val="Bibliografia"/>
        <w:spacing w:after="120"/>
        <w:jc w:val="both"/>
        <w:rPr>
          <w:noProof/>
          <w:lang w:val="en-US"/>
        </w:rPr>
      </w:pPr>
      <w:r w:rsidRPr="00C42DD0">
        <w:rPr>
          <w:noProof/>
          <w:lang w:val="en-US"/>
        </w:rPr>
        <w:t xml:space="preserve">ARBACHE, J. S.; DICKERSON, A.; GREEN, F. Trade Liberalisation and wages in developing countries. </w:t>
      </w:r>
      <w:r w:rsidRPr="004D0EAF">
        <w:rPr>
          <w:b/>
          <w:bCs/>
          <w:noProof/>
          <w:lang w:val="en-US"/>
        </w:rPr>
        <w:t>The Economic Journal</w:t>
      </w:r>
      <w:r w:rsidRPr="004D0EAF">
        <w:rPr>
          <w:noProof/>
          <w:lang w:val="en-US"/>
        </w:rPr>
        <w:t>, Oxford, v. 114, p. 73-96, Feb. 2004.</w:t>
      </w:r>
    </w:p>
    <w:p w14:paraId="3A29D90D" w14:textId="3F306F99" w:rsidR="0053305A" w:rsidRPr="004D0EAF" w:rsidRDefault="0053305A" w:rsidP="00F25AC8">
      <w:pPr>
        <w:pStyle w:val="Bibliografia"/>
        <w:spacing w:after="120"/>
        <w:jc w:val="both"/>
        <w:rPr>
          <w:noProof/>
          <w:lang w:val="en-US"/>
        </w:rPr>
      </w:pPr>
      <w:r>
        <w:fldChar w:fldCharType="begin"/>
      </w:r>
      <w:r w:rsidRPr="004D0EAF">
        <w:rPr>
          <w:lang w:val="en-US"/>
        </w:rPr>
        <w:instrText xml:space="preserve"> BIBLIOGRAPHY  \l 1046 </w:instrText>
      </w:r>
      <w:r>
        <w:fldChar w:fldCharType="separate"/>
      </w:r>
      <w:r w:rsidRPr="004D0EAF">
        <w:rPr>
          <w:noProof/>
          <w:lang w:val="en-US"/>
        </w:rPr>
        <w:t xml:space="preserve">CHIQUIAR, D. Globalization, regional wage differentials and the Stolper-Samuelson Theorem: Evidence from Mexico. </w:t>
      </w:r>
      <w:r w:rsidRPr="004D0EAF">
        <w:rPr>
          <w:b/>
          <w:bCs/>
          <w:noProof/>
          <w:lang w:val="en-US"/>
        </w:rPr>
        <w:t>Journal of Internacional Economics</w:t>
      </w:r>
      <w:r w:rsidRPr="004D0EAF">
        <w:rPr>
          <w:noProof/>
          <w:lang w:val="en-US"/>
        </w:rPr>
        <w:t>, v. 74, n. 1, p. 70-93, January 2008.</w:t>
      </w:r>
    </w:p>
    <w:p w14:paraId="2E3BC313" w14:textId="77777777" w:rsidR="00EF7162" w:rsidRPr="00C42DD0" w:rsidRDefault="00EF7162" w:rsidP="00F25AC8">
      <w:pPr>
        <w:pStyle w:val="Bibliografia"/>
        <w:spacing w:after="120"/>
        <w:jc w:val="both"/>
        <w:rPr>
          <w:noProof/>
          <w:lang w:val="en-US"/>
        </w:rPr>
      </w:pPr>
      <w:r w:rsidRPr="00C42DD0">
        <w:rPr>
          <w:noProof/>
          <w:lang w:val="en-US"/>
        </w:rPr>
        <w:t xml:space="preserve">HANSON, G. What has happened to wages in Mexico since NAFTA? In: ESTEVADEORDAL, A., et al. </w:t>
      </w:r>
      <w:r w:rsidRPr="00C42DD0">
        <w:rPr>
          <w:b/>
          <w:bCs/>
          <w:noProof/>
          <w:lang w:val="en-US"/>
        </w:rPr>
        <w:t>FTAA and beyond:</w:t>
      </w:r>
      <w:r w:rsidRPr="00C42DD0">
        <w:rPr>
          <w:noProof/>
          <w:lang w:val="en-US"/>
        </w:rPr>
        <w:t xml:space="preserve"> prospects for integration in the americas. Cambridge: Harvard University Press, 2004.</w:t>
      </w:r>
    </w:p>
    <w:p w14:paraId="7278A2E8" w14:textId="77777777" w:rsidR="0053305A" w:rsidRDefault="0053305A" w:rsidP="00F25AC8">
      <w:pPr>
        <w:pStyle w:val="Bibliografia"/>
        <w:spacing w:after="120"/>
        <w:jc w:val="both"/>
        <w:rPr>
          <w:noProof/>
        </w:rPr>
      </w:pPr>
      <w:r>
        <w:rPr>
          <w:noProof/>
        </w:rPr>
        <w:t xml:space="preserve">HIDALGO, Á. B.; SALES, M. D. F. Abertura comercial e desigualdade de rendimentos: uma análise para as regiões brasileiras. </w:t>
      </w:r>
      <w:r>
        <w:rPr>
          <w:b/>
          <w:bCs/>
          <w:noProof/>
        </w:rPr>
        <w:t>Revista de Economia Contemporânea</w:t>
      </w:r>
      <w:r>
        <w:rPr>
          <w:noProof/>
        </w:rPr>
        <w:t>, Rio de Janeiro, v. 18, n. 3, p. 409-434, Sept./Dec. 2014.</w:t>
      </w:r>
    </w:p>
    <w:p w14:paraId="190EA0A9" w14:textId="77777777" w:rsidR="0053305A" w:rsidRDefault="0053305A" w:rsidP="00F25AC8">
      <w:pPr>
        <w:pStyle w:val="Bibliografia"/>
        <w:spacing w:after="120"/>
        <w:jc w:val="both"/>
        <w:rPr>
          <w:noProof/>
        </w:rPr>
      </w:pPr>
      <w:r>
        <w:rPr>
          <w:noProof/>
        </w:rPr>
        <w:t xml:space="preserve">INSTITUTO BRASILEIRO DE GEOGRAFIA E ESTATÍSTICA. </w:t>
      </w:r>
      <w:r>
        <w:rPr>
          <w:b/>
          <w:bCs/>
          <w:noProof/>
        </w:rPr>
        <w:t>Banco de dados SIDRA</w:t>
      </w:r>
      <w:r>
        <w:rPr>
          <w:noProof/>
        </w:rPr>
        <w:t>. IBGE. [S.l.]. 2015.</w:t>
      </w:r>
    </w:p>
    <w:p w14:paraId="613628F7" w14:textId="77777777" w:rsidR="0053305A" w:rsidRDefault="0053305A" w:rsidP="00F25AC8">
      <w:pPr>
        <w:pStyle w:val="Bibliografia"/>
        <w:spacing w:after="120"/>
        <w:jc w:val="both"/>
        <w:rPr>
          <w:noProof/>
        </w:rPr>
      </w:pPr>
      <w:r>
        <w:rPr>
          <w:noProof/>
        </w:rPr>
        <w:t xml:space="preserve">IPEA. </w:t>
      </w:r>
      <w:r>
        <w:rPr>
          <w:b/>
          <w:bCs/>
          <w:noProof/>
        </w:rPr>
        <w:t>IPEADATA</w:t>
      </w:r>
      <w:r>
        <w:rPr>
          <w:noProof/>
        </w:rPr>
        <w:t>. Instituto de Pesquisa Econômica Aplicada. [S.l.]. 2015.</w:t>
      </w:r>
    </w:p>
    <w:p w14:paraId="75CE870F" w14:textId="77777777" w:rsidR="0053305A" w:rsidRPr="004D0EAF" w:rsidRDefault="0053305A" w:rsidP="00F25AC8">
      <w:pPr>
        <w:pStyle w:val="Bibliografia"/>
        <w:spacing w:after="120"/>
        <w:jc w:val="both"/>
        <w:rPr>
          <w:noProof/>
          <w:lang w:val="en-US"/>
        </w:rPr>
      </w:pPr>
      <w:r>
        <w:rPr>
          <w:noProof/>
        </w:rPr>
        <w:t xml:space="preserve">MINISTÉRIO DO TRABALHO E EMPREGO. </w:t>
      </w:r>
      <w:r>
        <w:rPr>
          <w:b/>
          <w:bCs/>
          <w:noProof/>
        </w:rPr>
        <w:t>RAIS - Microdados</w:t>
      </w:r>
      <w:r>
        <w:rPr>
          <w:noProof/>
        </w:rPr>
        <w:t xml:space="preserve">. Ministério do Trabalho e Emprego. </w:t>
      </w:r>
      <w:r w:rsidRPr="004D0EAF">
        <w:rPr>
          <w:noProof/>
          <w:lang w:val="en-US"/>
        </w:rPr>
        <w:t>[S.l.]. 2015.</w:t>
      </w:r>
    </w:p>
    <w:p w14:paraId="0F2049E8" w14:textId="797B116C" w:rsidR="0053305A" w:rsidRPr="004D0EAF" w:rsidRDefault="0053305A" w:rsidP="00F25AC8">
      <w:pPr>
        <w:pStyle w:val="Bibliografia"/>
        <w:spacing w:after="120"/>
        <w:jc w:val="both"/>
        <w:rPr>
          <w:noProof/>
          <w:lang w:val="en-US"/>
        </w:rPr>
      </w:pPr>
      <w:r w:rsidRPr="004D0EAF">
        <w:rPr>
          <w:noProof/>
          <w:lang w:val="en-US"/>
        </w:rPr>
        <w:t xml:space="preserve">OSTER, E. </w:t>
      </w:r>
      <w:r w:rsidRPr="004D0EAF">
        <w:rPr>
          <w:b/>
          <w:bCs/>
          <w:noProof/>
          <w:lang w:val="en-US"/>
        </w:rPr>
        <w:t>Unorbservable selection and coefficient stability: theory and evidence</w:t>
      </w:r>
      <w:r w:rsidRPr="004D0EAF">
        <w:rPr>
          <w:noProof/>
          <w:lang w:val="en-US"/>
        </w:rPr>
        <w:t>. Brown University and NBER. Providence. 2014.</w:t>
      </w:r>
    </w:p>
    <w:p w14:paraId="323BB056" w14:textId="77777777" w:rsidR="00EF7162" w:rsidRPr="004D0EAF" w:rsidRDefault="00EF7162" w:rsidP="00F25AC8">
      <w:pPr>
        <w:pStyle w:val="Bibliografia"/>
        <w:spacing w:after="120"/>
        <w:jc w:val="both"/>
        <w:rPr>
          <w:noProof/>
        </w:rPr>
      </w:pPr>
      <w:r w:rsidRPr="00C42DD0">
        <w:rPr>
          <w:noProof/>
          <w:lang w:val="en-US"/>
        </w:rPr>
        <w:t xml:space="preserve">REDDING, S.; SCHOTT, P. K. Distance, skill deepening and development: will peripheral countries ever get rich? </w:t>
      </w:r>
      <w:r w:rsidRPr="004D0EAF">
        <w:rPr>
          <w:b/>
          <w:bCs/>
          <w:noProof/>
        </w:rPr>
        <w:t>Journal of Development Economics</w:t>
      </w:r>
      <w:r w:rsidRPr="004D0EAF">
        <w:rPr>
          <w:noProof/>
        </w:rPr>
        <w:t>, v. 72, n. 2, p. 515-541, 2003.</w:t>
      </w:r>
    </w:p>
    <w:p w14:paraId="64BFFBB5" w14:textId="77777777" w:rsidR="0053305A" w:rsidRPr="004D0EAF" w:rsidRDefault="0053305A" w:rsidP="00F25AC8">
      <w:pPr>
        <w:pStyle w:val="Bibliografia"/>
        <w:spacing w:after="120"/>
        <w:jc w:val="both"/>
        <w:rPr>
          <w:noProof/>
          <w:lang w:val="en-US"/>
        </w:rPr>
      </w:pPr>
      <w:r>
        <w:rPr>
          <w:noProof/>
        </w:rPr>
        <w:t xml:space="preserve">SECEX. </w:t>
      </w:r>
      <w:r>
        <w:rPr>
          <w:b/>
          <w:bCs/>
          <w:noProof/>
        </w:rPr>
        <w:t>Aliceweb2</w:t>
      </w:r>
      <w:r>
        <w:rPr>
          <w:noProof/>
        </w:rPr>
        <w:t xml:space="preserve">. Ministério do Desenvolvimento, Indústria e Comércio. </w:t>
      </w:r>
      <w:r w:rsidRPr="004D0EAF">
        <w:rPr>
          <w:noProof/>
          <w:lang w:val="en-US"/>
        </w:rPr>
        <w:t>[S.l.]. 2015.</w:t>
      </w:r>
    </w:p>
    <w:p w14:paraId="342831F6" w14:textId="3D20D605" w:rsidR="0053305A" w:rsidRPr="004D0EAF" w:rsidRDefault="0053305A" w:rsidP="00F25AC8">
      <w:pPr>
        <w:pStyle w:val="Bibliografia"/>
        <w:spacing w:after="120"/>
        <w:jc w:val="both"/>
        <w:rPr>
          <w:noProof/>
          <w:lang w:val="en-US"/>
        </w:rPr>
      </w:pPr>
      <w:r w:rsidRPr="004D0EAF">
        <w:rPr>
          <w:noProof/>
          <w:lang w:val="en-US"/>
        </w:rPr>
        <w:t xml:space="preserve">SMARZYNSKA, B. K. Does relative location matter for bilateral trade flows? </w:t>
      </w:r>
      <w:r w:rsidRPr="004D0EAF">
        <w:rPr>
          <w:b/>
          <w:bCs/>
          <w:noProof/>
          <w:lang w:val="en-US"/>
        </w:rPr>
        <w:t>Journal of Economic Integration - JEI</w:t>
      </w:r>
      <w:r w:rsidRPr="004D0EAF">
        <w:rPr>
          <w:noProof/>
          <w:lang w:val="en-US"/>
        </w:rPr>
        <w:t>, v. 16, n. 3, p. 379-398, Sep. 2001.</w:t>
      </w:r>
    </w:p>
    <w:p w14:paraId="5781DD02" w14:textId="77777777" w:rsidR="00EF7162" w:rsidRPr="00C42DD0" w:rsidRDefault="00EF7162" w:rsidP="00F25AC8">
      <w:pPr>
        <w:pStyle w:val="Bibliografia"/>
        <w:spacing w:after="120"/>
        <w:jc w:val="both"/>
        <w:rPr>
          <w:noProof/>
          <w:lang w:val="en-US"/>
        </w:rPr>
      </w:pPr>
      <w:r w:rsidRPr="00C42DD0">
        <w:rPr>
          <w:noProof/>
          <w:lang w:val="en-US"/>
        </w:rPr>
        <w:lastRenderedPageBreak/>
        <w:t xml:space="preserve">STOCK, J. H.; WATSON, M. W. </w:t>
      </w:r>
      <w:r w:rsidRPr="00C42DD0">
        <w:rPr>
          <w:b/>
          <w:bCs/>
          <w:noProof/>
          <w:lang w:val="en-US"/>
        </w:rPr>
        <w:t>Econometria</w:t>
      </w:r>
      <w:r w:rsidRPr="00C42DD0">
        <w:rPr>
          <w:noProof/>
          <w:lang w:val="en-US"/>
        </w:rPr>
        <w:t>. São Paulo: Addison Wesley, 2004.</w:t>
      </w:r>
    </w:p>
    <w:p w14:paraId="051170BB" w14:textId="558E4D27" w:rsidR="0053305A" w:rsidRPr="004D0EAF" w:rsidRDefault="0053305A" w:rsidP="00F25AC8">
      <w:pPr>
        <w:pStyle w:val="Bibliografia"/>
        <w:spacing w:after="120"/>
        <w:jc w:val="both"/>
        <w:rPr>
          <w:noProof/>
          <w:lang w:val="en-US"/>
        </w:rPr>
      </w:pPr>
      <w:r w:rsidRPr="004D0EAF">
        <w:rPr>
          <w:noProof/>
          <w:lang w:val="en-US"/>
        </w:rPr>
        <w:t xml:space="preserve">VENABLES, A. J.; LIMAO, N. Geographical disadvantage: a Heckscher-Ohlin-von Thunen model of international specialisation. </w:t>
      </w:r>
      <w:r w:rsidRPr="004D0EAF">
        <w:rPr>
          <w:b/>
          <w:bCs/>
          <w:noProof/>
          <w:lang w:val="en-US"/>
        </w:rPr>
        <w:t>Journal of Internacional Economics</w:t>
      </w:r>
      <w:r w:rsidRPr="004D0EAF">
        <w:rPr>
          <w:noProof/>
          <w:lang w:val="en-US"/>
        </w:rPr>
        <w:t>, v. 58, n. 2, p. 239-263, December 2002.</w:t>
      </w:r>
    </w:p>
    <w:p w14:paraId="66FC8735" w14:textId="77777777" w:rsidR="00EF7162" w:rsidRPr="00C42DD0" w:rsidRDefault="00EF7162" w:rsidP="00F25AC8">
      <w:pPr>
        <w:pStyle w:val="Bibliografia"/>
        <w:spacing w:after="120"/>
        <w:jc w:val="both"/>
        <w:rPr>
          <w:noProof/>
          <w:lang w:val="en-US"/>
        </w:rPr>
      </w:pPr>
      <w:r w:rsidRPr="00C42DD0">
        <w:rPr>
          <w:noProof/>
          <w:lang w:val="en-US"/>
        </w:rPr>
        <w:t xml:space="preserve">WOOLDRIDGE, J. M. </w:t>
      </w:r>
      <w:r w:rsidRPr="00C42DD0">
        <w:rPr>
          <w:b/>
          <w:bCs/>
          <w:noProof/>
          <w:lang w:val="en-US"/>
        </w:rPr>
        <w:t>Introductory econometrics:</w:t>
      </w:r>
      <w:r w:rsidRPr="00C42DD0">
        <w:rPr>
          <w:noProof/>
          <w:lang w:val="en-US"/>
        </w:rPr>
        <w:t xml:space="preserve"> a modern approach. 2. ed. Mason: Thomson/ South-Western, 2002.</w:t>
      </w:r>
    </w:p>
    <w:p w14:paraId="4F32B2A7" w14:textId="77777777" w:rsidR="00EF7162" w:rsidRPr="004D0EAF" w:rsidRDefault="00EF7162" w:rsidP="00F25AC8">
      <w:pPr>
        <w:spacing w:after="120"/>
        <w:jc w:val="both"/>
        <w:rPr>
          <w:lang w:val="en-US"/>
        </w:rPr>
      </w:pPr>
    </w:p>
    <w:p w14:paraId="6764CFB9" w14:textId="64EE654D" w:rsidR="00875F5E" w:rsidRPr="009E39AF" w:rsidRDefault="0053305A" w:rsidP="00F25AC8">
      <w:pPr>
        <w:pStyle w:val="Ttulo"/>
        <w:spacing w:before="0" w:after="120"/>
        <w:rPr>
          <w:sz w:val="22"/>
          <w:szCs w:val="22"/>
          <w:lang w:eastAsia="pt-BR"/>
        </w:rPr>
      </w:pPr>
      <w:r>
        <w:fldChar w:fldCharType="end"/>
      </w:r>
      <w:r w:rsidR="00875F5E" w:rsidRPr="009E39AF">
        <w:t>APÊNDICE</w:t>
      </w:r>
      <w:bookmarkEnd w:id="32"/>
    </w:p>
    <w:p w14:paraId="2181D602" w14:textId="77777777" w:rsidR="00875F5E" w:rsidRPr="009E39AF" w:rsidRDefault="00875F5E" w:rsidP="00F25AC8">
      <w:pPr>
        <w:spacing w:after="120"/>
        <w:ind w:firstLine="709"/>
        <w:jc w:val="both"/>
        <w:rPr>
          <w:rStyle w:val="hps"/>
        </w:rPr>
      </w:pPr>
      <w:r w:rsidRPr="009E39AF">
        <w:rPr>
          <w:rStyle w:val="hps"/>
        </w:rPr>
        <w:t>O procedimento para cálculo da localização do centro econômico e da distância é obtido de Smarzynska</w:t>
      </w:r>
      <w:sdt>
        <w:sdtPr>
          <w:rPr>
            <w:rStyle w:val="hps"/>
          </w:rPr>
          <w:id w:val="457690460"/>
          <w:citation/>
        </w:sdtPr>
        <w:sdtContent>
          <w:r w:rsidRPr="009E39AF">
            <w:rPr>
              <w:rStyle w:val="hps"/>
            </w:rPr>
            <w:fldChar w:fldCharType="begin"/>
          </w:r>
          <w:r w:rsidRPr="009E39AF">
            <w:rPr>
              <w:rStyle w:val="hps"/>
            </w:rPr>
            <w:instrText xml:space="preserve">CITATION Bea01 \n  \t  \l 1046 </w:instrText>
          </w:r>
          <w:r w:rsidRPr="009E39AF">
            <w:rPr>
              <w:rStyle w:val="hps"/>
            </w:rPr>
            <w:fldChar w:fldCharType="separate"/>
          </w:r>
          <w:r w:rsidRPr="009E39AF">
            <w:rPr>
              <w:rStyle w:val="hps"/>
            </w:rPr>
            <w:t xml:space="preserve"> </w:t>
          </w:r>
          <w:r w:rsidRPr="009E39AF">
            <w:t>(2001)</w:t>
          </w:r>
          <w:r w:rsidRPr="009E39AF">
            <w:rPr>
              <w:rStyle w:val="hps"/>
            </w:rPr>
            <w:fldChar w:fldCharType="end"/>
          </w:r>
        </w:sdtContent>
      </w:sdt>
      <w:r w:rsidRPr="009E39AF">
        <w:rPr>
          <w:rStyle w:val="hps"/>
        </w:rPr>
        <w:t xml:space="preserve"> e segue os passos abaixo:</w:t>
      </w:r>
    </w:p>
    <w:p w14:paraId="0CFBD07D" w14:textId="77777777" w:rsidR="00875F5E" w:rsidRPr="009E39AF" w:rsidRDefault="00875F5E" w:rsidP="00F25AC8">
      <w:pPr>
        <w:spacing w:after="120"/>
        <w:jc w:val="both"/>
        <w:rPr>
          <w:rStyle w:val="hps"/>
        </w:rPr>
      </w:pPr>
      <w:r w:rsidRPr="009E39AF">
        <w:rPr>
          <w:rStyle w:val="hps"/>
        </w:rPr>
        <w:t>Foram obtidas as coordenadas geográficas, latitude e longitude dos principais portos dos países da amostra que são litorâneos. Dos países não litorâneos (Suíça, Bolívia e Paraguai) foram tomadas as coordenadas do porto do país mais próximo (no caso da Suíça, o porto de Gênova, e os das capitais nos casos de Bolívia e Paraguai).</w:t>
      </w:r>
    </w:p>
    <w:p w14:paraId="337A0302" w14:textId="77777777" w:rsidR="00875F5E" w:rsidRPr="009E39AF" w:rsidRDefault="00875F5E" w:rsidP="00F25AC8">
      <w:pPr>
        <w:spacing w:after="120"/>
        <w:jc w:val="both"/>
        <w:rPr>
          <w:rStyle w:val="hps"/>
        </w:rPr>
      </w:pPr>
      <w:r w:rsidRPr="009E39AF">
        <w:rPr>
          <w:rStyle w:val="hps"/>
        </w:rPr>
        <w:t xml:space="preserve">As coordenadas geográficas em graus decimais foram convertidas em radianos, multiplicando-as por </w:t>
      </w:r>
      <w:r w:rsidRPr="009E39AF">
        <w:t>π/180</w:t>
      </w:r>
      <w:r w:rsidRPr="009E39AF">
        <w:rPr>
          <w:rStyle w:val="hps"/>
        </w:rPr>
        <w:t>.</w:t>
      </w:r>
    </w:p>
    <w:p w14:paraId="6AD23505" w14:textId="77777777" w:rsidR="00875F5E" w:rsidRPr="009E39AF" w:rsidRDefault="00875F5E" w:rsidP="00F25AC8">
      <w:pPr>
        <w:spacing w:after="120"/>
        <w:jc w:val="both"/>
        <w:rPr>
          <w:rStyle w:val="hps"/>
        </w:rPr>
      </w:pPr>
      <w:r w:rsidRPr="009E39AF">
        <w:rPr>
          <w:rStyle w:val="hps"/>
        </w:rPr>
        <w:t xml:space="preserve">Em seguida as coordenadas geográficas em radianos (latitude θ e longitude φ) dos municípios e dos países </w:t>
      </w:r>
      <w:r>
        <w:rPr>
          <w:rStyle w:val="hps"/>
        </w:rPr>
        <w:t>d</w:t>
      </w:r>
      <w:r w:rsidRPr="009E39AF">
        <w:rPr>
          <w:rStyle w:val="hps"/>
        </w:rPr>
        <w:t>e destino foram convertidas em coordenadas cartesianas, fazendo-se:</w:t>
      </w:r>
    </w:p>
    <w:p w14:paraId="1D490418" w14:textId="77777777" w:rsidR="00875F5E" w:rsidRPr="009E39AF" w:rsidRDefault="00875F5E" w:rsidP="00F25AC8">
      <w:pPr>
        <w:spacing w:after="120"/>
        <w:ind w:firstLine="709"/>
        <w:jc w:val="both"/>
        <w:rPr>
          <w:rStyle w:val="hps"/>
        </w:rPr>
      </w:pPr>
      <w:r w:rsidRPr="009E39AF">
        <w:rPr>
          <w:rStyle w:val="hps"/>
          <w:i/>
        </w:rPr>
        <w:t>z = r</w:t>
      </w:r>
      <w:r w:rsidRPr="009E39AF">
        <w:rPr>
          <w:rStyle w:val="hps"/>
        </w:rPr>
        <w:t xml:space="preserve"> senθ</w:t>
      </w:r>
    </w:p>
    <w:p w14:paraId="152EC930" w14:textId="77777777" w:rsidR="00875F5E" w:rsidRPr="009E39AF" w:rsidRDefault="00875F5E" w:rsidP="00F25AC8">
      <w:pPr>
        <w:spacing w:after="120"/>
        <w:ind w:firstLine="709"/>
        <w:jc w:val="both"/>
        <w:rPr>
          <w:rStyle w:val="hps"/>
        </w:rPr>
      </w:pPr>
      <w:r w:rsidRPr="009E39AF">
        <w:rPr>
          <w:rStyle w:val="hps"/>
          <w:i/>
        </w:rPr>
        <w:t>y = r</w:t>
      </w:r>
      <w:r w:rsidRPr="009E39AF">
        <w:rPr>
          <w:rStyle w:val="hps"/>
        </w:rPr>
        <w:t xml:space="preserve"> cosθ senφ</w:t>
      </w:r>
    </w:p>
    <w:p w14:paraId="3EE90051" w14:textId="77777777" w:rsidR="00875F5E" w:rsidRPr="009E39AF" w:rsidRDefault="00875F5E" w:rsidP="00F25AC8">
      <w:pPr>
        <w:spacing w:after="120"/>
        <w:ind w:firstLine="709"/>
        <w:jc w:val="both"/>
        <w:rPr>
          <w:rStyle w:val="hps"/>
        </w:rPr>
      </w:pPr>
      <w:r w:rsidRPr="009E39AF">
        <w:rPr>
          <w:rStyle w:val="hps"/>
          <w:i/>
        </w:rPr>
        <w:t>x = r</w:t>
      </w:r>
      <w:r w:rsidRPr="009E39AF">
        <w:rPr>
          <w:rStyle w:val="hps"/>
        </w:rPr>
        <w:t xml:space="preserve"> cosθ cosφ</w:t>
      </w:r>
    </w:p>
    <w:p w14:paraId="0BBE0104" w14:textId="77777777" w:rsidR="00875F5E" w:rsidRPr="009E39AF" w:rsidRDefault="00875F5E" w:rsidP="00F25AC8">
      <w:pPr>
        <w:spacing w:after="120"/>
        <w:jc w:val="both"/>
        <w:rPr>
          <w:rStyle w:val="hps"/>
        </w:rPr>
      </w:pPr>
      <w:r w:rsidRPr="009E39AF">
        <w:rPr>
          <w:rStyle w:val="hps"/>
        </w:rPr>
        <w:t xml:space="preserve">sendo </w:t>
      </w:r>
      <w:r w:rsidRPr="009E39AF">
        <w:rPr>
          <w:rStyle w:val="hps"/>
          <w:i/>
        </w:rPr>
        <w:t>r</w:t>
      </w:r>
      <w:r w:rsidRPr="009E39AF">
        <w:rPr>
          <w:rStyle w:val="hps"/>
        </w:rPr>
        <w:t xml:space="preserve"> o raio médio da Terra, que é de aproximadamente 6.371 km.</w:t>
      </w:r>
    </w:p>
    <w:p w14:paraId="1339A4E9" w14:textId="77777777" w:rsidR="00875F5E" w:rsidRPr="009E39AF" w:rsidRDefault="00875F5E" w:rsidP="00F25AC8">
      <w:pPr>
        <w:spacing w:after="120"/>
        <w:ind w:firstLine="1"/>
        <w:jc w:val="both"/>
        <w:rPr>
          <w:rStyle w:val="hps"/>
        </w:rPr>
      </w:pPr>
      <w:r w:rsidRPr="009E39AF">
        <w:rPr>
          <w:rStyle w:val="hps"/>
        </w:rPr>
        <w:t>O próximo passo foi obter as coordenadas cartesianas do ponto médio de cada par município–país, por meio da média aritmética simples das coordenadas cartesianas do município e do porto mais relevante do país de destino.</w:t>
      </w:r>
    </w:p>
    <w:p w14:paraId="257849CD" w14:textId="77777777" w:rsidR="00875F5E" w:rsidRPr="009E39AF" w:rsidRDefault="00875F5E" w:rsidP="00F25AC8">
      <w:pPr>
        <w:spacing w:after="120"/>
        <w:ind w:firstLine="709"/>
        <w:jc w:val="both"/>
        <w:rPr>
          <w:rStyle w:val="hps"/>
        </w:rPr>
      </w:pPr>
      <w:r w:rsidRPr="009E39AF">
        <w:rPr>
          <w:rStyle w:val="hps"/>
        </w:rPr>
        <w:t>As coordenadas cartesianas do centro econômico (CE) são calculadas com a seguinte fórmula:</w:t>
      </w:r>
    </w:p>
    <w:p w14:paraId="12B3F812" w14:textId="77777777" w:rsidR="00875F5E" w:rsidRPr="009E39AF" w:rsidRDefault="00F25AC8" w:rsidP="00F25AC8">
      <w:pPr>
        <w:spacing w:after="120"/>
        <w:ind w:firstLine="709"/>
        <w:jc w:val="both"/>
        <w:rPr>
          <w:rStyle w:val="hps"/>
        </w:rPr>
      </w:pPr>
      <m:oMathPara>
        <m:oMath>
          <m:sSub>
            <m:sSubPr>
              <m:ctrlPr>
                <w:rPr>
                  <w:rStyle w:val="hps"/>
                  <w:rFonts w:ascii="Cambria Math" w:hAnsi="Cambria Math"/>
                  <w:i/>
                </w:rPr>
              </m:ctrlPr>
            </m:sSubPr>
            <m:e>
              <m:r>
                <w:rPr>
                  <w:rStyle w:val="hps"/>
                  <w:rFonts w:ascii="Cambria Math" w:hAnsi="Cambria Math"/>
                </w:rPr>
                <m:t>X</m:t>
              </m:r>
            </m:e>
            <m:sub>
              <m:r>
                <m:rPr>
                  <m:sty m:val="p"/>
                </m:rPr>
                <w:rPr>
                  <w:rStyle w:val="hps"/>
                  <w:rFonts w:ascii="Cambria Math" w:hAnsi="Cambria Math"/>
                </w:rPr>
                <m:t>CE</m:t>
              </m:r>
            </m:sub>
          </m:sSub>
          <m:r>
            <w:rPr>
              <w:rStyle w:val="hps"/>
              <w:rFonts w:ascii="Cambria Math" w:hAnsi="Cambria Math"/>
            </w:rPr>
            <m:t xml:space="preserve">= </m:t>
          </m:r>
          <m:nary>
            <m:naryPr>
              <m:chr m:val="∑"/>
              <m:limLoc m:val="undOvr"/>
              <m:supHide m:val="1"/>
              <m:ctrlPr>
                <w:rPr>
                  <w:rStyle w:val="hps"/>
                  <w:rFonts w:ascii="Cambria Math" w:hAnsi="Cambria Math"/>
                  <w:i/>
                </w:rPr>
              </m:ctrlPr>
            </m:naryPr>
            <m:sub>
              <m:r>
                <w:rPr>
                  <w:rStyle w:val="hps"/>
                  <w:rFonts w:ascii="Cambria Math" w:hAnsi="Cambria Math"/>
                </w:rPr>
                <m:t>j</m:t>
              </m:r>
            </m:sub>
            <m:sup/>
            <m:e>
              <m:d>
                <m:dPr>
                  <m:ctrlPr>
                    <w:rPr>
                      <w:rStyle w:val="hps"/>
                      <w:rFonts w:ascii="Cambria Math" w:hAnsi="Cambria Math"/>
                      <w:i/>
                    </w:rPr>
                  </m:ctrlPr>
                </m:dPr>
                <m:e>
                  <m:f>
                    <m:fPr>
                      <m:ctrlPr>
                        <w:rPr>
                          <w:rStyle w:val="hps"/>
                          <w:rFonts w:ascii="Cambria Math" w:hAnsi="Cambria Math"/>
                          <w:i/>
                        </w:rPr>
                      </m:ctrlPr>
                    </m:fPr>
                    <m:num>
                      <m:sSub>
                        <m:sSubPr>
                          <m:ctrlPr>
                            <w:rPr>
                              <w:rStyle w:val="hps"/>
                              <w:rFonts w:ascii="Cambria Math" w:hAnsi="Cambria Math"/>
                              <w:i/>
                            </w:rPr>
                          </m:ctrlPr>
                        </m:sSubPr>
                        <m:e>
                          <m:r>
                            <w:rPr>
                              <w:rStyle w:val="hps"/>
                              <w:rFonts w:ascii="Cambria Math" w:hAnsi="Cambria Math"/>
                            </w:rPr>
                            <m:t>PIB</m:t>
                          </m:r>
                        </m:e>
                        <m:sub>
                          <m:r>
                            <m:rPr>
                              <m:sty m:val="p"/>
                            </m:rPr>
                            <w:rPr>
                              <w:rStyle w:val="hps"/>
                              <w:rFonts w:ascii="Cambria Math" w:hAnsi="Cambria Math"/>
                            </w:rPr>
                            <m:t>j</m:t>
                          </m:r>
                        </m:sub>
                      </m:sSub>
                    </m:num>
                    <m:den>
                      <m:sSub>
                        <m:sSubPr>
                          <m:ctrlPr>
                            <w:rPr>
                              <w:rStyle w:val="hps"/>
                              <w:rFonts w:ascii="Cambria Math" w:hAnsi="Cambria Math"/>
                              <w:i/>
                            </w:rPr>
                          </m:ctrlPr>
                        </m:sSubPr>
                        <m:e>
                          <m:r>
                            <w:rPr>
                              <w:rStyle w:val="hps"/>
                              <w:rFonts w:ascii="Cambria Math" w:hAnsi="Cambria Math"/>
                            </w:rPr>
                            <m:t>PIB</m:t>
                          </m:r>
                        </m:e>
                        <m:sub>
                          <m:r>
                            <m:rPr>
                              <m:sty m:val="p"/>
                            </m:rPr>
                            <w:rPr>
                              <w:rStyle w:val="hps"/>
                              <w:rFonts w:ascii="Cambria Math" w:hAnsi="Cambria Math"/>
                            </w:rPr>
                            <m:t>Brasil</m:t>
                          </m:r>
                        </m:sub>
                      </m:sSub>
                    </m:den>
                  </m:f>
                  <m:r>
                    <w:rPr>
                      <w:rStyle w:val="hps"/>
                      <w:rFonts w:ascii="Cambria Math" w:hAnsi="Cambria Math"/>
                    </w:rPr>
                    <m:t xml:space="preserve"> </m:t>
                  </m:r>
                  <m:nary>
                    <m:naryPr>
                      <m:chr m:val="∑"/>
                      <m:limLoc m:val="undOvr"/>
                      <m:supHide m:val="1"/>
                      <m:ctrlPr>
                        <w:rPr>
                          <w:rStyle w:val="hps"/>
                          <w:rFonts w:ascii="Cambria Math" w:hAnsi="Cambria Math"/>
                          <w:i/>
                        </w:rPr>
                      </m:ctrlPr>
                    </m:naryPr>
                    <m:sub>
                      <m:r>
                        <w:rPr>
                          <w:rStyle w:val="hps"/>
                          <w:rFonts w:ascii="Cambria Math" w:hAnsi="Cambria Math"/>
                        </w:rPr>
                        <m:t>i</m:t>
                      </m:r>
                    </m:sub>
                    <m:sup/>
                    <m:e>
                      <m:sSub>
                        <m:sSubPr>
                          <m:ctrlPr>
                            <w:rPr>
                              <w:rStyle w:val="hps"/>
                              <w:rFonts w:ascii="Cambria Math" w:hAnsi="Cambria Math"/>
                              <w:i/>
                            </w:rPr>
                          </m:ctrlPr>
                        </m:sSubPr>
                        <m:e>
                          <m:r>
                            <w:rPr>
                              <w:rStyle w:val="hps"/>
                              <w:rFonts w:ascii="Cambria Math" w:hAnsi="Cambria Math"/>
                            </w:rPr>
                            <m:t>X</m:t>
                          </m:r>
                        </m:e>
                        <m:sub>
                          <m:r>
                            <m:rPr>
                              <m:sty m:val="p"/>
                            </m:rPr>
                            <w:rPr>
                              <w:rStyle w:val="hps"/>
                              <w:rFonts w:ascii="Cambria Math" w:hAnsi="Cambria Math"/>
                            </w:rPr>
                            <m:t>pontomédio</m:t>
                          </m:r>
                        </m:sub>
                      </m:sSub>
                    </m:e>
                  </m:nary>
                  <m:sSub>
                    <m:sSubPr>
                      <m:ctrlPr>
                        <w:rPr>
                          <w:rStyle w:val="hps"/>
                          <w:rFonts w:ascii="Cambria Math" w:hAnsi="Cambria Math"/>
                          <w:i/>
                        </w:rPr>
                      </m:ctrlPr>
                    </m:sSubPr>
                    <m:e>
                      <m:r>
                        <w:rPr>
                          <w:rStyle w:val="hps"/>
                          <w:rFonts w:ascii="Cambria Math" w:hAnsi="Cambria Math"/>
                        </w:rPr>
                        <m:t>PIB</m:t>
                      </m:r>
                    </m:e>
                    <m:sub>
                      <m:r>
                        <m:rPr>
                          <m:sty m:val="p"/>
                        </m:rPr>
                        <w:rPr>
                          <w:rStyle w:val="hps"/>
                          <w:rFonts w:ascii="Cambria Math" w:hAnsi="Cambria Math"/>
                        </w:rPr>
                        <m:t>i</m:t>
                      </m:r>
                    </m:sub>
                  </m:sSub>
                </m:e>
              </m:d>
            </m:e>
          </m:nary>
        </m:oMath>
      </m:oMathPara>
    </w:p>
    <w:p w14:paraId="1D407FAA" w14:textId="77777777" w:rsidR="00875F5E" w:rsidRPr="009E39AF" w:rsidRDefault="00875F5E" w:rsidP="00F25AC8">
      <w:pPr>
        <w:spacing w:after="120"/>
        <w:ind w:firstLine="709"/>
        <w:jc w:val="both"/>
        <w:rPr>
          <w:rStyle w:val="hps"/>
        </w:rPr>
      </w:pPr>
      <w:r w:rsidRPr="009E39AF">
        <w:rPr>
          <w:rStyle w:val="hps"/>
        </w:rPr>
        <w:t xml:space="preserve">Ou seja, a coordenada </w:t>
      </w:r>
      <w:r w:rsidRPr="009E39AF">
        <w:rPr>
          <w:rStyle w:val="hps"/>
          <w:i/>
        </w:rPr>
        <w:t>X</w:t>
      </w:r>
      <w:r w:rsidRPr="009E39AF">
        <w:rPr>
          <w:rStyle w:val="hps"/>
        </w:rPr>
        <w:t xml:space="preserve"> do centro econômico</w:t>
      </w:r>
      <w:r>
        <w:rPr>
          <w:rStyle w:val="hps"/>
        </w:rPr>
        <w:t xml:space="preserve"> </w:t>
      </w:r>
      <w:r w:rsidRPr="009E39AF">
        <w:rPr>
          <w:rStyle w:val="hps"/>
        </w:rPr>
        <w:t xml:space="preserve">é a soma das coordenadas </w:t>
      </w:r>
      <w:r w:rsidRPr="009E39AF">
        <w:rPr>
          <w:rStyle w:val="hps"/>
          <w:i/>
        </w:rPr>
        <w:t>X</w:t>
      </w:r>
      <w:r w:rsidRPr="009E39AF">
        <w:rPr>
          <w:rStyle w:val="hps"/>
        </w:rPr>
        <w:t xml:space="preserve"> de todos os pontos médios entre o par formado pelo município </w:t>
      </w:r>
      <w:r w:rsidRPr="009E39AF">
        <w:rPr>
          <w:rStyle w:val="hps"/>
          <w:i/>
        </w:rPr>
        <w:t>j</w:t>
      </w:r>
      <w:r w:rsidRPr="009E39AF">
        <w:rPr>
          <w:rStyle w:val="hps"/>
        </w:rPr>
        <w:t xml:space="preserve"> e o país </w:t>
      </w:r>
      <w:r w:rsidRPr="009E39AF">
        <w:rPr>
          <w:rStyle w:val="hps"/>
          <w:i/>
        </w:rPr>
        <w:t>i</w:t>
      </w:r>
      <w:r w:rsidRPr="009E39AF">
        <w:rPr>
          <w:rStyle w:val="hps"/>
        </w:rPr>
        <w:t xml:space="preserve">, ponderada pelo PIB dos países parceiros, agregando essa soma por município, a qual é em seguida ponderada pela participação do PIB de cada município no PIB nacional. As coordenadas </w:t>
      </w:r>
      <w:r w:rsidRPr="009E39AF">
        <w:rPr>
          <w:rStyle w:val="hps"/>
          <w:i/>
        </w:rPr>
        <w:t>Y</w:t>
      </w:r>
      <w:r w:rsidRPr="009E39AF">
        <w:rPr>
          <w:rStyle w:val="hps"/>
        </w:rPr>
        <w:t xml:space="preserve"> e </w:t>
      </w:r>
      <w:r w:rsidRPr="009E39AF">
        <w:rPr>
          <w:rStyle w:val="hps"/>
          <w:i/>
        </w:rPr>
        <w:t>Z</w:t>
      </w:r>
      <w:r w:rsidRPr="009E39AF">
        <w:rPr>
          <w:rStyle w:val="hps"/>
        </w:rPr>
        <w:t xml:space="preserve"> são obtidas da mesma forma.</w:t>
      </w:r>
    </w:p>
    <w:p w14:paraId="4E6E6E47" w14:textId="77777777" w:rsidR="00875F5E" w:rsidRPr="009E39AF" w:rsidRDefault="00875F5E" w:rsidP="00F25AC8">
      <w:pPr>
        <w:spacing w:after="120"/>
        <w:jc w:val="both"/>
        <w:rPr>
          <w:rStyle w:val="hps"/>
        </w:rPr>
      </w:pPr>
      <w:r w:rsidRPr="009E39AF">
        <w:rPr>
          <w:rStyle w:val="hps"/>
        </w:rPr>
        <w:t>As coordenadas cartesianas do centro econômico e do ponto médio de cada par município–país são convertidas novamente em coordenadas geográficas em radianos e de volta em graus decimais, fazendo-se:</w:t>
      </w:r>
    </w:p>
    <w:p w14:paraId="7D898B9B" w14:textId="77777777" w:rsidR="00875F5E" w:rsidRPr="009E39AF" w:rsidRDefault="00875F5E" w:rsidP="00F25AC8">
      <w:pPr>
        <w:spacing w:after="120"/>
        <w:ind w:firstLine="709"/>
        <w:jc w:val="both"/>
        <w:rPr>
          <w:rStyle w:val="hps"/>
        </w:rPr>
      </w:pPr>
      <m:oMathPara>
        <m:oMath>
          <m:r>
            <w:rPr>
              <w:rStyle w:val="hps"/>
              <w:rFonts w:ascii="Cambria Math" w:hAnsi="Cambria Math"/>
            </w:rPr>
            <m:t xml:space="preserve">θ= </m:t>
          </m:r>
          <m:func>
            <m:funcPr>
              <m:ctrlPr>
                <w:rPr>
                  <w:rStyle w:val="hps"/>
                  <w:rFonts w:ascii="Cambria Math" w:hAnsi="Cambria Math"/>
                  <w:i/>
                </w:rPr>
              </m:ctrlPr>
            </m:funcPr>
            <m:fName>
              <m:sSup>
                <m:sSupPr>
                  <m:ctrlPr>
                    <w:rPr>
                      <w:rStyle w:val="hps"/>
                      <w:rFonts w:ascii="Cambria Math" w:hAnsi="Cambria Math"/>
                      <w:i/>
                    </w:rPr>
                  </m:ctrlPr>
                </m:sSupPr>
                <m:e>
                  <m:r>
                    <m:rPr>
                      <m:sty m:val="p"/>
                    </m:rPr>
                    <w:rPr>
                      <w:rStyle w:val="hps"/>
                      <w:rFonts w:ascii="Cambria Math" w:hAnsi="Cambria Math"/>
                    </w:rPr>
                    <m:t>sin</m:t>
                  </m:r>
                </m:e>
                <m:sup>
                  <m:r>
                    <w:rPr>
                      <w:rStyle w:val="hps"/>
                      <w:rFonts w:ascii="Cambria Math" w:hAnsi="Cambria Math"/>
                    </w:rPr>
                    <m:t>-1</m:t>
                  </m:r>
                </m:sup>
              </m:sSup>
            </m:fName>
            <m:e>
              <m:d>
                <m:dPr>
                  <m:ctrlPr>
                    <w:rPr>
                      <w:rStyle w:val="hps"/>
                      <w:rFonts w:ascii="Cambria Math" w:hAnsi="Cambria Math"/>
                      <w:i/>
                    </w:rPr>
                  </m:ctrlPr>
                </m:dPr>
                <m:e>
                  <m:f>
                    <m:fPr>
                      <m:ctrlPr>
                        <w:rPr>
                          <w:rStyle w:val="hps"/>
                          <w:rFonts w:ascii="Cambria Math" w:hAnsi="Cambria Math"/>
                          <w:i/>
                        </w:rPr>
                      </m:ctrlPr>
                    </m:fPr>
                    <m:num>
                      <m:sSub>
                        <m:sSubPr>
                          <m:ctrlPr>
                            <w:rPr>
                              <w:rStyle w:val="hps"/>
                              <w:rFonts w:ascii="Cambria Math" w:hAnsi="Cambria Math"/>
                              <w:i/>
                            </w:rPr>
                          </m:ctrlPr>
                        </m:sSubPr>
                        <m:e>
                          <m:r>
                            <w:rPr>
                              <w:rStyle w:val="hps"/>
                              <w:rFonts w:ascii="Cambria Math" w:hAnsi="Cambria Math"/>
                            </w:rPr>
                            <m:t>z</m:t>
                          </m:r>
                        </m:e>
                        <m:sub>
                          <m:r>
                            <m:rPr>
                              <m:sty m:val="p"/>
                            </m:rPr>
                            <w:rPr>
                              <w:rStyle w:val="hps"/>
                              <w:rFonts w:ascii="Cambria Math" w:hAnsi="Cambria Math"/>
                            </w:rPr>
                            <m:t>i</m:t>
                          </m:r>
                        </m:sub>
                      </m:sSub>
                    </m:num>
                    <m:den>
                      <m:rad>
                        <m:radPr>
                          <m:degHide m:val="1"/>
                          <m:ctrlPr>
                            <w:rPr>
                              <w:rStyle w:val="hps"/>
                              <w:rFonts w:ascii="Cambria Math" w:hAnsi="Cambria Math"/>
                              <w:i/>
                            </w:rPr>
                          </m:ctrlPr>
                        </m:radPr>
                        <m:deg/>
                        <m:e>
                          <m:sSubSup>
                            <m:sSubSupPr>
                              <m:ctrlPr>
                                <w:rPr>
                                  <w:rStyle w:val="hps"/>
                                  <w:rFonts w:ascii="Cambria Math" w:hAnsi="Cambria Math"/>
                                  <w:i/>
                                </w:rPr>
                              </m:ctrlPr>
                            </m:sSubSupPr>
                            <m:e>
                              <m:r>
                                <w:rPr>
                                  <w:rStyle w:val="hps"/>
                                  <w:rFonts w:ascii="Cambria Math" w:hAnsi="Cambria Math"/>
                                </w:rPr>
                                <m:t>x</m:t>
                              </m:r>
                            </m:e>
                            <m:sub>
                              <m:r>
                                <m:rPr>
                                  <m:sty m:val="p"/>
                                </m:rPr>
                                <w:rPr>
                                  <w:rStyle w:val="hps"/>
                                  <w:rFonts w:ascii="Cambria Math" w:hAnsi="Cambria Math"/>
                                </w:rPr>
                                <m:t>i</m:t>
                              </m:r>
                            </m:sub>
                            <m:sup>
                              <m:r>
                                <w:rPr>
                                  <w:rStyle w:val="hps"/>
                                  <w:rFonts w:ascii="Cambria Math" w:hAnsi="Cambria Math"/>
                                </w:rPr>
                                <m:t>2</m:t>
                              </m:r>
                            </m:sup>
                          </m:sSubSup>
                          <m:r>
                            <w:rPr>
                              <w:rStyle w:val="hps"/>
                              <w:rFonts w:ascii="Cambria Math" w:hAnsi="Cambria Math"/>
                            </w:rPr>
                            <m:t>+</m:t>
                          </m:r>
                          <m:sSubSup>
                            <m:sSubSupPr>
                              <m:ctrlPr>
                                <w:rPr>
                                  <w:rStyle w:val="hps"/>
                                  <w:rFonts w:ascii="Cambria Math" w:hAnsi="Cambria Math"/>
                                  <w:i/>
                                </w:rPr>
                              </m:ctrlPr>
                            </m:sSubSupPr>
                            <m:e>
                              <m:r>
                                <w:rPr>
                                  <w:rStyle w:val="hps"/>
                                  <w:rFonts w:ascii="Cambria Math" w:hAnsi="Cambria Math"/>
                                </w:rPr>
                                <m:t>y</m:t>
                              </m:r>
                            </m:e>
                            <m:sub>
                              <m:r>
                                <m:rPr>
                                  <m:sty m:val="p"/>
                                </m:rPr>
                                <w:rPr>
                                  <w:rStyle w:val="hps"/>
                                  <w:rFonts w:ascii="Cambria Math" w:hAnsi="Cambria Math"/>
                                </w:rPr>
                                <m:t>i</m:t>
                              </m:r>
                            </m:sub>
                            <m:sup>
                              <m:r>
                                <w:rPr>
                                  <w:rStyle w:val="hps"/>
                                  <w:rFonts w:ascii="Cambria Math" w:hAnsi="Cambria Math"/>
                                </w:rPr>
                                <m:t>2</m:t>
                              </m:r>
                            </m:sup>
                          </m:sSubSup>
                          <m:r>
                            <w:rPr>
                              <w:rStyle w:val="hps"/>
                              <w:rFonts w:ascii="Cambria Math" w:hAnsi="Cambria Math"/>
                            </w:rPr>
                            <m:t xml:space="preserve">+ </m:t>
                          </m:r>
                          <m:sSubSup>
                            <m:sSubSupPr>
                              <m:ctrlPr>
                                <w:rPr>
                                  <w:rStyle w:val="hps"/>
                                  <w:rFonts w:ascii="Cambria Math" w:hAnsi="Cambria Math"/>
                                  <w:i/>
                                </w:rPr>
                              </m:ctrlPr>
                            </m:sSubSupPr>
                            <m:e>
                              <m:r>
                                <w:rPr>
                                  <w:rStyle w:val="hps"/>
                                  <w:rFonts w:ascii="Cambria Math" w:hAnsi="Cambria Math"/>
                                </w:rPr>
                                <m:t>z</m:t>
                              </m:r>
                            </m:e>
                            <m:sub>
                              <m:r>
                                <m:rPr>
                                  <m:sty m:val="p"/>
                                </m:rPr>
                                <w:rPr>
                                  <w:rStyle w:val="hps"/>
                                  <w:rFonts w:ascii="Cambria Math" w:hAnsi="Cambria Math"/>
                                </w:rPr>
                                <m:t>i</m:t>
                              </m:r>
                            </m:sub>
                            <m:sup>
                              <m:r>
                                <w:rPr>
                                  <w:rStyle w:val="hps"/>
                                  <w:rFonts w:ascii="Cambria Math" w:hAnsi="Cambria Math"/>
                                </w:rPr>
                                <m:t>2</m:t>
                              </m:r>
                            </m:sup>
                          </m:sSubSup>
                        </m:e>
                      </m:rad>
                    </m:den>
                  </m:f>
                </m:e>
              </m:d>
            </m:e>
          </m:func>
        </m:oMath>
      </m:oMathPara>
    </w:p>
    <w:p w14:paraId="20BDB624" w14:textId="77777777" w:rsidR="00875F5E" w:rsidRPr="009E39AF" w:rsidRDefault="00875F5E" w:rsidP="00F25AC8">
      <w:pPr>
        <w:spacing w:after="120"/>
        <w:ind w:firstLine="709"/>
        <w:jc w:val="both"/>
        <w:rPr>
          <w:rStyle w:val="hps"/>
        </w:rPr>
      </w:pPr>
      <m:oMathPara>
        <m:oMath>
          <m:r>
            <w:rPr>
              <w:rStyle w:val="hps"/>
              <w:rFonts w:ascii="Cambria Math" w:hAnsi="Cambria Math"/>
            </w:rPr>
            <m:t xml:space="preserve">φ= </m:t>
          </m:r>
          <m:func>
            <m:funcPr>
              <m:ctrlPr>
                <w:rPr>
                  <w:rStyle w:val="hps"/>
                  <w:rFonts w:ascii="Cambria Math" w:hAnsi="Cambria Math"/>
                  <w:i/>
                </w:rPr>
              </m:ctrlPr>
            </m:funcPr>
            <m:fName>
              <m:sSup>
                <m:sSupPr>
                  <m:ctrlPr>
                    <w:rPr>
                      <w:rStyle w:val="hps"/>
                      <w:rFonts w:ascii="Cambria Math" w:hAnsi="Cambria Math"/>
                      <w:i/>
                    </w:rPr>
                  </m:ctrlPr>
                </m:sSupPr>
                <m:e>
                  <m:r>
                    <m:rPr>
                      <m:sty m:val="p"/>
                    </m:rPr>
                    <w:rPr>
                      <w:rStyle w:val="hps"/>
                      <w:rFonts w:ascii="Cambria Math" w:hAnsi="Cambria Math"/>
                    </w:rPr>
                    <m:t>tan</m:t>
                  </m:r>
                </m:e>
                <m:sup>
                  <m:r>
                    <w:rPr>
                      <w:rStyle w:val="hps"/>
                      <w:rFonts w:ascii="Cambria Math" w:hAnsi="Cambria Math"/>
                    </w:rPr>
                    <m:t>-1</m:t>
                  </m:r>
                </m:sup>
              </m:sSup>
            </m:fName>
            <m:e>
              <m:d>
                <m:dPr>
                  <m:ctrlPr>
                    <w:rPr>
                      <w:rStyle w:val="hps"/>
                      <w:rFonts w:ascii="Cambria Math" w:hAnsi="Cambria Math"/>
                      <w:i/>
                    </w:rPr>
                  </m:ctrlPr>
                </m:dPr>
                <m:e>
                  <m:f>
                    <m:fPr>
                      <m:ctrlPr>
                        <w:rPr>
                          <w:rStyle w:val="hps"/>
                          <w:rFonts w:ascii="Cambria Math" w:hAnsi="Cambria Math"/>
                          <w:i/>
                        </w:rPr>
                      </m:ctrlPr>
                    </m:fPr>
                    <m:num>
                      <m:sSub>
                        <m:sSubPr>
                          <m:ctrlPr>
                            <w:rPr>
                              <w:rStyle w:val="hps"/>
                              <w:rFonts w:ascii="Cambria Math" w:hAnsi="Cambria Math"/>
                              <w:i/>
                            </w:rPr>
                          </m:ctrlPr>
                        </m:sSubPr>
                        <m:e>
                          <m:r>
                            <w:rPr>
                              <w:rStyle w:val="hps"/>
                              <w:rFonts w:ascii="Cambria Math" w:hAnsi="Cambria Math"/>
                            </w:rPr>
                            <m:t>y</m:t>
                          </m:r>
                        </m:e>
                        <m:sub>
                          <m:r>
                            <m:rPr>
                              <m:sty m:val="p"/>
                            </m:rPr>
                            <w:rPr>
                              <w:rStyle w:val="hps"/>
                              <w:rFonts w:ascii="Cambria Math" w:hAnsi="Cambria Math"/>
                            </w:rPr>
                            <m:t>i</m:t>
                          </m:r>
                        </m:sub>
                      </m:sSub>
                    </m:num>
                    <m:den>
                      <m:sSub>
                        <m:sSubPr>
                          <m:ctrlPr>
                            <w:rPr>
                              <w:rStyle w:val="hps"/>
                              <w:rFonts w:ascii="Cambria Math" w:hAnsi="Cambria Math"/>
                              <w:i/>
                            </w:rPr>
                          </m:ctrlPr>
                        </m:sSubPr>
                        <m:e>
                          <m:r>
                            <w:rPr>
                              <w:rStyle w:val="hps"/>
                              <w:rFonts w:ascii="Cambria Math" w:hAnsi="Cambria Math"/>
                            </w:rPr>
                            <m:t>x</m:t>
                          </m:r>
                        </m:e>
                        <m:sub>
                          <m:r>
                            <m:rPr>
                              <m:sty m:val="p"/>
                            </m:rPr>
                            <w:rPr>
                              <w:rStyle w:val="hps"/>
                              <w:rFonts w:ascii="Cambria Math" w:hAnsi="Cambria Math"/>
                            </w:rPr>
                            <m:t>i</m:t>
                          </m:r>
                        </m:sub>
                      </m:sSub>
                    </m:den>
                  </m:f>
                </m:e>
              </m:d>
            </m:e>
          </m:func>
        </m:oMath>
      </m:oMathPara>
    </w:p>
    <w:p w14:paraId="29014E3C" w14:textId="77777777" w:rsidR="00875F5E" w:rsidRPr="009E39AF" w:rsidRDefault="00875F5E" w:rsidP="00F25AC8">
      <w:pPr>
        <w:spacing w:after="120"/>
        <w:jc w:val="both"/>
        <w:rPr>
          <w:rStyle w:val="hps"/>
        </w:rPr>
      </w:pPr>
      <w:r w:rsidRPr="009E39AF">
        <w:rPr>
          <w:rStyle w:val="hps"/>
        </w:rPr>
        <w:t>Por último, foram calculadas as arcodistâncias</w:t>
      </w:r>
      <w:r>
        <w:rPr>
          <w:rStyle w:val="hps"/>
        </w:rPr>
        <w:t xml:space="preserve"> (distância</w:t>
      </w:r>
      <w:r w:rsidRPr="009E39AF">
        <w:rPr>
          <w:rStyle w:val="hps"/>
        </w:rPr>
        <w:t>s</w:t>
      </w:r>
      <w:r>
        <w:rPr>
          <w:rStyle w:val="hps"/>
        </w:rPr>
        <w:t xml:space="preserve"> </w:t>
      </w:r>
      <w:r w:rsidRPr="009E39AF">
        <w:rPr>
          <w:rStyle w:val="hps"/>
        </w:rPr>
        <w:t>de grande círculo) entre o ponto médio de cada par município–país e o centro econômico, obtendo-se a variável ‘distância relativa’ (DR). Essa distância é obtida utilizando-se a seguinte fórmula:</w:t>
      </w:r>
    </w:p>
    <w:p w14:paraId="32230E64" w14:textId="77777777" w:rsidR="00875F5E" w:rsidRPr="009E39AF" w:rsidRDefault="00F25AC8" w:rsidP="00F25AC8">
      <w:pPr>
        <w:spacing w:after="120"/>
        <w:jc w:val="both"/>
        <w:rPr>
          <w:rStyle w:val="hps"/>
        </w:rPr>
      </w:pPr>
      <m:oMathPara>
        <m:oMath>
          <m:sSub>
            <m:sSubPr>
              <m:ctrlPr>
                <w:rPr>
                  <w:rStyle w:val="hps"/>
                  <w:rFonts w:ascii="Cambria Math" w:hAnsi="Cambria Math"/>
                  <w:i/>
                </w:rPr>
              </m:ctrlPr>
            </m:sSubPr>
            <m:e>
              <m:r>
                <w:rPr>
                  <w:rStyle w:val="hps"/>
                  <w:rFonts w:ascii="Cambria Math" w:hAnsi="Cambria Math"/>
                </w:rPr>
                <m:t>DR</m:t>
              </m:r>
            </m:e>
            <m:sub>
              <m:r>
                <m:rPr>
                  <m:sty m:val="p"/>
                </m:rPr>
                <w:rPr>
                  <w:rStyle w:val="hps"/>
                  <w:rFonts w:ascii="Cambria Math" w:hAnsi="Cambria Math"/>
                </w:rPr>
                <m:t>i</m:t>
              </m:r>
            </m:sub>
          </m:sSub>
          <m:r>
            <w:rPr>
              <w:rStyle w:val="hps"/>
              <w:rFonts w:ascii="Cambria Math" w:hAnsi="Cambria Math"/>
            </w:rPr>
            <m:t>=6371.</m:t>
          </m:r>
          <m:func>
            <m:funcPr>
              <m:ctrlPr>
                <w:rPr>
                  <w:rStyle w:val="hps"/>
                  <w:rFonts w:ascii="Cambria Math" w:hAnsi="Cambria Math"/>
                  <w:i/>
                </w:rPr>
              </m:ctrlPr>
            </m:funcPr>
            <m:fName>
              <m:sSup>
                <m:sSupPr>
                  <m:ctrlPr>
                    <w:rPr>
                      <w:rStyle w:val="hps"/>
                      <w:rFonts w:ascii="Cambria Math" w:hAnsi="Cambria Math"/>
                      <w:i/>
                    </w:rPr>
                  </m:ctrlPr>
                </m:sSupPr>
                <m:e>
                  <m:r>
                    <m:rPr>
                      <m:sty m:val="p"/>
                    </m:rPr>
                    <w:rPr>
                      <w:rStyle w:val="hps"/>
                      <w:rFonts w:ascii="Cambria Math" w:hAnsi="Cambria Math"/>
                    </w:rPr>
                    <m:t>cos</m:t>
                  </m:r>
                </m:e>
                <m:sup>
                  <m:r>
                    <w:rPr>
                      <w:rStyle w:val="hps"/>
                      <w:rFonts w:ascii="Cambria Math" w:hAnsi="Cambria Math"/>
                    </w:rPr>
                    <m:t>-1</m:t>
                  </m:r>
                </m:sup>
              </m:sSup>
            </m:fName>
            <m:e>
              <m:d>
                <m:dPr>
                  <m:begChr m:val="{"/>
                  <m:endChr m:val="}"/>
                  <m:ctrlPr>
                    <w:rPr>
                      <w:rStyle w:val="hps"/>
                      <w:rFonts w:ascii="Cambria Math" w:hAnsi="Cambria Math"/>
                      <w:i/>
                    </w:rPr>
                  </m:ctrlPr>
                </m:dPr>
                <m:e>
                  <m:func>
                    <m:funcPr>
                      <m:ctrlPr>
                        <w:rPr>
                          <w:rStyle w:val="hps"/>
                          <w:rFonts w:ascii="Cambria Math" w:hAnsi="Cambria Math"/>
                          <w:i/>
                        </w:rPr>
                      </m:ctrlPr>
                    </m:funcPr>
                    <m:fName>
                      <m:r>
                        <m:rPr>
                          <m:sty m:val="p"/>
                        </m:rPr>
                        <w:rPr>
                          <w:rStyle w:val="hps"/>
                          <w:rFonts w:ascii="Cambria Math" w:hAnsi="Cambria Math"/>
                        </w:rPr>
                        <m:t>cos</m:t>
                      </m:r>
                    </m:fName>
                    <m:e>
                      <m:d>
                        <m:dPr>
                          <m:begChr m:val="["/>
                          <m:endChr m:val="]"/>
                          <m:ctrlPr>
                            <w:rPr>
                              <w:rStyle w:val="hps"/>
                              <w:rFonts w:ascii="Cambria Math" w:hAnsi="Cambria Math"/>
                              <w:i/>
                            </w:rPr>
                          </m:ctrlPr>
                        </m:dPr>
                        <m:e>
                          <m:r>
                            <w:rPr>
                              <w:rStyle w:val="hps"/>
                              <w:rFonts w:ascii="Cambria Math" w:hAnsi="Cambria Math"/>
                            </w:rPr>
                            <m:t>π.</m:t>
                          </m:r>
                          <m:d>
                            <m:dPr>
                              <m:ctrlPr>
                                <w:rPr>
                                  <w:rStyle w:val="hps"/>
                                  <w:rFonts w:ascii="Cambria Math" w:hAnsi="Cambria Math"/>
                                  <w:i/>
                                </w:rPr>
                              </m:ctrlPr>
                            </m:dPr>
                            <m:e>
                              <m:f>
                                <m:fPr>
                                  <m:ctrlPr>
                                    <w:rPr>
                                      <w:rStyle w:val="hps"/>
                                      <w:rFonts w:ascii="Cambria Math" w:hAnsi="Cambria Math"/>
                                      <w:i/>
                                    </w:rPr>
                                  </m:ctrlPr>
                                </m:fPr>
                                <m:num>
                                  <m:r>
                                    <w:rPr>
                                      <w:rStyle w:val="hps"/>
                                      <w:rFonts w:ascii="Cambria Math" w:hAnsi="Cambria Math"/>
                                    </w:rPr>
                                    <m:t>90-</m:t>
                                  </m:r>
                                  <m:sSub>
                                    <m:sSubPr>
                                      <m:ctrlPr>
                                        <w:rPr>
                                          <w:rStyle w:val="hps"/>
                                          <w:rFonts w:ascii="Cambria Math" w:hAnsi="Cambria Math"/>
                                          <w:i/>
                                        </w:rPr>
                                      </m:ctrlPr>
                                    </m:sSubPr>
                                    <m:e>
                                      <m:r>
                                        <w:rPr>
                                          <w:rStyle w:val="hps"/>
                                          <w:rFonts w:ascii="Cambria Math" w:hAnsi="Cambria Math"/>
                                        </w:rPr>
                                        <m:t>θ</m:t>
                                      </m:r>
                                    </m:e>
                                    <m:sub>
                                      <m:r>
                                        <m:rPr>
                                          <m:sty m:val="p"/>
                                        </m:rPr>
                                        <w:rPr>
                                          <w:rStyle w:val="hps"/>
                                          <w:rFonts w:ascii="Cambria Math" w:hAnsi="Cambria Math"/>
                                        </w:rPr>
                                        <m:t>j</m:t>
                                      </m:r>
                                    </m:sub>
                                  </m:sSub>
                                </m:num>
                                <m:den>
                                  <m:r>
                                    <w:rPr>
                                      <w:rStyle w:val="hps"/>
                                      <w:rFonts w:ascii="Cambria Math" w:hAnsi="Cambria Math"/>
                                    </w:rPr>
                                    <m:t>180</m:t>
                                  </m:r>
                                </m:den>
                              </m:f>
                            </m:e>
                          </m:d>
                        </m:e>
                      </m:d>
                      <m:r>
                        <w:rPr>
                          <w:rStyle w:val="hps"/>
                          <w:rFonts w:ascii="Cambria Math" w:hAnsi="Cambria Math"/>
                        </w:rPr>
                        <m:t>.</m:t>
                      </m:r>
                      <m:func>
                        <m:funcPr>
                          <m:ctrlPr>
                            <w:rPr>
                              <w:rStyle w:val="hps"/>
                              <w:rFonts w:ascii="Cambria Math" w:hAnsi="Cambria Math"/>
                              <w:i/>
                            </w:rPr>
                          </m:ctrlPr>
                        </m:funcPr>
                        <m:fName>
                          <m:r>
                            <m:rPr>
                              <m:sty m:val="p"/>
                            </m:rPr>
                            <w:rPr>
                              <w:rStyle w:val="hps"/>
                              <w:rFonts w:ascii="Cambria Math" w:hAnsi="Cambria Math"/>
                            </w:rPr>
                            <m:t>cos</m:t>
                          </m:r>
                        </m:fName>
                        <m:e>
                          <m:d>
                            <m:dPr>
                              <m:begChr m:val="["/>
                              <m:endChr m:val="]"/>
                              <m:ctrlPr>
                                <w:rPr>
                                  <w:rStyle w:val="hps"/>
                                  <w:rFonts w:ascii="Cambria Math" w:hAnsi="Cambria Math"/>
                                  <w:i/>
                                </w:rPr>
                              </m:ctrlPr>
                            </m:dPr>
                            <m:e>
                              <m:d>
                                <m:dPr>
                                  <m:ctrlPr>
                                    <w:rPr>
                                      <w:rStyle w:val="hps"/>
                                      <w:rFonts w:ascii="Cambria Math" w:hAnsi="Cambria Math"/>
                                      <w:i/>
                                    </w:rPr>
                                  </m:ctrlPr>
                                </m:dPr>
                                <m:e>
                                  <m:r>
                                    <w:rPr>
                                      <w:rStyle w:val="hps"/>
                                      <w:rFonts w:ascii="Cambria Math" w:hAnsi="Cambria Math"/>
                                    </w:rPr>
                                    <m:t>90-</m:t>
                                  </m:r>
                                  <m:sSub>
                                    <m:sSubPr>
                                      <m:ctrlPr>
                                        <w:rPr>
                                          <w:rStyle w:val="hps"/>
                                          <w:rFonts w:ascii="Cambria Math" w:hAnsi="Cambria Math"/>
                                          <w:i/>
                                        </w:rPr>
                                      </m:ctrlPr>
                                    </m:sSubPr>
                                    <m:e>
                                      <m:r>
                                        <w:rPr>
                                          <w:rStyle w:val="hps"/>
                                          <w:rFonts w:ascii="Cambria Math" w:hAnsi="Cambria Math"/>
                                        </w:rPr>
                                        <m:t>θ</m:t>
                                      </m:r>
                                    </m:e>
                                    <m:sub>
                                      <m:r>
                                        <w:rPr>
                                          <w:rStyle w:val="hps"/>
                                          <w:rFonts w:ascii="Cambria Math" w:hAnsi="Cambria Math"/>
                                        </w:rPr>
                                        <m:t>I</m:t>
                                      </m:r>
                                    </m:sub>
                                  </m:sSub>
                                </m:e>
                              </m:d>
                              <m:r>
                                <w:rPr>
                                  <w:rStyle w:val="hps"/>
                                  <w:rFonts w:ascii="Cambria Math" w:hAnsi="Cambria Math"/>
                                </w:rPr>
                                <m:t>.</m:t>
                              </m:r>
                              <m:f>
                                <m:fPr>
                                  <m:ctrlPr>
                                    <w:rPr>
                                      <w:rStyle w:val="hps"/>
                                      <w:rFonts w:ascii="Cambria Math" w:hAnsi="Cambria Math"/>
                                      <w:i/>
                                    </w:rPr>
                                  </m:ctrlPr>
                                </m:fPr>
                                <m:num>
                                  <m:r>
                                    <w:rPr>
                                      <w:rStyle w:val="hps"/>
                                      <w:rFonts w:ascii="Cambria Math" w:hAnsi="Cambria Math"/>
                                    </w:rPr>
                                    <m:t>π</m:t>
                                  </m:r>
                                </m:num>
                                <m:den>
                                  <m:r>
                                    <w:rPr>
                                      <w:rStyle w:val="hps"/>
                                      <w:rFonts w:ascii="Cambria Math" w:hAnsi="Cambria Math"/>
                                    </w:rPr>
                                    <m:t>180</m:t>
                                  </m:r>
                                </m:den>
                              </m:f>
                            </m:e>
                          </m:d>
                          <m:r>
                            <w:rPr>
                              <w:rStyle w:val="hps"/>
                              <w:rFonts w:ascii="Cambria Math" w:hAnsi="Cambria Math"/>
                            </w:rPr>
                            <m:t>+</m:t>
                          </m:r>
                          <m:func>
                            <m:funcPr>
                              <m:ctrlPr>
                                <w:rPr>
                                  <w:rStyle w:val="hps"/>
                                  <w:rFonts w:ascii="Cambria Math" w:hAnsi="Cambria Math"/>
                                  <w:i/>
                                </w:rPr>
                              </m:ctrlPr>
                            </m:funcPr>
                            <m:fName>
                              <m:r>
                                <m:rPr>
                                  <m:sty m:val="p"/>
                                </m:rPr>
                                <w:rPr>
                                  <w:rStyle w:val="hps"/>
                                  <w:rFonts w:ascii="Cambria Math" w:hAnsi="Cambria Math"/>
                                </w:rPr>
                                <m:t>sin</m:t>
                              </m:r>
                            </m:fName>
                            <m:e>
                              <m:d>
                                <m:dPr>
                                  <m:begChr m:val="["/>
                                  <m:endChr m:val="]"/>
                                  <m:ctrlPr>
                                    <w:rPr>
                                      <w:rStyle w:val="hps"/>
                                      <w:rFonts w:ascii="Cambria Math" w:hAnsi="Cambria Math"/>
                                      <w:i/>
                                    </w:rPr>
                                  </m:ctrlPr>
                                </m:dPr>
                                <m:e>
                                  <m:d>
                                    <m:dPr>
                                      <m:ctrlPr>
                                        <w:rPr>
                                          <w:rStyle w:val="hps"/>
                                          <w:rFonts w:ascii="Cambria Math" w:hAnsi="Cambria Math"/>
                                          <w:i/>
                                        </w:rPr>
                                      </m:ctrlPr>
                                    </m:dPr>
                                    <m:e>
                                      <m:r>
                                        <w:rPr>
                                          <w:rStyle w:val="hps"/>
                                          <w:rFonts w:ascii="Cambria Math" w:hAnsi="Cambria Math"/>
                                        </w:rPr>
                                        <m:t>90-</m:t>
                                      </m:r>
                                      <m:sSub>
                                        <m:sSubPr>
                                          <m:ctrlPr>
                                            <w:rPr>
                                              <w:rStyle w:val="hps"/>
                                              <w:rFonts w:ascii="Cambria Math" w:hAnsi="Cambria Math"/>
                                              <w:i/>
                                            </w:rPr>
                                          </m:ctrlPr>
                                        </m:sSubPr>
                                        <m:e>
                                          <m:r>
                                            <w:rPr>
                                              <w:rStyle w:val="hps"/>
                                              <w:rFonts w:ascii="Cambria Math" w:hAnsi="Cambria Math"/>
                                            </w:rPr>
                                            <m:t>θ</m:t>
                                          </m:r>
                                        </m:e>
                                        <m:sub>
                                          <m:r>
                                            <w:rPr>
                                              <w:rStyle w:val="hps"/>
                                              <w:rFonts w:ascii="Cambria Math" w:hAnsi="Cambria Math"/>
                                            </w:rPr>
                                            <m:t>J</m:t>
                                          </m:r>
                                        </m:sub>
                                      </m:sSub>
                                    </m:e>
                                  </m:d>
                                  <m:r>
                                    <w:rPr>
                                      <w:rStyle w:val="hps"/>
                                      <w:rFonts w:ascii="Cambria Math" w:hAnsi="Cambria Math"/>
                                    </w:rPr>
                                    <m:t>.</m:t>
                                  </m:r>
                                  <m:f>
                                    <m:fPr>
                                      <m:ctrlPr>
                                        <w:rPr>
                                          <w:rStyle w:val="hps"/>
                                          <w:rFonts w:ascii="Cambria Math" w:hAnsi="Cambria Math"/>
                                          <w:i/>
                                        </w:rPr>
                                      </m:ctrlPr>
                                    </m:fPr>
                                    <m:num>
                                      <m:r>
                                        <w:rPr>
                                          <w:rStyle w:val="hps"/>
                                          <w:rFonts w:ascii="Cambria Math" w:hAnsi="Cambria Math"/>
                                        </w:rPr>
                                        <m:t>π</m:t>
                                      </m:r>
                                    </m:num>
                                    <m:den>
                                      <m:r>
                                        <w:rPr>
                                          <w:rStyle w:val="hps"/>
                                          <w:rFonts w:ascii="Cambria Math" w:hAnsi="Cambria Math"/>
                                        </w:rPr>
                                        <m:t>180</m:t>
                                      </m:r>
                                    </m:den>
                                  </m:f>
                                </m:e>
                              </m:d>
                            </m:e>
                          </m:func>
                        </m:e>
                      </m:func>
                    </m:e>
                  </m:func>
                  <m:r>
                    <w:rPr>
                      <w:rStyle w:val="hps"/>
                      <w:rFonts w:ascii="Cambria Math" w:hAnsi="Cambria Math"/>
                    </w:rPr>
                    <m:t>.</m:t>
                  </m:r>
                  <m:func>
                    <m:funcPr>
                      <m:ctrlPr>
                        <w:rPr>
                          <w:rStyle w:val="hps"/>
                          <w:rFonts w:ascii="Cambria Math" w:hAnsi="Cambria Math"/>
                          <w:i/>
                        </w:rPr>
                      </m:ctrlPr>
                    </m:funcPr>
                    <m:fName>
                      <m:r>
                        <m:rPr>
                          <m:sty m:val="p"/>
                        </m:rPr>
                        <w:rPr>
                          <w:rStyle w:val="hps"/>
                          <w:rFonts w:ascii="Cambria Math" w:hAnsi="Cambria Math"/>
                        </w:rPr>
                        <m:t>sin</m:t>
                      </m:r>
                    </m:fName>
                    <m:e>
                      <m:d>
                        <m:dPr>
                          <m:begChr m:val="["/>
                          <m:endChr m:val="]"/>
                          <m:ctrlPr>
                            <w:rPr>
                              <w:rStyle w:val="hps"/>
                              <w:rFonts w:ascii="Cambria Math" w:hAnsi="Cambria Math"/>
                              <w:i/>
                            </w:rPr>
                          </m:ctrlPr>
                        </m:dPr>
                        <m:e>
                          <m:d>
                            <m:dPr>
                              <m:ctrlPr>
                                <w:rPr>
                                  <w:rStyle w:val="hps"/>
                                  <w:rFonts w:ascii="Cambria Math" w:hAnsi="Cambria Math"/>
                                  <w:i/>
                                </w:rPr>
                              </m:ctrlPr>
                            </m:dPr>
                            <m:e>
                              <m:r>
                                <w:rPr>
                                  <w:rStyle w:val="hps"/>
                                  <w:rFonts w:ascii="Cambria Math" w:hAnsi="Cambria Math"/>
                                </w:rPr>
                                <m:t>90-</m:t>
                              </m:r>
                              <m:sSub>
                                <m:sSubPr>
                                  <m:ctrlPr>
                                    <w:rPr>
                                      <w:rStyle w:val="hps"/>
                                      <w:rFonts w:ascii="Cambria Math" w:hAnsi="Cambria Math"/>
                                      <w:i/>
                                    </w:rPr>
                                  </m:ctrlPr>
                                </m:sSubPr>
                                <m:e>
                                  <m:r>
                                    <w:rPr>
                                      <w:rStyle w:val="hps"/>
                                      <w:rFonts w:ascii="Cambria Math" w:hAnsi="Cambria Math"/>
                                    </w:rPr>
                                    <m:t>θ</m:t>
                                  </m:r>
                                </m:e>
                                <m:sub>
                                  <m:r>
                                    <w:rPr>
                                      <w:rStyle w:val="hps"/>
                                      <w:rFonts w:ascii="Cambria Math" w:hAnsi="Cambria Math"/>
                                    </w:rPr>
                                    <m:t>i</m:t>
                                  </m:r>
                                </m:sub>
                              </m:sSub>
                            </m:e>
                          </m:d>
                          <m:r>
                            <w:rPr>
                              <w:rStyle w:val="hps"/>
                              <w:rFonts w:ascii="Cambria Math" w:hAnsi="Cambria Math"/>
                            </w:rPr>
                            <m:t>.</m:t>
                          </m:r>
                          <m:f>
                            <m:fPr>
                              <m:ctrlPr>
                                <w:rPr>
                                  <w:rStyle w:val="hps"/>
                                  <w:rFonts w:ascii="Cambria Math" w:hAnsi="Cambria Math"/>
                                  <w:i/>
                                </w:rPr>
                              </m:ctrlPr>
                            </m:fPr>
                            <m:num>
                              <m:r>
                                <w:rPr>
                                  <w:rStyle w:val="hps"/>
                                  <w:rFonts w:ascii="Cambria Math" w:hAnsi="Cambria Math"/>
                                </w:rPr>
                                <m:t>π</m:t>
                              </m:r>
                            </m:num>
                            <m:den>
                              <m:r>
                                <w:rPr>
                                  <w:rStyle w:val="hps"/>
                                  <w:rFonts w:ascii="Cambria Math" w:hAnsi="Cambria Math"/>
                                </w:rPr>
                                <m:t>180</m:t>
                              </m:r>
                            </m:den>
                          </m:f>
                        </m:e>
                      </m:d>
                      <m:r>
                        <w:rPr>
                          <w:rStyle w:val="hps"/>
                          <w:rFonts w:ascii="Cambria Math" w:hAnsi="Cambria Math"/>
                        </w:rPr>
                        <m:t>.</m:t>
                      </m:r>
                      <m:func>
                        <m:funcPr>
                          <m:ctrlPr>
                            <w:rPr>
                              <w:rStyle w:val="hps"/>
                              <w:rFonts w:ascii="Cambria Math" w:hAnsi="Cambria Math"/>
                              <w:i/>
                            </w:rPr>
                          </m:ctrlPr>
                        </m:funcPr>
                        <m:fName>
                          <m:r>
                            <m:rPr>
                              <m:sty m:val="p"/>
                            </m:rPr>
                            <w:rPr>
                              <w:rStyle w:val="hps"/>
                              <w:rFonts w:ascii="Cambria Math" w:hAnsi="Cambria Math"/>
                            </w:rPr>
                            <m:t>cos</m:t>
                          </m:r>
                        </m:fName>
                        <m:e>
                          <m:d>
                            <m:dPr>
                              <m:begChr m:val="["/>
                              <m:endChr m:val="]"/>
                              <m:ctrlPr>
                                <w:rPr>
                                  <w:rStyle w:val="hps"/>
                                  <w:rFonts w:ascii="Cambria Math" w:hAnsi="Cambria Math"/>
                                  <w:i/>
                                </w:rPr>
                              </m:ctrlPr>
                            </m:dPr>
                            <m:e>
                              <m:d>
                                <m:dPr>
                                  <m:ctrlPr>
                                    <w:rPr>
                                      <w:rStyle w:val="hps"/>
                                      <w:rFonts w:ascii="Cambria Math" w:hAnsi="Cambria Math"/>
                                      <w:i/>
                                    </w:rPr>
                                  </m:ctrlPr>
                                </m:dPr>
                                <m:e>
                                  <m:sSub>
                                    <m:sSubPr>
                                      <m:ctrlPr>
                                        <w:rPr>
                                          <w:rStyle w:val="hps"/>
                                          <w:rFonts w:ascii="Cambria Math" w:hAnsi="Cambria Math"/>
                                          <w:i/>
                                        </w:rPr>
                                      </m:ctrlPr>
                                    </m:sSubPr>
                                    <m:e>
                                      <m:r>
                                        <w:rPr>
                                          <w:rStyle w:val="hps"/>
                                          <w:rFonts w:ascii="Cambria Math" w:hAnsi="Cambria Math"/>
                                        </w:rPr>
                                        <m:t>φ</m:t>
                                      </m:r>
                                    </m:e>
                                    <m:sub>
                                      <m:r>
                                        <m:rPr>
                                          <m:sty m:val="p"/>
                                        </m:rPr>
                                        <w:rPr>
                                          <w:rStyle w:val="hps"/>
                                          <w:rFonts w:ascii="Cambria Math" w:hAnsi="Cambria Math"/>
                                        </w:rPr>
                                        <m:t>i</m:t>
                                      </m:r>
                                    </m:sub>
                                  </m:sSub>
                                  <m:r>
                                    <w:rPr>
                                      <w:rStyle w:val="hps"/>
                                      <w:rFonts w:ascii="Cambria Math" w:hAnsi="Cambria Math"/>
                                    </w:rPr>
                                    <m:t>-</m:t>
                                  </m:r>
                                  <m:sSub>
                                    <m:sSubPr>
                                      <m:ctrlPr>
                                        <w:rPr>
                                          <w:rStyle w:val="hps"/>
                                          <w:rFonts w:ascii="Cambria Math" w:hAnsi="Cambria Math"/>
                                          <w:i/>
                                        </w:rPr>
                                      </m:ctrlPr>
                                    </m:sSubPr>
                                    <m:e>
                                      <m:r>
                                        <w:rPr>
                                          <w:rStyle w:val="hps"/>
                                          <w:rFonts w:ascii="Cambria Math" w:hAnsi="Cambria Math"/>
                                        </w:rPr>
                                        <m:t>φ</m:t>
                                      </m:r>
                                    </m:e>
                                    <m:sub>
                                      <m:r>
                                        <m:rPr>
                                          <m:sty m:val="p"/>
                                        </m:rPr>
                                        <w:rPr>
                                          <w:rStyle w:val="hps"/>
                                          <w:rFonts w:ascii="Cambria Math" w:hAnsi="Cambria Math"/>
                                        </w:rPr>
                                        <m:t>j</m:t>
                                      </m:r>
                                    </m:sub>
                                  </m:sSub>
                                </m:e>
                              </m:d>
                              <m:r>
                                <w:rPr>
                                  <w:rStyle w:val="hps"/>
                                  <w:rFonts w:ascii="Cambria Math" w:hAnsi="Cambria Math"/>
                                </w:rPr>
                                <m:t>.</m:t>
                              </m:r>
                              <m:f>
                                <m:fPr>
                                  <m:ctrlPr>
                                    <w:rPr>
                                      <w:rStyle w:val="hps"/>
                                      <w:rFonts w:ascii="Cambria Math" w:hAnsi="Cambria Math"/>
                                      <w:i/>
                                    </w:rPr>
                                  </m:ctrlPr>
                                </m:fPr>
                                <m:num>
                                  <m:r>
                                    <w:rPr>
                                      <w:rStyle w:val="hps"/>
                                      <w:rFonts w:ascii="Cambria Math" w:hAnsi="Cambria Math"/>
                                    </w:rPr>
                                    <m:t>π</m:t>
                                  </m:r>
                                </m:num>
                                <m:den>
                                  <m:r>
                                    <w:rPr>
                                      <w:rStyle w:val="hps"/>
                                      <w:rFonts w:ascii="Cambria Math" w:hAnsi="Cambria Math"/>
                                    </w:rPr>
                                    <m:t>180</m:t>
                                  </m:r>
                                </m:den>
                              </m:f>
                            </m:e>
                          </m:d>
                        </m:e>
                      </m:func>
                    </m:e>
                  </m:func>
                </m:e>
              </m:d>
            </m:e>
          </m:func>
        </m:oMath>
      </m:oMathPara>
    </w:p>
    <w:p w14:paraId="05EBEDD2" w14:textId="77777777" w:rsidR="00875F5E" w:rsidRPr="009E39AF" w:rsidRDefault="00875F5E" w:rsidP="00F25AC8">
      <w:pPr>
        <w:spacing w:after="120"/>
        <w:jc w:val="both"/>
        <w:rPr>
          <w:rStyle w:val="hps"/>
        </w:rPr>
      </w:pPr>
      <w:r w:rsidRPr="009E39AF">
        <w:rPr>
          <w:rStyle w:val="hps"/>
        </w:rPr>
        <w:t xml:space="preserve">onde </w:t>
      </w:r>
      <w:r w:rsidRPr="009E39AF">
        <w:rPr>
          <w:rStyle w:val="hps"/>
          <w:i/>
        </w:rPr>
        <w:t>j</w:t>
      </w:r>
      <w:r w:rsidRPr="009E39AF">
        <w:rPr>
          <w:rStyle w:val="hps"/>
        </w:rPr>
        <w:t xml:space="preserve"> denota a coordenada do município e </w:t>
      </w:r>
      <w:r w:rsidRPr="009E39AF">
        <w:rPr>
          <w:rStyle w:val="hps"/>
          <w:i/>
        </w:rPr>
        <w:t>i</w:t>
      </w:r>
      <w:r w:rsidRPr="009E39AF">
        <w:rPr>
          <w:rStyle w:val="hps"/>
        </w:rPr>
        <w:t xml:space="preserve"> a coordenada do país parceiro. O raio de 6.371 é utilizado para obter a distância em km.</w:t>
      </w:r>
    </w:p>
    <w:p w14:paraId="5B07A992" w14:textId="1187298A" w:rsidR="00FD72D7" w:rsidRDefault="00875F5E" w:rsidP="00F25AC8">
      <w:pPr>
        <w:spacing w:after="120"/>
        <w:jc w:val="both"/>
        <w:sectPr w:rsidR="00FD72D7" w:rsidSect="00F25AC8">
          <w:pgSz w:w="11906" w:h="16838"/>
          <w:pgMar w:top="1134" w:right="851" w:bottom="1134" w:left="851" w:header="709" w:footer="709" w:gutter="0"/>
          <w:cols w:space="708"/>
          <w:docGrid w:linePitch="360"/>
        </w:sectPr>
      </w:pPr>
      <w:r w:rsidRPr="009E39AF">
        <w:rPr>
          <w:rStyle w:val="hps"/>
        </w:rPr>
        <w:t>Como resultado, o centro econômico em 2000 se localizava no Oceano Atlântico acima do Suriname nas coordenadas 12,04°N e 54,58°W e em 2010 se deslocou para baixo e em direção a leste cerca de 8°, a 11,5°N e 48,20°W. Esse deslocamento em direção a leste indica a influência da Ásia como principal destino das exportações municipais.</w:t>
      </w:r>
    </w:p>
    <w:p w14:paraId="4A45A6FD" w14:textId="0DC5C208" w:rsidR="004D0B96" w:rsidRDefault="004D0B96" w:rsidP="00F25AC8">
      <w:pPr>
        <w:pStyle w:val="Ttulo"/>
        <w:spacing w:before="0" w:after="120"/>
      </w:pPr>
      <w:bookmarkStart w:id="33" w:name="_Ref449339345"/>
      <w:r>
        <w:lastRenderedPageBreak/>
        <w:t>Anexo</w:t>
      </w:r>
    </w:p>
    <w:p w14:paraId="384A54E7" w14:textId="29AF6F18" w:rsidR="00875F5E" w:rsidRPr="009E39AF" w:rsidRDefault="00875F5E" w:rsidP="00F25AC8">
      <w:pPr>
        <w:pStyle w:val="Legenda"/>
        <w:spacing w:after="120"/>
      </w:pPr>
      <w:r w:rsidRPr="009E39AF">
        <w:t xml:space="preserve">Quadro </w:t>
      </w:r>
      <w:bookmarkEnd w:id="33"/>
      <w:r w:rsidR="00EF7162">
        <w:t>1</w:t>
      </w:r>
      <w:r w:rsidRPr="009E39AF">
        <w:t xml:space="preserve">: Características das zonas de especialização de Venables e </w:t>
      </w:r>
      <w:r>
        <w:t>Limão</w:t>
      </w:r>
      <w:r w:rsidRPr="009E39AF">
        <w:t xml:space="preserve"> (</w:t>
      </w:r>
      <w:sdt>
        <w:sdtPr>
          <w:id w:val="-1613046036"/>
          <w:citation/>
        </w:sdtPr>
        <w:sdtContent>
          <w:r w:rsidRPr="009E39AF">
            <w:fldChar w:fldCharType="begin"/>
          </w:r>
          <w:r w:rsidRPr="009E39AF">
            <w:instrText xml:space="preserve">CITATION Ven02 \n  \t  \l 1046 </w:instrText>
          </w:r>
          <w:r w:rsidRPr="009E39AF">
            <w:fldChar w:fldCharType="separate"/>
          </w:r>
          <w:r w:rsidRPr="009E39AF">
            <w:t xml:space="preserve"> (2002)</w:t>
          </w:r>
          <w:r w:rsidRPr="009E39AF">
            <w:fldChar w:fldCharType="end"/>
          </w:r>
        </w:sdtContent>
      </w:sdt>
    </w:p>
    <w:tbl>
      <w:tblPr>
        <w:tblW w:w="5000" w:type="pct"/>
        <w:tblCellMar>
          <w:left w:w="0" w:type="dxa"/>
          <w:right w:w="0" w:type="dxa"/>
        </w:tblCellMar>
        <w:tblLook w:val="04A0" w:firstRow="1" w:lastRow="0" w:firstColumn="1" w:lastColumn="0" w:noHBand="0" w:noVBand="1"/>
      </w:tblPr>
      <w:tblGrid>
        <w:gridCol w:w="1431"/>
        <w:gridCol w:w="5310"/>
        <w:gridCol w:w="2669"/>
        <w:gridCol w:w="2223"/>
        <w:gridCol w:w="2399"/>
      </w:tblGrid>
      <w:tr w:rsidR="00875F5E" w:rsidRPr="009E39AF" w14:paraId="79DF8BD7" w14:textId="77777777" w:rsidTr="004D0B96">
        <w:trPr>
          <w:trHeight w:val="149"/>
        </w:trPr>
        <w:tc>
          <w:tcPr>
            <w:tcW w:w="2402" w:type="pct"/>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16A7ECED" w14:textId="77777777" w:rsidR="00875F5E" w:rsidRPr="009E39AF" w:rsidRDefault="00875F5E"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Características das zonas de especialização</w:t>
            </w:r>
          </w:p>
        </w:tc>
        <w:tc>
          <w:tcPr>
            <w:tcW w:w="2598" w:type="pct"/>
            <w:gridSpan w:val="3"/>
            <w:tcBorders>
              <w:top w:val="single" w:sz="12" w:space="0" w:color="auto"/>
              <w:left w:val="single" w:sz="12" w:space="0" w:color="auto"/>
              <w:bottom w:val="single" w:sz="12" w:space="0" w:color="auto"/>
              <w:right w:val="single" w:sz="12" w:space="0" w:color="auto"/>
            </w:tcBorders>
            <w:shd w:val="clear" w:color="auto" w:fill="auto"/>
            <w:vAlign w:val="center"/>
          </w:tcPr>
          <w:p w14:paraId="4338ECC1" w14:textId="77777777" w:rsidR="00875F5E" w:rsidRPr="009E39AF" w:rsidRDefault="00875F5E"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Movimentos esperados nos coeficientes das regressões</w:t>
            </w:r>
          </w:p>
        </w:tc>
      </w:tr>
      <w:tr w:rsidR="004D0B96" w:rsidRPr="009E39AF" w14:paraId="2541D229" w14:textId="77777777" w:rsidTr="004D0B96">
        <w:trPr>
          <w:trHeight w:val="1116"/>
        </w:trPr>
        <w:tc>
          <w:tcPr>
            <w:tcW w:w="510" w:type="pct"/>
            <w:tcBorders>
              <w:top w:val="single" w:sz="12" w:space="0" w:color="auto"/>
              <w:left w:val="single" w:sz="12" w:space="0" w:color="auto"/>
              <w:bottom w:val="single" w:sz="8" w:space="0" w:color="auto"/>
              <w:right w:val="single" w:sz="4" w:space="0" w:color="auto"/>
            </w:tcBorders>
            <w:shd w:val="clear" w:color="auto" w:fill="auto"/>
            <w:vAlign w:val="center"/>
            <w:hideMark/>
          </w:tcPr>
          <w:p w14:paraId="1004AE3F" w14:textId="77777777" w:rsidR="004D0B96" w:rsidRPr="009E39AF" w:rsidRDefault="004D0B96"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Zonas de especialização</w:t>
            </w:r>
          </w:p>
        </w:tc>
        <w:tc>
          <w:tcPr>
            <w:tcW w:w="1892" w:type="pct"/>
            <w:tcBorders>
              <w:top w:val="single" w:sz="12" w:space="0" w:color="auto"/>
              <w:left w:val="nil"/>
              <w:bottom w:val="single" w:sz="8" w:space="0" w:color="auto"/>
              <w:right w:val="single" w:sz="4" w:space="0" w:color="auto"/>
            </w:tcBorders>
            <w:shd w:val="clear" w:color="auto" w:fill="auto"/>
            <w:vAlign w:val="center"/>
            <w:hideMark/>
          </w:tcPr>
          <w:p w14:paraId="1E9D532C" w14:textId="77777777" w:rsidR="004D0B96" w:rsidRPr="009E39AF" w:rsidRDefault="004D0B96"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Descrição</w:t>
            </w:r>
          </w:p>
        </w:tc>
        <w:tc>
          <w:tcPr>
            <w:tcW w:w="951" w:type="pct"/>
            <w:tcBorders>
              <w:top w:val="single" w:sz="12" w:space="0" w:color="auto"/>
              <w:left w:val="single" w:sz="12" w:space="0" w:color="auto"/>
              <w:bottom w:val="single" w:sz="8" w:space="0" w:color="auto"/>
              <w:right w:val="single" w:sz="4" w:space="0" w:color="auto"/>
            </w:tcBorders>
            <w:shd w:val="clear" w:color="auto" w:fill="auto"/>
            <w:vAlign w:val="center"/>
            <w:hideMark/>
          </w:tcPr>
          <w:p w14:paraId="6D127363" w14:textId="77777777" w:rsidR="004D0B96" w:rsidRPr="009E39AF" w:rsidRDefault="004D0B96"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Inclusão de variáveis</w:t>
            </w:r>
          </w:p>
        </w:tc>
        <w:tc>
          <w:tcPr>
            <w:tcW w:w="792" w:type="pct"/>
            <w:tcBorders>
              <w:top w:val="single" w:sz="12" w:space="0" w:color="auto"/>
              <w:left w:val="nil"/>
              <w:bottom w:val="single" w:sz="8" w:space="0" w:color="auto"/>
              <w:right w:val="single" w:sz="4" w:space="0" w:color="auto"/>
            </w:tcBorders>
            <w:shd w:val="clear" w:color="auto" w:fill="auto"/>
            <w:vAlign w:val="center"/>
            <w:hideMark/>
          </w:tcPr>
          <w:p w14:paraId="77E193F3" w14:textId="77777777" w:rsidR="004D0B96" w:rsidRPr="009E39AF" w:rsidRDefault="004D0B96"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 xml:space="preserve">Reações nos coeficientes das </w:t>
            </w:r>
            <w:r w:rsidRPr="000F78F1">
              <w:rPr>
                <w:rFonts w:ascii="Calibri" w:hAnsi="Calibri"/>
                <w:b/>
                <w:bCs/>
                <w:i/>
                <w:color w:val="000000"/>
                <w:sz w:val="18"/>
                <w:szCs w:val="18"/>
                <w:lang w:eastAsia="pt-BR"/>
              </w:rPr>
              <w:t>dummies</w:t>
            </w:r>
            <w:r w:rsidRPr="009E39AF">
              <w:rPr>
                <w:rFonts w:ascii="Calibri" w:hAnsi="Calibri"/>
                <w:b/>
                <w:bCs/>
                <w:color w:val="000000"/>
                <w:sz w:val="18"/>
                <w:szCs w:val="18"/>
                <w:lang w:eastAsia="pt-BR"/>
              </w:rPr>
              <w:t xml:space="preserve"> de localidade</w:t>
            </w:r>
          </w:p>
        </w:tc>
        <w:tc>
          <w:tcPr>
            <w:tcW w:w="855" w:type="pct"/>
            <w:tcBorders>
              <w:top w:val="single" w:sz="12" w:space="0" w:color="auto"/>
              <w:left w:val="nil"/>
              <w:bottom w:val="single" w:sz="8" w:space="0" w:color="auto"/>
              <w:right w:val="single" w:sz="12" w:space="0" w:color="auto"/>
            </w:tcBorders>
            <w:shd w:val="clear" w:color="auto" w:fill="auto"/>
            <w:vAlign w:val="center"/>
            <w:hideMark/>
          </w:tcPr>
          <w:p w14:paraId="23F5BC34" w14:textId="77777777" w:rsidR="004D0B96" w:rsidRPr="009E39AF" w:rsidRDefault="004D0B96" w:rsidP="00F25AC8">
            <w:pPr>
              <w:spacing w:after="120"/>
              <w:jc w:val="center"/>
              <w:rPr>
                <w:rFonts w:ascii="Calibri" w:hAnsi="Calibri"/>
                <w:b/>
                <w:bCs/>
                <w:color w:val="000000"/>
                <w:sz w:val="18"/>
                <w:szCs w:val="18"/>
                <w:lang w:eastAsia="pt-BR"/>
              </w:rPr>
            </w:pPr>
            <w:r w:rsidRPr="009E39AF">
              <w:rPr>
                <w:rFonts w:ascii="Calibri" w:hAnsi="Calibri"/>
                <w:b/>
                <w:bCs/>
                <w:color w:val="000000"/>
                <w:sz w:val="18"/>
                <w:szCs w:val="18"/>
                <w:lang w:eastAsia="pt-BR"/>
              </w:rPr>
              <w:t xml:space="preserve">Reações nos coeficientes das </w:t>
            </w:r>
            <w:r w:rsidRPr="000F78F1">
              <w:rPr>
                <w:rFonts w:ascii="Calibri" w:hAnsi="Calibri"/>
                <w:b/>
                <w:bCs/>
                <w:i/>
                <w:color w:val="000000"/>
                <w:sz w:val="18"/>
                <w:szCs w:val="18"/>
                <w:lang w:eastAsia="pt-BR"/>
              </w:rPr>
              <w:t>dummies</w:t>
            </w:r>
            <w:r w:rsidRPr="009E39AF">
              <w:rPr>
                <w:rFonts w:ascii="Calibri" w:hAnsi="Calibri"/>
                <w:b/>
                <w:bCs/>
                <w:color w:val="000000"/>
                <w:sz w:val="18"/>
                <w:szCs w:val="18"/>
                <w:lang w:eastAsia="pt-BR"/>
              </w:rPr>
              <w:t xml:space="preserve"> de localidade iteradas com anos de escolaridade</w:t>
            </w:r>
          </w:p>
        </w:tc>
      </w:tr>
      <w:tr w:rsidR="004D0B96" w:rsidRPr="009E39AF" w14:paraId="72E1B547" w14:textId="77777777" w:rsidTr="004D0B96">
        <w:trPr>
          <w:trHeight w:val="565"/>
        </w:trPr>
        <w:tc>
          <w:tcPr>
            <w:tcW w:w="510" w:type="pct"/>
            <w:vMerge w:val="restart"/>
            <w:tcBorders>
              <w:top w:val="nil"/>
              <w:left w:val="single" w:sz="12" w:space="0" w:color="auto"/>
              <w:bottom w:val="single" w:sz="8" w:space="0" w:color="000000"/>
              <w:right w:val="single" w:sz="4" w:space="0" w:color="auto"/>
            </w:tcBorders>
            <w:shd w:val="clear" w:color="auto" w:fill="auto"/>
            <w:noWrap/>
            <w:vAlign w:val="center"/>
            <w:hideMark/>
          </w:tcPr>
          <w:p w14:paraId="69283C5E"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Zona I</w:t>
            </w:r>
          </w:p>
        </w:tc>
        <w:tc>
          <w:tcPr>
            <w:tcW w:w="1892" w:type="pct"/>
            <w:vMerge w:val="restart"/>
            <w:tcBorders>
              <w:top w:val="nil"/>
              <w:left w:val="single" w:sz="4" w:space="0" w:color="auto"/>
              <w:bottom w:val="single" w:sz="8" w:space="0" w:color="000000"/>
              <w:right w:val="nil"/>
            </w:tcBorders>
            <w:shd w:val="clear" w:color="auto" w:fill="auto"/>
            <w:vAlign w:val="center"/>
            <w:hideMark/>
          </w:tcPr>
          <w:p w14:paraId="47A0DB4F" w14:textId="77777777" w:rsidR="004D0B96" w:rsidRPr="009E39AF" w:rsidRDefault="004D0B96" w:rsidP="00F25AC8">
            <w:pPr>
              <w:spacing w:after="120"/>
              <w:rPr>
                <w:rFonts w:ascii="Calibri" w:hAnsi="Calibri"/>
                <w:color w:val="000000"/>
                <w:sz w:val="18"/>
                <w:szCs w:val="18"/>
                <w:lang w:eastAsia="pt-BR"/>
              </w:rPr>
            </w:pPr>
            <w:r w:rsidRPr="009E39AF">
              <w:rPr>
                <w:rFonts w:ascii="Calibri" w:hAnsi="Calibri"/>
                <w:color w:val="000000"/>
                <w:sz w:val="18"/>
                <w:szCs w:val="18"/>
                <w:lang w:eastAsia="pt-BR"/>
              </w:rPr>
              <w:t>São próximas ao mercado estrangeiro, exportam bens intensivos em transportes. Os preços dos fatores são afetados pela dotação de fatores e pelo custo de transporte.</w:t>
            </w:r>
          </w:p>
        </w:tc>
        <w:tc>
          <w:tcPr>
            <w:tcW w:w="951" w:type="pct"/>
            <w:tcBorders>
              <w:top w:val="nil"/>
              <w:left w:val="single" w:sz="12" w:space="0" w:color="auto"/>
              <w:bottom w:val="single" w:sz="4" w:space="0" w:color="auto"/>
              <w:right w:val="single" w:sz="4" w:space="0" w:color="auto"/>
            </w:tcBorders>
            <w:shd w:val="clear" w:color="auto" w:fill="auto"/>
            <w:noWrap/>
            <w:vAlign w:val="center"/>
            <w:hideMark/>
          </w:tcPr>
          <w:p w14:paraId="7F8DD5D0"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Dotação de fatores</w:t>
            </w:r>
          </w:p>
        </w:tc>
        <w:tc>
          <w:tcPr>
            <w:tcW w:w="792" w:type="pct"/>
            <w:tcBorders>
              <w:top w:val="nil"/>
              <w:left w:val="nil"/>
              <w:bottom w:val="single" w:sz="4" w:space="0" w:color="auto"/>
              <w:right w:val="single" w:sz="4" w:space="0" w:color="auto"/>
            </w:tcBorders>
            <w:shd w:val="clear" w:color="auto" w:fill="auto"/>
            <w:vAlign w:val="center"/>
            <w:hideMark/>
          </w:tcPr>
          <w:p w14:paraId="7F50844C"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Indefinida</w:t>
            </w:r>
          </w:p>
        </w:tc>
        <w:tc>
          <w:tcPr>
            <w:tcW w:w="855" w:type="pct"/>
            <w:tcBorders>
              <w:top w:val="nil"/>
              <w:left w:val="nil"/>
              <w:bottom w:val="single" w:sz="4" w:space="0" w:color="auto"/>
              <w:right w:val="single" w:sz="12" w:space="0" w:color="auto"/>
            </w:tcBorders>
            <w:shd w:val="clear" w:color="auto" w:fill="auto"/>
            <w:vAlign w:val="center"/>
            <w:hideMark/>
          </w:tcPr>
          <w:p w14:paraId="4EF04707"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Indefinida</w:t>
            </w:r>
          </w:p>
        </w:tc>
      </w:tr>
      <w:tr w:rsidR="004D0B96" w:rsidRPr="009E39AF" w14:paraId="1F2C9E43" w14:textId="77777777" w:rsidTr="004D0B96">
        <w:trPr>
          <w:trHeight w:val="745"/>
        </w:trPr>
        <w:tc>
          <w:tcPr>
            <w:tcW w:w="510" w:type="pct"/>
            <w:vMerge/>
            <w:tcBorders>
              <w:top w:val="nil"/>
              <w:left w:val="single" w:sz="12" w:space="0" w:color="auto"/>
              <w:bottom w:val="single" w:sz="8" w:space="0" w:color="000000"/>
              <w:right w:val="single" w:sz="4" w:space="0" w:color="auto"/>
            </w:tcBorders>
            <w:vAlign w:val="center"/>
            <w:hideMark/>
          </w:tcPr>
          <w:p w14:paraId="57F4478C" w14:textId="77777777" w:rsidR="004D0B96" w:rsidRPr="009E39AF" w:rsidRDefault="004D0B96" w:rsidP="00F25AC8">
            <w:pPr>
              <w:spacing w:after="120"/>
              <w:rPr>
                <w:rFonts w:ascii="Calibri" w:hAnsi="Calibri"/>
                <w:color w:val="000000"/>
                <w:sz w:val="18"/>
                <w:szCs w:val="18"/>
                <w:lang w:eastAsia="pt-BR"/>
              </w:rPr>
            </w:pPr>
          </w:p>
        </w:tc>
        <w:tc>
          <w:tcPr>
            <w:tcW w:w="1892" w:type="pct"/>
            <w:vMerge/>
            <w:tcBorders>
              <w:top w:val="nil"/>
              <w:left w:val="single" w:sz="4" w:space="0" w:color="auto"/>
              <w:bottom w:val="single" w:sz="8" w:space="0" w:color="000000"/>
              <w:right w:val="nil"/>
            </w:tcBorders>
            <w:vAlign w:val="center"/>
            <w:hideMark/>
          </w:tcPr>
          <w:p w14:paraId="5169AF48" w14:textId="77777777" w:rsidR="004D0B96" w:rsidRPr="009E39AF" w:rsidRDefault="004D0B96" w:rsidP="00F25AC8">
            <w:pPr>
              <w:spacing w:after="120"/>
              <w:rPr>
                <w:rFonts w:ascii="Calibri" w:hAnsi="Calibri"/>
                <w:color w:val="000000"/>
                <w:sz w:val="18"/>
                <w:szCs w:val="18"/>
                <w:lang w:eastAsia="pt-BR"/>
              </w:rPr>
            </w:pPr>
          </w:p>
        </w:tc>
        <w:tc>
          <w:tcPr>
            <w:tcW w:w="951" w:type="pct"/>
            <w:tcBorders>
              <w:top w:val="nil"/>
              <w:left w:val="single" w:sz="12" w:space="0" w:color="auto"/>
              <w:bottom w:val="single" w:sz="8" w:space="0" w:color="auto"/>
              <w:right w:val="single" w:sz="4" w:space="0" w:color="auto"/>
            </w:tcBorders>
            <w:shd w:val="clear" w:color="auto" w:fill="auto"/>
            <w:noWrap/>
            <w:vAlign w:val="center"/>
            <w:hideMark/>
          </w:tcPr>
          <w:p w14:paraId="7B6D20AC"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Exposição ao comércio</w:t>
            </w:r>
          </w:p>
        </w:tc>
        <w:tc>
          <w:tcPr>
            <w:tcW w:w="792" w:type="pct"/>
            <w:tcBorders>
              <w:top w:val="nil"/>
              <w:left w:val="nil"/>
              <w:bottom w:val="single" w:sz="8" w:space="0" w:color="auto"/>
              <w:right w:val="single" w:sz="4" w:space="0" w:color="auto"/>
            </w:tcBorders>
            <w:shd w:val="clear" w:color="auto" w:fill="auto"/>
            <w:vAlign w:val="center"/>
            <w:hideMark/>
          </w:tcPr>
          <w:p w14:paraId="248B5C46"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Reduz - o salário aumenta</w:t>
            </w:r>
          </w:p>
        </w:tc>
        <w:tc>
          <w:tcPr>
            <w:tcW w:w="855" w:type="pct"/>
            <w:tcBorders>
              <w:top w:val="nil"/>
              <w:left w:val="nil"/>
              <w:bottom w:val="single" w:sz="8" w:space="0" w:color="auto"/>
              <w:right w:val="single" w:sz="12" w:space="0" w:color="auto"/>
            </w:tcBorders>
            <w:shd w:val="clear" w:color="auto" w:fill="auto"/>
            <w:vAlign w:val="center"/>
            <w:hideMark/>
          </w:tcPr>
          <w:p w14:paraId="115FB197"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r>
      <w:tr w:rsidR="004D0B96" w:rsidRPr="009E39AF" w14:paraId="705FF287" w14:textId="77777777" w:rsidTr="004D0B96">
        <w:trPr>
          <w:trHeight w:val="537"/>
        </w:trPr>
        <w:tc>
          <w:tcPr>
            <w:tcW w:w="510" w:type="pct"/>
            <w:vMerge w:val="restart"/>
            <w:tcBorders>
              <w:top w:val="nil"/>
              <w:left w:val="single" w:sz="12" w:space="0" w:color="auto"/>
              <w:bottom w:val="single" w:sz="8" w:space="0" w:color="000000"/>
              <w:right w:val="single" w:sz="4" w:space="0" w:color="auto"/>
            </w:tcBorders>
            <w:shd w:val="clear" w:color="auto" w:fill="auto"/>
            <w:noWrap/>
            <w:vAlign w:val="center"/>
            <w:hideMark/>
          </w:tcPr>
          <w:p w14:paraId="0DC030DB"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Zona II</w:t>
            </w:r>
          </w:p>
        </w:tc>
        <w:tc>
          <w:tcPr>
            <w:tcW w:w="1892" w:type="pct"/>
            <w:vMerge w:val="restart"/>
            <w:tcBorders>
              <w:top w:val="nil"/>
              <w:left w:val="single" w:sz="4" w:space="0" w:color="auto"/>
              <w:bottom w:val="single" w:sz="8" w:space="0" w:color="000000"/>
              <w:right w:val="nil"/>
            </w:tcBorders>
            <w:shd w:val="clear" w:color="auto" w:fill="auto"/>
            <w:vAlign w:val="center"/>
            <w:hideMark/>
          </w:tcPr>
          <w:p w14:paraId="211F0419" w14:textId="77777777" w:rsidR="004D0B96" w:rsidRPr="009E39AF" w:rsidRDefault="004D0B96" w:rsidP="00F25AC8">
            <w:pPr>
              <w:spacing w:after="120"/>
              <w:rPr>
                <w:rFonts w:ascii="Calibri" w:hAnsi="Calibri"/>
                <w:color w:val="000000"/>
                <w:sz w:val="18"/>
                <w:szCs w:val="18"/>
                <w:lang w:eastAsia="pt-BR"/>
              </w:rPr>
            </w:pPr>
            <w:r w:rsidRPr="009E39AF">
              <w:rPr>
                <w:rFonts w:ascii="Calibri" w:hAnsi="Calibri"/>
                <w:color w:val="000000"/>
                <w:sz w:val="18"/>
                <w:szCs w:val="18"/>
                <w:lang w:eastAsia="pt-BR"/>
              </w:rPr>
              <w:t xml:space="preserve">Produz bens de diferentes intensidades de transportes; os preços dos fatores respondem mais a custos de transportes e são independentes das dotações. </w:t>
            </w:r>
          </w:p>
        </w:tc>
        <w:tc>
          <w:tcPr>
            <w:tcW w:w="951" w:type="pct"/>
            <w:tcBorders>
              <w:top w:val="nil"/>
              <w:left w:val="single" w:sz="12" w:space="0" w:color="auto"/>
              <w:bottom w:val="single" w:sz="4" w:space="0" w:color="auto"/>
              <w:right w:val="single" w:sz="4" w:space="0" w:color="auto"/>
            </w:tcBorders>
            <w:shd w:val="clear" w:color="auto" w:fill="auto"/>
            <w:noWrap/>
            <w:vAlign w:val="center"/>
            <w:hideMark/>
          </w:tcPr>
          <w:p w14:paraId="460AB9F7"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Dotação de fatores</w:t>
            </w:r>
          </w:p>
        </w:tc>
        <w:tc>
          <w:tcPr>
            <w:tcW w:w="792" w:type="pct"/>
            <w:tcBorders>
              <w:top w:val="nil"/>
              <w:left w:val="nil"/>
              <w:bottom w:val="single" w:sz="4" w:space="0" w:color="auto"/>
              <w:right w:val="single" w:sz="4" w:space="0" w:color="auto"/>
            </w:tcBorders>
            <w:shd w:val="clear" w:color="auto" w:fill="auto"/>
            <w:vAlign w:val="center"/>
            <w:hideMark/>
          </w:tcPr>
          <w:p w14:paraId="248D0589"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c>
          <w:tcPr>
            <w:tcW w:w="855" w:type="pct"/>
            <w:tcBorders>
              <w:top w:val="nil"/>
              <w:left w:val="nil"/>
              <w:bottom w:val="single" w:sz="4" w:space="0" w:color="auto"/>
              <w:right w:val="single" w:sz="12" w:space="0" w:color="auto"/>
            </w:tcBorders>
            <w:shd w:val="clear" w:color="auto" w:fill="auto"/>
            <w:vAlign w:val="center"/>
            <w:hideMark/>
          </w:tcPr>
          <w:p w14:paraId="511A1336"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r>
      <w:tr w:rsidR="004D0B96" w:rsidRPr="009E39AF" w14:paraId="3734A10F" w14:textId="77777777" w:rsidTr="004D0B96">
        <w:trPr>
          <w:trHeight w:val="337"/>
        </w:trPr>
        <w:tc>
          <w:tcPr>
            <w:tcW w:w="510" w:type="pct"/>
            <w:vMerge/>
            <w:tcBorders>
              <w:top w:val="nil"/>
              <w:left w:val="single" w:sz="12" w:space="0" w:color="auto"/>
              <w:bottom w:val="single" w:sz="8" w:space="0" w:color="000000"/>
              <w:right w:val="single" w:sz="4" w:space="0" w:color="auto"/>
            </w:tcBorders>
            <w:vAlign w:val="center"/>
            <w:hideMark/>
          </w:tcPr>
          <w:p w14:paraId="2BE8252C" w14:textId="77777777" w:rsidR="004D0B96" w:rsidRPr="009E39AF" w:rsidRDefault="004D0B96" w:rsidP="00F25AC8">
            <w:pPr>
              <w:spacing w:after="120"/>
              <w:rPr>
                <w:rFonts w:ascii="Calibri" w:hAnsi="Calibri"/>
                <w:color w:val="000000"/>
                <w:sz w:val="18"/>
                <w:szCs w:val="18"/>
                <w:lang w:eastAsia="pt-BR"/>
              </w:rPr>
            </w:pPr>
          </w:p>
        </w:tc>
        <w:tc>
          <w:tcPr>
            <w:tcW w:w="1892" w:type="pct"/>
            <w:vMerge/>
            <w:tcBorders>
              <w:top w:val="nil"/>
              <w:left w:val="single" w:sz="4" w:space="0" w:color="auto"/>
              <w:bottom w:val="single" w:sz="8" w:space="0" w:color="000000"/>
              <w:right w:val="nil"/>
            </w:tcBorders>
            <w:vAlign w:val="center"/>
            <w:hideMark/>
          </w:tcPr>
          <w:p w14:paraId="03E6D3D7" w14:textId="77777777" w:rsidR="004D0B96" w:rsidRPr="009E39AF" w:rsidRDefault="004D0B96" w:rsidP="00F25AC8">
            <w:pPr>
              <w:spacing w:after="120"/>
              <w:rPr>
                <w:rFonts w:ascii="Calibri" w:hAnsi="Calibri"/>
                <w:color w:val="000000"/>
                <w:sz w:val="18"/>
                <w:szCs w:val="18"/>
                <w:lang w:eastAsia="pt-BR"/>
              </w:rPr>
            </w:pPr>
          </w:p>
        </w:tc>
        <w:tc>
          <w:tcPr>
            <w:tcW w:w="951" w:type="pct"/>
            <w:tcBorders>
              <w:top w:val="nil"/>
              <w:left w:val="single" w:sz="12" w:space="0" w:color="auto"/>
              <w:bottom w:val="single" w:sz="8" w:space="0" w:color="auto"/>
              <w:right w:val="single" w:sz="4" w:space="0" w:color="auto"/>
            </w:tcBorders>
            <w:shd w:val="clear" w:color="auto" w:fill="auto"/>
            <w:noWrap/>
            <w:vAlign w:val="center"/>
            <w:hideMark/>
          </w:tcPr>
          <w:p w14:paraId="0EFCB16A"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Exposição ao comércio</w:t>
            </w:r>
          </w:p>
        </w:tc>
        <w:tc>
          <w:tcPr>
            <w:tcW w:w="792" w:type="pct"/>
            <w:tcBorders>
              <w:top w:val="nil"/>
              <w:left w:val="nil"/>
              <w:bottom w:val="single" w:sz="8" w:space="0" w:color="auto"/>
              <w:right w:val="single" w:sz="4" w:space="0" w:color="auto"/>
            </w:tcBorders>
            <w:shd w:val="clear" w:color="auto" w:fill="auto"/>
            <w:vAlign w:val="center"/>
            <w:hideMark/>
          </w:tcPr>
          <w:p w14:paraId="0F2ED92C"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Aumenta - o salário diminui</w:t>
            </w:r>
          </w:p>
        </w:tc>
        <w:tc>
          <w:tcPr>
            <w:tcW w:w="855" w:type="pct"/>
            <w:tcBorders>
              <w:top w:val="nil"/>
              <w:left w:val="nil"/>
              <w:bottom w:val="single" w:sz="8" w:space="0" w:color="auto"/>
              <w:right w:val="single" w:sz="12" w:space="0" w:color="auto"/>
            </w:tcBorders>
            <w:shd w:val="clear" w:color="auto" w:fill="auto"/>
            <w:vAlign w:val="center"/>
            <w:hideMark/>
          </w:tcPr>
          <w:p w14:paraId="134E202A"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Reduz - o prêmio por qualificação aumenta</w:t>
            </w:r>
          </w:p>
        </w:tc>
      </w:tr>
      <w:tr w:rsidR="004D0B96" w:rsidRPr="009E39AF" w14:paraId="326F8326" w14:textId="77777777" w:rsidTr="004D0B96">
        <w:trPr>
          <w:trHeight w:val="375"/>
        </w:trPr>
        <w:tc>
          <w:tcPr>
            <w:tcW w:w="510" w:type="pct"/>
            <w:vMerge w:val="restart"/>
            <w:tcBorders>
              <w:top w:val="nil"/>
              <w:left w:val="single" w:sz="12" w:space="0" w:color="auto"/>
              <w:bottom w:val="single" w:sz="8" w:space="0" w:color="000000"/>
              <w:right w:val="single" w:sz="4" w:space="0" w:color="auto"/>
            </w:tcBorders>
            <w:shd w:val="clear" w:color="auto" w:fill="auto"/>
            <w:noWrap/>
            <w:vAlign w:val="center"/>
            <w:hideMark/>
          </w:tcPr>
          <w:p w14:paraId="79137FF5"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Zona III</w:t>
            </w:r>
          </w:p>
        </w:tc>
        <w:tc>
          <w:tcPr>
            <w:tcW w:w="1892" w:type="pct"/>
            <w:vMerge w:val="restart"/>
            <w:tcBorders>
              <w:top w:val="nil"/>
              <w:left w:val="single" w:sz="4" w:space="0" w:color="auto"/>
              <w:bottom w:val="single" w:sz="8" w:space="0" w:color="000000"/>
              <w:right w:val="single" w:sz="4" w:space="0" w:color="auto"/>
            </w:tcBorders>
            <w:shd w:val="clear" w:color="auto" w:fill="auto"/>
            <w:vAlign w:val="center"/>
            <w:hideMark/>
          </w:tcPr>
          <w:p w14:paraId="7C20CD17"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Exportam bens não intensivos em transportes; o preço dos fatores depende das dotações e preferências locais</w:t>
            </w:r>
          </w:p>
        </w:tc>
        <w:tc>
          <w:tcPr>
            <w:tcW w:w="951" w:type="pct"/>
            <w:tcBorders>
              <w:top w:val="nil"/>
              <w:left w:val="single" w:sz="12" w:space="0" w:color="auto"/>
              <w:bottom w:val="single" w:sz="4" w:space="0" w:color="auto"/>
              <w:right w:val="single" w:sz="4" w:space="0" w:color="auto"/>
            </w:tcBorders>
            <w:shd w:val="clear" w:color="auto" w:fill="auto"/>
            <w:noWrap/>
            <w:vAlign w:val="center"/>
            <w:hideMark/>
          </w:tcPr>
          <w:p w14:paraId="01219EB3"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Dotação de fatores</w:t>
            </w:r>
          </w:p>
        </w:tc>
        <w:tc>
          <w:tcPr>
            <w:tcW w:w="792" w:type="pct"/>
            <w:tcBorders>
              <w:top w:val="nil"/>
              <w:left w:val="nil"/>
              <w:bottom w:val="single" w:sz="4" w:space="0" w:color="auto"/>
              <w:right w:val="single" w:sz="4" w:space="0" w:color="auto"/>
            </w:tcBorders>
            <w:shd w:val="clear" w:color="auto" w:fill="auto"/>
            <w:vAlign w:val="center"/>
            <w:hideMark/>
          </w:tcPr>
          <w:p w14:paraId="01D1F307"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Aumenta - o salário diminui - mas com menor inclinação</w:t>
            </w:r>
          </w:p>
        </w:tc>
        <w:tc>
          <w:tcPr>
            <w:tcW w:w="855" w:type="pct"/>
            <w:tcBorders>
              <w:top w:val="nil"/>
              <w:left w:val="nil"/>
              <w:bottom w:val="single" w:sz="4" w:space="0" w:color="auto"/>
              <w:right w:val="single" w:sz="12" w:space="0" w:color="auto"/>
            </w:tcBorders>
            <w:shd w:val="clear" w:color="auto" w:fill="auto"/>
            <w:vAlign w:val="center"/>
            <w:hideMark/>
          </w:tcPr>
          <w:p w14:paraId="6E64F748"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Aumenta - o prêmio por qualificação diminui</w:t>
            </w:r>
          </w:p>
        </w:tc>
      </w:tr>
      <w:tr w:rsidR="004D0B96" w:rsidRPr="009E39AF" w14:paraId="66389950" w14:textId="77777777" w:rsidTr="004D0B96">
        <w:trPr>
          <w:trHeight w:val="542"/>
        </w:trPr>
        <w:tc>
          <w:tcPr>
            <w:tcW w:w="510" w:type="pct"/>
            <w:vMerge/>
            <w:tcBorders>
              <w:top w:val="nil"/>
              <w:left w:val="single" w:sz="12" w:space="0" w:color="auto"/>
              <w:bottom w:val="single" w:sz="8" w:space="0" w:color="000000"/>
              <w:right w:val="single" w:sz="4" w:space="0" w:color="auto"/>
            </w:tcBorders>
            <w:vAlign w:val="center"/>
            <w:hideMark/>
          </w:tcPr>
          <w:p w14:paraId="7B070904" w14:textId="77777777" w:rsidR="004D0B96" w:rsidRPr="009E39AF" w:rsidRDefault="004D0B96" w:rsidP="00F25AC8">
            <w:pPr>
              <w:spacing w:after="120"/>
              <w:rPr>
                <w:rFonts w:ascii="Calibri" w:hAnsi="Calibri"/>
                <w:color w:val="000000"/>
                <w:sz w:val="18"/>
                <w:szCs w:val="18"/>
                <w:lang w:eastAsia="pt-BR"/>
              </w:rPr>
            </w:pPr>
          </w:p>
        </w:tc>
        <w:tc>
          <w:tcPr>
            <w:tcW w:w="1892" w:type="pct"/>
            <w:vMerge/>
            <w:tcBorders>
              <w:top w:val="nil"/>
              <w:left w:val="single" w:sz="4" w:space="0" w:color="auto"/>
              <w:bottom w:val="single" w:sz="8" w:space="0" w:color="000000"/>
              <w:right w:val="single" w:sz="4" w:space="0" w:color="auto"/>
            </w:tcBorders>
            <w:vAlign w:val="center"/>
            <w:hideMark/>
          </w:tcPr>
          <w:p w14:paraId="57F1D1D7" w14:textId="77777777" w:rsidR="004D0B96" w:rsidRPr="009E39AF" w:rsidRDefault="004D0B96" w:rsidP="00F25AC8">
            <w:pPr>
              <w:spacing w:after="120"/>
              <w:rPr>
                <w:rFonts w:ascii="Calibri" w:hAnsi="Calibri"/>
                <w:color w:val="000000"/>
                <w:sz w:val="18"/>
                <w:szCs w:val="18"/>
                <w:lang w:eastAsia="pt-BR"/>
              </w:rPr>
            </w:pPr>
          </w:p>
        </w:tc>
        <w:tc>
          <w:tcPr>
            <w:tcW w:w="951" w:type="pct"/>
            <w:tcBorders>
              <w:top w:val="nil"/>
              <w:left w:val="single" w:sz="12" w:space="0" w:color="auto"/>
              <w:bottom w:val="single" w:sz="8" w:space="0" w:color="auto"/>
              <w:right w:val="single" w:sz="4" w:space="0" w:color="auto"/>
            </w:tcBorders>
            <w:shd w:val="clear" w:color="auto" w:fill="auto"/>
            <w:noWrap/>
            <w:vAlign w:val="center"/>
            <w:hideMark/>
          </w:tcPr>
          <w:p w14:paraId="326DAB7A"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Exposição ao comércio</w:t>
            </w:r>
          </w:p>
        </w:tc>
        <w:tc>
          <w:tcPr>
            <w:tcW w:w="792" w:type="pct"/>
            <w:tcBorders>
              <w:top w:val="nil"/>
              <w:left w:val="nil"/>
              <w:bottom w:val="single" w:sz="8" w:space="0" w:color="auto"/>
              <w:right w:val="single" w:sz="4" w:space="0" w:color="auto"/>
            </w:tcBorders>
            <w:shd w:val="clear" w:color="auto" w:fill="auto"/>
            <w:vAlign w:val="center"/>
            <w:hideMark/>
          </w:tcPr>
          <w:p w14:paraId="3458425C"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c>
          <w:tcPr>
            <w:tcW w:w="855" w:type="pct"/>
            <w:tcBorders>
              <w:top w:val="nil"/>
              <w:left w:val="nil"/>
              <w:bottom w:val="single" w:sz="8" w:space="0" w:color="auto"/>
              <w:right w:val="single" w:sz="12" w:space="0" w:color="auto"/>
            </w:tcBorders>
            <w:shd w:val="clear" w:color="auto" w:fill="auto"/>
            <w:vAlign w:val="center"/>
            <w:hideMark/>
          </w:tcPr>
          <w:p w14:paraId="38F6917F"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r>
      <w:tr w:rsidR="004D0B96" w:rsidRPr="009E39AF" w14:paraId="2E26454E" w14:textId="77777777" w:rsidTr="004D0B96">
        <w:trPr>
          <w:trHeight w:val="707"/>
        </w:trPr>
        <w:tc>
          <w:tcPr>
            <w:tcW w:w="510" w:type="pct"/>
            <w:vMerge w:val="restart"/>
            <w:tcBorders>
              <w:top w:val="nil"/>
              <w:left w:val="single" w:sz="12" w:space="0" w:color="auto"/>
              <w:bottom w:val="single" w:sz="8" w:space="0" w:color="000000"/>
              <w:right w:val="single" w:sz="4" w:space="0" w:color="auto"/>
            </w:tcBorders>
            <w:shd w:val="clear" w:color="auto" w:fill="auto"/>
            <w:noWrap/>
            <w:vAlign w:val="center"/>
            <w:hideMark/>
          </w:tcPr>
          <w:p w14:paraId="245E8CA6"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Zona IV</w:t>
            </w:r>
          </w:p>
        </w:tc>
        <w:tc>
          <w:tcPr>
            <w:tcW w:w="1892" w:type="pct"/>
            <w:vMerge w:val="restart"/>
            <w:tcBorders>
              <w:top w:val="nil"/>
              <w:left w:val="single" w:sz="4" w:space="0" w:color="auto"/>
              <w:bottom w:val="single" w:sz="8" w:space="0" w:color="000000"/>
              <w:right w:val="single" w:sz="4" w:space="0" w:color="auto"/>
            </w:tcBorders>
            <w:shd w:val="clear" w:color="auto" w:fill="auto"/>
            <w:vAlign w:val="center"/>
            <w:hideMark/>
          </w:tcPr>
          <w:p w14:paraId="5A467613" w14:textId="77777777" w:rsidR="004D0B96" w:rsidRPr="009E39AF" w:rsidRDefault="004D0B96" w:rsidP="00F25AC8">
            <w:pPr>
              <w:spacing w:after="120"/>
              <w:rPr>
                <w:rFonts w:ascii="Calibri" w:hAnsi="Calibri"/>
                <w:color w:val="000000"/>
                <w:sz w:val="18"/>
                <w:szCs w:val="18"/>
                <w:lang w:eastAsia="pt-BR"/>
              </w:rPr>
            </w:pPr>
            <w:r w:rsidRPr="009E39AF">
              <w:rPr>
                <w:rFonts w:ascii="Calibri" w:hAnsi="Calibri"/>
                <w:color w:val="000000"/>
                <w:sz w:val="18"/>
                <w:szCs w:val="18"/>
                <w:lang w:eastAsia="pt-BR"/>
              </w:rPr>
              <w:t>Região de substituição de importação; preços dos fatores independem das dotações e preferências locais e dependem do coeficiente técnico e da intensidade de transportes.</w:t>
            </w:r>
          </w:p>
        </w:tc>
        <w:tc>
          <w:tcPr>
            <w:tcW w:w="951" w:type="pct"/>
            <w:tcBorders>
              <w:top w:val="nil"/>
              <w:left w:val="single" w:sz="12" w:space="0" w:color="auto"/>
              <w:bottom w:val="single" w:sz="4" w:space="0" w:color="auto"/>
              <w:right w:val="single" w:sz="4" w:space="0" w:color="auto"/>
            </w:tcBorders>
            <w:shd w:val="clear" w:color="auto" w:fill="auto"/>
            <w:noWrap/>
            <w:vAlign w:val="center"/>
            <w:hideMark/>
          </w:tcPr>
          <w:p w14:paraId="34FBB7B9"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Dotação de fatores</w:t>
            </w:r>
          </w:p>
        </w:tc>
        <w:tc>
          <w:tcPr>
            <w:tcW w:w="792" w:type="pct"/>
            <w:tcBorders>
              <w:top w:val="nil"/>
              <w:left w:val="nil"/>
              <w:bottom w:val="single" w:sz="4" w:space="0" w:color="auto"/>
              <w:right w:val="single" w:sz="4" w:space="0" w:color="auto"/>
            </w:tcBorders>
            <w:shd w:val="clear" w:color="auto" w:fill="auto"/>
            <w:vAlign w:val="center"/>
            <w:hideMark/>
          </w:tcPr>
          <w:p w14:paraId="37C3FB8A"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c>
          <w:tcPr>
            <w:tcW w:w="855" w:type="pct"/>
            <w:tcBorders>
              <w:top w:val="nil"/>
              <w:left w:val="nil"/>
              <w:bottom w:val="single" w:sz="4" w:space="0" w:color="auto"/>
              <w:right w:val="single" w:sz="12" w:space="0" w:color="auto"/>
            </w:tcBorders>
            <w:shd w:val="clear" w:color="auto" w:fill="auto"/>
            <w:vAlign w:val="center"/>
            <w:hideMark/>
          </w:tcPr>
          <w:p w14:paraId="7495B3F9"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r>
      <w:tr w:rsidR="004D0B96" w:rsidRPr="009E39AF" w14:paraId="7DCB876A" w14:textId="77777777" w:rsidTr="004D0B96">
        <w:trPr>
          <w:trHeight w:val="663"/>
        </w:trPr>
        <w:tc>
          <w:tcPr>
            <w:tcW w:w="510" w:type="pct"/>
            <w:vMerge/>
            <w:tcBorders>
              <w:top w:val="nil"/>
              <w:left w:val="single" w:sz="12" w:space="0" w:color="auto"/>
              <w:bottom w:val="single" w:sz="8" w:space="0" w:color="000000"/>
              <w:right w:val="single" w:sz="4" w:space="0" w:color="auto"/>
            </w:tcBorders>
            <w:vAlign w:val="center"/>
            <w:hideMark/>
          </w:tcPr>
          <w:p w14:paraId="0D3D7FE8" w14:textId="77777777" w:rsidR="004D0B96" w:rsidRPr="009E39AF" w:rsidRDefault="004D0B96" w:rsidP="00F25AC8">
            <w:pPr>
              <w:spacing w:after="120"/>
              <w:rPr>
                <w:rFonts w:ascii="Calibri" w:hAnsi="Calibri"/>
                <w:color w:val="000000"/>
                <w:sz w:val="18"/>
                <w:szCs w:val="18"/>
                <w:lang w:eastAsia="pt-BR"/>
              </w:rPr>
            </w:pPr>
          </w:p>
        </w:tc>
        <w:tc>
          <w:tcPr>
            <w:tcW w:w="1892" w:type="pct"/>
            <w:vMerge/>
            <w:tcBorders>
              <w:top w:val="nil"/>
              <w:left w:val="single" w:sz="4" w:space="0" w:color="auto"/>
              <w:bottom w:val="single" w:sz="8" w:space="0" w:color="000000"/>
              <w:right w:val="single" w:sz="4" w:space="0" w:color="auto"/>
            </w:tcBorders>
            <w:vAlign w:val="center"/>
            <w:hideMark/>
          </w:tcPr>
          <w:p w14:paraId="0B608E19" w14:textId="77777777" w:rsidR="004D0B96" w:rsidRPr="009E39AF" w:rsidRDefault="004D0B96" w:rsidP="00F25AC8">
            <w:pPr>
              <w:spacing w:after="120"/>
              <w:rPr>
                <w:rFonts w:ascii="Calibri" w:hAnsi="Calibri"/>
                <w:color w:val="000000"/>
                <w:sz w:val="18"/>
                <w:szCs w:val="18"/>
                <w:lang w:eastAsia="pt-BR"/>
              </w:rPr>
            </w:pPr>
          </w:p>
        </w:tc>
        <w:tc>
          <w:tcPr>
            <w:tcW w:w="951" w:type="pct"/>
            <w:tcBorders>
              <w:top w:val="nil"/>
              <w:left w:val="single" w:sz="12" w:space="0" w:color="auto"/>
              <w:bottom w:val="single" w:sz="8" w:space="0" w:color="auto"/>
              <w:right w:val="single" w:sz="4" w:space="0" w:color="auto"/>
            </w:tcBorders>
            <w:shd w:val="clear" w:color="auto" w:fill="auto"/>
            <w:noWrap/>
            <w:vAlign w:val="center"/>
            <w:hideMark/>
          </w:tcPr>
          <w:p w14:paraId="0B3161AD"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Exposição ao comércio</w:t>
            </w:r>
          </w:p>
        </w:tc>
        <w:tc>
          <w:tcPr>
            <w:tcW w:w="792" w:type="pct"/>
            <w:tcBorders>
              <w:top w:val="nil"/>
              <w:left w:val="nil"/>
              <w:bottom w:val="single" w:sz="8" w:space="0" w:color="auto"/>
              <w:right w:val="single" w:sz="4" w:space="0" w:color="auto"/>
            </w:tcBorders>
            <w:shd w:val="clear" w:color="auto" w:fill="auto"/>
            <w:vAlign w:val="center"/>
            <w:hideMark/>
          </w:tcPr>
          <w:p w14:paraId="007CDF20"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Reduz - o salário aumenta</w:t>
            </w:r>
          </w:p>
        </w:tc>
        <w:tc>
          <w:tcPr>
            <w:tcW w:w="855" w:type="pct"/>
            <w:tcBorders>
              <w:top w:val="nil"/>
              <w:left w:val="nil"/>
              <w:bottom w:val="single" w:sz="8" w:space="0" w:color="auto"/>
              <w:right w:val="single" w:sz="12" w:space="0" w:color="auto"/>
            </w:tcBorders>
            <w:shd w:val="clear" w:color="auto" w:fill="auto"/>
            <w:vAlign w:val="center"/>
            <w:hideMark/>
          </w:tcPr>
          <w:p w14:paraId="518887B8"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Aumenta - o prêmio por qualificação diminui</w:t>
            </w:r>
          </w:p>
        </w:tc>
      </w:tr>
      <w:tr w:rsidR="004D0B96" w:rsidRPr="009E39AF" w14:paraId="3EB8F427" w14:textId="77777777" w:rsidTr="004D0B96">
        <w:trPr>
          <w:trHeight w:val="154"/>
        </w:trPr>
        <w:tc>
          <w:tcPr>
            <w:tcW w:w="510" w:type="pct"/>
            <w:vMerge w:val="restart"/>
            <w:tcBorders>
              <w:top w:val="nil"/>
              <w:left w:val="single" w:sz="12" w:space="0" w:color="auto"/>
              <w:bottom w:val="single" w:sz="8" w:space="0" w:color="000000"/>
              <w:right w:val="single" w:sz="4" w:space="0" w:color="auto"/>
            </w:tcBorders>
            <w:shd w:val="clear" w:color="auto" w:fill="auto"/>
            <w:noWrap/>
            <w:vAlign w:val="center"/>
            <w:hideMark/>
          </w:tcPr>
          <w:p w14:paraId="0416F68E"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Zona V</w:t>
            </w:r>
          </w:p>
        </w:tc>
        <w:tc>
          <w:tcPr>
            <w:tcW w:w="1892" w:type="pct"/>
            <w:vMerge w:val="restart"/>
            <w:tcBorders>
              <w:top w:val="nil"/>
              <w:left w:val="single" w:sz="4" w:space="0" w:color="auto"/>
              <w:bottom w:val="single" w:sz="8" w:space="0" w:color="000000"/>
              <w:right w:val="single" w:sz="4" w:space="0" w:color="auto"/>
            </w:tcBorders>
            <w:shd w:val="clear" w:color="auto" w:fill="auto"/>
            <w:vAlign w:val="center"/>
            <w:hideMark/>
          </w:tcPr>
          <w:p w14:paraId="7FFD619A" w14:textId="77777777" w:rsidR="004D0B96" w:rsidRPr="009E39AF" w:rsidRDefault="004D0B96" w:rsidP="00F25AC8">
            <w:pPr>
              <w:spacing w:after="120"/>
              <w:rPr>
                <w:rFonts w:ascii="Calibri" w:hAnsi="Calibri"/>
                <w:color w:val="000000"/>
                <w:sz w:val="18"/>
                <w:szCs w:val="18"/>
                <w:lang w:eastAsia="pt-BR"/>
              </w:rPr>
            </w:pPr>
            <w:r w:rsidRPr="009E39AF">
              <w:rPr>
                <w:rFonts w:ascii="Calibri" w:hAnsi="Calibri"/>
                <w:color w:val="000000"/>
                <w:sz w:val="18"/>
                <w:szCs w:val="18"/>
                <w:lang w:eastAsia="pt-BR"/>
              </w:rPr>
              <w:t>São regiões de autarquias, com os preços definidos pelas oferta e demanda locais</w:t>
            </w:r>
          </w:p>
        </w:tc>
        <w:tc>
          <w:tcPr>
            <w:tcW w:w="951" w:type="pct"/>
            <w:tcBorders>
              <w:top w:val="nil"/>
              <w:left w:val="single" w:sz="12" w:space="0" w:color="auto"/>
              <w:bottom w:val="single" w:sz="4" w:space="0" w:color="auto"/>
              <w:right w:val="single" w:sz="4" w:space="0" w:color="auto"/>
            </w:tcBorders>
            <w:shd w:val="clear" w:color="auto" w:fill="auto"/>
            <w:noWrap/>
            <w:vAlign w:val="center"/>
            <w:hideMark/>
          </w:tcPr>
          <w:p w14:paraId="3CCB71F9"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Dotação de fatores</w:t>
            </w:r>
          </w:p>
        </w:tc>
        <w:tc>
          <w:tcPr>
            <w:tcW w:w="792" w:type="pct"/>
            <w:tcBorders>
              <w:top w:val="nil"/>
              <w:left w:val="nil"/>
              <w:bottom w:val="single" w:sz="4" w:space="0" w:color="auto"/>
              <w:right w:val="single" w:sz="4" w:space="0" w:color="auto"/>
            </w:tcBorders>
            <w:shd w:val="clear" w:color="auto" w:fill="auto"/>
            <w:vAlign w:val="center"/>
            <w:hideMark/>
          </w:tcPr>
          <w:p w14:paraId="63E03007"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Indefinida</w:t>
            </w:r>
          </w:p>
        </w:tc>
        <w:tc>
          <w:tcPr>
            <w:tcW w:w="855" w:type="pct"/>
            <w:tcBorders>
              <w:top w:val="nil"/>
              <w:left w:val="nil"/>
              <w:bottom w:val="single" w:sz="4" w:space="0" w:color="auto"/>
              <w:right w:val="single" w:sz="12" w:space="0" w:color="auto"/>
            </w:tcBorders>
            <w:shd w:val="clear" w:color="auto" w:fill="auto"/>
            <w:vAlign w:val="center"/>
            <w:hideMark/>
          </w:tcPr>
          <w:p w14:paraId="2A9F5CD4"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Indefinida</w:t>
            </w:r>
          </w:p>
        </w:tc>
      </w:tr>
      <w:tr w:rsidR="004D0B96" w:rsidRPr="009E39AF" w14:paraId="4269FAAC" w14:textId="77777777" w:rsidTr="004D0B96">
        <w:trPr>
          <w:trHeight w:val="396"/>
        </w:trPr>
        <w:tc>
          <w:tcPr>
            <w:tcW w:w="510" w:type="pct"/>
            <w:vMerge/>
            <w:tcBorders>
              <w:top w:val="nil"/>
              <w:left w:val="single" w:sz="12" w:space="0" w:color="auto"/>
              <w:bottom w:val="single" w:sz="12" w:space="0" w:color="auto"/>
              <w:right w:val="single" w:sz="4" w:space="0" w:color="auto"/>
            </w:tcBorders>
            <w:vAlign w:val="center"/>
            <w:hideMark/>
          </w:tcPr>
          <w:p w14:paraId="587B4C6A" w14:textId="77777777" w:rsidR="004D0B96" w:rsidRPr="009E39AF" w:rsidRDefault="004D0B96" w:rsidP="00F25AC8">
            <w:pPr>
              <w:spacing w:after="120"/>
              <w:rPr>
                <w:rFonts w:ascii="Calibri" w:hAnsi="Calibri"/>
                <w:color w:val="000000"/>
                <w:sz w:val="18"/>
                <w:szCs w:val="18"/>
                <w:lang w:eastAsia="pt-BR"/>
              </w:rPr>
            </w:pPr>
          </w:p>
        </w:tc>
        <w:tc>
          <w:tcPr>
            <w:tcW w:w="1892" w:type="pct"/>
            <w:vMerge/>
            <w:tcBorders>
              <w:top w:val="nil"/>
              <w:left w:val="single" w:sz="4" w:space="0" w:color="auto"/>
              <w:bottom w:val="single" w:sz="12" w:space="0" w:color="auto"/>
              <w:right w:val="single" w:sz="4" w:space="0" w:color="auto"/>
            </w:tcBorders>
            <w:vAlign w:val="center"/>
            <w:hideMark/>
          </w:tcPr>
          <w:p w14:paraId="0D2F6CF5" w14:textId="77777777" w:rsidR="004D0B96" w:rsidRPr="009E39AF" w:rsidRDefault="004D0B96" w:rsidP="00F25AC8">
            <w:pPr>
              <w:spacing w:after="120"/>
              <w:rPr>
                <w:rFonts w:ascii="Calibri" w:hAnsi="Calibri"/>
                <w:color w:val="000000"/>
                <w:sz w:val="18"/>
                <w:szCs w:val="18"/>
                <w:lang w:eastAsia="pt-BR"/>
              </w:rPr>
            </w:pPr>
          </w:p>
        </w:tc>
        <w:tc>
          <w:tcPr>
            <w:tcW w:w="951" w:type="pct"/>
            <w:tcBorders>
              <w:top w:val="nil"/>
              <w:left w:val="single" w:sz="12" w:space="0" w:color="auto"/>
              <w:bottom w:val="single" w:sz="12" w:space="0" w:color="auto"/>
              <w:right w:val="single" w:sz="4" w:space="0" w:color="auto"/>
            </w:tcBorders>
            <w:shd w:val="clear" w:color="auto" w:fill="auto"/>
            <w:noWrap/>
            <w:vAlign w:val="center"/>
            <w:hideMark/>
          </w:tcPr>
          <w:p w14:paraId="41455FAF"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Exposição ao comércio</w:t>
            </w:r>
          </w:p>
        </w:tc>
        <w:tc>
          <w:tcPr>
            <w:tcW w:w="792" w:type="pct"/>
            <w:tcBorders>
              <w:top w:val="nil"/>
              <w:left w:val="nil"/>
              <w:bottom w:val="single" w:sz="12" w:space="0" w:color="auto"/>
              <w:right w:val="single" w:sz="4" w:space="0" w:color="auto"/>
            </w:tcBorders>
            <w:shd w:val="clear" w:color="auto" w:fill="auto"/>
            <w:vAlign w:val="center"/>
            <w:hideMark/>
          </w:tcPr>
          <w:p w14:paraId="1D74A51A"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c>
          <w:tcPr>
            <w:tcW w:w="855" w:type="pct"/>
            <w:tcBorders>
              <w:top w:val="nil"/>
              <w:left w:val="nil"/>
              <w:bottom w:val="single" w:sz="12" w:space="0" w:color="auto"/>
              <w:right w:val="single" w:sz="4" w:space="0" w:color="auto"/>
            </w:tcBorders>
            <w:shd w:val="clear" w:color="auto" w:fill="auto"/>
            <w:vAlign w:val="center"/>
            <w:hideMark/>
          </w:tcPr>
          <w:p w14:paraId="1EEE98D6" w14:textId="77777777" w:rsidR="004D0B96" w:rsidRPr="009E39AF" w:rsidRDefault="004D0B96" w:rsidP="00F25AC8">
            <w:pPr>
              <w:spacing w:after="120"/>
              <w:jc w:val="center"/>
              <w:rPr>
                <w:rFonts w:ascii="Calibri" w:hAnsi="Calibri"/>
                <w:color w:val="000000"/>
                <w:sz w:val="18"/>
                <w:szCs w:val="18"/>
                <w:lang w:eastAsia="pt-BR"/>
              </w:rPr>
            </w:pPr>
            <w:r w:rsidRPr="009E39AF">
              <w:rPr>
                <w:rFonts w:ascii="Calibri" w:hAnsi="Calibri"/>
                <w:color w:val="000000"/>
                <w:sz w:val="18"/>
                <w:szCs w:val="18"/>
                <w:lang w:eastAsia="pt-BR"/>
              </w:rPr>
              <w:t>Não se altera</w:t>
            </w:r>
          </w:p>
        </w:tc>
      </w:tr>
    </w:tbl>
    <w:p w14:paraId="7CE2026B" w14:textId="3CE35C2E" w:rsidR="00690B11" w:rsidRDefault="00875F5E" w:rsidP="00F25AC8">
      <w:pPr>
        <w:spacing w:after="120"/>
      </w:pPr>
      <w:r w:rsidRPr="009E39AF">
        <w:rPr>
          <w:sz w:val="20"/>
          <w:szCs w:val="20"/>
        </w:rPr>
        <w:t xml:space="preserve">Fonte: Dados da pesquisa, com base em Venables e </w:t>
      </w:r>
      <w:r>
        <w:rPr>
          <w:sz w:val="20"/>
          <w:szCs w:val="20"/>
        </w:rPr>
        <w:t>Limão</w:t>
      </w:r>
      <w:r w:rsidR="00EF7162">
        <w:rPr>
          <w:sz w:val="20"/>
          <w:szCs w:val="20"/>
        </w:rPr>
        <w:t xml:space="preserve"> (2002)</w:t>
      </w:r>
    </w:p>
    <w:sectPr w:rsidR="00690B11" w:rsidSect="00EF7162">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5633B" w14:textId="77777777" w:rsidR="00F25AC8" w:rsidRDefault="00F25AC8" w:rsidP="004601DE">
      <w:r>
        <w:separator/>
      </w:r>
    </w:p>
  </w:endnote>
  <w:endnote w:type="continuationSeparator" w:id="0">
    <w:p w14:paraId="2783B35A" w14:textId="77777777" w:rsidR="00F25AC8" w:rsidRDefault="00F25AC8" w:rsidP="0046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A3815" w14:textId="77777777" w:rsidR="00F25AC8" w:rsidRDefault="00F25AC8" w:rsidP="004601DE">
      <w:r>
        <w:separator/>
      </w:r>
    </w:p>
  </w:footnote>
  <w:footnote w:type="continuationSeparator" w:id="0">
    <w:p w14:paraId="6CF2F10F" w14:textId="77777777" w:rsidR="00F25AC8" w:rsidRDefault="00F25AC8" w:rsidP="004601DE">
      <w:r>
        <w:continuationSeparator/>
      </w:r>
    </w:p>
  </w:footnote>
  <w:footnote w:id="1">
    <w:p w14:paraId="5AA875CC" w14:textId="77777777" w:rsidR="00F25AC8" w:rsidRDefault="00F25AC8" w:rsidP="004601DE">
      <w:pPr>
        <w:pStyle w:val="Textodenotaderodap"/>
      </w:pPr>
      <w:r>
        <w:rPr>
          <w:rStyle w:val="Refdenotaderodap"/>
          <w:rFonts w:eastAsiaTheme="majorEastAsia"/>
        </w:rPr>
        <w:footnoteRef/>
      </w:r>
      <w:r>
        <w:t xml:space="preserve"> Chiquiar </w:t>
      </w:r>
      <w:sdt>
        <w:sdtPr>
          <w:id w:val="2081177695"/>
          <w:citation/>
        </w:sdtPr>
        <w:sdtContent>
          <w:r>
            <w:fldChar w:fldCharType="begin"/>
          </w:r>
          <w:r>
            <w:instrText xml:space="preserve">CITATION Chi08 \n  \t  \l 1046 </w:instrText>
          </w:r>
          <w:r>
            <w:fldChar w:fldCharType="separate"/>
          </w:r>
          <w:r>
            <w:rPr>
              <w:noProof/>
            </w:rPr>
            <w:t>(2008)</w:t>
          </w:r>
          <w:r>
            <w:fldChar w:fldCharType="end"/>
          </w:r>
        </w:sdtContent>
      </w:sdt>
      <w:r>
        <w:t xml:space="preserve">; Arbache, Dickerson e Green </w:t>
      </w:r>
      <w:sdt>
        <w:sdtPr>
          <w:id w:val="-1065027120"/>
          <w:citation/>
        </w:sdtPr>
        <w:sdtContent>
          <w:r>
            <w:fldChar w:fldCharType="begin"/>
          </w:r>
          <w:r>
            <w:instrText xml:space="preserve">CITATION Arb04 \n  \t  \l 1046 </w:instrText>
          </w:r>
          <w:r>
            <w:fldChar w:fldCharType="separate"/>
          </w:r>
          <w:r>
            <w:rPr>
              <w:noProof/>
            </w:rPr>
            <w:t>(2004)</w:t>
          </w:r>
          <w:r>
            <w:fldChar w:fldCharType="end"/>
          </w:r>
        </w:sdtContent>
      </w:sdt>
      <w:r>
        <w:t>.</w:t>
      </w:r>
    </w:p>
  </w:footnote>
  <w:footnote w:id="2">
    <w:p w14:paraId="484EF2EE" w14:textId="77777777" w:rsidR="00F25AC8" w:rsidRDefault="00F25AC8" w:rsidP="005831E1">
      <w:pPr>
        <w:pStyle w:val="Textodenotaderodap"/>
      </w:pPr>
      <w:r>
        <w:rPr>
          <w:rStyle w:val="Refdenotaderodap"/>
          <w:rFonts w:eastAsiaTheme="majorEastAsia"/>
        </w:rPr>
        <w:footnoteRef/>
      </w:r>
      <w:r>
        <w:t xml:space="preserve"> Neste trabalho os diferentes padrões de inserção ao comércio, denominados por Venables e Limão </w:t>
      </w:r>
      <w:sdt>
        <w:sdtPr>
          <w:id w:val="-1876842143"/>
          <w:citation/>
        </w:sdtPr>
        <w:sdtContent>
          <w:r>
            <w:fldChar w:fldCharType="begin"/>
          </w:r>
          <w:r>
            <w:instrText xml:space="preserve">CITATION Ven02 \n  \t  \l 1046 </w:instrText>
          </w:r>
          <w:r>
            <w:fldChar w:fldCharType="separate"/>
          </w:r>
          <w:r>
            <w:rPr>
              <w:noProof/>
            </w:rPr>
            <w:t>(2002)</w:t>
          </w:r>
          <w:r>
            <w:fldChar w:fldCharType="end"/>
          </w:r>
        </w:sdtContent>
      </w:sdt>
      <w:r>
        <w:t xml:space="preserve"> como zonas de especialização e por Chiquiar (2008) como padrão local de especialização, são determinados agrupando-se os municípios em mesorregiões, as quais representam um nível de agregação abaixo do estadual.</w:t>
      </w:r>
    </w:p>
  </w:footnote>
  <w:footnote w:id="3">
    <w:p w14:paraId="0BBBEFA6" w14:textId="77777777" w:rsidR="00F25AC8" w:rsidRDefault="00F25AC8" w:rsidP="004601DE">
      <w:pPr>
        <w:pStyle w:val="Textodenotaderodap"/>
      </w:pPr>
      <w:r>
        <w:rPr>
          <w:rStyle w:val="Refdenotaderodap"/>
          <w:rFonts w:eastAsiaTheme="majorEastAsia"/>
        </w:rPr>
        <w:footnoteRef/>
      </w:r>
      <w:r>
        <w:t xml:space="preserve"> Preço de autarquia é o preço dos bens em uma economia fechada à concorrência internacional, determinado portanto apenas</w:t>
      </w:r>
      <w:r w:rsidRPr="00E60E24">
        <w:t xml:space="preserve"> pelas ofertas e demandas locais</w:t>
      </w:r>
      <w:r>
        <w:t>.</w:t>
      </w:r>
    </w:p>
  </w:footnote>
  <w:footnote w:id="4">
    <w:p w14:paraId="41B86584" w14:textId="7D73CDB1" w:rsidR="00F25AC8" w:rsidRDefault="00F25AC8">
      <w:pPr>
        <w:pStyle w:val="Textodenotaderodap"/>
      </w:pPr>
      <w:r>
        <w:rPr>
          <w:rStyle w:val="Refdenotaderodap"/>
        </w:rPr>
        <w:footnoteRef/>
      </w:r>
      <w:r>
        <w:t xml:space="preserve"> Uma apresentação mais formal da formação e comportamento das zonas de especialização pode ser </w:t>
      </w:r>
      <w:r w:rsidRPr="00E60E24">
        <w:t xml:space="preserve">ser obtida em Venables e </w:t>
      </w:r>
      <w:r>
        <w:t>Limão</w:t>
      </w:r>
      <w:r w:rsidRPr="00E60E24">
        <w:t xml:space="preserve"> </w:t>
      </w:r>
      <w:sdt>
        <w:sdtPr>
          <w:id w:val="-1361429354"/>
          <w:citation/>
        </w:sdtPr>
        <w:sdtContent>
          <w:r w:rsidRPr="00E60E24">
            <w:fldChar w:fldCharType="begin"/>
          </w:r>
          <w:r w:rsidRPr="00E60E24">
            <w:instrText xml:space="preserve">CITATION Ven02 \n  \t  \l 1046 </w:instrText>
          </w:r>
          <w:r w:rsidRPr="00E60E24">
            <w:fldChar w:fldCharType="separate"/>
          </w:r>
          <w:r w:rsidRPr="00E60E24">
            <w:t>(2002)</w:t>
          </w:r>
          <w:r w:rsidRPr="00E60E24">
            <w:fldChar w:fldCharType="end"/>
          </w:r>
        </w:sdtContent>
      </w:sdt>
      <w:r w:rsidRPr="00E60E24">
        <w:t xml:space="preserve"> e uma versão simplificada em Chiquiar </w:t>
      </w:r>
      <w:sdt>
        <w:sdtPr>
          <w:id w:val="-1815402314"/>
          <w:citation/>
        </w:sdtPr>
        <w:sdtContent>
          <w:r w:rsidRPr="00E60E24">
            <w:fldChar w:fldCharType="begin"/>
          </w:r>
          <w:r w:rsidRPr="00E60E24">
            <w:instrText xml:space="preserve">CITATION Chi08 \n  \t  \l 1046 </w:instrText>
          </w:r>
          <w:r w:rsidRPr="00E60E24">
            <w:fldChar w:fldCharType="separate"/>
          </w:r>
          <w:r w:rsidRPr="00E60E24">
            <w:t>(2008)</w:t>
          </w:r>
          <w:r w:rsidRPr="00E60E24">
            <w:fldChar w:fldCharType="end"/>
          </w:r>
        </w:sdtContent>
      </w:sdt>
      <w:r>
        <w:t>.</w:t>
      </w:r>
    </w:p>
  </w:footnote>
  <w:footnote w:id="5">
    <w:p w14:paraId="5484E2BB" w14:textId="77777777" w:rsidR="00F25AC8" w:rsidRDefault="00F25AC8" w:rsidP="004601DE">
      <w:pPr>
        <w:pStyle w:val="Textodenotaderodap"/>
      </w:pPr>
      <w:r>
        <w:rPr>
          <w:rStyle w:val="Refdenotaderodap"/>
          <w:rFonts w:eastAsiaTheme="majorEastAsia"/>
        </w:rPr>
        <w:footnoteRef/>
      </w:r>
      <w:r>
        <w:t xml:space="preserve"> Os insumos são o trabalho não qualificado e o trabalho qualificado e seus preços os salários absolutos a preços de 2000. A regressão utiliza a variável ‘anos de escolaridade’ para determinar o prêmio por cada ano adicional de qualificação, de modo que os interceptos representam o salário entre pessoas de igual nível de qualificação ou menos qualificadas.</w:t>
      </w:r>
    </w:p>
  </w:footnote>
  <w:footnote w:id="6">
    <w:p w14:paraId="08FAFBA6" w14:textId="77777777" w:rsidR="00F25AC8" w:rsidRPr="00F03C07" w:rsidRDefault="00F25AC8" w:rsidP="004601DE">
      <w:pPr>
        <w:pStyle w:val="Textodenotaderodap"/>
        <w:jc w:val="both"/>
      </w:pPr>
      <w:r>
        <w:rPr>
          <w:rStyle w:val="Refdenotaderodap"/>
          <w:rFonts w:eastAsiaTheme="majorEastAsia"/>
        </w:rPr>
        <w:footnoteRef/>
      </w:r>
      <w:r>
        <w:t xml:space="preserve"> </w:t>
      </w:r>
      <w:r w:rsidRPr="00F03C07">
        <w:t xml:space="preserve">Dada a verificação de presença de heteroscedasticidade pelos testes de Breusch-Pagan e White nas regressões por MQO, optou-se pelo MQGF que minimiza seus efeitos. Se os termos de erro forem correlacionados e/ou se o termo de erro for correlacionado entre observações, então dois dos quesitos que classificam o estimador por MQO como melhor estimador não-viesado (MELNV) não são satisfeitos. Nesse caso um estimador comumente apontado na literatura que pode ser considerado MELNV é aquele obtido por mínimos quadrados generalizados (MQG), pelo menos assintoticamente </w:t>
      </w:r>
      <w:sdt>
        <w:sdtPr>
          <w:id w:val="254406935"/>
          <w:citation/>
        </w:sdtPr>
        <w:sdtContent>
          <w:r w:rsidRPr="00F03C07">
            <w:fldChar w:fldCharType="begin"/>
          </w:r>
          <w:r w:rsidRPr="00F03C07">
            <w:instrText xml:space="preserve"> CITATION Sto04 \l 1046 </w:instrText>
          </w:r>
          <w:r w:rsidRPr="00F03C07">
            <w:fldChar w:fldCharType="separate"/>
          </w:r>
          <w:r w:rsidRPr="00F03C07">
            <w:rPr>
              <w:noProof/>
            </w:rPr>
            <w:t>(STOCK e WATSON, 2004)</w:t>
          </w:r>
          <w:r w:rsidRPr="00F03C07">
            <w:fldChar w:fldCharType="end"/>
          </w:r>
        </w:sdtContent>
      </w:sdt>
      <w:r w:rsidRPr="00F03C07">
        <w:t>. A exata forma funcional da heteroscedasticidade dificilmente é conhecida. No entanto ela pode ser estimada utilizando os dados para estimar o parâmetro desconhecido do MQG, tornando-o portanto factível. O procedimento requer: 1) Fazer a regressão do modelo por MQO e obter os resíduos (</w:t>
      </w:r>
      <m:oMath>
        <m:acc>
          <m:accPr>
            <m:ctrlPr>
              <w:rPr>
                <w:rFonts w:ascii="Cambria Math" w:hAnsi="Cambria Math"/>
                <w:i/>
              </w:rPr>
            </m:ctrlPr>
          </m:accPr>
          <m:e>
            <m:r>
              <w:rPr>
                <w:rFonts w:ascii="Cambria Math" w:hAnsi="Cambria Math"/>
              </w:rPr>
              <m:t>u</m:t>
            </m:r>
          </m:e>
        </m:acc>
      </m:oMath>
      <w:r w:rsidRPr="00F03C07">
        <w:t xml:space="preserve">); 2) criar o </w:t>
      </w:r>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e>
        </m:func>
      </m:oMath>
      <w:r w:rsidRPr="00F03C07">
        <w:t xml:space="preserve">; 3) regredir </w:t>
      </w:r>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r>
                  <w:rPr>
                    <w:rFonts w:ascii="Cambria Math" w:hAnsi="Cambria Math"/>
                  </w:rPr>
                  <m:t>2</m:t>
                </m:r>
              </m:sup>
            </m:sSup>
            <m:r>
              <w:rPr>
                <w:rFonts w:ascii="Cambria Math" w:hAnsi="Cambria Math"/>
              </w:rPr>
              <m:t>)</m:t>
            </m:r>
          </m:e>
        </m:func>
      </m:oMath>
      <w:r w:rsidRPr="00F03C07">
        <w:t xml:space="preserve"> contra as variáveis do modelo e tomar os valores estimados, denominados </w:t>
      </w:r>
      <m:oMath>
        <m:acc>
          <m:accPr>
            <m:ctrlPr>
              <w:rPr>
                <w:rFonts w:ascii="Cambria Math" w:hAnsi="Cambria Math"/>
                <w:i/>
              </w:rPr>
            </m:ctrlPr>
          </m:accPr>
          <m:e>
            <m:r>
              <w:rPr>
                <w:rFonts w:ascii="Cambria Math" w:hAnsi="Cambria Math"/>
              </w:rPr>
              <m:t>g</m:t>
            </m:r>
          </m:e>
        </m:acc>
      </m:oMath>
      <w:r w:rsidRPr="00F03C07">
        <w:t xml:space="preserve"> ; 4) tomar a exponencial dos valores estimados </w:t>
      </w:r>
      <m:oMath>
        <m:acc>
          <m:accPr>
            <m:ctrlPr>
              <w:rPr>
                <w:rFonts w:ascii="Cambria Math" w:hAnsi="Cambria Math"/>
                <w:i/>
              </w:rPr>
            </m:ctrlPr>
          </m:accPr>
          <m:e>
            <m:r>
              <w:rPr>
                <w:rFonts w:ascii="Cambria Math" w:hAnsi="Cambria Math"/>
              </w:rPr>
              <m:t>g</m:t>
            </m:r>
          </m:e>
        </m:acc>
      </m:oMath>
      <w:r w:rsidRPr="00F03C07">
        <w:t xml:space="preserve">, </w:t>
      </w:r>
      <m:oMath>
        <m:acc>
          <m:accPr>
            <m:ctrlPr>
              <w:rPr>
                <w:rFonts w:ascii="Cambria Math" w:hAnsi="Cambria Math"/>
                <w:i/>
              </w:rPr>
            </m:ctrlPr>
          </m:accPr>
          <m:e>
            <m:r>
              <w:rPr>
                <w:rFonts w:ascii="Cambria Math" w:hAnsi="Cambria Math"/>
              </w:rPr>
              <m:t>h</m:t>
            </m:r>
          </m:e>
        </m:acc>
        <m:r>
          <w:rPr>
            <w:rFonts w:ascii="Cambria Math" w:hAnsi="Cambria Math"/>
          </w:rPr>
          <m:t xml:space="preserve">= </m:t>
        </m:r>
        <m:r>
          <m:rPr>
            <m:sty m:val="p"/>
          </m:rPr>
          <w:rPr>
            <w:rFonts w:ascii="Cambria Math" w:hAnsi="Cambria Math"/>
          </w:rPr>
          <m:t>exp⁡</m:t>
        </m:r>
        <m:r>
          <w:rPr>
            <w:rFonts w:ascii="Cambria Math" w:hAnsi="Cambria Math"/>
          </w:rPr>
          <m:t>(</m:t>
        </m:r>
        <m:acc>
          <m:accPr>
            <m:ctrlPr>
              <w:rPr>
                <w:rFonts w:ascii="Cambria Math" w:hAnsi="Cambria Math"/>
                <w:i/>
              </w:rPr>
            </m:ctrlPr>
          </m:accPr>
          <m:e>
            <m:r>
              <w:rPr>
                <w:rFonts w:ascii="Cambria Math" w:hAnsi="Cambria Math"/>
              </w:rPr>
              <m:t>g</m:t>
            </m:r>
          </m:e>
        </m:acc>
        <m:r>
          <w:rPr>
            <w:rFonts w:ascii="Cambria Math" w:hAnsi="Cambria Math"/>
          </w:rPr>
          <m:t>)</m:t>
        </m:r>
      </m:oMath>
      <w:r w:rsidRPr="00F03C07">
        <w:t xml:space="preserve">; 5) estimar a equação 9 utilizando </w:t>
      </w:r>
      <m:oMath>
        <m:f>
          <m:fPr>
            <m:type m:val="lin"/>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h</m:t>
                </m:r>
              </m:e>
            </m:acc>
          </m:den>
        </m:f>
      </m:oMath>
      <w:r w:rsidRPr="00F03C07">
        <w:t xml:space="preserve"> como peso em todas as variáveis </w:t>
      </w:r>
      <w:sdt>
        <w:sdtPr>
          <w:id w:val="-1351177517"/>
          <w:citation/>
        </w:sdtPr>
        <w:sdtContent>
          <w:r w:rsidRPr="00F03C07">
            <w:fldChar w:fldCharType="begin"/>
          </w:r>
          <w:r w:rsidRPr="00F03C07">
            <w:instrText xml:space="preserve">CITATION Jef02 \l 1046 </w:instrText>
          </w:r>
          <w:r w:rsidRPr="00F03C07">
            <w:fldChar w:fldCharType="separate"/>
          </w:r>
          <w:r w:rsidRPr="00F03C07">
            <w:rPr>
              <w:noProof/>
            </w:rPr>
            <w:t>(WOOLDRIDGE, 2002)</w:t>
          </w:r>
          <w:r w:rsidRPr="00F03C07">
            <w:fldChar w:fldCharType="end"/>
          </w:r>
        </w:sdtContent>
      </w:sdt>
      <w:r w:rsidRPr="00F03C07">
        <w:t>.</w:t>
      </w:r>
    </w:p>
  </w:footnote>
  <w:footnote w:id="7">
    <w:p w14:paraId="1F94CF5F" w14:textId="5E7C4D74" w:rsidR="00F25AC8" w:rsidRPr="00777E8F" w:rsidRDefault="00F25AC8" w:rsidP="004601DE">
      <w:pPr>
        <w:pStyle w:val="Textodenotaderodap"/>
        <w:jc w:val="both"/>
      </w:pPr>
      <w:r w:rsidRPr="00777E8F">
        <w:rPr>
          <w:rStyle w:val="Refdenotaderodap"/>
          <w:rFonts w:eastAsiaTheme="majorEastAsia"/>
        </w:rPr>
        <w:footnoteRef/>
      </w:r>
      <w:r w:rsidRPr="00777E8F">
        <w:t xml:space="preserve"> Nas características municipais foram incluídas as variáveis: </w:t>
      </w:r>
      <w:r w:rsidRPr="00055013">
        <w:rPr>
          <w:i/>
        </w:rPr>
        <w:t>dummy</w:t>
      </w:r>
      <w:r w:rsidRPr="00777E8F">
        <w:t xml:space="preserve"> para a faixa de tamanho populacional do município; média de escol</w:t>
      </w:r>
      <w:r>
        <w:t>aridade da população empregada; para controlar por amenidades locais foram utilizadas as variáveis altitude e precipitação média do ano, para controlar por dotação de fatores foram utilizadas as variáveis percentual da PEA na população total (para o fator trabalho), área plantada por município (para o fator  terra),  e frota de veículos (para o fator capital).</w:t>
      </w:r>
      <w:r w:rsidRPr="00777E8F">
        <w:t xml:space="preserve"> As variáveis de exposição ao comércio exterior são: coeficiente de </w:t>
      </w:r>
      <w:r>
        <w:t>abertura</w:t>
      </w:r>
      <w:r w:rsidRPr="00777E8F">
        <w:t>;</w:t>
      </w:r>
      <w:r>
        <w:t xml:space="preserve"> distância ao centro econômico (conforme Apêndice)</w:t>
      </w:r>
      <w:r w:rsidRPr="00777E8F">
        <w:t xml:space="preserve"> e, seguindo </w:t>
      </w:r>
      <w:r>
        <w:rPr>
          <w:noProof/>
        </w:rPr>
        <w:t>Hanson (2004)</w:t>
      </w:r>
      <w:r w:rsidRPr="00777E8F">
        <w:t xml:space="preserve"> </w:t>
      </w:r>
      <w:r>
        <w:t>e Chiquiar (2008)</w:t>
      </w:r>
      <w:r w:rsidRPr="00777E8F">
        <w:t xml:space="preserve"> a fração de pessoal empregado nos setores Agricultura e Indústrias como </w:t>
      </w:r>
      <w:r w:rsidRPr="00E2081F">
        <w:t>proxy</w:t>
      </w:r>
      <w:r w:rsidRPr="00777E8F">
        <w:t xml:space="preserve"> da orientação do município para setores comercializáveis.</w:t>
      </w:r>
    </w:p>
  </w:footnote>
  <w:footnote w:id="8">
    <w:p w14:paraId="2AE42E9A" w14:textId="77777777" w:rsidR="00F25AC8" w:rsidRDefault="00F25AC8" w:rsidP="004601DE">
      <w:pPr>
        <w:pStyle w:val="Textodenotaderodap"/>
        <w:jc w:val="both"/>
      </w:pPr>
      <w:r w:rsidRPr="00777E8F">
        <w:rPr>
          <w:rStyle w:val="Refdenotaderodap"/>
          <w:rFonts w:eastAsiaTheme="majorEastAsia"/>
        </w:rPr>
        <w:footnoteRef/>
      </w:r>
      <w:r w:rsidRPr="00777E8F">
        <w:t xml:space="preserve"> Uma questão que pode surgir é a existência de auto</w:t>
      </w:r>
      <w:r>
        <w:t>s</w:t>
      </w:r>
      <w:r w:rsidRPr="00777E8F">
        <w:t xml:space="preserve">seleção na decisão de participação. Por exemplo, trabalhadores qualificados são mais móveis e a concentração da atividade pode aumentar a produtividade desses trabalhadores, seja via economia de escala ou de ligações difundidas em setores intensivos em qualificados </w:t>
      </w:r>
      <w:sdt>
        <w:sdtPr>
          <w:id w:val="-35973056"/>
          <w:citation/>
        </w:sdtPr>
        <w:sdtContent>
          <w:r w:rsidRPr="00777E8F">
            <w:fldChar w:fldCharType="begin"/>
          </w:r>
          <w:r w:rsidRPr="00777E8F">
            <w:instrText xml:space="preserve"> CITATION Red03 \l 1046 </w:instrText>
          </w:r>
          <w:r w:rsidRPr="00777E8F">
            <w:fldChar w:fldCharType="separate"/>
          </w:r>
          <w:r>
            <w:rPr>
              <w:noProof/>
            </w:rPr>
            <w:t>(REDDING e SCHOTT, 2003)</w:t>
          </w:r>
          <w:r w:rsidRPr="00777E8F">
            <w:fldChar w:fldCharType="end"/>
          </w:r>
        </w:sdtContent>
      </w:sdt>
      <w:r w:rsidRPr="00777E8F">
        <w:t xml:space="preserve">. No entanto a distribuição da força de trabalho parece </w:t>
      </w:r>
      <w:r>
        <w:t>não apresentar alterações significativas nas</w:t>
      </w:r>
      <w:r w:rsidRPr="00777E8F">
        <w:t xml:space="preserve"> regiões, por escolaridade, faixa etária e tempo. Além disso, os controles municipais, que incluem v</w:t>
      </w:r>
      <w:r>
        <w:t>ariáveis de aglomeração urbana, amenidades locais e dotações de fatores</w:t>
      </w:r>
      <w:r w:rsidRPr="00777E8F">
        <w:t xml:space="preserve">, devem minimizar isso. Outra questão é a respeito da heterogeneidade individual não observada e variáveis como características familiares e demográficas. No entanto, enquanto isso possa afetar a estimativa do retorno por escolaridade, dificilmente afetaria as </w:t>
      </w:r>
      <w:r w:rsidRPr="001D0525">
        <w:rPr>
          <w:i/>
        </w:rPr>
        <w:t>dummies</w:t>
      </w:r>
      <w:r w:rsidRPr="00777E8F">
        <w:t xml:space="preserve"> de localidade. Mesmo assim o teste de robustez com relação as não-observáveis proposto por Oster </w:t>
      </w:r>
      <w:sdt>
        <w:sdtPr>
          <w:id w:val="-1877146073"/>
          <w:citation/>
        </w:sdtPr>
        <w:sdtContent>
          <w:r w:rsidRPr="00777E8F">
            <w:fldChar w:fldCharType="begin"/>
          </w:r>
          <w:r w:rsidRPr="00777E8F">
            <w:instrText xml:space="preserve">CITATION Ost14 \n  \t  \l 1046 </w:instrText>
          </w:r>
          <w:r w:rsidRPr="00777E8F">
            <w:fldChar w:fldCharType="separate"/>
          </w:r>
          <w:r>
            <w:rPr>
              <w:noProof/>
            </w:rPr>
            <w:t>(2014)</w:t>
          </w:r>
          <w:r w:rsidRPr="00777E8F">
            <w:fldChar w:fldCharType="end"/>
          </w:r>
        </w:sdtContent>
      </w:sdt>
      <w:r w:rsidRPr="00777E8F">
        <w:t xml:space="preserve"> será realizado.</w:t>
      </w:r>
    </w:p>
  </w:footnote>
  <w:footnote w:id="9">
    <w:p w14:paraId="412DEB92" w14:textId="77777777" w:rsidR="00F25AC8" w:rsidRPr="00073341" w:rsidRDefault="00F25AC8" w:rsidP="004601DE">
      <w:pPr>
        <w:pStyle w:val="Textodenotaderodap"/>
        <w:jc w:val="both"/>
      </w:pPr>
      <w:r>
        <w:rPr>
          <w:rStyle w:val="Refdenotaderodap"/>
          <w:rFonts w:eastAsiaTheme="majorEastAsia"/>
        </w:rPr>
        <w:footnoteRef/>
      </w:r>
      <w:r>
        <w:t xml:space="preserve"> Seja </w:t>
      </w:r>
      <m:oMath>
        <m:r>
          <w:rPr>
            <w:rFonts w:ascii="Cambria Math" w:hAnsi="Cambria Math"/>
          </w:rPr>
          <m:t>Y= βX+γ</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+ϵ</m:t>
        </m:r>
      </m:oMath>
      <w:r>
        <w:rPr>
          <w:rFonts w:eastAsiaTheme="minorEastAsia"/>
        </w:rPr>
        <w:t xml:space="preserve">, onde </w:t>
      </w:r>
      <w:r w:rsidRPr="00E2081F">
        <w:rPr>
          <w:rFonts w:eastAsiaTheme="minorEastAsia"/>
        </w:rPr>
        <w:t>X</w:t>
      </w:r>
      <w:r>
        <w:rPr>
          <w:rFonts w:eastAsiaTheme="minorEastAsia"/>
        </w:rPr>
        <w:t xml:space="preserve"> representa o tratamento,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oMath>
      <w:r>
        <w:rPr>
          <w:rFonts w:eastAsiaTheme="minorEastAsia"/>
        </w:rPr>
        <w:t xml:space="preserve"> 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as observáveis e não-observáveis respectivamente. Como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é não observável ela não está presente na regressão e lhe confere viés. Seja a hipótese de seleção proporcional  </w:t>
      </w:r>
      <m:oMath>
        <m:r>
          <w:rPr>
            <w:rFonts w:ascii="Cambria Math" w:eastAsiaTheme="minorEastAsia" w:hAnsi="Cambria Math"/>
          </w:rPr>
          <m:t>δ</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1x</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2x</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22</m:t>
                </m:r>
              </m:sub>
            </m:sSub>
          </m:den>
        </m:f>
      </m:oMath>
      <w:r>
        <w:rPr>
          <w:rFonts w:eastAsiaTheme="minorEastAsia"/>
        </w:rPr>
        <w:t xml:space="preserve">, onde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ix</m:t>
            </m:r>
          </m:sub>
        </m:sSub>
        <m:r>
          <w:rPr>
            <w:rFonts w:ascii="Cambria Math" w:eastAsiaTheme="minorEastAsia" w:hAnsi="Cambria Math"/>
          </w:rPr>
          <m:t>=Cov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ii</m:t>
            </m:r>
          </m:sub>
        </m:sSub>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oMath>
      <w:r>
        <w:rPr>
          <w:rFonts w:eastAsiaTheme="minorEastAsia"/>
        </w:rPr>
        <w:t xml:space="preserve"> e </w:t>
      </w:r>
      <m:oMath>
        <m:r>
          <w:rPr>
            <w:rFonts w:ascii="Cambria Math" w:eastAsiaTheme="minorEastAsia" w:hAnsi="Cambria Math"/>
          </w:rPr>
          <m:t>δ</m:t>
        </m:r>
      </m:oMath>
      <w:r>
        <w:rPr>
          <w:rFonts w:eastAsiaTheme="minorEastAsia"/>
        </w:rPr>
        <w:t xml:space="preserve"> o coeficiente de proporcionalidade . Seja ainda  </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o coeficiente e o </w:t>
      </w:r>
      <w:r w:rsidRPr="00E2081F">
        <w:rPr>
          <w:rFonts w:eastAsiaTheme="minorEastAsia"/>
        </w:rPr>
        <w:t>R</w:t>
      </w:r>
      <w:r>
        <w:rPr>
          <w:rFonts w:eastAsiaTheme="minorEastAsia"/>
          <w:vertAlign w:val="superscript"/>
        </w:rPr>
        <w:t>2</w:t>
      </w:r>
      <w:r>
        <w:rPr>
          <w:rFonts w:eastAsiaTheme="minorEastAsia"/>
        </w:rPr>
        <w:t xml:space="preserve"> da regressão entre </w:t>
      </w:r>
      <w:r w:rsidRPr="00E2081F">
        <w:rPr>
          <w:rFonts w:eastAsiaTheme="minorEastAsia"/>
        </w:rPr>
        <w:t>Y</w:t>
      </w:r>
      <w:r>
        <w:rPr>
          <w:rFonts w:eastAsiaTheme="minorEastAsia"/>
        </w:rPr>
        <w:t xml:space="preserve"> e </w:t>
      </w:r>
      <w:r w:rsidRPr="00E2081F">
        <w:rPr>
          <w:rFonts w:eastAsiaTheme="minorEastAsia"/>
        </w:rPr>
        <w:t>X</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o coeficiente e o </w:t>
      </w:r>
      <w:r w:rsidRPr="00E2081F">
        <w:rPr>
          <w:rFonts w:eastAsiaTheme="minorEastAsia"/>
        </w:rPr>
        <w:t>R</w:t>
      </w:r>
      <w:r>
        <w:rPr>
          <w:rFonts w:eastAsiaTheme="minorEastAsia"/>
          <w:vertAlign w:val="superscript"/>
        </w:rPr>
        <w:t>2</w:t>
      </w:r>
      <w:r>
        <w:rPr>
          <w:rFonts w:eastAsiaTheme="minorEastAsia"/>
        </w:rPr>
        <w:t xml:space="preserve"> da regressão entre </w:t>
      </w:r>
      <w:r w:rsidRPr="00E2081F">
        <w:rPr>
          <w:rFonts w:eastAsiaTheme="minorEastAsia"/>
        </w:rPr>
        <w:t>Y</w:t>
      </w:r>
      <w:r>
        <w:rPr>
          <w:rFonts w:eastAsiaTheme="minorEastAsia"/>
        </w:rPr>
        <w:t xml:space="preserve">, </w:t>
      </w:r>
      <w:r w:rsidRPr="00E2081F">
        <w:rPr>
          <w:rFonts w:eastAsiaTheme="minorEastAsia"/>
        </w:rPr>
        <w:t>X</w:t>
      </w:r>
      <w:r>
        <w:rPr>
          <w:rFonts w:eastAsiaTheme="minorEastAsia"/>
        </w:rPr>
        <w:t xml:space="preserve"> e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oMath>
      <w:r>
        <w:rPr>
          <w:rFonts w:eastAsiaTheme="minorEastAsia"/>
        </w:rPr>
        <w:t xml:space="preserve">. Finalmente, defina </w:t>
      </w:r>
      <w:r w:rsidRPr="00E2081F">
        <w:rPr>
          <w:rFonts w:eastAsiaTheme="minorEastAsia"/>
        </w:rPr>
        <w:t>R</w:t>
      </w:r>
      <w:r>
        <w:rPr>
          <w:rFonts w:eastAsiaTheme="minorEastAsia"/>
          <w:vertAlign w:val="subscript"/>
        </w:rPr>
        <w:t>max</w:t>
      </w:r>
      <w:r>
        <w:rPr>
          <w:rFonts w:eastAsiaTheme="minorEastAsia"/>
        </w:rPr>
        <w:t xml:space="preserve"> o </w:t>
      </w:r>
      <w:r w:rsidRPr="00E2081F">
        <w:rPr>
          <w:rFonts w:eastAsiaTheme="minorEastAsia"/>
        </w:rPr>
        <w:t>R</w:t>
      </w:r>
      <w:r>
        <w:rPr>
          <w:rFonts w:eastAsiaTheme="minorEastAsia"/>
          <w:vertAlign w:val="superscript"/>
        </w:rPr>
        <w:t>2</w:t>
      </w:r>
      <w:r>
        <w:rPr>
          <w:rFonts w:eastAsiaTheme="minorEastAsia"/>
        </w:rPr>
        <w:t xml:space="preserve"> da regressão hipotética de </w:t>
      </w:r>
      <w:r w:rsidRPr="00E2081F">
        <w:rPr>
          <w:rFonts w:eastAsiaTheme="minorEastAsia"/>
        </w:rPr>
        <w:t>Y</w:t>
      </w:r>
      <w:r>
        <w:rPr>
          <w:rFonts w:eastAsiaTheme="minorEastAsia"/>
        </w:rPr>
        <w:t xml:space="preserve"> em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oMath>
      <w:r>
        <w:rPr>
          <w:rFonts w:eastAsiaTheme="minorEastAsia"/>
        </w:rPr>
        <w:t xml:space="preserve"> 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O viés de seleção é </w:t>
      </w:r>
      <m:oMath>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δ</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num>
          <m:den>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den>
        </m:f>
      </m:oMath>
      <w:r>
        <w:rPr>
          <w:rFonts w:eastAsiaTheme="minorEastAsia"/>
        </w:rPr>
        <w:t xml:space="preserve">, onde </w:t>
      </w:r>
      <m:oMath>
        <m:acc>
          <m:accPr>
            <m:chr m:val="⃛"/>
            <m:ctrlPr>
              <w:rPr>
                <w:rFonts w:ascii="Cambria Math" w:eastAsiaTheme="minorEastAsia" w:hAnsi="Cambria Math"/>
                <w:i/>
              </w:rPr>
            </m:ctrlPr>
          </m:accPr>
          <m:e>
            <m:r>
              <w:rPr>
                <w:rFonts w:ascii="Cambria Math" w:eastAsiaTheme="minorEastAsia" w:hAnsi="Cambria Math"/>
              </w:rPr>
              <m:t>β</m:t>
            </m:r>
          </m:e>
        </m:acc>
        <m:box>
          <m:boxPr>
            <m:opEmu m:val="1"/>
            <m:ctrlPr>
              <w:rPr>
                <w:rFonts w:ascii="Cambria Math" w:eastAsiaTheme="minorEastAsia" w:hAnsi="Cambria Math"/>
                <w:i/>
              </w:rPr>
            </m:ctrlPr>
          </m:boxPr>
          <m:e>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p</m:t>
                    </m:r>
                  </m:e>
                </m:groupChr>
              </m:e>
            </m:box>
          </m:e>
        </m:box>
        <m:r>
          <w:rPr>
            <w:rFonts w:ascii="Cambria Math" w:eastAsiaTheme="minorEastAsia" w:hAnsi="Cambria Math"/>
          </w:rPr>
          <m:t>β</m:t>
        </m:r>
      </m:oMath>
      <w:r>
        <w:rPr>
          <w:rFonts w:eastAsiaTheme="minorEastAsia"/>
        </w:rPr>
        <w:t xml:space="preserve"> e </w:t>
      </w:r>
      <m:oMath>
        <m:r>
          <w:rPr>
            <w:rFonts w:ascii="Cambria Math" w:eastAsiaTheme="minorEastAsia" w:hAnsi="Cambria Math"/>
          </w:rPr>
          <m:t>δ≈</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β</m:t>
                </m:r>
              </m:e>
            </m:acc>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den>
            </m:f>
          </m:e>
        </m:d>
      </m:oMath>
      <w:r>
        <w:rPr>
          <w:rFonts w:eastAsiaTheme="minorEastAsia"/>
        </w:rPr>
        <w:t xml:space="preserve">. Assim, ao calcular </w:t>
      </w:r>
      <m:oMath>
        <m:r>
          <w:rPr>
            <w:rFonts w:ascii="Cambria Math" w:eastAsiaTheme="minorEastAsia" w:hAnsi="Cambria Math"/>
          </w:rPr>
          <m:t>δ</m:t>
        </m:r>
      </m:oMath>
      <w:r>
        <w:rPr>
          <w:rFonts w:eastAsiaTheme="minorEastAsia"/>
        </w:rPr>
        <w:t xml:space="preserve"> busca-se saber quão grande deveria ser o viés para que o efeito do tratamento </w:t>
      </w:r>
      <m:oMath>
        <m:r>
          <w:rPr>
            <w:rFonts w:ascii="Cambria Math" w:eastAsiaTheme="minorEastAsia" w:hAnsi="Cambria Math"/>
          </w:rPr>
          <m:t>β</m:t>
        </m:r>
      </m:oMath>
      <w:r>
        <w:rPr>
          <w:rFonts w:eastAsiaTheme="minorEastAsia"/>
        </w:rPr>
        <w:t xml:space="preserve"> pudesse ser considerado 0</w:t>
      </w:r>
      <w:r w:rsidRPr="00073341">
        <w:rPr>
          <w:rFonts w:eastAsiaTheme="minorEastAsia"/>
        </w:rPr>
        <w:t xml:space="preserve">. Busca-se um valor superior a unidade, por exemplo: para um </w:t>
      </w:r>
      <m:oMath>
        <m:r>
          <w:rPr>
            <w:rFonts w:ascii="Cambria Math" w:eastAsiaTheme="minorEastAsia" w:hAnsi="Cambria Math"/>
          </w:rPr>
          <m:t>δ=2</m:t>
        </m:r>
      </m:oMath>
      <w:r w:rsidRPr="00073341">
        <w:rPr>
          <w:rFonts w:eastAsiaTheme="minorEastAsia"/>
        </w:rPr>
        <w:t xml:space="preserve"> significa que as não observáveis precisariam ser 2 vezes mais importantes que as observáveis para produzir um efeito de tratamento 0. Já um </w:t>
      </w:r>
      <m:oMath>
        <m:r>
          <w:rPr>
            <w:rFonts w:ascii="Cambria Math" w:eastAsiaTheme="minorEastAsia" w:hAnsi="Cambria Math"/>
          </w:rPr>
          <m:t>δ=1</m:t>
        </m:r>
      </m:oMath>
      <w:r w:rsidRPr="00073341">
        <w:rPr>
          <w:rFonts w:eastAsiaTheme="minorEastAsia"/>
        </w:rPr>
        <w:t xml:space="preserve"> significa que as não observáveis são ao menos tão importantes quanto às observáveis </w:t>
      </w:r>
      <w:sdt>
        <w:sdtPr>
          <w:rPr>
            <w:rFonts w:eastAsiaTheme="minorEastAsia"/>
          </w:rPr>
          <w:id w:val="-1204559070"/>
          <w:citation/>
        </w:sdtPr>
        <w:sdtContent>
          <w:r>
            <w:rPr>
              <w:rFonts w:eastAsiaTheme="minorEastAsia"/>
            </w:rPr>
            <w:fldChar w:fldCharType="begin"/>
          </w:r>
          <w:r>
            <w:rPr>
              <w:rFonts w:eastAsiaTheme="minorEastAsia"/>
            </w:rPr>
            <w:instrText xml:space="preserve"> CITATION Ost14 \l 1046 </w:instrText>
          </w:r>
          <w:r>
            <w:rPr>
              <w:rFonts w:eastAsiaTheme="minorEastAsia"/>
            </w:rPr>
            <w:fldChar w:fldCharType="separate"/>
          </w:r>
          <w:r w:rsidRPr="00F75457">
            <w:rPr>
              <w:rFonts w:eastAsiaTheme="minorEastAsia"/>
              <w:noProof/>
            </w:rPr>
            <w:t>(OSTER, 2014)</w:t>
          </w:r>
          <w:r>
            <w:rPr>
              <w:rFonts w:eastAsiaTheme="minorEastAsia"/>
            </w:rPr>
            <w:fldChar w:fldCharType="end"/>
          </w:r>
        </w:sdtContent>
      </w:sdt>
      <w:r w:rsidRPr="00073341">
        <w:rPr>
          <w:rFonts w:eastAsiaTheme="minorEastAsia"/>
        </w:rPr>
        <w:t>.</w:t>
      </w:r>
    </w:p>
  </w:footnote>
  <w:footnote w:id="10">
    <w:p w14:paraId="19B321F9" w14:textId="77777777" w:rsidR="00F25AC8" w:rsidRDefault="00F25AC8" w:rsidP="004601DE">
      <w:pPr>
        <w:pStyle w:val="Textodenotaderodap"/>
      </w:pPr>
      <w:r>
        <w:rPr>
          <w:rStyle w:val="Refdenotaderodap"/>
          <w:rFonts w:eastAsiaTheme="majorEastAsia"/>
        </w:rPr>
        <w:footnoteRef/>
      </w:r>
      <w:r>
        <w:t xml:space="preserve"> Chiquiar (2008) o faz em quatro passos, sendo o segundo a inclusão do conjunto de variáveis formado por ‘setor’, ‘ocupação’ e ‘posição no trabalho’. Essas variáveis não apresentaram relevância para explicar as mudanças nos salários das regiões do México no decênio 1990-2000. Aqui incluíram-se </w:t>
      </w:r>
      <w:r w:rsidRPr="00967B97">
        <w:rPr>
          <w:i/>
        </w:rPr>
        <w:t>dummies</w:t>
      </w:r>
      <w:r>
        <w:t xml:space="preserve"> para setores no primeiro passo.</w:t>
      </w:r>
    </w:p>
  </w:footnote>
  <w:footnote w:id="11">
    <w:p w14:paraId="7722A7B9" w14:textId="77777777" w:rsidR="00F25AC8" w:rsidRDefault="00F25AC8" w:rsidP="004601DE">
      <w:pPr>
        <w:pStyle w:val="Textodenotaderodap"/>
      </w:pPr>
      <w:r>
        <w:rPr>
          <w:rStyle w:val="Refdenotaderodap"/>
          <w:rFonts w:eastAsiaTheme="majorEastAsia"/>
        </w:rPr>
        <w:footnoteRef/>
      </w:r>
      <w:r>
        <w:t xml:space="preserve"> Venables e Limão (2002) elaboram os padrões considerando os fatores capital (</w:t>
      </w:r>
      <w:r w:rsidRPr="00405B5D">
        <w:t>r</w:t>
      </w:r>
      <w:r>
        <w:t>) e trabalho (</w:t>
      </w:r>
      <w:r w:rsidRPr="00405B5D">
        <w:t>w</w:t>
      </w:r>
      <w:r>
        <w:t>), mas outras combinações de fatores podem ser pensadas, como trabalho qualificado e não-qualificado.</w:t>
      </w:r>
    </w:p>
  </w:footnote>
  <w:footnote w:id="12">
    <w:p w14:paraId="07895AE6" w14:textId="77777777" w:rsidR="00F25AC8" w:rsidRDefault="00F25AC8" w:rsidP="004601DE">
      <w:pPr>
        <w:pStyle w:val="Textodenotaderodap"/>
        <w:jc w:val="both"/>
      </w:pPr>
      <w:r>
        <w:rPr>
          <w:rStyle w:val="Refdenotaderodap"/>
          <w:rFonts w:eastAsiaTheme="majorEastAsia"/>
        </w:rPr>
        <w:footnoteRef/>
      </w:r>
      <w:r>
        <w:t xml:space="preserve"> Os salários foram medidos a partir da remuneração média do ano e deflacionados a preços de 2000. A experiência foi obtida fazendo-se: idade – 6 – anos de escolaridade, como usual. Os anos de escolaridade podem carregar alguma imprecisão, pois são estimados a partir do nível de escolaridade informado. Quando o nível da escolaridade é declarado como incompleto, atribuiu-se a quantidade de anos que corresponde à metade do caminho para completá-lo. Isso também traz imprecisão à variável ‘experiência’. </w:t>
      </w:r>
    </w:p>
  </w:footnote>
  <w:footnote w:id="13">
    <w:p w14:paraId="3B70D23E" w14:textId="59A536BD" w:rsidR="00F25AC8" w:rsidRDefault="00F25AC8" w:rsidP="004601DE">
      <w:pPr>
        <w:pStyle w:val="Textodenotaderodap"/>
        <w:jc w:val="both"/>
      </w:pPr>
      <w:r>
        <w:rPr>
          <w:rStyle w:val="Refdenotaderodap"/>
          <w:rFonts w:eastAsiaTheme="majorEastAsia"/>
        </w:rPr>
        <w:footnoteRef/>
      </w:r>
      <w:r>
        <w:t xml:space="preserve"> O tamanho da amostra foi definido pelas restrições tecnológicas disponíveis para esse trabalho, um servidor com 32G de memória RAM, octacore, trabalhando com regressões do porte desse trabalho nos programas estatísticos R e Stata 13.0.</w:t>
      </w:r>
    </w:p>
  </w:footnote>
  <w:footnote w:id="14">
    <w:p w14:paraId="723E6033" w14:textId="77777777" w:rsidR="00F25AC8" w:rsidRDefault="00F25AC8" w:rsidP="004601DE">
      <w:pPr>
        <w:pStyle w:val="Textodenotaderodap"/>
      </w:pPr>
      <w:r>
        <w:rPr>
          <w:rStyle w:val="Refdenotaderodap"/>
          <w:rFonts w:eastAsiaTheme="majorEastAsia"/>
        </w:rPr>
        <w:footnoteRef/>
      </w:r>
      <w:r>
        <w:t xml:space="preserve"> Aos municípios que não apresentaram área plantada nos anos da pesquisa foi atribuído o valor máximo de área plantada apresentado no grupo de municípios de mesma faixa populacional.</w:t>
      </w:r>
    </w:p>
  </w:footnote>
  <w:footnote w:id="15">
    <w:p w14:paraId="5EBAAFA2" w14:textId="77777777" w:rsidR="00F25AC8" w:rsidRDefault="00F25AC8" w:rsidP="004601DE">
      <w:pPr>
        <w:pStyle w:val="Textodenotaderodap"/>
        <w:jc w:val="both"/>
      </w:pPr>
      <w:r>
        <w:rPr>
          <w:rStyle w:val="Refdenotaderodap"/>
          <w:rFonts w:eastAsiaTheme="majorEastAsia"/>
        </w:rPr>
        <w:footnoteRef/>
      </w:r>
      <w:r>
        <w:t xml:space="preserve"> Como em Chiquiar (2008), para obter estas estimativas os dados de 2000 e de 2010 foram apensados e uma única equação foi estimada. Uma </w:t>
      </w:r>
      <w:r w:rsidRPr="00BA7614">
        <w:rPr>
          <w:i/>
        </w:rPr>
        <w:t>dummy</w:t>
      </w:r>
      <w:r>
        <w:t xml:space="preserve"> igual a 1 para dados de 2010, juntamente com sua iteração com todas as variáveis explicativas, foi incluída em uma regressão </w:t>
      </w:r>
      <w:r w:rsidRPr="00BA7614">
        <w:rPr>
          <w:i/>
        </w:rPr>
        <w:t>pooled</w:t>
      </w:r>
      <w:r>
        <w:t>. Com isso, foi possível obter simultaneamente os coeficientes estimados para cada ano e testar a significância estatística das diferenças nos coeficientes entre 2000 e 2010. Os erros-padrão reportados na tabela são os robustos clusterizados por municípios.</w:t>
      </w:r>
    </w:p>
  </w:footnote>
  <w:footnote w:id="16">
    <w:p w14:paraId="73CA43B8" w14:textId="6932A320" w:rsidR="00F25AC8" w:rsidRDefault="00F25AC8">
      <w:pPr>
        <w:pStyle w:val="Textodenotaderodap"/>
      </w:pPr>
      <w:r>
        <w:rPr>
          <w:rStyle w:val="Refdenotaderodap"/>
        </w:rPr>
        <w:footnoteRef/>
      </w:r>
      <w:r>
        <w:t xml:space="preserve"> Por economia de espaço, os coeficientes das </w:t>
      </w:r>
      <w:r w:rsidRPr="00ED44CF">
        <w:rPr>
          <w:i/>
        </w:rPr>
        <w:t>dummies</w:t>
      </w:r>
      <w:r>
        <w:t xml:space="preserve"> para as 136 mesorregiões e suas iterações não foram reportados. Em seu lugar oferecesse os mapas que apresentam os movimentos observados nesses coeficientes quando incluídas as variáveis de exposição ao comércio, ou seja, na etapa III, objetivo principal do estudo.</w:t>
      </w:r>
    </w:p>
  </w:footnote>
  <w:footnote w:id="17">
    <w:p w14:paraId="2DF9AAD1" w14:textId="6496106F" w:rsidR="00F25AC8" w:rsidRDefault="00F25AC8">
      <w:pPr>
        <w:pStyle w:val="Textodenotaderodap"/>
      </w:pPr>
      <w:r>
        <w:rPr>
          <w:rStyle w:val="Refdenotaderodap"/>
        </w:rPr>
        <w:footnoteRef/>
      </w:r>
      <w:r>
        <w:t xml:space="preserve"> Corresponde aos coeficientes das mesorregiões iteradas com ano, sendo o grupo base 2000. Também não reportados.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AD6"/>
    <w:multiLevelType w:val="multilevel"/>
    <w:tmpl w:val="B0961990"/>
    <w:numStyleLink w:val="Estilo1"/>
  </w:abstractNum>
  <w:abstractNum w:abstractNumId="1" w15:restartNumberingAfterBreak="0">
    <w:nsid w:val="049E5333"/>
    <w:multiLevelType w:val="hybridMultilevel"/>
    <w:tmpl w:val="173E0B88"/>
    <w:lvl w:ilvl="0" w:tplc="DD328AC0">
      <w:start w:val="1"/>
      <w:numFmt w:val="bullet"/>
      <w:lvlText w:val="•"/>
      <w:lvlJc w:val="left"/>
      <w:pPr>
        <w:tabs>
          <w:tab w:val="num" w:pos="720"/>
        </w:tabs>
        <w:ind w:left="720" w:hanging="360"/>
      </w:pPr>
      <w:rPr>
        <w:rFonts w:ascii="Arial" w:hAnsi="Arial" w:hint="default"/>
      </w:rPr>
    </w:lvl>
    <w:lvl w:ilvl="1" w:tplc="874A987C" w:tentative="1">
      <w:start w:val="1"/>
      <w:numFmt w:val="bullet"/>
      <w:lvlText w:val="•"/>
      <w:lvlJc w:val="left"/>
      <w:pPr>
        <w:tabs>
          <w:tab w:val="num" w:pos="1440"/>
        </w:tabs>
        <w:ind w:left="1440" w:hanging="360"/>
      </w:pPr>
      <w:rPr>
        <w:rFonts w:ascii="Arial" w:hAnsi="Arial" w:hint="default"/>
      </w:rPr>
    </w:lvl>
    <w:lvl w:ilvl="2" w:tplc="336892EE">
      <w:start w:val="1"/>
      <w:numFmt w:val="bullet"/>
      <w:lvlText w:val="•"/>
      <w:lvlJc w:val="left"/>
      <w:pPr>
        <w:tabs>
          <w:tab w:val="num" w:pos="2160"/>
        </w:tabs>
        <w:ind w:left="2160" w:hanging="360"/>
      </w:pPr>
      <w:rPr>
        <w:rFonts w:ascii="Arial" w:hAnsi="Arial" w:hint="default"/>
      </w:rPr>
    </w:lvl>
    <w:lvl w:ilvl="3" w:tplc="335CDE04" w:tentative="1">
      <w:start w:val="1"/>
      <w:numFmt w:val="bullet"/>
      <w:lvlText w:val="•"/>
      <w:lvlJc w:val="left"/>
      <w:pPr>
        <w:tabs>
          <w:tab w:val="num" w:pos="2880"/>
        </w:tabs>
        <w:ind w:left="2880" w:hanging="360"/>
      </w:pPr>
      <w:rPr>
        <w:rFonts w:ascii="Arial" w:hAnsi="Arial" w:hint="default"/>
      </w:rPr>
    </w:lvl>
    <w:lvl w:ilvl="4" w:tplc="0132450C" w:tentative="1">
      <w:start w:val="1"/>
      <w:numFmt w:val="bullet"/>
      <w:lvlText w:val="•"/>
      <w:lvlJc w:val="left"/>
      <w:pPr>
        <w:tabs>
          <w:tab w:val="num" w:pos="3600"/>
        </w:tabs>
        <w:ind w:left="3600" w:hanging="360"/>
      </w:pPr>
      <w:rPr>
        <w:rFonts w:ascii="Arial" w:hAnsi="Arial" w:hint="default"/>
      </w:rPr>
    </w:lvl>
    <w:lvl w:ilvl="5" w:tplc="4D9CC23C" w:tentative="1">
      <w:start w:val="1"/>
      <w:numFmt w:val="bullet"/>
      <w:lvlText w:val="•"/>
      <w:lvlJc w:val="left"/>
      <w:pPr>
        <w:tabs>
          <w:tab w:val="num" w:pos="4320"/>
        </w:tabs>
        <w:ind w:left="4320" w:hanging="360"/>
      </w:pPr>
      <w:rPr>
        <w:rFonts w:ascii="Arial" w:hAnsi="Arial" w:hint="default"/>
      </w:rPr>
    </w:lvl>
    <w:lvl w:ilvl="6" w:tplc="EC60B9F0" w:tentative="1">
      <w:start w:val="1"/>
      <w:numFmt w:val="bullet"/>
      <w:lvlText w:val="•"/>
      <w:lvlJc w:val="left"/>
      <w:pPr>
        <w:tabs>
          <w:tab w:val="num" w:pos="5040"/>
        </w:tabs>
        <w:ind w:left="5040" w:hanging="360"/>
      </w:pPr>
      <w:rPr>
        <w:rFonts w:ascii="Arial" w:hAnsi="Arial" w:hint="default"/>
      </w:rPr>
    </w:lvl>
    <w:lvl w:ilvl="7" w:tplc="C1C66C8E" w:tentative="1">
      <w:start w:val="1"/>
      <w:numFmt w:val="bullet"/>
      <w:lvlText w:val="•"/>
      <w:lvlJc w:val="left"/>
      <w:pPr>
        <w:tabs>
          <w:tab w:val="num" w:pos="5760"/>
        </w:tabs>
        <w:ind w:left="5760" w:hanging="360"/>
      </w:pPr>
      <w:rPr>
        <w:rFonts w:ascii="Arial" w:hAnsi="Arial" w:hint="default"/>
      </w:rPr>
    </w:lvl>
    <w:lvl w:ilvl="8" w:tplc="E2AC6A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A87FCD"/>
    <w:multiLevelType w:val="multilevel"/>
    <w:tmpl w:val="1DA2244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C415E5D"/>
    <w:multiLevelType w:val="hybridMultilevel"/>
    <w:tmpl w:val="586CACFE"/>
    <w:lvl w:ilvl="0" w:tplc="FC06318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136764"/>
    <w:multiLevelType w:val="multilevel"/>
    <w:tmpl w:val="23E6B50E"/>
    <w:lvl w:ilvl="0">
      <w:start w:val="1"/>
      <w:numFmt w:val="decimal"/>
      <w:lvlText w:val="%1."/>
      <w:lvlJc w:val="left"/>
      <w:pPr>
        <w:ind w:left="72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rPr>
        <w:rFonts w:ascii="Times New Roman" w:hAnsi="Times New Roman"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5" w15:restartNumberingAfterBreak="0">
    <w:nsid w:val="16027815"/>
    <w:multiLevelType w:val="multilevel"/>
    <w:tmpl w:val="0416001F"/>
    <w:styleLink w:val="EstiloVriosnveisNegritoesquerda0cmDeslocamento06"/>
    <w:lvl w:ilvl="0">
      <w:start w:val="1"/>
      <w:numFmt w:val="decimal"/>
      <w:lvlText w:val="%1."/>
      <w:lvlJc w:val="left"/>
      <w:pPr>
        <w:ind w:left="360" w:hanging="360"/>
      </w:pPr>
      <w:rPr>
        <w:rFonts w:ascii="Times New Roman" w:hAnsi="Times New Roman"/>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1605C7"/>
    <w:multiLevelType w:val="multilevel"/>
    <w:tmpl w:val="B0961990"/>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6431EA"/>
    <w:multiLevelType w:val="hybridMultilevel"/>
    <w:tmpl w:val="7AD25986"/>
    <w:lvl w:ilvl="0" w:tplc="310C02AC">
      <w:start w:val="1"/>
      <w:numFmt w:val="decimal"/>
      <w:lvlText w:val="%1."/>
      <w:lvlJc w:val="left"/>
      <w:pPr>
        <w:ind w:left="720" w:hanging="360"/>
      </w:pPr>
    </w:lvl>
    <w:lvl w:ilvl="1" w:tplc="44166BD8">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C55993"/>
    <w:multiLevelType w:val="hybridMultilevel"/>
    <w:tmpl w:val="5184B0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2355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7D1C17"/>
    <w:multiLevelType w:val="hybridMultilevel"/>
    <w:tmpl w:val="6B841F88"/>
    <w:lvl w:ilvl="0" w:tplc="6186EBD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B171493"/>
    <w:multiLevelType w:val="multilevel"/>
    <w:tmpl w:val="927ADE4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DF653D0"/>
    <w:multiLevelType w:val="multilevel"/>
    <w:tmpl w:val="21A03E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643840"/>
    <w:multiLevelType w:val="multilevel"/>
    <w:tmpl w:val="D3E20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152E2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556975"/>
    <w:multiLevelType w:val="hybridMultilevel"/>
    <w:tmpl w:val="FA08B1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4E96845"/>
    <w:multiLevelType w:val="multilevel"/>
    <w:tmpl w:val="E1DC622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581553AC"/>
    <w:multiLevelType w:val="hybridMultilevel"/>
    <w:tmpl w:val="A4049A64"/>
    <w:lvl w:ilvl="0" w:tplc="0B3C49F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832437C"/>
    <w:multiLevelType w:val="hybridMultilevel"/>
    <w:tmpl w:val="3A589CBC"/>
    <w:lvl w:ilvl="0" w:tplc="5B380C4E">
      <w:start w:val="1"/>
      <w:numFmt w:val="decimal"/>
      <w:lvlText w:val="%1."/>
      <w:lvlJc w:val="left"/>
      <w:pPr>
        <w:ind w:left="720" w:hanging="360"/>
      </w:pPr>
    </w:lvl>
    <w:lvl w:ilvl="1" w:tplc="D9E6CB02">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9596599"/>
    <w:multiLevelType w:val="multilevel"/>
    <w:tmpl w:val="A8C623D4"/>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98E70E0"/>
    <w:multiLevelType w:val="multilevel"/>
    <w:tmpl w:val="F9109E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1383E"/>
    <w:multiLevelType w:val="hybridMultilevel"/>
    <w:tmpl w:val="E4C2AD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6C997ABA"/>
    <w:multiLevelType w:val="hybridMultilevel"/>
    <w:tmpl w:val="F4F874B2"/>
    <w:lvl w:ilvl="0" w:tplc="60A04A76">
      <w:start w:val="1"/>
      <w:numFmt w:val="bullet"/>
      <w:lvlText w:val="•"/>
      <w:lvlJc w:val="left"/>
      <w:pPr>
        <w:tabs>
          <w:tab w:val="num" w:pos="360"/>
        </w:tabs>
        <w:ind w:left="360" w:hanging="360"/>
      </w:pPr>
      <w:rPr>
        <w:rFonts w:ascii="Arial" w:hAnsi="Arial" w:hint="default"/>
      </w:rPr>
    </w:lvl>
    <w:lvl w:ilvl="1" w:tplc="0C60FD36">
      <w:start w:val="1"/>
      <w:numFmt w:val="bullet"/>
      <w:lvlText w:val="•"/>
      <w:lvlJc w:val="left"/>
      <w:pPr>
        <w:tabs>
          <w:tab w:val="num" w:pos="1080"/>
        </w:tabs>
        <w:ind w:left="1080" w:hanging="360"/>
      </w:pPr>
      <w:rPr>
        <w:rFonts w:ascii="Arial" w:hAnsi="Arial" w:hint="default"/>
      </w:rPr>
    </w:lvl>
    <w:lvl w:ilvl="2" w:tplc="A4D05A52">
      <w:start w:val="1"/>
      <w:numFmt w:val="bullet"/>
      <w:lvlText w:val="•"/>
      <w:lvlJc w:val="left"/>
      <w:pPr>
        <w:tabs>
          <w:tab w:val="num" w:pos="1800"/>
        </w:tabs>
        <w:ind w:left="1800" w:hanging="360"/>
      </w:pPr>
      <w:rPr>
        <w:rFonts w:ascii="Arial" w:hAnsi="Arial" w:hint="default"/>
      </w:rPr>
    </w:lvl>
    <w:lvl w:ilvl="3" w:tplc="8806CD46">
      <w:start w:val="1"/>
      <w:numFmt w:val="bullet"/>
      <w:lvlText w:val="•"/>
      <w:lvlJc w:val="left"/>
      <w:pPr>
        <w:tabs>
          <w:tab w:val="num" w:pos="2520"/>
        </w:tabs>
        <w:ind w:left="2520" w:hanging="360"/>
      </w:pPr>
      <w:rPr>
        <w:rFonts w:ascii="Arial" w:hAnsi="Arial" w:hint="default"/>
      </w:rPr>
    </w:lvl>
    <w:lvl w:ilvl="4" w:tplc="9F68CC96">
      <w:start w:val="24"/>
      <w:numFmt w:val="bullet"/>
      <w:lvlText w:val="•"/>
      <w:lvlJc w:val="left"/>
      <w:pPr>
        <w:tabs>
          <w:tab w:val="num" w:pos="3240"/>
        </w:tabs>
        <w:ind w:left="3240" w:hanging="360"/>
      </w:pPr>
      <w:rPr>
        <w:rFonts w:ascii="Arial" w:hAnsi="Arial" w:hint="default"/>
      </w:rPr>
    </w:lvl>
    <w:lvl w:ilvl="5" w:tplc="44A00AB6" w:tentative="1">
      <w:start w:val="1"/>
      <w:numFmt w:val="bullet"/>
      <w:lvlText w:val="•"/>
      <w:lvlJc w:val="left"/>
      <w:pPr>
        <w:tabs>
          <w:tab w:val="num" w:pos="3960"/>
        </w:tabs>
        <w:ind w:left="3960" w:hanging="360"/>
      </w:pPr>
      <w:rPr>
        <w:rFonts w:ascii="Arial" w:hAnsi="Arial" w:hint="default"/>
      </w:rPr>
    </w:lvl>
    <w:lvl w:ilvl="6" w:tplc="52641DE6" w:tentative="1">
      <w:start w:val="1"/>
      <w:numFmt w:val="bullet"/>
      <w:lvlText w:val="•"/>
      <w:lvlJc w:val="left"/>
      <w:pPr>
        <w:tabs>
          <w:tab w:val="num" w:pos="4680"/>
        </w:tabs>
        <w:ind w:left="4680" w:hanging="360"/>
      </w:pPr>
      <w:rPr>
        <w:rFonts w:ascii="Arial" w:hAnsi="Arial" w:hint="default"/>
      </w:rPr>
    </w:lvl>
    <w:lvl w:ilvl="7" w:tplc="5FF224EA" w:tentative="1">
      <w:start w:val="1"/>
      <w:numFmt w:val="bullet"/>
      <w:lvlText w:val="•"/>
      <w:lvlJc w:val="left"/>
      <w:pPr>
        <w:tabs>
          <w:tab w:val="num" w:pos="5400"/>
        </w:tabs>
        <w:ind w:left="5400" w:hanging="360"/>
      </w:pPr>
      <w:rPr>
        <w:rFonts w:ascii="Arial" w:hAnsi="Arial" w:hint="default"/>
      </w:rPr>
    </w:lvl>
    <w:lvl w:ilvl="8" w:tplc="7E04DC16"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6DDE3FA4"/>
    <w:multiLevelType w:val="hybridMultilevel"/>
    <w:tmpl w:val="9412E80A"/>
    <w:lvl w:ilvl="0" w:tplc="8FD0B16E">
      <w:start w:val="1"/>
      <w:numFmt w:val="decimal"/>
      <w:lvlText w:val="%1."/>
      <w:lvlJc w:val="left"/>
      <w:pPr>
        <w:tabs>
          <w:tab w:val="num" w:pos="720"/>
        </w:tabs>
        <w:ind w:left="720" w:hanging="360"/>
      </w:pPr>
    </w:lvl>
    <w:lvl w:ilvl="1" w:tplc="7B06F9C2">
      <w:start w:val="1"/>
      <w:numFmt w:val="decimal"/>
      <w:lvlText w:val="%2."/>
      <w:lvlJc w:val="left"/>
      <w:pPr>
        <w:tabs>
          <w:tab w:val="num" w:pos="1440"/>
        </w:tabs>
        <w:ind w:left="1440" w:hanging="360"/>
      </w:pPr>
    </w:lvl>
    <w:lvl w:ilvl="2" w:tplc="1004DDDC" w:tentative="1">
      <w:start w:val="1"/>
      <w:numFmt w:val="decimal"/>
      <w:lvlText w:val="%3."/>
      <w:lvlJc w:val="left"/>
      <w:pPr>
        <w:tabs>
          <w:tab w:val="num" w:pos="2160"/>
        </w:tabs>
        <w:ind w:left="2160" w:hanging="360"/>
      </w:pPr>
    </w:lvl>
    <w:lvl w:ilvl="3" w:tplc="CDFCECEC" w:tentative="1">
      <w:start w:val="1"/>
      <w:numFmt w:val="decimal"/>
      <w:lvlText w:val="%4."/>
      <w:lvlJc w:val="left"/>
      <w:pPr>
        <w:tabs>
          <w:tab w:val="num" w:pos="2880"/>
        </w:tabs>
        <w:ind w:left="2880" w:hanging="360"/>
      </w:pPr>
    </w:lvl>
    <w:lvl w:ilvl="4" w:tplc="AA9CCD3A" w:tentative="1">
      <w:start w:val="1"/>
      <w:numFmt w:val="decimal"/>
      <w:lvlText w:val="%5."/>
      <w:lvlJc w:val="left"/>
      <w:pPr>
        <w:tabs>
          <w:tab w:val="num" w:pos="3600"/>
        </w:tabs>
        <w:ind w:left="3600" w:hanging="360"/>
      </w:pPr>
    </w:lvl>
    <w:lvl w:ilvl="5" w:tplc="E89C33BA" w:tentative="1">
      <w:start w:val="1"/>
      <w:numFmt w:val="decimal"/>
      <w:lvlText w:val="%6."/>
      <w:lvlJc w:val="left"/>
      <w:pPr>
        <w:tabs>
          <w:tab w:val="num" w:pos="4320"/>
        </w:tabs>
        <w:ind w:left="4320" w:hanging="360"/>
      </w:pPr>
    </w:lvl>
    <w:lvl w:ilvl="6" w:tplc="D99E4036" w:tentative="1">
      <w:start w:val="1"/>
      <w:numFmt w:val="decimal"/>
      <w:lvlText w:val="%7."/>
      <w:lvlJc w:val="left"/>
      <w:pPr>
        <w:tabs>
          <w:tab w:val="num" w:pos="5040"/>
        </w:tabs>
        <w:ind w:left="5040" w:hanging="360"/>
      </w:pPr>
    </w:lvl>
    <w:lvl w:ilvl="7" w:tplc="B97A25A2" w:tentative="1">
      <w:start w:val="1"/>
      <w:numFmt w:val="decimal"/>
      <w:lvlText w:val="%8."/>
      <w:lvlJc w:val="left"/>
      <w:pPr>
        <w:tabs>
          <w:tab w:val="num" w:pos="5760"/>
        </w:tabs>
        <w:ind w:left="5760" w:hanging="360"/>
      </w:pPr>
    </w:lvl>
    <w:lvl w:ilvl="8" w:tplc="3A32E890" w:tentative="1">
      <w:start w:val="1"/>
      <w:numFmt w:val="decimal"/>
      <w:lvlText w:val="%9."/>
      <w:lvlJc w:val="left"/>
      <w:pPr>
        <w:tabs>
          <w:tab w:val="num" w:pos="6480"/>
        </w:tabs>
        <w:ind w:left="6480" w:hanging="360"/>
      </w:pPr>
    </w:lvl>
  </w:abstractNum>
  <w:abstractNum w:abstractNumId="24" w15:restartNumberingAfterBreak="0">
    <w:nsid w:val="6FED1BF0"/>
    <w:multiLevelType w:val="hybridMultilevel"/>
    <w:tmpl w:val="DBFAC932"/>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37F0F98"/>
    <w:multiLevelType w:val="multilevel"/>
    <w:tmpl w:val="BD80682E"/>
    <w:lvl w:ilvl="0">
      <w:start w:val="1"/>
      <w:numFmt w:val="decimal"/>
      <w:pStyle w:val="Estilo1tes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F3C6AB7"/>
    <w:multiLevelType w:val="multilevel"/>
    <w:tmpl w:val="EF88CECC"/>
    <w:lvl w:ilvl="0">
      <w:start w:val="1"/>
      <w:numFmt w:val="decimal"/>
      <w:pStyle w:val="CabealhodoSumri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5"/>
  </w:num>
  <w:num w:numId="2">
    <w:abstractNumId w:val="4"/>
  </w:num>
  <w:num w:numId="3">
    <w:abstractNumId w:val="5"/>
  </w:num>
  <w:num w:numId="4">
    <w:abstractNumId w:val="6"/>
  </w:num>
  <w:num w:numId="5">
    <w:abstractNumId w:val="14"/>
  </w:num>
  <w:num w:numId="6">
    <w:abstractNumId w:val="9"/>
  </w:num>
  <w:num w:numId="7">
    <w:abstractNumId w:val="19"/>
  </w:num>
  <w:num w:numId="8">
    <w:abstractNumId w:val="0"/>
  </w:num>
  <w:num w:numId="9">
    <w:abstractNumId w:val="0"/>
    <w:lvlOverride w:ilvl="0">
      <w:lvl w:ilvl="0">
        <w:start w:val="1"/>
        <w:numFmt w:val="decimal"/>
        <w:lvlText w:val="%1."/>
        <w:lvlJc w:val="left"/>
        <w:pPr>
          <w:ind w:left="357" w:hanging="357"/>
        </w:pPr>
        <w:rPr>
          <w:rFonts w:hint="default"/>
        </w:rPr>
      </w:lvl>
    </w:lvlOverride>
    <w:lvlOverride w:ilvl="1">
      <w:lvl w:ilvl="1">
        <w:start w:val="1"/>
        <w:numFmt w:val="decimal"/>
        <w:lvlRestart w:val="0"/>
        <w:lvlText w:val="%1.%2."/>
        <w:lvlJc w:val="left"/>
        <w:pPr>
          <w:ind w:left="714" w:hanging="357"/>
        </w:pPr>
        <w:rPr>
          <w:rFonts w:hint="default"/>
        </w:rPr>
      </w:lvl>
    </w:lvlOverride>
    <w:lvlOverride w:ilvl="2">
      <w:lvl w:ilvl="2">
        <w:start w:val="1"/>
        <w:numFmt w:val="decimal"/>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5"/>
  </w:num>
  <w:num w:numId="13">
    <w:abstractNumId w:val="8"/>
  </w:num>
  <w:num w:numId="14">
    <w:abstractNumId w:val="21"/>
  </w:num>
  <w:num w:numId="15">
    <w:abstractNumId w:val="22"/>
  </w:num>
  <w:num w:numId="16">
    <w:abstractNumId w:val="2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8"/>
  </w:num>
  <w:num w:numId="22">
    <w:abstractNumId w:val="20"/>
  </w:num>
  <w:num w:numId="23">
    <w:abstractNumId w:val="26"/>
  </w:num>
  <w:num w:numId="24">
    <w:abstractNumId w:val="17"/>
  </w:num>
  <w:num w:numId="25">
    <w:abstractNumId w:val="17"/>
    <w:lvlOverride w:ilvl="0">
      <w:startOverride w:val="1"/>
    </w:lvlOverride>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
  </w:num>
  <w:num w:numId="35">
    <w:abstractNumId w:val="10"/>
  </w:num>
  <w:num w:numId="36">
    <w:abstractNumId w:val="23"/>
  </w:num>
  <w:num w:numId="37">
    <w:abstractNumId w:val="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DE"/>
    <w:rsid w:val="00061251"/>
    <w:rsid w:val="000830B8"/>
    <w:rsid w:val="000E24FF"/>
    <w:rsid w:val="00113860"/>
    <w:rsid w:val="0013447C"/>
    <w:rsid w:val="001C7D07"/>
    <w:rsid w:val="00206502"/>
    <w:rsid w:val="0021316B"/>
    <w:rsid w:val="00260FBA"/>
    <w:rsid w:val="002720A0"/>
    <w:rsid w:val="00285210"/>
    <w:rsid w:val="002A082A"/>
    <w:rsid w:val="002B091C"/>
    <w:rsid w:val="0031021E"/>
    <w:rsid w:val="0038303D"/>
    <w:rsid w:val="003A2607"/>
    <w:rsid w:val="00452A8D"/>
    <w:rsid w:val="004601DE"/>
    <w:rsid w:val="00461EDF"/>
    <w:rsid w:val="00497FA6"/>
    <w:rsid w:val="004A5DEE"/>
    <w:rsid w:val="004D0B96"/>
    <w:rsid w:val="004D0EAF"/>
    <w:rsid w:val="004F573D"/>
    <w:rsid w:val="0053305A"/>
    <w:rsid w:val="005831E1"/>
    <w:rsid w:val="005B29E8"/>
    <w:rsid w:val="005C19E8"/>
    <w:rsid w:val="006421D1"/>
    <w:rsid w:val="006476E7"/>
    <w:rsid w:val="00671D24"/>
    <w:rsid w:val="00690B11"/>
    <w:rsid w:val="006A3195"/>
    <w:rsid w:val="00730D53"/>
    <w:rsid w:val="00874D53"/>
    <w:rsid w:val="00875F5E"/>
    <w:rsid w:val="008E27AE"/>
    <w:rsid w:val="009116C7"/>
    <w:rsid w:val="00915D64"/>
    <w:rsid w:val="00924BCB"/>
    <w:rsid w:val="009E6497"/>
    <w:rsid w:val="00A11D95"/>
    <w:rsid w:val="00A962F1"/>
    <w:rsid w:val="00AA0D21"/>
    <w:rsid w:val="00B06511"/>
    <w:rsid w:val="00BF157C"/>
    <w:rsid w:val="00C617FF"/>
    <w:rsid w:val="00CE2DEB"/>
    <w:rsid w:val="00E00D91"/>
    <w:rsid w:val="00E57B34"/>
    <w:rsid w:val="00E634D1"/>
    <w:rsid w:val="00ED44CF"/>
    <w:rsid w:val="00EF7162"/>
    <w:rsid w:val="00F03C07"/>
    <w:rsid w:val="00F25AC8"/>
    <w:rsid w:val="00F75500"/>
    <w:rsid w:val="00F97E5B"/>
    <w:rsid w:val="00FC77AE"/>
    <w:rsid w:val="00FD72D7"/>
    <w:rsid w:val="00FE69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D137"/>
  <w15:docId w15:val="{F72C71CC-B836-49D7-B773-5BA96F1E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1DE"/>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autoRedefine/>
    <w:uiPriority w:val="9"/>
    <w:qFormat/>
    <w:rsid w:val="004601DE"/>
    <w:pPr>
      <w:keepNext/>
      <w:keepLines/>
      <w:numPr>
        <w:numId w:val="34"/>
      </w:numPr>
      <w:spacing w:before="240"/>
      <w:jc w:val="both"/>
      <w:outlineLvl w:val="0"/>
    </w:pPr>
    <w:rPr>
      <w:rFonts w:eastAsia="MS Gothic"/>
      <w:b/>
      <w:bCs/>
      <w:szCs w:val="32"/>
    </w:rPr>
  </w:style>
  <w:style w:type="paragraph" w:styleId="Ttulo2">
    <w:name w:val="heading 2"/>
    <w:basedOn w:val="Normal"/>
    <w:next w:val="Normal"/>
    <w:link w:val="Ttulo2Char"/>
    <w:autoRedefine/>
    <w:uiPriority w:val="9"/>
    <w:unhideWhenUsed/>
    <w:qFormat/>
    <w:rsid w:val="004601DE"/>
    <w:pPr>
      <w:numPr>
        <w:ilvl w:val="1"/>
        <w:numId w:val="34"/>
      </w:numPr>
      <w:spacing w:before="240" w:after="240"/>
      <w:jc w:val="both"/>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601DE"/>
    <w:pPr>
      <w:keepNext/>
      <w:keepLines/>
      <w:numPr>
        <w:ilvl w:val="2"/>
        <w:numId w:val="34"/>
      </w:numPr>
      <w:spacing w:before="240" w:after="240" w:line="276" w:lineRule="auto"/>
      <w:outlineLvl w:val="2"/>
    </w:pPr>
    <w:rPr>
      <w:rFonts w:eastAsiaTheme="majorEastAsia" w:cstheme="majorBidi"/>
      <w:b/>
    </w:rPr>
  </w:style>
  <w:style w:type="paragraph" w:styleId="Ttulo4">
    <w:name w:val="heading 4"/>
    <w:basedOn w:val="Normal"/>
    <w:link w:val="Ttulo4Char"/>
    <w:uiPriority w:val="9"/>
    <w:qFormat/>
    <w:rsid w:val="004601DE"/>
    <w:pPr>
      <w:numPr>
        <w:ilvl w:val="3"/>
        <w:numId w:val="34"/>
      </w:numPr>
      <w:spacing w:before="100" w:beforeAutospacing="1" w:after="100" w:afterAutospacing="1"/>
      <w:outlineLvl w:val="3"/>
    </w:pPr>
    <w:rPr>
      <w:bCs/>
      <w:lang w:eastAsia="pt-BR"/>
    </w:rPr>
  </w:style>
  <w:style w:type="paragraph" w:styleId="Ttulo5">
    <w:name w:val="heading 5"/>
    <w:basedOn w:val="Normal"/>
    <w:next w:val="Normal"/>
    <w:link w:val="Ttulo5Char"/>
    <w:uiPriority w:val="9"/>
    <w:unhideWhenUsed/>
    <w:qFormat/>
    <w:rsid w:val="004601DE"/>
    <w:pPr>
      <w:keepNext/>
      <w:keepLines/>
      <w:numPr>
        <w:ilvl w:val="4"/>
        <w:numId w:val="34"/>
      </w:numPr>
      <w:spacing w:before="40" w:line="276" w:lineRule="auto"/>
      <w:outlineLvl w:val="4"/>
    </w:pPr>
    <w:rPr>
      <w:rFonts w:eastAsiaTheme="majorEastAsia" w:cstheme="majorBidi"/>
      <w:szCs w:val="22"/>
    </w:rPr>
  </w:style>
  <w:style w:type="paragraph" w:styleId="Ttulo6">
    <w:name w:val="heading 6"/>
    <w:basedOn w:val="Normal"/>
    <w:next w:val="Normal"/>
    <w:link w:val="Ttulo6Char"/>
    <w:uiPriority w:val="9"/>
    <w:unhideWhenUsed/>
    <w:qFormat/>
    <w:rsid w:val="004601DE"/>
    <w:pPr>
      <w:keepNext/>
      <w:keepLines/>
      <w:numPr>
        <w:ilvl w:val="5"/>
        <w:numId w:val="34"/>
      </w:numPr>
      <w:spacing w:before="40" w:line="276" w:lineRule="auto"/>
      <w:outlineLvl w:val="5"/>
    </w:pPr>
    <w:rPr>
      <w:rFonts w:eastAsiaTheme="majorEastAsia" w:cstheme="majorBidi"/>
      <w:szCs w:val="22"/>
    </w:rPr>
  </w:style>
  <w:style w:type="paragraph" w:styleId="Ttulo7">
    <w:name w:val="heading 7"/>
    <w:basedOn w:val="Normal"/>
    <w:next w:val="Normal"/>
    <w:link w:val="Ttulo7Char"/>
    <w:uiPriority w:val="9"/>
    <w:semiHidden/>
    <w:unhideWhenUsed/>
    <w:qFormat/>
    <w:rsid w:val="004601DE"/>
    <w:pPr>
      <w:keepNext/>
      <w:keepLines/>
      <w:numPr>
        <w:ilvl w:val="6"/>
        <w:numId w:val="34"/>
      </w:numPr>
      <w:spacing w:before="40" w:line="276" w:lineRule="auto"/>
      <w:outlineLvl w:val="6"/>
    </w:pPr>
    <w:rPr>
      <w:rFonts w:asciiTheme="majorHAnsi" w:eastAsiaTheme="majorEastAsia" w:hAnsiTheme="majorHAnsi" w:cstheme="majorBidi"/>
      <w:i/>
      <w:iCs/>
      <w:color w:val="1F4D78" w:themeColor="accent1" w:themeShade="7F"/>
      <w:sz w:val="22"/>
      <w:szCs w:val="22"/>
    </w:rPr>
  </w:style>
  <w:style w:type="paragraph" w:styleId="Ttulo8">
    <w:name w:val="heading 8"/>
    <w:basedOn w:val="Normal"/>
    <w:next w:val="Normal"/>
    <w:link w:val="Ttulo8Char"/>
    <w:uiPriority w:val="9"/>
    <w:semiHidden/>
    <w:unhideWhenUsed/>
    <w:qFormat/>
    <w:rsid w:val="004601DE"/>
    <w:pPr>
      <w:keepNext/>
      <w:keepLines/>
      <w:numPr>
        <w:ilvl w:val="7"/>
        <w:numId w:val="34"/>
      </w:numPr>
      <w:spacing w:before="40" w:line="27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01DE"/>
    <w:pPr>
      <w:keepNext/>
      <w:keepLines/>
      <w:numPr>
        <w:ilvl w:val="8"/>
        <w:numId w:val="34"/>
      </w:numPr>
      <w:spacing w:before="4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601DE"/>
    <w:rPr>
      <w:rFonts w:ascii="Times New Roman" w:eastAsia="MS Gothic" w:hAnsi="Times New Roman" w:cs="Times New Roman"/>
      <w:b/>
      <w:bCs/>
      <w:sz w:val="24"/>
      <w:szCs w:val="32"/>
    </w:rPr>
  </w:style>
  <w:style w:type="character" w:customStyle="1" w:styleId="Ttulo2Char">
    <w:name w:val="Título 2 Char"/>
    <w:basedOn w:val="Fontepargpadro"/>
    <w:link w:val="Ttulo2"/>
    <w:uiPriority w:val="9"/>
    <w:rsid w:val="004601DE"/>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4601DE"/>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4601DE"/>
    <w:rPr>
      <w:rFonts w:ascii="Times New Roman" w:eastAsia="Times New Roman" w:hAnsi="Times New Roman" w:cs="Times New Roman"/>
      <w:bCs/>
      <w:sz w:val="24"/>
      <w:szCs w:val="24"/>
      <w:lang w:eastAsia="pt-BR"/>
    </w:rPr>
  </w:style>
  <w:style w:type="character" w:customStyle="1" w:styleId="Ttulo5Char">
    <w:name w:val="Título 5 Char"/>
    <w:basedOn w:val="Fontepargpadro"/>
    <w:link w:val="Ttulo5"/>
    <w:uiPriority w:val="9"/>
    <w:rsid w:val="004601DE"/>
    <w:rPr>
      <w:rFonts w:ascii="Times New Roman" w:eastAsiaTheme="majorEastAsia" w:hAnsi="Times New Roman" w:cstheme="majorBidi"/>
      <w:sz w:val="24"/>
    </w:rPr>
  </w:style>
  <w:style w:type="character" w:customStyle="1" w:styleId="Ttulo6Char">
    <w:name w:val="Título 6 Char"/>
    <w:basedOn w:val="Fontepargpadro"/>
    <w:link w:val="Ttulo6"/>
    <w:uiPriority w:val="9"/>
    <w:rsid w:val="004601DE"/>
    <w:rPr>
      <w:rFonts w:ascii="Times New Roman" w:eastAsiaTheme="majorEastAsia" w:hAnsi="Times New Roman" w:cstheme="majorBidi"/>
      <w:sz w:val="24"/>
    </w:rPr>
  </w:style>
  <w:style w:type="character" w:customStyle="1" w:styleId="Ttulo7Char">
    <w:name w:val="Título 7 Char"/>
    <w:basedOn w:val="Fontepargpadro"/>
    <w:link w:val="Ttulo7"/>
    <w:uiPriority w:val="9"/>
    <w:semiHidden/>
    <w:rsid w:val="004601DE"/>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4601D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601D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rsid w:val="004601DE"/>
    <w:pPr>
      <w:spacing w:before="100" w:beforeAutospacing="1" w:after="100" w:afterAutospacing="1"/>
    </w:pPr>
    <w:rPr>
      <w:lang w:val="en-US"/>
    </w:rPr>
  </w:style>
  <w:style w:type="character" w:customStyle="1" w:styleId="longtext">
    <w:name w:val="long_text"/>
    <w:uiPriority w:val="99"/>
    <w:rsid w:val="004601DE"/>
    <w:rPr>
      <w:rFonts w:cs="Times New Roman"/>
    </w:rPr>
  </w:style>
  <w:style w:type="paragraph" w:styleId="Textodenotaderodap">
    <w:name w:val="footnote text"/>
    <w:basedOn w:val="Normal"/>
    <w:link w:val="TextodenotaderodapChar"/>
    <w:uiPriority w:val="99"/>
    <w:rsid w:val="004601DE"/>
    <w:rPr>
      <w:sz w:val="20"/>
      <w:szCs w:val="20"/>
    </w:rPr>
  </w:style>
  <w:style w:type="character" w:customStyle="1" w:styleId="TextodenotaderodapChar">
    <w:name w:val="Texto de nota de rodapé Char"/>
    <w:basedOn w:val="Fontepargpadro"/>
    <w:link w:val="Textodenotaderodap"/>
    <w:uiPriority w:val="99"/>
    <w:rsid w:val="004601DE"/>
    <w:rPr>
      <w:rFonts w:ascii="Times New Roman" w:eastAsia="Times New Roman" w:hAnsi="Times New Roman" w:cs="Times New Roman"/>
      <w:sz w:val="20"/>
      <w:szCs w:val="20"/>
    </w:rPr>
  </w:style>
  <w:style w:type="character" w:styleId="Refdenotaderodap">
    <w:name w:val="footnote reference"/>
    <w:uiPriority w:val="99"/>
    <w:rsid w:val="004601DE"/>
    <w:rPr>
      <w:rFonts w:cs="Times New Roman"/>
      <w:vertAlign w:val="superscript"/>
    </w:rPr>
  </w:style>
  <w:style w:type="paragraph" w:styleId="Ttulo">
    <w:name w:val="Title"/>
    <w:basedOn w:val="Normal"/>
    <w:next w:val="Normal"/>
    <w:link w:val="TtuloChar"/>
    <w:qFormat/>
    <w:rsid w:val="004601DE"/>
    <w:pPr>
      <w:spacing w:before="240" w:after="60"/>
      <w:jc w:val="center"/>
      <w:outlineLvl w:val="0"/>
    </w:pPr>
    <w:rPr>
      <w:b/>
      <w:bCs/>
      <w:kern w:val="28"/>
      <w:szCs w:val="32"/>
    </w:rPr>
  </w:style>
  <w:style w:type="character" w:customStyle="1" w:styleId="TtuloChar">
    <w:name w:val="Título Char"/>
    <w:basedOn w:val="Fontepargpadro"/>
    <w:link w:val="Ttulo"/>
    <w:rsid w:val="004601DE"/>
    <w:rPr>
      <w:rFonts w:ascii="Times New Roman" w:eastAsia="Times New Roman" w:hAnsi="Times New Roman" w:cs="Times New Roman"/>
      <w:b/>
      <w:bCs/>
      <w:kern w:val="28"/>
      <w:sz w:val="24"/>
      <w:szCs w:val="32"/>
    </w:rPr>
  </w:style>
  <w:style w:type="paragraph" w:styleId="PargrafodaLista">
    <w:name w:val="List Paragraph"/>
    <w:basedOn w:val="Normal"/>
    <w:uiPriority w:val="34"/>
    <w:qFormat/>
    <w:rsid w:val="004601DE"/>
    <w:pPr>
      <w:ind w:left="720"/>
      <w:contextualSpacing/>
    </w:pPr>
  </w:style>
  <w:style w:type="paragraph" w:styleId="Corpodetexto">
    <w:name w:val="Body Text"/>
    <w:basedOn w:val="Normal"/>
    <w:link w:val="CorpodetextoChar"/>
    <w:rsid w:val="004601DE"/>
    <w:pPr>
      <w:spacing w:after="120"/>
    </w:pPr>
  </w:style>
  <w:style w:type="character" w:customStyle="1" w:styleId="CorpodetextoChar">
    <w:name w:val="Corpo de texto Char"/>
    <w:basedOn w:val="Fontepargpadro"/>
    <w:link w:val="Corpodetexto"/>
    <w:rsid w:val="004601DE"/>
    <w:rPr>
      <w:rFonts w:ascii="Times New Roman" w:eastAsia="Times New Roman" w:hAnsi="Times New Roman" w:cs="Times New Roman"/>
      <w:sz w:val="24"/>
      <w:szCs w:val="24"/>
    </w:rPr>
  </w:style>
  <w:style w:type="character" w:customStyle="1" w:styleId="CharChar6">
    <w:name w:val="Char Char6"/>
    <w:uiPriority w:val="99"/>
    <w:rsid w:val="004601DE"/>
    <w:rPr>
      <w:rFonts w:cs="Times New Roman"/>
      <w:lang w:eastAsia="en-US"/>
    </w:rPr>
  </w:style>
  <w:style w:type="character" w:styleId="Forte">
    <w:name w:val="Strong"/>
    <w:uiPriority w:val="99"/>
    <w:qFormat/>
    <w:rsid w:val="004601DE"/>
    <w:rPr>
      <w:rFonts w:cs="Times New Roman"/>
      <w:b/>
      <w:bCs/>
    </w:rPr>
  </w:style>
  <w:style w:type="character" w:customStyle="1" w:styleId="apple-converted-space">
    <w:name w:val="apple-converted-space"/>
    <w:rsid w:val="004601DE"/>
    <w:rPr>
      <w:rFonts w:cs="Times New Roman"/>
    </w:rPr>
  </w:style>
  <w:style w:type="paragraph" w:styleId="Rodap">
    <w:name w:val="footer"/>
    <w:basedOn w:val="Normal"/>
    <w:link w:val="RodapChar"/>
    <w:uiPriority w:val="99"/>
    <w:rsid w:val="004601DE"/>
    <w:pPr>
      <w:tabs>
        <w:tab w:val="center" w:pos="4252"/>
        <w:tab w:val="right" w:pos="8504"/>
      </w:tabs>
    </w:pPr>
  </w:style>
  <w:style w:type="character" w:customStyle="1" w:styleId="RodapChar">
    <w:name w:val="Rodapé Char"/>
    <w:basedOn w:val="Fontepargpadro"/>
    <w:link w:val="Rodap"/>
    <w:uiPriority w:val="99"/>
    <w:rsid w:val="004601DE"/>
    <w:rPr>
      <w:rFonts w:ascii="Times New Roman" w:eastAsia="Times New Roman" w:hAnsi="Times New Roman" w:cs="Times New Roman"/>
      <w:sz w:val="24"/>
      <w:szCs w:val="24"/>
    </w:rPr>
  </w:style>
  <w:style w:type="character" w:styleId="Nmerodepgina">
    <w:name w:val="page number"/>
    <w:uiPriority w:val="99"/>
    <w:rsid w:val="004601DE"/>
    <w:rPr>
      <w:rFonts w:cs="Times New Roman"/>
    </w:rPr>
  </w:style>
  <w:style w:type="paragraph" w:styleId="Cabealho">
    <w:name w:val="header"/>
    <w:basedOn w:val="Normal"/>
    <w:link w:val="CabealhoChar"/>
    <w:uiPriority w:val="99"/>
    <w:semiHidden/>
    <w:rsid w:val="004601DE"/>
    <w:pPr>
      <w:tabs>
        <w:tab w:val="center" w:pos="4252"/>
        <w:tab w:val="right" w:pos="8504"/>
      </w:tabs>
    </w:pPr>
  </w:style>
  <w:style w:type="character" w:customStyle="1" w:styleId="CabealhoChar">
    <w:name w:val="Cabeçalho Char"/>
    <w:basedOn w:val="Fontepargpadro"/>
    <w:link w:val="Cabealho"/>
    <w:uiPriority w:val="99"/>
    <w:semiHidden/>
    <w:rsid w:val="004601DE"/>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rsid w:val="004601DE"/>
    <w:rPr>
      <w:rFonts w:ascii="Tahoma" w:hAnsi="Tahoma" w:cs="Tahoma"/>
      <w:sz w:val="16"/>
      <w:szCs w:val="16"/>
    </w:rPr>
  </w:style>
  <w:style w:type="character" w:customStyle="1" w:styleId="TextodebaloChar">
    <w:name w:val="Texto de balão Char"/>
    <w:basedOn w:val="Fontepargpadro"/>
    <w:link w:val="Textodebalo"/>
    <w:uiPriority w:val="99"/>
    <w:semiHidden/>
    <w:rsid w:val="004601DE"/>
    <w:rPr>
      <w:rFonts w:ascii="Tahoma" w:eastAsia="Times New Roman" w:hAnsi="Tahoma" w:cs="Tahoma"/>
      <w:sz w:val="16"/>
      <w:szCs w:val="16"/>
    </w:rPr>
  </w:style>
  <w:style w:type="character" w:customStyle="1" w:styleId="hps">
    <w:name w:val="hps"/>
    <w:rsid w:val="004601DE"/>
    <w:rPr>
      <w:rFonts w:cs="Times New Roman"/>
    </w:rPr>
  </w:style>
  <w:style w:type="character" w:customStyle="1" w:styleId="atn">
    <w:name w:val="atn"/>
    <w:uiPriority w:val="99"/>
    <w:rsid w:val="004601DE"/>
    <w:rPr>
      <w:rFonts w:cs="Times New Roman"/>
    </w:rPr>
  </w:style>
  <w:style w:type="character" w:styleId="Hyperlink">
    <w:name w:val="Hyperlink"/>
    <w:uiPriority w:val="99"/>
    <w:rsid w:val="004601DE"/>
    <w:rPr>
      <w:rFonts w:cs="Times New Roman"/>
      <w:color w:val="0072C6"/>
      <w:u w:val="none"/>
      <w:effect w:val="none"/>
    </w:rPr>
  </w:style>
  <w:style w:type="paragraph" w:styleId="Textodenotadefim">
    <w:name w:val="endnote text"/>
    <w:basedOn w:val="Normal"/>
    <w:link w:val="TextodenotadefimChar"/>
    <w:uiPriority w:val="99"/>
    <w:semiHidden/>
    <w:unhideWhenUsed/>
    <w:rsid w:val="004601DE"/>
    <w:rPr>
      <w:sz w:val="20"/>
      <w:szCs w:val="20"/>
    </w:rPr>
  </w:style>
  <w:style w:type="character" w:customStyle="1" w:styleId="TextodenotadefimChar">
    <w:name w:val="Texto de nota de fim Char"/>
    <w:basedOn w:val="Fontepargpadro"/>
    <w:link w:val="Textodenotadefim"/>
    <w:uiPriority w:val="99"/>
    <w:semiHidden/>
    <w:rsid w:val="004601DE"/>
    <w:rPr>
      <w:rFonts w:ascii="Times New Roman" w:eastAsia="Times New Roman" w:hAnsi="Times New Roman" w:cs="Times New Roman"/>
      <w:sz w:val="20"/>
      <w:szCs w:val="20"/>
    </w:rPr>
  </w:style>
  <w:style w:type="character" w:styleId="Refdenotadefim">
    <w:name w:val="endnote reference"/>
    <w:uiPriority w:val="99"/>
    <w:semiHidden/>
    <w:unhideWhenUsed/>
    <w:rsid w:val="004601DE"/>
    <w:rPr>
      <w:vertAlign w:val="superscript"/>
    </w:rPr>
  </w:style>
  <w:style w:type="character" w:customStyle="1" w:styleId="shorttext1">
    <w:name w:val="short_text1"/>
    <w:rsid w:val="004601DE"/>
    <w:rPr>
      <w:sz w:val="20"/>
      <w:szCs w:val="20"/>
    </w:rPr>
  </w:style>
  <w:style w:type="paragraph" w:customStyle="1" w:styleId="Estilo1tese1">
    <w:name w:val="Estilo1tese1"/>
    <w:basedOn w:val="Ttulo1"/>
    <w:link w:val="Estilo1tese1Char"/>
    <w:qFormat/>
    <w:rsid w:val="004601DE"/>
    <w:pPr>
      <w:keepLines w:val="0"/>
      <w:numPr>
        <w:numId w:val="1"/>
      </w:numPr>
      <w:spacing w:before="0" w:after="60"/>
      <w:ind w:left="0" w:firstLine="0"/>
    </w:pPr>
    <w:rPr>
      <w:rFonts w:ascii="Arial" w:eastAsiaTheme="majorEastAsia" w:hAnsi="Arial" w:cstheme="majorBidi"/>
      <w:kern w:val="32"/>
    </w:rPr>
  </w:style>
  <w:style w:type="character" w:customStyle="1" w:styleId="Estilo1tese1Char">
    <w:name w:val="Estilo1tese1 Char"/>
    <w:basedOn w:val="Ttulo1Char"/>
    <w:link w:val="Estilo1tese1"/>
    <w:rsid w:val="004601DE"/>
    <w:rPr>
      <w:rFonts w:ascii="Arial" w:eastAsiaTheme="majorEastAsia" w:hAnsi="Arial" w:cstheme="majorBidi"/>
      <w:b/>
      <w:bCs/>
      <w:kern w:val="32"/>
      <w:sz w:val="24"/>
      <w:szCs w:val="32"/>
    </w:rPr>
  </w:style>
  <w:style w:type="character" w:styleId="Refdecomentrio">
    <w:name w:val="annotation reference"/>
    <w:basedOn w:val="Fontepargpadro"/>
    <w:uiPriority w:val="99"/>
    <w:semiHidden/>
    <w:unhideWhenUsed/>
    <w:rsid w:val="004601DE"/>
    <w:rPr>
      <w:sz w:val="16"/>
      <w:szCs w:val="16"/>
    </w:rPr>
  </w:style>
  <w:style w:type="paragraph" w:styleId="Textodecomentrio">
    <w:name w:val="annotation text"/>
    <w:basedOn w:val="Normal"/>
    <w:link w:val="TextodecomentrioChar"/>
    <w:uiPriority w:val="99"/>
    <w:semiHidden/>
    <w:unhideWhenUsed/>
    <w:rsid w:val="004601DE"/>
    <w:pPr>
      <w:spacing w:after="160"/>
    </w:pPr>
    <w:rPr>
      <w:rFonts w:asciiTheme="minorHAnsi" w:eastAsiaTheme="minorHAnsi" w:hAnsiTheme="minorHAnsi" w:cstheme="minorBidi"/>
      <w:sz w:val="20"/>
      <w:szCs w:val="20"/>
    </w:rPr>
  </w:style>
  <w:style w:type="character" w:customStyle="1" w:styleId="TextodecomentrioChar">
    <w:name w:val="Texto de comentário Char"/>
    <w:basedOn w:val="Fontepargpadro"/>
    <w:link w:val="Textodecomentrio"/>
    <w:uiPriority w:val="99"/>
    <w:semiHidden/>
    <w:rsid w:val="004601DE"/>
    <w:rPr>
      <w:sz w:val="20"/>
      <w:szCs w:val="20"/>
    </w:rPr>
  </w:style>
  <w:style w:type="paragraph" w:styleId="Assuntodocomentrio">
    <w:name w:val="annotation subject"/>
    <w:basedOn w:val="Textodecomentrio"/>
    <w:next w:val="Textodecomentrio"/>
    <w:link w:val="AssuntodocomentrioChar"/>
    <w:uiPriority w:val="99"/>
    <w:semiHidden/>
    <w:unhideWhenUsed/>
    <w:rsid w:val="004601DE"/>
    <w:rPr>
      <w:b/>
      <w:bCs/>
    </w:rPr>
  </w:style>
  <w:style w:type="character" w:customStyle="1" w:styleId="AssuntodocomentrioChar">
    <w:name w:val="Assunto do comentário Char"/>
    <w:basedOn w:val="TextodecomentrioChar"/>
    <w:link w:val="Assuntodocomentrio"/>
    <w:uiPriority w:val="99"/>
    <w:semiHidden/>
    <w:rsid w:val="004601DE"/>
    <w:rPr>
      <w:b/>
      <w:bCs/>
      <w:sz w:val="20"/>
      <w:szCs w:val="20"/>
    </w:rPr>
  </w:style>
  <w:style w:type="character" w:styleId="TextodoEspaoReservado">
    <w:name w:val="Placeholder Text"/>
    <w:basedOn w:val="Fontepargpadro"/>
    <w:uiPriority w:val="99"/>
    <w:semiHidden/>
    <w:rsid w:val="004601DE"/>
    <w:rPr>
      <w:color w:val="808080"/>
    </w:rPr>
  </w:style>
  <w:style w:type="paragraph" w:styleId="CabealhodoSumrio">
    <w:name w:val="TOC Heading"/>
    <w:basedOn w:val="Ttulo1"/>
    <w:next w:val="Normal"/>
    <w:uiPriority w:val="39"/>
    <w:unhideWhenUsed/>
    <w:qFormat/>
    <w:rsid w:val="004601DE"/>
    <w:pPr>
      <w:numPr>
        <w:numId w:val="23"/>
      </w:numPr>
      <w:spacing w:line="259" w:lineRule="auto"/>
      <w:outlineLvl w:val="9"/>
    </w:pPr>
    <w:rPr>
      <w:rFonts w:asciiTheme="majorHAnsi" w:eastAsiaTheme="majorEastAsia" w:hAnsiTheme="majorHAnsi" w:cstheme="majorBidi"/>
      <w:b w:val="0"/>
      <w:bCs w:val="0"/>
      <w:color w:val="2E74B5" w:themeColor="accent1" w:themeShade="BF"/>
      <w:lang w:eastAsia="pt-BR"/>
    </w:rPr>
  </w:style>
  <w:style w:type="paragraph" w:styleId="Sumrio1">
    <w:name w:val="toc 1"/>
    <w:basedOn w:val="Normal"/>
    <w:next w:val="Normal"/>
    <w:autoRedefine/>
    <w:uiPriority w:val="39"/>
    <w:rsid w:val="004601DE"/>
    <w:pPr>
      <w:spacing w:after="100"/>
    </w:pPr>
  </w:style>
  <w:style w:type="paragraph" w:styleId="Sumrio2">
    <w:name w:val="toc 2"/>
    <w:basedOn w:val="Normal"/>
    <w:next w:val="Normal"/>
    <w:autoRedefine/>
    <w:uiPriority w:val="39"/>
    <w:unhideWhenUsed/>
    <w:rsid w:val="004601DE"/>
    <w:pPr>
      <w:spacing w:after="100" w:line="259" w:lineRule="auto"/>
      <w:ind w:left="220"/>
    </w:pPr>
    <w:rPr>
      <w:rFonts w:asciiTheme="minorHAnsi" w:eastAsiaTheme="minorEastAsia" w:hAnsiTheme="minorHAnsi"/>
      <w:sz w:val="22"/>
      <w:szCs w:val="22"/>
      <w:lang w:eastAsia="pt-BR"/>
    </w:rPr>
  </w:style>
  <w:style w:type="paragraph" w:styleId="Sumrio3">
    <w:name w:val="toc 3"/>
    <w:basedOn w:val="Normal"/>
    <w:next w:val="Normal"/>
    <w:autoRedefine/>
    <w:uiPriority w:val="39"/>
    <w:unhideWhenUsed/>
    <w:rsid w:val="004601DE"/>
    <w:pPr>
      <w:spacing w:after="100" w:line="259" w:lineRule="auto"/>
      <w:ind w:left="440"/>
    </w:pPr>
    <w:rPr>
      <w:rFonts w:asciiTheme="minorHAnsi" w:eastAsiaTheme="minorEastAsia" w:hAnsiTheme="minorHAnsi"/>
      <w:sz w:val="22"/>
      <w:szCs w:val="22"/>
      <w:lang w:eastAsia="pt-BR"/>
    </w:rPr>
  </w:style>
  <w:style w:type="numbering" w:customStyle="1" w:styleId="EstiloVriosnveisNegritoesquerda0cmDeslocamento06">
    <w:name w:val="Estilo Vários níveis Negrito À esquerda:  0 cm Deslocamento:  06..."/>
    <w:basedOn w:val="Semlista"/>
    <w:rsid w:val="004601DE"/>
    <w:pPr>
      <w:numPr>
        <w:numId w:val="3"/>
      </w:numPr>
    </w:pPr>
  </w:style>
  <w:style w:type="numbering" w:customStyle="1" w:styleId="Estilo1">
    <w:name w:val="Estilo1"/>
    <w:uiPriority w:val="99"/>
    <w:rsid w:val="004601DE"/>
    <w:pPr>
      <w:numPr>
        <w:numId w:val="4"/>
      </w:numPr>
    </w:pPr>
  </w:style>
  <w:style w:type="paragraph" w:styleId="Legenda">
    <w:name w:val="caption"/>
    <w:basedOn w:val="Normal"/>
    <w:next w:val="Normal"/>
    <w:unhideWhenUsed/>
    <w:qFormat/>
    <w:rsid w:val="004601DE"/>
    <w:rPr>
      <w:iCs/>
      <w:szCs w:val="18"/>
    </w:rPr>
  </w:style>
  <w:style w:type="table" w:styleId="Tabelacomgrade">
    <w:name w:val="Table Grid"/>
    <w:basedOn w:val="Tabelanormal"/>
    <w:rsid w:val="004601DE"/>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link w:val="BibliografiaChar"/>
    <w:uiPriority w:val="37"/>
    <w:unhideWhenUsed/>
    <w:rsid w:val="004601DE"/>
  </w:style>
  <w:style w:type="paragraph" w:customStyle="1" w:styleId="Referncias">
    <w:name w:val="Referências"/>
    <w:basedOn w:val="Bibliografia"/>
    <w:link w:val="RefernciasChar"/>
    <w:qFormat/>
    <w:rsid w:val="004601DE"/>
    <w:pPr>
      <w:spacing w:before="120" w:after="120"/>
    </w:pPr>
  </w:style>
  <w:style w:type="paragraph" w:styleId="ndicedeilustraes">
    <w:name w:val="table of figures"/>
    <w:basedOn w:val="Normal"/>
    <w:next w:val="Normal"/>
    <w:uiPriority w:val="99"/>
    <w:unhideWhenUsed/>
    <w:rsid w:val="004601DE"/>
  </w:style>
  <w:style w:type="character" w:customStyle="1" w:styleId="BibliografiaChar">
    <w:name w:val="Bibliografia Char"/>
    <w:basedOn w:val="Fontepargpadro"/>
    <w:link w:val="Bibliografia"/>
    <w:uiPriority w:val="37"/>
    <w:rsid w:val="004601DE"/>
    <w:rPr>
      <w:rFonts w:ascii="Times New Roman" w:eastAsia="Times New Roman" w:hAnsi="Times New Roman" w:cs="Times New Roman"/>
      <w:sz w:val="24"/>
      <w:szCs w:val="24"/>
    </w:rPr>
  </w:style>
  <w:style w:type="character" w:customStyle="1" w:styleId="RefernciasChar">
    <w:name w:val="Referências Char"/>
    <w:basedOn w:val="BibliografiaChar"/>
    <w:link w:val="Referncias"/>
    <w:rsid w:val="004601DE"/>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4601DE"/>
    <w:rPr>
      <w:color w:val="800080"/>
      <w:u w:val="single"/>
    </w:rPr>
  </w:style>
  <w:style w:type="paragraph" w:customStyle="1" w:styleId="xl65">
    <w:name w:val="xl65"/>
    <w:basedOn w:val="Normal"/>
    <w:rsid w:val="004601DE"/>
    <w:pPr>
      <w:spacing w:before="100" w:beforeAutospacing="1" w:after="100" w:afterAutospacing="1"/>
      <w:jc w:val="center"/>
    </w:pPr>
    <w:rPr>
      <w:rFonts w:ascii="Calibri" w:hAnsi="Calibri"/>
      <w:sz w:val="18"/>
      <w:szCs w:val="18"/>
      <w:lang w:eastAsia="pt-BR"/>
    </w:rPr>
  </w:style>
  <w:style w:type="paragraph" w:customStyle="1" w:styleId="xl66">
    <w:name w:val="xl66"/>
    <w:basedOn w:val="Normal"/>
    <w:rsid w:val="004601DE"/>
    <w:pPr>
      <w:pBdr>
        <w:bottom w:val="single" w:sz="8" w:space="0" w:color="auto"/>
      </w:pBdr>
      <w:spacing w:before="100" w:beforeAutospacing="1" w:after="100" w:afterAutospacing="1"/>
      <w:jc w:val="center"/>
    </w:pPr>
    <w:rPr>
      <w:rFonts w:ascii="Calibri" w:hAnsi="Calibri"/>
      <w:sz w:val="18"/>
      <w:szCs w:val="18"/>
      <w:lang w:eastAsia="pt-BR"/>
    </w:rPr>
  </w:style>
  <w:style w:type="paragraph" w:customStyle="1" w:styleId="xl67">
    <w:name w:val="xl67"/>
    <w:basedOn w:val="Normal"/>
    <w:rsid w:val="004601DE"/>
    <w:pPr>
      <w:pBdr>
        <w:bottom w:val="single" w:sz="4" w:space="0" w:color="auto"/>
      </w:pBdr>
      <w:spacing w:before="100" w:beforeAutospacing="1" w:after="100" w:afterAutospacing="1"/>
    </w:pPr>
    <w:rPr>
      <w:rFonts w:ascii="Calibri" w:hAnsi="Calibri"/>
      <w:sz w:val="18"/>
      <w:szCs w:val="18"/>
      <w:lang w:eastAsia="pt-BR"/>
    </w:rPr>
  </w:style>
  <w:style w:type="paragraph" w:customStyle="1" w:styleId="xl68">
    <w:name w:val="xl68"/>
    <w:basedOn w:val="Normal"/>
    <w:rsid w:val="004601DE"/>
    <w:pPr>
      <w:pBdr>
        <w:bottom w:val="single" w:sz="8" w:space="0" w:color="auto"/>
      </w:pBdr>
      <w:spacing w:before="100" w:beforeAutospacing="1" w:after="100" w:afterAutospacing="1"/>
    </w:pPr>
    <w:rPr>
      <w:rFonts w:ascii="Calibri" w:hAnsi="Calibri"/>
      <w:sz w:val="18"/>
      <w:szCs w:val="18"/>
      <w:lang w:eastAsia="pt-BR"/>
    </w:rPr>
  </w:style>
  <w:style w:type="paragraph" w:customStyle="1" w:styleId="xl69">
    <w:name w:val="xl69"/>
    <w:basedOn w:val="Normal"/>
    <w:rsid w:val="004601DE"/>
    <w:pPr>
      <w:spacing w:before="100" w:beforeAutospacing="1" w:after="100" w:afterAutospacing="1"/>
    </w:pPr>
    <w:rPr>
      <w:rFonts w:ascii="Calibri" w:hAnsi="Calibri"/>
      <w:sz w:val="18"/>
      <w:szCs w:val="18"/>
      <w:lang w:eastAsia="pt-BR"/>
    </w:rPr>
  </w:style>
  <w:style w:type="paragraph" w:customStyle="1" w:styleId="xl70">
    <w:name w:val="xl70"/>
    <w:basedOn w:val="Normal"/>
    <w:rsid w:val="004601DE"/>
    <w:pPr>
      <w:spacing w:before="100" w:beforeAutospacing="1" w:after="100" w:afterAutospacing="1"/>
    </w:pPr>
    <w:rPr>
      <w:rFonts w:ascii="Calibri" w:hAnsi="Calibri"/>
      <w:sz w:val="18"/>
      <w:szCs w:val="18"/>
      <w:lang w:eastAsia="pt-BR"/>
    </w:rPr>
  </w:style>
  <w:style w:type="paragraph" w:customStyle="1" w:styleId="xl71">
    <w:name w:val="xl71"/>
    <w:basedOn w:val="Normal"/>
    <w:rsid w:val="004601DE"/>
    <w:pPr>
      <w:pBdr>
        <w:top w:val="single" w:sz="4" w:space="0" w:color="auto"/>
      </w:pBdr>
      <w:spacing w:before="100" w:beforeAutospacing="1" w:after="100" w:afterAutospacing="1"/>
    </w:pPr>
    <w:rPr>
      <w:rFonts w:ascii="Calibri" w:hAnsi="Calibri"/>
      <w:sz w:val="18"/>
      <w:szCs w:val="18"/>
      <w:lang w:eastAsia="pt-BR"/>
    </w:rPr>
  </w:style>
  <w:style w:type="paragraph" w:customStyle="1" w:styleId="xl72">
    <w:name w:val="xl72"/>
    <w:basedOn w:val="Normal"/>
    <w:rsid w:val="004601DE"/>
    <w:pPr>
      <w:pBdr>
        <w:top w:val="single" w:sz="4" w:space="0" w:color="auto"/>
      </w:pBdr>
      <w:spacing w:before="100" w:beforeAutospacing="1" w:after="100" w:afterAutospacing="1"/>
      <w:jc w:val="center"/>
    </w:pPr>
    <w:rPr>
      <w:rFonts w:ascii="Calibri" w:hAnsi="Calibri"/>
      <w:sz w:val="18"/>
      <w:szCs w:val="18"/>
      <w:lang w:eastAsia="pt-BR"/>
    </w:rPr>
  </w:style>
  <w:style w:type="paragraph" w:customStyle="1" w:styleId="xl73">
    <w:name w:val="xl73"/>
    <w:basedOn w:val="Normal"/>
    <w:rsid w:val="004601DE"/>
    <w:pPr>
      <w:pBdr>
        <w:top w:val="single" w:sz="4" w:space="0" w:color="auto"/>
      </w:pBdr>
      <w:spacing w:before="100" w:beforeAutospacing="1" w:after="100" w:afterAutospacing="1"/>
      <w:jc w:val="center"/>
      <w:textAlignment w:val="center"/>
    </w:pPr>
    <w:rPr>
      <w:rFonts w:ascii="Calibri" w:hAnsi="Calibri"/>
      <w:sz w:val="18"/>
      <w:szCs w:val="18"/>
      <w:lang w:eastAsia="pt-BR"/>
    </w:rPr>
  </w:style>
  <w:style w:type="paragraph" w:customStyle="1" w:styleId="xl74">
    <w:name w:val="xl74"/>
    <w:basedOn w:val="Normal"/>
    <w:rsid w:val="004601DE"/>
    <w:pPr>
      <w:spacing w:before="100" w:beforeAutospacing="1" w:after="100" w:afterAutospacing="1"/>
      <w:jc w:val="center"/>
      <w:textAlignment w:val="center"/>
    </w:pPr>
    <w:rPr>
      <w:rFonts w:ascii="Calibri" w:hAnsi="Calibri"/>
      <w:sz w:val="18"/>
      <w:szCs w:val="18"/>
      <w:lang w:eastAsia="pt-BR"/>
    </w:rPr>
  </w:style>
  <w:style w:type="paragraph" w:customStyle="1" w:styleId="xl75">
    <w:name w:val="xl75"/>
    <w:basedOn w:val="Normal"/>
    <w:rsid w:val="004601DE"/>
    <w:pPr>
      <w:pBdr>
        <w:bottom w:val="single" w:sz="8" w:space="0" w:color="auto"/>
      </w:pBdr>
      <w:spacing w:before="100" w:beforeAutospacing="1" w:after="100" w:afterAutospacing="1"/>
      <w:jc w:val="center"/>
      <w:textAlignment w:val="center"/>
    </w:pPr>
    <w:rPr>
      <w:rFonts w:ascii="Calibri" w:hAnsi="Calibri"/>
      <w:sz w:val="18"/>
      <w:szCs w:val="18"/>
      <w:lang w:eastAsia="pt-BR"/>
    </w:rPr>
  </w:style>
  <w:style w:type="paragraph" w:customStyle="1" w:styleId="xl76">
    <w:name w:val="xl76"/>
    <w:basedOn w:val="Normal"/>
    <w:rsid w:val="004601DE"/>
    <w:pPr>
      <w:pBdr>
        <w:top w:val="single" w:sz="4" w:space="0" w:color="auto"/>
        <w:left w:val="single" w:sz="4" w:space="0" w:color="auto"/>
      </w:pBdr>
      <w:spacing w:before="100" w:beforeAutospacing="1" w:after="100" w:afterAutospacing="1"/>
      <w:jc w:val="center"/>
    </w:pPr>
    <w:rPr>
      <w:rFonts w:ascii="Calibri" w:hAnsi="Calibri"/>
      <w:sz w:val="18"/>
      <w:szCs w:val="18"/>
      <w:lang w:eastAsia="pt-BR"/>
    </w:rPr>
  </w:style>
  <w:style w:type="paragraph" w:customStyle="1" w:styleId="xl77">
    <w:name w:val="xl77"/>
    <w:basedOn w:val="Normal"/>
    <w:rsid w:val="004601DE"/>
    <w:pPr>
      <w:pBdr>
        <w:left w:val="single" w:sz="4" w:space="0" w:color="auto"/>
        <w:bottom w:val="single" w:sz="4" w:space="0" w:color="auto"/>
      </w:pBdr>
      <w:spacing w:before="100" w:beforeAutospacing="1" w:after="100" w:afterAutospacing="1"/>
    </w:pPr>
    <w:rPr>
      <w:rFonts w:ascii="Calibri" w:hAnsi="Calibri"/>
      <w:sz w:val="18"/>
      <w:szCs w:val="18"/>
      <w:lang w:eastAsia="pt-BR"/>
    </w:rPr>
  </w:style>
  <w:style w:type="paragraph" w:customStyle="1" w:styleId="xl78">
    <w:name w:val="xl78"/>
    <w:basedOn w:val="Normal"/>
    <w:rsid w:val="004601DE"/>
    <w:pPr>
      <w:pBdr>
        <w:left w:val="single" w:sz="4" w:space="0" w:color="auto"/>
        <w:bottom w:val="single" w:sz="8" w:space="0" w:color="auto"/>
      </w:pBdr>
      <w:spacing w:before="100" w:beforeAutospacing="1" w:after="100" w:afterAutospacing="1"/>
      <w:jc w:val="center"/>
    </w:pPr>
    <w:rPr>
      <w:rFonts w:ascii="Calibri" w:hAnsi="Calibri"/>
      <w:sz w:val="18"/>
      <w:szCs w:val="18"/>
      <w:lang w:eastAsia="pt-BR"/>
    </w:rPr>
  </w:style>
  <w:style w:type="paragraph" w:customStyle="1" w:styleId="xl79">
    <w:name w:val="xl79"/>
    <w:basedOn w:val="Normal"/>
    <w:rsid w:val="004601DE"/>
    <w:pPr>
      <w:pBdr>
        <w:top w:val="single" w:sz="4" w:space="0" w:color="auto"/>
        <w:right w:val="single" w:sz="4" w:space="0" w:color="auto"/>
      </w:pBdr>
      <w:spacing w:before="100" w:beforeAutospacing="1" w:after="100" w:afterAutospacing="1"/>
      <w:jc w:val="center"/>
    </w:pPr>
    <w:rPr>
      <w:rFonts w:ascii="Calibri" w:hAnsi="Calibri"/>
      <w:sz w:val="18"/>
      <w:szCs w:val="18"/>
      <w:lang w:eastAsia="pt-BR"/>
    </w:rPr>
  </w:style>
  <w:style w:type="paragraph" w:customStyle="1" w:styleId="xl80">
    <w:name w:val="xl80"/>
    <w:basedOn w:val="Normal"/>
    <w:rsid w:val="004601DE"/>
    <w:pPr>
      <w:pBdr>
        <w:bottom w:val="single" w:sz="4" w:space="0" w:color="auto"/>
        <w:right w:val="single" w:sz="4" w:space="0" w:color="auto"/>
      </w:pBdr>
      <w:spacing w:before="100" w:beforeAutospacing="1" w:after="100" w:afterAutospacing="1"/>
    </w:pPr>
    <w:rPr>
      <w:rFonts w:ascii="Calibri" w:hAnsi="Calibri"/>
      <w:sz w:val="18"/>
      <w:szCs w:val="18"/>
      <w:lang w:eastAsia="pt-BR"/>
    </w:rPr>
  </w:style>
  <w:style w:type="paragraph" w:customStyle="1" w:styleId="xl81">
    <w:name w:val="xl81"/>
    <w:basedOn w:val="Normal"/>
    <w:rsid w:val="004601DE"/>
    <w:pPr>
      <w:pBdr>
        <w:bottom w:val="single" w:sz="8" w:space="0" w:color="auto"/>
        <w:right w:val="single" w:sz="4" w:space="0" w:color="auto"/>
      </w:pBdr>
      <w:spacing w:before="100" w:beforeAutospacing="1" w:after="100" w:afterAutospacing="1"/>
      <w:jc w:val="center"/>
    </w:pPr>
    <w:rPr>
      <w:rFonts w:ascii="Calibri" w:hAnsi="Calibri"/>
      <w:sz w:val="18"/>
      <w:szCs w:val="18"/>
      <w:lang w:eastAsia="pt-BR"/>
    </w:rPr>
  </w:style>
  <w:style w:type="paragraph" w:styleId="Reviso">
    <w:name w:val="Revision"/>
    <w:hidden/>
    <w:uiPriority w:val="99"/>
    <w:semiHidden/>
    <w:rsid w:val="004601DE"/>
    <w:pPr>
      <w:spacing w:after="0" w:line="240" w:lineRule="auto"/>
    </w:pPr>
    <w:rPr>
      <w:rFonts w:ascii="Times New Roman" w:eastAsia="Times New Roman" w:hAnsi="Times New Roman" w:cs="Times New Roman"/>
      <w:sz w:val="24"/>
      <w:szCs w:val="24"/>
    </w:rPr>
  </w:style>
  <w:style w:type="paragraph" w:customStyle="1" w:styleId="msonormal0">
    <w:name w:val="msonormal"/>
    <w:basedOn w:val="Normal"/>
    <w:rsid w:val="004601DE"/>
    <w:pPr>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1096946007">
      <w:bodyDiv w:val="1"/>
      <w:marLeft w:val="0"/>
      <w:marRight w:val="0"/>
      <w:marTop w:val="0"/>
      <w:marBottom w:val="0"/>
      <w:divBdr>
        <w:top w:val="none" w:sz="0" w:space="0" w:color="auto"/>
        <w:left w:val="none" w:sz="0" w:space="0" w:color="auto"/>
        <w:bottom w:val="none" w:sz="0" w:space="0" w:color="auto"/>
        <w:right w:val="none" w:sz="0" w:space="0" w:color="auto"/>
      </w:divBdr>
    </w:div>
    <w:div w:id="152825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Ven02</b:Tag>
    <b:SourceType>JournalArticle</b:SourceType>
    <b:Guid>{2F5B9B55-3AC1-457C-A4AD-8BB62E38B2FB}</b:Guid>
    <b:Author>
      <b:Author>
        <b:NameList>
          <b:Person>
            <b:Last>Venables</b:Last>
            <b:First>Anthony</b:First>
            <b:Middle>J.</b:Middle>
          </b:Person>
          <b:Person>
            <b:Last>Limao</b:Last>
            <b:First>Nuno</b:First>
          </b:Person>
        </b:NameList>
      </b:Author>
    </b:Author>
    <b:Title>Geographical disadvantage: a Heckscher-Ohlin-von Thunen model of international specialisation</b:Title>
    <b:JournalName>Journal of Internacional Economics</b:JournalName>
    <b:Year>2002</b:Year>
    <b:Month>December</b:Month>
    <b:Pages>239-263</b:Pages>
    <b:Volume>58</b:Volume>
    <b:Issue>2</b:Issue>
    <b:RefOrder>1</b:RefOrder>
  </b:Source>
  <b:Source>
    <b:Tag>Chi08</b:Tag>
    <b:SourceType>JournalArticle</b:SourceType>
    <b:Guid>{089F456A-746A-481A-A6CD-D0304616923E}</b:Guid>
    <b:Author>
      <b:Author>
        <b:NameList>
          <b:Person>
            <b:Last>Chiquiar</b:Last>
            <b:First>Daniel</b:First>
          </b:Person>
        </b:NameList>
      </b:Author>
    </b:Author>
    <b:Title>Globalization, regional wage differentials and the Stolper-Samuelson Theorem: Evidence from Mexico</b:Title>
    <b:JournalName>Journal of Internacional Economics</b:JournalName>
    <b:Year>2008</b:Year>
    <b:Month>January</b:Month>
    <b:Pages>70-93</b:Pages>
    <b:Volume>74</b:Volume>
    <b:DOI>10.1016/j.jinteco.2007.05.009</b:DOI>
    <b:Issue>1</b:Issue>
    <b:RefOrder>2</b:RefOrder>
  </b:Source>
  <b:Source>
    <b:Tag>Ost14</b:Tag>
    <b:SourceType>Report</b:SourceType>
    <b:Guid>{20ED19AA-1F5F-4FF0-9770-3A505DA7E5AC}</b:Guid>
    <b:Author>
      <b:Author>
        <b:NameList>
          <b:Person>
            <b:Last>Oster</b:Last>
            <b:First>Emily</b:First>
          </b:Person>
        </b:NameList>
      </b:Author>
    </b:Author>
    <b:Title>Unorbservable selection and coefficient stability: theory and evidence</b:Title>
    <b:City>Providence</b:City>
    <b:Year>2014</b:Year>
    <b:Institution>Brown University and NBER</b:Institution>
    <b:ThesisType>(Working Paper)</b:ThesisType>
    <b:RefOrder>3</b:RefOrder>
  </b:Source>
  <b:Source>
    <b:Tag>Hid14</b:Tag>
    <b:SourceType>JournalArticle</b:SourceType>
    <b:Guid>{E8E63359-239C-4689-BF15-2AFB4271F20F}</b:Guid>
    <b:Author>
      <b:Author>
        <b:NameList>
          <b:Person>
            <b:Last>Hidalgo</b:Last>
            <b:First>Álvaro</b:First>
            <b:Middle>Barrantes</b:Middle>
          </b:Person>
          <b:Person>
            <b:Last>Sales</b:Last>
            <b:Middle>de Fátima</b:Middle>
            <b:First>Maria</b:First>
          </b:Person>
        </b:NameList>
      </b:Author>
    </b:Author>
    <b:Title>Abertura comercial e desigualdade de rendimentos: uma análise para as regiões brasileiras</b:Title>
    <b:JournalName>Revista de Economia Contemporânea</b:JournalName>
    <b:City>Rio de Janeiro</b:City>
    <b:Year>2014</b:Year>
    <b:Month>Sept./Dec.</b:Month>
    <b:Pages>409-434</b:Pages>
    <b:Volume>18</b:Volume>
    <b:Issue>3</b:Issue>
    <b:RefOrder>4</b:RefOrder>
  </b:Source>
  <b:Source>
    <b:Tag>Min15</b:Tag>
    <b:SourceType>Report</b:SourceType>
    <b:Guid>{8A12EFDB-17E2-4330-AA03-42E696F467C2}</b:Guid>
    <b:Title>RAIS - Microdados</b:Title>
    <b:Year>2015</b:Year>
    <b:Author>
      <b:Author>
        <b:Corporate>Ministério do Trabalho e Emprego</b:Corporate>
      </b:Author>
    </b:Author>
    <b:Institution>Ministério do Trabalho e Emprego</b:Institution>
    <b:RefOrder>5</b:RefOrder>
  </b:Source>
  <b:Source>
    <b:Tag>SEC15</b:Tag>
    <b:SourceType>Report</b:SourceType>
    <b:Guid>{FF7EFE1C-911F-42FB-8218-DEC38B6F2755}</b:Guid>
    <b:Title>Aliceweb2</b:Title>
    <b:Year>2015</b:Year>
    <b:Author>
      <b:Author>
        <b:NameList>
          <b:Person>
            <b:Last>SECEX</b:Last>
          </b:Person>
        </b:NameList>
      </b:Author>
      <b:Compiler>
        <b:NameList>
          <b:Person>
            <b:Last>Exterior</b:Last>
            <b:First>Secretaria</b:First>
            <b:Middle>de Comércio</b:Middle>
          </b:Person>
        </b:NameList>
      </b:Compiler>
    </b:Author>
    <b:ProductionCompany>Ministério do Desenvolvimento, Indústria e Comércio</b:ProductionCompany>
    <b:Institution>Ministério do Desenvolvimento, Indústria e Comércio</b:Institution>
    <b:RefOrder>6</b:RefOrder>
  </b:Source>
  <b:Source>
    <b:Tag>Ins15</b:Tag>
    <b:SourceType>Report</b:SourceType>
    <b:Guid>{F7A35AC6-C6D0-45F8-94B8-F40D9CA505C7}</b:Guid>
    <b:Author>
      <b:Author>
        <b:Corporate>Instituto Brasileiro de Geografia e Estatística </b:Corporate>
      </b:Author>
    </b:Author>
    <b:Title>Banco de dados SIDRA</b:Title>
    <b:Year>2015</b:Year>
    <b:Institution>IBGE</b:Institution>
    <b:RefOrder>7</b:RefOrder>
  </b:Source>
  <b:Source>
    <b:Tag>IPE15</b:Tag>
    <b:SourceType>Report</b:SourceType>
    <b:Guid>{C7C119D1-04F6-4C5D-81C0-ED70ABA1C174}</b:Guid>
    <b:Author>
      <b:Author>
        <b:Corporate>IPEA</b:Corporate>
      </b:Author>
    </b:Author>
    <b:Title>IPEADATA</b:Title>
    <b:Year>2015</b:Year>
    <b:Institution>Instituto de Pesquisa Econômica Aplicada</b:Institution>
    <b:RefOrder>8</b:RefOrder>
  </b:Source>
  <b:Source>
    <b:Tag>Bea01</b:Tag>
    <b:SourceType>JournalArticle</b:SourceType>
    <b:Guid>{8050C53C-1297-4D14-A583-66E76C77D9ED}</b:Guid>
    <b:Author>
      <b:Author>
        <b:NameList>
          <b:Person>
            <b:Last>Smarzynska</b:Last>
            <b:First>Beata</b:First>
            <b:Middle>K.</b:Middle>
          </b:Person>
        </b:NameList>
      </b:Author>
    </b:Author>
    <b:Title>Does relative location matter for bilateral trade flows?</b:Title>
    <b:JournalName>Journal of Economic Integration - JEI</b:JournalName>
    <b:Year>2001</b:Year>
    <b:Month>Sep.</b:Month>
    <b:Pages>379-398</b:Pages>
    <b:Volume>16</b:Volume>
    <b:Issue>3</b:Issue>
    <b:RefOrder>9</b:RefOrder>
  </b:Source>
</b:Sources>
</file>

<file path=customXml/itemProps1.xml><?xml version="1.0" encoding="utf-8"?>
<ds:datastoreItem xmlns:ds="http://schemas.openxmlformats.org/officeDocument/2006/customXml" ds:itemID="{CE0BF7B4-E923-466B-842F-BE275705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9942</Words>
  <Characters>53687</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KRISLEY MENDES</dc:creator>
  <cp:keywords/>
  <dc:description/>
  <cp:lastModifiedBy>Avaliador</cp:lastModifiedBy>
  <cp:revision>2</cp:revision>
  <dcterms:created xsi:type="dcterms:W3CDTF">2017-07-21T21:57:00Z</dcterms:created>
  <dcterms:modified xsi:type="dcterms:W3CDTF">2017-07-21T21:57:00Z</dcterms:modified>
</cp:coreProperties>
</file>