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theme/themeOverride1.xml" ContentType="application/vnd.openxmlformats-officedocument.themeOverride+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387F1" w14:textId="7F765056" w:rsidR="000D62E7" w:rsidRDefault="004642C5" w:rsidP="0047178E">
      <w:pPr>
        <w:spacing w:line="240" w:lineRule="auto"/>
        <w:jc w:val="center"/>
        <w:rPr>
          <w:rFonts w:ascii="Times New Roman" w:hAnsi="Times New Roman" w:cs="Times New Roman"/>
          <w:b/>
          <w:bCs/>
          <w:sz w:val="36"/>
          <w:szCs w:val="24"/>
          <w:lang w:val="en-US"/>
        </w:rPr>
      </w:pPr>
      <w:r w:rsidRPr="00F574DF">
        <w:rPr>
          <w:rFonts w:ascii="Times New Roman" w:hAnsi="Times New Roman" w:cs="Times New Roman"/>
          <w:b/>
          <w:bCs/>
          <w:sz w:val="36"/>
          <w:szCs w:val="24"/>
          <w:lang w:val="en-US"/>
        </w:rPr>
        <w:t xml:space="preserve">THE PECULIAR </w:t>
      </w:r>
      <w:r w:rsidR="0093203B" w:rsidRPr="00F574DF">
        <w:rPr>
          <w:rFonts w:ascii="Times New Roman" w:hAnsi="Times New Roman" w:cs="Times New Roman"/>
          <w:b/>
          <w:bCs/>
          <w:sz w:val="36"/>
          <w:szCs w:val="24"/>
          <w:lang w:val="en-US"/>
        </w:rPr>
        <w:t>INSERTION OF</w:t>
      </w:r>
      <w:r w:rsidRPr="00F574DF">
        <w:rPr>
          <w:rFonts w:ascii="Times New Roman" w:hAnsi="Times New Roman" w:cs="Times New Roman"/>
          <w:b/>
          <w:bCs/>
          <w:sz w:val="36"/>
          <w:szCs w:val="24"/>
          <w:lang w:val="en-US"/>
        </w:rPr>
        <w:t xml:space="preserve"> BRAZIL </w:t>
      </w:r>
      <w:r w:rsidR="0093203B" w:rsidRPr="00F574DF">
        <w:rPr>
          <w:rFonts w:ascii="Times New Roman" w:hAnsi="Times New Roman" w:cs="Times New Roman"/>
          <w:b/>
          <w:bCs/>
          <w:sz w:val="36"/>
          <w:szCs w:val="24"/>
          <w:lang w:val="en-US"/>
        </w:rPr>
        <w:t>INTO</w:t>
      </w:r>
      <w:r w:rsidRPr="00F574DF">
        <w:rPr>
          <w:rFonts w:ascii="Times New Roman" w:hAnsi="Times New Roman" w:cs="Times New Roman"/>
          <w:b/>
          <w:bCs/>
          <w:sz w:val="36"/>
          <w:szCs w:val="24"/>
          <w:lang w:val="en-US"/>
        </w:rPr>
        <w:t xml:space="preserve"> GLOBAL VALUE CHAINS</w:t>
      </w:r>
    </w:p>
    <w:p w14:paraId="78F4E1E8" w14:textId="5B6F487F" w:rsidR="00F574DF" w:rsidRDefault="00F574DF" w:rsidP="00F574DF">
      <w:pPr>
        <w:spacing w:after="0" w:line="240" w:lineRule="auto"/>
        <w:jc w:val="center"/>
        <w:rPr>
          <w:rFonts w:ascii="Times New Roman" w:hAnsi="Times New Roman" w:cs="Times New Roman"/>
          <w:b/>
          <w:bCs/>
          <w:sz w:val="36"/>
          <w:szCs w:val="24"/>
          <w:lang w:val="en-US"/>
        </w:rPr>
      </w:pPr>
    </w:p>
    <w:p w14:paraId="3E4DF4DB" w14:textId="77777777" w:rsidR="00F574DF" w:rsidRPr="00213ECB" w:rsidRDefault="00F574DF" w:rsidP="00F574DF">
      <w:pPr>
        <w:spacing w:after="0" w:line="240" w:lineRule="auto"/>
        <w:ind w:left="-284" w:right="-142"/>
        <w:jc w:val="right"/>
        <w:rPr>
          <w:rFonts w:ascii="Times New Roman" w:hAnsi="Times New Roman" w:cs="Times New Roman"/>
          <w:sz w:val="24"/>
          <w:szCs w:val="24"/>
        </w:rPr>
      </w:pPr>
      <w:r w:rsidRPr="00213ECB">
        <w:rPr>
          <w:rFonts w:ascii="Times New Roman" w:hAnsi="Times New Roman" w:cs="Times New Roman"/>
          <w:b/>
          <w:bCs/>
          <w:sz w:val="24"/>
          <w:szCs w:val="24"/>
        </w:rPr>
        <w:t xml:space="preserve">Julia de Oliveira Callegari – </w:t>
      </w:r>
      <w:r w:rsidRPr="00213ECB">
        <w:rPr>
          <w:rFonts w:ascii="Times New Roman" w:hAnsi="Times New Roman" w:cs="Times New Roman"/>
          <w:sz w:val="24"/>
          <w:szCs w:val="24"/>
        </w:rPr>
        <w:t>Especialista em Análise Econômica pela Universidade de São Paulo</w:t>
      </w:r>
    </w:p>
    <w:p w14:paraId="4FB73D6A" w14:textId="77777777" w:rsidR="00F574DF" w:rsidRPr="00213ECB" w:rsidRDefault="00F574DF" w:rsidP="00F574DF">
      <w:pPr>
        <w:spacing w:after="0" w:line="240" w:lineRule="auto"/>
        <w:ind w:left="-284" w:right="-142"/>
        <w:jc w:val="right"/>
        <w:rPr>
          <w:rFonts w:ascii="Times New Roman" w:hAnsi="Times New Roman" w:cs="Times New Roman"/>
          <w:sz w:val="24"/>
          <w:szCs w:val="24"/>
        </w:rPr>
      </w:pPr>
      <w:r w:rsidRPr="00213ECB">
        <w:rPr>
          <w:rFonts w:ascii="Times New Roman" w:hAnsi="Times New Roman" w:cs="Times New Roman"/>
          <w:b/>
          <w:bCs/>
          <w:sz w:val="24"/>
          <w:szCs w:val="24"/>
        </w:rPr>
        <w:t>Tatiana Massaroli Melo</w:t>
      </w:r>
      <w:r w:rsidRPr="00213ECB">
        <w:rPr>
          <w:rFonts w:ascii="Times New Roman" w:hAnsi="Times New Roman" w:cs="Times New Roman"/>
          <w:sz w:val="24"/>
          <w:szCs w:val="24"/>
        </w:rPr>
        <w:t xml:space="preserve"> – Professora do Departamento de Economia da UNESP</w:t>
      </w:r>
    </w:p>
    <w:p w14:paraId="43BBECC4" w14:textId="77777777" w:rsidR="00F574DF" w:rsidRPr="00213ECB" w:rsidRDefault="00F574DF" w:rsidP="00F574DF">
      <w:pPr>
        <w:spacing w:after="0" w:line="240" w:lineRule="auto"/>
        <w:ind w:left="-284" w:right="-142"/>
        <w:jc w:val="right"/>
        <w:rPr>
          <w:rFonts w:ascii="Times New Roman" w:hAnsi="Times New Roman" w:cs="Times New Roman"/>
          <w:b/>
          <w:bCs/>
          <w:sz w:val="24"/>
          <w:szCs w:val="24"/>
        </w:rPr>
      </w:pPr>
      <w:r w:rsidRPr="00213ECB">
        <w:rPr>
          <w:rFonts w:ascii="Times New Roman" w:hAnsi="Times New Roman" w:cs="Times New Roman"/>
          <w:b/>
          <w:bCs/>
          <w:sz w:val="24"/>
          <w:szCs w:val="24"/>
        </w:rPr>
        <w:t xml:space="preserve">Carlos Eduardo Carvalho </w:t>
      </w:r>
      <w:r w:rsidRPr="00213ECB">
        <w:rPr>
          <w:rFonts w:ascii="Times New Roman" w:hAnsi="Times New Roman" w:cs="Times New Roman"/>
          <w:sz w:val="24"/>
          <w:szCs w:val="24"/>
        </w:rPr>
        <w:t>- Professor do Departamento de Economia da PUCSP e do Programa de Pós-Graduação em Relações Internacionais San Tiago Dantas (Unesp/Unicamp/PUCSP)</w:t>
      </w:r>
    </w:p>
    <w:p w14:paraId="573D283F" w14:textId="77777777" w:rsidR="00F574DF" w:rsidRPr="00F574DF" w:rsidRDefault="00F574DF" w:rsidP="0047178E">
      <w:pPr>
        <w:spacing w:line="240" w:lineRule="auto"/>
        <w:jc w:val="center"/>
        <w:rPr>
          <w:rFonts w:ascii="Times New Roman" w:hAnsi="Times New Roman" w:cs="Times New Roman"/>
          <w:b/>
          <w:bCs/>
          <w:sz w:val="36"/>
          <w:szCs w:val="24"/>
        </w:rPr>
      </w:pPr>
    </w:p>
    <w:p w14:paraId="59231652" w14:textId="77777777" w:rsidR="000922A6" w:rsidRPr="00F574DF" w:rsidRDefault="000922A6" w:rsidP="0047178E">
      <w:pPr>
        <w:spacing w:after="0" w:line="240" w:lineRule="auto"/>
        <w:ind w:right="-143"/>
        <w:rPr>
          <w:rFonts w:ascii="Times New Roman" w:hAnsi="Times New Roman" w:cs="Times New Roman"/>
          <w:b/>
          <w:bCs/>
          <w:sz w:val="24"/>
          <w:szCs w:val="24"/>
        </w:rPr>
      </w:pPr>
    </w:p>
    <w:p w14:paraId="321C259A" w14:textId="77777777" w:rsidR="00BD3247" w:rsidRPr="0047178E" w:rsidRDefault="00BD3247" w:rsidP="0047178E">
      <w:pPr>
        <w:spacing w:after="0" w:line="240" w:lineRule="auto"/>
        <w:ind w:firstLine="540"/>
        <w:jc w:val="both"/>
        <w:rPr>
          <w:rFonts w:ascii="Times New Roman" w:hAnsi="Times New Roman" w:cs="Times New Roman"/>
          <w:b/>
          <w:bCs/>
          <w:sz w:val="24"/>
          <w:szCs w:val="24"/>
          <w:lang w:val="en-US"/>
        </w:rPr>
      </w:pPr>
      <w:r w:rsidRPr="0047178E">
        <w:rPr>
          <w:rFonts w:ascii="Times New Roman" w:hAnsi="Times New Roman" w:cs="Times New Roman"/>
          <w:b/>
          <w:bCs/>
          <w:sz w:val="24"/>
          <w:szCs w:val="24"/>
          <w:lang w:val="en-US"/>
        </w:rPr>
        <w:t>ABSTRAC</w:t>
      </w:r>
      <w:r w:rsidR="00EF516C" w:rsidRPr="0047178E">
        <w:rPr>
          <w:rFonts w:ascii="Times New Roman" w:hAnsi="Times New Roman" w:cs="Times New Roman"/>
          <w:b/>
          <w:bCs/>
          <w:sz w:val="24"/>
          <w:szCs w:val="24"/>
          <w:lang w:val="en-US"/>
        </w:rPr>
        <w:t>T</w:t>
      </w:r>
    </w:p>
    <w:p w14:paraId="767200D3" w14:textId="50004BFA" w:rsidR="00F574DF" w:rsidRDefault="004642C5" w:rsidP="00F574DF">
      <w:pPr>
        <w:spacing w:after="0" w:line="240" w:lineRule="auto"/>
        <w:ind w:firstLine="540"/>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Brazil plays a very peculiar role in global value chains</w:t>
      </w:r>
      <w:r w:rsidR="00AF36F4" w:rsidRPr="0047178E">
        <w:rPr>
          <w:rFonts w:ascii="Times New Roman" w:hAnsi="Times New Roman" w:cs="Times New Roman"/>
          <w:sz w:val="24"/>
          <w:szCs w:val="24"/>
          <w:lang w:val="en-US"/>
        </w:rPr>
        <w:t xml:space="preserve"> (GVCs)</w:t>
      </w:r>
      <w:r w:rsidRPr="0047178E">
        <w:rPr>
          <w:rFonts w:ascii="Times New Roman" w:hAnsi="Times New Roman" w:cs="Times New Roman"/>
          <w:sz w:val="24"/>
          <w:szCs w:val="24"/>
          <w:lang w:val="en-US"/>
        </w:rPr>
        <w:t xml:space="preserve">: the country imports </w:t>
      </w:r>
      <w:r w:rsidR="00691715" w:rsidRPr="0047178E">
        <w:rPr>
          <w:rFonts w:ascii="Times New Roman" w:hAnsi="Times New Roman" w:cs="Times New Roman"/>
          <w:sz w:val="24"/>
          <w:szCs w:val="24"/>
          <w:lang w:val="en-US"/>
        </w:rPr>
        <w:t>high technology</w:t>
      </w:r>
      <w:r w:rsidRPr="0047178E">
        <w:rPr>
          <w:rFonts w:ascii="Times New Roman" w:hAnsi="Times New Roman" w:cs="Times New Roman"/>
          <w:sz w:val="24"/>
          <w:szCs w:val="24"/>
          <w:lang w:val="en-US"/>
        </w:rPr>
        <w:t xml:space="preserve"> </w:t>
      </w:r>
      <w:r w:rsidR="00714208" w:rsidRPr="0047178E">
        <w:rPr>
          <w:rFonts w:ascii="Times New Roman" w:hAnsi="Times New Roman" w:cs="Times New Roman"/>
          <w:sz w:val="24"/>
          <w:szCs w:val="24"/>
          <w:lang w:val="en-US"/>
        </w:rPr>
        <w:t xml:space="preserve">goods </w:t>
      </w:r>
      <w:r w:rsidRPr="0047178E">
        <w:rPr>
          <w:rFonts w:ascii="Times New Roman" w:hAnsi="Times New Roman" w:cs="Times New Roman"/>
          <w:sz w:val="24"/>
          <w:szCs w:val="24"/>
          <w:lang w:val="en-US"/>
        </w:rPr>
        <w:t xml:space="preserve">while going through early deindustrialization and relying </w:t>
      </w:r>
      <w:r w:rsidR="00AE5D8C" w:rsidRPr="0047178E">
        <w:rPr>
          <w:rFonts w:ascii="Times New Roman" w:hAnsi="Times New Roman" w:cs="Times New Roman"/>
          <w:sz w:val="24"/>
          <w:szCs w:val="24"/>
          <w:lang w:val="en-US"/>
        </w:rPr>
        <w:t xml:space="preserve">mainly </w:t>
      </w:r>
      <w:r w:rsidRPr="0047178E">
        <w:rPr>
          <w:rFonts w:ascii="Times New Roman" w:hAnsi="Times New Roman" w:cs="Times New Roman"/>
          <w:sz w:val="24"/>
          <w:szCs w:val="24"/>
          <w:lang w:val="en-US"/>
        </w:rPr>
        <w:t>on basic goods for its exports. Even after developing a broad, diversified industrial framework and becoming one of the countries that ha</w:t>
      </w:r>
      <w:r w:rsidR="00035C11" w:rsidRPr="0047178E">
        <w:rPr>
          <w:rFonts w:ascii="Times New Roman" w:hAnsi="Times New Roman" w:cs="Times New Roman"/>
          <w:sz w:val="24"/>
          <w:szCs w:val="24"/>
          <w:lang w:val="en-US"/>
        </w:rPr>
        <w:t>s</w:t>
      </w:r>
      <w:r w:rsidRPr="0047178E">
        <w:rPr>
          <w:rFonts w:ascii="Times New Roman" w:hAnsi="Times New Roman" w:cs="Times New Roman"/>
          <w:sz w:val="24"/>
          <w:szCs w:val="24"/>
          <w:lang w:val="en-US"/>
        </w:rPr>
        <w:t xml:space="preserve"> received t</w:t>
      </w:r>
      <w:r w:rsidR="00D8073F" w:rsidRPr="0047178E">
        <w:rPr>
          <w:rFonts w:ascii="Times New Roman" w:hAnsi="Times New Roman" w:cs="Times New Roman"/>
          <w:sz w:val="24"/>
          <w:szCs w:val="24"/>
          <w:lang w:val="en-US"/>
        </w:rPr>
        <w:t xml:space="preserve">he most </w:t>
      </w:r>
      <w:r w:rsidR="00411C86" w:rsidRPr="0047178E">
        <w:rPr>
          <w:rFonts w:ascii="Times New Roman" w:hAnsi="Times New Roman" w:cs="Times New Roman"/>
          <w:sz w:val="24"/>
          <w:szCs w:val="24"/>
          <w:lang w:val="en-US"/>
        </w:rPr>
        <w:t xml:space="preserve">foreign </w:t>
      </w:r>
      <w:r w:rsidR="00D8073F" w:rsidRPr="0047178E">
        <w:rPr>
          <w:rFonts w:ascii="Times New Roman" w:hAnsi="Times New Roman" w:cs="Times New Roman"/>
          <w:sz w:val="24"/>
          <w:szCs w:val="24"/>
          <w:lang w:val="en-US"/>
        </w:rPr>
        <w:t>direct investments</w:t>
      </w:r>
      <w:r w:rsidRPr="0047178E">
        <w:rPr>
          <w:rFonts w:ascii="Times New Roman" w:hAnsi="Times New Roman" w:cs="Times New Roman"/>
          <w:sz w:val="24"/>
          <w:szCs w:val="24"/>
          <w:lang w:val="en-US"/>
        </w:rPr>
        <w:t xml:space="preserve"> in the past few years, Brazil has been struggling to occupy a more tech</w:t>
      </w:r>
      <w:r w:rsidR="00714208" w:rsidRPr="0047178E">
        <w:rPr>
          <w:rFonts w:ascii="Times New Roman" w:hAnsi="Times New Roman" w:cs="Times New Roman"/>
          <w:sz w:val="24"/>
          <w:szCs w:val="24"/>
          <w:lang w:val="en-US"/>
        </w:rPr>
        <w:t>nology</w:t>
      </w:r>
      <w:r w:rsidRPr="0047178E">
        <w:rPr>
          <w:rFonts w:ascii="Times New Roman" w:hAnsi="Times New Roman" w:cs="Times New Roman"/>
          <w:sz w:val="24"/>
          <w:szCs w:val="24"/>
          <w:lang w:val="en-US"/>
        </w:rPr>
        <w:t xml:space="preserve">-oriented place in GVCs. This paper examines </w:t>
      </w:r>
      <w:r w:rsidR="00C56DEB" w:rsidRPr="0047178E">
        <w:rPr>
          <w:rFonts w:ascii="Times New Roman" w:hAnsi="Times New Roman" w:cs="Times New Roman"/>
          <w:sz w:val="24"/>
          <w:szCs w:val="24"/>
          <w:lang w:val="en-US"/>
        </w:rPr>
        <w:t xml:space="preserve">the determinants of this </w:t>
      </w:r>
      <w:r w:rsidR="001361F7" w:rsidRPr="0047178E">
        <w:rPr>
          <w:rFonts w:ascii="Times New Roman" w:hAnsi="Times New Roman" w:cs="Times New Roman"/>
          <w:sz w:val="24"/>
          <w:szCs w:val="24"/>
          <w:lang w:val="en-US"/>
        </w:rPr>
        <w:t>pattern</w:t>
      </w:r>
      <w:r w:rsidR="00C56DEB" w:rsidRPr="0047178E">
        <w:rPr>
          <w:rFonts w:ascii="Times New Roman" w:hAnsi="Times New Roman" w:cs="Times New Roman"/>
          <w:sz w:val="24"/>
          <w:szCs w:val="24"/>
          <w:lang w:val="en-US"/>
        </w:rPr>
        <w:t xml:space="preserve"> of insertion</w:t>
      </w:r>
      <w:r w:rsidR="00EA29AF" w:rsidRPr="0047178E">
        <w:rPr>
          <w:rFonts w:ascii="Times New Roman" w:hAnsi="Times New Roman" w:cs="Times New Roman"/>
          <w:sz w:val="24"/>
          <w:szCs w:val="24"/>
          <w:lang w:val="en-US"/>
        </w:rPr>
        <w:t xml:space="preserve"> </w:t>
      </w:r>
      <w:r w:rsidR="00714208" w:rsidRPr="0047178E">
        <w:rPr>
          <w:rFonts w:ascii="Times New Roman" w:hAnsi="Times New Roman" w:cs="Times New Roman"/>
          <w:sz w:val="24"/>
          <w:szCs w:val="24"/>
          <w:lang w:val="en-US"/>
        </w:rPr>
        <w:t>by characterizing</w:t>
      </w:r>
      <w:r w:rsidR="009F14C9" w:rsidRPr="0047178E">
        <w:rPr>
          <w:rFonts w:ascii="Times New Roman" w:hAnsi="Times New Roman" w:cs="Times New Roman"/>
          <w:sz w:val="24"/>
          <w:szCs w:val="24"/>
          <w:lang w:val="en-US"/>
        </w:rPr>
        <w:t xml:space="preserve"> the country’s quantitative and qualitative </w:t>
      </w:r>
      <w:r w:rsidR="00C56DEB" w:rsidRPr="0047178E">
        <w:rPr>
          <w:rFonts w:ascii="Times New Roman" w:hAnsi="Times New Roman" w:cs="Times New Roman"/>
          <w:sz w:val="24"/>
          <w:szCs w:val="24"/>
          <w:lang w:val="en-US"/>
        </w:rPr>
        <w:t>model</w:t>
      </w:r>
      <w:r w:rsidR="009F14C9" w:rsidRPr="0047178E">
        <w:rPr>
          <w:rFonts w:ascii="Times New Roman" w:hAnsi="Times New Roman" w:cs="Times New Roman"/>
          <w:sz w:val="24"/>
          <w:szCs w:val="24"/>
          <w:lang w:val="en-US"/>
        </w:rPr>
        <w:t xml:space="preserve"> of integration into GVCs and </w:t>
      </w:r>
      <w:r w:rsidR="006E7261" w:rsidRPr="0047178E">
        <w:rPr>
          <w:rFonts w:ascii="Times New Roman" w:hAnsi="Times New Roman" w:cs="Times New Roman"/>
          <w:sz w:val="24"/>
          <w:szCs w:val="24"/>
          <w:lang w:val="en-US"/>
        </w:rPr>
        <w:t>by analyzing</w:t>
      </w:r>
      <w:r w:rsidR="009F14C9" w:rsidRPr="0047178E">
        <w:rPr>
          <w:rFonts w:ascii="Times New Roman" w:hAnsi="Times New Roman" w:cs="Times New Roman"/>
          <w:sz w:val="24"/>
          <w:szCs w:val="24"/>
          <w:lang w:val="en-US"/>
        </w:rPr>
        <w:t xml:space="preserve"> </w:t>
      </w:r>
      <w:r w:rsidR="006E7261" w:rsidRPr="0047178E">
        <w:rPr>
          <w:rFonts w:ascii="Times New Roman" w:hAnsi="Times New Roman" w:cs="Times New Roman"/>
          <w:sz w:val="24"/>
          <w:szCs w:val="24"/>
          <w:lang w:val="en-US"/>
        </w:rPr>
        <w:t xml:space="preserve">the </w:t>
      </w:r>
      <w:r w:rsidR="009F14C9" w:rsidRPr="0047178E">
        <w:rPr>
          <w:rFonts w:ascii="Times New Roman" w:hAnsi="Times New Roman" w:cs="Times New Roman"/>
          <w:sz w:val="24"/>
          <w:szCs w:val="24"/>
          <w:lang w:val="en-US"/>
        </w:rPr>
        <w:t>elements th</w:t>
      </w:r>
      <w:r w:rsidR="00AE5D8C" w:rsidRPr="0047178E">
        <w:rPr>
          <w:rFonts w:ascii="Times New Roman" w:hAnsi="Times New Roman" w:cs="Times New Roman"/>
          <w:sz w:val="24"/>
          <w:szCs w:val="24"/>
          <w:lang w:val="en-US"/>
        </w:rPr>
        <w:t>at can explain this performance</w:t>
      </w:r>
      <w:r w:rsidR="00C56DEB" w:rsidRPr="0047178E">
        <w:rPr>
          <w:rFonts w:ascii="Times New Roman" w:hAnsi="Times New Roman" w:cs="Times New Roman"/>
          <w:sz w:val="24"/>
          <w:szCs w:val="24"/>
          <w:lang w:val="en-US"/>
        </w:rPr>
        <w:t xml:space="preserve">. </w:t>
      </w:r>
    </w:p>
    <w:p w14:paraId="366F89E4" w14:textId="4B7A64A1" w:rsidR="00F574DF" w:rsidRDefault="00F574DF" w:rsidP="00F574DF">
      <w:pPr>
        <w:spacing w:after="0" w:line="240" w:lineRule="auto"/>
        <w:ind w:firstLine="540"/>
        <w:jc w:val="both"/>
        <w:rPr>
          <w:rFonts w:ascii="Times New Roman" w:hAnsi="Times New Roman" w:cs="Times New Roman"/>
          <w:sz w:val="24"/>
          <w:szCs w:val="24"/>
          <w:lang w:val="en-US"/>
        </w:rPr>
      </w:pPr>
    </w:p>
    <w:p w14:paraId="31734184" w14:textId="435074EE" w:rsidR="00F574DF" w:rsidRDefault="00F574DF" w:rsidP="00F574DF">
      <w:pPr>
        <w:spacing w:after="0" w:line="24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Brazil, global value chains, industrialization, foreign trade </w:t>
      </w:r>
    </w:p>
    <w:p w14:paraId="5B48CED6" w14:textId="55631905" w:rsidR="00F574DF" w:rsidRDefault="00F574DF" w:rsidP="00F574DF">
      <w:pPr>
        <w:spacing w:after="0" w:line="240" w:lineRule="auto"/>
        <w:ind w:firstLine="540"/>
        <w:jc w:val="both"/>
        <w:rPr>
          <w:rFonts w:ascii="Times New Roman" w:hAnsi="Times New Roman" w:cs="Times New Roman"/>
          <w:sz w:val="24"/>
          <w:szCs w:val="24"/>
          <w:lang w:val="en-US"/>
        </w:rPr>
      </w:pPr>
    </w:p>
    <w:p w14:paraId="55C3BF70" w14:textId="538C2137" w:rsidR="00F574DF" w:rsidRPr="00F574DF" w:rsidRDefault="00F574DF" w:rsidP="00F574DF">
      <w:pPr>
        <w:spacing w:after="0" w:line="240" w:lineRule="auto"/>
        <w:ind w:firstLine="540"/>
        <w:jc w:val="both"/>
        <w:rPr>
          <w:rFonts w:ascii="Times New Roman" w:hAnsi="Times New Roman" w:cs="Times New Roman"/>
          <w:b/>
          <w:sz w:val="24"/>
          <w:szCs w:val="24"/>
        </w:rPr>
      </w:pPr>
      <w:r w:rsidRPr="00F574DF">
        <w:rPr>
          <w:rFonts w:ascii="Times New Roman" w:hAnsi="Times New Roman" w:cs="Times New Roman"/>
          <w:b/>
          <w:sz w:val="24"/>
          <w:szCs w:val="24"/>
        </w:rPr>
        <w:t>RESUMO</w:t>
      </w:r>
    </w:p>
    <w:p w14:paraId="41E31292" w14:textId="41143C60" w:rsidR="00F574DF" w:rsidRDefault="00F574DF" w:rsidP="00F574DF">
      <w:pPr>
        <w:spacing w:after="0" w:line="240" w:lineRule="auto"/>
        <w:ind w:firstLine="540"/>
        <w:jc w:val="both"/>
        <w:rPr>
          <w:rFonts w:ascii="Times New Roman" w:hAnsi="Times New Roman" w:cs="Times New Roman"/>
          <w:sz w:val="24"/>
          <w:szCs w:val="24"/>
        </w:rPr>
      </w:pPr>
      <w:r w:rsidRPr="00F574DF">
        <w:rPr>
          <w:rFonts w:ascii="Times New Roman" w:hAnsi="Times New Roman" w:cs="Times New Roman"/>
          <w:sz w:val="24"/>
          <w:szCs w:val="24"/>
        </w:rPr>
        <w:t xml:space="preserve">O Brasil apresenta uma inserção peculiar nas cadeias globais de valor (CGVs): nível elevado de importações de bens tecnologicamente avançados com peso crescente dos produtos primários na pauta de exportações e desindustrialização precoce. Apesar de ter desenvolvido uma estrutura industrial ampla e diversificada e de ser um dos principais receptores de investimento externo direto nos últimos anos, o país tem inserção reduzida em CGVs com maior dinamismo tecnológico. O artigo avalia os determinantes desta natureza da inserção brasileira por meio da caracterização quantitativa e qualitativa do padrão de integração do país nas CGVs e da análise dos elementos que podem explicar esse desempenho.  </w:t>
      </w:r>
    </w:p>
    <w:p w14:paraId="405D0D6F" w14:textId="595E5E1A" w:rsidR="00F574DF" w:rsidRDefault="00F574DF" w:rsidP="00F574DF">
      <w:pPr>
        <w:spacing w:after="0" w:line="240" w:lineRule="auto"/>
        <w:ind w:firstLine="540"/>
        <w:jc w:val="both"/>
        <w:rPr>
          <w:rFonts w:ascii="Times New Roman" w:hAnsi="Times New Roman" w:cs="Times New Roman"/>
          <w:sz w:val="24"/>
          <w:szCs w:val="24"/>
        </w:rPr>
      </w:pPr>
    </w:p>
    <w:p w14:paraId="144CF9F8" w14:textId="0B6B4DAD" w:rsidR="00F574DF" w:rsidRDefault="00F574DF" w:rsidP="00F574DF">
      <w:pPr>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Palavras-chave: Brasil, cadeias globais de valor, industrialização, comércio exterior</w:t>
      </w:r>
    </w:p>
    <w:p w14:paraId="35623A06" w14:textId="6B9EA131" w:rsidR="00F574DF" w:rsidRDefault="00F574DF" w:rsidP="00F574DF">
      <w:pPr>
        <w:spacing w:after="0" w:line="240" w:lineRule="auto"/>
        <w:ind w:firstLine="540"/>
        <w:jc w:val="both"/>
        <w:rPr>
          <w:rFonts w:ascii="Times New Roman" w:hAnsi="Times New Roman" w:cs="Times New Roman"/>
          <w:sz w:val="24"/>
          <w:szCs w:val="24"/>
        </w:rPr>
      </w:pPr>
    </w:p>
    <w:p w14:paraId="3F9ABA07" w14:textId="57D00B5C" w:rsidR="00F574DF" w:rsidRDefault="00F574DF" w:rsidP="00F574DF">
      <w:pPr>
        <w:spacing w:after="0" w:line="240" w:lineRule="auto"/>
        <w:ind w:firstLine="540"/>
        <w:jc w:val="both"/>
        <w:rPr>
          <w:rFonts w:ascii="Times New Roman" w:hAnsi="Times New Roman" w:cs="Times New Roman"/>
          <w:sz w:val="24"/>
          <w:szCs w:val="24"/>
        </w:rPr>
      </w:pPr>
    </w:p>
    <w:p w14:paraId="6350BEF5" w14:textId="71ABD4C3" w:rsidR="00F574DF" w:rsidRDefault="00F574DF" w:rsidP="00F574DF">
      <w:pPr>
        <w:spacing w:after="0" w:line="240" w:lineRule="auto"/>
        <w:ind w:firstLine="540"/>
        <w:jc w:val="both"/>
        <w:rPr>
          <w:rFonts w:ascii="Times New Roman" w:hAnsi="Times New Roman" w:cs="Times New Roman"/>
          <w:sz w:val="24"/>
          <w:szCs w:val="24"/>
        </w:rPr>
      </w:pPr>
    </w:p>
    <w:p w14:paraId="680E316D" w14:textId="7CE328DD" w:rsidR="00F574DF" w:rsidRDefault="00F574DF" w:rsidP="00F574DF">
      <w:pPr>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Área ANPEC: 7 – Economia Internacional</w:t>
      </w:r>
    </w:p>
    <w:p w14:paraId="31A3A969" w14:textId="3A1F7FA0" w:rsidR="00F574DF" w:rsidRPr="00F574DF" w:rsidRDefault="00F574DF" w:rsidP="00F574DF">
      <w:pPr>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Classificação JEL: F59</w:t>
      </w:r>
    </w:p>
    <w:p w14:paraId="0ED0BE1D" w14:textId="54E4A4B4" w:rsidR="00F574DF" w:rsidRPr="00F574DF" w:rsidRDefault="00F574DF" w:rsidP="0047178E">
      <w:pPr>
        <w:spacing w:after="0" w:line="240" w:lineRule="auto"/>
        <w:ind w:firstLine="540"/>
        <w:jc w:val="both"/>
        <w:rPr>
          <w:rFonts w:ascii="Times New Roman" w:hAnsi="Times New Roman" w:cs="Times New Roman"/>
          <w:sz w:val="24"/>
          <w:szCs w:val="24"/>
        </w:rPr>
      </w:pPr>
    </w:p>
    <w:p w14:paraId="628F6A86" w14:textId="3A9600E2" w:rsidR="00F574DF" w:rsidRPr="00F574DF" w:rsidRDefault="00F574DF" w:rsidP="0047178E">
      <w:pPr>
        <w:spacing w:after="0" w:line="240" w:lineRule="auto"/>
        <w:ind w:firstLine="540"/>
        <w:jc w:val="both"/>
        <w:rPr>
          <w:rFonts w:ascii="Times New Roman" w:hAnsi="Times New Roman" w:cs="Times New Roman"/>
          <w:sz w:val="24"/>
          <w:szCs w:val="24"/>
        </w:rPr>
      </w:pPr>
    </w:p>
    <w:p w14:paraId="27ACA895" w14:textId="68C65FC3" w:rsidR="00F574DF" w:rsidRPr="00F574DF" w:rsidRDefault="00F574DF" w:rsidP="0047178E">
      <w:pPr>
        <w:spacing w:after="0" w:line="240" w:lineRule="auto"/>
        <w:ind w:firstLine="540"/>
        <w:jc w:val="both"/>
        <w:rPr>
          <w:rFonts w:ascii="Times New Roman" w:hAnsi="Times New Roman" w:cs="Times New Roman"/>
          <w:sz w:val="24"/>
          <w:szCs w:val="24"/>
        </w:rPr>
      </w:pPr>
    </w:p>
    <w:p w14:paraId="1D54A351" w14:textId="2688193D" w:rsidR="00F574DF" w:rsidRPr="00F574DF" w:rsidRDefault="00F574DF" w:rsidP="0047178E">
      <w:pPr>
        <w:spacing w:after="0" w:line="240" w:lineRule="auto"/>
        <w:ind w:firstLine="540"/>
        <w:jc w:val="both"/>
        <w:rPr>
          <w:rFonts w:ascii="Times New Roman" w:hAnsi="Times New Roman" w:cs="Times New Roman"/>
          <w:sz w:val="24"/>
          <w:szCs w:val="24"/>
        </w:rPr>
      </w:pPr>
    </w:p>
    <w:p w14:paraId="4E3D0031" w14:textId="0163F7B6" w:rsidR="00F574DF" w:rsidRPr="00F574DF" w:rsidRDefault="00F574DF" w:rsidP="0047178E">
      <w:pPr>
        <w:spacing w:after="0" w:line="240" w:lineRule="auto"/>
        <w:ind w:firstLine="540"/>
        <w:jc w:val="both"/>
        <w:rPr>
          <w:rFonts w:ascii="Times New Roman" w:hAnsi="Times New Roman" w:cs="Times New Roman"/>
          <w:sz w:val="24"/>
          <w:szCs w:val="24"/>
        </w:rPr>
      </w:pPr>
    </w:p>
    <w:p w14:paraId="7322A814" w14:textId="1BEE1296" w:rsidR="00F574DF" w:rsidRPr="00F574DF" w:rsidRDefault="00F574DF" w:rsidP="0047178E">
      <w:pPr>
        <w:spacing w:after="0" w:line="240" w:lineRule="auto"/>
        <w:ind w:firstLine="540"/>
        <w:jc w:val="both"/>
        <w:rPr>
          <w:rFonts w:ascii="Times New Roman" w:hAnsi="Times New Roman" w:cs="Times New Roman"/>
          <w:sz w:val="24"/>
          <w:szCs w:val="24"/>
        </w:rPr>
      </w:pPr>
    </w:p>
    <w:p w14:paraId="174BB7F9" w14:textId="10D1B96C" w:rsidR="00F574DF" w:rsidRDefault="00F574DF" w:rsidP="0047178E">
      <w:pPr>
        <w:spacing w:after="0" w:line="240" w:lineRule="auto"/>
        <w:ind w:firstLine="540"/>
        <w:jc w:val="both"/>
        <w:rPr>
          <w:rFonts w:ascii="Times New Roman" w:hAnsi="Times New Roman" w:cs="Times New Roman"/>
          <w:sz w:val="24"/>
          <w:szCs w:val="24"/>
        </w:rPr>
      </w:pPr>
    </w:p>
    <w:p w14:paraId="58C32D4A" w14:textId="4C4462A7" w:rsidR="005C54ED" w:rsidRDefault="005C54ED" w:rsidP="0047178E">
      <w:pPr>
        <w:spacing w:after="0" w:line="240" w:lineRule="auto"/>
        <w:ind w:firstLine="540"/>
        <w:jc w:val="both"/>
        <w:rPr>
          <w:rFonts w:ascii="Times New Roman" w:hAnsi="Times New Roman" w:cs="Times New Roman"/>
          <w:sz w:val="24"/>
          <w:szCs w:val="24"/>
        </w:rPr>
      </w:pPr>
    </w:p>
    <w:p w14:paraId="76897209" w14:textId="25D2B977" w:rsidR="005C54ED" w:rsidRDefault="005C54ED" w:rsidP="0047178E">
      <w:pPr>
        <w:spacing w:after="0" w:line="240" w:lineRule="auto"/>
        <w:ind w:firstLine="540"/>
        <w:jc w:val="both"/>
        <w:rPr>
          <w:rFonts w:ascii="Times New Roman" w:hAnsi="Times New Roman" w:cs="Times New Roman"/>
          <w:sz w:val="24"/>
          <w:szCs w:val="24"/>
        </w:rPr>
      </w:pPr>
    </w:p>
    <w:p w14:paraId="2021CCB2" w14:textId="77777777" w:rsidR="005C54ED" w:rsidRPr="00F574DF" w:rsidRDefault="005C54ED" w:rsidP="0047178E">
      <w:pPr>
        <w:spacing w:after="0" w:line="240" w:lineRule="auto"/>
        <w:ind w:firstLine="540"/>
        <w:jc w:val="both"/>
        <w:rPr>
          <w:rFonts w:ascii="Times New Roman" w:hAnsi="Times New Roman" w:cs="Times New Roman"/>
          <w:sz w:val="24"/>
          <w:szCs w:val="24"/>
        </w:rPr>
      </w:pPr>
    </w:p>
    <w:p w14:paraId="766FF8C5" w14:textId="616BBB61" w:rsidR="00F574DF" w:rsidRDefault="00F574DF" w:rsidP="00F574DF">
      <w:pPr>
        <w:spacing w:after="0" w:line="240" w:lineRule="auto"/>
        <w:jc w:val="both"/>
        <w:rPr>
          <w:rFonts w:ascii="Times New Roman" w:hAnsi="Times New Roman" w:cs="Times New Roman"/>
          <w:sz w:val="24"/>
          <w:szCs w:val="24"/>
        </w:rPr>
      </w:pPr>
    </w:p>
    <w:p w14:paraId="7D0066E7" w14:textId="77777777" w:rsidR="00F574DF" w:rsidRPr="00F574DF" w:rsidRDefault="00F574DF" w:rsidP="00F574DF">
      <w:pPr>
        <w:spacing w:after="0" w:line="240" w:lineRule="auto"/>
        <w:jc w:val="both"/>
        <w:rPr>
          <w:rFonts w:ascii="Times New Roman" w:hAnsi="Times New Roman" w:cs="Times New Roman"/>
          <w:sz w:val="24"/>
          <w:szCs w:val="24"/>
        </w:rPr>
      </w:pPr>
    </w:p>
    <w:p w14:paraId="0371BD7E" w14:textId="77777777" w:rsidR="0043078C" w:rsidRPr="00F574DF" w:rsidRDefault="00E26B07" w:rsidP="0047178E">
      <w:pPr>
        <w:spacing w:after="0" w:line="240" w:lineRule="auto"/>
        <w:ind w:firstLine="540"/>
        <w:jc w:val="both"/>
        <w:rPr>
          <w:rFonts w:ascii="Times New Roman" w:hAnsi="Times New Roman" w:cs="Times New Roman"/>
          <w:b/>
          <w:bCs/>
          <w:sz w:val="24"/>
          <w:szCs w:val="24"/>
        </w:rPr>
      </w:pPr>
      <w:r w:rsidRPr="00F574DF">
        <w:rPr>
          <w:rFonts w:ascii="Times New Roman" w:hAnsi="Times New Roman" w:cs="Times New Roman"/>
          <w:sz w:val="24"/>
          <w:szCs w:val="24"/>
        </w:rPr>
        <w:t xml:space="preserve">  </w:t>
      </w:r>
    </w:p>
    <w:p w14:paraId="3D7F46A4" w14:textId="77777777" w:rsidR="00055886" w:rsidRPr="0047178E" w:rsidRDefault="00294719" w:rsidP="0047178E">
      <w:pPr>
        <w:pStyle w:val="PargrafodaLista"/>
        <w:numPr>
          <w:ilvl w:val="0"/>
          <w:numId w:val="30"/>
        </w:numPr>
        <w:spacing w:after="0" w:line="240" w:lineRule="auto"/>
        <w:jc w:val="both"/>
        <w:rPr>
          <w:rFonts w:ascii="Times New Roman" w:hAnsi="Times New Roman" w:cs="Times New Roman"/>
          <w:b/>
          <w:bCs/>
          <w:sz w:val="24"/>
          <w:szCs w:val="24"/>
          <w:lang w:val="en-US"/>
        </w:rPr>
      </w:pPr>
      <w:r w:rsidRPr="0047178E">
        <w:rPr>
          <w:rFonts w:ascii="Times New Roman" w:hAnsi="Times New Roman" w:cs="Times New Roman"/>
          <w:b/>
          <w:bCs/>
          <w:sz w:val="24"/>
          <w:szCs w:val="24"/>
          <w:lang w:val="en-US"/>
        </w:rPr>
        <w:lastRenderedPageBreak/>
        <w:t xml:space="preserve">INTRODUCTION </w:t>
      </w:r>
    </w:p>
    <w:p w14:paraId="56C5E070" w14:textId="121C6C52" w:rsidR="0016756F" w:rsidRPr="0047178E" w:rsidRDefault="0016756F" w:rsidP="0047178E">
      <w:pPr>
        <w:autoSpaceDE w:val="0"/>
        <w:autoSpaceDN w:val="0"/>
        <w:adjustRightInd w:val="0"/>
        <w:spacing w:after="0" w:line="240" w:lineRule="auto"/>
        <w:ind w:firstLine="567"/>
        <w:jc w:val="both"/>
        <w:rPr>
          <w:rFonts w:ascii="Times New Roman" w:hAnsi="Times New Roman" w:cs="Times New Roman"/>
          <w:i/>
          <w:color w:val="FF0000"/>
          <w:spacing w:val="-4"/>
          <w:sz w:val="24"/>
          <w:szCs w:val="24"/>
          <w:lang w:val="en-US"/>
        </w:rPr>
      </w:pPr>
      <w:r w:rsidRPr="0047178E">
        <w:rPr>
          <w:rFonts w:ascii="Times New Roman" w:hAnsi="Times New Roman" w:cs="Times New Roman"/>
          <w:spacing w:val="-4"/>
          <w:sz w:val="24"/>
          <w:szCs w:val="24"/>
          <w:lang w:val="en-US"/>
        </w:rPr>
        <w:t xml:space="preserve">The fragmentation of production in GVCs challenges traditional forms of </w:t>
      </w:r>
      <w:r w:rsidR="00634031" w:rsidRPr="0047178E">
        <w:rPr>
          <w:rFonts w:ascii="Times New Roman" w:hAnsi="Times New Roman" w:cs="Times New Roman"/>
          <w:spacing w:val="-4"/>
          <w:sz w:val="24"/>
          <w:szCs w:val="24"/>
          <w:lang w:val="en-US"/>
        </w:rPr>
        <w:t xml:space="preserve">participation </w:t>
      </w:r>
      <w:r w:rsidRPr="0047178E">
        <w:rPr>
          <w:rFonts w:ascii="Times New Roman" w:hAnsi="Times New Roman" w:cs="Times New Roman"/>
          <w:spacing w:val="-4"/>
          <w:sz w:val="24"/>
          <w:szCs w:val="24"/>
          <w:lang w:val="en-US"/>
        </w:rPr>
        <w:t>of countries in the international economy and imposes new conditions on the</w:t>
      </w:r>
      <w:r w:rsidR="00634031" w:rsidRPr="0047178E">
        <w:rPr>
          <w:rFonts w:ascii="Times New Roman" w:hAnsi="Times New Roman" w:cs="Times New Roman"/>
          <w:spacing w:val="-4"/>
          <w:sz w:val="24"/>
          <w:szCs w:val="24"/>
          <w:lang w:val="en-US"/>
        </w:rPr>
        <w:t xml:space="preserve"> integration of nations </w:t>
      </w:r>
      <w:r w:rsidRPr="0047178E">
        <w:rPr>
          <w:rFonts w:ascii="Times New Roman" w:hAnsi="Times New Roman" w:cs="Times New Roman"/>
          <w:spacing w:val="-4"/>
          <w:sz w:val="24"/>
          <w:szCs w:val="24"/>
          <w:lang w:val="en-US"/>
        </w:rPr>
        <w:t xml:space="preserve">across global trade. </w:t>
      </w:r>
    </w:p>
    <w:p w14:paraId="004000E2" w14:textId="77777777" w:rsidR="009F14C9" w:rsidRPr="0047178E" w:rsidRDefault="009F14C9" w:rsidP="0047178E">
      <w:pPr>
        <w:autoSpaceDE w:val="0"/>
        <w:autoSpaceDN w:val="0"/>
        <w:adjustRightInd w:val="0"/>
        <w:spacing w:after="0" w:line="240" w:lineRule="auto"/>
        <w:ind w:firstLine="540"/>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The concept of "value chain" refers to the various production stages in which companies engage in order to provide products or services to the market, from their conception to their delivery as final products. Examples of these activities range from design and marketing to assembly, logistics, and distribution, and can be internalized by one company or coordinated </w:t>
      </w:r>
      <w:r w:rsidRPr="0047178E">
        <w:rPr>
          <w:rFonts w:ascii="Times New Roman" w:hAnsi="Times New Roman" w:cs="Times New Roman"/>
          <w:color w:val="000000" w:themeColor="text1"/>
          <w:spacing w:val="-4"/>
          <w:sz w:val="24"/>
          <w:szCs w:val="24"/>
          <w:lang w:val="en-US"/>
        </w:rPr>
        <w:t>among several (Baldwin and Venables, 2013; Backer and Miroudot, 2013; Kowalski et al., 2015). Technological advances across communication and transportation, as well as the reduction of trade barriers, have resulted in companies sourcing inputs from other countries, signifying the emergence of value chains as a global feature. The main objective of leading companies with the division of production into stages located outside their national</w:t>
      </w:r>
      <w:r w:rsidRPr="0047178E">
        <w:rPr>
          <w:rFonts w:ascii="Times New Roman" w:hAnsi="Times New Roman" w:cs="Times New Roman"/>
          <w:spacing w:val="-4"/>
          <w:sz w:val="24"/>
          <w:szCs w:val="24"/>
          <w:lang w:val="en-US"/>
        </w:rPr>
        <w:t xml:space="preserve"> territories is to reduce costs and improve quality. As a result, they are able to obtain final products and services that are more competitive and to expand or maintain their position in the markets in which they participate. </w:t>
      </w:r>
    </w:p>
    <w:p w14:paraId="326E8990" w14:textId="16A7B9DB" w:rsidR="00A678A4" w:rsidRPr="0047178E" w:rsidRDefault="00A678A4" w:rsidP="0047178E">
      <w:pPr>
        <w:autoSpaceDE w:val="0"/>
        <w:autoSpaceDN w:val="0"/>
        <w:adjustRightInd w:val="0"/>
        <w:spacing w:after="0" w:line="240" w:lineRule="auto"/>
        <w:ind w:firstLine="567"/>
        <w:jc w:val="both"/>
        <w:rPr>
          <w:rFonts w:ascii="Times New Roman" w:hAnsi="Times New Roman" w:cs="Times New Roman"/>
          <w:color w:val="000000" w:themeColor="text1"/>
          <w:spacing w:val="-4"/>
          <w:sz w:val="24"/>
          <w:szCs w:val="24"/>
          <w:lang w:val="en-US"/>
        </w:rPr>
      </w:pPr>
      <w:r w:rsidRPr="0047178E">
        <w:rPr>
          <w:rFonts w:ascii="Times New Roman" w:hAnsi="Times New Roman" w:cs="Times New Roman"/>
          <w:spacing w:val="-4"/>
          <w:sz w:val="24"/>
          <w:szCs w:val="24"/>
          <w:lang w:val="en-US"/>
        </w:rPr>
        <w:t xml:space="preserve">The process of geographical fragmentation of production has gained in speed, scale and complexity since the end of the 1970s due to a significant reduction of the costs involved in business transactions. More reliable, dynamic </w:t>
      </w:r>
      <w:r w:rsidRPr="0047178E">
        <w:rPr>
          <w:rFonts w:ascii="Times New Roman" w:hAnsi="Times New Roman" w:cs="Times New Roman"/>
          <w:color w:val="000000" w:themeColor="text1"/>
          <w:spacing w:val="-4"/>
          <w:sz w:val="24"/>
          <w:szCs w:val="24"/>
          <w:lang w:val="en-US"/>
        </w:rPr>
        <w:t xml:space="preserve">and cost effective telecommunication systems; faster and safer means of transportation; liberalization of investments; a reduction in trade barriers; and the development of management software and powerful computers are examples of elements that have facilitated and </w:t>
      </w:r>
      <w:r w:rsidR="00035C11" w:rsidRPr="0047178E">
        <w:rPr>
          <w:rFonts w:ascii="Times New Roman" w:hAnsi="Times New Roman" w:cs="Times New Roman"/>
          <w:color w:val="000000" w:themeColor="text1"/>
          <w:spacing w:val="-4"/>
          <w:sz w:val="24"/>
          <w:szCs w:val="24"/>
          <w:lang w:val="en-US"/>
        </w:rPr>
        <w:t>strengthen</w:t>
      </w:r>
      <w:r w:rsidRPr="0047178E">
        <w:rPr>
          <w:rFonts w:ascii="Times New Roman" w:hAnsi="Times New Roman" w:cs="Times New Roman"/>
          <w:color w:val="000000" w:themeColor="text1"/>
          <w:spacing w:val="-4"/>
          <w:sz w:val="24"/>
          <w:szCs w:val="24"/>
          <w:lang w:val="en-US"/>
        </w:rPr>
        <w:t xml:space="preserve"> the exchange and coordination of activities among companies distant from each other.</w:t>
      </w:r>
    </w:p>
    <w:p w14:paraId="55A01A47" w14:textId="10538261" w:rsidR="00AB3578" w:rsidRPr="0047178E" w:rsidRDefault="00A678A4"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With this new global arrangement, significant changes started to take place in the international economy. Regions and countries begun to enter the global market as producers of intermediate goods, which currently account for </w:t>
      </w:r>
      <w:r w:rsidRPr="0047178E">
        <w:rPr>
          <w:rFonts w:ascii="Times New Roman" w:hAnsi="Times New Roman" w:cs="Times New Roman"/>
          <w:color w:val="000000" w:themeColor="text1"/>
          <w:spacing w:val="-4"/>
          <w:sz w:val="24"/>
          <w:szCs w:val="24"/>
          <w:lang w:val="en-US"/>
        </w:rPr>
        <w:t>over 60% of world trade; specialization in specific parts and sub-processes has become a more competitive alternative to vertical integration of production within one country;</w:t>
      </w:r>
      <w:r w:rsidRPr="0047178E">
        <w:rPr>
          <w:rFonts w:ascii="Times New Roman" w:hAnsi="Times New Roman" w:cs="Times New Roman"/>
          <w:spacing w:val="-4"/>
          <w:sz w:val="24"/>
          <w:szCs w:val="24"/>
          <w:lang w:val="en-US"/>
        </w:rPr>
        <w:t xml:space="preserve"> and bilateral or regional trade agreements are slowly replacing multilateral negotiations.</w:t>
      </w:r>
    </w:p>
    <w:p w14:paraId="7A1CEA29" w14:textId="77777777" w:rsidR="007679CA" w:rsidRPr="0047178E" w:rsidRDefault="00A678A4"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Nations of South and South-East Asia provide examples of successful insertion into GVCs. The integration of their economies into world production began in low technology sectors with intense demand for low-skilled labor and, in some cases, natural resources. In some of these nations, upgrading in GVCs towards more advanced stages of production allowed consolidation of advanced technology sectors. </w:t>
      </w:r>
    </w:p>
    <w:p w14:paraId="425014F7" w14:textId="77777777" w:rsidR="007679CA" w:rsidRPr="0047178E" w:rsidRDefault="007679CA"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In </w:t>
      </w:r>
      <w:r w:rsidR="00A678A4" w:rsidRPr="0047178E">
        <w:rPr>
          <w:rFonts w:ascii="Times New Roman" w:hAnsi="Times New Roman" w:cs="Times New Roman"/>
          <w:spacing w:val="-4"/>
          <w:sz w:val="24"/>
          <w:szCs w:val="24"/>
          <w:lang w:val="en-US"/>
        </w:rPr>
        <w:t xml:space="preserve">Latin America and the Caribbean (LAC), on the other hand, </w:t>
      </w:r>
      <w:r w:rsidRPr="0047178E">
        <w:rPr>
          <w:rFonts w:ascii="Times New Roman" w:hAnsi="Times New Roman" w:cs="Times New Roman"/>
          <w:spacing w:val="-4"/>
          <w:sz w:val="24"/>
          <w:szCs w:val="24"/>
          <w:lang w:val="en-US"/>
        </w:rPr>
        <w:t>the results have been different</w:t>
      </w:r>
      <w:r w:rsidR="00A678A4" w:rsidRPr="0047178E">
        <w:rPr>
          <w:rFonts w:ascii="Times New Roman" w:hAnsi="Times New Roman" w:cs="Times New Roman"/>
          <w:spacing w:val="-4"/>
          <w:sz w:val="24"/>
          <w:szCs w:val="24"/>
          <w:lang w:val="en-US"/>
        </w:rPr>
        <w:t>: while 56% of total South and South-East Asian exports w</w:t>
      </w:r>
      <w:r w:rsidRPr="0047178E">
        <w:rPr>
          <w:rFonts w:ascii="Times New Roman" w:hAnsi="Times New Roman" w:cs="Times New Roman"/>
          <w:spacing w:val="-4"/>
          <w:sz w:val="24"/>
          <w:szCs w:val="24"/>
          <w:lang w:val="en-US"/>
        </w:rPr>
        <w:t>ere integrated into GVCs in 2009</w:t>
      </w:r>
      <w:r w:rsidR="00A678A4" w:rsidRPr="0047178E">
        <w:rPr>
          <w:rFonts w:ascii="Times New Roman" w:hAnsi="Times New Roman" w:cs="Times New Roman"/>
          <w:spacing w:val="-4"/>
          <w:sz w:val="24"/>
          <w:szCs w:val="24"/>
          <w:lang w:val="en-US"/>
        </w:rPr>
        <w:t>, a level similar to that of all developed nations (59%), the corresponding percentage for all LAC nations was 40% (Zhang et al., 2014, using data from UNCTAD)</w:t>
      </w:r>
      <w:r w:rsidRPr="0047178E">
        <w:rPr>
          <w:rStyle w:val="Refdenotaderodap"/>
          <w:spacing w:val="-4"/>
          <w:sz w:val="24"/>
          <w:szCs w:val="24"/>
          <w:lang w:val="en-US"/>
        </w:rPr>
        <w:footnoteReference w:id="1"/>
      </w:r>
      <w:r w:rsidR="00A678A4" w:rsidRPr="0047178E">
        <w:rPr>
          <w:rFonts w:ascii="Times New Roman" w:hAnsi="Times New Roman" w:cs="Times New Roman"/>
          <w:spacing w:val="-4"/>
          <w:sz w:val="24"/>
          <w:szCs w:val="24"/>
          <w:lang w:val="en-US"/>
        </w:rPr>
        <w:t xml:space="preserve">. Looking at specific nations from both regions and considering </w:t>
      </w:r>
      <w:r w:rsidRPr="0047178E">
        <w:rPr>
          <w:rFonts w:ascii="Times New Roman" w:hAnsi="Times New Roman" w:cs="Times New Roman"/>
          <w:spacing w:val="-4"/>
          <w:sz w:val="24"/>
          <w:szCs w:val="24"/>
          <w:lang w:val="en-US"/>
        </w:rPr>
        <w:t>the 25 biggest exporters in 2009</w:t>
      </w:r>
      <w:r w:rsidR="00A678A4" w:rsidRPr="0047178E">
        <w:rPr>
          <w:rFonts w:ascii="Times New Roman" w:hAnsi="Times New Roman" w:cs="Times New Roman"/>
          <w:spacing w:val="-4"/>
          <w:sz w:val="24"/>
          <w:szCs w:val="24"/>
          <w:lang w:val="en-US"/>
        </w:rPr>
        <w:t xml:space="preserve">, the UNCTAD data also reveal that Singapore, </w:t>
      </w:r>
      <w:r w:rsidRPr="0047178E">
        <w:rPr>
          <w:rFonts w:ascii="Times New Roman" w:hAnsi="Times New Roman" w:cs="Times New Roman"/>
          <w:spacing w:val="-4"/>
          <w:sz w:val="24"/>
          <w:szCs w:val="24"/>
          <w:lang w:val="en-US"/>
        </w:rPr>
        <w:t xml:space="preserve">Philippines and </w:t>
      </w:r>
      <w:r w:rsidR="00A678A4" w:rsidRPr="0047178E">
        <w:rPr>
          <w:rFonts w:ascii="Times New Roman" w:hAnsi="Times New Roman" w:cs="Times New Roman"/>
          <w:spacing w:val="-4"/>
          <w:sz w:val="24"/>
          <w:szCs w:val="24"/>
          <w:lang w:val="en-US"/>
        </w:rPr>
        <w:t xml:space="preserve">Malaysia had high rates of participation in GVCs, respectively </w:t>
      </w:r>
      <w:r w:rsidRPr="0047178E">
        <w:rPr>
          <w:rFonts w:ascii="Times New Roman" w:hAnsi="Times New Roman" w:cs="Times New Roman"/>
          <w:spacing w:val="-4"/>
          <w:sz w:val="24"/>
          <w:szCs w:val="24"/>
          <w:lang w:val="en-US"/>
        </w:rPr>
        <w:t>71%, 67% and 66</w:t>
      </w:r>
      <w:r w:rsidR="00A678A4" w:rsidRPr="0047178E">
        <w:rPr>
          <w:rFonts w:ascii="Times New Roman" w:hAnsi="Times New Roman" w:cs="Times New Roman"/>
          <w:spacing w:val="-4"/>
          <w:sz w:val="24"/>
          <w:szCs w:val="24"/>
          <w:lang w:val="en-US"/>
        </w:rPr>
        <w:t>%, while Brazil was the se</w:t>
      </w:r>
      <w:r w:rsidRPr="0047178E">
        <w:rPr>
          <w:rFonts w:ascii="Times New Roman" w:hAnsi="Times New Roman" w:cs="Times New Roman"/>
          <w:spacing w:val="-4"/>
          <w:sz w:val="24"/>
          <w:szCs w:val="24"/>
          <w:lang w:val="en-US"/>
        </w:rPr>
        <w:t>cond lowest ranked nation, at 36</w:t>
      </w:r>
      <w:r w:rsidR="00A678A4" w:rsidRPr="0047178E">
        <w:rPr>
          <w:rFonts w:ascii="Times New Roman" w:hAnsi="Times New Roman" w:cs="Times New Roman"/>
          <w:spacing w:val="-4"/>
          <w:sz w:val="24"/>
          <w:szCs w:val="24"/>
          <w:lang w:val="en-US"/>
        </w:rPr>
        <w:t>%, ahead of only India.</w:t>
      </w:r>
    </w:p>
    <w:p w14:paraId="15411B21" w14:textId="250C0F94" w:rsidR="004642C5" w:rsidRPr="0047178E" w:rsidRDefault="004642C5" w:rsidP="0047178E">
      <w:pPr>
        <w:autoSpaceDE w:val="0"/>
        <w:autoSpaceDN w:val="0"/>
        <w:adjustRightInd w:val="0"/>
        <w:spacing w:after="0" w:line="240" w:lineRule="auto"/>
        <w:ind w:firstLine="567"/>
        <w:jc w:val="both"/>
        <w:rPr>
          <w:rFonts w:ascii="Times New Roman" w:hAnsi="Times New Roman" w:cs="Times New Roman"/>
          <w:color w:val="000000" w:themeColor="text1"/>
          <w:spacing w:val="-4"/>
          <w:sz w:val="24"/>
          <w:szCs w:val="24"/>
          <w:lang w:val="en-US"/>
        </w:rPr>
      </w:pPr>
      <w:r w:rsidRPr="0047178E">
        <w:rPr>
          <w:rFonts w:ascii="Times New Roman" w:hAnsi="Times New Roman" w:cs="Times New Roman"/>
          <w:sz w:val="24"/>
          <w:szCs w:val="24"/>
          <w:lang w:val="en-US"/>
        </w:rPr>
        <w:t xml:space="preserve">Brazil's </w:t>
      </w:r>
      <w:r w:rsidR="001361F7" w:rsidRPr="0047178E">
        <w:rPr>
          <w:rFonts w:ascii="Times New Roman" w:hAnsi="Times New Roman" w:cs="Times New Roman"/>
          <w:sz w:val="24"/>
          <w:szCs w:val="24"/>
          <w:lang w:val="en-US"/>
        </w:rPr>
        <w:t>insertion</w:t>
      </w:r>
      <w:r w:rsidRPr="0047178E">
        <w:rPr>
          <w:rFonts w:ascii="Times New Roman" w:hAnsi="Times New Roman" w:cs="Times New Roman"/>
          <w:sz w:val="24"/>
          <w:szCs w:val="24"/>
          <w:lang w:val="en-US"/>
        </w:rPr>
        <w:t xml:space="preserve"> in</w:t>
      </w:r>
      <w:r w:rsidR="001361F7" w:rsidRPr="0047178E">
        <w:rPr>
          <w:rFonts w:ascii="Times New Roman" w:hAnsi="Times New Roman" w:cs="Times New Roman"/>
          <w:sz w:val="24"/>
          <w:szCs w:val="24"/>
          <w:lang w:val="en-US"/>
        </w:rPr>
        <w:t>to</w:t>
      </w:r>
      <w:r w:rsidRPr="0047178E">
        <w:rPr>
          <w:rFonts w:ascii="Times New Roman" w:hAnsi="Times New Roman" w:cs="Times New Roman"/>
          <w:sz w:val="24"/>
          <w:szCs w:val="24"/>
          <w:lang w:val="en-US"/>
        </w:rPr>
        <w:t xml:space="preserve"> these GVCs </w:t>
      </w:r>
      <w:r w:rsidR="007D690C" w:rsidRPr="0047178E">
        <w:rPr>
          <w:rFonts w:ascii="Times New Roman" w:hAnsi="Times New Roman" w:cs="Times New Roman"/>
          <w:sz w:val="24"/>
          <w:szCs w:val="24"/>
          <w:lang w:val="en-US"/>
        </w:rPr>
        <w:t xml:space="preserve">can be initially characterized </w:t>
      </w:r>
      <w:r w:rsidR="00AE5D8C" w:rsidRPr="0047178E">
        <w:rPr>
          <w:rFonts w:ascii="Times New Roman" w:hAnsi="Times New Roman" w:cs="Times New Roman"/>
          <w:sz w:val="24"/>
          <w:szCs w:val="24"/>
          <w:lang w:val="en-US"/>
        </w:rPr>
        <w:t>by</w:t>
      </w:r>
      <w:r w:rsidRPr="0047178E">
        <w:rPr>
          <w:rFonts w:ascii="Times New Roman" w:hAnsi="Times New Roman" w:cs="Times New Roman"/>
          <w:sz w:val="24"/>
          <w:szCs w:val="24"/>
          <w:lang w:val="en-US"/>
        </w:rPr>
        <w:t xml:space="preserve"> </w:t>
      </w:r>
      <w:r w:rsidR="00AE5D8C" w:rsidRPr="0047178E">
        <w:rPr>
          <w:rFonts w:ascii="Times New Roman" w:hAnsi="Times New Roman" w:cs="Times New Roman"/>
          <w:sz w:val="24"/>
          <w:szCs w:val="24"/>
          <w:lang w:val="en-US"/>
        </w:rPr>
        <w:t>the low</w:t>
      </w:r>
      <w:r w:rsidRPr="0047178E">
        <w:rPr>
          <w:rFonts w:ascii="Times New Roman" w:hAnsi="Times New Roman" w:cs="Times New Roman"/>
          <w:sz w:val="24"/>
          <w:szCs w:val="24"/>
          <w:lang w:val="en-US"/>
        </w:rPr>
        <w:t xml:space="preserve"> </w:t>
      </w:r>
      <w:r w:rsidR="00AE5D8C" w:rsidRPr="0047178E">
        <w:rPr>
          <w:rFonts w:ascii="Times New Roman" w:hAnsi="Times New Roman" w:cs="Times New Roman"/>
          <w:sz w:val="24"/>
          <w:szCs w:val="24"/>
          <w:lang w:val="en-US"/>
        </w:rPr>
        <w:t>use</w:t>
      </w:r>
      <w:r w:rsidRPr="0047178E">
        <w:rPr>
          <w:rFonts w:ascii="Times New Roman" w:hAnsi="Times New Roman" w:cs="Times New Roman"/>
          <w:sz w:val="24"/>
          <w:szCs w:val="24"/>
          <w:lang w:val="en-US"/>
        </w:rPr>
        <w:t xml:space="preserve"> </w:t>
      </w:r>
      <w:r w:rsidR="00AE5D8C" w:rsidRPr="0047178E">
        <w:rPr>
          <w:rFonts w:ascii="Times New Roman" w:hAnsi="Times New Roman" w:cs="Times New Roman"/>
          <w:sz w:val="24"/>
          <w:szCs w:val="24"/>
          <w:lang w:val="en-US"/>
        </w:rPr>
        <w:t>of</w:t>
      </w:r>
      <w:r w:rsidRPr="0047178E">
        <w:rPr>
          <w:rFonts w:ascii="Times New Roman" w:hAnsi="Times New Roman" w:cs="Times New Roman"/>
          <w:sz w:val="24"/>
          <w:szCs w:val="24"/>
          <w:lang w:val="en-US"/>
        </w:rPr>
        <w:t xml:space="preserve"> imported inputs</w:t>
      </w:r>
      <w:r w:rsidR="00AE5D8C" w:rsidRPr="0047178E">
        <w:rPr>
          <w:rFonts w:ascii="Times New Roman" w:hAnsi="Times New Roman" w:cs="Times New Roman"/>
          <w:sz w:val="24"/>
          <w:szCs w:val="24"/>
          <w:lang w:val="en-US"/>
        </w:rPr>
        <w:t xml:space="preserve"> in the country’s exports</w:t>
      </w:r>
      <w:r w:rsidRPr="0047178E">
        <w:rPr>
          <w:rFonts w:ascii="Times New Roman" w:hAnsi="Times New Roman" w:cs="Times New Roman"/>
          <w:sz w:val="24"/>
          <w:szCs w:val="24"/>
          <w:lang w:val="en-US"/>
        </w:rPr>
        <w:t xml:space="preserve"> </w:t>
      </w:r>
      <w:r w:rsidR="00BE49CF" w:rsidRPr="0047178E">
        <w:rPr>
          <w:rFonts w:ascii="Times New Roman" w:hAnsi="Times New Roman" w:cs="Times New Roman"/>
          <w:sz w:val="24"/>
          <w:szCs w:val="24"/>
          <w:lang w:val="en-US"/>
        </w:rPr>
        <w:t xml:space="preserve">(a concept known as backward participation) </w:t>
      </w:r>
      <w:r w:rsidRPr="0047178E">
        <w:rPr>
          <w:rFonts w:ascii="Times New Roman" w:hAnsi="Times New Roman" w:cs="Times New Roman"/>
          <w:sz w:val="24"/>
          <w:szCs w:val="24"/>
          <w:lang w:val="en-US"/>
        </w:rPr>
        <w:t xml:space="preserve">– and that is usually the case in countries with a large domestic market and high levels of industrial development. While imports are </w:t>
      </w:r>
      <w:r w:rsidR="006E7261" w:rsidRPr="0047178E">
        <w:rPr>
          <w:rFonts w:ascii="Times New Roman" w:hAnsi="Times New Roman" w:cs="Times New Roman"/>
          <w:sz w:val="24"/>
          <w:szCs w:val="24"/>
          <w:lang w:val="en-US"/>
        </w:rPr>
        <w:t>mostly</w:t>
      </w:r>
      <w:r w:rsidRPr="0047178E">
        <w:rPr>
          <w:rFonts w:ascii="Times New Roman" w:hAnsi="Times New Roman" w:cs="Times New Roman"/>
          <w:sz w:val="24"/>
          <w:szCs w:val="24"/>
          <w:lang w:val="en-US"/>
        </w:rPr>
        <w:t xml:space="preserve"> used to add value to exports in countries with high backward participation, Brazilian imports of tech</w:t>
      </w:r>
      <w:r w:rsidR="00AE5D8C" w:rsidRPr="0047178E">
        <w:rPr>
          <w:rFonts w:ascii="Times New Roman" w:hAnsi="Times New Roman" w:cs="Times New Roman"/>
          <w:sz w:val="24"/>
          <w:szCs w:val="24"/>
          <w:lang w:val="en-US"/>
        </w:rPr>
        <w:t>nological</w:t>
      </w:r>
      <w:r w:rsidRPr="0047178E">
        <w:rPr>
          <w:rFonts w:ascii="Times New Roman" w:hAnsi="Times New Roman" w:cs="Times New Roman"/>
          <w:sz w:val="24"/>
          <w:szCs w:val="24"/>
          <w:lang w:val="en-US"/>
        </w:rPr>
        <w:t xml:space="preserve"> goods are mainly for domestic consumption. That is </w:t>
      </w:r>
      <w:r w:rsidR="00444B83" w:rsidRPr="0047178E">
        <w:rPr>
          <w:rFonts w:ascii="Times New Roman" w:hAnsi="Times New Roman" w:cs="Times New Roman"/>
          <w:sz w:val="24"/>
          <w:szCs w:val="24"/>
          <w:lang w:val="en-US"/>
        </w:rPr>
        <w:t>reinforced</w:t>
      </w:r>
      <w:r w:rsidRPr="0047178E">
        <w:rPr>
          <w:rFonts w:ascii="Times New Roman" w:hAnsi="Times New Roman" w:cs="Times New Roman"/>
          <w:sz w:val="24"/>
          <w:szCs w:val="24"/>
          <w:lang w:val="en-US"/>
        </w:rPr>
        <w:t xml:space="preserve"> by the 'early deindustrialization' process the Brazilian economy is going through as the </w:t>
      </w:r>
      <w:r w:rsidR="00A83F2A" w:rsidRPr="0047178E">
        <w:rPr>
          <w:rFonts w:ascii="Times New Roman" w:hAnsi="Times New Roman" w:cs="Times New Roman"/>
          <w:sz w:val="24"/>
          <w:szCs w:val="24"/>
          <w:lang w:val="en-US"/>
        </w:rPr>
        <w:t xml:space="preserve">share of </w:t>
      </w:r>
      <w:r w:rsidR="00CB6752" w:rsidRPr="0047178E">
        <w:rPr>
          <w:rFonts w:ascii="Times New Roman" w:hAnsi="Times New Roman" w:cs="Times New Roman"/>
          <w:sz w:val="24"/>
          <w:szCs w:val="24"/>
          <w:lang w:val="en-US"/>
        </w:rPr>
        <w:t xml:space="preserve">the </w:t>
      </w:r>
      <w:r w:rsidRPr="0047178E">
        <w:rPr>
          <w:rFonts w:ascii="Times New Roman" w:hAnsi="Times New Roman" w:cs="Times New Roman"/>
          <w:sz w:val="24"/>
          <w:szCs w:val="24"/>
          <w:lang w:val="en-US"/>
        </w:rPr>
        <w:t xml:space="preserve">industrial sector </w:t>
      </w:r>
      <w:r w:rsidR="00A83F2A" w:rsidRPr="0047178E">
        <w:rPr>
          <w:rFonts w:ascii="Times New Roman" w:hAnsi="Times New Roman" w:cs="Times New Roman"/>
          <w:sz w:val="24"/>
          <w:szCs w:val="24"/>
          <w:lang w:val="en-US"/>
        </w:rPr>
        <w:t>in</w:t>
      </w:r>
      <w:r w:rsidR="00444B83" w:rsidRPr="0047178E">
        <w:rPr>
          <w:rFonts w:ascii="Times New Roman" w:hAnsi="Times New Roman" w:cs="Times New Roman"/>
          <w:sz w:val="24"/>
          <w:szCs w:val="24"/>
          <w:lang w:val="en-US"/>
        </w:rPr>
        <w:t xml:space="preserve"> total employment and </w:t>
      </w:r>
      <w:r w:rsidR="00444B83" w:rsidRPr="0047178E">
        <w:rPr>
          <w:rFonts w:ascii="Times New Roman" w:hAnsi="Times New Roman" w:cs="Times New Roman"/>
          <w:color w:val="000000" w:themeColor="text1"/>
          <w:sz w:val="24"/>
          <w:szCs w:val="24"/>
          <w:lang w:val="en-US"/>
        </w:rPr>
        <w:t xml:space="preserve">GDP </w:t>
      </w:r>
      <w:r w:rsidR="00A83F2A" w:rsidRPr="0047178E">
        <w:rPr>
          <w:rFonts w:ascii="Times New Roman" w:hAnsi="Times New Roman" w:cs="Times New Roman"/>
          <w:color w:val="000000" w:themeColor="text1"/>
          <w:sz w:val="24"/>
          <w:szCs w:val="24"/>
          <w:lang w:val="en-US"/>
        </w:rPr>
        <w:t xml:space="preserve">decreases without a corresponding increase in service sector productivity. </w:t>
      </w:r>
    </w:p>
    <w:p w14:paraId="7DBA7AD4" w14:textId="05996ED1" w:rsidR="004642C5" w:rsidRPr="0047178E" w:rsidRDefault="00A83F2A" w:rsidP="0047178E">
      <w:pPr>
        <w:pStyle w:val="PargrafodaLista"/>
        <w:spacing w:after="0" w:line="240" w:lineRule="auto"/>
        <w:ind w:left="0" w:firstLine="540"/>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Considering the</w:t>
      </w:r>
      <w:r w:rsidR="004642C5" w:rsidRPr="0047178E">
        <w:rPr>
          <w:rFonts w:ascii="Times New Roman" w:hAnsi="Times New Roman" w:cs="Times New Roman"/>
          <w:sz w:val="24"/>
          <w:szCs w:val="24"/>
          <w:lang w:val="en-US"/>
        </w:rPr>
        <w:t xml:space="preserve"> forward participation</w:t>
      </w:r>
      <w:r w:rsidRPr="0047178E">
        <w:rPr>
          <w:rFonts w:ascii="Times New Roman" w:hAnsi="Times New Roman" w:cs="Times New Roman"/>
          <w:sz w:val="24"/>
          <w:szCs w:val="24"/>
          <w:lang w:val="en-US"/>
        </w:rPr>
        <w:t xml:space="preserve"> criteria</w:t>
      </w:r>
      <w:r w:rsidR="004642C5" w:rsidRPr="0047178E">
        <w:rPr>
          <w:rFonts w:ascii="Times New Roman" w:hAnsi="Times New Roman" w:cs="Times New Roman"/>
          <w:sz w:val="24"/>
          <w:szCs w:val="24"/>
          <w:lang w:val="en-US"/>
        </w:rPr>
        <w:t xml:space="preserve"> – </w:t>
      </w:r>
      <w:r w:rsidR="004274DA" w:rsidRPr="0047178E">
        <w:rPr>
          <w:rFonts w:ascii="Times New Roman" w:hAnsi="Times New Roman" w:cs="Times New Roman"/>
          <w:sz w:val="24"/>
          <w:szCs w:val="24"/>
          <w:lang w:val="en-US"/>
        </w:rPr>
        <w:t xml:space="preserve">i.e. </w:t>
      </w:r>
      <w:r w:rsidR="004642C5" w:rsidRPr="0047178E">
        <w:rPr>
          <w:rFonts w:ascii="Times New Roman" w:hAnsi="Times New Roman" w:cs="Times New Roman"/>
          <w:sz w:val="24"/>
          <w:szCs w:val="24"/>
          <w:lang w:val="en-US"/>
        </w:rPr>
        <w:t xml:space="preserve">the </w:t>
      </w:r>
      <w:r w:rsidR="00242DBC" w:rsidRPr="0047178E">
        <w:rPr>
          <w:rFonts w:ascii="Times New Roman" w:hAnsi="Times New Roman" w:cs="Times New Roman"/>
          <w:sz w:val="24"/>
          <w:szCs w:val="24"/>
          <w:lang w:val="en-US"/>
        </w:rPr>
        <w:t xml:space="preserve">share of national </w:t>
      </w:r>
      <w:r w:rsidR="004642C5" w:rsidRPr="0047178E">
        <w:rPr>
          <w:rFonts w:ascii="Times New Roman" w:hAnsi="Times New Roman" w:cs="Times New Roman"/>
          <w:sz w:val="24"/>
          <w:szCs w:val="24"/>
          <w:lang w:val="en-US"/>
        </w:rPr>
        <w:t>inputs in t</w:t>
      </w:r>
      <w:r w:rsidR="00242DBC" w:rsidRPr="0047178E">
        <w:rPr>
          <w:rFonts w:ascii="Times New Roman" w:hAnsi="Times New Roman" w:cs="Times New Roman"/>
          <w:sz w:val="24"/>
          <w:szCs w:val="24"/>
          <w:lang w:val="en-US"/>
        </w:rPr>
        <w:t xml:space="preserve">hird </w:t>
      </w:r>
      <w:r w:rsidR="00DA4000" w:rsidRPr="0047178E">
        <w:rPr>
          <w:rFonts w:ascii="Times New Roman" w:hAnsi="Times New Roman" w:cs="Times New Roman"/>
          <w:sz w:val="24"/>
          <w:szCs w:val="24"/>
          <w:lang w:val="en-US"/>
        </w:rPr>
        <w:t xml:space="preserve">countries’ </w:t>
      </w:r>
      <w:r w:rsidR="004642C5" w:rsidRPr="0047178E">
        <w:rPr>
          <w:rFonts w:ascii="Times New Roman" w:hAnsi="Times New Roman" w:cs="Times New Roman"/>
          <w:sz w:val="24"/>
          <w:szCs w:val="24"/>
          <w:lang w:val="en-US"/>
        </w:rPr>
        <w:t>exports</w:t>
      </w:r>
      <w:r w:rsidR="00242DBC" w:rsidRPr="0047178E">
        <w:rPr>
          <w:rFonts w:ascii="Times New Roman" w:hAnsi="Times New Roman" w:cs="Times New Roman"/>
          <w:sz w:val="24"/>
          <w:szCs w:val="24"/>
          <w:lang w:val="en-US"/>
        </w:rPr>
        <w:t xml:space="preserve"> </w:t>
      </w:r>
      <w:r w:rsidR="004642C5" w:rsidRPr="0047178E">
        <w:rPr>
          <w:rFonts w:ascii="Times New Roman" w:hAnsi="Times New Roman" w:cs="Times New Roman"/>
          <w:sz w:val="24"/>
          <w:szCs w:val="24"/>
          <w:lang w:val="en-US"/>
        </w:rPr>
        <w:t xml:space="preserve">– </w:t>
      </w:r>
      <w:r w:rsidR="00242DBC" w:rsidRPr="0047178E">
        <w:rPr>
          <w:rFonts w:ascii="Times New Roman" w:hAnsi="Times New Roman" w:cs="Times New Roman"/>
          <w:sz w:val="24"/>
          <w:szCs w:val="24"/>
          <w:lang w:val="en-US"/>
        </w:rPr>
        <w:t>Brazil's performance is similar to</w:t>
      </w:r>
      <w:r w:rsidR="004642C5" w:rsidRPr="0047178E">
        <w:rPr>
          <w:rFonts w:ascii="Times New Roman" w:hAnsi="Times New Roman" w:cs="Times New Roman"/>
          <w:sz w:val="24"/>
          <w:szCs w:val="24"/>
          <w:lang w:val="en-US"/>
        </w:rPr>
        <w:t xml:space="preserve"> </w:t>
      </w:r>
      <w:r w:rsidR="00035C11" w:rsidRPr="0047178E">
        <w:rPr>
          <w:rFonts w:ascii="Times New Roman" w:hAnsi="Times New Roman" w:cs="Times New Roman"/>
          <w:sz w:val="24"/>
          <w:szCs w:val="24"/>
          <w:lang w:val="en-US"/>
        </w:rPr>
        <w:t xml:space="preserve">that of </w:t>
      </w:r>
      <w:r w:rsidR="004642C5" w:rsidRPr="0047178E">
        <w:rPr>
          <w:rFonts w:ascii="Times New Roman" w:hAnsi="Times New Roman" w:cs="Times New Roman"/>
          <w:sz w:val="24"/>
          <w:szCs w:val="24"/>
          <w:lang w:val="en-US"/>
        </w:rPr>
        <w:t>oth</w:t>
      </w:r>
      <w:r w:rsidR="00495080" w:rsidRPr="0047178E">
        <w:rPr>
          <w:rFonts w:ascii="Times New Roman" w:hAnsi="Times New Roman" w:cs="Times New Roman"/>
          <w:sz w:val="24"/>
          <w:szCs w:val="24"/>
          <w:lang w:val="en-US"/>
        </w:rPr>
        <w:t xml:space="preserve">er developing countries, but </w:t>
      </w:r>
      <w:r w:rsidR="00242DBC" w:rsidRPr="0047178E">
        <w:rPr>
          <w:rFonts w:ascii="Times New Roman" w:hAnsi="Times New Roman" w:cs="Times New Roman"/>
          <w:sz w:val="24"/>
          <w:szCs w:val="24"/>
          <w:lang w:val="en-US"/>
        </w:rPr>
        <w:t>with a high</w:t>
      </w:r>
      <w:r w:rsidR="00495080" w:rsidRPr="0047178E">
        <w:rPr>
          <w:rFonts w:ascii="Times New Roman" w:hAnsi="Times New Roman" w:cs="Times New Roman"/>
          <w:sz w:val="24"/>
          <w:szCs w:val="24"/>
          <w:lang w:val="en-US"/>
        </w:rPr>
        <w:t xml:space="preserve"> concentration</w:t>
      </w:r>
      <w:r w:rsidR="004642C5" w:rsidRPr="0047178E">
        <w:rPr>
          <w:rFonts w:ascii="Times New Roman" w:hAnsi="Times New Roman" w:cs="Times New Roman"/>
          <w:sz w:val="24"/>
          <w:szCs w:val="24"/>
          <w:lang w:val="en-US"/>
        </w:rPr>
        <w:t xml:space="preserve"> </w:t>
      </w:r>
      <w:r w:rsidR="00CB6752" w:rsidRPr="0047178E">
        <w:rPr>
          <w:rFonts w:ascii="Times New Roman" w:hAnsi="Times New Roman" w:cs="Times New Roman"/>
          <w:sz w:val="24"/>
          <w:szCs w:val="24"/>
          <w:lang w:val="en-US"/>
        </w:rPr>
        <w:t xml:space="preserve">of </w:t>
      </w:r>
      <w:r w:rsidR="004642C5" w:rsidRPr="0047178E">
        <w:rPr>
          <w:rFonts w:ascii="Times New Roman" w:hAnsi="Times New Roman" w:cs="Times New Roman"/>
          <w:sz w:val="24"/>
          <w:szCs w:val="24"/>
          <w:lang w:val="en-US"/>
        </w:rPr>
        <w:t>basic goods</w:t>
      </w:r>
      <w:r w:rsidR="00EE6B59" w:rsidRPr="0047178E">
        <w:rPr>
          <w:rFonts w:ascii="Times New Roman" w:hAnsi="Times New Roman" w:cs="Times New Roman"/>
          <w:sz w:val="24"/>
          <w:szCs w:val="24"/>
          <w:lang w:val="en-US"/>
        </w:rPr>
        <w:t xml:space="preserve"> </w:t>
      </w:r>
      <w:r w:rsidR="004274DA" w:rsidRPr="0047178E">
        <w:rPr>
          <w:rFonts w:ascii="Times New Roman" w:hAnsi="Times New Roman" w:cs="Times New Roman"/>
          <w:sz w:val="24"/>
          <w:szCs w:val="24"/>
          <w:lang w:val="en-US"/>
        </w:rPr>
        <w:t>with a</w:t>
      </w:r>
      <w:r w:rsidR="00EE6B59" w:rsidRPr="0047178E">
        <w:rPr>
          <w:rFonts w:ascii="Times New Roman" w:hAnsi="Times New Roman" w:cs="Times New Roman"/>
          <w:sz w:val="24"/>
          <w:szCs w:val="24"/>
          <w:lang w:val="en-US"/>
        </w:rPr>
        <w:t xml:space="preserve"> low level of processing</w:t>
      </w:r>
      <w:r w:rsidR="004642C5" w:rsidRPr="0047178E">
        <w:rPr>
          <w:rFonts w:ascii="Times New Roman" w:hAnsi="Times New Roman" w:cs="Times New Roman"/>
          <w:sz w:val="24"/>
          <w:szCs w:val="24"/>
          <w:lang w:val="en-US"/>
        </w:rPr>
        <w:t xml:space="preserve"> and few bonds </w:t>
      </w:r>
      <w:r w:rsidR="00EE6B59" w:rsidRPr="0047178E">
        <w:rPr>
          <w:rFonts w:ascii="Times New Roman" w:hAnsi="Times New Roman" w:cs="Times New Roman"/>
          <w:sz w:val="24"/>
          <w:szCs w:val="24"/>
          <w:lang w:val="en-US"/>
        </w:rPr>
        <w:t xml:space="preserve">with the country's </w:t>
      </w:r>
      <w:r w:rsidR="004642C5" w:rsidRPr="0047178E">
        <w:rPr>
          <w:rFonts w:ascii="Times New Roman" w:hAnsi="Times New Roman" w:cs="Times New Roman"/>
          <w:sz w:val="24"/>
          <w:szCs w:val="24"/>
          <w:lang w:val="en-US"/>
        </w:rPr>
        <w:t xml:space="preserve">domestic industrial </w:t>
      </w:r>
      <w:r w:rsidR="00EE6B59" w:rsidRPr="0047178E">
        <w:rPr>
          <w:rFonts w:ascii="Times New Roman" w:hAnsi="Times New Roman" w:cs="Times New Roman"/>
          <w:sz w:val="24"/>
          <w:szCs w:val="24"/>
          <w:lang w:val="en-US"/>
        </w:rPr>
        <w:t>structure</w:t>
      </w:r>
      <w:r w:rsidR="004642C5" w:rsidRPr="0047178E">
        <w:rPr>
          <w:rFonts w:ascii="Times New Roman" w:hAnsi="Times New Roman" w:cs="Times New Roman"/>
          <w:sz w:val="24"/>
          <w:szCs w:val="24"/>
          <w:lang w:val="en-US"/>
        </w:rPr>
        <w:t>.</w:t>
      </w:r>
    </w:p>
    <w:p w14:paraId="76071FE8" w14:textId="2644B8BD" w:rsidR="004642C5" w:rsidRPr="0047178E" w:rsidRDefault="004642C5" w:rsidP="0047178E">
      <w:pPr>
        <w:pStyle w:val="PargrafodaLista"/>
        <w:spacing w:after="0" w:line="240" w:lineRule="auto"/>
        <w:ind w:left="0" w:firstLine="540"/>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Therefore, </w:t>
      </w:r>
      <w:r w:rsidR="004274DA" w:rsidRPr="0047178E">
        <w:rPr>
          <w:rFonts w:ascii="Times New Roman" w:hAnsi="Times New Roman" w:cs="Times New Roman"/>
          <w:sz w:val="24"/>
          <w:szCs w:val="24"/>
          <w:lang w:val="en-US"/>
        </w:rPr>
        <w:t xml:space="preserve">Brazil’s singular insertion </w:t>
      </w:r>
      <w:r w:rsidRPr="0047178E">
        <w:rPr>
          <w:rFonts w:ascii="Times New Roman" w:hAnsi="Times New Roman" w:cs="Times New Roman"/>
          <w:sz w:val="24"/>
          <w:szCs w:val="24"/>
          <w:lang w:val="en-US"/>
        </w:rPr>
        <w:t xml:space="preserve">in GVCs </w:t>
      </w:r>
      <w:r w:rsidR="0052759F" w:rsidRPr="0047178E">
        <w:rPr>
          <w:rFonts w:ascii="Times New Roman" w:hAnsi="Times New Roman" w:cs="Times New Roman"/>
          <w:sz w:val="24"/>
          <w:szCs w:val="24"/>
          <w:lang w:val="en-US"/>
        </w:rPr>
        <w:t>can be</w:t>
      </w:r>
      <w:r w:rsidR="004274DA" w:rsidRPr="0047178E">
        <w:rPr>
          <w:rFonts w:ascii="Times New Roman" w:hAnsi="Times New Roman" w:cs="Times New Roman"/>
          <w:sz w:val="24"/>
          <w:szCs w:val="24"/>
          <w:lang w:val="en-US"/>
        </w:rPr>
        <w:t xml:space="preserve"> characterized by</w:t>
      </w:r>
      <w:r w:rsidRPr="0047178E">
        <w:rPr>
          <w:rFonts w:ascii="Times New Roman" w:hAnsi="Times New Roman" w:cs="Times New Roman"/>
          <w:sz w:val="24"/>
          <w:szCs w:val="24"/>
          <w:lang w:val="en-US"/>
        </w:rPr>
        <w:t xml:space="preserve"> </w:t>
      </w:r>
      <w:r w:rsidR="00D41D54" w:rsidRPr="0047178E">
        <w:rPr>
          <w:rFonts w:ascii="Times New Roman" w:hAnsi="Times New Roman" w:cs="Times New Roman"/>
          <w:sz w:val="24"/>
          <w:szCs w:val="24"/>
          <w:lang w:val="en-US"/>
        </w:rPr>
        <w:t xml:space="preserve">(I) </w:t>
      </w:r>
      <w:r w:rsidR="004274DA" w:rsidRPr="0047178E">
        <w:rPr>
          <w:rFonts w:ascii="Times New Roman" w:hAnsi="Times New Roman" w:cs="Times New Roman"/>
          <w:sz w:val="24"/>
          <w:szCs w:val="24"/>
          <w:lang w:val="en-US"/>
        </w:rPr>
        <w:t xml:space="preserve">an </w:t>
      </w:r>
      <w:r w:rsidRPr="0047178E">
        <w:rPr>
          <w:rFonts w:ascii="Times New Roman" w:hAnsi="Times New Roman" w:cs="Times New Roman"/>
          <w:sz w:val="24"/>
          <w:szCs w:val="24"/>
          <w:lang w:val="en-US"/>
        </w:rPr>
        <w:t xml:space="preserve">industrial sector </w:t>
      </w:r>
      <w:r w:rsidR="004274DA" w:rsidRPr="0047178E">
        <w:rPr>
          <w:rFonts w:ascii="Times New Roman" w:hAnsi="Times New Roman" w:cs="Times New Roman"/>
          <w:sz w:val="24"/>
          <w:szCs w:val="24"/>
          <w:lang w:val="en-US"/>
        </w:rPr>
        <w:t xml:space="preserve">that </w:t>
      </w:r>
      <w:r w:rsidRPr="0047178E">
        <w:rPr>
          <w:rFonts w:ascii="Times New Roman" w:hAnsi="Times New Roman" w:cs="Times New Roman"/>
          <w:sz w:val="24"/>
          <w:szCs w:val="24"/>
          <w:lang w:val="en-US"/>
        </w:rPr>
        <w:t>is highly focused on the domestic marke</w:t>
      </w:r>
      <w:r w:rsidR="00F572D5" w:rsidRPr="0047178E">
        <w:rPr>
          <w:rFonts w:ascii="Times New Roman" w:hAnsi="Times New Roman" w:cs="Times New Roman"/>
          <w:sz w:val="24"/>
          <w:szCs w:val="24"/>
          <w:lang w:val="en-US"/>
        </w:rPr>
        <w:t>t</w:t>
      </w:r>
      <w:r w:rsidR="00D41D54" w:rsidRPr="0047178E">
        <w:rPr>
          <w:rFonts w:ascii="Times New Roman" w:hAnsi="Times New Roman" w:cs="Times New Roman"/>
          <w:sz w:val="24"/>
          <w:szCs w:val="24"/>
          <w:lang w:val="en-US"/>
        </w:rPr>
        <w:t xml:space="preserve"> and boosted</w:t>
      </w:r>
      <w:r w:rsidR="0007027E" w:rsidRPr="0047178E">
        <w:rPr>
          <w:rFonts w:ascii="Times New Roman" w:hAnsi="Times New Roman" w:cs="Times New Roman"/>
          <w:sz w:val="24"/>
          <w:szCs w:val="24"/>
          <w:lang w:val="en-US"/>
        </w:rPr>
        <w:t xml:space="preserve"> </w:t>
      </w:r>
      <w:r w:rsidRPr="0047178E">
        <w:rPr>
          <w:rFonts w:ascii="Times New Roman" w:hAnsi="Times New Roman" w:cs="Times New Roman"/>
          <w:sz w:val="24"/>
          <w:szCs w:val="24"/>
          <w:lang w:val="en-US"/>
        </w:rPr>
        <w:t xml:space="preserve">by </w:t>
      </w:r>
      <w:r w:rsidR="00F572D5" w:rsidRPr="0047178E">
        <w:rPr>
          <w:rFonts w:ascii="Times New Roman" w:hAnsi="Times New Roman" w:cs="Times New Roman"/>
          <w:sz w:val="24"/>
          <w:szCs w:val="24"/>
          <w:lang w:val="en-US"/>
        </w:rPr>
        <w:t>high foreign direct investment</w:t>
      </w:r>
      <w:r w:rsidR="004274DA" w:rsidRPr="0047178E">
        <w:rPr>
          <w:rFonts w:ascii="Times New Roman" w:hAnsi="Times New Roman" w:cs="Times New Roman"/>
          <w:sz w:val="24"/>
          <w:szCs w:val="24"/>
          <w:lang w:val="en-US"/>
        </w:rPr>
        <w:t>s</w:t>
      </w:r>
      <w:r w:rsidR="00F572D5" w:rsidRPr="0047178E">
        <w:rPr>
          <w:rFonts w:ascii="Times New Roman" w:hAnsi="Times New Roman" w:cs="Times New Roman"/>
          <w:sz w:val="24"/>
          <w:szCs w:val="24"/>
          <w:lang w:val="en-US"/>
        </w:rPr>
        <w:t xml:space="preserve"> and imported </w:t>
      </w:r>
      <w:r w:rsidRPr="0047178E">
        <w:rPr>
          <w:rFonts w:ascii="Times New Roman" w:hAnsi="Times New Roman" w:cs="Times New Roman"/>
          <w:sz w:val="24"/>
          <w:szCs w:val="24"/>
          <w:lang w:val="en-US"/>
        </w:rPr>
        <w:t>medium</w:t>
      </w:r>
      <w:r w:rsidR="00AE5D8C" w:rsidRPr="0047178E">
        <w:rPr>
          <w:rFonts w:ascii="Times New Roman" w:hAnsi="Times New Roman" w:cs="Times New Roman"/>
          <w:sz w:val="24"/>
          <w:szCs w:val="24"/>
          <w:lang w:val="en-US"/>
        </w:rPr>
        <w:t>-</w:t>
      </w:r>
      <w:r w:rsidR="00D41D54" w:rsidRPr="0047178E">
        <w:rPr>
          <w:rFonts w:ascii="Times New Roman" w:hAnsi="Times New Roman" w:cs="Times New Roman"/>
          <w:sz w:val="24"/>
          <w:szCs w:val="24"/>
          <w:lang w:val="en-US"/>
        </w:rPr>
        <w:t>high technology goods;</w:t>
      </w:r>
      <w:r w:rsidRPr="0047178E">
        <w:rPr>
          <w:rFonts w:ascii="Times New Roman" w:hAnsi="Times New Roman" w:cs="Times New Roman"/>
          <w:sz w:val="24"/>
          <w:szCs w:val="24"/>
          <w:lang w:val="en-US"/>
        </w:rPr>
        <w:t xml:space="preserve"> and </w:t>
      </w:r>
      <w:r w:rsidR="00D41D54" w:rsidRPr="0047178E">
        <w:rPr>
          <w:rFonts w:ascii="Times New Roman" w:hAnsi="Times New Roman" w:cs="Times New Roman"/>
          <w:sz w:val="24"/>
          <w:szCs w:val="24"/>
          <w:lang w:val="en-US"/>
        </w:rPr>
        <w:t xml:space="preserve">(II) </w:t>
      </w:r>
      <w:r w:rsidRPr="0047178E">
        <w:rPr>
          <w:rFonts w:ascii="Times New Roman" w:hAnsi="Times New Roman" w:cs="Times New Roman"/>
          <w:sz w:val="24"/>
          <w:szCs w:val="24"/>
          <w:lang w:val="en-US"/>
        </w:rPr>
        <w:t xml:space="preserve">increasing </w:t>
      </w:r>
      <w:r w:rsidR="0052759F" w:rsidRPr="0047178E">
        <w:rPr>
          <w:rFonts w:ascii="Times New Roman" w:hAnsi="Times New Roman" w:cs="Times New Roman"/>
          <w:sz w:val="24"/>
          <w:szCs w:val="24"/>
          <w:lang w:val="en-US"/>
        </w:rPr>
        <w:t xml:space="preserve">basic goods </w:t>
      </w:r>
      <w:r w:rsidRPr="0047178E">
        <w:rPr>
          <w:rFonts w:ascii="Times New Roman" w:hAnsi="Times New Roman" w:cs="Times New Roman"/>
          <w:sz w:val="24"/>
          <w:szCs w:val="24"/>
          <w:lang w:val="en-US"/>
        </w:rPr>
        <w:t>export</w:t>
      </w:r>
      <w:r w:rsidR="0052759F" w:rsidRPr="0047178E">
        <w:rPr>
          <w:rFonts w:ascii="Times New Roman" w:hAnsi="Times New Roman" w:cs="Times New Roman"/>
          <w:sz w:val="24"/>
          <w:szCs w:val="24"/>
          <w:lang w:val="en-US"/>
        </w:rPr>
        <w:t>s</w:t>
      </w:r>
      <w:r w:rsidRPr="0047178E">
        <w:rPr>
          <w:rFonts w:ascii="Times New Roman" w:hAnsi="Times New Roman" w:cs="Times New Roman"/>
          <w:sz w:val="24"/>
          <w:szCs w:val="24"/>
          <w:lang w:val="en-US"/>
        </w:rPr>
        <w:t xml:space="preserve">. In informal settings, this process </w:t>
      </w:r>
      <w:r w:rsidRPr="0047178E">
        <w:rPr>
          <w:rFonts w:ascii="Times New Roman" w:hAnsi="Times New Roman" w:cs="Times New Roman"/>
          <w:sz w:val="24"/>
          <w:szCs w:val="24"/>
          <w:lang w:val="en-US"/>
        </w:rPr>
        <w:lastRenderedPageBreak/>
        <w:t xml:space="preserve">has been described as a kind of 'inverted </w:t>
      </w:r>
      <w:r w:rsidRPr="0047178E">
        <w:rPr>
          <w:rFonts w:ascii="Times New Roman" w:hAnsi="Times New Roman" w:cs="Times New Roman"/>
          <w:i/>
          <w:iCs/>
          <w:sz w:val="24"/>
          <w:szCs w:val="24"/>
          <w:lang w:val="en-US"/>
        </w:rPr>
        <w:t>maquila</w:t>
      </w:r>
      <w:r w:rsidRPr="0047178E">
        <w:rPr>
          <w:rFonts w:ascii="Times New Roman" w:hAnsi="Times New Roman" w:cs="Times New Roman"/>
          <w:sz w:val="24"/>
          <w:szCs w:val="24"/>
          <w:lang w:val="en-US"/>
        </w:rPr>
        <w:t xml:space="preserve"> </w:t>
      </w:r>
      <w:r w:rsidR="00E32272" w:rsidRPr="0047178E">
        <w:rPr>
          <w:rFonts w:ascii="Times New Roman" w:hAnsi="Times New Roman" w:cs="Times New Roman"/>
          <w:sz w:val="24"/>
          <w:szCs w:val="24"/>
          <w:lang w:val="en-US"/>
        </w:rPr>
        <w:t>industry</w:t>
      </w:r>
      <w:r w:rsidRPr="0047178E">
        <w:rPr>
          <w:rFonts w:ascii="Times New Roman" w:hAnsi="Times New Roman" w:cs="Times New Roman"/>
          <w:sz w:val="24"/>
          <w:szCs w:val="24"/>
          <w:lang w:val="en-US"/>
        </w:rPr>
        <w:t>'</w:t>
      </w:r>
      <w:r w:rsidR="00E32272" w:rsidRPr="0047178E">
        <w:rPr>
          <w:rFonts w:ascii="Times New Roman" w:hAnsi="Times New Roman" w:cs="Times New Roman"/>
          <w:sz w:val="24"/>
          <w:szCs w:val="24"/>
          <w:lang w:val="en-US"/>
        </w:rPr>
        <w:t>, oriented to the internal market.</w:t>
      </w:r>
      <w:r w:rsidRPr="0047178E">
        <w:rPr>
          <w:rFonts w:ascii="Times New Roman" w:hAnsi="Times New Roman" w:cs="Times New Roman"/>
          <w:sz w:val="24"/>
          <w:szCs w:val="24"/>
          <w:lang w:val="en-US"/>
        </w:rPr>
        <w:t xml:space="preserve"> That is </w:t>
      </w:r>
      <w:r w:rsidR="00E32272" w:rsidRPr="0047178E">
        <w:rPr>
          <w:rFonts w:ascii="Times New Roman" w:hAnsi="Times New Roman" w:cs="Times New Roman"/>
          <w:sz w:val="24"/>
          <w:szCs w:val="24"/>
          <w:lang w:val="en-US"/>
        </w:rPr>
        <w:t>a reference, though exaggerated, to M</w:t>
      </w:r>
      <w:r w:rsidRPr="0047178E">
        <w:rPr>
          <w:rFonts w:ascii="Times New Roman" w:hAnsi="Times New Roman" w:cs="Times New Roman"/>
          <w:sz w:val="24"/>
          <w:szCs w:val="24"/>
          <w:lang w:val="en-US"/>
        </w:rPr>
        <w:t xml:space="preserve">exico's </w:t>
      </w:r>
      <w:r w:rsidRPr="0047178E">
        <w:rPr>
          <w:rFonts w:ascii="Times New Roman" w:hAnsi="Times New Roman" w:cs="Times New Roman"/>
          <w:i/>
          <w:iCs/>
          <w:sz w:val="24"/>
          <w:szCs w:val="24"/>
          <w:lang w:val="en-US"/>
        </w:rPr>
        <w:t>maquila</w:t>
      </w:r>
      <w:r w:rsidRPr="0047178E">
        <w:rPr>
          <w:rFonts w:ascii="Times New Roman" w:hAnsi="Times New Roman" w:cs="Times New Roman"/>
          <w:sz w:val="24"/>
          <w:szCs w:val="24"/>
          <w:lang w:val="en-US"/>
        </w:rPr>
        <w:t xml:space="preserve"> industry</w:t>
      </w:r>
      <w:r w:rsidR="00934057" w:rsidRPr="0047178E">
        <w:rPr>
          <w:rFonts w:ascii="Times New Roman" w:hAnsi="Times New Roman" w:cs="Times New Roman"/>
          <w:sz w:val="24"/>
          <w:szCs w:val="24"/>
          <w:lang w:val="en-US"/>
        </w:rPr>
        <w:t>, which is</w:t>
      </w:r>
      <w:r w:rsidR="00E32272" w:rsidRPr="0047178E">
        <w:rPr>
          <w:rFonts w:ascii="Times New Roman" w:hAnsi="Times New Roman" w:cs="Times New Roman"/>
          <w:sz w:val="24"/>
          <w:szCs w:val="24"/>
          <w:lang w:val="en-US"/>
        </w:rPr>
        <w:t xml:space="preserve"> </w:t>
      </w:r>
      <w:r w:rsidR="002809A9" w:rsidRPr="0047178E">
        <w:rPr>
          <w:rFonts w:ascii="Times New Roman" w:hAnsi="Times New Roman" w:cs="Times New Roman"/>
          <w:sz w:val="24"/>
          <w:szCs w:val="24"/>
          <w:lang w:val="en-US"/>
        </w:rPr>
        <w:t>oriented to the external market</w:t>
      </w:r>
      <w:r w:rsidRPr="0047178E">
        <w:rPr>
          <w:rFonts w:ascii="Times New Roman" w:hAnsi="Times New Roman" w:cs="Times New Roman"/>
          <w:sz w:val="24"/>
          <w:szCs w:val="24"/>
          <w:lang w:val="en-US"/>
        </w:rPr>
        <w:t>, where factories import products from the US</w:t>
      </w:r>
      <w:r w:rsidR="00F572D5" w:rsidRPr="0047178E">
        <w:rPr>
          <w:rFonts w:ascii="Times New Roman" w:hAnsi="Times New Roman" w:cs="Times New Roman"/>
          <w:sz w:val="24"/>
          <w:szCs w:val="24"/>
          <w:lang w:val="en-US"/>
        </w:rPr>
        <w:t>A</w:t>
      </w:r>
      <w:r w:rsidRPr="0047178E">
        <w:rPr>
          <w:rFonts w:ascii="Times New Roman" w:hAnsi="Times New Roman" w:cs="Times New Roman"/>
          <w:sz w:val="24"/>
          <w:szCs w:val="24"/>
          <w:lang w:val="en-US"/>
        </w:rPr>
        <w:t xml:space="preserve"> for assembly </w:t>
      </w:r>
      <w:r w:rsidR="00F572D5" w:rsidRPr="0047178E">
        <w:rPr>
          <w:rFonts w:ascii="Times New Roman" w:hAnsi="Times New Roman" w:cs="Times New Roman"/>
          <w:sz w:val="24"/>
          <w:szCs w:val="24"/>
          <w:lang w:val="en-US"/>
        </w:rPr>
        <w:t>and</w:t>
      </w:r>
      <w:r w:rsidRPr="0047178E">
        <w:rPr>
          <w:rFonts w:ascii="Times New Roman" w:hAnsi="Times New Roman" w:cs="Times New Roman"/>
          <w:sz w:val="24"/>
          <w:szCs w:val="24"/>
          <w:lang w:val="en-US"/>
        </w:rPr>
        <w:t xml:space="preserve"> then export </w:t>
      </w:r>
      <w:r w:rsidR="00F572D5" w:rsidRPr="0047178E">
        <w:rPr>
          <w:rFonts w:ascii="Times New Roman" w:hAnsi="Times New Roman" w:cs="Times New Roman"/>
          <w:sz w:val="24"/>
          <w:szCs w:val="24"/>
          <w:lang w:val="en-US"/>
        </w:rPr>
        <w:t>finished</w:t>
      </w:r>
      <w:r w:rsidRPr="0047178E">
        <w:rPr>
          <w:rFonts w:ascii="Times New Roman" w:hAnsi="Times New Roman" w:cs="Times New Roman"/>
          <w:sz w:val="24"/>
          <w:szCs w:val="24"/>
          <w:lang w:val="en-US"/>
        </w:rPr>
        <w:t xml:space="preserve"> products, </w:t>
      </w:r>
      <w:r w:rsidR="00E32272" w:rsidRPr="0047178E">
        <w:rPr>
          <w:rFonts w:ascii="Times New Roman" w:hAnsi="Times New Roman" w:cs="Times New Roman"/>
          <w:sz w:val="24"/>
          <w:szCs w:val="24"/>
          <w:lang w:val="en-US"/>
        </w:rPr>
        <w:t>with low</w:t>
      </w:r>
      <w:r w:rsidRPr="0047178E">
        <w:rPr>
          <w:rFonts w:ascii="Times New Roman" w:hAnsi="Times New Roman" w:cs="Times New Roman"/>
          <w:sz w:val="24"/>
          <w:szCs w:val="24"/>
          <w:lang w:val="en-US"/>
        </w:rPr>
        <w:t xml:space="preserve"> participation </w:t>
      </w:r>
      <w:r w:rsidR="00E32272" w:rsidRPr="0047178E">
        <w:rPr>
          <w:rFonts w:ascii="Times New Roman" w:hAnsi="Times New Roman" w:cs="Times New Roman"/>
          <w:sz w:val="24"/>
          <w:szCs w:val="24"/>
          <w:lang w:val="en-US"/>
        </w:rPr>
        <w:t>of</w:t>
      </w:r>
      <w:r w:rsidRPr="0047178E">
        <w:rPr>
          <w:rFonts w:ascii="Times New Roman" w:hAnsi="Times New Roman" w:cs="Times New Roman"/>
          <w:sz w:val="24"/>
          <w:szCs w:val="24"/>
          <w:lang w:val="en-US"/>
        </w:rPr>
        <w:t xml:space="preserve"> local suppliers. </w:t>
      </w:r>
    </w:p>
    <w:p w14:paraId="0A600218" w14:textId="3200EB60" w:rsidR="00294719" w:rsidRDefault="00F572D5" w:rsidP="0047178E">
      <w:pPr>
        <w:autoSpaceDE w:val="0"/>
        <w:autoSpaceDN w:val="0"/>
        <w:adjustRightInd w:val="0"/>
        <w:spacing w:after="0" w:line="240" w:lineRule="auto"/>
        <w:ind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With a view to</w:t>
      </w:r>
      <w:r w:rsidR="004642C5" w:rsidRPr="0047178E">
        <w:rPr>
          <w:rFonts w:ascii="Times New Roman" w:hAnsi="Times New Roman" w:cs="Times New Roman"/>
          <w:sz w:val="24"/>
          <w:szCs w:val="24"/>
          <w:lang w:val="en-US"/>
        </w:rPr>
        <w:t xml:space="preserve"> </w:t>
      </w:r>
      <w:r w:rsidRPr="0047178E">
        <w:rPr>
          <w:rFonts w:ascii="Times New Roman" w:hAnsi="Times New Roman" w:cs="Times New Roman"/>
          <w:sz w:val="24"/>
          <w:szCs w:val="24"/>
          <w:lang w:val="en-US"/>
        </w:rPr>
        <w:t>analyzing</w:t>
      </w:r>
      <w:r w:rsidR="004642C5" w:rsidRPr="0047178E">
        <w:rPr>
          <w:rFonts w:ascii="Times New Roman" w:hAnsi="Times New Roman" w:cs="Times New Roman"/>
          <w:sz w:val="24"/>
          <w:szCs w:val="24"/>
          <w:lang w:val="en-US"/>
        </w:rPr>
        <w:t xml:space="preserve"> the </w:t>
      </w:r>
      <w:r w:rsidR="00755216" w:rsidRPr="0047178E">
        <w:rPr>
          <w:rFonts w:ascii="Times New Roman" w:hAnsi="Times New Roman" w:cs="Times New Roman"/>
          <w:sz w:val="24"/>
          <w:szCs w:val="24"/>
          <w:lang w:val="en-US"/>
        </w:rPr>
        <w:t xml:space="preserve">conditioning elements of </w:t>
      </w:r>
      <w:r w:rsidR="00934057" w:rsidRPr="0047178E">
        <w:rPr>
          <w:rFonts w:ascii="Times New Roman" w:hAnsi="Times New Roman" w:cs="Times New Roman"/>
          <w:sz w:val="24"/>
          <w:szCs w:val="24"/>
          <w:lang w:val="en-US"/>
        </w:rPr>
        <w:t xml:space="preserve">the </w:t>
      </w:r>
      <w:r w:rsidR="00755216" w:rsidRPr="0047178E">
        <w:rPr>
          <w:rFonts w:ascii="Times New Roman" w:hAnsi="Times New Roman" w:cs="Times New Roman"/>
          <w:sz w:val="24"/>
          <w:szCs w:val="24"/>
          <w:lang w:val="en-US"/>
        </w:rPr>
        <w:t>Brazilian pattern of insertion into GVCs and their</w:t>
      </w:r>
      <w:r w:rsidR="004642C5" w:rsidRPr="0047178E">
        <w:rPr>
          <w:rFonts w:ascii="Times New Roman" w:hAnsi="Times New Roman" w:cs="Times New Roman"/>
          <w:sz w:val="24"/>
          <w:szCs w:val="24"/>
          <w:lang w:val="en-US"/>
        </w:rPr>
        <w:t xml:space="preserve"> impact</w:t>
      </w:r>
      <w:r w:rsidR="00755216" w:rsidRPr="0047178E">
        <w:rPr>
          <w:rFonts w:ascii="Times New Roman" w:hAnsi="Times New Roman" w:cs="Times New Roman"/>
          <w:sz w:val="24"/>
          <w:szCs w:val="24"/>
          <w:lang w:val="en-US"/>
        </w:rPr>
        <w:t>s on</w:t>
      </w:r>
      <w:r w:rsidR="004642C5" w:rsidRPr="0047178E">
        <w:rPr>
          <w:rFonts w:ascii="Times New Roman" w:hAnsi="Times New Roman" w:cs="Times New Roman"/>
          <w:sz w:val="24"/>
          <w:szCs w:val="24"/>
          <w:lang w:val="en-US"/>
        </w:rPr>
        <w:t xml:space="preserve"> </w:t>
      </w:r>
      <w:r w:rsidR="00755216" w:rsidRPr="0047178E">
        <w:rPr>
          <w:rFonts w:ascii="Times New Roman" w:hAnsi="Times New Roman" w:cs="Times New Roman"/>
          <w:sz w:val="24"/>
          <w:szCs w:val="24"/>
          <w:lang w:val="en-US"/>
        </w:rPr>
        <w:t xml:space="preserve">the </w:t>
      </w:r>
      <w:r w:rsidR="00826A13" w:rsidRPr="0047178E">
        <w:rPr>
          <w:rFonts w:ascii="Times New Roman" w:hAnsi="Times New Roman" w:cs="Times New Roman"/>
          <w:sz w:val="24"/>
          <w:szCs w:val="24"/>
          <w:lang w:val="en-US"/>
        </w:rPr>
        <w:t xml:space="preserve">competitive dynamics of the </w:t>
      </w:r>
      <w:r w:rsidR="00755216" w:rsidRPr="0047178E">
        <w:rPr>
          <w:rFonts w:ascii="Times New Roman" w:hAnsi="Times New Roman" w:cs="Times New Roman"/>
          <w:sz w:val="24"/>
          <w:szCs w:val="24"/>
          <w:lang w:val="en-US"/>
        </w:rPr>
        <w:t>country's economy</w:t>
      </w:r>
      <w:r w:rsidR="004642C5" w:rsidRPr="0047178E">
        <w:rPr>
          <w:rFonts w:ascii="Times New Roman" w:hAnsi="Times New Roman" w:cs="Times New Roman"/>
          <w:sz w:val="24"/>
          <w:szCs w:val="24"/>
          <w:lang w:val="en-US"/>
        </w:rPr>
        <w:t xml:space="preserve">, this paper has been divided into an introduction, </w:t>
      </w:r>
      <w:r w:rsidR="00035C11" w:rsidRPr="0047178E">
        <w:rPr>
          <w:rFonts w:ascii="Times New Roman" w:hAnsi="Times New Roman" w:cs="Times New Roman"/>
          <w:sz w:val="24"/>
          <w:szCs w:val="24"/>
          <w:lang w:val="en-US"/>
        </w:rPr>
        <w:t>three</w:t>
      </w:r>
      <w:r w:rsidR="004642C5" w:rsidRPr="0047178E">
        <w:rPr>
          <w:rFonts w:ascii="Times New Roman" w:hAnsi="Times New Roman" w:cs="Times New Roman"/>
          <w:sz w:val="24"/>
          <w:szCs w:val="24"/>
          <w:lang w:val="en-US"/>
        </w:rPr>
        <w:t xml:space="preserve"> sections and </w:t>
      </w:r>
      <w:r w:rsidR="00826A13" w:rsidRPr="0047178E">
        <w:rPr>
          <w:rFonts w:ascii="Times New Roman" w:hAnsi="Times New Roman" w:cs="Times New Roman"/>
          <w:sz w:val="24"/>
          <w:szCs w:val="24"/>
          <w:lang w:val="en-US"/>
        </w:rPr>
        <w:t xml:space="preserve">a </w:t>
      </w:r>
      <w:r w:rsidR="00755216" w:rsidRPr="0047178E">
        <w:rPr>
          <w:rFonts w:ascii="Times New Roman" w:hAnsi="Times New Roman" w:cs="Times New Roman"/>
          <w:sz w:val="24"/>
          <w:szCs w:val="24"/>
          <w:lang w:val="en-US"/>
        </w:rPr>
        <w:t>conclusion</w:t>
      </w:r>
      <w:r w:rsidR="004642C5" w:rsidRPr="0047178E">
        <w:rPr>
          <w:rFonts w:ascii="Times New Roman" w:hAnsi="Times New Roman" w:cs="Times New Roman"/>
          <w:sz w:val="24"/>
          <w:szCs w:val="24"/>
          <w:lang w:val="en-US"/>
        </w:rPr>
        <w:t>:</w:t>
      </w:r>
      <w:r w:rsidR="00294719" w:rsidRPr="0047178E">
        <w:rPr>
          <w:rFonts w:ascii="Times New Roman" w:hAnsi="Times New Roman" w:cs="Times New Roman"/>
          <w:spacing w:val="-4"/>
          <w:sz w:val="24"/>
          <w:szCs w:val="24"/>
          <w:lang w:val="en-US"/>
        </w:rPr>
        <w:t xml:space="preserve"> the first section discusses the relevance of insertion into GVCs for economic development and presents a theoretical framework for the proposed discussion, with a literature review of definitions of different forms of GVC participation (backward and forward) and of its determining factors; </w:t>
      </w:r>
      <w:r w:rsidR="004642C5" w:rsidRPr="0047178E">
        <w:rPr>
          <w:rFonts w:ascii="Times New Roman" w:hAnsi="Times New Roman" w:cs="Times New Roman"/>
          <w:sz w:val="24"/>
          <w:szCs w:val="24"/>
          <w:lang w:val="en-US"/>
        </w:rPr>
        <w:t xml:space="preserve">the second section shows indicators of </w:t>
      </w:r>
      <w:r w:rsidR="00AE5D8C" w:rsidRPr="0047178E">
        <w:rPr>
          <w:rFonts w:ascii="Times New Roman" w:hAnsi="Times New Roman" w:cs="Times New Roman"/>
          <w:sz w:val="24"/>
          <w:szCs w:val="24"/>
          <w:lang w:val="en-US"/>
        </w:rPr>
        <w:t xml:space="preserve">the </w:t>
      </w:r>
      <w:r w:rsidR="004642C5" w:rsidRPr="0047178E">
        <w:rPr>
          <w:rFonts w:ascii="Times New Roman" w:hAnsi="Times New Roman" w:cs="Times New Roman"/>
          <w:sz w:val="24"/>
          <w:szCs w:val="24"/>
          <w:lang w:val="en-US"/>
        </w:rPr>
        <w:t xml:space="preserve">Brazilian participation in GVCs; and the third section explores </w:t>
      </w:r>
      <w:r w:rsidR="00106EA2" w:rsidRPr="0047178E">
        <w:rPr>
          <w:rFonts w:ascii="Times New Roman" w:hAnsi="Times New Roman" w:cs="Times New Roman"/>
          <w:sz w:val="24"/>
          <w:szCs w:val="24"/>
          <w:lang w:val="en-US"/>
        </w:rPr>
        <w:t>the economic elements that can explain the</w:t>
      </w:r>
      <w:r w:rsidR="004642C5" w:rsidRPr="0047178E">
        <w:rPr>
          <w:rFonts w:ascii="Times New Roman" w:hAnsi="Times New Roman" w:cs="Times New Roman"/>
          <w:sz w:val="24"/>
          <w:szCs w:val="24"/>
          <w:lang w:val="en-US"/>
        </w:rPr>
        <w:t xml:space="preserve"> country's performance </w:t>
      </w:r>
      <w:r w:rsidR="00106EA2" w:rsidRPr="0047178E">
        <w:rPr>
          <w:rFonts w:ascii="Times New Roman" w:hAnsi="Times New Roman" w:cs="Times New Roman"/>
          <w:sz w:val="24"/>
          <w:szCs w:val="24"/>
          <w:lang w:val="en-US"/>
        </w:rPr>
        <w:t xml:space="preserve">in </w:t>
      </w:r>
      <w:r w:rsidR="00826A13" w:rsidRPr="0047178E">
        <w:rPr>
          <w:rFonts w:ascii="Times New Roman" w:hAnsi="Times New Roman" w:cs="Times New Roman"/>
          <w:sz w:val="24"/>
          <w:szCs w:val="24"/>
          <w:lang w:val="en-US"/>
        </w:rPr>
        <w:t xml:space="preserve">such </w:t>
      </w:r>
      <w:r w:rsidR="00106EA2" w:rsidRPr="0047178E">
        <w:rPr>
          <w:rFonts w:ascii="Times New Roman" w:hAnsi="Times New Roman" w:cs="Times New Roman"/>
          <w:sz w:val="24"/>
          <w:szCs w:val="24"/>
          <w:lang w:val="en-US"/>
        </w:rPr>
        <w:t xml:space="preserve">indicators. </w:t>
      </w:r>
    </w:p>
    <w:p w14:paraId="68527DBE" w14:textId="77777777" w:rsidR="005C54ED" w:rsidRPr="0047178E" w:rsidRDefault="005C54ED"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p>
    <w:p w14:paraId="203CFB1B" w14:textId="77777777" w:rsidR="000922A6" w:rsidRPr="0047178E" w:rsidRDefault="000922A6" w:rsidP="0047178E">
      <w:pPr>
        <w:tabs>
          <w:tab w:val="left" w:pos="8505"/>
        </w:tabs>
        <w:spacing w:after="0" w:line="240" w:lineRule="auto"/>
        <w:jc w:val="both"/>
        <w:rPr>
          <w:rFonts w:ascii="Times New Roman" w:hAnsi="Times New Roman" w:cs="Times New Roman"/>
          <w:b/>
          <w:bCs/>
          <w:sz w:val="24"/>
          <w:szCs w:val="24"/>
          <w:lang w:val="en-US"/>
        </w:rPr>
      </w:pPr>
    </w:p>
    <w:p w14:paraId="5E7A10F9" w14:textId="5A50707B" w:rsidR="00294719" w:rsidRPr="0047178E" w:rsidRDefault="00294719" w:rsidP="0047178E">
      <w:pPr>
        <w:pStyle w:val="PargrafodaLista"/>
        <w:numPr>
          <w:ilvl w:val="0"/>
          <w:numId w:val="30"/>
        </w:numPr>
        <w:autoSpaceDE w:val="0"/>
        <w:autoSpaceDN w:val="0"/>
        <w:adjustRightInd w:val="0"/>
        <w:spacing w:after="0" w:line="240" w:lineRule="auto"/>
        <w:contextualSpacing/>
        <w:jc w:val="both"/>
        <w:rPr>
          <w:rFonts w:ascii="Times New Roman" w:hAnsi="Times New Roman" w:cs="Times New Roman"/>
          <w:b/>
          <w:spacing w:val="-4"/>
          <w:sz w:val="24"/>
          <w:szCs w:val="24"/>
          <w:lang w:val="en-US"/>
        </w:rPr>
      </w:pPr>
      <w:r w:rsidRPr="0047178E">
        <w:rPr>
          <w:rFonts w:ascii="Times New Roman" w:hAnsi="Times New Roman" w:cs="Times New Roman"/>
          <w:b/>
          <w:spacing w:val="-4"/>
          <w:sz w:val="24"/>
          <w:szCs w:val="24"/>
          <w:lang w:val="en-US"/>
        </w:rPr>
        <w:t>THE PARTI</w:t>
      </w:r>
      <w:r w:rsidR="00826A13" w:rsidRPr="0047178E">
        <w:rPr>
          <w:rFonts w:ascii="Times New Roman" w:hAnsi="Times New Roman" w:cs="Times New Roman"/>
          <w:b/>
          <w:spacing w:val="-4"/>
          <w:sz w:val="24"/>
          <w:szCs w:val="24"/>
          <w:lang w:val="en-US"/>
        </w:rPr>
        <w:t>CI</w:t>
      </w:r>
      <w:r w:rsidRPr="0047178E">
        <w:rPr>
          <w:rFonts w:ascii="Times New Roman" w:hAnsi="Times New Roman" w:cs="Times New Roman"/>
          <w:b/>
          <w:spacing w:val="-4"/>
          <w:sz w:val="24"/>
          <w:szCs w:val="24"/>
          <w:lang w:val="en-US"/>
        </w:rPr>
        <w:t xml:space="preserve">PATION OF COUNTRIES IN GVCs: BASIC </w:t>
      </w:r>
      <w:r w:rsidR="00826A13" w:rsidRPr="0047178E">
        <w:rPr>
          <w:rFonts w:ascii="Times New Roman" w:hAnsi="Times New Roman" w:cs="Times New Roman"/>
          <w:b/>
          <w:spacing w:val="-4"/>
          <w:sz w:val="24"/>
          <w:szCs w:val="24"/>
          <w:lang w:val="en-US"/>
        </w:rPr>
        <w:t>TYPOLOGY</w:t>
      </w:r>
      <w:r w:rsidRPr="0047178E">
        <w:rPr>
          <w:rFonts w:ascii="Times New Roman" w:hAnsi="Times New Roman" w:cs="Times New Roman"/>
          <w:b/>
          <w:spacing w:val="-4"/>
          <w:sz w:val="24"/>
          <w:szCs w:val="24"/>
          <w:lang w:val="en-US"/>
        </w:rPr>
        <w:t xml:space="preserve"> AND DETERMINANTS </w:t>
      </w:r>
    </w:p>
    <w:p w14:paraId="0BEA1C51" w14:textId="77777777" w:rsidR="00294719" w:rsidRPr="0047178E" w:rsidRDefault="00294719"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As briefly mentioned before, academic literature about GVCs (Baldwin and Venables, 2013; Backer and Miroudot, 2013; Gereffi et al., 2001) usually divides the participation of countries in </w:t>
      </w:r>
      <w:r w:rsidRPr="0047178E">
        <w:rPr>
          <w:rFonts w:ascii="Times New Roman" w:hAnsi="Times New Roman" w:cs="Times New Roman"/>
          <w:color w:val="000000" w:themeColor="text1"/>
          <w:spacing w:val="-4"/>
          <w:sz w:val="24"/>
          <w:szCs w:val="24"/>
          <w:lang w:val="en-US"/>
        </w:rPr>
        <w:t>GVCs</w:t>
      </w:r>
      <w:r w:rsidRPr="0047178E">
        <w:rPr>
          <w:rFonts w:ascii="Times New Roman" w:hAnsi="Times New Roman" w:cs="Times New Roman"/>
          <w:color w:val="FF0000"/>
          <w:spacing w:val="-4"/>
          <w:sz w:val="24"/>
          <w:szCs w:val="24"/>
          <w:lang w:val="en-US"/>
        </w:rPr>
        <w:t xml:space="preserve"> </w:t>
      </w:r>
      <w:r w:rsidRPr="0047178E">
        <w:rPr>
          <w:rFonts w:ascii="Times New Roman" w:hAnsi="Times New Roman" w:cs="Times New Roman"/>
          <w:spacing w:val="-4"/>
          <w:sz w:val="24"/>
          <w:szCs w:val="24"/>
          <w:lang w:val="en-US"/>
        </w:rPr>
        <w:t xml:space="preserve">into backward and forward </w:t>
      </w:r>
      <w:r w:rsidRPr="0047178E">
        <w:rPr>
          <w:rFonts w:ascii="Times New Roman" w:hAnsi="Times New Roman" w:cs="Times New Roman"/>
          <w:color w:val="000000" w:themeColor="text1"/>
          <w:spacing w:val="-4"/>
          <w:sz w:val="24"/>
          <w:szCs w:val="24"/>
          <w:lang w:val="en-US"/>
        </w:rPr>
        <w:t>linkages</w:t>
      </w:r>
      <w:r w:rsidRPr="0047178E">
        <w:rPr>
          <w:rFonts w:ascii="Times New Roman" w:hAnsi="Times New Roman" w:cs="Times New Roman"/>
          <w:spacing w:val="-4"/>
          <w:sz w:val="24"/>
          <w:szCs w:val="24"/>
          <w:lang w:val="en-US"/>
        </w:rPr>
        <w:t>. Each of these forms of engagement is determined by distinct elements, which may be structural factors of the economy or factors arising from trade or industrial policies. Kowalski et al. (2015) conducted an econometric study seeking to correlate the GVC integration index and various aspects of the economy. As a result, the authors propose a list of elements that have the greatest impact on the participation of a country in these GVCs due to the high statistical significance found in this correlation. The results of the authors’ study are presented below, along with further explanations about the relevance of each of these factors to determine the participa</w:t>
      </w:r>
      <w:r w:rsidR="00D25CCD" w:rsidRPr="0047178E">
        <w:rPr>
          <w:rFonts w:ascii="Times New Roman" w:hAnsi="Times New Roman" w:cs="Times New Roman"/>
          <w:spacing w:val="-4"/>
          <w:sz w:val="24"/>
          <w:szCs w:val="24"/>
          <w:lang w:val="en-US"/>
        </w:rPr>
        <w:t>tion in GVCs:</w:t>
      </w:r>
    </w:p>
    <w:p w14:paraId="2F4D0C92" w14:textId="77777777" w:rsidR="00D25CCD" w:rsidRPr="0047178E" w:rsidRDefault="00D25CCD" w:rsidP="0047178E">
      <w:pPr>
        <w:pStyle w:val="PargrafodaLista"/>
        <w:numPr>
          <w:ilvl w:val="0"/>
          <w:numId w:val="26"/>
        </w:numPr>
        <w:autoSpaceDE w:val="0"/>
        <w:autoSpaceDN w:val="0"/>
        <w:adjustRightInd w:val="0"/>
        <w:spacing w:after="0" w:line="240" w:lineRule="auto"/>
        <w:jc w:val="both"/>
        <w:rPr>
          <w:rFonts w:ascii="Times New Roman" w:hAnsi="Times New Roman" w:cs="Times New Roman"/>
          <w:spacing w:val="-4"/>
          <w:sz w:val="24"/>
          <w:szCs w:val="24"/>
          <w:lang w:val="en-US"/>
        </w:rPr>
      </w:pPr>
      <w:r w:rsidRPr="0047178E">
        <w:rPr>
          <w:rFonts w:ascii="Times New Roman" w:hAnsi="Times New Roman" w:cs="Times New Roman"/>
          <w:b/>
          <w:bCs/>
          <w:spacing w:val="-4"/>
          <w:sz w:val="24"/>
          <w:szCs w:val="24"/>
          <w:lang w:val="en-US"/>
        </w:rPr>
        <w:t>Degree of industrialization:</w:t>
      </w:r>
      <w:r w:rsidRPr="0047178E">
        <w:rPr>
          <w:rFonts w:ascii="Times New Roman" w:hAnsi="Times New Roman" w:cs="Times New Roman"/>
          <w:spacing w:val="-4"/>
          <w:sz w:val="24"/>
          <w:szCs w:val="24"/>
          <w:lang w:val="en-US"/>
        </w:rPr>
        <w:t xml:space="preserve"> positively correlated with the </w:t>
      </w:r>
      <w:r w:rsidRPr="0047178E">
        <w:rPr>
          <w:rFonts w:ascii="Times New Roman" w:hAnsi="Times New Roman" w:cs="Times New Roman"/>
          <w:iCs/>
          <w:spacing w:val="-4"/>
          <w:sz w:val="24"/>
          <w:szCs w:val="24"/>
          <w:lang w:val="en-US"/>
        </w:rPr>
        <w:t>backward participation</w:t>
      </w:r>
      <w:r w:rsidRPr="0047178E">
        <w:rPr>
          <w:rFonts w:ascii="Times New Roman" w:hAnsi="Times New Roman" w:cs="Times New Roman"/>
          <w:i/>
          <w:iCs/>
          <w:spacing w:val="-4"/>
          <w:sz w:val="24"/>
          <w:szCs w:val="24"/>
          <w:lang w:val="en-US"/>
        </w:rPr>
        <w:t xml:space="preserve"> </w:t>
      </w:r>
      <w:r w:rsidRPr="0047178E">
        <w:rPr>
          <w:rFonts w:ascii="Times New Roman" w:hAnsi="Times New Roman" w:cs="Times New Roman"/>
          <w:spacing w:val="-4"/>
          <w:sz w:val="24"/>
          <w:szCs w:val="24"/>
          <w:lang w:val="en-US"/>
        </w:rPr>
        <w:t xml:space="preserve">and negatively with </w:t>
      </w:r>
      <w:r w:rsidRPr="0047178E">
        <w:rPr>
          <w:rFonts w:ascii="Times New Roman" w:hAnsi="Times New Roman" w:cs="Times New Roman"/>
          <w:iCs/>
          <w:spacing w:val="-4"/>
          <w:sz w:val="24"/>
          <w:szCs w:val="24"/>
          <w:lang w:val="en-US"/>
        </w:rPr>
        <w:t>forward</w:t>
      </w:r>
      <w:r w:rsidRPr="0047178E">
        <w:rPr>
          <w:rFonts w:ascii="Times New Roman" w:hAnsi="Times New Roman" w:cs="Times New Roman"/>
          <w:spacing w:val="-4"/>
          <w:sz w:val="24"/>
          <w:szCs w:val="24"/>
          <w:lang w:val="en-US"/>
        </w:rPr>
        <w:t xml:space="preserve"> participation. Reason: economies exporting raw products tend to have less imported intermediates used in their exports, given the primary stage of processing in which these products are sold externally. On the other hand, forward participation tends to be higher in primary economies, as commodities are used as inputs into production processes in third countries and resold by them.  </w:t>
      </w:r>
    </w:p>
    <w:p w14:paraId="39E7F8E8" w14:textId="77777777" w:rsidR="001E0F25" w:rsidRPr="0047178E" w:rsidRDefault="00B30C03" w:rsidP="0047178E">
      <w:pPr>
        <w:pStyle w:val="PargrafodaLista"/>
        <w:numPr>
          <w:ilvl w:val="0"/>
          <w:numId w:val="26"/>
        </w:numPr>
        <w:spacing w:after="0" w:line="240" w:lineRule="auto"/>
        <w:contextualSpacing/>
        <w:jc w:val="both"/>
        <w:rPr>
          <w:rFonts w:ascii="Times New Roman" w:hAnsi="Times New Roman" w:cs="Times New Roman"/>
          <w:sz w:val="24"/>
          <w:szCs w:val="24"/>
          <w:lang w:val="en-US"/>
        </w:rPr>
      </w:pPr>
      <w:r w:rsidRPr="0047178E">
        <w:rPr>
          <w:rFonts w:ascii="Times New Roman" w:hAnsi="Times New Roman" w:cs="Times New Roman"/>
          <w:b/>
          <w:sz w:val="24"/>
          <w:szCs w:val="24"/>
          <w:lang w:val="en-US"/>
        </w:rPr>
        <w:t>P</w:t>
      </w:r>
      <w:r w:rsidR="001E0F25" w:rsidRPr="0047178E">
        <w:rPr>
          <w:rFonts w:ascii="Times New Roman" w:hAnsi="Times New Roman" w:cs="Times New Roman"/>
          <w:b/>
          <w:sz w:val="24"/>
          <w:szCs w:val="24"/>
          <w:lang w:val="en-US"/>
        </w:rPr>
        <w:t>rotectionism</w:t>
      </w:r>
      <w:r w:rsidRPr="0047178E">
        <w:rPr>
          <w:rFonts w:ascii="Times New Roman" w:hAnsi="Times New Roman" w:cs="Times New Roman"/>
          <w:b/>
          <w:sz w:val="24"/>
          <w:szCs w:val="24"/>
          <w:lang w:val="en-US"/>
        </w:rPr>
        <w:t>:</w:t>
      </w:r>
      <w:r w:rsidRPr="0047178E">
        <w:rPr>
          <w:rFonts w:ascii="Times New Roman" w:hAnsi="Times New Roman" w:cs="Times New Roman"/>
          <w:sz w:val="24"/>
          <w:szCs w:val="24"/>
          <w:lang w:val="en-US"/>
        </w:rPr>
        <w:t xml:space="preserve"> </w:t>
      </w:r>
      <w:r w:rsidR="001E0F25" w:rsidRPr="0047178E">
        <w:rPr>
          <w:rFonts w:ascii="Times New Roman" w:hAnsi="Times New Roman" w:cs="Times New Roman"/>
          <w:color w:val="000000" w:themeColor="text1"/>
          <w:spacing w:val="-4"/>
          <w:sz w:val="24"/>
          <w:szCs w:val="24"/>
          <w:lang w:val="en-US"/>
        </w:rPr>
        <w:t xml:space="preserve">negative correlation between tariffs imposed on a country’s exports and its </w:t>
      </w:r>
      <w:r w:rsidR="001E0F25" w:rsidRPr="0047178E">
        <w:rPr>
          <w:rFonts w:ascii="Times New Roman" w:hAnsi="Times New Roman" w:cs="Times New Roman"/>
          <w:iCs/>
          <w:color w:val="000000" w:themeColor="text1"/>
          <w:spacing w:val="-4"/>
          <w:sz w:val="24"/>
          <w:szCs w:val="24"/>
          <w:lang w:val="en-US"/>
        </w:rPr>
        <w:t>forward</w:t>
      </w:r>
      <w:r w:rsidR="001E0F25" w:rsidRPr="0047178E">
        <w:rPr>
          <w:rFonts w:ascii="Times New Roman" w:hAnsi="Times New Roman" w:cs="Times New Roman"/>
          <w:i/>
          <w:iCs/>
          <w:color w:val="000000" w:themeColor="text1"/>
          <w:spacing w:val="-4"/>
          <w:sz w:val="24"/>
          <w:szCs w:val="24"/>
          <w:lang w:val="en-US"/>
        </w:rPr>
        <w:t xml:space="preserve"> </w:t>
      </w:r>
      <w:r w:rsidR="001E0F25" w:rsidRPr="0047178E">
        <w:rPr>
          <w:rFonts w:ascii="Times New Roman" w:hAnsi="Times New Roman" w:cs="Times New Roman"/>
          <w:color w:val="000000" w:themeColor="text1"/>
          <w:spacing w:val="-4"/>
          <w:sz w:val="24"/>
          <w:szCs w:val="24"/>
          <w:lang w:val="en-US"/>
        </w:rPr>
        <w:t>participation index; negative correlation between tariffs imposed by a country on intermediate inputs and its backward participation</w:t>
      </w:r>
      <w:r w:rsidR="001E0F25" w:rsidRPr="0047178E">
        <w:rPr>
          <w:rFonts w:ascii="Times New Roman" w:hAnsi="Times New Roman" w:cs="Times New Roman"/>
          <w:spacing w:val="-4"/>
          <w:sz w:val="24"/>
          <w:szCs w:val="24"/>
          <w:lang w:val="en-US"/>
        </w:rPr>
        <w:t xml:space="preserve">. One of the characteristics that </w:t>
      </w:r>
      <w:r w:rsidR="001E0F25" w:rsidRPr="0047178E">
        <w:rPr>
          <w:rFonts w:ascii="Times New Roman" w:hAnsi="Times New Roman" w:cs="Times New Roman"/>
          <w:noProof/>
          <w:spacing w:val="-4"/>
          <w:sz w:val="24"/>
          <w:szCs w:val="24"/>
          <w:lang w:val="en-US"/>
        </w:rPr>
        <w:t>defines</w:t>
      </w:r>
      <w:r w:rsidR="001E0F25" w:rsidRPr="0047178E">
        <w:rPr>
          <w:rFonts w:ascii="Times New Roman" w:hAnsi="Times New Roman" w:cs="Times New Roman"/>
          <w:spacing w:val="-4"/>
          <w:sz w:val="24"/>
          <w:szCs w:val="24"/>
          <w:lang w:val="en-US"/>
        </w:rPr>
        <w:t xml:space="preserve"> the GVCs (OECD, 2013) is that final exports increasingly incorporate intermediate imports, considering that the decentralization of production might generate potential productivity gains and higher competitiveness. Thus, the restricted access to such imported inputs, due to tariff and non-tariff protectionist measures, could result in a significant competitive disadvantage (Miroudot, Rouzet, Spinelli, 2013).</w:t>
      </w:r>
    </w:p>
    <w:p w14:paraId="1344BB25" w14:textId="77777777" w:rsidR="001E0F25" w:rsidRPr="0047178E" w:rsidRDefault="001E0F25" w:rsidP="0047178E">
      <w:pPr>
        <w:pStyle w:val="PargrafodaLista"/>
        <w:numPr>
          <w:ilvl w:val="0"/>
          <w:numId w:val="26"/>
        </w:numPr>
        <w:spacing w:after="0" w:line="240" w:lineRule="auto"/>
        <w:contextualSpacing/>
        <w:jc w:val="both"/>
        <w:rPr>
          <w:rFonts w:ascii="Times New Roman" w:hAnsi="Times New Roman" w:cs="Times New Roman"/>
          <w:sz w:val="24"/>
          <w:szCs w:val="24"/>
          <w:lang w:val="en-US"/>
        </w:rPr>
      </w:pPr>
      <w:r w:rsidRPr="0047178E">
        <w:rPr>
          <w:rFonts w:ascii="Times New Roman" w:hAnsi="Times New Roman" w:cs="Times New Roman"/>
          <w:b/>
          <w:bCs/>
          <w:spacing w:val="-4"/>
          <w:sz w:val="24"/>
          <w:szCs w:val="24"/>
          <w:lang w:val="en-US"/>
        </w:rPr>
        <w:t xml:space="preserve">Size of the internal market: </w:t>
      </w:r>
      <w:r w:rsidRPr="0047178E">
        <w:rPr>
          <w:rFonts w:ascii="Times New Roman" w:hAnsi="Times New Roman" w:cs="Times New Roman"/>
          <w:spacing w:val="-4"/>
          <w:sz w:val="24"/>
          <w:szCs w:val="24"/>
          <w:lang w:val="en-US"/>
        </w:rPr>
        <w:t xml:space="preserve">positive correlation with </w:t>
      </w:r>
      <w:r w:rsidRPr="0047178E">
        <w:rPr>
          <w:rFonts w:ascii="Times New Roman" w:hAnsi="Times New Roman" w:cs="Times New Roman"/>
          <w:iCs/>
          <w:spacing w:val="-4"/>
          <w:sz w:val="24"/>
          <w:szCs w:val="24"/>
          <w:lang w:val="en-US"/>
        </w:rPr>
        <w:t>forward</w:t>
      </w:r>
      <w:r w:rsidRPr="0047178E">
        <w:rPr>
          <w:rFonts w:ascii="Times New Roman" w:hAnsi="Times New Roman" w:cs="Times New Roman"/>
          <w:spacing w:val="-4"/>
          <w:sz w:val="24"/>
          <w:szCs w:val="24"/>
          <w:lang w:val="en-US"/>
        </w:rPr>
        <w:t xml:space="preserve"> participation index and negative correlation with </w:t>
      </w:r>
      <w:r w:rsidRPr="0047178E">
        <w:rPr>
          <w:rFonts w:ascii="Times New Roman" w:hAnsi="Times New Roman" w:cs="Times New Roman"/>
          <w:iCs/>
          <w:spacing w:val="-4"/>
          <w:sz w:val="24"/>
          <w:szCs w:val="24"/>
          <w:lang w:val="en-US"/>
        </w:rPr>
        <w:t>backward</w:t>
      </w:r>
      <w:r w:rsidRPr="0047178E">
        <w:rPr>
          <w:rFonts w:ascii="Times New Roman" w:hAnsi="Times New Roman" w:cs="Times New Roman"/>
          <w:i/>
          <w:iCs/>
          <w:spacing w:val="-4"/>
          <w:sz w:val="24"/>
          <w:szCs w:val="24"/>
          <w:lang w:val="en-US"/>
        </w:rPr>
        <w:t xml:space="preserve"> </w:t>
      </w:r>
      <w:r w:rsidRPr="0047178E">
        <w:rPr>
          <w:rFonts w:ascii="Times New Roman" w:hAnsi="Times New Roman" w:cs="Times New Roman"/>
          <w:spacing w:val="-4"/>
          <w:sz w:val="24"/>
          <w:szCs w:val="24"/>
          <w:lang w:val="en-US"/>
        </w:rPr>
        <w:t xml:space="preserve">participation index. The explanation is that the larger the domestic market, the greater tends to be the variety and quantity of domestic intermediate products available, reducing the necessity of importing them. On the other hand, the forward index tends to be higher due to the </w:t>
      </w:r>
      <w:r w:rsidR="003D2DD7" w:rsidRPr="0047178E">
        <w:rPr>
          <w:rFonts w:ascii="Times New Roman" w:hAnsi="Times New Roman" w:cs="Times New Roman"/>
          <w:spacing w:val="-4"/>
          <w:sz w:val="24"/>
          <w:szCs w:val="24"/>
          <w:lang w:val="en-US"/>
        </w:rPr>
        <w:t>larger</w:t>
      </w:r>
      <w:r w:rsidRPr="0047178E">
        <w:rPr>
          <w:rFonts w:ascii="Times New Roman" w:hAnsi="Times New Roman" w:cs="Times New Roman"/>
          <w:spacing w:val="-4"/>
          <w:sz w:val="24"/>
          <w:szCs w:val="24"/>
          <w:lang w:val="en-US"/>
        </w:rPr>
        <w:t xml:space="preserve"> amount of these products used in third parties’ exports.  </w:t>
      </w:r>
    </w:p>
    <w:p w14:paraId="4ECC2C45" w14:textId="77777777" w:rsidR="003D2DD7" w:rsidRPr="0047178E" w:rsidRDefault="003D2DD7" w:rsidP="0047178E">
      <w:pPr>
        <w:pStyle w:val="PargrafodaLista"/>
        <w:numPr>
          <w:ilvl w:val="0"/>
          <w:numId w:val="26"/>
        </w:numPr>
        <w:spacing w:after="0" w:line="240" w:lineRule="auto"/>
        <w:contextualSpacing/>
        <w:jc w:val="both"/>
        <w:rPr>
          <w:rFonts w:ascii="Times New Roman" w:hAnsi="Times New Roman" w:cs="Times New Roman"/>
          <w:sz w:val="24"/>
          <w:szCs w:val="24"/>
          <w:lang w:val="en-US"/>
        </w:rPr>
      </w:pPr>
      <w:r w:rsidRPr="0047178E">
        <w:rPr>
          <w:rFonts w:ascii="Times New Roman" w:hAnsi="Times New Roman" w:cs="Times New Roman"/>
          <w:b/>
          <w:bCs/>
          <w:spacing w:val="-4"/>
          <w:sz w:val="24"/>
          <w:szCs w:val="24"/>
          <w:lang w:val="en-US"/>
        </w:rPr>
        <w:t xml:space="preserve">Investments in research and development (R&amp;D) and intellectual property rights: </w:t>
      </w:r>
      <w:r w:rsidRPr="0047178E">
        <w:rPr>
          <w:rFonts w:ascii="Times New Roman" w:hAnsi="Times New Roman" w:cs="Times New Roman"/>
          <w:spacing w:val="-4"/>
          <w:sz w:val="24"/>
          <w:szCs w:val="24"/>
          <w:lang w:val="en-US"/>
        </w:rPr>
        <w:t>positive correlation with backward participation given that a particularly important driver for upgrading in GVCs is the investment in knowledge-based capital and the existence of intellectual property rights.</w:t>
      </w:r>
    </w:p>
    <w:p w14:paraId="09CB24E4" w14:textId="210D893B" w:rsidR="003D2DD7" w:rsidRPr="0047178E" w:rsidRDefault="005C3A41" w:rsidP="0047178E">
      <w:pPr>
        <w:pStyle w:val="PargrafodaLista"/>
        <w:numPr>
          <w:ilvl w:val="0"/>
          <w:numId w:val="26"/>
        </w:numPr>
        <w:autoSpaceDE w:val="0"/>
        <w:autoSpaceDN w:val="0"/>
        <w:adjustRightInd w:val="0"/>
        <w:spacing w:after="0" w:line="240" w:lineRule="auto"/>
        <w:contextualSpacing/>
        <w:jc w:val="both"/>
        <w:rPr>
          <w:rFonts w:ascii="Times New Roman" w:hAnsi="Times New Roman" w:cs="Times New Roman"/>
          <w:spacing w:val="-4"/>
          <w:sz w:val="24"/>
          <w:szCs w:val="24"/>
          <w:lang w:val="en-US"/>
        </w:rPr>
      </w:pPr>
      <w:r w:rsidRPr="0047178E">
        <w:rPr>
          <w:rFonts w:ascii="Times New Roman" w:hAnsi="Times New Roman" w:cs="Times New Roman"/>
          <w:b/>
          <w:sz w:val="24"/>
          <w:szCs w:val="24"/>
          <w:lang w:val="en-US"/>
        </w:rPr>
        <w:t>Reliability</w:t>
      </w:r>
      <w:r w:rsidR="003D2DD7" w:rsidRPr="0047178E">
        <w:rPr>
          <w:rFonts w:ascii="Times New Roman" w:hAnsi="Times New Roman" w:cs="Times New Roman"/>
          <w:b/>
          <w:sz w:val="24"/>
          <w:szCs w:val="24"/>
          <w:lang w:val="en-US"/>
        </w:rPr>
        <w:t xml:space="preserve"> of suppliers related to logistic and institutional quality</w:t>
      </w:r>
      <w:r w:rsidRPr="0047178E">
        <w:rPr>
          <w:rFonts w:ascii="Times New Roman" w:hAnsi="Times New Roman" w:cs="Times New Roman"/>
          <w:b/>
          <w:sz w:val="24"/>
          <w:szCs w:val="24"/>
          <w:lang w:val="en-US"/>
        </w:rPr>
        <w:t xml:space="preserve">: </w:t>
      </w:r>
      <w:r w:rsidR="003D2DD7" w:rsidRPr="0047178E">
        <w:rPr>
          <w:rFonts w:ascii="Times New Roman" w:hAnsi="Times New Roman" w:cs="Times New Roman"/>
          <w:spacing w:val="-4"/>
          <w:sz w:val="24"/>
          <w:szCs w:val="24"/>
          <w:lang w:val="en-US"/>
        </w:rPr>
        <w:t>positive correlation with backward participation. The explanation of Kowalski et al. (2015) for this evidence is that companies face risks when producing abroad, such as the possibility of delays in the delivery of components. Therefore, it is natural that such compan</w:t>
      </w:r>
      <w:r w:rsidR="00B84365" w:rsidRPr="0047178E">
        <w:rPr>
          <w:rFonts w:ascii="Times New Roman" w:hAnsi="Times New Roman" w:cs="Times New Roman"/>
          <w:spacing w:val="-4"/>
          <w:sz w:val="24"/>
          <w:szCs w:val="24"/>
          <w:lang w:val="en-US"/>
        </w:rPr>
        <w:t xml:space="preserve">ies seek trade partners with </w:t>
      </w:r>
      <w:r w:rsidR="003D2DD7" w:rsidRPr="0047178E">
        <w:rPr>
          <w:rFonts w:ascii="Times New Roman" w:hAnsi="Times New Roman" w:cs="Times New Roman"/>
          <w:spacing w:val="-4"/>
          <w:sz w:val="24"/>
          <w:szCs w:val="24"/>
          <w:lang w:val="en-US"/>
        </w:rPr>
        <w:t xml:space="preserve">adequate logistics infrastructure, for example in transport and </w:t>
      </w:r>
      <w:r w:rsidR="00B84365" w:rsidRPr="0047178E">
        <w:rPr>
          <w:rFonts w:ascii="Times New Roman" w:hAnsi="Times New Roman" w:cs="Times New Roman"/>
          <w:spacing w:val="-4"/>
          <w:sz w:val="24"/>
          <w:szCs w:val="24"/>
          <w:lang w:val="en-US"/>
        </w:rPr>
        <w:t xml:space="preserve">in </w:t>
      </w:r>
      <w:r w:rsidR="003D2DD7" w:rsidRPr="0047178E">
        <w:rPr>
          <w:rFonts w:ascii="Times New Roman" w:hAnsi="Times New Roman" w:cs="Times New Roman"/>
          <w:spacing w:val="-4"/>
          <w:sz w:val="24"/>
          <w:szCs w:val="24"/>
          <w:lang w:val="en-US"/>
        </w:rPr>
        <w:t>information and communication technologies (ICTs), in order to reduce logistic failures that may result in various costs related to stock maintenance, dep</w:t>
      </w:r>
      <w:r w:rsidRPr="0047178E">
        <w:rPr>
          <w:rFonts w:ascii="Times New Roman" w:hAnsi="Times New Roman" w:cs="Times New Roman"/>
          <w:spacing w:val="-4"/>
          <w:sz w:val="24"/>
          <w:szCs w:val="24"/>
          <w:lang w:val="en-US"/>
        </w:rPr>
        <w:t xml:space="preserve">reciation and others. </w:t>
      </w:r>
      <w:r w:rsidR="003D2DD7" w:rsidRPr="0047178E">
        <w:rPr>
          <w:rFonts w:ascii="Times New Roman" w:hAnsi="Times New Roman" w:cs="Times New Roman"/>
          <w:spacing w:val="-4"/>
          <w:sz w:val="24"/>
          <w:szCs w:val="24"/>
          <w:lang w:val="en-US"/>
        </w:rPr>
        <w:t>In addition</w:t>
      </w:r>
      <w:r w:rsidRPr="0047178E">
        <w:rPr>
          <w:rFonts w:ascii="Times New Roman" w:hAnsi="Times New Roman" w:cs="Times New Roman"/>
          <w:spacing w:val="-4"/>
          <w:sz w:val="24"/>
          <w:szCs w:val="24"/>
          <w:lang w:val="en-US"/>
        </w:rPr>
        <w:t xml:space="preserve">, reliability </w:t>
      </w:r>
      <w:r w:rsidR="003D2DD7" w:rsidRPr="0047178E">
        <w:rPr>
          <w:rFonts w:ascii="Times New Roman" w:hAnsi="Times New Roman" w:cs="Times New Roman"/>
          <w:spacing w:val="-4"/>
          <w:sz w:val="24"/>
          <w:szCs w:val="24"/>
          <w:lang w:val="en-US"/>
        </w:rPr>
        <w:t>refers to the credibility of the government and national companies when it comes to fulfilling their commitments and agreements and it is also linked to the political and macroeconomic stability of the nation.</w:t>
      </w:r>
    </w:p>
    <w:p w14:paraId="5152FFCA" w14:textId="77777777" w:rsidR="003D2DD7" w:rsidRPr="0047178E" w:rsidRDefault="003D2DD7" w:rsidP="0047178E">
      <w:pPr>
        <w:pStyle w:val="PargrafodaLista"/>
        <w:numPr>
          <w:ilvl w:val="0"/>
          <w:numId w:val="26"/>
        </w:numPr>
        <w:autoSpaceDE w:val="0"/>
        <w:autoSpaceDN w:val="0"/>
        <w:adjustRightInd w:val="0"/>
        <w:spacing w:after="0" w:line="240" w:lineRule="auto"/>
        <w:jc w:val="both"/>
        <w:rPr>
          <w:rFonts w:ascii="Times New Roman" w:hAnsi="Times New Roman" w:cs="Times New Roman"/>
          <w:spacing w:val="-4"/>
          <w:sz w:val="24"/>
          <w:szCs w:val="24"/>
          <w:lang w:val="en-US"/>
        </w:rPr>
      </w:pPr>
      <w:r w:rsidRPr="0047178E">
        <w:rPr>
          <w:rFonts w:ascii="Times New Roman" w:hAnsi="Times New Roman" w:cs="Times New Roman"/>
          <w:b/>
          <w:bCs/>
          <w:spacing w:val="-4"/>
          <w:sz w:val="24"/>
          <w:szCs w:val="24"/>
          <w:lang w:val="en-US"/>
        </w:rPr>
        <w:lastRenderedPageBreak/>
        <w:t>Inward foreign direct investment (FDI) openness:</w:t>
      </w:r>
      <w:r w:rsidRPr="0047178E">
        <w:rPr>
          <w:rFonts w:ascii="Times New Roman" w:hAnsi="Times New Roman" w:cs="Times New Roman"/>
          <w:spacing w:val="-4"/>
          <w:sz w:val="24"/>
          <w:szCs w:val="24"/>
          <w:lang w:val="en-US"/>
        </w:rPr>
        <w:t xml:space="preserve"> positive correlation with backward </w:t>
      </w:r>
      <w:r w:rsidRPr="0047178E">
        <w:rPr>
          <w:rFonts w:ascii="Times New Roman" w:hAnsi="Times New Roman" w:cs="Times New Roman"/>
          <w:iCs/>
          <w:spacing w:val="-4"/>
          <w:sz w:val="24"/>
          <w:szCs w:val="24"/>
          <w:lang w:val="en-US"/>
        </w:rPr>
        <w:t>participation</w:t>
      </w:r>
      <w:r w:rsidRPr="0047178E">
        <w:rPr>
          <w:rFonts w:ascii="Times New Roman" w:hAnsi="Times New Roman" w:cs="Times New Roman"/>
          <w:spacing w:val="-4"/>
          <w:sz w:val="24"/>
          <w:szCs w:val="24"/>
          <w:lang w:val="en-US"/>
        </w:rPr>
        <w:t>. Reason: many foreign multinationals establish subsidiaries in other countries to import intermediate products, process and then export them.</w:t>
      </w:r>
    </w:p>
    <w:p w14:paraId="782BD4BA" w14:textId="6DD738DD" w:rsidR="005C3A41" w:rsidRPr="0047178E" w:rsidRDefault="005C3A41" w:rsidP="0047178E">
      <w:pPr>
        <w:pStyle w:val="PargrafodaLista"/>
        <w:numPr>
          <w:ilvl w:val="0"/>
          <w:numId w:val="26"/>
        </w:numPr>
        <w:autoSpaceDE w:val="0"/>
        <w:autoSpaceDN w:val="0"/>
        <w:adjustRightInd w:val="0"/>
        <w:spacing w:after="0" w:line="240" w:lineRule="auto"/>
        <w:jc w:val="both"/>
        <w:rPr>
          <w:rFonts w:ascii="Times New Roman" w:hAnsi="Times New Roman" w:cs="Times New Roman"/>
          <w:spacing w:val="-4"/>
          <w:sz w:val="24"/>
          <w:szCs w:val="24"/>
          <w:lang w:val="en-US"/>
        </w:rPr>
      </w:pPr>
      <w:r w:rsidRPr="0047178E">
        <w:rPr>
          <w:rFonts w:ascii="Times New Roman" w:hAnsi="Times New Roman" w:cs="Times New Roman"/>
          <w:b/>
          <w:bCs/>
          <w:spacing w:val="-4"/>
          <w:sz w:val="24"/>
          <w:szCs w:val="24"/>
          <w:lang w:val="en-US"/>
        </w:rPr>
        <w:t>Preferential trade agreements (PTAs):</w:t>
      </w:r>
      <w:r w:rsidRPr="0047178E">
        <w:rPr>
          <w:rFonts w:ascii="Times New Roman" w:hAnsi="Times New Roman" w:cs="Times New Roman"/>
          <w:spacing w:val="-4"/>
          <w:sz w:val="24"/>
          <w:szCs w:val="24"/>
          <w:lang w:val="en-US"/>
        </w:rPr>
        <w:t xml:space="preserve"> positive correlation between the share of imports covered by PTAs and the </w:t>
      </w:r>
      <w:r w:rsidRPr="0047178E">
        <w:rPr>
          <w:rFonts w:ascii="Times New Roman" w:hAnsi="Times New Roman" w:cs="Times New Roman"/>
          <w:iCs/>
          <w:spacing w:val="-4"/>
          <w:sz w:val="24"/>
          <w:szCs w:val="24"/>
          <w:lang w:val="en-US"/>
        </w:rPr>
        <w:t>backward</w:t>
      </w:r>
      <w:r w:rsidRPr="0047178E">
        <w:rPr>
          <w:rFonts w:ascii="Times New Roman" w:hAnsi="Times New Roman" w:cs="Times New Roman"/>
          <w:spacing w:val="-4"/>
          <w:sz w:val="24"/>
          <w:szCs w:val="24"/>
          <w:lang w:val="en-US"/>
        </w:rPr>
        <w:t xml:space="preserve"> participation index. The number of PTAs has increased mainly due to difficulties faced in multilateral trade negotiations, represented by the deadlock of the Doha Round negotiations, and the need to update the rules of international trade. In this context, the new PTAs </w:t>
      </w:r>
      <w:r w:rsidRPr="0047178E">
        <w:rPr>
          <w:rFonts w:ascii="Times New Roman" w:hAnsi="Times New Roman" w:cs="Times New Roman"/>
          <w:noProof/>
          <w:spacing w:val="-4"/>
          <w:sz w:val="24"/>
          <w:szCs w:val="24"/>
          <w:lang w:val="en-US"/>
        </w:rPr>
        <w:t>are not limited</w:t>
      </w:r>
      <w:r w:rsidRPr="0047178E">
        <w:rPr>
          <w:rFonts w:ascii="Times New Roman" w:hAnsi="Times New Roman" w:cs="Times New Roman"/>
          <w:spacing w:val="-4"/>
          <w:sz w:val="24"/>
          <w:szCs w:val="24"/>
          <w:lang w:val="en-US"/>
        </w:rPr>
        <w:t xml:space="preserve"> to the scope of the World Trade Organization (WTO) agreements on market access through the reduction of tariff and non-tariff barriers to trade between the partners. Besides the elimination or reduction of tariffs, PTAs often incorporate and promote new topics, such as harmonization of technical norms and standards, intellectual property, the openness of the service sector and investment. This contributes to reducing costs of transactions and to eliminating antagonisms in the regulatory framework of the signatory countries, which could create obstacles to the international fragmentation of production.</w:t>
      </w:r>
    </w:p>
    <w:p w14:paraId="448CD66F" w14:textId="77777777" w:rsidR="005C3A41" w:rsidRPr="0047178E" w:rsidRDefault="005C3A41" w:rsidP="0047178E">
      <w:pPr>
        <w:pStyle w:val="PargrafodaLista"/>
        <w:numPr>
          <w:ilvl w:val="0"/>
          <w:numId w:val="26"/>
        </w:numPr>
        <w:spacing w:after="0" w:line="240" w:lineRule="auto"/>
        <w:contextualSpacing/>
        <w:jc w:val="both"/>
        <w:rPr>
          <w:rFonts w:ascii="Times New Roman" w:hAnsi="Times New Roman" w:cs="Times New Roman"/>
          <w:sz w:val="24"/>
          <w:szCs w:val="24"/>
          <w:lang w:val="en-US"/>
        </w:rPr>
      </w:pPr>
      <w:r w:rsidRPr="0047178E">
        <w:rPr>
          <w:rFonts w:ascii="Times New Roman" w:hAnsi="Times New Roman" w:cs="Times New Roman"/>
          <w:b/>
          <w:sz w:val="24"/>
          <w:szCs w:val="24"/>
          <w:lang w:val="en-US"/>
        </w:rPr>
        <w:t>Location</w:t>
      </w:r>
      <w:r w:rsidR="00B30C03" w:rsidRPr="0047178E">
        <w:rPr>
          <w:rFonts w:ascii="Times New Roman" w:hAnsi="Times New Roman" w:cs="Times New Roman"/>
          <w:b/>
          <w:sz w:val="24"/>
          <w:szCs w:val="24"/>
          <w:lang w:val="en-US"/>
        </w:rPr>
        <w:t>:</w:t>
      </w:r>
      <w:r w:rsidR="00B30C03" w:rsidRPr="0047178E">
        <w:rPr>
          <w:rFonts w:ascii="Times New Roman" w:hAnsi="Times New Roman" w:cs="Times New Roman"/>
          <w:sz w:val="24"/>
          <w:szCs w:val="24"/>
          <w:lang w:val="en-US"/>
        </w:rPr>
        <w:t xml:space="preserve"> </w:t>
      </w:r>
      <w:r w:rsidRPr="0047178E">
        <w:rPr>
          <w:rFonts w:ascii="Times New Roman" w:hAnsi="Times New Roman" w:cs="Times New Roman"/>
          <w:spacing w:val="-4"/>
          <w:sz w:val="24"/>
          <w:szCs w:val="24"/>
          <w:lang w:val="en-US"/>
        </w:rPr>
        <w:t xml:space="preserve">negative correlation between backward participation and distance to the closest manufacturing hubs. The reason is that GVC activity is usually organized around large manufacturing hubs, as large industrial economies tend to develop supply chains in their trade and investment relationships with neighboring countries. </w:t>
      </w:r>
    </w:p>
    <w:p w14:paraId="6A0B4BB2" w14:textId="77777777" w:rsidR="00B30C03" w:rsidRPr="0047178E" w:rsidRDefault="00B30C03" w:rsidP="0047178E">
      <w:pPr>
        <w:spacing w:after="0" w:line="240" w:lineRule="auto"/>
        <w:contextualSpacing/>
        <w:jc w:val="both"/>
        <w:rPr>
          <w:rFonts w:ascii="Times New Roman" w:hAnsi="Times New Roman" w:cs="Times New Roman"/>
          <w:sz w:val="24"/>
          <w:szCs w:val="24"/>
          <w:lang w:val="en-US"/>
        </w:rPr>
      </w:pPr>
    </w:p>
    <w:p w14:paraId="4E63D0AB" w14:textId="3BBC9FB9" w:rsidR="00B84365" w:rsidRPr="0047178E" w:rsidRDefault="004642C5" w:rsidP="0047178E">
      <w:pPr>
        <w:spacing w:after="0" w:line="240" w:lineRule="auto"/>
        <w:ind w:firstLine="360"/>
        <w:contextualSpacing/>
        <w:jc w:val="both"/>
        <w:rPr>
          <w:rFonts w:ascii="Times New Roman" w:hAnsi="Times New Roman" w:cs="Times New Roman"/>
          <w:spacing w:val="-4"/>
          <w:sz w:val="24"/>
          <w:szCs w:val="24"/>
          <w:lang w:val="en-US"/>
        </w:rPr>
      </w:pPr>
      <w:r w:rsidRPr="0047178E">
        <w:rPr>
          <w:rFonts w:ascii="Times New Roman" w:hAnsi="Times New Roman" w:cs="Times New Roman"/>
          <w:sz w:val="24"/>
          <w:szCs w:val="24"/>
          <w:lang w:val="en-US"/>
        </w:rPr>
        <w:t xml:space="preserve">After </w:t>
      </w:r>
      <w:r w:rsidR="00755B5A" w:rsidRPr="0047178E">
        <w:rPr>
          <w:rFonts w:ascii="Times New Roman" w:hAnsi="Times New Roman" w:cs="Times New Roman"/>
          <w:sz w:val="24"/>
          <w:szCs w:val="24"/>
          <w:lang w:val="en-US"/>
        </w:rPr>
        <w:t xml:space="preserve">pointing out </w:t>
      </w:r>
      <w:r w:rsidR="007E1C96" w:rsidRPr="0047178E">
        <w:rPr>
          <w:rFonts w:ascii="Times New Roman" w:hAnsi="Times New Roman" w:cs="Times New Roman"/>
          <w:sz w:val="24"/>
          <w:szCs w:val="24"/>
          <w:lang w:val="en-US"/>
        </w:rPr>
        <w:t>some</w:t>
      </w:r>
      <w:r w:rsidRPr="0047178E">
        <w:rPr>
          <w:rFonts w:ascii="Times New Roman" w:hAnsi="Times New Roman" w:cs="Times New Roman"/>
          <w:sz w:val="24"/>
          <w:szCs w:val="24"/>
          <w:lang w:val="en-US"/>
        </w:rPr>
        <w:t xml:space="preserve"> factors that have a significant impact on a count</w:t>
      </w:r>
      <w:r w:rsidR="00F572D5" w:rsidRPr="0047178E">
        <w:rPr>
          <w:rFonts w:ascii="Times New Roman" w:hAnsi="Times New Roman" w:cs="Times New Roman"/>
          <w:sz w:val="24"/>
          <w:szCs w:val="24"/>
          <w:lang w:val="en-US"/>
        </w:rPr>
        <w:t xml:space="preserve">ry's participation in GVCs, it is important </w:t>
      </w:r>
      <w:r w:rsidR="007E1C96" w:rsidRPr="0047178E">
        <w:rPr>
          <w:rFonts w:ascii="Times New Roman" w:hAnsi="Times New Roman" w:cs="Times New Roman"/>
          <w:sz w:val="24"/>
          <w:szCs w:val="24"/>
          <w:lang w:val="en-US"/>
        </w:rPr>
        <w:t xml:space="preserve">to consider </w:t>
      </w:r>
      <w:r w:rsidR="00755B5A" w:rsidRPr="0047178E">
        <w:rPr>
          <w:rFonts w:ascii="Times New Roman" w:hAnsi="Times New Roman" w:cs="Times New Roman"/>
          <w:sz w:val="24"/>
          <w:szCs w:val="24"/>
          <w:lang w:val="en-US"/>
        </w:rPr>
        <w:t xml:space="preserve">the </w:t>
      </w:r>
      <w:r w:rsidR="007E1C96" w:rsidRPr="0047178E">
        <w:rPr>
          <w:rFonts w:ascii="Times New Roman" w:hAnsi="Times New Roman" w:cs="Times New Roman"/>
          <w:sz w:val="24"/>
          <w:szCs w:val="24"/>
          <w:lang w:val="en-US"/>
        </w:rPr>
        <w:t xml:space="preserve">possible effects of </w:t>
      </w:r>
      <w:r w:rsidR="00F572D5" w:rsidRPr="0047178E">
        <w:rPr>
          <w:rFonts w:ascii="Times New Roman" w:hAnsi="Times New Roman" w:cs="Times New Roman"/>
          <w:sz w:val="24"/>
          <w:szCs w:val="24"/>
          <w:lang w:val="en-US"/>
        </w:rPr>
        <w:t>such participation</w:t>
      </w:r>
      <w:r w:rsidRPr="0047178E">
        <w:rPr>
          <w:rFonts w:ascii="Times New Roman" w:hAnsi="Times New Roman" w:cs="Times New Roman"/>
          <w:sz w:val="24"/>
          <w:szCs w:val="24"/>
          <w:lang w:val="en-US"/>
        </w:rPr>
        <w:t xml:space="preserve"> </w:t>
      </w:r>
      <w:r w:rsidR="007E1C96" w:rsidRPr="0047178E">
        <w:rPr>
          <w:rFonts w:ascii="Times New Roman" w:hAnsi="Times New Roman" w:cs="Times New Roman"/>
          <w:sz w:val="24"/>
          <w:szCs w:val="24"/>
          <w:lang w:val="en-US"/>
        </w:rPr>
        <w:t>on a</w:t>
      </w:r>
      <w:r w:rsidRPr="0047178E">
        <w:rPr>
          <w:rFonts w:ascii="Times New Roman" w:hAnsi="Times New Roman" w:cs="Times New Roman"/>
          <w:sz w:val="24"/>
          <w:szCs w:val="24"/>
          <w:lang w:val="en-US"/>
        </w:rPr>
        <w:t xml:space="preserve"> </w:t>
      </w:r>
      <w:r w:rsidR="00F572D5" w:rsidRPr="0047178E">
        <w:rPr>
          <w:rFonts w:ascii="Times New Roman" w:hAnsi="Times New Roman" w:cs="Times New Roman"/>
          <w:sz w:val="24"/>
          <w:szCs w:val="24"/>
          <w:lang w:val="en-US"/>
        </w:rPr>
        <w:t>country’s</w:t>
      </w:r>
      <w:r w:rsidRPr="0047178E">
        <w:rPr>
          <w:rFonts w:ascii="Times New Roman" w:hAnsi="Times New Roman" w:cs="Times New Roman"/>
          <w:sz w:val="24"/>
          <w:szCs w:val="24"/>
          <w:lang w:val="en-US"/>
        </w:rPr>
        <w:t xml:space="preserve"> economy</w:t>
      </w:r>
      <w:r w:rsidR="007E1C96" w:rsidRPr="0047178E">
        <w:rPr>
          <w:rFonts w:ascii="Times New Roman" w:hAnsi="Times New Roman" w:cs="Times New Roman"/>
          <w:sz w:val="24"/>
          <w:szCs w:val="24"/>
          <w:lang w:val="en-US"/>
        </w:rPr>
        <w:t>.</w:t>
      </w:r>
      <w:r w:rsidR="00B84365" w:rsidRPr="0047178E">
        <w:rPr>
          <w:rFonts w:ascii="Times New Roman" w:hAnsi="Times New Roman" w:cs="Times New Roman"/>
          <w:sz w:val="24"/>
          <w:szCs w:val="24"/>
          <w:lang w:val="en-US"/>
        </w:rPr>
        <w:t xml:space="preserve"> On the one hand, </w:t>
      </w:r>
      <w:r w:rsidR="00B84365" w:rsidRPr="0047178E">
        <w:rPr>
          <w:rFonts w:ascii="Times New Roman" w:hAnsi="Times New Roman" w:cs="Times New Roman"/>
          <w:spacing w:val="-4"/>
          <w:sz w:val="24"/>
          <w:szCs w:val="24"/>
          <w:lang w:val="en-US"/>
        </w:rPr>
        <w:t>insertion into GVCs is considered one factor of high potential impact on the development of small nations, due to their limited internal markets, which imply lesser conditions for the diversification of input production internally. In larger economies, on the other hand, the relative importance of GV</w:t>
      </w:r>
      <w:r w:rsidR="007E7F5D" w:rsidRPr="0047178E">
        <w:rPr>
          <w:rFonts w:ascii="Times New Roman" w:hAnsi="Times New Roman" w:cs="Times New Roman"/>
          <w:spacing w:val="-4"/>
          <w:sz w:val="24"/>
          <w:szCs w:val="24"/>
          <w:lang w:val="en-US"/>
        </w:rPr>
        <w:t>C</w:t>
      </w:r>
      <w:r w:rsidR="00B84365" w:rsidRPr="0047178E">
        <w:rPr>
          <w:rFonts w:ascii="Times New Roman" w:hAnsi="Times New Roman" w:cs="Times New Roman"/>
          <w:spacing w:val="-4"/>
          <w:sz w:val="24"/>
          <w:szCs w:val="24"/>
          <w:lang w:val="en-US"/>
        </w:rPr>
        <w:t xml:space="preserve"> participation to economic development is smaller. This is because an internal market of significant dimensions, as well as making possible a greater variety and quantity of domestically produced intermediate goods, also allows for the use of more restrictive commercial and industrial protectionist policies whic</w:t>
      </w:r>
      <w:r w:rsidR="00C849BF" w:rsidRPr="0047178E">
        <w:rPr>
          <w:rFonts w:ascii="Times New Roman" w:hAnsi="Times New Roman" w:cs="Times New Roman"/>
          <w:spacing w:val="-4"/>
          <w:sz w:val="24"/>
          <w:szCs w:val="24"/>
          <w:lang w:val="en-US"/>
        </w:rPr>
        <w:t>h are u</w:t>
      </w:r>
      <w:r w:rsidR="00B84365" w:rsidRPr="0047178E">
        <w:rPr>
          <w:rFonts w:ascii="Times New Roman" w:hAnsi="Times New Roman" w:cs="Times New Roman"/>
          <w:spacing w:val="-4"/>
          <w:sz w:val="24"/>
          <w:szCs w:val="24"/>
          <w:lang w:val="en-US"/>
        </w:rPr>
        <w:t xml:space="preserve">nviable in smaller economies, such as local content policies (Gereffi, 2014). </w:t>
      </w:r>
    </w:p>
    <w:p w14:paraId="66490443" w14:textId="77777777" w:rsidR="00B84365" w:rsidRPr="0047178E" w:rsidRDefault="00B84365"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A second important consideration is that GVC participation implies certain risks, such as that (I) nations which participate in the initial stages of these chains may never develop the autonomy and capacity necessary to create and commercialize goods and services led by their own companies; (II) involvement in low value added activities may lock companies and national industries in non-lucrative and intellectually restricted segments; and (III) the greatest profits from the final product in transnational chains are concentrated among the leading companies, which control, for example, the brand and conceptualization of the product (Humphrey, 2004).</w:t>
      </w:r>
    </w:p>
    <w:p w14:paraId="1A357DDF" w14:textId="77777777" w:rsidR="00B84365" w:rsidRPr="0047178E" w:rsidRDefault="00B84365"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With these considerations in mind, it is argued that, although GVC participation is no panacea for development (Gereffi, 2014), especially for nations with diversified internal markets, discussion of a nation’s integration into these chains is of great importance. This is due to the opportunity that such integration generates for the diversification of trade and, consequently, for job creation and productivity gains resulting from learning, technology transfer and knowledge diffusion. These gains arise from the fact that, as GVC transactions and investments are normally accompanied by quality control systems and predominant global business standards, nations which participate in these chains have the opportunity to acquire new competencies and skills (Sturgeon, Gereffi, Guinn and Zylberberg, 2013). These improvements in productive processes, in turn, may extend to other companies and sectors, not only exporters.</w:t>
      </w:r>
    </w:p>
    <w:p w14:paraId="112A8D56" w14:textId="72644B79" w:rsidR="005E1E17" w:rsidRPr="0047178E" w:rsidRDefault="00B84365"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In fact, a study by the OECD, WTO and UNCTAD (2013) revealed a positive correlation between the GVC participation of developing nations and their GD</w:t>
      </w:r>
      <w:r w:rsidR="007E7F5D" w:rsidRPr="0047178E">
        <w:rPr>
          <w:rFonts w:ascii="Times New Roman" w:hAnsi="Times New Roman" w:cs="Times New Roman"/>
          <w:spacing w:val="-4"/>
          <w:sz w:val="24"/>
          <w:szCs w:val="24"/>
          <w:lang w:val="en-US"/>
        </w:rPr>
        <w:t>P</w:t>
      </w:r>
      <w:r w:rsidRPr="0047178E">
        <w:rPr>
          <w:rFonts w:ascii="Times New Roman" w:hAnsi="Times New Roman" w:cs="Times New Roman"/>
          <w:spacing w:val="-4"/>
          <w:sz w:val="24"/>
          <w:szCs w:val="24"/>
          <w:lang w:val="en-US"/>
        </w:rPr>
        <w:t xml:space="preserve"> growth per capita: considering a 20-year period (from 1990 to 2010), economies with faster growth in GVC participation (top quartile of GVC participation growth) had a</w:t>
      </w:r>
      <w:r w:rsidR="004D6D18" w:rsidRPr="0047178E">
        <w:rPr>
          <w:rFonts w:ascii="Times New Roman" w:hAnsi="Times New Roman" w:cs="Times New Roman"/>
          <w:spacing w:val="-4"/>
          <w:sz w:val="24"/>
          <w:szCs w:val="24"/>
          <w:lang w:val="en-US"/>
        </w:rPr>
        <w:t>n</w:t>
      </w:r>
      <w:r w:rsidRPr="0047178E">
        <w:rPr>
          <w:rFonts w:ascii="Times New Roman" w:hAnsi="Times New Roman" w:cs="Times New Roman"/>
          <w:spacing w:val="-4"/>
          <w:sz w:val="24"/>
          <w:szCs w:val="24"/>
          <w:lang w:val="en-US"/>
        </w:rPr>
        <w:t xml:space="preserve"> </w:t>
      </w:r>
      <w:r w:rsidR="004D6D18" w:rsidRPr="0047178E">
        <w:rPr>
          <w:rFonts w:ascii="Times New Roman" w:hAnsi="Times New Roman" w:cs="Times New Roman"/>
          <w:spacing w:val="-4"/>
          <w:sz w:val="24"/>
          <w:szCs w:val="24"/>
          <w:lang w:val="en-US"/>
        </w:rPr>
        <w:t xml:space="preserve">annual </w:t>
      </w:r>
      <w:r w:rsidRPr="0047178E">
        <w:rPr>
          <w:rFonts w:ascii="Times New Roman" w:hAnsi="Times New Roman" w:cs="Times New Roman"/>
          <w:spacing w:val="-4"/>
          <w:sz w:val="24"/>
          <w:szCs w:val="24"/>
          <w:lang w:val="en-US"/>
        </w:rPr>
        <w:t>rate of GD</w:t>
      </w:r>
      <w:r w:rsidR="007E7F5D" w:rsidRPr="0047178E">
        <w:rPr>
          <w:rFonts w:ascii="Times New Roman" w:hAnsi="Times New Roman" w:cs="Times New Roman"/>
          <w:spacing w:val="-4"/>
          <w:sz w:val="24"/>
          <w:szCs w:val="24"/>
          <w:lang w:val="en-US"/>
        </w:rPr>
        <w:t>P</w:t>
      </w:r>
      <w:r w:rsidRPr="0047178E">
        <w:rPr>
          <w:rFonts w:ascii="Times New Roman" w:hAnsi="Times New Roman" w:cs="Times New Roman"/>
          <w:spacing w:val="-4"/>
          <w:sz w:val="24"/>
          <w:szCs w:val="24"/>
          <w:lang w:val="en-US"/>
        </w:rPr>
        <w:t xml:space="preserve"> per capita growth approximately 2.5 percentage points greater than economies in the lowest quartile.  </w:t>
      </w:r>
    </w:p>
    <w:p w14:paraId="287CCDFF" w14:textId="492CE952" w:rsidR="004D6D18" w:rsidRDefault="004D6D18"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p>
    <w:p w14:paraId="5AFFD0CB" w14:textId="3E459451" w:rsidR="005C54ED" w:rsidRDefault="005C54ED"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p>
    <w:p w14:paraId="0E57BDAD" w14:textId="51BB1B4D" w:rsidR="005C54ED" w:rsidRDefault="005C54ED"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p>
    <w:p w14:paraId="12132E18" w14:textId="77777777" w:rsidR="005C54ED" w:rsidRPr="0047178E" w:rsidRDefault="005C54ED"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p>
    <w:p w14:paraId="56F77A7D" w14:textId="6C38B338" w:rsidR="000922A6" w:rsidRPr="0047178E" w:rsidRDefault="00C849BF" w:rsidP="0047178E">
      <w:pPr>
        <w:pStyle w:val="PargrafodaLista"/>
        <w:numPr>
          <w:ilvl w:val="0"/>
          <w:numId w:val="30"/>
        </w:numPr>
        <w:spacing w:after="0" w:line="240" w:lineRule="auto"/>
        <w:jc w:val="both"/>
        <w:rPr>
          <w:rFonts w:ascii="Times New Roman" w:hAnsi="Times New Roman" w:cs="Times New Roman"/>
          <w:b/>
          <w:bCs/>
          <w:sz w:val="24"/>
          <w:szCs w:val="24"/>
          <w:lang w:val="en-US"/>
        </w:rPr>
      </w:pPr>
      <w:r w:rsidRPr="0047178E">
        <w:rPr>
          <w:rFonts w:ascii="Times New Roman" w:hAnsi="Times New Roman" w:cs="Times New Roman"/>
          <w:b/>
          <w:bCs/>
          <w:sz w:val="24"/>
          <w:szCs w:val="24"/>
          <w:lang w:val="en-US"/>
        </w:rPr>
        <w:lastRenderedPageBreak/>
        <w:t xml:space="preserve">BRAZIL </w:t>
      </w:r>
      <w:r w:rsidR="004642C5" w:rsidRPr="0047178E">
        <w:rPr>
          <w:rFonts w:ascii="Times New Roman" w:hAnsi="Times New Roman" w:cs="Times New Roman"/>
          <w:b/>
          <w:bCs/>
          <w:sz w:val="24"/>
          <w:szCs w:val="24"/>
          <w:lang w:val="en-US"/>
        </w:rPr>
        <w:t xml:space="preserve">IN GVCs: </w:t>
      </w:r>
      <w:r w:rsidR="007E7F5D" w:rsidRPr="0047178E">
        <w:rPr>
          <w:rFonts w:ascii="Times New Roman" w:hAnsi="Times New Roman" w:cs="Times New Roman"/>
          <w:b/>
          <w:bCs/>
          <w:sz w:val="24"/>
          <w:szCs w:val="24"/>
          <w:lang w:val="en-US"/>
        </w:rPr>
        <w:t xml:space="preserve">SOME </w:t>
      </w:r>
      <w:r w:rsidRPr="0047178E">
        <w:rPr>
          <w:rFonts w:ascii="Times New Roman" w:hAnsi="Times New Roman" w:cs="Times New Roman"/>
          <w:b/>
          <w:bCs/>
          <w:sz w:val="24"/>
          <w:szCs w:val="24"/>
          <w:lang w:val="en-US"/>
        </w:rPr>
        <w:t>RELEVANT</w:t>
      </w:r>
      <w:r w:rsidR="004642C5" w:rsidRPr="0047178E">
        <w:rPr>
          <w:rFonts w:ascii="Times New Roman" w:hAnsi="Times New Roman" w:cs="Times New Roman"/>
          <w:b/>
          <w:bCs/>
          <w:sz w:val="24"/>
          <w:szCs w:val="24"/>
          <w:lang w:val="en-US"/>
        </w:rPr>
        <w:t xml:space="preserve"> INDICATORS</w:t>
      </w:r>
    </w:p>
    <w:p w14:paraId="6F22F8DB" w14:textId="5DD674DF" w:rsidR="004D6D18" w:rsidRPr="0047178E" w:rsidRDefault="004D6D18" w:rsidP="0047178E">
      <w:pPr>
        <w:autoSpaceDE w:val="0"/>
        <w:autoSpaceDN w:val="0"/>
        <w:adjustRightInd w:val="0"/>
        <w:spacing w:after="0" w:line="240" w:lineRule="auto"/>
        <w:ind w:firstLine="540"/>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In 2013, the WTO and OECD jointly launched the</w:t>
      </w:r>
      <w:r w:rsidR="00345E4F" w:rsidRPr="0047178E">
        <w:rPr>
          <w:rFonts w:ascii="Times New Roman" w:hAnsi="Times New Roman" w:cs="Times New Roman"/>
          <w:spacing w:val="-4"/>
          <w:sz w:val="24"/>
          <w:szCs w:val="24"/>
          <w:lang w:val="en-US"/>
        </w:rPr>
        <w:t xml:space="preserve"> TiVA</w:t>
      </w:r>
      <w:r w:rsidRPr="0047178E">
        <w:rPr>
          <w:rFonts w:ascii="Times New Roman" w:hAnsi="Times New Roman" w:cs="Times New Roman"/>
          <w:spacing w:val="-4"/>
          <w:sz w:val="24"/>
          <w:szCs w:val="24"/>
          <w:lang w:val="en-US"/>
        </w:rPr>
        <w:t xml:space="preserve"> (Trade in Value Added) Database, with </w:t>
      </w:r>
      <w:r w:rsidR="00345E4F" w:rsidRPr="0047178E">
        <w:rPr>
          <w:rFonts w:ascii="Times New Roman" w:hAnsi="Times New Roman" w:cs="Times New Roman"/>
          <w:spacing w:val="-4"/>
          <w:sz w:val="24"/>
          <w:szCs w:val="24"/>
          <w:lang w:val="en-US"/>
        </w:rPr>
        <w:t xml:space="preserve">backward and forward </w:t>
      </w:r>
      <w:r w:rsidRPr="0047178E">
        <w:rPr>
          <w:rFonts w:ascii="Times New Roman" w:hAnsi="Times New Roman" w:cs="Times New Roman"/>
          <w:spacing w:val="-4"/>
          <w:sz w:val="24"/>
          <w:szCs w:val="24"/>
          <w:lang w:val="en-US"/>
        </w:rPr>
        <w:t>participation index</w:t>
      </w:r>
      <w:r w:rsidR="00345E4F" w:rsidRPr="0047178E">
        <w:rPr>
          <w:rFonts w:ascii="Times New Roman" w:hAnsi="Times New Roman" w:cs="Times New Roman"/>
          <w:spacing w:val="-4"/>
          <w:sz w:val="24"/>
          <w:szCs w:val="24"/>
          <w:lang w:val="en-US"/>
        </w:rPr>
        <w:t xml:space="preserve">es, based on the indices calculated by </w:t>
      </w:r>
      <w:r w:rsidR="00345E4F" w:rsidRPr="0047178E">
        <w:rPr>
          <w:rFonts w:ascii="Times New Roman" w:hAnsi="Times New Roman" w:cs="Times New Roman"/>
          <w:sz w:val="24"/>
          <w:szCs w:val="24"/>
          <w:lang w:val="en-US"/>
        </w:rPr>
        <w:t xml:space="preserve">Koopman et al. (2010). </w:t>
      </w:r>
      <w:r w:rsidR="00345E4F" w:rsidRPr="0047178E">
        <w:rPr>
          <w:rFonts w:ascii="Times New Roman" w:hAnsi="Times New Roman" w:cs="Times New Roman"/>
          <w:spacing w:val="-4"/>
          <w:sz w:val="24"/>
          <w:szCs w:val="24"/>
          <w:lang w:val="en-US"/>
        </w:rPr>
        <w:t>The methodology used in this calcul</w:t>
      </w:r>
      <w:r w:rsidR="006959D5" w:rsidRPr="0047178E">
        <w:rPr>
          <w:rFonts w:ascii="Times New Roman" w:hAnsi="Times New Roman" w:cs="Times New Roman"/>
          <w:spacing w:val="-4"/>
          <w:sz w:val="24"/>
          <w:szCs w:val="24"/>
          <w:lang w:val="en-US"/>
        </w:rPr>
        <w:t>ation</w:t>
      </w:r>
      <w:r w:rsidR="00345E4F" w:rsidRPr="0047178E">
        <w:rPr>
          <w:rFonts w:ascii="Times New Roman" w:hAnsi="Times New Roman" w:cs="Times New Roman"/>
          <w:spacing w:val="-4"/>
          <w:sz w:val="24"/>
          <w:szCs w:val="24"/>
          <w:lang w:val="en-US"/>
        </w:rPr>
        <w:t xml:space="preserve"> consisted of decomposition of gross exports into value added shares by source country, resulting in the development of a matrix that enables to obtain (I) the contribution of foreign industries to exports (backward); and (II) the contribution of domestically produced intermediates to exports in third countries (forward). The general GVC participation index adds the backward and forward participation and is expressed as a share of gross exports. TiVA’s d</w:t>
      </w:r>
      <w:r w:rsidRPr="0047178E">
        <w:rPr>
          <w:rFonts w:ascii="Times New Roman" w:hAnsi="Times New Roman" w:cs="Times New Roman"/>
          <w:spacing w:val="-4"/>
          <w:sz w:val="24"/>
          <w:szCs w:val="24"/>
          <w:lang w:val="en-US"/>
        </w:rPr>
        <w:t>ata consolidation is still in progress and the latest year available is 2009.</w:t>
      </w:r>
    </w:p>
    <w:p w14:paraId="2BB1D588" w14:textId="77777777" w:rsidR="00785BAE" w:rsidRPr="0047178E" w:rsidRDefault="00345E4F" w:rsidP="0047178E">
      <w:pPr>
        <w:autoSpaceDE w:val="0"/>
        <w:autoSpaceDN w:val="0"/>
        <w:adjustRightInd w:val="0"/>
        <w:spacing w:after="0" w:line="240" w:lineRule="auto"/>
        <w:ind w:firstLine="540"/>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Figure 1 shows that Brazil is behind many developing countries (selected from the list of the 25 largest developing economies) when it comes to its participation in GVCs. </w:t>
      </w:r>
    </w:p>
    <w:p w14:paraId="60599281" w14:textId="77777777" w:rsidR="001B0093" w:rsidRPr="0047178E" w:rsidRDefault="001B0093" w:rsidP="0047178E">
      <w:pPr>
        <w:autoSpaceDE w:val="0"/>
        <w:autoSpaceDN w:val="0"/>
        <w:adjustRightInd w:val="0"/>
        <w:spacing w:after="0" w:line="240" w:lineRule="auto"/>
        <w:ind w:firstLine="540"/>
        <w:jc w:val="both"/>
        <w:rPr>
          <w:rFonts w:ascii="Times New Roman" w:hAnsi="Times New Roman" w:cs="Times New Roman"/>
          <w:spacing w:val="-4"/>
          <w:sz w:val="24"/>
          <w:szCs w:val="24"/>
          <w:lang w:val="en-US"/>
        </w:rPr>
      </w:pPr>
    </w:p>
    <w:p w14:paraId="67563F5E" w14:textId="77777777" w:rsidR="00B7530F" w:rsidRPr="0047178E" w:rsidRDefault="00785BAE" w:rsidP="0047178E">
      <w:pPr>
        <w:tabs>
          <w:tab w:val="left" w:pos="8789"/>
        </w:tabs>
        <w:autoSpaceDE w:val="0"/>
        <w:autoSpaceDN w:val="0"/>
        <w:adjustRightInd w:val="0"/>
        <w:spacing w:after="0" w:line="240" w:lineRule="auto"/>
        <w:ind w:right="140" w:firstLine="142"/>
        <w:jc w:val="center"/>
        <w:rPr>
          <w:rFonts w:ascii="Times New Roman" w:hAnsi="Times New Roman" w:cs="Times New Roman"/>
          <w:sz w:val="24"/>
          <w:szCs w:val="24"/>
          <w:lang w:val="en-US"/>
        </w:rPr>
      </w:pPr>
      <w:r w:rsidRPr="0047178E">
        <w:rPr>
          <w:rFonts w:ascii="Times New Roman" w:hAnsi="Times New Roman" w:cs="Times New Roman"/>
          <w:noProof/>
          <w:spacing w:val="-4"/>
          <w:sz w:val="24"/>
          <w:szCs w:val="24"/>
          <w:lang w:eastAsia="pt-BR"/>
        </w:rPr>
        <w:drawing>
          <wp:inline distT="0" distB="0" distL="0" distR="0" wp14:anchorId="0C437ADB" wp14:editId="6D6D2216">
            <wp:extent cx="5357506" cy="2924175"/>
            <wp:effectExtent l="0" t="0" r="1460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7D0F0D" w14:textId="3CBCC52C" w:rsidR="005C54ED" w:rsidRPr="0047178E" w:rsidRDefault="005C54ED" w:rsidP="0047178E">
      <w:pPr>
        <w:tabs>
          <w:tab w:val="left" w:pos="8789"/>
        </w:tabs>
        <w:autoSpaceDE w:val="0"/>
        <w:autoSpaceDN w:val="0"/>
        <w:adjustRightInd w:val="0"/>
        <w:spacing w:after="0" w:line="240" w:lineRule="auto"/>
        <w:ind w:right="140" w:firstLine="142"/>
        <w:jc w:val="center"/>
        <w:rPr>
          <w:rFonts w:ascii="Times New Roman" w:hAnsi="Times New Roman" w:cs="Times New Roman"/>
          <w:sz w:val="24"/>
          <w:szCs w:val="24"/>
          <w:lang w:val="en-US"/>
        </w:rPr>
      </w:pPr>
    </w:p>
    <w:p w14:paraId="090CD951" w14:textId="29B048B1" w:rsidR="00B7530F" w:rsidRPr="005C54ED" w:rsidRDefault="007253D0" w:rsidP="005C54ED">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The most critical point for determining </w:t>
      </w:r>
      <w:r w:rsidR="004642C5" w:rsidRPr="0047178E">
        <w:rPr>
          <w:rFonts w:ascii="Times New Roman" w:hAnsi="Times New Roman" w:cs="Times New Roman"/>
          <w:sz w:val="24"/>
          <w:szCs w:val="24"/>
          <w:lang w:val="en-US"/>
        </w:rPr>
        <w:t xml:space="preserve">Brazil's low participation in GVCs is </w:t>
      </w:r>
      <w:r w:rsidRPr="0047178E">
        <w:rPr>
          <w:rFonts w:ascii="Times New Roman" w:hAnsi="Times New Roman" w:cs="Times New Roman"/>
          <w:sz w:val="24"/>
          <w:szCs w:val="24"/>
          <w:lang w:val="en-US"/>
        </w:rPr>
        <w:t>the modest</w:t>
      </w:r>
      <w:r w:rsidR="004642C5" w:rsidRPr="0047178E">
        <w:rPr>
          <w:rFonts w:ascii="Times New Roman" w:hAnsi="Times New Roman" w:cs="Times New Roman"/>
          <w:sz w:val="24"/>
          <w:szCs w:val="24"/>
          <w:lang w:val="en-US"/>
        </w:rPr>
        <w:t xml:space="preserve"> use of fore</w:t>
      </w:r>
      <w:r w:rsidRPr="0047178E">
        <w:rPr>
          <w:rFonts w:ascii="Times New Roman" w:hAnsi="Times New Roman" w:cs="Times New Roman"/>
          <w:sz w:val="24"/>
          <w:szCs w:val="24"/>
          <w:lang w:val="en-US"/>
        </w:rPr>
        <w:t>ign inputs in exports (</w:t>
      </w:r>
      <w:r w:rsidR="004642C5" w:rsidRPr="0047178E">
        <w:rPr>
          <w:rFonts w:ascii="Times New Roman" w:hAnsi="Times New Roman" w:cs="Times New Roman"/>
          <w:sz w:val="24"/>
          <w:szCs w:val="24"/>
          <w:lang w:val="en-US"/>
        </w:rPr>
        <w:t xml:space="preserve">backward indicator, see Figure 2), </w:t>
      </w:r>
      <w:r w:rsidRPr="0047178E">
        <w:rPr>
          <w:rFonts w:ascii="Times New Roman" w:hAnsi="Times New Roman" w:cs="Times New Roman"/>
          <w:sz w:val="24"/>
          <w:szCs w:val="24"/>
          <w:lang w:val="en-US"/>
        </w:rPr>
        <w:t>suggesting that</w:t>
      </w:r>
      <w:r w:rsidR="004642C5" w:rsidRPr="0047178E">
        <w:rPr>
          <w:rFonts w:ascii="Times New Roman" w:hAnsi="Times New Roman" w:cs="Times New Roman"/>
          <w:sz w:val="24"/>
          <w:szCs w:val="24"/>
          <w:lang w:val="en-US"/>
        </w:rPr>
        <w:t xml:space="preserve"> impo</w:t>
      </w:r>
      <w:r w:rsidRPr="0047178E">
        <w:rPr>
          <w:rFonts w:ascii="Times New Roman" w:hAnsi="Times New Roman" w:cs="Times New Roman"/>
          <w:sz w:val="24"/>
          <w:szCs w:val="24"/>
          <w:lang w:val="en-US"/>
        </w:rPr>
        <w:t>rts are generally purchased for the domestic market</w:t>
      </w:r>
      <w:r w:rsidR="004642C5" w:rsidRPr="0047178E">
        <w:rPr>
          <w:rFonts w:ascii="Times New Roman" w:hAnsi="Times New Roman" w:cs="Times New Roman"/>
          <w:sz w:val="24"/>
          <w:szCs w:val="24"/>
          <w:lang w:val="en-US"/>
        </w:rPr>
        <w:t xml:space="preserve">, not to add value to exports. Brazilian </w:t>
      </w:r>
      <w:r w:rsidR="00A304CC" w:rsidRPr="0047178E">
        <w:rPr>
          <w:rFonts w:ascii="Times New Roman" w:hAnsi="Times New Roman" w:cs="Times New Roman"/>
          <w:sz w:val="24"/>
          <w:szCs w:val="24"/>
          <w:lang w:val="en-US"/>
        </w:rPr>
        <w:t xml:space="preserve">inputs used in third </w:t>
      </w:r>
      <w:r w:rsidR="00DA4000" w:rsidRPr="0047178E">
        <w:rPr>
          <w:rFonts w:ascii="Times New Roman" w:hAnsi="Times New Roman" w:cs="Times New Roman"/>
          <w:sz w:val="24"/>
          <w:szCs w:val="24"/>
          <w:lang w:val="en-US"/>
        </w:rPr>
        <w:t xml:space="preserve">countries’ </w:t>
      </w:r>
      <w:r w:rsidR="00A304CC" w:rsidRPr="0047178E">
        <w:rPr>
          <w:rFonts w:ascii="Times New Roman" w:hAnsi="Times New Roman" w:cs="Times New Roman"/>
          <w:sz w:val="24"/>
          <w:szCs w:val="24"/>
          <w:lang w:val="en-US"/>
        </w:rPr>
        <w:t xml:space="preserve">exports </w:t>
      </w:r>
      <w:r w:rsidR="004642C5" w:rsidRPr="0047178E">
        <w:rPr>
          <w:rFonts w:ascii="Times New Roman" w:hAnsi="Times New Roman" w:cs="Times New Roman"/>
          <w:sz w:val="24"/>
          <w:szCs w:val="24"/>
          <w:lang w:val="en-US"/>
        </w:rPr>
        <w:t>(forward participation, see Figure 3)</w:t>
      </w:r>
      <w:r w:rsidR="0011202E" w:rsidRPr="0047178E">
        <w:rPr>
          <w:rFonts w:ascii="Times New Roman" w:hAnsi="Times New Roman" w:cs="Times New Roman"/>
          <w:sz w:val="24"/>
          <w:szCs w:val="24"/>
          <w:lang w:val="en-US"/>
        </w:rPr>
        <w:t xml:space="preserve"> </w:t>
      </w:r>
      <w:r w:rsidR="00A304CC" w:rsidRPr="0047178E">
        <w:rPr>
          <w:rFonts w:ascii="Times New Roman" w:hAnsi="Times New Roman" w:cs="Times New Roman"/>
          <w:sz w:val="24"/>
          <w:szCs w:val="24"/>
          <w:lang w:val="en-US"/>
        </w:rPr>
        <w:t>is relatively high</w:t>
      </w:r>
      <w:r w:rsidR="0011202E" w:rsidRPr="0047178E">
        <w:rPr>
          <w:rFonts w:ascii="Times New Roman" w:hAnsi="Times New Roman" w:cs="Times New Roman"/>
          <w:sz w:val="24"/>
          <w:szCs w:val="24"/>
          <w:lang w:val="en-US"/>
        </w:rPr>
        <w:t>, but that</w:t>
      </w:r>
      <w:r w:rsidR="004642C5" w:rsidRPr="0047178E">
        <w:rPr>
          <w:rFonts w:ascii="Times New Roman" w:hAnsi="Times New Roman" w:cs="Times New Roman"/>
          <w:sz w:val="24"/>
          <w:szCs w:val="24"/>
          <w:lang w:val="en-US"/>
        </w:rPr>
        <w:t xml:space="preserve"> </w:t>
      </w:r>
      <w:r w:rsidR="0011202E" w:rsidRPr="0047178E">
        <w:rPr>
          <w:rFonts w:ascii="Times New Roman" w:hAnsi="Times New Roman" w:cs="Times New Roman"/>
          <w:sz w:val="24"/>
          <w:szCs w:val="24"/>
          <w:lang w:val="en-US"/>
        </w:rPr>
        <w:t>is mainly due to</w:t>
      </w:r>
      <w:r w:rsidR="004642C5" w:rsidRPr="0047178E">
        <w:rPr>
          <w:rFonts w:ascii="Times New Roman" w:hAnsi="Times New Roman" w:cs="Times New Roman"/>
          <w:sz w:val="24"/>
          <w:szCs w:val="24"/>
          <w:lang w:val="en-US"/>
        </w:rPr>
        <w:t xml:space="preserve"> </w:t>
      </w:r>
      <w:r w:rsidR="0011202E" w:rsidRPr="0047178E">
        <w:rPr>
          <w:rFonts w:ascii="Times New Roman" w:hAnsi="Times New Roman" w:cs="Times New Roman"/>
          <w:sz w:val="24"/>
          <w:szCs w:val="24"/>
          <w:lang w:val="en-US"/>
        </w:rPr>
        <w:t xml:space="preserve">the fact that </w:t>
      </w:r>
      <w:r w:rsidR="004642C5" w:rsidRPr="0047178E">
        <w:rPr>
          <w:rFonts w:ascii="Times New Roman" w:hAnsi="Times New Roman" w:cs="Times New Roman"/>
          <w:sz w:val="24"/>
          <w:szCs w:val="24"/>
          <w:lang w:val="en-US"/>
        </w:rPr>
        <w:t>Brazil e</w:t>
      </w:r>
      <w:r w:rsidR="00A304CC" w:rsidRPr="0047178E">
        <w:rPr>
          <w:rFonts w:ascii="Times New Roman" w:hAnsi="Times New Roman" w:cs="Times New Roman"/>
          <w:sz w:val="24"/>
          <w:szCs w:val="24"/>
          <w:lang w:val="en-US"/>
        </w:rPr>
        <w:t>xports basic goods that are subsequently</w:t>
      </w:r>
      <w:r w:rsidR="004642C5" w:rsidRPr="0047178E">
        <w:rPr>
          <w:rFonts w:ascii="Times New Roman" w:hAnsi="Times New Roman" w:cs="Times New Roman"/>
          <w:sz w:val="24"/>
          <w:szCs w:val="24"/>
          <w:lang w:val="en-US"/>
        </w:rPr>
        <w:t xml:space="preserve"> processed by other countries. </w:t>
      </w:r>
      <w:r w:rsidR="0011202E" w:rsidRPr="0047178E">
        <w:rPr>
          <w:rFonts w:ascii="Times New Roman" w:hAnsi="Times New Roman" w:cs="Times New Roman"/>
          <w:sz w:val="24"/>
          <w:szCs w:val="24"/>
          <w:lang w:val="en-US"/>
        </w:rPr>
        <w:t>T</w:t>
      </w:r>
      <w:r w:rsidR="004642C5" w:rsidRPr="0047178E">
        <w:rPr>
          <w:rFonts w:ascii="Times New Roman" w:hAnsi="Times New Roman" w:cs="Times New Roman"/>
          <w:sz w:val="24"/>
          <w:szCs w:val="24"/>
          <w:lang w:val="en-US"/>
        </w:rPr>
        <w:t>he focus on exporting commodities (</w:t>
      </w:r>
      <w:r w:rsidR="0011202E" w:rsidRPr="0047178E">
        <w:rPr>
          <w:rFonts w:ascii="Times New Roman" w:hAnsi="Times New Roman" w:cs="Times New Roman"/>
          <w:sz w:val="24"/>
          <w:szCs w:val="24"/>
          <w:lang w:val="en-US"/>
        </w:rPr>
        <w:t>as explained later</w:t>
      </w:r>
      <w:r w:rsidR="004642C5" w:rsidRPr="0047178E">
        <w:rPr>
          <w:rFonts w:ascii="Times New Roman" w:hAnsi="Times New Roman" w:cs="Times New Roman"/>
          <w:sz w:val="24"/>
          <w:szCs w:val="24"/>
          <w:lang w:val="en-US"/>
        </w:rPr>
        <w:t>)</w:t>
      </w:r>
      <w:r w:rsidR="00F3579B" w:rsidRPr="0047178E">
        <w:rPr>
          <w:rFonts w:ascii="Times New Roman" w:hAnsi="Times New Roman" w:cs="Times New Roman"/>
          <w:sz w:val="24"/>
          <w:szCs w:val="24"/>
          <w:lang w:val="en-US"/>
        </w:rPr>
        <w:t xml:space="preserve"> is accompanied</w:t>
      </w:r>
      <w:r w:rsidR="0011202E" w:rsidRPr="0047178E">
        <w:rPr>
          <w:rFonts w:ascii="Times New Roman" w:hAnsi="Times New Roman" w:cs="Times New Roman"/>
          <w:sz w:val="24"/>
          <w:szCs w:val="24"/>
          <w:lang w:val="en-US"/>
        </w:rPr>
        <w:t xml:space="preserve"> by the country’s</w:t>
      </w:r>
      <w:r w:rsidR="004642C5" w:rsidRPr="0047178E">
        <w:rPr>
          <w:rFonts w:ascii="Times New Roman" w:hAnsi="Times New Roman" w:cs="Times New Roman"/>
          <w:sz w:val="24"/>
          <w:szCs w:val="24"/>
          <w:lang w:val="en-US"/>
        </w:rPr>
        <w:t xml:space="preserve"> </w:t>
      </w:r>
      <w:r w:rsidR="0011202E" w:rsidRPr="0047178E">
        <w:rPr>
          <w:rFonts w:ascii="Times New Roman" w:hAnsi="Times New Roman" w:cs="Times New Roman"/>
          <w:sz w:val="24"/>
          <w:szCs w:val="24"/>
          <w:lang w:val="en-US"/>
        </w:rPr>
        <w:t xml:space="preserve">significant participation in the GVCs </w:t>
      </w:r>
      <w:r w:rsidR="004642C5" w:rsidRPr="0047178E">
        <w:rPr>
          <w:rFonts w:ascii="Times New Roman" w:hAnsi="Times New Roman" w:cs="Times New Roman"/>
          <w:sz w:val="24"/>
          <w:szCs w:val="24"/>
          <w:lang w:val="en-US"/>
        </w:rPr>
        <w:t xml:space="preserve">as a </w:t>
      </w:r>
      <w:r w:rsidR="0011202E" w:rsidRPr="0047178E">
        <w:rPr>
          <w:rFonts w:ascii="Times New Roman" w:hAnsi="Times New Roman" w:cs="Times New Roman"/>
          <w:sz w:val="24"/>
          <w:szCs w:val="24"/>
          <w:lang w:val="en-US"/>
        </w:rPr>
        <w:t xml:space="preserve">supplier of </w:t>
      </w:r>
      <w:r w:rsidR="004642C5" w:rsidRPr="0047178E">
        <w:rPr>
          <w:rFonts w:ascii="Times New Roman" w:hAnsi="Times New Roman" w:cs="Times New Roman"/>
          <w:sz w:val="24"/>
          <w:szCs w:val="24"/>
          <w:lang w:val="en-US"/>
        </w:rPr>
        <w:t>basic good</w:t>
      </w:r>
      <w:r w:rsidR="00F3579B" w:rsidRPr="0047178E">
        <w:rPr>
          <w:rFonts w:ascii="Times New Roman" w:hAnsi="Times New Roman" w:cs="Times New Roman"/>
          <w:sz w:val="24"/>
          <w:szCs w:val="24"/>
          <w:lang w:val="en-US"/>
        </w:rPr>
        <w:t>s</w:t>
      </w:r>
      <w:r w:rsidR="004642C5" w:rsidRPr="0047178E">
        <w:rPr>
          <w:rFonts w:ascii="Times New Roman" w:hAnsi="Times New Roman" w:cs="Times New Roman"/>
          <w:sz w:val="24"/>
          <w:szCs w:val="24"/>
          <w:lang w:val="en-US"/>
        </w:rPr>
        <w:t xml:space="preserve"> used in other countries</w:t>
      </w:r>
      <w:r w:rsidR="00DA4000" w:rsidRPr="0047178E">
        <w:rPr>
          <w:rFonts w:ascii="Times New Roman" w:hAnsi="Times New Roman" w:cs="Times New Roman"/>
          <w:sz w:val="24"/>
          <w:szCs w:val="24"/>
          <w:lang w:val="en-US"/>
        </w:rPr>
        <w:t>’</w:t>
      </w:r>
      <w:r w:rsidR="004642C5" w:rsidRPr="0047178E">
        <w:rPr>
          <w:rFonts w:ascii="Times New Roman" w:hAnsi="Times New Roman" w:cs="Times New Roman"/>
          <w:sz w:val="24"/>
          <w:szCs w:val="24"/>
          <w:lang w:val="en-US"/>
        </w:rPr>
        <w:t xml:space="preserve"> </w:t>
      </w:r>
      <w:r w:rsidR="00F3579B" w:rsidRPr="0047178E">
        <w:rPr>
          <w:rFonts w:ascii="Times New Roman" w:hAnsi="Times New Roman" w:cs="Times New Roman"/>
          <w:sz w:val="24"/>
          <w:szCs w:val="24"/>
          <w:lang w:val="en-US"/>
        </w:rPr>
        <w:t xml:space="preserve">productive chains. </w:t>
      </w:r>
    </w:p>
    <w:p w14:paraId="4CF9A53C" w14:textId="42D93A71" w:rsidR="00B7530F" w:rsidRDefault="001B0093" w:rsidP="0047178E">
      <w:pPr>
        <w:tabs>
          <w:tab w:val="left" w:pos="709"/>
        </w:tabs>
        <w:spacing w:after="0" w:line="240" w:lineRule="auto"/>
        <w:ind w:right="-35" w:firstLine="567"/>
        <w:jc w:val="center"/>
        <w:rPr>
          <w:rFonts w:ascii="Times New Roman" w:hAnsi="Times New Roman" w:cs="Times New Roman"/>
          <w:sz w:val="24"/>
          <w:szCs w:val="24"/>
          <w:lang w:val="en-US"/>
        </w:rPr>
      </w:pPr>
      <w:r w:rsidRPr="0047178E">
        <w:rPr>
          <w:rFonts w:ascii="Times New Roman" w:hAnsi="Times New Roman" w:cs="Times New Roman"/>
          <w:noProof/>
          <w:spacing w:val="-4"/>
          <w:sz w:val="24"/>
          <w:szCs w:val="24"/>
          <w:lang w:eastAsia="pt-BR"/>
        </w:rPr>
        <w:lastRenderedPageBreak/>
        <w:drawing>
          <wp:inline distT="0" distB="0" distL="0" distR="0" wp14:anchorId="32D877A9" wp14:editId="1D8B1CE8">
            <wp:extent cx="4587875" cy="2771775"/>
            <wp:effectExtent l="0" t="0" r="3175"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A3E41C" w14:textId="77777777" w:rsidR="005C54ED" w:rsidRPr="0047178E" w:rsidRDefault="005C54ED" w:rsidP="0047178E">
      <w:pPr>
        <w:tabs>
          <w:tab w:val="left" w:pos="709"/>
        </w:tabs>
        <w:spacing w:after="0" w:line="240" w:lineRule="auto"/>
        <w:ind w:right="-35" w:firstLine="567"/>
        <w:jc w:val="center"/>
        <w:rPr>
          <w:rFonts w:ascii="Times New Roman" w:hAnsi="Times New Roman" w:cs="Times New Roman"/>
          <w:sz w:val="24"/>
          <w:szCs w:val="24"/>
          <w:lang w:val="en-US"/>
        </w:rPr>
      </w:pPr>
    </w:p>
    <w:p w14:paraId="2044BA1A" w14:textId="77777777" w:rsidR="00B7530F" w:rsidRPr="0047178E" w:rsidRDefault="001B0093" w:rsidP="0047178E">
      <w:pPr>
        <w:spacing w:after="0" w:line="240" w:lineRule="auto"/>
        <w:ind w:right="-568" w:firstLine="142"/>
        <w:jc w:val="center"/>
        <w:rPr>
          <w:rFonts w:ascii="Times New Roman" w:hAnsi="Times New Roman" w:cs="Times New Roman"/>
          <w:sz w:val="24"/>
          <w:szCs w:val="24"/>
          <w:lang w:val="en-US"/>
        </w:rPr>
      </w:pPr>
      <w:r w:rsidRPr="0047178E">
        <w:rPr>
          <w:rFonts w:ascii="Times New Roman" w:hAnsi="Times New Roman" w:cs="Times New Roman"/>
          <w:noProof/>
          <w:spacing w:val="-4"/>
          <w:sz w:val="24"/>
          <w:szCs w:val="24"/>
          <w:lang w:eastAsia="pt-BR"/>
        </w:rPr>
        <w:drawing>
          <wp:inline distT="0" distB="0" distL="0" distR="0" wp14:anchorId="25C08B00" wp14:editId="028DD0C5">
            <wp:extent cx="4597610" cy="257175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A43FFB" w14:textId="77777777" w:rsidR="00902141" w:rsidRPr="0047178E" w:rsidRDefault="00902141" w:rsidP="0047178E">
      <w:pPr>
        <w:spacing w:after="0" w:line="240" w:lineRule="auto"/>
        <w:ind w:right="-568" w:firstLine="142"/>
        <w:jc w:val="center"/>
        <w:rPr>
          <w:rFonts w:ascii="Times New Roman" w:hAnsi="Times New Roman" w:cs="Times New Roman"/>
          <w:sz w:val="24"/>
          <w:szCs w:val="24"/>
          <w:lang w:val="en-US"/>
        </w:rPr>
      </w:pPr>
    </w:p>
    <w:p w14:paraId="43372D11" w14:textId="6CB27E1E" w:rsidR="005A10D8" w:rsidRPr="0047178E" w:rsidRDefault="005A10D8"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pacing w:val="-4"/>
          <w:sz w:val="24"/>
          <w:szCs w:val="24"/>
          <w:lang w:val="en-US"/>
        </w:rPr>
        <w:t>Figure 4 shows the index of foreign value added in exports of electric machinery and apparatus</w:t>
      </w:r>
      <w:r w:rsidRPr="0047178E">
        <w:rPr>
          <w:rFonts w:ascii="Times New Roman" w:hAnsi="Times New Roman" w:cs="Times New Roman"/>
          <w:sz w:val="24"/>
          <w:szCs w:val="24"/>
          <w:lang w:val="en-US"/>
        </w:rPr>
        <w:t xml:space="preserve">, </w:t>
      </w:r>
      <w:r w:rsidR="004642C5" w:rsidRPr="0047178E">
        <w:rPr>
          <w:rFonts w:ascii="Times New Roman" w:hAnsi="Times New Roman" w:cs="Times New Roman"/>
          <w:sz w:val="24"/>
          <w:szCs w:val="24"/>
          <w:lang w:val="en-US"/>
        </w:rPr>
        <w:t xml:space="preserve">an industry that usually consists of medium-high technology goods, </w:t>
      </w:r>
      <w:r w:rsidR="00D47F7E" w:rsidRPr="0047178E">
        <w:rPr>
          <w:rFonts w:ascii="Times New Roman" w:hAnsi="Times New Roman" w:cs="Times New Roman"/>
          <w:sz w:val="24"/>
          <w:szCs w:val="24"/>
          <w:lang w:val="en-US"/>
        </w:rPr>
        <w:t>in which</w:t>
      </w:r>
      <w:r w:rsidR="004642C5" w:rsidRPr="0047178E">
        <w:rPr>
          <w:rFonts w:ascii="Times New Roman" w:hAnsi="Times New Roman" w:cs="Times New Roman"/>
          <w:sz w:val="24"/>
          <w:szCs w:val="24"/>
          <w:lang w:val="en-US"/>
        </w:rPr>
        <w:t xml:space="preserve"> one would expect fairly high value</w:t>
      </w:r>
      <w:r w:rsidR="00BB6E03" w:rsidRPr="0047178E">
        <w:rPr>
          <w:rFonts w:ascii="Times New Roman" w:hAnsi="Times New Roman" w:cs="Times New Roman"/>
          <w:sz w:val="24"/>
          <w:szCs w:val="24"/>
          <w:lang w:val="en-US"/>
        </w:rPr>
        <w:t xml:space="preserve"> </w:t>
      </w:r>
      <w:r w:rsidR="008E48C8" w:rsidRPr="0047178E">
        <w:rPr>
          <w:rFonts w:ascii="Times New Roman" w:hAnsi="Times New Roman" w:cs="Times New Roman"/>
          <w:sz w:val="24"/>
          <w:szCs w:val="24"/>
          <w:lang w:val="en-US"/>
        </w:rPr>
        <w:t xml:space="preserve">added </w:t>
      </w:r>
      <w:r w:rsidR="00BB6E03" w:rsidRPr="0047178E">
        <w:rPr>
          <w:rFonts w:ascii="Times New Roman" w:hAnsi="Times New Roman" w:cs="Times New Roman"/>
          <w:sz w:val="24"/>
          <w:szCs w:val="24"/>
          <w:lang w:val="en-US"/>
        </w:rPr>
        <w:t>from foreign inputs in exports</w:t>
      </w:r>
      <w:r w:rsidR="00C37822" w:rsidRPr="0047178E">
        <w:rPr>
          <w:rFonts w:ascii="Times New Roman" w:hAnsi="Times New Roman" w:cs="Times New Roman"/>
          <w:sz w:val="24"/>
          <w:szCs w:val="24"/>
          <w:lang w:val="en-US"/>
        </w:rPr>
        <w:t xml:space="preserve"> since Brazil has average</w:t>
      </w:r>
      <w:r w:rsidR="004642C5" w:rsidRPr="0047178E">
        <w:rPr>
          <w:rFonts w:ascii="Times New Roman" w:hAnsi="Times New Roman" w:cs="Times New Roman"/>
          <w:sz w:val="24"/>
          <w:szCs w:val="24"/>
          <w:lang w:val="en-US"/>
        </w:rPr>
        <w:t xml:space="preserve"> levels of income and technological sophistication.</w:t>
      </w:r>
      <w:r w:rsidR="008303F4" w:rsidRPr="0047178E">
        <w:rPr>
          <w:rFonts w:ascii="Times New Roman" w:hAnsi="Times New Roman" w:cs="Times New Roman"/>
          <w:sz w:val="24"/>
          <w:szCs w:val="24"/>
          <w:lang w:val="en-US"/>
        </w:rPr>
        <w:t xml:space="preserve"> </w:t>
      </w:r>
      <w:r w:rsidRPr="0047178E">
        <w:rPr>
          <w:rFonts w:ascii="Times New Roman" w:hAnsi="Times New Roman" w:cs="Times New Roman"/>
          <w:spacing w:val="-4"/>
          <w:sz w:val="24"/>
          <w:szCs w:val="24"/>
          <w:lang w:val="en-US"/>
        </w:rPr>
        <w:t xml:space="preserve">The six largest indices correspond to countries with average levels of technological sophistication, </w:t>
      </w:r>
      <w:r w:rsidR="004642C5" w:rsidRPr="0047178E">
        <w:rPr>
          <w:rFonts w:ascii="Times New Roman" w:hAnsi="Times New Roman" w:cs="Times New Roman"/>
          <w:sz w:val="24"/>
          <w:szCs w:val="24"/>
          <w:lang w:val="en-US"/>
        </w:rPr>
        <w:t xml:space="preserve">while the three most </w:t>
      </w:r>
      <w:r w:rsidR="00BE5B26" w:rsidRPr="0047178E">
        <w:rPr>
          <w:rFonts w:ascii="Times New Roman" w:hAnsi="Times New Roman" w:cs="Times New Roman"/>
          <w:sz w:val="24"/>
          <w:szCs w:val="24"/>
          <w:lang w:val="en-US"/>
        </w:rPr>
        <w:t xml:space="preserve">technically </w:t>
      </w:r>
      <w:r w:rsidR="004642C5" w:rsidRPr="0047178E">
        <w:rPr>
          <w:rFonts w:ascii="Times New Roman" w:hAnsi="Times New Roman" w:cs="Times New Roman"/>
          <w:sz w:val="24"/>
          <w:szCs w:val="24"/>
          <w:lang w:val="en-US"/>
        </w:rPr>
        <w:t>advanced countries show relatively low in</w:t>
      </w:r>
      <w:r w:rsidR="00E622A6" w:rsidRPr="0047178E">
        <w:rPr>
          <w:rFonts w:ascii="Times New Roman" w:hAnsi="Times New Roman" w:cs="Times New Roman"/>
          <w:sz w:val="24"/>
          <w:szCs w:val="24"/>
          <w:lang w:val="en-US"/>
        </w:rPr>
        <w:t>d</w:t>
      </w:r>
      <w:r w:rsidR="00D47F7E" w:rsidRPr="0047178E">
        <w:rPr>
          <w:rFonts w:ascii="Times New Roman" w:hAnsi="Times New Roman" w:cs="Times New Roman"/>
          <w:sz w:val="24"/>
          <w:szCs w:val="24"/>
          <w:lang w:val="en-US"/>
        </w:rPr>
        <w:t>ice</w:t>
      </w:r>
      <w:r w:rsidR="00E622A6" w:rsidRPr="0047178E">
        <w:rPr>
          <w:rFonts w:ascii="Times New Roman" w:hAnsi="Times New Roman" w:cs="Times New Roman"/>
          <w:sz w:val="24"/>
          <w:szCs w:val="24"/>
          <w:lang w:val="en-US"/>
        </w:rPr>
        <w:t xml:space="preserve">s: Japan, the United States </w:t>
      </w:r>
      <w:r w:rsidR="004642C5" w:rsidRPr="0047178E">
        <w:rPr>
          <w:rFonts w:ascii="Times New Roman" w:hAnsi="Times New Roman" w:cs="Times New Roman"/>
          <w:sz w:val="24"/>
          <w:szCs w:val="24"/>
          <w:lang w:val="en-US"/>
        </w:rPr>
        <w:t xml:space="preserve">and Germany. Brazil scores last in </w:t>
      </w:r>
      <w:r w:rsidR="00D47F7E" w:rsidRPr="0047178E">
        <w:rPr>
          <w:rFonts w:ascii="Times New Roman" w:hAnsi="Times New Roman" w:cs="Times New Roman"/>
          <w:sz w:val="24"/>
          <w:szCs w:val="24"/>
          <w:lang w:val="en-US"/>
        </w:rPr>
        <w:t>Figure</w:t>
      </w:r>
      <w:r w:rsidR="004642C5" w:rsidRPr="0047178E">
        <w:rPr>
          <w:rFonts w:ascii="Times New Roman" w:hAnsi="Times New Roman" w:cs="Times New Roman"/>
          <w:sz w:val="24"/>
          <w:szCs w:val="24"/>
          <w:lang w:val="en-US"/>
        </w:rPr>
        <w:t xml:space="preserve"> 4</w:t>
      </w:r>
      <w:r w:rsidR="00BE5B26" w:rsidRPr="0047178E">
        <w:rPr>
          <w:rFonts w:ascii="Times New Roman" w:hAnsi="Times New Roman" w:cs="Times New Roman"/>
          <w:sz w:val="24"/>
          <w:szCs w:val="24"/>
          <w:lang w:val="en-US"/>
        </w:rPr>
        <w:t>,</w:t>
      </w:r>
      <w:r w:rsidR="004642C5" w:rsidRPr="0047178E">
        <w:rPr>
          <w:rFonts w:ascii="Times New Roman" w:hAnsi="Times New Roman" w:cs="Times New Roman"/>
          <w:sz w:val="24"/>
          <w:szCs w:val="24"/>
          <w:lang w:val="en-US"/>
        </w:rPr>
        <w:t xml:space="preserve"> right next to Japan, which suggests </w:t>
      </w:r>
      <w:r w:rsidR="00C37822" w:rsidRPr="0047178E">
        <w:rPr>
          <w:rFonts w:ascii="Times New Roman" w:hAnsi="Times New Roman" w:cs="Times New Roman"/>
          <w:sz w:val="24"/>
          <w:szCs w:val="24"/>
          <w:lang w:val="en-US"/>
        </w:rPr>
        <w:t xml:space="preserve">that </w:t>
      </w:r>
      <w:r w:rsidR="004129CE" w:rsidRPr="0047178E">
        <w:rPr>
          <w:rFonts w:ascii="Times New Roman" w:hAnsi="Times New Roman" w:cs="Times New Roman"/>
          <w:sz w:val="24"/>
          <w:szCs w:val="24"/>
          <w:lang w:val="en-US"/>
        </w:rPr>
        <w:t>both</w:t>
      </w:r>
      <w:r w:rsidR="004642C5" w:rsidRPr="0047178E">
        <w:rPr>
          <w:rFonts w:ascii="Times New Roman" w:hAnsi="Times New Roman" w:cs="Times New Roman"/>
          <w:sz w:val="24"/>
          <w:szCs w:val="24"/>
          <w:lang w:val="en-US"/>
        </w:rPr>
        <w:t xml:space="preserve"> countries have low backward partici</w:t>
      </w:r>
      <w:r w:rsidR="00C37822" w:rsidRPr="0047178E">
        <w:rPr>
          <w:rFonts w:ascii="Times New Roman" w:hAnsi="Times New Roman" w:cs="Times New Roman"/>
          <w:sz w:val="24"/>
          <w:szCs w:val="24"/>
          <w:lang w:val="en-US"/>
        </w:rPr>
        <w:t>pation in GVCs and high density in national productive</w:t>
      </w:r>
      <w:r w:rsidR="004642C5" w:rsidRPr="0047178E">
        <w:rPr>
          <w:rFonts w:ascii="Times New Roman" w:hAnsi="Times New Roman" w:cs="Times New Roman"/>
          <w:sz w:val="24"/>
          <w:szCs w:val="24"/>
          <w:lang w:val="en-US"/>
        </w:rPr>
        <w:t xml:space="preserve"> chains in this sector. Nonetheless, contrary to Japan, Brazil cannot rely on </w:t>
      </w:r>
      <w:r w:rsidR="00C37822" w:rsidRPr="0047178E">
        <w:rPr>
          <w:rFonts w:ascii="Times New Roman" w:hAnsi="Times New Roman" w:cs="Times New Roman"/>
          <w:sz w:val="24"/>
          <w:szCs w:val="24"/>
          <w:lang w:val="en-US"/>
        </w:rPr>
        <w:t>a</w:t>
      </w:r>
      <w:r w:rsidR="004642C5" w:rsidRPr="0047178E">
        <w:rPr>
          <w:rFonts w:ascii="Times New Roman" w:hAnsi="Times New Roman" w:cs="Times New Roman"/>
          <w:sz w:val="24"/>
          <w:szCs w:val="24"/>
          <w:lang w:val="en-US"/>
        </w:rPr>
        <w:t xml:space="preserve"> developed high-tech</w:t>
      </w:r>
      <w:r w:rsidR="004129CE" w:rsidRPr="0047178E">
        <w:rPr>
          <w:rFonts w:ascii="Times New Roman" w:hAnsi="Times New Roman" w:cs="Times New Roman"/>
          <w:sz w:val="24"/>
          <w:szCs w:val="24"/>
          <w:lang w:val="en-US"/>
        </w:rPr>
        <w:t>nology</w:t>
      </w:r>
      <w:r w:rsidR="006959D5" w:rsidRPr="0047178E">
        <w:rPr>
          <w:rFonts w:ascii="Times New Roman" w:hAnsi="Times New Roman" w:cs="Times New Roman"/>
          <w:sz w:val="24"/>
          <w:szCs w:val="24"/>
          <w:lang w:val="en-US"/>
        </w:rPr>
        <w:t xml:space="preserve"> industrial sector. Therefore, </w:t>
      </w:r>
      <w:r w:rsidR="00D47F7E" w:rsidRPr="0047178E">
        <w:rPr>
          <w:rFonts w:ascii="Times New Roman" w:hAnsi="Times New Roman" w:cs="Times New Roman"/>
          <w:sz w:val="24"/>
          <w:szCs w:val="24"/>
          <w:lang w:val="en-US"/>
        </w:rPr>
        <w:t xml:space="preserve">high foreign value added in the production of medium and </w:t>
      </w:r>
      <w:r w:rsidR="004642C5" w:rsidRPr="0047178E">
        <w:rPr>
          <w:rFonts w:ascii="Times New Roman" w:hAnsi="Times New Roman" w:cs="Times New Roman"/>
          <w:sz w:val="24"/>
          <w:szCs w:val="24"/>
          <w:lang w:val="en-US"/>
        </w:rPr>
        <w:t>high technology goods becomes paramount to be competitive in exports.</w:t>
      </w:r>
    </w:p>
    <w:p w14:paraId="36C8B773" w14:textId="77777777" w:rsidR="00A23FAF" w:rsidRPr="0047178E" w:rsidRDefault="00A23FAF" w:rsidP="0047178E">
      <w:pPr>
        <w:pStyle w:val="PargrafodaLista"/>
        <w:spacing w:after="0" w:line="240" w:lineRule="auto"/>
        <w:ind w:left="0" w:firstLine="567"/>
        <w:jc w:val="both"/>
        <w:rPr>
          <w:rFonts w:ascii="Times New Roman" w:hAnsi="Times New Roman" w:cs="Times New Roman"/>
          <w:sz w:val="24"/>
          <w:szCs w:val="24"/>
          <w:lang w:val="en-US"/>
        </w:rPr>
      </w:pPr>
    </w:p>
    <w:p w14:paraId="4D327B30" w14:textId="77777777" w:rsidR="00902141" w:rsidRPr="0047178E" w:rsidRDefault="00A23FAF"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noProof/>
          <w:spacing w:val="-4"/>
          <w:sz w:val="24"/>
          <w:szCs w:val="24"/>
          <w:lang w:eastAsia="pt-BR"/>
        </w:rPr>
        <w:lastRenderedPageBreak/>
        <w:drawing>
          <wp:inline distT="0" distB="0" distL="0" distR="0" wp14:anchorId="524DD627" wp14:editId="707CC793">
            <wp:extent cx="5622925" cy="2943225"/>
            <wp:effectExtent l="0" t="0" r="15875" b="952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ACB40F" w14:textId="77777777" w:rsidR="004242EA" w:rsidRPr="0047178E" w:rsidRDefault="004242EA" w:rsidP="0047178E">
      <w:pPr>
        <w:pStyle w:val="PargrafodaLista"/>
        <w:spacing w:after="0" w:line="240" w:lineRule="auto"/>
        <w:ind w:left="0" w:firstLine="567"/>
        <w:jc w:val="both"/>
        <w:rPr>
          <w:rFonts w:ascii="Times New Roman" w:hAnsi="Times New Roman" w:cs="Times New Roman"/>
          <w:sz w:val="24"/>
          <w:szCs w:val="24"/>
          <w:lang w:val="en-US"/>
        </w:rPr>
      </w:pPr>
    </w:p>
    <w:p w14:paraId="10847234" w14:textId="6549D248" w:rsidR="00B7530F"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According to TiV</w:t>
      </w:r>
      <w:r w:rsidR="002A2B5A" w:rsidRPr="0047178E">
        <w:rPr>
          <w:rFonts w:ascii="Times New Roman" w:hAnsi="Times New Roman" w:cs="Times New Roman"/>
          <w:sz w:val="24"/>
          <w:szCs w:val="24"/>
          <w:lang w:val="en-US"/>
        </w:rPr>
        <w:t>A</w:t>
      </w:r>
      <w:r w:rsidRPr="0047178E">
        <w:rPr>
          <w:rFonts w:ascii="Times New Roman" w:hAnsi="Times New Roman" w:cs="Times New Roman"/>
          <w:sz w:val="24"/>
          <w:szCs w:val="24"/>
          <w:lang w:val="en-US"/>
        </w:rPr>
        <w:t xml:space="preserve">, basic </w:t>
      </w:r>
      <w:r w:rsidR="00C37822" w:rsidRPr="0047178E">
        <w:rPr>
          <w:rFonts w:ascii="Times New Roman" w:hAnsi="Times New Roman" w:cs="Times New Roman"/>
          <w:sz w:val="24"/>
          <w:szCs w:val="24"/>
          <w:lang w:val="en-US"/>
        </w:rPr>
        <w:t>products</w:t>
      </w:r>
      <w:r w:rsidRPr="0047178E">
        <w:rPr>
          <w:rFonts w:ascii="Times New Roman" w:hAnsi="Times New Roman" w:cs="Times New Roman"/>
          <w:sz w:val="24"/>
          <w:szCs w:val="24"/>
          <w:lang w:val="en-US"/>
        </w:rPr>
        <w:t xml:space="preserve"> </w:t>
      </w:r>
      <w:r w:rsidR="004242EA" w:rsidRPr="0047178E">
        <w:rPr>
          <w:rFonts w:ascii="Times New Roman" w:hAnsi="Times New Roman" w:cs="Times New Roman"/>
          <w:sz w:val="24"/>
          <w:szCs w:val="24"/>
          <w:lang w:val="en-US"/>
        </w:rPr>
        <w:t xml:space="preserve">concentrate </w:t>
      </w:r>
      <w:r w:rsidRPr="0047178E">
        <w:rPr>
          <w:rFonts w:ascii="Times New Roman" w:hAnsi="Times New Roman" w:cs="Times New Roman"/>
          <w:sz w:val="24"/>
          <w:szCs w:val="24"/>
          <w:lang w:val="en-US"/>
        </w:rPr>
        <w:t xml:space="preserve">the </w:t>
      </w:r>
      <w:r w:rsidR="00BE5B26" w:rsidRPr="0047178E">
        <w:rPr>
          <w:rFonts w:ascii="Times New Roman" w:hAnsi="Times New Roman" w:cs="Times New Roman"/>
          <w:sz w:val="24"/>
          <w:szCs w:val="24"/>
          <w:lang w:val="en-US"/>
        </w:rPr>
        <w:t>largest</w:t>
      </w:r>
      <w:r w:rsidRPr="0047178E">
        <w:rPr>
          <w:rFonts w:ascii="Times New Roman" w:hAnsi="Times New Roman" w:cs="Times New Roman"/>
          <w:sz w:val="24"/>
          <w:szCs w:val="24"/>
          <w:lang w:val="en-US"/>
        </w:rPr>
        <w:t xml:space="preserve"> share of intermediate goods that are imported and </w:t>
      </w:r>
      <w:r w:rsidR="004242EA" w:rsidRPr="0047178E">
        <w:rPr>
          <w:rFonts w:ascii="Times New Roman" w:hAnsi="Times New Roman" w:cs="Times New Roman"/>
          <w:sz w:val="24"/>
          <w:szCs w:val="24"/>
          <w:lang w:val="en-US"/>
        </w:rPr>
        <w:t>re-exported by Brazil,</w:t>
      </w:r>
      <w:r w:rsidRPr="0047178E">
        <w:rPr>
          <w:rFonts w:ascii="Times New Roman" w:hAnsi="Times New Roman" w:cs="Times New Roman"/>
          <w:sz w:val="24"/>
          <w:szCs w:val="24"/>
          <w:lang w:val="en-US"/>
        </w:rPr>
        <w:t xml:space="preserve"> </w:t>
      </w:r>
      <w:r w:rsidR="004242EA" w:rsidRPr="0047178E">
        <w:rPr>
          <w:rFonts w:ascii="Times New Roman" w:hAnsi="Times New Roman" w:cs="Times New Roman"/>
          <w:sz w:val="24"/>
          <w:szCs w:val="24"/>
          <w:lang w:val="en-US"/>
        </w:rPr>
        <w:t>despite their low level of processing</w:t>
      </w:r>
      <w:r w:rsidRPr="0047178E">
        <w:rPr>
          <w:rFonts w:ascii="Times New Roman" w:hAnsi="Times New Roman" w:cs="Times New Roman"/>
          <w:sz w:val="24"/>
          <w:szCs w:val="24"/>
          <w:lang w:val="en-US"/>
        </w:rPr>
        <w:t xml:space="preserve">: agriculture (21%), mining (20%), basic metals (19%), food (17%), mineral products (16%), paper and wood (13%). That shows that </w:t>
      </w:r>
      <w:r w:rsidR="004242EA" w:rsidRPr="0047178E">
        <w:rPr>
          <w:rFonts w:ascii="Times New Roman" w:hAnsi="Times New Roman" w:cs="Times New Roman"/>
          <w:sz w:val="24"/>
          <w:szCs w:val="24"/>
          <w:lang w:val="en-US"/>
        </w:rPr>
        <w:t xml:space="preserve">Brazil's participation in GVCs is concentrated on </w:t>
      </w:r>
      <w:r w:rsidR="00404AA4" w:rsidRPr="0047178E">
        <w:rPr>
          <w:rFonts w:ascii="Times New Roman" w:hAnsi="Times New Roman" w:cs="Times New Roman"/>
          <w:sz w:val="24"/>
          <w:szCs w:val="24"/>
          <w:lang w:val="en-US"/>
        </w:rPr>
        <w:t xml:space="preserve">commodities </w:t>
      </w:r>
      <w:r w:rsidR="004242EA" w:rsidRPr="0047178E">
        <w:rPr>
          <w:rFonts w:ascii="Times New Roman" w:hAnsi="Times New Roman" w:cs="Times New Roman"/>
          <w:sz w:val="24"/>
          <w:szCs w:val="24"/>
          <w:lang w:val="en-US"/>
        </w:rPr>
        <w:t xml:space="preserve">also from the backward perspective. </w:t>
      </w:r>
    </w:p>
    <w:p w14:paraId="441DE4B2" w14:textId="77777777" w:rsidR="00025ABB" w:rsidRPr="0047178E" w:rsidRDefault="00025ABB" w:rsidP="0047178E">
      <w:pPr>
        <w:spacing w:after="0" w:line="240" w:lineRule="auto"/>
        <w:ind w:firstLine="567"/>
        <w:jc w:val="both"/>
        <w:rPr>
          <w:rFonts w:ascii="Times New Roman" w:hAnsi="Times New Roman" w:cs="Times New Roman"/>
          <w:sz w:val="24"/>
          <w:szCs w:val="24"/>
          <w:highlight w:val="lightGray"/>
          <w:lang w:val="en-US"/>
        </w:rPr>
      </w:pPr>
    </w:p>
    <w:p w14:paraId="49DB5628" w14:textId="365B3516" w:rsidR="00045AE8" w:rsidRPr="0047178E" w:rsidRDefault="00607B36" w:rsidP="0047178E">
      <w:pPr>
        <w:pStyle w:val="PargrafodaLista"/>
        <w:numPr>
          <w:ilvl w:val="0"/>
          <w:numId w:val="30"/>
        </w:numPr>
        <w:spacing w:after="0" w:line="240" w:lineRule="auto"/>
        <w:jc w:val="both"/>
        <w:rPr>
          <w:rFonts w:ascii="Times New Roman" w:hAnsi="Times New Roman" w:cs="Times New Roman"/>
          <w:b/>
          <w:sz w:val="24"/>
          <w:szCs w:val="24"/>
          <w:lang w:val="en-US"/>
        </w:rPr>
      </w:pPr>
      <w:r w:rsidRPr="0047178E">
        <w:rPr>
          <w:rFonts w:ascii="Times New Roman" w:hAnsi="Times New Roman" w:cs="Times New Roman"/>
          <w:b/>
          <w:bCs/>
          <w:sz w:val="24"/>
          <w:szCs w:val="24"/>
          <w:lang w:val="en-US"/>
        </w:rPr>
        <w:t xml:space="preserve">DETERMINING </w:t>
      </w:r>
      <w:r w:rsidR="00D06F89" w:rsidRPr="0047178E">
        <w:rPr>
          <w:rFonts w:ascii="Times New Roman" w:hAnsi="Times New Roman" w:cs="Times New Roman"/>
          <w:b/>
          <w:bCs/>
          <w:sz w:val="24"/>
          <w:szCs w:val="24"/>
          <w:lang w:val="en-US"/>
        </w:rPr>
        <w:t>FACTORS OF</w:t>
      </w:r>
      <w:r w:rsidR="00404AA4" w:rsidRPr="0047178E">
        <w:rPr>
          <w:rFonts w:ascii="Times New Roman" w:hAnsi="Times New Roman" w:cs="Times New Roman"/>
          <w:b/>
          <w:bCs/>
          <w:sz w:val="24"/>
          <w:szCs w:val="24"/>
          <w:lang w:val="en-US"/>
        </w:rPr>
        <w:t xml:space="preserve"> </w:t>
      </w:r>
      <w:r w:rsidR="004642C5" w:rsidRPr="0047178E">
        <w:rPr>
          <w:rFonts w:ascii="Times New Roman" w:hAnsi="Times New Roman" w:cs="Times New Roman"/>
          <w:b/>
          <w:bCs/>
          <w:sz w:val="24"/>
          <w:szCs w:val="24"/>
          <w:lang w:val="en-US"/>
        </w:rPr>
        <w:t xml:space="preserve">BRAZIL'S PARTICIPATION IN GVCs: KOWALSKI'S EIGHT </w:t>
      </w:r>
      <w:r w:rsidR="00D06F89" w:rsidRPr="0047178E">
        <w:rPr>
          <w:rFonts w:ascii="Times New Roman" w:hAnsi="Times New Roman" w:cs="Times New Roman"/>
          <w:b/>
          <w:bCs/>
          <w:sz w:val="24"/>
          <w:szCs w:val="24"/>
          <w:lang w:val="en-US"/>
        </w:rPr>
        <w:t>ELEMENTS</w:t>
      </w:r>
      <w:r w:rsidR="00045AE8" w:rsidRPr="0047178E">
        <w:rPr>
          <w:rFonts w:ascii="Times New Roman" w:hAnsi="Times New Roman" w:cs="Times New Roman"/>
          <w:b/>
          <w:sz w:val="24"/>
          <w:szCs w:val="24"/>
          <w:lang w:val="en-US"/>
        </w:rPr>
        <w:t xml:space="preserve"> </w:t>
      </w:r>
    </w:p>
    <w:p w14:paraId="7E852008" w14:textId="24E049F2" w:rsidR="003B4B9E"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In order to explain Brazi</w:t>
      </w:r>
      <w:r w:rsidR="00D06F89" w:rsidRPr="0047178E">
        <w:rPr>
          <w:rFonts w:ascii="Times New Roman" w:hAnsi="Times New Roman" w:cs="Times New Roman"/>
          <w:sz w:val="24"/>
          <w:szCs w:val="24"/>
          <w:lang w:val="en-US"/>
        </w:rPr>
        <w:t xml:space="preserve">l's competitiveness and the country's insertion </w:t>
      </w:r>
      <w:r w:rsidR="00404AA4" w:rsidRPr="0047178E">
        <w:rPr>
          <w:rFonts w:ascii="Times New Roman" w:hAnsi="Times New Roman" w:cs="Times New Roman"/>
          <w:sz w:val="24"/>
          <w:szCs w:val="24"/>
          <w:lang w:val="en-US"/>
        </w:rPr>
        <w:t>in</w:t>
      </w:r>
      <w:r w:rsidR="00D06F89" w:rsidRPr="0047178E">
        <w:rPr>
          <w:rFonts w:ascii="Times New Roman" w:hAnsi="Times New Roman" w:cs="Times New Roman"/>
          <w:sz w:val="24"/>
          <w:szCs w:val="24"/>
          <w:lang w:val="en-US"/>
        </w:rPr>
        <w:t xml:space="preserve">to </w:t>
      </w:r>
      <w:r w:rsidR="00607B36" w:rsidRPr="0047178E">
        <w:rPr>
          <w:rFonts w:ascii="Times New Roman" w:hAnsi="Times New Roman" w:cs="Times New Roman"/>
          <w:sz w:val="24"/>
          <w:szCs w:val="24"/>
          <w:lang w:val="en-US"/>
        </w:rPr>
        <w:t xml:space="preserve">the </w:t>
      </w:r>
      <w:r w:rsidR="00404AA4" w:rsidRPr="0047178E">
        <w:rPr>
          <w:rFonts w:ascii="Times New Roman" w:hAnsi="Times New Roman" w:cs="Times New Roman"/>
          <w:sz w:val="24"/>
          <w:szCs w:val="24"/>
          <w:lang w:val="en-US"/>
        </w:rPr>
        <w:t>global market</w:t>
      </w:r>
      <w:r w:rsidRPr="0047178E">
        <w:rPr>
          <w:rFonts w:ascii="Times New Roman" w:hAnsi="Times New Roman" w:cs="Times New Roman"/>
          <w:sz w:val="24"/>
          <w:szCs w:val="24"/>
          <w:lang w:val="en-US"/>
        </w:rPr>
        <w:t xml:space="preserve">, this section </w:t>
      </w:r>
      <w:r w:rsidR="006D76E8" w:rsidRPr="0047178E">
        <w:rPr>
          <w:rFonts w:ascii="Times New Roman" w:hAnsi="Times New Roman" w:cs="Times New Roman"/>
          <w:sz w:val="24"/>
          <w:szCs w:val="24"/>
          <w:lang w:val="en-US"/>
        </w:rPr>
        <w:t xml:space="preserve">discusses </w:t>
      </w:r>
      <w:r w:rsidRPr="0047178E">
        <w:rPr>
          <w:rFonts w:ascii="Times New Roman" w:hAnsi="Times New Roman" w:cs="Times New Roman"/>
          <w:sz w:val="24"/>
          <w:szCs w:val="24"/>
          <w:lang w:val="en-US"/>
        </w:rPr>
        <w:t xml:space="preserve">how the </w:t>
      </w:r>
      <w:r w:rsidR="004C1C2B" w:rsidRPr="0047178E">
        <w:rPr>
          <w:rFonts w:ascii="Times New Roman" w:hAnsi="Times New Roman" w:cs="Times New Roman"/>
          <w:sz w:val="24"/>
          <w:szCs w:val="24"/>
          <w:lang w:val="en-US"/>
        </w:rPr>
        <w:t>eight factors previous</w:t>
      </w:r>
      <w:r w:rsidR="00607B36" w:rsidRPr="0047178E">
        <w:rPr>
          <w:rFonts w:ascii="Times New Roman" w:hAnsi="Times New Roman" w:cs="Times New Roman"/>
          <w:sz w:val="24"/>
          <w:szCs w:val="24"/>
          <w:lang w:val="en-US"/>
        </w:rPr>
        <w:t>ly</w:t>
      </w:r>
      <w:r w:rsidR="004C1C2B" w:rsidRPr="0047178E">
        <w:rPr>
          <w:rFonts w:ascii="Times New Roman" w:hAnsi="Times New Roman" w:cs="Times New Roman"/>
          <w:sz w:val="24"/>
          <w:szCs w:val="24"/>
          <w:lang w:val="en-US"/>
        </w:rPr>
        <w:t xml:space="preserve"> mentioned as determinants of a country's participation in GVCs are presented in </w:t>
      </w:r>
      <w:r w:rsidR="00607B36" w:rsidRPr="0047178E">
        <w:rPr>
          <w:rFonts w:ascii="Times New Roman" w:hAnsi="Times New Roman" w:cs="Times New Roman"/>
          <w:sz w:val="24"/>
          <w:szCs w:val="24"/>
          <w:lang w:val="en-US"/>
        </w:rPr>
        <w:t xml:space="preserve">the </w:t>
      </w:r>
      <w:r w:rsidRPr="0047178E">
        <w:rPr>
          <w:rFonts w:ascii="Times New Roman" w:hAnsi="Times New Roman" w:cs="Times New Roman"/>
          <w:sz w:val="24"/>
          <w:szCs w:val="24"/>
          <w:lang w:val="en-US"/>
        </w:rPr>
        <w:t>Brazilian economy</w:t>
      </w:r>
      <w:r w:rsidR="00F36A07" w:rsidRPr="0047178E">
        <w:rPr>
          <w:rFonts w:ascii="Times New Roman" w:hAnsi="Times New Roman" w:cs="Times New Roman"/>
          <w:sz w:val="24"/>
          <w:szCs w:val="24"/>
          <w:lang w:val="en-US"/>
        </w:rPr>
        <w:t>, as well as</w:t>
      </w:r>
      <w:r w:rsidRPr="0047178E">
        <w:rPr>
          <w:rFonts w:ascii="Times New Roman" w:hAnsi="Times New Roman" w:cs="Times New Roman"/>
          <w:sz w:val="24"/>
          <w:szCs w:val="24"/>
          <w:lang w:val="en-US"/>
        </w:rPr>
        <w:t xml:space="preserve"> </w:t>
      </w:r>
      <w:r w:rsidR="00F36A07" w:rsidRPr="0047178E">
        <w:rPr>
          <w:rFonts w:ascii="Times New Roman" w:hAnsi="Times New Roman" w:cs="Times New Roman"/>
          <w:sz w:val="24"/>
          <w:szCs w:val="24"/>
          <w:lang w:val="en-US"/>
        </w:rPr>
        <w:t>the interrelation between them</w:t>
      </w:r>
      <w:r w:rsidRPr="0047178E">
        <w:rPr>
          <w:rFonts w:ascii="Times New Roman" w:hAnsi="Times New Roman" w:cs="Times New Roman"/>
          <w:sz w:val="24"/>
          <w:szCs w:val="24"/>
          <w:lang w:val="en-US"/>
        </w:rPr>
        <w:t xml:space="preserve">. </w:t>
      </w:r>
      <w:r w:rsidR="00404AA4" w:rsidRPr="0047178E">
        <w:rPr>
          <w:rFonts w:ascii="Times New Roman" w:hAnsi="Times New Roman" w:cs="Times New Roman"/>
          <w:sz w:val="24"/>
          <w:szCs w:val="24"/>
          <w:lang w:val="en-US"/>
        </w:rPr>
        <w:t>The i</w:t>
      </w:r>
      <w:r w:rsidRPr="0047178E">
        <w:rPr>
          <w:rFonts w:ascii="Times New Roman" w:hAnsi="Times New Roman" w:cs="Times New Roman"/>
          <w:sz w:val="24"/>
          <w:szCs w:val="24"/>
          <w:lang w:val="en-US"/>
        </w:rPr>
        <w:t>ndustrialization level</w:t>
      </w:r>
      <w:r w:rsidR="00404AA4" w:rsidRPr="0047178E">
        <w:rPr>
          <w:rFonts w:ascii="Times New Roman" w:hAnsi="Times New Roman" w:cs="Times New Roman"/>
          <w:sz w:val="24"/>
          <w:szCs w:val="24"/>
          <w:lang w:val="en-US"/>
        </w:rPr>
        <w:t xml:space="preserve"> is the first topic addressed given its importance in the analysis of the</w:t>
      </w:r>
      <w:r w:rsidRPr="0047178E">
        <w:rPr>
          <w:rFonts w:ascii="Times New Roman" w:hAnsi="Times New Roman" w:cs="Times New Roman"/>
          <w:sz w:val="24"/>
          <w:szCs w:val="24"/>
          <w:lang w:val="en-US"/>
        </w:rPr>
        <w:t xml:space="preserve"> Brazilian scenario.</w:t>
      </w:r>
      <w:r w:rsidR="00045AE8" w:rsidRPr="0047178E">
        <w:rPr>
          <w:rFonts w:ascii="Times New Roman" w:hAnsi="Times New Roman" w:cs="Times New Roman"/>
          <w:sz w:val="24"/>
          <w:szCs w:val="24"/>
          <w:lang w:val="en-US"/>
        </w:rPr>
        <w:t xml:space="preserve"> </w:t>
      </w:r>
    </w:p>
    <w:p w14:paraId="542ADB80" w14:textId="77777777" w:rsidR="00163097" w:rsidRPr="0047178E" w:rsidRDefault="00163097" w:rsidP="0047178E">
      <w:pPr>
        <w:pStyle w:val="PargrafodaLista"/>
        <w:spacing w:after="0" w:line="240" w:lineRule="auto"/>
        <w:ind w:left="0" w:firstLine="567"/>
        <w:jc w:val="both"/>
        <w:rPr>
          <w:rFonts w:ascii="Times New Roman" w:hAnsi="Times New Roman" w:cs="Times New Roman"/>
          <w:sz w:val="24"/>
          <w:szCs w:val="24"/>
          <w:highlight w:val="yellow"/>
          <w:lang w:val="en-US"/>
        </w:rPr>
      </w:pPr>
    </w:p>
    <w:p w14:paraId="0B339C70" w14:textId="0EDA761A" w:rsidR="009D1264" w:rsidRPr="0047178E" w:rsidRDefault="003B4B9E" w:rsidP="0047178E">
      <w:pPr>
        <w:pStyle w:val="PargrafodaLista"/>
        <w:spacing w:after="0" w:line="240" w:lineRule="auto"/>
        <w:ind w:left="0" w:firstLine="567"/>
        <w:jc w:val="both"/>
        <w:rPr>
          <w:rFonts w:ascii="Times New Roman" w:hAnsi="Times New Roman" w:cs="Times New Roman"/>
          <w:b/>
          <w:sz w:val="24"/>
          <w:szCs w:val="24"/>
          <w:lang w:val="en-US"/>
        </w:rPr>
      </w:pPr>
      <w:r w:rsidRPr="0047178E">
        <w:rPr>
          <w:rFonts w:ascii="Times New Roman" w:hAnsi="Times New Roman" w:cs="Times New Roman"/>
          <w:b/>
          <w:sz w:val="24"/>
          <w:szCs w:val="24"/>
          <w:lang w:val="en-US"/>
        </w:rPr>
        <w:t xml:space="preserve">4.1 </w:t>
      </w:r>
      <w:r w:rsidR="00601EFC" w:rsidRPr="0047178E">
        <w:rPr>
          <w:rFonts w:ascii="Times New Roman" w:hAnsi="Times New Roman" w:cs="Times New Roman"/>
          <w:b/>
          <w:sz w:val="24"/>
          <w:szCs w:val="24"/>
          <w:lang w:val="en-US"/>
        </w:rPr>
        <w:t>Deindustrialization</w:t>
      </w:r>
      <w:r w:rsidR="00E11CB6" w:rsidRPr="0047178E">
        <w:rPr>
          <w:rFonts w:ascii="Times New Roman" w:hAnsi="Times New Roman" w:cs="Times New Roman"/>
          <w:b/>
          <w:sz w:val="24"/>
          <w:szCs w:val="24"/>
          <w:lang w:val="en-US"/>
        </w:rPr>
        <w:t xml:space="preserve"> and reprimarization of the Brazilian economy </w:t>
      </w:r>
    </w:p>
    <w:p w14:paraId="56052D7B" w14:textId="658E83DC" w:rsidR="004642C5" w:rsidRPr="0047178E" w:rsidRDefault="00F36A07"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The discussion on Brazil's insertion </w:t>
      </w:r>
      <w:r w:rsidR="004642C5" w:rsidRPr="0047178E">
        <w:rPr>
          <w:rFonts w:ascii="Times New Roman" w:hAnsi="Times New Roman" w:cs="Times New Roman"/>
          <w:sz w:val="24"/>
          <w:szCs w:val="24"/>
          <w:lang w:val="en-US"/>
        </w:rPr>
        <w:t>in</w:t>
      </w:r>
      <w:r w:rsidRPr="0047178E">
        <w:rPr>
          <w:rFonts w:ascii="Times New Roman" w:hAnsi="Times New Roman" w:cs="Times New Roman"/>
          <w:sz w:val="24"/>
          <w:szCs w:val="24"/>
          <w:lang w:val="en-US"/>
        </w:rPr>
        <w:t>to</w:t>
      </w:r>
      <w:r w:rsidR="004642C5" w:rsidRPr="0047178E">
        <w:rPr>
          <w:rFonts w:ascii="Times New Roman" w:hAnsi="Times New Roman" w:cs="Times New Roman"/>
          <w:sz w:val="24"/>
          <w:szCs w:val="24"/>
          <w:lang w:val="en-US"/>
        </w:rPr>
        <w:t xml:space="preserve"> GVCs </w:t>
      </w:r>
      <w:r w:rsidR="00B23AE2" w:rsidRPr="0047178E">
        <w:rPr>
          <w:rFonts w:ascii="Times New Roman" w:hAnsi="Times New Roman" w:cs="Times New Roman"/>
          <w:sz w:val="24"/>
          <w:szCs w:val="24"/>
          <w:lang w:val="en-US"/>
        </w:rPr>
        <w:t>must</w:t>
      </w:r>
      <w:r w:rsidR="004642C5" w:rsidRPr="0047178E">
        <w:rPr>
          <w:rFonts w:ascii="Times New Roman" w:hAnsi="Times New Roman" w:cs="Times New Roman"/>
          <w:sz w:val="24"/>
          <w:szCs w:val="24"/>
          <w:lang w:val="en-US"/>
        </w:rPr>
        <w:t xml:space="preserve"> </w:t>
      </w:r>
      <w:r w:rsidRPr="0047178E">
        <w:rPr>
          <w:rFonts w:ascii="Times New Roman" w:hAnsi="Times New Roman" w:cs="Times New Roman"/>
          <w:sz w:val="24"/>
          <w:szCs w:val="24"/>
          <w:lang w:val="en-US"/>
        </w:rPr>
        <w:t xml:space="preserve">take into </w:t>
      </w:r>
      <w:r w:rsidR="00404AA4" w:rsidRPr="0047178E">
        <w:rPr>
          <w:rFonts w:ascii="Times New Roman" w:hAnsi="Times New Roman" w:cs="Times New Roman"/>
          <w:sz w:val="24"/>
          <w:szCs w:val="24"/>
          <w:lang w:val="en-US"/>
        </w:rPr>
        <w:t>consider</w:t>
      </w:r>
      <w:r w:rsidRPr="0047178E">
        <w:rPr>
          <w:rFonts w:ascii="Times New Roman" w:hAnsi="Times New Roman" w:cs="Times New Roman"/>
          <w:sz w:val="24"/>
          <w:szCs w:val="24"/>
          <w:lang w:val="en-US"/>
        </w:rPr>
        <w:t>ation</w:t>
      </w:r>
      <w:r w:rsidR="00404AA4" w:rsidRPr="0047178E">
        <w:rPr>
          <w:rFonts w:ascii="Times New Roman" w:hAnsi="Times New Roman" w:cs="Times New Roman"/>
          <w:sz w:val="24"/>
          <w:szCs w:val="24"/>
          <w:lang w:val="en-US"/>
        </w:rPr>
        <w:t xml:space="preserve"> the </w:t>
      </w:r>
      <w:r w:rsidRPr="0047178E">
        <w:rPr>
          <w:rFonts w:ascii="Times New Roman" w:hAnsi="Times New Roman" w:cs="Times New Roman"/>
          <w:sz w:val="24"/>
          <w:szCs w:val="24"/>
          <w:lang w:val="en-US"/>
        </w:rPr>
        <w:t xml:space="preserve">process of deindustrialization </w:t>
      </w:r>
      <w:r w:rsidR="00404AA4" w:rsidRPr="0047178E">
        <w:rPr>
          <w:rFonts w:ascii="Times New Roman" w:hAnsi="Times New Roman" w:cs="Times New Roman"/>
          <w:sz w:val="24"/>
          <w:szCs w:val="24"/>
          <w:lang w:val="en-US"/>
        </w:rPr>
        <w:t xml:space="preserve">seen </w:t>
      </w:r>
      <w:r w:rsidR="004642C5" w:rsidRPr="0047178E">
        <w:rPr>
          <w:rFonts w:ascii="Times New Roman" w:hAnsi="Times New Roman" w:cs="Times New Roman"/>
          <w:sz w:val="24"/>
          <w:szCs w:val="24"/>
          <w:lang w:val="en-US"/>
        </w:rPr>
        <w:t xml:space="preserve">in the past few years. In economic theory, deindustrialization is not necessarily </w:t>
      </w:r>
      <w:r w:rsidR="00C4511E" w:rsidRPr="0047178E">
        <w:rPr>
          <w:rFonts w:ascii="Times New Roman" w:hAnsi="Times New Roman" w:cs="Times New Roman"/>
          <w:sz w:val="24"/>
          <w:szCs w:val="24"/>
          <w:lang w:val="en-US"/>
        </w:rPr>
        <w:t>a</w:t>
      </w:r>
      <w:r w:rsidR="004642C5" w:rsidRPr="0047178E">
        <w:rPr>
          <w:rFonts w:ascii="Times New Roman" w:hAnsi="Times New Roman" w:cs="Times New Roman"/>
          <w:sz w:val="24"/>
          <w:szCs w:val="24"/>
          <w:lang w:val="en-US"/>
        </w:rPr>
        <w:t xml:space="preserve"> negative</w:t>
      </w:r>
      <w:r w:rsidR="00C4511E" w:rsidRPr="0047178E">
        <w:rPr>
          <w:rFonts w:ascii="Times New Roman" w:hAnsi="Times New Roman" w:cs="Times New Roman"/>
          <w:sz w:val="24"/>
          <w:szCs w:val="24"/>
          <w:lang w:val="en-US"/>
        </w:rPr>
        <w:t xml:space="preserve"> phenomenon, but rather</w:t>
      </w:r>
      <w:r w:rsidR="004642C5" w:rsidRPr="0047178E">
        <w:rPr>
          <w:rFonts w:ascii="Times New Roman" w:hAnsi="Times New Roman" w:cs="Times New Roman"/>
          <w:sz w:val="24"/>
          <w:szCs w:val="24"/>
          <w:lang w:val="en-US"/>
        </w:rPr>
        <w:t xml:space="preserve"> </w:t>
      </w:r>
      <w:r w:rsidR="00B23AE2" w:rsidRPr="0047178E">
        <w:rPr>
          <w:rFonts w:ascii="Times New Roman" w:hAnsi="Times New Roman" w:cs="Times New Roman"/>
          <w:sz w:val="24"/>
          <w:szCs w:val="24"/>
          <w:lang w:val="en-US"/>
        </w:rPr>
        <w:t xml:space="preserve">a </w:t>
      </w:r>
      <w:r w:rsidR="004642C5" w:rsidRPr="0047178E">
        <w:rPr>
          <w:rFonts w:ascii="Times New Roman" w:hAnsi="Times New Roman" w:cs="Times New Roman"/>
          <w:sz w:val="24"/>
          <w:szCs w:val="24"/>
          <w:lang w:val="en-US"/>
        </w:rPr>
        <w:t xml:space="preserve">byproduct of </w:t>
      </w:r>
      <w:r w:rsidRPr="0047178E">
        <w:rPr>
          <w:rFonts w:ascii="Times New Roman" w:hAnsi="Times New Roman" w:cs="Times New Roman"/>
          <w:sz w:val="24"/>
          <w:szCs w:val="24"/>
          <w:lang w:val="en-US"/>
        </w:rPr>
        <w:t xml:space="preserve">economic </w:t>
      </w:r>
      <w:r w:rsidR="004642C5" w:rsidRPr="0047178E">
        <w:rPr>
          <w:rFonts w:ascii="Times New Roman" w:hAnsi="Times New Roman" w:cs="Times New Roman"/>
          <w:sz w:val="24"/>
          <w:szCs w:val="24"/>
          <w:lang w:val="en-US"/>
        </w:rPr>
        <w:t xml:space="preserve">progress in developed countries, </w:t>
      </w:r>
      <w:r w:rsidR="00483E69" w:rsidRPr="0047178E">
        <w:rPr>
          <w:rFonts w:ascii="Times New Roman" w:hAnsi="Times New Roman" w:cs="Times New Roman"/>
          <w:sz w:val="24"/>
          <w:szCs w:val="24"/>
          <w:lang w:val="en-US"/>
        </w:rPr>
        <w:t>marked by a</w:t>
      </w:r>
      <w:r w:rsidR="004642C5" w:rsidRPr="0047178E">
        <w:rPr>
          <w:rFonts w:ascii="Times New Roman" w:hAnsi="Times New Roman" w:cs="Times New Roman"/>
          <w:sz w:val="24"/>
          <w:szCs w:val="24"/>
          <w:lang w:val="en-US"/>
        </w:rPr>
        <w:t xml:space="preserve"> GDP </w:t>
      </w:r>
      <w:r w:rsidR="00483E69" w:rsidRPr="0047178E">
        <w:rPr>
          <w:rFonts w:ascii="Times New Roman" w:hAnsi="Times New Roman" w:cs="Times New Roman"/>
          <w:sz w:val="24"/>
          <w:szCs w:val="24"/>
          <w:lang w:val="en-US"/>
        </w:rPr>
        <w:t xml:space="preserve">that </w:t>
      </w:r>
      <w:r w:rsidR="004642C5" w:rsidRPr="0047178E">
        <w:rPr>
          <w:rFonts w:ascii="Times New Roman" w:hAnsi="Times New Roman" w:cs="Times New Roman"/>
          <w:sz w:val="24"/>
          <w:szCs w:val="24"/>
          <w:lang w:val="en-US"/>
        </w:rPr>
        <w:t>relies less on manuf</w:t>
      </w:r>
      <w:r w:rsidR="00483E69" w:rsidRPr="0047178E">
        <w:rPr>
          <w:rFonts w:ascii="Times New Roman" w:hAnsi="Times New Roman" w:cs="Times New Roman"/>
          <w:sz w:val="24"/>
          <w:szCs w:val="24"/>
          <w:lang w:val="en-US"/>
        </w:rPr>
        <w:t>acturing and more on services</w:t>
      </w:r>
      <w:r w:rsidR="004642C5" w:rsidRPr="0047178E">
        <w:rPr>
          <w:rFonts w:ascii="Times New Roman" w:hAnsi="Times New Roman" w:cs="Times New Roman"/>
          <w:sz w:val="24"/>
          <w:szCs w:val="24"/>
          <w:lang w:val="en-US"/>
        </w:rPr>
        <w:t xml:space="preserve">. That could be explained by an increase in per capita income in developed countries and by a reduction in </w:t>
      </w:r>
      <w:r w:rsidR="0022008E" w:rsidRPr="0047178E">
        <w:rPr>
          <w:rFonts w:ascii="Times New Roman" w:hAnsi="Times New Roman" w:cs="Times New Roman"/>
          <w:sz w:val="24"/>
          <w:szCs w:val="24"/>
          <w:lang w:val="en-US"/>
        </w:rPr>
        <w:t xml:space="preserve">the </w:t>
      </w:r>
      <w:r w:rsidR="004642C5" w:rsidRPr="0047178E">
        <w:rPr>
          <w:rFonts w:ascii="Times New Roman" w:hAnsi="Times New Roman" w:cs="Times New Roman"/>
          <w:sz w:val="24"/>
          <w:szCs w:val="24"/>
          <w:lang w:val="en-US"/>
        </w:rPr>
        <w:t xml:space="preserve">income elasticity </w:t>
      </w:r>
      <w:r w:rsidR="00483E69" w:rsidRPr="0047178E">
        <w:rPr>
          <w:rFonts w:ascii="Times New Roman" w:hAnsi="Times New Roman" w:cs="Times New Roman"/>
          <w:sz w:val="24"/>
          <w:szCs w:val="24"/>
          <w:lang w:val="en-US"/>
        </w:rPr>
        <w:t xml:space="preserve">coefficient </w:t>
      </w:r>
      <w:r w:rsidR="004642C5" w:rsidRPr="0047178E">
        <w:rPr>
          <w:rFonts w:ascii="Times New Roman" w:hAnsi="Times New Roman" w:cs="Times New Roman"/>
          <w:sz w:val="24"/>
          <w:szCs w:val="24"/>
          <w:lang w:val="en-US"/>
        </w:rPr>
        <w:t xml:space="preserve">of </w:t>
      </w:r>
      <w:r w:rsidR="00C4511E" w:rsidRPr="0047178E">
        <w:rPr>
          <w:rFonts w:ascii="Times New Roman" w:hAnsi="Times New Roman" w:cs="Times New Roman"/>
          <w:sz w:val="24"/>
          <w:szCs w:val="24"/>
          <w:lang w:val="en-US"/>
        </w:rPr>
        <w:t xml:space="preserve">the </w:t>
      </w:r>
      <w:r w:rsidR="004642C5" w:rsidRPr="0047178E">
        <w:rPr>
          <w:rFonts w:ascii="Times New Roman" w:hAnsi="Times New Roman" w:cs="Times New Roman"/>
          <w:sz w:val="24"/>
          <w:szCs w:val="24"/>
          <w:lang w:val="en-US"/>
        </w:rPr>
        <w:t xml:space="preserve">demand for manufactured products (Clark, 1957; Sachs and Shatz, 1994; Rowthorn and Ramaswany, 1999). </w:t>
      </w:r>
      <w:r w:rsidR="00C4511E" w:rsidRPr="0047178E">
        <w:rPr>
          <w:rFonts w:ascii="Times New Roman" w:hAnsi="Times New Roman" w:cs="Times New Roman"/>
          <w:sz w:val="24"/>
          <w:szCs w:val="24"/>
          <w:lang w:val="en-US"/>
        </w:rPr>
        <w:t>E</w:t>
      </w:r>
      <w:r w:rsidR="004642C5" w:rsidRPr="0047178E">
        <w:rPr>
          <w:rFonts w:ascii="Times New Roman" w:hAnsi="Times New Roman" w:cs="Times New Roman"/>
          <w:sz w:val="24"/>
          <w:szCs w:val="24"/>
          <w:lang w:val="en-US"/>
        </w:rPr>
        <w:t>arly deindustrialization</w:t>
      </w:r>
      <w:r w:rsidR="00C4511E" w:rsidRPr="0047178E">
        <w:rPr>
          <w:rFonts w:ascii="Times New Roman" w:hAnsi="Times New Roman" w:cs="Times New Roman"/>
          <w:sz w:val="24"/>
          <w:szCs w:val="24"/>
          <w:lang w:val="en-US"/>
        </w:rPr>
        <w:t xml:space="preserve">, on the other hand, is considered an </w:t>
      </w:r>
      <w:r w:rsidR="004642C5" w:rsidRPr="0047178E">
        <w:rPr>
          <w:rFonts w:ascii="Times New Roman" w:hAnsi="Times New Roman" w:cs="Times New Roman"/>
          <w:sz w:val="24"/>
          <w:szCs w:val="24"/>
          <w:lang w:val="en-US"/>
        </w:rPr>
        <w:t>unwanted</w:t>
      </w:r>
      <w:r w:rsidR="00C4511E" w:rsidRPr="0047178E">
        <w:rPr>
          <w:rFonts w:ascii="Times New Roman" w:hAnsi="Times New Roman" w:cs="Times New Roman"/>
          <w:sz w:val="24"/>
          <w:szCs w:val="24"/>
          <w:lang w:val="en-US"/>
        </w:rPr>
        <w:t xml:space="preserve"> phenomenon</w:t>
      </w:r>
      <w:r w:rsidR="004642C5" w:rsidRPr="0047178E">
        <w:rPr>
          <w:rFonts w:ascii="Times New Roman" w:hAnsi="Times New Roman" w:cs="Times New Roman"/>
          <w:sz w:val="24"/>
          <w:szCs w:val="24"/>
          <w:lang w:val="en-US"/>
        </w:rPr>
        <w:t xml:space="preserve">. </w:t>
      </w:r>
      <w:r w:rsidR="002653FD" w:rsidRPr="0047178E">
        <w:rPr>
          <w:rFonts w:ascii="Times New Roman" w:hAnsi="Times New Roman" w:cs="Times New Roman"/>
          <w:sz w:val="24"/>
          <w:szCs w:val="24"/>
          <w:lang w:val="en-US"/>
        </w:rPr>
        <w:t>This earliness</w:t>
      </w:r>
      <w:r w:rsidR="004642C5" w:rsidRPr="0047178E">
        <w:rPr>
          <w:rFonts w:ascii="Times New Roman" w:hAnsi="Times New Roman" w:cs="Times New Roman"/>
          <w:sz w:val="24"/>
          <w:szCs w:val="24"/>
          <w:lang w:val="en-US"/>
        </w:rPr>
        <w:t xml:space="preserve"> </w:t>
      </w:r>
      <w:r w:rsidR="00C4511E" w:rsidRPr="0047178E">
        <w:rPr>
          <w:rFonts w:ascii="Times New Roman" w:hAnsi="Times New Roman" w:cs="Times New Roman"/>
          <w:sz w:val="24"/>
          <w:szCs w:val="24"/>
          <w:lang w:val="en-US"/>
        </w:rPr>
        <w:t>may</w:t>
      </w:r>
      <w:r w:rsidR="004642C5" w:rsidRPr="0047178E">
        <w:rPr>
          <w:rFonts w:ascii="Times New Roman" w:hAnsi="Times New Roman" w:cs="Times New Roman"/>
          <w:sz w:val="24"/>
          <w:szCs w:val="24"/>
          <w:lang w:val="en-US"/>
        </w:rPr>
        <w:t xml:space="preserve"> </w:t>
      </w:r>
      <w:r w:rsidR="00C4511E" w:rsidRPr="0047178E">
        <w:rPr>
          <w:rFonts w:ascii="Times New Roman" w:hAnsi="Times New Roman" w:cs="Times New Roman"/>
          <w:sz w:val="24"/>
          <w:szCs w:val="24"/>
          <w:lang w:val="en-US"/>
        </w:rPr>
        <w:t xml:space="preserve">be identified when a </w:t>
      </w:r>
      <w:r w:rsidR="004642C5" w:rsidRPr="0047178E">
        <w:rPr>
          <w:rFonts w:ascii="Times New Roman" w:hAnsi="Times New Roman" w:cs="Times New Roman"/>
          <w:sz w:val="24"/>
          <w:szCs w:val="24"/>
          <w:lang w:val="en-US"/>
        </w:rPr>
        <w:t xml:space="preserve">certain target is not met – </w:t>
      </w:r>
      <w:r w:rsidR="0022008E" w:rsidRPr="0047178E">
        <w:rPr>
          <w:rFonts w:ascii="Times New Roman" w:hAnsi="Times New Roman" w:cs="Times New Roman"/>
          <w:sz w:val="24"/>
          <w:szCs w:val="24"/>
          <w:lang w:val="en-US"/>
        </w:rPr>
        <w:t>i.e.</w:t>
      </w:r>
      <w:r w:rsidR="004642C5" w:rsidRPr="0047178E">
        <w:rPr>
          <w:rFonts w:ascii="Times New Roman" w:hAnsi="Times New Roman" w:cs="Times New Roman"/>
          <w:sz w:val="24"/>
          <w:szCs w:val="24"/>
          <w:lang w:val="en-US"/>
        </w:rPr>
        <w:t xml:space="preserve"> when </w:t>
      </w:r>
      <w:r w:rsidR="00601EFC" w:rsidRPr="0047178E">
        <w:rPr>
          <w:rFonts w:ascii="Times New Roman" w:hAnsi="Times New Roman" w:cs="Times New Roman"/>
          <w:sz w:val="24"/>
          <w:szCs w:val="24"/>
          <w:lang w:val="en-US"/>
        </w:rPr>
        <w:t>deindustrialization</w:t>
      </w:r>
      <w:r w:rsidR="004642C5" w:rsidRPr="0047178E">
        <w:rPr>
          <w:rFonts w:ascii="Times New Roman" w:hAnsi="Times New Roman" w:cs="Times New Roman"/>
          <w:sz w:val="24"/>
          <w:szCs w:val="24"/>
          <w:lang w:val="en-US"/>
        </w:rPr>
        <w:t xml:space="preserve"> takes place before the economy has reached high per capita income, estimated at </w:t>
      </w:r>
      <w:r w:rsidR="00C4511E" w:rsidRPr="0047178E">
        <w:rPr>
          <w:rFonts w:ascii="Times New Roman" w:hAnsi="Times New Roman" w:cs="Times New Roman"/>
          <w:sz w:val="24"/>
          <w:szCs w:val="24"/>
          <w:lang w:val="en-US"/>
        </w:rPr>
        <w:t xml:space="preserve">US$ </w:t>
      </w:r>
      <w:r w:rsidR="004642C5" w:rsidRPr="0047178E">
        <w:rPr>
          <w:rFonts w:ascii="Times New Roman" w:hAnsi="Times New Roman" w:cs="Times New Roman"/>
          <w:sz w:val="24"/>
          <w:szCs w:val="24"/>
          <w:lang w:val="en-US"/>
        </w:rPr>
        <w:t xml:space="preserve">25,000.00 based on constant 2005 prices </w:t>
      </w:r>
      <w:r w:rsidR="005F6AD7" w:rsidRPr="0047178E">
        <w:rPr>
          <w:rFonts w:ascii="Times New Roman" w:hAnsi="Times New Roman" w:cs="Times New Roman"/>
          <w:sz w:val="24"/>
          <w:szCs w:val="24"/>
          <w:lang w:val="en-US"/>
        </w:rPr>
        <w:t>(Morceiro, 2016),</w:t>
      </w:r>
      <w:r w:rsidR="004642C5" w:rsidRPr="0047178E">
        <w:rPr>
          <w:rFonts w:ascii="Times New Roman" w:hAnsi="Times New Roman" w:cs="Times New Roman"/>
          <w:sz w:val="24"/>
          <w:szCs w:val="24"/>
          <w:lang w:val="en-US"/>
        </w:rPr>
        <w:t xml:space="preserve"> or </w:t>
      </w:r>
      <w:r w:rsidR="005F6AD7" w:rsidRPr="0047178E">
        <w:rPr>
          <w:rFonts w:ascii="Times New Roman" w:hAnsi="Times New Roman" w:cs="Times New Roman"/>
          <w:sz w:val="24"/>
          <w:szCs w:val="24"/>
          <w:lang w:val="en-US"/>
        </w:rPr>
        <w:t>before the</w:t>
      </w:r>
      <w:r w:rsidR="00BD6C04" w:rsidRPr="0047178E">
        <w:rPr>
          <w:rFonts w:ascii="Times New Roman" w:hAnsi="Times New Roman" w:cs="Times New Roman"/>
          <w:sz w:val="24"/>
          <w:szCs w:val="24"/>
          <w:lang w:val="en-US"/>
        </w:rPr>
        <w:t xml:space="preserve"> service sector </w:t>
      </w:r>
      <w:r w:rsidR="005F6AD7" w:rsidRPr="0047178E">
        <w:rPr>
          <w:rFonts w:ascii="Times New Roman" w:hAnsi="Times New Roman" w:cs="Times New Roman"/>
          <w:sz w:val="24"/>
          <w:szCs w:val="24"/>
          <w:lang w:val="en-US"/>
        </w:rPr>
        <w:t>uses</w:t>
      </w:r>
      <w:r w:rsidR="00BD6C04" w:rsidRPr="0047178E">
        <w:rPr>
          <w:rFonts w:ascii="Times New Roman" w:hAnsi="Times New Roman" w:cs="Times New Roman"/>
          <w:sz w:val="24"/>
          <w:szCs w:val="24"/>
          <w:lang w:val="en-US"/>
        </w:rPr>
        <w:t xml:space="preserve"> </w:t>
      </w:r>
      <w:r w:rsidR="004642C5" w:rsidRPr="0047178E">
        <w:rPr>
          <w:rFonts w:ascii="Times New Roman" w:hAnsi="Times New Roman" w:cs="Times New Roman"/>
          <w:sz w:val="24"/>
          <w:szCs w:val="24"/>
          <w:lang w:val="en-US"/>
        </w:rPr>
        <w:t xml:space="preserve">technical improvements </w:t>
      </w:r>
      <w:r w:rsidR="00BD6C04" w:rsidRPr="0047178E">
        <w:rPr>
          <w:rFonts w:ascii="Times New Roman" w:hAnsi="Times New Roman" w:cs="Times New Roman"/>
          <w:sz w:val="24"/>
          <w:szCs w:val="24"/>
          <w:lang w:val="en-US"/>
        </w:rPr>
        <w:t>to increase</w:t>
      </w:r>
      <w:r w:rsidR="004642C5" w:rsidRPr="0047178E">
        <w:rPr>
          <w:rFonts w:ascii="Times New Roman" w:hAnsi="Times New Roman" w:cs="Times New Roman"/>
          <w:sz w:val="24"/>
          <w:szCs w:val="24"/>
          <w:lang w:val="en-US"/>
        </w:rPr>
        <w:t xml:space="preserve"> manufacturing productivity.</w:t>
      </w:r>
    </w:p>
    <w:p w14:paraId="1FAEBBC0" w14:textId="77777777" w:rsidR="004642C5"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In Latin America, </w:t>
      </w:r>
      <w:r w:rsidR="0034564B" w:rsidRPr="0047178E">
        <w:rPr>
          <w:rFonts w:ascii="Times New Roman" w:hAnsi="Times New Roman" w:cs="Times New Roman"/>
          <w:sz w:val="24"/>
          <w:szCs w:val="24"/>
          <w:lang w:val="en-US"/>
        </w:rPr>
        <w:t xml:space="preserve">contrary to developed countries, </w:t>
      </w:r>
      <w:r w:rsidRPr="0047178E">
        <w:rPr>
          <w:rFonts w:ascii="Times New Roman" w:hAnsi="Times New Roman" w:cs="Times New Roman"/>
          <w:sz w:val="24"/>
          <w:szCs w:val="24"/>
          <w:lang w:val="en-US"/>
        </w:rPr>
        <w:t>deindustrialization has been followed by a reduction of the value added to manufacturing processes (</w:t>
      </w:r>
      <w:r w:rsidR="00BD6C04" w:rsidRPr="0047178E">
        <w:rPr>
          <w:rFonts w:ascii="Times New Roman" w:hAnsi="Times New Roman" w:cs="Times New Roman"/>
          <w:sz w:val="24"/>
          <w:szCs w:val="24"/>
          <w:lang w:val="en-US"/>
        </w:rPr>
        <w:t xml:space="preserve">an average 2.0% decrease </w:t>
      </w:r>
      <w:r w:rsidRPr="0047178E">
        <w:rPr>
          <w:rFonts w:ascii="Times New Roman" w:hAnsi="Times New Roman" w:cs="Times New Roman"/>
          <w:sz w:val="24"/>
          <w:szCs w:val="24"/>
          <w:lang w:val="en-US"/>
        </w:rPr>
        <w:t xml:space="preserve">per year </w:t>
      </w:r>
      <w:r w:rsidR="00BD6C04" w:rsidRPr="0047178E">
        <w:rPr>
          <w:rFonts w:ascii="Times New Roman" w:hAnsi="Times New Roman" w:cs="Times New Roman"/>
          <w:sz w:val="24"/>
          <w:szCs w:val="24"/>
          <w:lang w:val="en-US"/>
        </w:rPr>
        <w:t>from</w:t>
      </w:r>
      <w:r w:rsidRPr="0047178E">
        <w:rPr>
          <w:rFonts w:ascii="Times New Roman" w:hAnsi="Times New Roman" w:cs="Times New Roman"/>
          <w:sz w:val="24"/>
          <w:szCs w:val="24"/>
          <w:lang w:val="en-US"/>
        </w:rPr>
        <w:t xml:space="preserve"> 2004 </w:t>
      </w:r>
      <w:r w:rsidR="00BD6C04" w:rsidRPr="0047178E">
        <w:rPr>
          <w:rFonts w:ascii="Times New Roman" w:hAnsi="Times New Roman" w:cs="Times New Roman"/>
          <w:sz w:val="24"/>
          <w:szCs w:val="24"/>
          <w:lang w:val="en-US"/>
        </w:rPr>
        <w:t>to</w:t>
      </w:r>
      <w:r w:rsidRPr="0047178E">
        <w:rPr>
          <w:rFonts w:ascii="Times New Roman" w:hAnsi="Times New Roman" w:cs="Times New Roman"/>
          <w:sz w:val="24"/>
          <w:szCs w:val="24"/>
          <w:lang w:val="en-US"/>
        </w:rPr>
        <w:t xml:space="preserve"> 2014) and low per capita income (</w:t>
      </w:r>
      <w:r w:rsidR="00BD6C04" w:rsidRPr="0047178E">
        <w:rPr>
          <w:rFonts w:ascii="Times New Roman" w:hAnsi="Times New Roman" w:cs="Times New Roman"/>
          <w:sz w:val="24"/>
          <w:szCs w:val="24"/>
          <w:lang w:val="en-US"/>
        </w:rPr>
        <w:t xml:space="preserve">US$ </w:t>
      </w:r>
      <w:r w:rsidRPr="0047178E">
        <w:rPr>
          <w:rFonts w:ascii="Times New Roman" w:hAnsi="Times New Roman" w:cs="Times New Roman"/>
          <w:sz w:val="24"/>
          <w:szCs w:val="24"/>
          <w:lang w:val="en-US"/>
        </w:rPr>
        <w:t>5,000 in 2015), which can be interpreted as early deindustrialization (UNCTAD, 2003).</w:t>
      </w:r>
    </w:p>
    <w:p w14:paraId="0D657617" w14:textId="28E021A0" w:rsidR="004642C5"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The Brazilian case is a clear example of early deindustrialization. According to UNCTAD, per capita income growth averaged 2.3% per year in Brazil </w:t>
      </w:r>
      <w:r w:rsidR="00BD6C04" w:rsidRPr="0047178E">
        <w:rPr>
          <w:rFonts w:ascii="Times New Roman" w:hAnsi="Times New Roman" w:cs="Times New Roman"/>
          <w:sz w:val="24"/>
          <w:szCs w:val="24"/>
          <w:lang w:val="en-US"/>
        </w:rPr>
        <w:t>from</w:t>
      </w:r>
      <w:r w:rsidRPr="0047178E">
        <w:rPr>
          <w:rFonts w:ascii="Times New Roman" w:hAnsi="Times New Roman" w:cs="Times New Roman"/>
          <w:sz w:val="24"/>
          <w:szCs w:val="24"/>
          <w:lang w:val="en-US"/>
        </w:rPr>
        <w:t xml:space="preserve"> 2004 </w:t>
      </w:r>
      <w:r w:rsidR="00BD6C04" w:rsidRPr="0047178E">
        <w:rPr>
          <w:rFonts w:ascii="Times New Roman" w:hAnsi="Times New Roman" w:cs="Times New Roman"/>
          <w:sz w:val="24"/>
          <w:szCs w:val="24"/>
          <w:lang w:val="en-US"/>
        </w:rPr>
        <w:t>to</w:t>
      </w:r>
      <w:r w:rsidRPr="0047178E">
        <w:rPr>
          <w:rFonts w:ascii="Times New Roman" w:hAnsi="Times New Roman" w:cs="Times New Roman"/>
          <w:sz w:val="24"/>
          <w:szCs w:val="24"/>
          <w:lang w:val="en-US"/>
        </w:rPr>
        <w:t xml:space="preserve"> 2014, </w:t>
      </w:r>
      <w:r w:rsidR="0034564B" w:rsidRPr="0047178E">
        <w:rPr>
          <w:rFonts w:ascii="Times New Roman" w:hAnsi="Times New Roman" w:cs="Times New Roman"/>
          <w:sz w:val="24"/>
          <w:szCs w:val="24"/>
          <w:lang w:val="en-US"/>
        </w:rPr>
        <w:t>lower</w:t>
      </w:r>
      <w:r w:rsidRPr="0047178E">
        <w:rPr>
          <w:rFonts w:ascii="Times New Roman" w:hAnsi="Times New Roman" w:cs="Times New Roman"/>
          <w:sz w:val="24"/>
          <w:szCs w:val="24"/>
          <w:lang w:val="en-US"/>
        </w:rPr>
        <w:t xml:space="preserve"> than other Latin American countries</w:t>
      </w:r>
      <w:r w:rsidR="00BD6C04" w:rsidRPr="0047178E">
        <w:rPr>
          <w:rFonts w:ascii="Times New Roman" w:hAnsi="Times New Roman" w:cs="Times New Roman"/>
          <w:sz w:val="24"/>
          <w:szCs w:val="24"/>
          <w:lang w:val="en-US"/>
        </w:rPr>
        <w:t>,</w:t>
      </w:r>
      <w:r w:rsidRPr="0047178E">
        <w:rPr>
          <w:rFonts w:ascii="Times New Roman" w:hAnsi="Times New Roman" w:cs="Times New Roman"/>
          <w:sz w:val="24"/>
          <w:szCs w:val="24"/>
          <w:lang w:val="en-US"/>
        </w:rPr>
        <w:t xml:space="preserve"> </w:t>
      </w:r>
      <w:r w:rsidR="00BD6C04" w:rsidRPr="0047178E">
        <w:rPr>
          <w:rFonts w:ascii="Times New Roman" w:hAnsi="Times New Roman" w:cs="Times New Roman"/>
          <w:sz w:val="24"/>
          <w:szCs w:val="24"/>
          <w:lang w:val="en-US"/>
        </w:rPr>
        <w:t>such as</w:t>
      </w:r>
      <w:r w:rsidRPr="0047178E">
        <w:rPr>
          <w:rFonts w:ascii="Times New Roman" w:hAnsi="Times New Roman" w:cs="Times New Roman"/>
          <w:sz w:val="24"/>
          <w:szCs w:val="24"/>
          <w:lang w:val="en-US"/>
        </w:rPr>
        <w:t xml:space="preserve"> Argentina (3.9%), Chile (3.1%), Colombia (3.5%) and Peru (4.8%). Based on constant 2005 prices, per capita income was </w:t>
      </w:r>
      <w:r w:rsidR="00BD6C04" w:rsidRPr="0047178E">
        <w:rPr>
          <w:rFonts w:ascii="Times New Roman" w:hAnsi="Times New Roman" w:cs="Times New Roman"/>
          <w:sz w:val="24"/>
          <w:szCs w:val="24"/>
          <w:lang w:val="en-US"/>
        </w:rPr>
        <w:t xml:space="preserve">US$ </w:t>
      </w:r>
      <w:r w:rsidRPr="0047178E">
        <w:rPr>
          <w:rFonts w:ascii="Times New Roman" w:hAnsi="Times New Roman" w:cs="Times New Roman"/>
          <w:sz w:val="24"/>
          <w:szCs w:val="24"/>
          <w:lang w:val="en-US"/>
        </w:rPr>
        <w:t>5,600.00 in Brazil in 2015, lower than Argentina's (</w:t>
      </w:r>
      <w:r w:rsidR="00BD6C04" w:rsidRPr="0047178E">
        <w:rPr>
          <w:rFonts w:ascii="Times New Roman" w:hAnsi="Times New Roman" w:cs="Times New Roman"/>
          <w:sz w:val="24"/>
          <w:szCs w:val="24"/>
          <w:lang w:val="en-US"/>
        </w:rPr>
        <w:t xml:space="preserve">US$ </w:t>
      </w:r>
      <w:r w:rsidRPr="0047178E">
        <w:rPr>
          <w:rFonts w:ascii="Times New Roman" w:hAnsi="Times New Roman" w:cs="Times New Roman"/>
          <w:sz w:val="24"/>
          <w:szCs w:val="24"/>
          <w:lang w:val="en-US"/>
        </w:rPr>
        <w:t>7,800.00), Chile's (</w:t>
      </w:r>
      <w:r w:rsidR="00BD6C04" w:rsidRPr="0047178E">
        <w:rPr>
          <w:rFonts w:ascii="Times New Roman" w:hAnsi="Times New Roman" w:cs="Times New Roman"/>
          <w:sz w:val="24"/>
          <w:szCs w:val="24"/>
          <w:lang w:val="en-US"/>
        </w:rPr>
        <w:t>US$</w:t>
      </w:r>
      <w:r w:rsidRPr="0047178E">
        <w:rPr>
          <w:rFonts w:ascii="Times New Roman" w:hAnsi="Times New Roman" w:cs="Times New Roman"/>
          <w:sz w:val="24"/>
          <w:szCs w:val="24"/>
          <w:lang w:val="en-US"/>
        </w:rPr>
        <w:t>9,900.00) and Uruguay</w:t>
      </w:r>
      <w:r w:rsidR="002E6DB1" w:rsidRPr="0047178E">
        <w:rPr>
          <w:rFonts w:ascii="Times New Roman" w:hAnsi="Times New Roman" w:cs="Times New Roman"/>
          <w:sz w:val="24"/>
          <w:szCs w:val="24"/>
          <w:lang w:val="en-US"/>
        </w:rPr>
        <w:t>’s</w:t>
      </w:r>
      <w:r w:rsidRPr="0047178E">
        <w:rPr>
          <w:rFonts w:ascii="Times New Roman" w:hAnsi="Times New Roman" w:cs="Times New Roman"/>
          <w:sz w:val="24"/>
          <w:szCs w:val="24"/>
          <w:lang w:val="en-US"/>
        </w:rPr>
        <w:t xml:space="preserve"> (</w:t>
      </w:r>
      <w:r w:rsidR="00BD6C04" w:rsidRPr="0047178E">
        <w:rPr>
          <w:rFonts w:ascii="Times New Roman" w:hAnsi="Times New Roman" w:cs="Times New Roman"/>
          <w:sz w:val="24"/>
          <w:szCs w:val="24"/>
          <w:lang w:val="en-US"/>
        </w:rPr>
        <w:t xml:space="preserve">US$ </w:t>
      </w:r>
      <w:r w:rsidRPr="0047178E">
        <w:rPr>
          <w:rFonts w:ascii="Times New Roman" w:hAnsi="Times New Roman" w:cs="Times New Roman"/>
          <w:sz w:val="24"/>
          <w:szCs w:val="24"/>
          <w:lang w:val="en-US"/>
        </w:rPr>
        <w:t xml:space="preserve">8,100.00). </w:t>
      </w:r>
    </w:p>
    <w:p w14:paraId="087012D2" w14:textId="40641414" w:rsidR="004642C5"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lastRenderedPageBreak/>
        <w:t>Low income growth and</w:t>
      </w:r>
      <w:r w:rsidR="00BD6C04" w:rsidRPr="0047178E">
        <w:rPr>
          <w:rFonts w:ascii="Times New Roman" w:hAnsi="Times New Roman" w:cs="Times New Roman"/>
          <w:sz w:val="24"/>
          <w:szCs w:val="24"/>
          <w:lang w:val="en-US"/>
        </w:rPr>
        <w:t xml:space="preserve"> a</w:t>
      </w:r>
      <w:r w:rsidRPr="0047178E">
        <w:rPr>
          <w:rFonts w:ascii="Times New Roman" w:hAnsi="Times New Roman" w:cs="Times New Roman"/>
          <w:sz w:val="24"/>
          <w:szCs w:val="24"/>
          <w:lang w:val="en-US"/>
        </w:rPr>
        <w:t xml:space="preserve"> </w:t>
      </w:r>
      <w:r w:rsidR="00BD6C04" w:rsidRPr="0047178E">
        <w:rPr>
          <w:rFonts w:ascii="Times New Roman" w:hAnsi="Times New Roman" w:cs="Times New Roman"/>
          <w:sz w:val="24"/>
          <w:szCs w:val="24"/>
          <w:lang w:val="en-US"/>
        </w:rPr>
        <w:t>decrease</w:t>
      </w:r>
      <w:r w:rsidRPr="0047178E">
        <w:rPr>
          <w:rFonts w:ascii="Times New Roman" w:hAnsi="Times New Roman" w:cs="Times New Roman"/>
          <w:sz w:val="24"/>
          <w:szCs w:val="24"/>
          <w:lang w:val="en-US"/>
        </w:rPr>
        <w:t xml:space="preserve"> </w:t>
      </w:r>
      <w:r w:rsidR="00D70649" w:rsidRPr="0047178E">
        <w:rPr>
          <w:rFonts w:ascii="Times New Roman" w:hAnsi="Times New Roman" w:cs="Times New Roman"/>
          <w:sz w:val="24"/>
          <w:szCs w:val="24"/>
          <w:lang w:val="en-US"/>
        </w:rPr>
        <w:t xml:space="preserve">in the </w:t>
      </w:r>
      <w:r w:rsidR="005F6AD7" w:rsidRPr="0047178E">
        <w:rPr>
          <w:rFonts w:ascii="Times New Roman" w:hAnsi="Times New Roman" w:cs="Times New Roman"/>
          <w:sz w:val="24"/>
          <w:szCs w:val="24"/>
          <w:lang w:val="en-US"/>
        </w:rPr>
        <w:t>share of the manufacturing sector in</w:t>
      </w:r>
      <w:r w:rsidRPr="0047178E">
        <w:rPr>
          <w:rFonts w:ascii="Times New Roman" w:hAnsi="Times New Roman" w:cs="Times New Roman"/>
          <w:sz w:val="24"/>
          <w:szCs w:val="24"/>
          <w:lang w:val="en-US"/>
        </w:rPr>
        <w:t xml:space="preserve"> </w:t>
      </w:r>
      <w:r w:rsidR="00601EFC" w:rsidRPr="0047178E">
        <w:rPr>
          <w:rFonts w:ascii="Times New Roman" w:hAnsi="Times New Roman" w:cs="Times New Roman"/>
          <w:sz w:val="24"/>
          <w:szCs w:val="24"/>
          <w:lang w:val="en-US"/>
        </w:rPr>
        <w:t xml:space="preserve">the </w:t>
      </w:r>
      <w:r w:rsidRPr="0047178E">
        <w:rPr>
          <w:rFonts w:ascii="Times New Roman" w:hAnsi="Times New Roman" w:cs="Times New Roman"/>
          <w:sz w:val="24"/>
          <w:szCs w:val="24"/>
          <w:lang w:val="en-US"/>
        </w:rPr>
        <w:t xml:space="preserve">GDP make a stronger case for early deindustrialization in Brazil. According to UNCTAD, the value added by the Brazilian industrial sector to the country's GDP </w:t>
      </w:r>
      <w:r w:rsidR="00D70649" w:rsidRPr="0047178E">
        <w:rPr>
          <w:rFonts w:ascii="Times New Roman" w:hAnsi="Times New Roman" w:cs="Times New Roman"/>
          <w:sz w:val="24"/>
          <w:szCs w:val="24"/>
          <w:lang w:val="en-US"/>
        </w:rPr>
        <w:t>dropped by 4.4% from</w:t>
      </w:r>
      <w:r w:rsidRPr="0047178E">
        <w:rPr>
          <w:rFonts w:ascii="Times New Roman" w:hAnsi="Times New Roman" w:cs="Times New Roman"/>
          <w:sz w:val="24"/>
          <w:szCs w:val="24"/>
          <w:lang w:val="en-US"/>
        </w:rPr>
        <w:t xml:space="preserve"> 2004 </w:t>
      </w:r>
      <w:r w:rsidR="00D70649" w:rsidRPr="0047178E">
        <w:rPr>
          <w:rFonts w:ascii="Times New Roman" w:hAnsi="Times New Roman" w:cs="Times New Roman"/>
          <w:sz w:val="24"/>
          <w:szCs w:val="24"/>
          <w:lang w:val="en-US"/>
        </w:rPr>
        <w:t>to</w:t>
      </w:r>
      <w:r w:rsidRPr="0047178E">
        <w:rPr>
          <w:rFonts w:ascii="Times New Roman" w:hAnsi="Times New Roman" w:cs="Times New Roman"/>
          <w:sz w:val="24"/>
          <w:szCs w:val="24"/>
          <w:lang w:val="en-US"/>
        </w:rPr>
        <w:t xml:space="preserve"> 2014, which </w:t>
      </w:r>
      <w:r w:rsidR="00D70649" w:rsidRPr="0047178E">
        <w:rPr>
          <w:rFonts w:ascii="Times New Roman" w:hAnsi="Times New Roman" w:cs="Times New Roman"/>
          <w:sz w:val="24"/>
          <w:szCs w:val="24"/>
          <w:lang w:val="en-US"/>
        </w:rPr>
        <w:t>caused</w:t>
      </w:r>
      <w:r w:rsidRPr="0047178E">
        <w:rPr>
          <w:rFonts w:ascii="Times New Roman" w:hAnsi="Times New Roman" w:cs="Times New Roman"/>
          <w:sz w:val="24"/>
          <w:szCs w:val="24"/>
          <w:lang w:val="en-US"/>
        </w:rPr>
        <w:t xml:space="preserve"> Brazil</w:t>
      </w:r>
      <w:r w:rsidR="00D70649" w:rsidRPr="0047178E">
        <w:rPr>
          <w:rFonts w:ascii="Times New Roman" w:hAnsi="Times New Roman" w:cs="Times New Roman"/>
          <w:sz w:val="24"/>
          <w:szCs w:val="24"/>
          <w:lang w:val="en-US"/>
        </w:rPr>
        <w:t xml:space="preserve"> to</w:t>
      </w:r>
      <w:r w:rsidRPr="0047178E">
        <w:rPr>
          <w:rFonts w:ascii="Times New Roman" w:hAnsi="Times New Roman" w:cs="Times New Roman"/>
          <w:sz w:val="24"/>
          <w:szCs w:val="24"/>
          <w:lang w:val="en-US"/>
        </w:rPr>
        <w:t xml:space="preserve"> rank last in this indicator among Latin American countries.</w:t>
      </w:r>
      <w:r w:rsidR="007B4618" w:rsidRPr="0047178E">
        <w:rPr>
          <w:rFonts w:ascii="Times New Roman" w:hAnsi="Times New Roman" w:cs="Times New Roman"/>
          <w:sz w:val="24"/>
          <w:szCs w:val="24"/>
          <w:lang w:val="en-US"/>
        </w:rPr>
        <w:t xml:space="preserve"> It is important to note that </w:t>
      </w:r>
      <w:r w:rsidRPr="0047178E">
        <w:rPr>
          <w:rFonts w:ascii="Times New Roman" w:hAnsi="Times New Roman" w:cs="Times New Roman"/>
          <w:sz w:val="24"/>
          <w:szCs w:val="24"/>
          <w:lang w:val="en-US"/>
        </w:rPr>
        <w:t xml:space="preserve">the 1970s were a time of sound investment to build industrial parks in Brazil, and the industrial sector </w:t>
      </w:r>
      <w:r w:rsidR="0034564B" w:rsidRPr="0047178E">
        <w:rPr>
          <w:rFonts w:ascii="Times New Roman" w:hAnsi="Times New Roman" w:cs="Times New Roman"/>
          <w:sz w:val="24"/>
          <w:szCs w:val="24"/>
          <w:lang w:val="en-US"/>
        </w:rPr>
        <w:t>accounted for</w:t>
      </w:r>
      <w:r w:rsidRPr="0047178E">
        <w:rPr>
          <w:rFonts w:ascii="Times New Roman" w:hAnsi="Times New Roman" w:cs="Times New Roman"/>
          <w:sz w:val="24"/>
          <w:szCs w:val="24"/>
          <w:lang w:val="en-US"/>
        </w:rPr>
        <w:t xml:space="preserve"> 30% of the country's GDP (to a peak of 31.7% in 1974). </w:t>
      </w:r>
      <w:r w:rsidR="0034564B" w:rsidRPr="0047178E">
        <w:rPr>
          <w:rFonts w:ascii="Times New Roman" w:hAnsi="Times New Roman" w:cs="Times New Roman"/>
          <w:sz w:val="24"/>
          <w:szCs w:val="24"/>
          <w:lang w:val="en-US"/>
        </w:rPr>
        <w:t>However</w:t>
      </w:r>
      <w:r w:rsidRPr="0047178E">
        <w:rPr>
          <w:rFonts w:ascii="Times New Roman" w:hAnsi="Times New Roman" w:cs="Times New Roman"/>
          <w:sz w:val="24"/>
          <w:szCs w:val="24"/>
          <w:lang w:val="en-US"/>
        </w:rPr>
        <w:t xml:space="preserve">, the value </w:t>
      </w:r>
      <w:r w:rsidR="00D70649" w:rsidRPr="0047178E">
        <w:rPr>
          <w:rFonts w:ascii="Times New Roman" w:hAnsi="Times New Roman" w:cs="Times New Roman"/>
          <w:sz w:val="24"/>
          <w:szCs w:val="24"/>
          <w:lang w:val="en-US"/>
        </w:rPr>
        <w:t xml:space="preserve">added by the industrial sector </w:t>
      </w:r>
      <w:r w:rsidRPr="0047178E">
        <w:rPr>
          <w:rFonts w:ascii="Times New Roman" w:hAnsi="Times New Roman" w:cs="Times New Roman"/>
          <w:sz w:val="24"/>
          <w:szCs w:val="24"/>
          <w:lang w:val="en-US"/>
        </w:rPr>
        <w:t xml:space="preserve">to Brazil's GDP dropped heavily after its economic opening in 1990. Between 1990 and 1995, this indicator plunged </w:t>
      </w:r>
      <w:r w:rsidR="00D70649" w:rsidRPr="0047178E">
        <w:rPr>
          <w:rFonts w:ascii="Times New Roman" w:hAnsi="Times New Roman" w:cs="Times New Roman"/>
          <w:sz w:val="24"/>
          <w:szCs w:val="24"/>
          <w:lang w:val="en-US"/>
        </w:rPr>
        <w:t xml:space="preserve">by </w:t>
      </w:r>
      <w:r w:rsidRPr="0047178E">
        <w:rPr>
          <w:rFonts w:ascii="Times New Roman" w:hAnsi="Times New Roman" w:cs="Times New Roman"/>
          <w:sz w:val="24"/>
          <w:szCs w:val="24"/>
          <w:lang w:val="en-US"/>
        </w:rPr>
        <w:t xml:space="preserve">32.6%, reaching 17.2% in 1995. In recent years, the share of Brazil's GDP coming from the industrial sector ranked among the lowest in Latin America, </w:t>
      </w:r>
      <w:r w:rsidR="00D70649" w:rsidRPr="0047178E">
        <w:rPr>
          <w:rFonts w:ascii="Times New Roman" w:hAnsi="Times New Roman" w:cs="Times New Roman"/>
          <w:sz w:val="24"/>
          <w:szCs w:val="24"/>
          <w:lang w:val="en-US"/>
        </w:rPr>
        <w:t>accounting for as little as</w:t>
      </w:r>
      <w:r w:rsidRPr="0047178E">
        <w:rPr>
          <w:rFonts w:ascii="Times New Roman" w:hAnsi="Times New Roman" w:cs="Times New Roman"/>
          <w:sz w:val="24"/>
          <w:szCs w:val="24"/>
          <w:lang w:val="en-US"/>
        </w:rPr>
        <w:t xml:space="preserve"> 1</w:t>
      </w:r>
      <w:r w:rsidR="0034564B" w:rsidRPr="0047178E">
        <w:rPr>
          <w:rFonts w:ascii="Times New Roman" w:hAnsi="Times New Roman" w:cs="Times New Roman"/>
          <w:sz w:val="24"/>
          <w:szCs w:val="24"/>
          <w:lang w:val="en-US"/>
        </w:rPr>
        <w:t xml:space="preserve">0.1% in 2014, </w:t>
      </w:r>
      <w:r w:rsidR="004F3815" w:rsidRPr="0047178E">
        <w:rPr>
          <w:rFonts w:ascii="Times New Roman" w:hAnsi="Times New Roman" w:cs="Times New Roman"/>
          <w:sz w:val="24"/>
          <w:szCs w:val="24"/>
          <w:lang w:val="en-US"/>
        </w:rPr>
        <w:t xml:space="preserve">only higher than </w:t>
      </w:r>
      <w:r w:rsidR="0034564B" w:rsidRPr="0047178E">
        <w:rPr>
          <w:rFonts w:ascii="Times New Roman" w:hAnsi="Times New Roman" w:cs="Times New Roman"/>
          <w:sz w:val="24"/>
          <w:szCs w:val="24"/>
          <w:lang w:val="en-US"/>
        </w:rPr>
        <w:t>Gu</w:t>
      </w:r>
      <w:r w:rsidR="00A7215B" w:rsidRPr="0047178E">
        <w:rPr>
          <w:rFonts w:ascii="Times New Roman" w:hAnsi="Times New Roman" w:cs="Times New Roman"/>
          <w:sz w:val="24"/>
          <w:szCs w:val="24"/>
          <w:lang w:val="en-US"/>
        </w:rPr>
        <w:t>i</w:t>
      </w:r>
      <w:r w:rsidRPr="0047178E">
        <w:rPr>
          <w:rFonts w:ascii="Times New Roman" w:hAnsi="Times New Roman" w:cs="Times New Roman"/>
          <w:sz w:val="24"/>
          <w:szCs w:val="24"/>
          <w:lang w:val="en-US"/>
        </w:rPr>
        <w:t>ana (6%).</w:t>
      </w:r>
    </w:p>
    <w:p w14:paraId="4E8EBA2F" w14:textId="77777777" w:rsidR="004642C5"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It is important to highlight that the country has been receiving significant FDI since its economic opening, but </w:t>
      </w:r>
      <w:r w:rsidR="00D70649" w:rsidRPr="0047178E">
        <w:rPr>
          <w:rFonts w:ascii="Times New Roman" w:hAnsi="Times New Roman" w:cs="Times New Roman"/>
          <w:sz w:val="24"/>
          <w:szCs w:val="24"/>
          <w:lang w:val="en-US"/>
        </w:rPr>
        <w:t>such</w:t>
      </w:r>
      <w:r w:rsidRPr="0047178E">
        <w:rPr>
          <w:rFonts w:ascii="Times New Roman" w:hAnsi="Times New Roman" w:cs="Times New Roman"/>
          <w:sz w:val="24"/>
          <w:szCs w:val="24"/>
          <w:lang w:val="en-US"/>
        </w:rPr>
        <w:t xml:space="preserve"> </w:t>
      </w:r>
      <w:r w:rsidR="00D70649" w:rsidRPr="0047178E">
        <w:rPr>
          <w:rFonts w:ascii="Times New Roman" w:hAnsi="Times New Roman" w:cs="Times New Roman"/>
          <w:sz w:val="24"/>
          <w:szCs w:val="24"/>
          <w:lang w:val="en-US"/>
        </w:rPr>
        <w:t>investments</w:t>
      </w:r>
      <w:r w:rsidRPr="0047178E">
        <w:rPr>
          <w:rFonts w:ascii="Times New Roman" w:hAnsi="Times New Roman" w:cs="Times New Roman"/>
          <w:sz w:val="24"/>
          <w:szCs w:val="24"/>
          <w:lang w:val="en-US"/>
        </w:rPr>
        <w:t xml:space="preserve"> in the country ha</w:t>
      </w:r>
      <w:r w:rsidR="00D70649" w:rsidRPr="0047178E">
        <w:rPr>
          <w:rFonts w:ascii="Times New Roman" w:hAnsi="Times New Roman" w:cs="Times New Roman"/>
          <w:sz w:val="24"/>
          <w:szCs w:val="24"/>
          <w:lang w:val="en-US"/>
        </w:rPr>
        <w:t>ve</w:t>
      </w:r>
      <w:r w:rsidRPr="0047178E">
        <w:rPr>
          <w:rFonts w:ascii="Times New Roman" w:hAnsi="Times New Roman" w:cs="Times New Roman"/>
          <w:sz w:val="24"/>
          <w:szCs w:val="24"/>
          <w:lang w:val="en-US"/>
        </w:rPr>
        <w:t xml:space="preserve"> not yielded results </w:t>
      </w:r>
      <w:r w:rsidR="008E48C8" w:rsidRPr="0047178E">
        <w:rPr>
          <w:rFonts w:ascii="Times New Roman" w:hAnsi="Times New Roman" w:cs="Times New Roman"/>
          <w:sz w:val="24"/>
          <w:szCs w:val="24"/>
          <w:lang w:val="en-US"/>
        </w:rPr>
        <w:t>such as</w:t>
      </w:r>
      <w:r w:rsidRPr="0047178E">
        <w:rPr>
          <w:rFonts w:ascii="Times New Roman" w:hAnsi="Times New Roman" w:cs="Times New Roman"/>
          <w:sz w:val="24"/>
          <w:szCs w:val="24"/>
          <w:lang w:val="en-US"/>
        </w:rPr>
        <w:t xml:space="preserve"> productivity growth due to </w:t>
      </w:r>
      <w:r w:rsidR="008E48C8" w:rsidRPr="0047178E">
        <w:rPr>
          <w:rFonts w:ascii="Times New Roman" w:hAnsi="Times New Roman" w:cs="Times New Roman"/>
          <w:sz w:val="24"/>
          <w:szCs w:val="24"/>
          <w:lang w:val="en-US"/>
        </w:rPr>
        <w:t>improved</w:t>
      </w:r>
      <w:r w:rsidRPr="0047178E">
        <w:rPr>
          <w:rFonts w:ascii="Times New Roman" w:hAnsi="Times New Roman" w:cs="Times New Roman"/>
          <w:sz w:val="24"/>
          <w:szCs w:val="24"/>
          <w:lang w:val="en-US"/>
        </w:rPr>
        <w:t xml:space="preserve"> technologies at industrial parks. According to </w:t>
      </w:r>
      <w:r w:rsidR="008E48C8" w:rsidRPr="0047178E">
        <w:rPr>
          <w:rFonts w:ascii="Times New Roman" w:hAnsi="Times New Roman" w:cs="Times New Roman"/>
          <w:sz w:val="24"/>
          <w:szCs w:val="24"/>
          <w:lang w:val="en-US"/>
        </w:rPr>
        <w:t>the</w:t>
      </w:r>
      <w:r w:rsidRPr="0047178E">
        <w:rPr>
          <w:rFonts w:ascii="Times New Roman" w:hAnsi="Times New Roman" w:cs="Times New Roman"/>
          <w:sz w:val="24"/>
          <w:szCs w:val="24"/>
          <w:lang w:val="en-US"/>
        </w:rPr>
        <w:t xml:space="preserve"> </w:t>
      </w:r>
      <w:r w:rsidR="008E48C8" w:rsidRPr="0047178E">
        <w:rPr>
          <w:rFonts w:ascii="Times New Roman" w:hAnsi="Times New Roman" w:cs="Times New Roman"/>
          <w:sz w:val="24"/>
          <w:szCs w:val="24"/>
          <w:lang w:val="en-US"/>
        </w:rPr>
        <w:t>foreign capital Census</w:t>
      </w:r>
      <w:r w:rsidRPr="0047178E">
        <w:rPr>
          <w:rFonts w:ascii="Times New Roman" w:hAnsi="Times New Roman" w:cs="Times New Roman"/>
          <w:sz w:val="24"/>
          <w:szCs w:val="24"/>
          <w:lang w:val="en-US"/>
        </w:rPr>
        <w:t xml:space="preserve"> published by the Brazilian Central Bank, FDI </w:t>
      </w:r>
      <w:r w:rsidR="00262882" w:rsidRPr="0047178E">
        <w:rPr>
          <w:rFonts w:ascii="Times New Roman" w:hAnsi="Times New Roman" w:cs="Times New Roman"/>
          <w:sz w:val="24"/>
          <w:szCs w:val="24"/>
          <w:lang w:val="en-US"/>
        </w:rPr>
        <w:t xml:space="preserve">stock </w:t>
      </w:r>
      <w:r w:rsidRPr="0047178E">
        <w:rPr>
          <w:rFonts w:ascii="Times New Roman" w:hAnsi="Times New Roman" w:cs="Times New Roman"/>
          <w:sz w:val="24"/>
          <w:szCs w:val="24"/>
          <w:lang w:val="en-US"/>
        </w:rPr>
        <w:t xml:space="preserve">grew </w:t>
      </w:r>
      <w:r w:rsidR="00262882" w:rsidRPr="0047178E">
        <w:rPr>
          <w:rFonts w:ascii="Times New Roman" w:hAnsi="Times New Roman" w:cs="Times New Roman"/>
          <w:sz w:val="24"/>
          <w:szCs w:val="24"/>
          <w:lang w:val="en-US"/>
        </w:rPr>
        <w:t xml:space="preserve">by </w:t>
      </w:r>
      <w:r w:rsidRPr="0047178E">
        <w:rPr>
          <w:rFonts w:ascii="Times New Roman" w:hAnsi="Times New Roman" w:cs="Times New Roman"/>
          <w:sz w:val="24"/>
          <w:szCs w:val="24"/>
          <w:lang w:val="en-US"/>
        </w:rPr>
        <w:t xml:space="preserve">an average of 13% per year in Brazil </w:t>
      </w:r>
      <w:r w:rsidR="008E48C8" w:rsidRPr="0047178E">
        <w:rPr>
          <w:rFonts w:ascii="Times New Roman" w:hAnsi="Times New Roman" w:cs="Times New Roman"/>
          <w:sz w:val="24"/>
          <w:szCs w:val="24"/>
          <w:lang w:val="en-US"/>
        </w:rPr>
        <w:t>from</w:t>
      </w:r>
      <w:r w:rsidRPr="0047178E">
        <w:rPr>
          <w:rFonts w:ascii="Times New Roman" w:hAnsi="Times New Roman" w:cs="Times New Roman"/>
          <w:sz w:val="24"/>
          <w:szCs w:val="24"/>
          <w:lang w:val="en-US"/>
        </w:rPr>
        <w:t xml:space="preserve"> 1995 </w:t>
      </w:r>
      <w:r w:rsidR="008E48C8" w:rsidRPr="0047178E">
        <w:rPr>
          <w:rFonts w:ascii="Times New Roman" w:hAnsi="Times New Roman" w:cs="Times New Roman"/>
          <w:sz w:val="24"/>
          <w:szCs w:val="24"/>
          <w:lang w:val="en-US"/>
        </w:rPr>
        <w:t>to</w:t>
      </w:r>
      <w:r w:rsidRPr="0047178E">
        <w:rPr>
          <w:rFonts w:ascii="Times New Roman" w:hAnsi="Times New Roman" w:cs="Times New Roman"/>
          <w:sz w:val="24"/>
          <w:szCs w:val="24"/>
          <w:lang w:val="en-US"/>
        </w:rPr>
        <w:t xml:space="preserve"> 2014, while productivity dropped </w:t>
      </w:r>
      <w:r w:rsidR="008E48C8" w:rsidRPr="0047178E">
        <w:rPr>
          <w:rFonts w:ascii="Times New Roman" w:hAnsi="Times New Roman" w:cs="Times New Roman"/>
          <w:sz w:val="24"/>
          <w:szCs w:val="24"/>
          <w:lang w:val="en-US"/>
        </w:rPr>
        <w:t>by</w:t>
      </w:r>
      <w:r w:rsidRPr="0047178E">
        <w:rPr>
          <w:rFonts w:ascii="Times New Roman" w:hAnsi="Times New Roman" w:cs="Times New Roman"/>
          <w:sz w:val="24"/>
          <w:szCs w:val="24"/>
          <w:lang w:val="en-US"/>
        </w:rPr>
        <w:t xml:space="preserve"> 1.3% per year</w:t>
      </w:r>
      <w:r w:rsidR="008E48C8" w:rsidRPr="0047178E">
        <w:rPr>
          <w:rFonts w:ascii="Times New Roman" w:hAnsi="Times New Roman" w:cs="Times New Roman"/>
          <w:sz w:val="24"/>
          <w:szCs w:val="24"/>
          <w:lang w:val="en-US"/>
        </w:rPr>
        <w:t xml:space="preserve"> on average.</w:t>
      </w:r>
    </w:p>
    <w:p w14:paraId="54898A3E" w14:textId="77777777" w:rsidR="004642C5"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Although there was </w:t>
      </w:r>
      <w:r w:rsidR="00EF3800" w:rsidRPr="0047178E">
        <w:rPr>
          <w:rFonts w:ascii="Times New Roman" w:hAnsi="Times New Roman" w:cs="Times New Roman"/>
          <w:sz w:val="24"/>
          <w:szCs w:val="24"/>
          <w:lang w:val="en-US"/>
        </w:rPr>
        <w:t>an</w:t>
      </w:r>
      <w:r w:rsidRPr="0047178E">
        <w:rPr>
          <w:rFonts w:ascii="Times New Roman" w:hAnsi="Times New Roman" w:cs="Times New Roman"/>
          <w:sz w:val="24"/>
          <w:szCs w:val="24"/>
          <w:lang w:val="en-US"/>
        </w:rPr>
        <w:t xml:space="preserve"> increase in overall investments made in the Brazilian economy in the 2000s – especially between 2003 and 2008, when the investment growth rate (4.8% per year) was higher than </w:t>
      </w:r>
      <w:r w:rsidR="008E48C8" w:rsidRPr="0047178E">
        <w:rPr>
          <w:rFonts w:ascii="Times New Roman" w:hAnsi="Times New Roman" w:cs="Times New Roman"/>
          <w:sz w:val="24"/>
          <w:szCs w:val="24"/>
          <w:lang w:val="en-US"/>
        </w:rPr>
        <w:t>the growth in</w:t>
      </w:r>
      <w:r w:rsidRPr="0047178E">
        <w:rPr>
          <w:rFonts w:ascii="Times New Roman" w:hAnsi="Times New Roman" w:cs="Times New Roman"/>
          <w:sz w:val="24"/>
          <w:szCs w:val="24"/>
          <w:lang w:val="en-US"/>
        </w:rPr>
        <w:t xml:space="preserve"> value </w:t>
      </w:r>
      <w:r w:rsidR="008E48C8" w:rsidRPr="0047178E">
        <w:rPr>
          <w:rFonts w:ascii="Times New Roman" w:hAnsi="Times New Roman" w:cs="Times New Roman"/>
          <w:sz w:val="24"/>
          <w:szCs w:val="24"/>
          <w:lang w:val="en-US"/>
        </w:rPr>
        <w:t xml:space="preserve">added </w:t>
      </w:r>
      <w:r w:rsidRPr="0047178E">
        <w:rPr>
          <w:rFonts w:ascii="Times New Roman" w:hAnsi="Times New Roman" w:cs="Times New Roman"/>
          <w:sz w:val="24"/>
          <w:szCs w:val="24"/>
          <w:lang w:val="en-US"/>
        </w:rPr>
        <w:t>(3.2% per year) –, the</w:t>
      </w:r>
      <w:r w:rsidR="00DF0DAE" w:rsidRPr="0047178E">
        <w:rPr>
          <w:rFonts w:ascii="Times New Roman" w:hAnsi="Times New Roman" w:cs="Times New Roman"/>
          <w:sz w:val="24"/>
          <w:szCs w:val="24"/>
          <w:lang w:val="en-US"/>
        </w:rPr>
        <w:t xml:space="preserve"> purpose of such investments should be looked into</w:t>
      </w:r>
      <w:r w:rsidRPr="0047178E">
        <w:rPr>
          <w:rFonts w:ascii="Times New Roman" w:hAnsi="Times New Roman" w:cs="Times New Roman"/>
          <w:sz w:val="24"/>
          <w:szCs w:val="24"/>
          <w:lang w:val="en-US"/>
        </w:rPr>
        <w:t xml:space="preserve">. </w:t>
      </w:r>
      <w:r w:rsidR="008E48C8" w:rsidRPr="0047178E">
        <w:rPr>
          <w:rFonts w:ascii="Times New Roman" w:hAnsi="Times New Roman" w:cs="Times New Roman"/>
          <w:sz w:val="24"/>
          <w:szCs w:val="24"/>
          <w:lang w:val="en-US"/>
        </w:rPr>
        <w:t>The main investments were made to</w:t>
      </w:r>
      <w:r w:rsidRPr="0047178E">
        <w:rPr>
          <w:rFonts w:ascii="Times New Roman" w:hAnsi="Times New Roman" w:cs="Times New Roman"/>
          <w:sz w:val="24"/>
          <w:szCs w:val="24"/>
          <w:lang w:val="en-US"/>
        </w:rPr>
        <w:t xml:space="preserve"> </w:t>
      </w:r>
      <w:r w:rsidR="008E48C8" w:rsidRPr="0047178E">
        <w:rPr>
          <w:rFonts w:ascii="Times New Roman" w:hAnsi="Times New Roman" w:cs="Times New Roman"/>
          <w:sz w:val="24"/>
          <w:szCs w:val="24"/>
          <w:lang w:val="en-US"/>
        </w:rPr>
        <w:t>replace</w:t>
      </w:r>
      <w:r w:rsidRPr="0047178E">
        <w:rPr>
          <w:rFonts w:ascii="Times New Roman" w:hAnsi="Times New Roman" w:cs="Times New Roman"/>
          <w:sz w:val="24"/>
          <w:szCs w:val="24"/>
          <w:lang w:val="en-US"/>
        </w:rPr>
        <w:t xml:space="preserve"> depreciated capital, not to expand and diversify the country's industrial infrastructure (Bielschowsky et al., 2015; Carvalho and Kupfer, 2011). </w:t>
      </w:r>
    </w:p>
    <w:p w14:paraId="3B895F50" w14:textId="3B0F50E4" w:rsidR="004642C5"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As </w:t>
      </w:r>
      <w:r w:rsidR="00402802" w:rsidRPr="0047178E">
        <w:rPr>
          <w:rFonts w:ascii="Times New Roman" w:hAnsi="Times New Roman" w:cs="Times New Roman"/>
          <w:sz w:val="24"/>
          <w:szCs w:val="24"/>
          <w:lang w:val="en-US"/>
        </w:rPr>
        <w:t>one of the</w:t>
      </w:r>
      <w:r w:rsidRPr="0047178E">
        <w:rPr>
          <w:rFonts w:ascii="Times New Roman" w:hAnsi="Times New Roman" w:cs="Times New Roman"/>
          <w:sz w:val="24"/>
          <w:szCs w:val="24"/>
          <w:lang w:val="en-US"/>
        </w:rPr>
        <w:t xml:space="preserve"> result</w:t>
      </w:r>
      <w:r w:rsidR="00402802" w:rsidRPr="0047178E">
        <w:rPr>
          <w:rFonts w:ascii="Times New Roman" w:hAnsi="Times New Roman" w:cs="Times New Roman"/>
          <w:sz w:val="24"/>
          <w:szCs w:val="24"/>
          <w:lang w:val="en-US"/>
        </w:rPr>
        <w:t xml:space="preserve">s </w:t>
      </w:r>
      <w:r w:rsidR="004F3815" w:rsidRPr="0047178E">
        <w:rPr>
          <w:rFonts w:ascii="Times New Roman" w:hAnsi="Times New Roman" w:cs="Times New Roman"/>
          <w:sz w:val="24"/>
          <w:szCs w:val="24"/>
          <w:lang w:val="en-US"/>
        </w:rPr>
        <w:t xml:space="preserve">of </w:t>
      </w:r>
      <w:r w:rsidR="00402802" w:rsidRPr="0047178E">
        <w:rPr>
          <w:rFonts w:ascii="Times New Roman" w:hAnsi="Times New Roman" w:cs="Times New Roman"/>
          <w:sz w:val="24"/>
          <w:szCs w:val="24"/>
          <w:lang w:val="en-US"/>
        </w:rPr>
        <w:t>this process</w:t>
      </w:r>
      <w:r w:rsidRPr="0047178E">
        <w:rPr>
          <w:rFonts w:ascii="Times New Roman" w:hAnsi="Times New Roman" w:cs="Times New Roman"/>
          <w:sz w:val="24"/>
          <w:szCs w:val="24"/>
          <w:lang w:val="en-US"/>
        </w:rPr>
        <w:t>,</w:t>
      </w:r>
      <w:r w:rsidR="004F3815" w:rsidRPr="0047178E">
        <w:rPr>
          <w:rFonts w:ascii="Times New Roman" w:hAnsi="Times New Roman" w:cs="Times New Roman"/>
          <w:sz w:val="24"/>
          <w:szCs w:val="24"/>
          <w:lang w:val="en-US"/>
        </w:rPr>
        <w:t xml:space="preserve"> there has been an increase in the share of basic goods in Brazilian exports and </w:t>
      </w:r>
      <w:r w:rsidR="00543D5F" w:rsidRPr="0047178E">
        <w:rPr>
          <w:rFonts w:ascii="Times New Roman" w:hAnsi="Times New Roman" w:cs="Times New Roman"/>
          <w:sz w:val="24"/>
          <w:szCs w:val="24"/>
          <w:lang w:val="en-US"/>
        </w:rPr>
        <w:t xml:space="preserve">in the share </w:t>
      </w:r>
      <w:r w:rsidR="004F3815" w:rsidRPr="0047178E">
        <w:rPr>
          <w:rFonts w:ascii="Times New Roman" w:hAnsi="Times New Roman" w:cs="Times New Roman"/>
          <w:sz w:val="24"/>
          <w:szCs w:val="24"/>
          <w:lang w:val="en-US"/>
        </w:rPr>
        <w:t>of high value</w:t>
      </w:r>
      <w:r w:rsidR="002A2B5A" w:rsidRPr="0047178E">
        <w:rPr>
          <w:rFonts w:ascii="Times New Roman" w:hAnsi="Times New Roman" w:cs="Times New Roman"/>
          <w:sz w:val="24"/>
          <w:szCs w:val="24"/>
          <w:lang w:val="en-US"/>
        </w:rPr>
        <w:t xml:space="preserve"> </w:t>
      </w:r>
      <w:r w:rsidR="004F3815" w:rsidRPr="0047178E">
        <w:rPr>
          <w:rFonts w:ascii="Times New Roman" w:hAnsi="Times New Roman" w:cs="Times New Roman"/>
          <w:sz w:val="24"/>
          <w:szCs w:val="24"/>
          <w:lang w:val="en-US"/>
        </w:rPr>
        <w:t>added industrialized goods in the country’s imports.</w:t>
      </w:r>
      <w:r w:rsidRPr="0047178E">
        <w:rPr>
          <w:rFonts w:ascii="Times New Roman" w:hAnsi="Times New Roman" w:cs="Times New Roman"/>
          <w:sz w:val="24"/>
          <w:szCs w:val="24"/>
          <w:lang w:val="en-US"/>
        </w:rPr>
        <w:t xml:space="preserve"> An analysis of export and import penetration </w:t>
      </w:r>
      <w:r w:rsidR="004F3815" w:rsidRPr="0047178E">
        <w:rPr>
          <w:rFonts w:ascii="Times New Roman" w:hAnsi="Times New Roman" w:cs="Times New Roman"/>
          <w:sz w:val="24"/>
          <w:szCs w:val="24"/>
          <w:lang w:val="en-US"/>
        </w:rPr>
        <w:t xml:space="preserve">coefficients </w:t>
      </w:r>
      <w:r w:rsidRPr="0047178E">
        <w:rPr>
          <w:rFonts w:ascii="Times New Roman" w:hAnsi="Times New Roman" w:cs="Times New Roman"/>
          <w:sz w:val="24"/>
          <w:szCs w:val="24"/>
          <w:lang w:val="en-US"/>
        </w:rPr>
        <w:t xml:space="preserve">based on data published by the Brazilian National Confederation of the Industrial Sector (CNI) shows that the export coefficient of the Brazilian </w:t>
      </w:r>
      <w:r w:rsidR="0007027E" w:rsidRPr="0047178E">
        <w:rPr>
          <w:rFonts w:ascii="Times New Roman" w:hAnsi="Times New Roman" w:cs="Times New Roman"/>
          <w:sz w:val="24"/>
          <w:szCs w:val="24"/>
          <w:lang w:val="en-US"/>
        </w:rPr>
        <w:t>manufacturing</w:t>
      </w:r>
      <w:r w:rsidRPr="0047178E">
        <w:rPr>
          <w:rFonts w:ascii="Times New Roman" w:hAnsi="Times New Roman" w:cs="Times New Roman"/>
          <w:sz w:val="24"/>
          <w:szCs w:val="24"/>
          <w:lang w:val="en-US"/>
        </w:rPr>
        <w:t xml:space="preserve"> industry grew at an average of 0.1% per year during </w:t>
      </w:r>
      <w:r w:rsidR="00507941" w:rsidRPr="0047178E">
        <w:rPr>
          <w:rFonts w:ascii="Times New Roman" w:hAnsi="Times New Roman" w:cs="Times New Roman"/>
          <w:sz w:val="24"/>
          <w:szCs w:val="24"/>
          <w:lang w:val="en-US"/>
        </w:rPr>
        <w:t>the</w:t>
      </w:r>
      <w:r w:rsidRPr="0047178E">
        <w:rPr>
          <w:rFonts w:ascii="Times New Roman" w:hAnsi="Times New Roman" w:cs="Times New Roman"/>
          <w:sz w:val="24"/>
          <w:szCs w:val="24"/>
          <w:lang w:val="en-US"/>
        </w:rPr>
        <w:t xml:space="preserve"> period of investment growth (2003 through 2008), meaning it grew </w:t>
      </w:r>
      <w:r w:rsidR="00A20AC9" w:rsidRPr="0047178E">
        <w:rPr>
          <w:rFonts w:ascii="Times New Roman" w:hAnsi="Times New Roman" w:cs="Times New Roman"/>
          <w:sz w:val="24"/>
          <w:szCs w:val="24"/>
          <w:lang w:val="en-US"/>
        </w:rPr>
        <w:t xml:space="preserve">significantly </w:t>
      </w:r>
      <w:r w:rsidRPr="0047178E">
        <w:rPr>
          <w:rFonts w:ascii="Times New Roman" w:hAnsi="Times New Roman" w:cs="Times New Roman"/>
          <w:sz w:val="24"/>
          <w:szCs w:val="24"/>
          <w:lang w:val="en-US"/>
        </w:rPr>
        <w:t>less than the extraction industry (4% per y</w:t>
      </w:r>
      <w:r w:rsidR="00EF3800" w:rsidRPr="0047178E">
        <w:rPr>
          <w:rFonts w:ascii="Times New Roman" w:hAnsi="Times New Roman" w:cs="Times New Roman"/>
          <w:sz w:val="24"/>
          <w:szCs w:val="24"/>
          <w:lang w:val="en-US"/>
        </w:rPr>
        <w:t>ear).</w:t>
      </w:r>
      <w:r w:rsidRPr="0047178E">
        <w:rPr>
          <w:rFonts w:ascii="Times New Roman" w:hAnsi="Times New Roman" w:cs="Times New Roman"/>
          <w:sz w:val="24"/>
          <w:szCs w:val="24"/>
          <w:lang w:val="en-US"/>
        </w:rPr>
        <w:t xml:space="preserve"> On the other hand, the </w:t>
      </w:r>
      <w:r w:rsidR="0007027E" w:rsidRPr="0047178E">
        <w:rPr>
          <w:rFonts w:ascii="Times New Roman" w:hAnsi="Times New Roman" w:cs="Times New Roman"/>
          <w:sz w:val="24"/>
          <w:szCs w:val="24"/>
          <w:lang w:val="en-US"/>
        </w:rPr>
        <w:t>manufacturing</w:t>
      </w:r>
      <w:r w:rsidRPr="0047178E">
        <w:rPr>
          <w:rFonts w:ascii="Times New Roman" w:hAnsi="Times New Roman" w:cs="Times New Roman"/>
          <w:sz w:val="24"/>
          <w:szCs w:val="24"/>
          <w:lang w:val="en-US"/>
        </w:rPr>
        <w:t xml:space="preserve"> industry's </w:t>
      </w:r>
      <w:r w:rsidR="009404DD" w:rsidRPr="0047178E">
        <w:rPr>
          <w:rFonts w:ascii="Times New Roman" w:hAnsi="Times New Roman" w:cs="Times New Roman"/>
          <w:sz w:val="24"/>
          <w:szCs w:val="24"/>
          <w:lang w:val="en-US"/>
        </w:rPr>
        <w:t xml:space="preserve">import </w:t>
      </w:r>
      <w:r w:rsidRPr="0047178E">
        <w:rPr>
          <w:rFonts w:ascii="Times New Roman" w:hAnsi="Times New Roman" w:cs="Times New Roman"/>
          <w:sz w:val="24"/>
          <w:szCs w:val="24"/>
          <w:lang w:val="en-US"/>
        </w:rPr>
        <w:t xml:space="preserve">penetration coefficient grew </w:t>
      </w:r>
      <w:r w:rsidR="009404DD" w:rsidRPr="0047178E">
        <w:rPr>
          <w:rFonts w:ascii="Times New Roman" w:hAnsi="Times New Roman" w:cs="Times New Roman"/>
          <w:sz w:val="24"/>
          <w:szCs w:val="24"/>
          <w:lang w:val="en-US"/>
        </w:rPr>
        <w:t>considerably</w:t>
      </w:r>
      <w:r w:rsidRPr="0047178E">
        <w:rPr>
          <w:rFonts w:ascii="Times New Roman" w:hAnsi="Times New Roman" w:cs="Times New Roman"/>
          <w:sz w:val="24"/>
          <w:szCs w:val="24"/>
          <w:lang w:val="en-US"/>
        </w:rPr>
        <w:t xml:space="preserve"> (9% per year) due t</w:t>
      </w:r>
      <w:r w:rsidR="00507941" w:rsidRPr="0047178E">
        <w:rPr>
          <w:rFonts w:ascii="Times New Roman" w:hAnsi="Times New Roman" w:cs="Times New Roman"/>
          <w:sz w:val="24"/>
          <w:szCs w:val="24"/>
          <w:lang w:val="en-US"/>
        </w:rPr>
        <w:t>o a boost by high-tech</w:t>
      </w:r>
      <w:r w:rsidR="004F3815" w:rsidRPr="0047178E">
        <w:rPr>
          <w:rFonts w:ascii="Times New Roman" w:hAnsi="Times New Roman" w:cs="Times New Roman"/>
          <w:sz w:val="24"/>
          <w:szCs w:val="24"/>
          <w:lang w:val="en-US"/>
        </w:rPr>
        <w:t>nology</w:t>
      </w:r>
      <w:r w:rsidR="00507941" w:rsidRPr="0047178E">
        <w:rPr>
          <w:rFonts w:ascii="Times New Roman" w:hAnsi="Times New Roman" w:cs="Times New Roman"/>
          <w:sz w:val="24"/>
          <w:szCs w:val="24"/>
          <w:lang w:val="en-US"/>
        </w:rPr>
        <w:t xml:space="preserve"> segments, such as information technology</w:t>
      </w:r>
      <w:r w:rsidRPr="0047178E">
        <w:rPr>
          <w:rFonts w:ascii="Times New Roman" w:hAnsi="Times New Roman" w:cs="Times New Roman"/>
          <w:sz w:val="24"/>
          <w:szCs w:val="24"/>
          <w:lang w:val="en-US"/>
        </w:rPr>
        <w:t>, electronics, optical devices, chemicals and electrical supplies.</w:t>
      </w:r>
    </w:p>
    <w:p w14:paraId="201A6465" w14:textId="56CE07AD" w:rsidR="009D1264"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CNI's data </w:t>
      </w:r>
      <w:r w:rsidR="009404DD" w:rsidRPr="0047178E">
        <w:rPr>
          <w:rFonts w:ascii="Times New Roman" w:hAnsi="Times New Roman" w:cs="Times New Roman"/>
          <w:sz w:val="24"/>
          <w:szCs w:val="24"/>
          <w:lang w:val="en-US"/>
        </w:rPr>
        <w:t>indicate</w:t>
      </w:r>
      <w:r w:rsidRPr="0047178E">
        <w:rPr>
          <w:rFonts w:ascii="Times New Roman" w:hAnsi="Times New Roman" w:cs="Times New Roman"/>
          <w:sz w:val="24"/>
          <w:szCs w:val="24"/>
          <w:lang w:val="en-US"/>
        </w:rPr>
        <w:t xml:space="preserve"> that </w:t>
      </w:r>
      <w:r w:rsidR="00543D5F" w:rsidRPr="0047178E">
        <w:rPr>
          <w:rFonts w:ascii="Times New Roman" w:hAnsi="Times New Roman" w:cs="Times New Roman"/>
          <w:sz w:val="24"/>
          <w:szCs w:val="24"/>
          <w:lang w:val="en-US"/>
        </w:rPr>
        <w:t xml:space="preserve">the </w:t>
      </w:r>
      <w:r w:rsidR="009404DD" w:rsidRPr="0047178E">
        <w:rPr>
          <w:rFonts w:ascii="Times New Roman" w:hAnsi="Times New Roman" w:cs="Times New Roman"/>
          <w:sz w:val="24"/>
          <w:szCs w:val="24"/>
          <w:lang w:val="en-US"/>
        </w:rPr>
        <w:t>trade</w:t>
      </w:r>
      <w:r w:rsidRPr="0047178E">
        <w:rPr>
          <w:rFonts w:ascii="Times New Roman" w:hAnsi="Times New Roman" w:cs="Times New Roman"/>
          <w:sz w:val="24"/>
          <w:szCs w:val="24"/>
          <w:lang w:val="en-US"/>
        </w:rPr>
        <w:t xml:space="preserve"> balance</w:t>
      </w:r>
      <w:r w:rsidR="00DF0DAE" w:rsidRPr="0047178E">
        <w:rPr>
          <w:rFonts w:ascii="Times New Roman" w:hAnsi="Times New Roman" w:cs="Times New Roman"/>
          <w:sz w:val="24"/>
          <w:szCs w:val="24"/>
          <w:lang w:val="en-US"/>
        </w:rPr>
        <w:t xml:space="preserve"> </w:t>
      </w:r>
      <w:r w:rsidR="009404DD" w:rsidRPr="0047178E">
        <w:rPr>
          <w:rFonts w:ascii="Times New Roman" w:hAnsi="Times New Roman" w:cs="Times New Roman"/>
          <w:sz w:val="24"/>
          <w:szCs w:val="24"/>
          <w:lang w:val="en-US"/>
        </w:rPr>
        <w:t xml:space="preserve">deterioration </w:t>
      </w:r>
      <w:r w:rsidR="00543D5F" w:rsidRPr="0047178E">
        <w:rPr>
          <w:rFonts w:ascii="Times New Roman" w:hAnsi="Times New Roman" w:cs="Times New Roman"/>
          <w:sz w:val="24"/>
          <w:szCs w:val="24"/>
          <w:lang w:val="en-US"/>
        </w:rPr>
        <w:t xml:space="preserve">trend </w:t>
      </w:r>
      <w:r w:rsidR="00DF0DAE" w:rsidRPr="0047178E">
        <w:rPr>
          <w:rFonts w:ascii="Times New Roman" w:hAnsi="Times New Roman" w:cs="Times New Roman"/>
          <w:sz w:val="24"/>
          <w:szCs w:val="24"/>
          <w:lang w:val="en-US"/>
        </w:rPr>
        <w:t>continued</w:t>
      </w:r>
      <w:r w:rsidRPr="0047178E">
        <w:rPr>
          <w:rFonts w:ascii="Times New Roman" w:hAnsi="Times New Roman" w:cs="Times New Roman"/>
          <w:sz w:val="24"/>
          <w:szCs w:val="24"/>
          <w:lang w:val="en-US"/>
        </w:rPr>
        <w:t xml:space="preserve">. The </w:t>
      </w:r>
      <w:r w:rsidR="0007027E" w:rsidRPr="0047178E">
        <w:rPr>
          <w:rFonts w:ascii="Times New Roman" w:hAnsi="Times New Roman" w:cs="Times New Roman"/>
          <w:sz w:val="24"/>
          <w:szCs w:val="24"/>
          <w:lang w:val="en-US"/>
        </w:rPr>
        <w:t>manufacturing</w:t>
      </w:r>
      <w:r w:rsidRPr="0047178E">
        <w:rPr>
          <w:rFonts w:ascii="Times New Roman" w:hAnsi="Times New Roman" w:cs="Times New Roman"/>
          <w:sz w:val="24"/>
          <w:szCs w:val="24"/>
          <w:lang w:val="en-US"/>
        </w:rPr>
        <w:t xml:space="preserve"> industry's import penetration increased </w:t>
      </w:r>
      <w:r w:rsidR="00507941" w:rsidRPr="0047178E">
        <w:rPr>
          <w:rFonts w:ascii="Times New Roman" w:hAnsi="Times New Roman" w:cs="Times New Roman"/>
          <w:sz w:val="24"/>
          <w:szCs w:val="24"/>
          <w:lang w:val="en-US"/>
        </w:rPr>
        <w:t xml:space="preserve">by </w:t>
      </w:r>
      <w:r w:rsidRPr="0047178E">
        <w:rPr>
          <w:rFonts w:ascii="Times New Roman" w:hAnsi="Times New Roman" w:cs="Times New Roman"/>
          <w:sz w:val="24"/>
          <w:szCs w:val="24"/>
          <w:lang w:val="en-US"/>
        </w:rPr>
        <w:t>5% per year b</w:t>
      </w:r>
      <w:r w:rsidR="001E57C3" w:rsidRPr="0047178E">
        <w:rPr>
          <w:rFonts w:ascii="Times New Roman" w:hAnsi="Times New Roman" w:cs="Times New Roman"/>
          <w:sz w:val="24"/>
          <w:szCs w:val="24"/>
          <w:lang w:val="en-US"/>
        </w:rPr>
        <w:t xml:space="preserve">etween 2003 and 2015, while its </w:t>
      </w:r>
      <w:r w:rsidRPr="0047178E">
        <w:rPr>
          <w:rFonts w:ascii="Times New Roman" w:hAnsi="Times New Roman" w:cs="Times New Roman"/>
          <w:sz w:val="24"/>
          <w:szCs w:val="24"/>
          <w:lang w:val="en-US"/>
        </w:rPr>
        <w:t>export coefficient dropped</w:t>
      </w:r>
      <w:r w:rsidR="00507941" w:rsidRPr="0047178E">
        <w:rPr>
          <w:rFonts w:ascii="Times New Roman" w:hAnsi="Times New Roman" w:cs="Times New Roman"/>
          <w:sz w:val="24"/>
          <w:szCs w:val="24"/>
          <w:lang w:val="en-US"/>
        </w:rPr>
        <w:t xml:space="preserve"> by</w:t>
      </w:r>
      <w:r w:rsidRPr="0047178E">
        <w:rPr>
          <w:rFonts w:ascii="Times New Roman" w:hAnsi="Times New Roman" w:cs="Times New Roman"/>
          <w:sz w:val="24"/>
          <w:szCs w:val="24"/>
          <w:lang w:val="en-US"/>
        </w:rPr>
        <w:t xml:space="preserve"> 0.4% per year.</w:t>
      </w:r>
      <w:r w:rsidR="00C71C0A" w:rsidRPr="0047178E">
        <w:rPr>
          <w:rFonts w:ascii="Times New Roman" w:hAnsi="Times New Roman" w:cs="Times New Roman"/>
          <w:sz w:val="24"/>
          <w:szCs w:val="24"/>
          <w:lang w:val="en-US"/>
        </w:rPr>
        <w:t xml:space="preserve"> </w:t>
      </w:r>
    </w:p>
    <w:p w14:paraId="1DCE4D90" w14:textId="77777777" w:rsidR="00D377D9" w:rsidRPr="0047178E" w:rsidRDefault="00D377D9" w:rsidP="0047178E">
      <w:pPr>
        <w:pStyle w:val="PargrafodaLista"/>
        <w:spacing w:after="0" w:line="240" w:lineRule="auto"/>
        <w:ind w:left="0" w:firstLine="567"/>
        <w:jc w:val="both"/>
        <w:rPr>
          <w:rFonts w:ascii="Times New Roman" w:hAnsi="Times New Roman" w:cs="Times New Roman"/>
          <w:sz w:val="24"/>
          <w:szCs w:val="24"/>
          <w:lang w:val="en-US"/>
        </w:rPr>
      </w:pPr>
    </w:p>
    <w:p w14:paraId="2F8A327C" w14:textId="77777777" w:rsidR="009D1264" w:rsidRPr="0047178E" w:rsidRDefault="00C71C0A" w:rsidP="0047178E">
      <w:pPr>
        <w:pStyle w:val="PargrafodaLista"/>
        <w:spacing w:after="0" w:line="240" w:lineRule="auto"/>
        <w:ind w:left="709" w:firstLine="567"/>
        <w:jc w:val="both"/>
        <w:rPr>
          <w:rFonts w:ascii="Times New Roman" w:hAnsi="Times New Roman" w:cs="Times New Roman"/>
          <w:sz w:val="24"/>
          <w:szCs w:val="24"/>
          <w:lang w:val="en-US"/>
        </w:rPr>
      </w:pPr>
      <w:r w:rsidRPr="0047178E">
        <w:rPr>
          <w:rFonts w:ascii="Times New Roman" w:hAnsi="Times New Roman" w:cs="Times New Roman"/>
          <w:noProof/>
          <w:sz w:val="24"/>
          <w:szCs w:val="24"/>
          <w:lang w:eastAsia="pt-BR"/>
        </w:rPr>
        <w:drawing>
          <wp:inline distT="0" distB="0" distL="0" distR="0" wp14:anchorId="7A360DAD" wp14:editId="03926733">
            <wp:extent cx="4657725" cy="3152775"/>
            <wp:effectExtent l="0" t="0" r="9525"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BF96F0" w14:textId="77777777" w:rsidR="00C71C0A" w:rsidRPr="0047178E" w:rsidRDefault="00C71C0A" w:rsidP="0047178E">
      <w:pPr>
        <w:pStyle w:val="PargrafodaLista"/>
        <w:spacing w:after="0" w:line="240" w:lineRule="auto"/>
        <w:ind w:left="709" w:firstLine="567"/>
        <w:jc w:val="both"/>
        <w:rPr>
          <w:rFonts w:ascii="Times New Roman" w:hAnsi="Times New Roman" w:cs="Times New Roman"/>
          <w:sz w:val="24"/>
          <w:szCs w:val="24"/>
          <w:lang w:val="en-US"/>
        </w:rPr>
      </w:pPr>
    </w:p>
    <w:p w14:paraId="37060C61" w14:textId="77777777" w:rsidR="005C54ED" w:rsidRDefault="005C54ED" w:rsidP="0047178E">
      <w:pPr>
        <w:pStyle w:val="PargrafodaLista"/>
        <w:spacing w:after="0" w:line="240" w:lineRule="auto"/>
        <w:ind w:left="0" w:firstLine="567"/>
        <w:jc w:val="both"/>
        <w:rPr>
          <w:rFonts w:ascii="Times New Roman" w:hAnsi="Times New Roman" w:cs="Times New Roman"/>
          <w:sz w:val="24"/>
          <w:szCs w:val="24"/>
          <w:lang w:val="en-US"/>
        </w:rPr>
      </w:pPr>
    </w:p>
    <w:p w14:paraId="480E5180" w14:textId="21D9AE72" w:rsidR="004642C5"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lastRenderedPageBreak/>
        <w:t xml:space="preserve">In addition to a drop in industrial productivity and a gradual decrease in industrial participation in the country's GDP, this major gap between </w:t>
      </w:r>
      <w:r w:rsidR="007E556D" w:rsidRPr="0047178E">
        <w:rPr>
          <w:rFonts w:ascii="Times New Roman" w:hAnsi="Times New Roman" w:cs="Times New Roman"/>
          <w:sz w:val="24"/>
          <w:szCs w:val="24"/>
          <w:lang w:val="en-US"/>
        </w:rPr>
        <w:t xml:space="preserve">Brazil’s </w:t>
      </w:r>
      <w:r w:rsidRPr="0047178E">
        <w:rPr>
          <w:rFonts w:ascii="Times New Roman" w:hAnsi="Times New Roman" w:cs="Times New Roman"/>
          <w:sz w:val="24"/>
          <w:szCs w:val="24"/>
          <w:lang w:val="en-US"/>
        </w:rPr>
        <w:t xml:space="preserve">export coefficients and import penetration </w:t>
      </w:r>
      <w:r w:rsidR="007E556D" w:rsidRPr="0047178E">
        <w:rPr>
          <w:rFonts w:ascii="Times New Roman" w:hAnsi="Times New Roman" w:cs="Times New Roman"/>
          <w:sz w:val="24"/>
          <w:szCs w:val="24"/>
          <w:lang w:val="en-US"/>
        </w:rPr>
        <w:t>of manufactured goods</w:t>
      </w:r>
      <w:r w:rsidRPr="0047178E">
        <w:rPr>
          <w:rFonts w:ascii="Times New Roman" w:hAnsi="Times New Roman" w:cs="Times New Roman"/>
          <w:sz w:val="24"/>
          <w:szCs w:val="24"/>
          <w:lang w:val="en-US"/>
        </w:rPr>
        <w:t xml:space="preserve"> explains the country's </w:t>
      </w:r>
      <w:r w:rsidR="007E556D" w:rsidRPr="0047178E">
        <w:rPr>
          <w:rFonts w:ascii="Times New Roman" w:hAnsi="Times New Roman" w:cs="Times New Roman"/>
          <w:sz w:val="24"/>
          <w:szCs w:val="24"/>
          <w:lang w:val="en-US"/>
        </w:rPr>
        <w:t>pattern of insertion into</w:t>
      </w:r>
      <w:r w:rsidRPr="0047178E">
        <w:rPr>
          <w:rFonts w:ascii="Times New Roman" w:hAnsi="Times New Roman" w:cs="Times New Roman"/>
          <w:sz w:val="24"/>
          <w:szCs w:val="24"/>
          <w:lang w:val="en-US"/>
        </w:rPr>
        <w:t xml:space="preserve"> GVCs: import</w:t>
      </w:r>
      <w:r w:rsidR="00DF0DAE" w:rsidRPr="0047178E">
        <w:rPr>
          <w:rFonts w:ascii="Times New Roman" w:hAnsi="Times New Roman" w:cs="Times New Roman"/>
          <w:sz w:val="24"/>
          <w:szCs w:val="24"/>
          <w:lang w:val="en-US"/>
        </w:rPr>
        <w:t>ing</w:t>
      </w:r>
      <w:r w:rsidRPr="0047178E">
        <w:rPr>
          <w:rFonts w:ascii="Times New Roman" w:hAnsi="Times New Roman" w:cs="Times New Roman"/>
          <w:sz w:val="24"/>
          <w:szCs w:val="24"/>
          <w:lang w:val="en-US"/>
        </w:rPr>
        <w:t xml:space="preserve"> high </w:t>
      </w:r>
      <w:r w:rsidR="002E6F9B" w:rsidRPr="0047178E">
        <w:rPr>
          <w:rFonts w:ascii="Times New Roman" w:hAnsi="Times New Roman" w:cs="Times New Roman"/>
          <w:sz w:val="24"/>
          <w:szCs w:val="24"/>
          <w:lang w:val="en-US"/>
        </w:rPr>
        <w:t>value</w:t>
      </w:r>
      <w:r w:rsidR="002A2B5A" w:rsidRPr="0047178E">
        <w:rPr>
          <w:rFonts w:ascii="Times New Roman" w:hAnsi="Times New Roman" w:cs="Times New Roman"/>
          <w:sz w:val="24"/>
          <w:szCs w:val="24"/>
          <w:lang w:val="en-US"/>
        </w:rPr>
        <w:t xml:space="preserve"> </w:t>
      </w:r>
      <w:r w:rsidR="00507941" w:rsidRPr="0047178E">
        <w:rPr>
          <w:rFonts w:ascii="Times New Roman" w:hAnsi="Times New Roman" w:cs="Times New Roman"/>
          <w:sz w:val="24"/>
          <w:szCs w:val="24"/>
          <w:lang w:val="en-US"/>
        </w:rPr>
        <w:t xml:space="preserve">added </w:t>
      </w:r>
      <w:r w:rsidRPr="0047178E">
        <w:rPr>
          <w:rFonts w:ascii="Times New Roman" w:hAnsi="Times New Roman" w:cs="Times New Roman"/>
          <w:sz w:val="24"/>
          <w:szCs w:val="24"/>
          <w:lang w:val="en-US"/>
        </w:rPr>
        <w:t xml:space="preserve">goods for </w:t>
      </w:r>
      <w:r w:rsidR="007E556D" w:rsidRPr="0047178E">
        <w:rPr>
          <w:rFonts w:ascii="Times New Roman" w:hAnsi="Times New Roman" w:cs="Times New Roman"/>
          <w:sz w:val="24"/>
          <w:szCs w:val="24"/>
          <w:lang w:val="en-US"/>
        </w:rPr>
        <w:t>the domestic market</w:t>
      </w:r>
      <w:r w:rsidRPr="0047178E">
        <w:rPr>
          <w:rFonts w:ascii="Times New Roman" w:hAnsi="Times New Roman" w:cs="Times New Roman"/>
          <w:sz w:val="24"/>
          <w:szCs w:val="24"/>
          <w:lang w:val="en-US"/>
        </w:rPr>
        <w:t xml:space="preserve"> and export</w:t>
      </w:r>
      <w:r w:rsidR="00DF0DAE" w:rsidRPr="0047178E">
        <w:rPr>
          <w:rFonts w:ascii="Times New Roman" w:hAnsi="Times New Roman" w:cs="Times New Roman"/>
          <w:sz w:val="24"/>
          <w:szCs w:val="24"/>
          <w:lang w:val="en-US"/>
        </w:rPr>
        <w:t>ing</w:t>
      </w:r>
      <w:r w:rsidRPr="0047178E">
        <w:rPr>
          <w:rFonts w:ascii="Times New Roman" w:hAnsi="Times New Roman" w:cs="Times New Roman"/>
          <w:sz w:val="24"/>
          <w:szCs w:val="24"/>
          <w:lang w:val="en-US"/>
        </w:rPr>
        <w:t xml:space="preserve"> basic goods that require </w:t>
      </w:r>
      <w:r w:rsidR="007E556D" w:rsidRPr="0047178E">
        <w:rPr>
          <w:rFonts w:ascii="Times New Roman" w:hAnsi="Times New Roman" w:cs="Times New Roman"/>
          <w:sz w:val="24"/>
          <w:szCs w:val="24"/>
          <w:lang w:val="en-US"/>
        </w:rPr>
        <w:t xml:space="preserve">low level of </w:t>
      </w:r>
      <w:r w:rsidRPr="0047178E">
        <w:rPr>
          <w:rFonts w:ascii="Times New Roman" w:hAnsi="Times New Roman" w:cs="Times New Roman"/>
          <w:sz w:val="24"/>
          <w:szCs w:val="24"/>
          <w:lang w:val="en-US"/>
        </w:rPr>
        <w:t>processing, as exp</w:t>
      </w:r>
      <w:r w:rsidR="00507941" w:rsidRPr="0047178E">
        <w:rPr>
          <w:rFonts w:ascii="Times New Roman" w:hAnsi="Times New Roman" w:cs="Times New Roman"/>
          <w:sz w:val="24"/>
          <w:szCs w:val="24"/>
          <w:lang w:val="en-US"/>
        </w:rPr>
        <w:t>lained in the previous section.</w:t>
      </w:r>
    </w:p>
    <w:p w14:paraId="68596CF2" w14:textId="1D0C6C83" w:rsidR="004642C5"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According to Morceiro (2016), there is evidence that Brazilian </w:t>
      </w:r>
      <w:r w:rsidR="007E556D" w:rsidRPr="0047178E">
        <w:rPr>
          <w:rFonts w:ascii="Times New Roman" w:hAnsi="Times New Roman" w:cs="Times New Roman"/>
          <w:sz w:val="24"/>
          <w:szCs w:val="24"/>
          <w:lang w:val="en-US"/>
        </w:rPr>
        <w:t xml:space="preserve">industries of medium-high technology concentrate </w:t>
      </w:r>
      <w:r w:rsidR="00543D5F" w:rsidRPr="0047178E">
        <w:rPr>
          <w:rFonts w:ascii="Times New Roman" w:hAnsi="Times New Roman" w:cs="Times New Roman"/>
          <w:sz w:val="24"/>
          <w:szCs w:val="24"/>
          <w:lang w:val="en-US"/>
        </w:rPr>
        <w:t xml:space="preserve">their </w:t>
      </w:r>
      <w:r w:rsidR="007E556D" w:rsidRPr="0047178E">
        <w:rPr>
          <w:rFonts w:ascii="Times New Roman" w:hAnsi="Times New Roman" w:cs="Times New Roman"/>
          <w:sz w:val="24"/>
          <w:szCs w:val="24"/>
          <w:lang w:val="en-US"/>
        </w:rPr>
        <w:t xml:space="preserve">activities on products’ assembly </w:t>
      </w:r>
      <w:r w:rsidR="007043C9" w:rsidRPr="0047178E">
        <w:rPr>
          <w:rFonts w:ascii="Times New Roman" w:hAnsi="Times New Roman" w:cs="Times New Roman"/>
          <w:sz w:val="24"/>
          <w:szCs w:val="24"/>
          <w:lang w:val="en-US"/>
        </w:rPr>
        <w:t>in order</w:t>
      </w:r>
      <w:r w:rsidRPr="0047178E">
        <w:rPr>
          <w:rFonts w:ascii="Times New Roman" w:hAnsi="Times New Roman" w:cs="Times New Roman"/>
          <w:sz w:val="24"/>
          <w:szCs w:val="24"/>
          <w:lang w:val="en-US"/>
        </w:rPr>
        <w:t xml:space="preserve"> to </w:t>
      </w:r>
      <w:r w:rsidR="00507941" w:rsidRPr="0047178E">
        <w:rPr>
          <w:rFonts w:ascii="Times New Roman" w:hAnsi="Times New Roman" w:cs="Times New Roman"/>
          <w:sz w:val="24"/>
          <w:szCs w:val="24"/>
          <w:lang w:val="en-US"/>
        </w:rPr>
        <w:t>meet</w:t>
      </w:r>
      <w:r w:rsidRPr="0047178E">
        <w:rPr>
          <w:rFonts w:ascii="Times New Roman" w:hAnsi="Times New Roman" w:cs="Times New Roman"/>
          <w:sz w:val="24"/>
          <w:szCs w:val="24"/>
          <w:lang w:val="en-US"/>
        </w:rPr>
        <w:t xml:space="preserve"> the domestic </w:t>
      </w:r>
      <w:r w:rsidR="00507941" w:rsidRPr="0047178E">
        <w:rPr>
          <w:rFonts w:ascii="Times New Roman" w:hAnsi="Times New Roman" w:cs="Times New Roman"/>
          <w:sz w:val="24"/>
          <w:szCs w:val="24"/>
          <w:lang w:val="en-US"/>
        </w:rPr>
        <w:t>demand</w:t>
      </w:r>
      <w:r w:rsidRPr="0047178E">
        <w:rPr>
          <w:rFonts w:ascii="Times New Roman" w:hAnsi="Times New Roman" w:cs="Times New Roman"/>
          <w:sz w:val="24"/>
          <w:szCs w:val="24"/>
          <w:lang w:val="en-US"/>
        </w:rPr>
        <w:t xml:space="preserve">, with a few rare exceptions. That is the reason why imports – </w:t>
      </w:r>
      <w:r w:rsidR="007043C9" w:rsidRPr="0047178E">
        <w:rPr>
          <w:rFonts w:ascii="Times New Roman" w:hAnsi="Times New Roman" w:cs="Times New Roman"/>
          <w:sz w:val="24"/>
          <w:szCs w:val="24"/>
          <w:lang w:val="en-US"/>
        </w:rPr>
        <w:t>used in many countries</w:t>
      </w:r>
      <w:r w:rsidRPr="0047178E">
        <w:rPr>
          <w:rFonts w:ascii="Times New Roman" w:hAnsi="Times New Roman" w:cs="Times New Roman"/>
          <w:sz w:val="24"/>
          <w:szCs w:val="24"/>
          <w:lang w:val="en-US"/>
        </w:rPr>
        <w:t xml:space="preserve"> as intermediate goods that add </w:t>
      </w:r>
      <w:r w:rsidR="00507941" w:rsidRPr="0047178E">
        <w:rPr>
          <w:rFonts w:ascii="Times New Roman" w:hAnsi="Times New Roman" w:cs="Times New Roman"/>
          <w:sz w:val="24"/>
          <w:szCs w:val="24"/>
          <w:lang w:val="en-US"/>
        </w:rPr>
        <w:t xml:space="preserve">a high </w:t>
      </w:r>
      <w:r w:rsidRPr="0047178E">
        <w:rPr>
          <w:rFonts w:ascii="Times New Roman" w:hAnsi="Times New Roman" w:cs="Times New Roman"/>
          <w:sz w:val="24"/>
          <w:szCs w:val="24"/>
          <w:lang w:val="en-US"/>
        </w:rPr>
        <w:t xml:space="preserve">value to exports – have not been making Brazil more competitive </w:t>
      </w:r>
      <w:r w:rsidR="00507941" w:rsidRPr="0047178E">
        <w:rPr>
          <w:rFonts w:ascii="Times New Roman" w:hAnsi="Times New Roman" w:cs="Times New Roman"/>
          <w:sz w:val="24"/>
          <w:szCs w:val="24"/>
          <w:lang w:val="en-US"/>
        </w:rPr>
        <w:t>in the foreign market</w:t>
      </w:r>
      <w:r w:rsidRPr="0047178E">
        <w:rPr>
          <w:rFonts w:ascii="Times New Roman" w:hAnsi="Times New Roman" w:cs="Times New Roman"/>
          <w:sz w:val="24"/>
          <w:szCs w:val="24"/>
          <w:lang w:val="en-US"/>
        </w:rPr>
        <w:t xml:space="preserve">. </w:t>
      </w:r>
    </w:p>
    <w:p w14:paraId="49B56AC3" w14:textId="6097C080" w:rsidR="004642C5" w:rsidRPr="0047178E" w:rsidRDefault="00254134"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According to the Brazilian Institute of Geography and Statistics (IBGE)'s national accounts data, an analysis </w:t>
      </w:r>
      <w:r w:rsidR="00CB6752" w:rsidRPr="0047178E">
        <w:rPr>
          <w:rFonts w:ascii="Times New Roman" w:hAnsi="Times New Roman" w:cs="Times New Roman"/>
          <w:sz w:val="24"/>
          <w:szCs w:val="24"/>
          <w:lang w:val="en-US"/>
        </w:rPr>
        <w:t xml:space="preserve">of the </w:t>
      </w:r>
      <w:r w:rsidRPr="0047178E">
        <w:rPr>
          <w:rFonts w:ascii="Times New Roman" w:hAnsi="Times New Roman" w:cs="Times New Roman"/>
          <w:sz w:val="24"/>
          <w:szCs w:val="24"/>
          <w:lang w:val="en-US"/>
        </w:rPr>
        <w:t xml:space="preserve">final demand for goods in the country’s domestic market in recent years helps </w:t>
      </w:r>
      <w:r w:rsidR="00543D5F" w:rsidRPr="0047178E">
        <w:rPr>
          <w:rFonts w:ascii="Times New Roman" w:hAnsi="Times New Roman" w:cs="Times New Roman"/>
          <w:sz w:val="24"/>
          <w:szCs w:val="24"/>
          <w:lang w:val="en-US"/>
        </w:rPr>
        <w:t>better</w:t>
      </w:r>
      <w:r w:rsidR="00CB6752" w:rsidRPr="0047178E">
        <w:rPr>
          <w:rFonts w:ascii="Times New Roman" w:hAnsi="Times New Roman" w:cs="Times New Roman"/>
          <w:sz w:val="24"/>
          <w:szCs w:val="24"/>
          <w:lang w:val="en-US"/>
        </w:rPr>
        <w:t xml:space="preserve"> understand </w:t>
      </w:r>
      <w:r w:rsidRPr="0047178E">
        <w:rPr>
          <w:rFonts w:ascii="Times New Roman" w:hAnsi="Times New Roman" w:cs="Times New Roman"/>
          <w:sz w:val="24"/>
          <w:szCs w:val="24"/>
          <w:lang w:val="en-US"/>
        </w:rPr>
        <w:t>this scenario, in which Brazil uses imported goods to meet the demand of its own market</w:t>
      </w:r>
      <w:r w:rsidR="004642C5" w:rsidRPr="0047178E">
        <w:rPr>
          <w:rFonts w:ascii="Times New Roman" w:hAnsi="Times New Roman" w:cs="Times New Roman"/>
          <w:sz w:val="24"/>
          <w:szCs w:val="24"/>
          <w:lang w:val="en-US"/>
        </w:rPr>
        <w:t xml:space="preserve">. Family consumption had an actual growth of 78% between 2004 and 2014, while exports increased only by 13%. Even though consumption </w:t>
      </w:r>
      <w:r w:rsidR="00F51323" w:rsidRPr="0047178E">
        <w:rPr>
          <w:rFonts w:ascii="Times New Roman" w:hAnsi="Times New Roman" w:cs="Times New Roman"/>
          <w:sz w:val="24"/>
          <w:szCs w:val="24"/>
          <w:lang w:val="en-US"/>
        </w:rPr>
        <w:t>increased</w:t>
      </w:r>
      <w:r w:rsidR="004642C5" w:rsidRPr="0047178E">
        <w:rPr>
          <w:rFonts w:ascii="Times New Roman" w:hAnsi="Times New Roman" w:cs="Times New Roman"/>
          <w:sz w:val="24"/>
          <w:szCs w:val="24"/>
          <w:lang w:val="en-US"/>
        </w:rPr>
        <w:t xml:space="preserve"> </w:t>
      </w:r>
      <w:r w:rsidR="00507941" w:rsidRPr="0047178E">
        <w:rPr>
          <w:rFonts w:ascii="Times New Roman" w:hAnsi="Times New Roman" w:cs="Times New Roman"/>
          <w:sz w:val="24"/>
          <w:szCs w:val="24"/>
          <w:lang w:val="en-US"/>
        </w:rPr>
        <w:t>significantly</w:t>
      </w:r>
      <w:r w:rsidR="004642C5" w:rsidRPr="0047178E">
        <w:rPr>
          <w:rFonts w:ascii="Times New Roman" w:hAnsi="Times New Roman" w:cs="Times New Roman"/>
          <w:sz w:val="24"/>
          <w:szCs w:val="24"/>
          <w:lang w:val="en-US"/>
        </w:rPr>
        <w:t xml:space="preserve">, domestic production did not follow the same trend and was unable to meet the increase in domestic demand. Morceiro (2016) argues that domestic demand increased by 55% </w:t>
      </w:r>
      <w:r w:rsidR="00507941" w:rsidRPr="0047178E">
        <w:rPr>
          <w:rFonts w:ascii="Times New Roman" w:hAnsi="Times New Roman" w:cs="Times New Roman"/>
          <w:sz w:val="24"/>
          <w:szCs w:val="24"/>
          <w:lang w:val="en-US"/>
        </w:rPr>
        <w:t>from</w:t>
      </w:r>
      <w:r w:rsidR="004642C5" w:rsidRPr="0047178E">
        <w:rPr>
          <w:rFonts w:ascii="Times New Roman" w:hAnsi="Times New Roman" w:cs="Times New Roman"/>
          <w:sz w:val="24"/>
          <w:szCs w:val="24"/>
          <w:lang w:val="en-US"/>
        </w:rPr>
        <w:t xml:space="preserve"> 2004 </w:t>
      </w:r>
      <w:r w:rsidR="00507941" w:rsidRPr="0047178E">
        <w:rPr>
          <w:rFonts w:ascii="Times New Roman" w:hAnsi="Times New Roman" w:cs="Times New Roman"/>
          <w:sz w:val="24"/>
          <w:szCs w:val="24"/>
          <w:lang w:val="en-US"/>
        </w:rPr>
        <w:t>to</w:t>
      </w:r>
      <w:r w:rsidR="004642C5" w:rsidRPr="0047178E">
        <w:rPr>
          <w:rFonts w:ascii="Times New Roman" w:hAnsi="Times New Roman" w:cs="Times New Roman"/>
          <w:sz w:val="24"/>
          <w:szCs w:val="24"/>
          <w:lang w:val="en-US"/>
        </w:rPr>
        <w:t xml:space="preserve"> 2013, while the manufacturing sector's domestic production grew only </w:t>
      </w:r>
      <w:r w:rsidR="00507941" w:rsidRPr="0047178E">
        <w:rPr>
          <w:rFonts w:ascii="Times New Roman" w:hAnsi="Times New Roman" w:cs="Times New Roman"/>
          <w:sz w:val="24"/>
          <w:szCs w:val="24"/>
          <w:lang w:val="en-US"/>
        </w:rPr>
        <w:t xml:space="preserve">by </w:t>
      </w:r>
      <w:r w:rsidR="004642C5" w:rsidRPr="0047178E">
        <w:rPr>
          <w:rFonts w:ascii="Times New Roman" w:hAnsi="Times New Roman" w:cs="Times New Roman"/>
          <w:sz w:val="24"/>
          <w:szCs w:val="24"/>
          <w:lang w:val="en-US"/>
        </w:rPr>
        <w:t xml:space="preserve">34%. The </w:t>
      </w:r>
      <w:r w:rsidR="00507941" w:rsidRPr="0047178E">
        <w:rPr>
          <w:rFonts w:ascii="Times New Roman" w:hAnsi="Times New Roman" w:cs="Times New Roman"/>
          <w:sz w:val="24"/>
          <w:szCs w:val="24"/>
          <w:lang w:val="en-US"/>
        </w:rPr>
        <w:t>consistently</w:t>
      </w:r>
      <w:r w:rsidR="004642C5" w:rsidRPr="0047178E">
        <w:rPr>
          <w:rFonts w:ascii="Times New Roman" w:hAnsi="Times New Roman" w:cs="Times New Roman"/>
          <w:sz w:val="24"/>
          <w:szCs w:val="24"/>
          <w:lang w:val="en-US"/>
        </w:rPr>
        <w:t xml:space="preserve"> high import coefficients needed to supply the Brazilian market </w:t>
      </w:r>
      <w:r w:rsidR="00B65FF6" w:rsidRPr="0047178E">
        <w:rPr>
          <w:rFonts w:ascii="Times New Roman" w:hAnsi="Times New Roman" w:cs="Times New Roman"/>
          <w:sz w:val="24"/>
          <w:szCs w:val="24"/>
          <w:lang w:val="en-US"/>
        </w:rPr>
        <w:t>are</w:t>
      </w:r>
      <w:r w:rsidR="004642C5" w:rsidRPr="0047178E">
        <w:rPr>
          <w:rFonts w:ascii="Times New Roman" w:hAnsi="Times New Roman" w:cs="Times New Roman"/>
          <w:sz w:val="24"/>
          <w:szCs w:val="24"/>
          <w:lang w:val="en-US"/>
        </w:rPr>
        <w:t xml:space="preserve"> supported by the country's macroeconomic policies of </w:t>
      </w:r>
      <w:r w:rsidR="00507941" w:rsidRPr="0047178E">
        <w:rPr>
          <w:rFonts w:ascii="Times New Roman" w:hAnsi="Times New Roman" w:cs="Times New Roman"/>
          <w:sz w:val="24"/>
          <w:szCs w:val="24"/>
          <w:lang w:val="en-US"/>
        </w:rPr>
        <w:t>persistently</w:t>
      </w:r>
      <w:r w:rsidR="004642C5" w:rsidRPr="0047178E">
        <w:rPr>
          <w:rFonts w:ascii="Times New Roman" w:hAnsi="Times New Roman" w:cs="Times New Roman"/>
          <w:sz w:val="24"/>
          <w:szCs w:val="24"/>
          <w:lang w:val="en-US"/>
        </w:rPr>
        <w:t xml:space="preserve"> high interest rates and currency appreciation. </w:t>
      </w:r>
    </w:p>
    <w:p w14:paraId="4FCD956D" w14:textId="77777777" w:rsidR="009D1264"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Finally, in order to better understand the deindustrialization that is taking place in Brazil, </w:t>
      </w:r>
      <w:r w:rsidR="00882477" w:rsidRPr="0047178E">
        <w:rPr>
          <w:rFonts w:ascii="Times New Roman" w:hAnsi="Times New Roman" w:cs="Times New Roman"/>
          <w:sz w:val="24"/>
          <w:szCs w:val="24"/>
          <w:lang w:val="en-US"/>
        </w:rPr>
        <w:t xml:space="preserve">it is </w:t>
      </w:r>
      <w:r w:rsidRPr="0047178E">
        <w:rPr>
          <w:rFonts w:ascii="Times New Roman" w:hAnsi="Times New Roman" w:cs="Times New Roman"/>
          <w:sz w:val="24"/>
          <w:szCs w:val="24"/>
          <w:lang w:val="en-US"/>
        </w:rPr>
        <w:t xml:space="preserve">also </w:t>
      </w:r>
      <w:r w:rsidR="00882477" w:rsidRPr="0047178E">
        <w:rPr>
          <w:rFonts w:ascii="Times New Roman" w:hAnsi="Times New Roman" w:cs="Times New Roman"/>
          <w:sz w:val="24"/>
          <w:szCs w:val="24"/>
          <w:lang w:val="en-US"/>
        </w:rPr>
        <w:t xml:space="preserve">necessary </w:t>
      </w:r>
      <w:r w:rsidRPr="0047178E">
        <w:rPr>
          <w:rFonts w:ascii="Times New Roman" w:hAnsi="Times New Roman" w:cs="Times New Roman"/>
          <w:sz w:val="24"/>
          <w:szCs w:val="24"/>
          <w:lang w:val="en-US"/>
        </w:rPr>
        <w:t xml:space="preserve">to consider the consequences of </w:t>
      </w:r>
      <w:r w:rsidR="00411353" w:rsidRPr="0047178E">
        <w:rPr>
          <w:rFonts w:ascii="Times New Roman" w:hAnsi="Times New Roman" w:cs="Times New Roman"/>
          <w:sz w:val="24"/>
          <w:szCs w:val="24"/>
          <w:lang w:val="en-US"/>
        </w:rPr>
        <w:t xml:space="preserve">the </w:t>
      </w:r>
      <w:r w:rsidR="00411353" w:rsidRPr="0047178E">
        <w:rPr>
          <w:rFonts w:ascii="Times New Roman" w:hAnsi="Times New Roman" w:cs="Times New Roman"/>
          <w:spacing w:val="-4"/>
          <w:sz w:val="24"/>
          <w:szCs w:val="24"/>
          <w:lang w:val="en-US"/>
        </w:rPr>
        <w:t>deepening of trade ties between Brazil and China</w:t>
      </w:r>
      <w:r w:rsidRPr="0047178E">
        <w:rPr>
          <w:rFonts w:ascii="Times New Roman" w:hAnsi="Times New Roman" w:cs="Times New Roman"/>
          <w:sz w:val="24"/>
          <w:szCs w:val="24"/>
          <w:lang w:val="en-US"/>
        </w:rPr>
        <w:t xml:space="preserve">, as well as </w:t>
      </w:r>
      <w:r w:rsidR="006620DA" w:rsidRPr="0047178E">
        <w:rPr>
          <w:rFonts w:ascii="Times New Roman" w:hAnsi="Times New Roman" w:cs="Times New Roman"/>
          <w:sz w:val="24"/>
          <w:szCs w:val="24"/>
          <w:lang w:val="en-US"/>
        </w:rPr>
        <w:t xml:space="preserve">the economic </w:t>
      </w:r>
      <w:r w:rsidR="00411353" w:rsidRPr="0047178E">
        <w:rPr>
          <w:rFonts w:ascii="Times New Roman" w:hAnsi="Times New Roman" w:cs="Times New Roman"/>
          <w:sz w:val="24"/>
          <w:szCs w:val="24"/>
          <w:lang w:val="en-US"/>
        </w:rPr>
        <w:t>rise</w:t>
      </w:r>
      <w:r w:rsidR="006620DA" w:rsidRPr="0047178E">
        <w:rPr>
          <w:rFonts w:ascii="Times New Roman" w:hAnsi="Times New Roman" w:cs="Times New Roman"/>
          <w:sz w:val="24"/>
          <w:szCs w:val="24"/>
          <w:lang w:val="en-US"/>
        </w:rPr>
        <w:t xml:space="preserve"> experienced by the latter</w:t>
      </w:r>
      <w:r w:rsidRPr="0047178E">
        <w:rPr>
          <w:rFonts w:ascii="Times New Roman" w:hAnsi="Times New Roman" w:cs="Times New Roman"/>
          <w:sz w:val="24"/>
          <w:szCs w:val="24"/>
          <w:lang w:val="en-US"/>
        </w:rPr>
        <w:t>.</w:t>
      </w:r>
    </w:p>
    <w:p w14:paraId="1CEA6798" w14:textId="77777777" w:rsidR="006B0CD9" w:rsidRPr="0047178E" w:rsidRDefault="005A10D8"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On the one hand, China's economic growth has given rise to an increased demand for raw materials, increasing both their prices and the income of countrie</w:t>
      </w:r>
      <w:r w:rsidR="006B0CD9" w:rsidRPr="0047178E">
        <w:rPr>
          <w:rFonts w:ascii="Times New Roman" w:hAnsi="Times New Roman" w:cs="Times New Roman"/>
          <w:spacing w:val="-4"/>
          <w:sz w:val="24"/>
          <w:szCs w:val="24"/>
          <w:lang w:val="en-US"/>
        </w:rPr>
        <w:t xml:space="preserve">s producing these primary goods. </w:t>
      </w:r>
      <w:r w:rsidRPr="0047178E">
        <w:rPr>
          <w:rFonts w:ascii="Times New Roman" w:hAnsi="Times New Roman" w:cs="Times New Roman"/>
          <w:spacing w:val="-4"/>
          <w:sz w:val="24"/>
          <w:szCs w:val="24"/>
          <w:lang w:val="en-US"/>
        </w:rPr>
        <w:t xml:space="preserve">Brazil, in particular, benefited from the general rise in commodity prices until 2011, with its terms of trade improving until that year (Figure </w:t>
      </w:r>
      <w:r w:rsidR="006B0CD9" w:rsidRPr="0047178E">
        <w:rPr>
          <w:rFonts w:ascii="Times New Roman" w:hAnsi="Times New Roman" w:cs="Times New Roman"/>
          <w:spacing w:val="-4"/>
          <w:sz w:val="24"/>
          <w:szCs w:val="24"/>
          <w:lang w:val="en-US"/>
        </w:rPr>
        <w:t>6</w:t>
      </w:r>
      <w:r w:rsidRPr="0047178E">
        <w:rPr>
          <w:rFonts w:ascii="Times New Roman" w:hAnsi="Times New Roman" w:cs="Times New Roman"/>
          <w:spacing w:val="-4"/>
          <w:sz w:val="24"/>
          <w:szCs w:val="24"/>
          <w:lang w:val="en-US"/>
        </w:rPr>
        <w:t>).</w:t>
      </w:r>
      <w:r w:rsidR="006B0CD9" w:rsidRPr="0047178E">
        <w:rPr>
          <w:rFonts w:ascii="Times New Roman" w:hAnsi="Times New Roman" w:cs="Times New Roman"/>
          <w:spacing w:val="-4"/>
          <w:sz w:val="24"/>
          <w:szCs w:val="24"/>
          <w:lang w:val="en-US"/>
        </w:rPr>
        <w:t xml:space="preserve"> On the other hand, China's comparative advantage in the production of manufactured goods allowed the country to gain ground in the markets for industrial imports, including, among these, the LAC countries. Struggling to fight the competitiveness of Chinese products, Brazil lost its market share of manufacturing in the LAC region, its main export destination for these products (Figure 7). </w:t>
      </w:r>
    </w:p>
    <w:p w14:paraId="6794E265" w14:textId="77777777" w:rsidR="009D1264" w:rsidRPr="0047178E" w:rsidRDefault="006B0CD9"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Therefore, this trend of the rise in commodities prices, combined with the increase in exports of Chinese manufactured products to LAC, led to a rise in the share of natural resources in Brazilian exports. </w:t>
      </w:r>
    </w:p>
    <w:p w14:paraId="55BE3506" w14:textId="77777777" w:rsidR="006B0CD9" w:rsidRPr="0047178E" w:rsidRDefault="006B0CD9" w:rsidP="0047178E">
      <w:pPr>
        <w:autoSpaceDE w:val="0"/>
        <w:autoSpaceDN w:val="0"/>
        <w:adjustRightInd w:val="0"/>
        <w:spacing w:after="0" w:line="240" w:lineRule="auto"/>
        <w:ind w:firstLine="567"/>
        <w:jc w:val="both"/>
        <w:rPr>
          <w:rFonts w:ascii="Times New Roman" w:hAnsi="Times New Roman" w:cs="Times New Roman"/>
          <w:sz w:val="24"/>
          <w:szCs w:val="24"/>
          <w:lang w:val="en-US"/>
        </w:rPr>
      </w:pPr>
    </w:p>
    <w:p w14:paraId="7D051C70" w14:textId="77777777" w:rsidR="00644EF1" w:rsidRPr="0047178E" w:rsidRDefault="00A23FAF" w:rsidP="0047178E">
      <w:pPr>
        <w:pStyle w:val="PargrafodaLista"/>
        <w:spacing w:after="0" w:line="240" w:lineRule="auto"/>
        <w:ind w:left="0"/>
        <w:jc w:val="center"/>
        <w:rPr>
          <w:rFonts w:ascii="Times New Roman" w:hAnsi="Times New Roman" w:cs="Times New Roman"/>
          <w:sz w:val="24"/>
          <w:szCs w:val="24"/>
          <w:lang w:val="en-US"/>
        </w:rPr>
      </w:pPr>
      <w:r w:rsidRPr="0047178E">
        <w:rPr>
          <w:rFonts w:ascii="Times New Roman" w:hAnsi="Times New Roman" w:cs="Times New Roman"/>
          <w:noProof/>
          <w:spacing w:val="-4"/>
          <w:sz w:val="24"/>
          <w:szCs w:val="24"/>
          <w:lang w:eastAsia="pt-BR"/>
        </w:rPr>
        <w:drawing>
          <wp:inline distT="0" distB="0" distL="0" distR="0" wp14:anchorId="4D533F17" wp14:editId="3722B58A">
            <wp:extent cx="5581650" cy="2589337"/>
            <wp:effectExtent l="0" t="0" r="0" b="1905"/>
            <wp:docPr id="46" name="Grá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820FF28" w14:textId="77777777" w:rsidR="00163097" w:rsidRPr="0047178E" w:rsidRDefault="00120E5A" w:rsidP="0047178E">
      <w:pPr>
        <w:pStyle w:val="PargrafodaLista"/>
        <w:spacing w:after="0" w:line="240" w:lineRule="auto"/>
        <w:ind w:left="0"/>
        <w:jc w:val="center"/>
        <w:rPr>
          <w:rFonts w:ascii="Times New Roman" w:hAnsi="Times New Roman" w:cs="Times New Roman"/>
          <w:sz w:val="24"/>
          <w:szCs w:val="24"/>
          <w:lang w:val="en-US"/>
        </w:rPr>
      </w:pPr>
      <w:r w:rsidRPr="0047178E">
        <w:rPr>
          <w:rFonts w:ascii="Times New Roman" w:hAnsi="Times New Roman" w:cs="Times New Roman"/>
          <w:noProof/>
          <w:sz w:val="24"/>
          <w:szCs w:val="24"/>
          <w:lang w:eastAsia="pt-BR"/>
        </w:rPr>
        <w:lastRenderedPageBreak/>
        <w:drawing>
          <wp:inline distT="0" distB="0" distL="0" distR="0" wp14:anchorId="06D711F9" wp14:editId="03D91FEE">
            <wp:extent cx="5455708" cy="2998259"/>
            <wp:effectExtent l="0" t="0" r="12065" b="1206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E96EC9" w14:textId="77777777" w:rsidR="00163097" w:rsidRPr="0047178E" w:rsidRDefault="00163097" w:rsidP="0047178E">
      <w:pPr>
        <w:spacing w:after="0" w:line="240" w:lineRule="auto"/>
        <w:jc w:val="both"/>
        <w:rPr>
          <w:rFonts w:ascii="Times New Roman" w:hAnsi="Times New Roman" w:cs="Times New Roman"/>
          <w:sz w:val="24"/>
          <w:szCs w:val="24"/>
          <w:lang w:val="en-US"/>
        </w:rPr>
      </w:pPr>
    </w:p>
    <w:p w14:paraId="7A4BD2E8" w14:textId="77777777" w:rsidR="00C4539C" w:rsidRPr="0047178E" w:rsidRDefault="00393F79" w:rsidP="0047178E">
      <w:pPr>
        <w:spacing w:after="0" w:line="240" w:lineRule="auto"/>
        <w:ind w:left="567"/>
        <w:jc w:val="both"/>
        <w:rPr>
          <w:rFonts w:ascii="Times New Roman" w:hAnsi="Times New Roman" w:cs="Times New Roman"/>
          <w:b/>
          <w:bCs/>
          <w:sz w:val="24"/>
          <w:szCs w:val="24"/>
          <w:lang w:val="en-US"/>
        </w:rPr>
      </w:pPr>
      <w:r w:rsidRPr="0047178E">
        <w:rPr>
          <w:rFonts w:ascii="Times New Roman" w:hAnsi="Times New Roman" w:cs="Times New Roman"/>
          <w:b/>
          <w:bCs/>
          <w:sz w:val="24"/>
          <w:szCs w:val="24"/>
          <w:lang w:val="en-US"/>
        </w:rPr>
        <w:t>4</w:t>
      </w:r>
      <w:r w:rsidR="00C4539C" w:rsidRPr="0047178E">
        <w:rPr>
          <w:rFonts w:ascii="Times New Roman" w:hAnsi="Times New Roman" w:cs="Times New Roman"/>
          <w:b/>
          <w:bCs/>
          <w:sz w:val="24"/>
          <w:szCs w:val="24"/>
          <w:lang w:val="en-US"/>
        </w:rPr>
        <w:t>.2</w:t>
      </w:r>
      <w:r w:rsidR="000922A6" w:rsidRPr="0047178E">
        <w:rPr>
          <w:rFonts w:ascii="Times New Roman" w:hAnsi="Times New Roman" w:cs="Times New Roman"/>
          <w:b/>
          <w:bCs/>
          <w:sz w:val="24"/>
          <w:szCs w:val="24"/>
          <w:lang w:val="en-US"/>
        </w:rPr>
        <w:t xml:space="preserve"> </w:t>
      </w:r>
      <w:r w:rsidR="00E11CB6" w:rsidRPr="0047178E">
        <w:rPr>
          <w:rFonts w:ascii="Times New Roman" w:hAnsi="Times New Roman" w:cs="Times New Roman"/>
          <w:b/>
          <w:bCs/>
          <w:sz w:val="24"/>
          <w:szCs w:val="24"/>
          <w:lang w:val="en-US"/>
        </w:rPr>
        <w:t xml:space="preserve">Protectionist policies and size of the internal market </w:t>
      </w:r>
    </w:p>
    <w:p w14:paraId="49E70FD5" w14:textId="7FDFA5A6" w:rsidR="004642C5" w:rsidRPr="0047178E" w:rsidRDefault="004642C5" w:rsidP="0047178E">
      <w:pPr>
        <w:pStyle w:val="PargrafodaLista"/>
        <w:spacing w:after="0" w:line="240" w:lineRule="auto"/>
        <w:ind w:left="0" w:firstLine="567"/>
        <w:jc w:val="both"/>
        <w:rPr>
          <w:rFonts w:ascii="Times New Roman" w:hAnsi="Times New Roman" w:cs="Times New Roman"/>
          <w:color w:val="000000"/>
          <w:sz w:val="24"/>
          <w:szCs w:val="24"/>
          <w:lang w:val="en-US"/>
        </w:rPr>
      </w:pPr>
      <w:r w:rsidRPr="0047178E">
        <w:rPr>
          <w:rFonts w:ascii="Times New Roman" w:hAnsi="Times New Roman" w:cs="Times New Roman"/>
          <w:sz w:val="24"/>
          <w:szCs w:val="24"/>
          <w:lang w:val="en-US"/>
        </w:rPr>
        <w:t>In an attempt to develop a diversified</w:t>
      </w:r>
      <w:r w:rsidR="00A1594F" w:rsidRPr="0047178E">
        <w:rPr>
          <w:rFonts w:ascii="Times New Roman" w:hAnsi="Times New Roman" w:cs="Times New Roman"/>
          <w:sz w:val="24"/>
          <w:szCs w:val="24"/>
          <w:lang w:val="en-US"/>
        </w:rPr>
        <w:t xml:space="preserve"> and</w:t>
      </w:r>
      <w:r w:rsidRPr="0047178E">
        <w:rPr>
          <w:rFonts w:ascii="Times New Roman" w:hAnsi="Times New Roman" w:cs="Times New Roman"/>
          <w:sz w:val="24"/>
          <w:szCs w:val="24"/>
          <w:lang w:val="en-US"/>
        </w:rPr>
        <w:t xml:space="preserve"> vertical</w:t>
      </w:r>
      <w:r w:rsidR="00A1594F" w:rsidRPr="0047178E">
        <w:rPr>
          <w:rFonts w:ascii="Times New Roman" w:hAnsi="Times New Roman" w:cs="Times New Roman"/>
          <w:sz w:val="24"/>
          <w:szCs w:val="24"/>
          <w:lang w:val="en-US"/>
        </w:rPr>
        <w:t>ly</w:t>
      </w:r>
      <w:r w:rsidRPr="0047178E">
        <w:rPr>
          <w:rFonts w:ascii="Times New Roman" w:hAnsi="Times New Roman" w:cs="Times New Roman"/>
          <w:sz w:val="24"/>
          <w:szCs w:val="24"/>
          <w:lang w:val="en-US"/>
        </w:rPr>
        <w:t xml:space="preserve"> </w:t>
      </w:r>
      <w:r w:rsidR="00411353" w:rsidRPr="0047178E">
        <w:rPr>
          <w:rFonts w:ascii="Times New Roman" w:hAnsi="Times New Roman" w:cs="Times New Roman"/>
          <w:sz w:val="24"/>
          <w:szCs w:val="24"/>
          <w:lang w:val="en-US"/>
        </w:rPr>
        <w:t xml:space="preserve">integrated </w:t>
      </w:r>
      <w:r w:rsidRPr="0047178E">
        <w:rPr>
          <w:rFonts w:ascii="Times New Roman" w:hAnsi="Times New Roman" w:cs="Times New Roman"/>
          <w:sz w:val="24"/>
          <w:szCs w:val="24"/>
          <w:lang w:val="en-US"/>
        </w:rPr>
        <w:t>industrial foundation,</w:t>
      </w:r>
      <w:r w:rsidR="004B1B58" w:rsidRPr="0047178E">
        <w:rPr>
          <w:rFonts w:ascii="Times New Roman" w:hAnsi="Times New Roman" w:cs="Times New Roman"/>
          <w:sz w:val="24"/>
          <w:szCs w:val="24"/>
          <w:lang w:val="en-US"/>
        </w:rPr>
        <w:t xml:space="preserve"> from the 1950s to the 1970s Brazil adopted policies that aimed at maintaining its limited exposure to the international trade, by means of an import replacement approach</w:t>
      </w:r>
      <w:r w:rsidRPr="0047178E">
        <w:rPr>
          <w:rFonts w:ascii="Times New Roman" w:hAnsi="Times New Roman" w:cs="Times New Roman"/>
          <w:sz w:val="24"/>
          <w:szCs w:val="24"/>
          <w:lang w:val="en-US"/>
        </w:rPr>
        <w:t xml:space="preserve">. According to Veiga and Rios (2015), </w:t>
      </w:r>
      <w:r w:rsidR="006620DA" w:rsidRPr="0047178E">
        <w:rPr>
          <w:rFonts w:ascii="Times New Roman" w:hAnsi="Times New Roman" w:cs="Times New Roman"/>
          <w:color w:val="000000"/>
          <w:sz w:val="24"/>
          <w:szCs w:val="24"/>
          <w:lang w:val="en-US"/>
        </w:rPr>
        <w:t>such</w:t>
      </w:r>
      <w:r w:rsidRPr="0047178E">
        <w:rPr>
          <w:rFonts w:ascii="Times New Roman" w:hAnsi="Times New Roman" w:cs="Times New Roman"/>
          <w:color w:val="000000"/>
          <w:sz w:val="24"/>
          <w:szCs w:val="24"/>
          <w:lang w:val="en-US"/>
        </w:rPr>
        <w:t xml:space="preserve"> industrial policy was only softened in the late 1980s, when the country went through what is known as 'the decade of liberalization.' The average nominal import rate dropped from 57.5% to approximately 13% </w:t>
      </w:r>
      <w:r w:rsidR="006620DA" w:rsidRPr="0047178E">
        <w:rPr>
          <w:rFonts w:ascii="Times New Roman" w:hAnsi="Times New Roman" w:cs="Times New Roman"/>
          <w:color w:val="000000"/>
          <w:sz w:val="24"/>
          <w:szCs w:val="24"/>
          <w:lang w:val="en-US"/>
        </w:rPr>
        <w:t>from</w:t>
      </w:r>
      <w:r w:rsidRPr="0047178E">
        <w:rPr>
          <w:rFonts w:ascii="Times New Roman" w:hAnsi="Times New Roman" w:cs="Times New Roman"/>
          <w:color w:val="000000"/>
          <w:sz w:val="24"/>
          <w:szCs w:val="24"/>
          <w:lang w:val="en-US"/>
        </w:rPr>
        <w:t xml:space="preserve"> 1987 </w:t>
      </w:r>
      <w:r w:rsidR="006620DA" w:rsidRPr="0047178E">
        <w:rPr>
          <w:rFonts w:ascii="Times New Roman" w:hAnsi="Times New Roman" w:cs="Times New Roman"/>
          <w:color w:val="000000"/>
          <w:sz w:val="24"/>
          <w:szCs w:val="24"/>
          <w:lang w:val="en-US"/>
        </w:rPr>
        <w:t>to</w:t>
      </w:r>
      <w:r w:rsidRPr="0047178E">
        <w:rPr>
          <w:rFonts w:ascii="Times New Roman" w:hAnsi="Times New Roman" w:cs="Times New Roman"/>
          <w:color w:val="000000"/>
          <w:sz w:val="24"/>
          <w:szCs w:val="24"/>
          <w:lang w:val="en-US"/>
        </w:rPr>
        <w:t xml:space="preserve"> 1993. After </w:t>
      </w:r>
      <w:r w:rsidR="0037681C" w:rsidRPr="0047178E">
        <w:rPr>
          <w:rFonts w:ascii="Times New Roman" w:hAnsi="Times New Roman" w:cs="Times New Roman"/>
          <w:color w:val="000000"/>
          <w:sz w:val="24"/>
          <w:szCs w:val="24"/>
          <w:lang w:val="en-US"/>
        </w:rPr>
        <w:t>a</w:t>
      </w:r>
      <w:r w:rsidRPr="0047178E">
        <w:rPr>
          <w:rFonts w:ascii="Times New Roman" w:hAnsi="Times New Roman" w:cs="Times New Roman"/>
          <w:color w:val="000000"/>
          <w:sz w:val="24"/>
          <w:szCs w:val="24"/>
          <w:lang w:val="en-US"/>
        </w:rPr>
        <w:t xml:space="preserve"> decade of liberalization, trade and industrial policies remained relatively stable in Brazil until 2010. Since then, the country's strategy to fight the international crisis was to resume its focus on protecting domestic industries and strengthening local bonds in its value chains. </w:t>
      </w:r>
    </w:p>
    <w:p w14:paraId="40573A77" w14:textId="6A002995" w:rsidR="004642C5"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In spite of these efforts to protect the domestic industrial sector, the effect seen during the 2000s and especially from 2010 onwards, as mentioned </w:t>
      </w:r>
      <w:r w:rsidR="00536744" w:rsidRPr="0047178E">
        <w:rPr>
          <w:rFonts w:ascii="Times New Roman" w:hAnsi="Times New Roman" w:cs="Times New Roman"/>
          <w:sz w:val="24"/>
          <w:szCs w:val="24"/>
          <w:lang w:val="en-US"/>
        </w:rPr>
        <w:t>above</w:t>
      </w:r>
      <w:r w:rsidRPr="0047178E">
        <w:rPr>
          <w:rFonts w:ascii="Times New Roman" w:hAnsi="Times New Roman" w:cs="Times New Roman"/>
          <w:sz w:val="24"/>
          <w:szCs w:val="24"/>
          <w:lang w:val="en-US"/>
        </w:rPr>
        <w:t xml:space="preserve">, </w:t>
      </w:r>
      <w:r w:rsidR="00612549" w:rsidRPr="0047178E">
        <w:rPr>
          <w:rFonts w:ascii="Times New Roman" w:hAnsi="Times New Roman" w:cs="Times New Roman"/>
          <w:sz w:val="24"/>
          <w:szCs w:val="24"/>
          <w:lang w:val="en-US"/>
        </w:rPr>
        <w:t>was</w:t>
      </w:r>
      <w:r w:rsidRPr="0047178E">
        <w:rPr>
          <w:rFonts w:ascii="Times New Roman" w:hAnsi="Times New Roman" w:cs="Times New Roman"/>
          <w:sz w:val="24"/>
          <w:szCs w:val="24"/>
          <w:lang w:val="en-US"/>
        </w:rPr>
        <w:t xml:space="preserve"> </w:t>
      </w:r>
      <w:r w:rsidR="006620DA" w:rsidRPr="0047178E">
        <w:rPr>
          <w:rFonts w:ascii="Times New Roman" w:hAnsi="Times New Roman" w:cs="Times New Roman"/>
          <w:sz w:val="24"/>
          <w:szCs w:val="24"/>
          <w:lang w:val="en-US"/>
        </w:rPr>
        <w:t>an increased</w:t>
      </w:r>
      <w:r w:rsidRPr="0047178E">
        <w:rPr>
          <w:rFonts w:ascii="Times New Roman" w:hAnsi="Times New Roman" w:cs="Times New Roman"/>
          <w:sz w:val="24"/>
          <w:szCs w:val="24"/>
          <w:lang w:val="en-US"/>
        </w:rPr>
        <w:t xml:space="preserve"> import penetration in the </w:t>
      </w:r>
      <w:r w:rsidR="0007027E" w:rsidRPr="0047178E">
        <w:rPr>
          <w:rFonts w:ascii="Times New Roman" w:hAnsi="Times New Roman" w:cs="Times New Roman"/>
          <w:sz w:val="24"/>
          <w:szCs w:val="24"/>
          <w:lang w:val="en-US"/>
        </w:rPr>
        <w:t>manufacturing</w:t>
      </w:r>
      <w:r w:rsidR="00536744" w:rsidRPr="0047178E">
        <w:rPr>
          <w:rFonts w:ascii="Times New Roman" w:hAnsi="Times New Roman" w:cs="Times New Roman"/>
          <w:sz w:val="24"/>
          <w:szCs w:val="24"/>
          <w:lang w:val="en-US"/>
        </w:rPr>
        <w:t xml:space="preserve"> industry to meet </w:t>
      </w:r>
      <w:r w:rsidR="006620DA" w:rsidRPr="0047178E">
        <w:rPr>
          <w:rFonts w:ascii="Times New Roman" w:hAnsi="Times New Roman" w:cs="Times New Roman"/>
          <w:sz w:val="24"/>
          <w:szCs w:val="24"/>
          <w:lang w:val="en-US"/>
        </w:rPr>
        <w:t xml:space="preserve">the rising </w:t>
      </w:r>
      <w:r w:rsidRPr="0047178E">
        <w:rPr>
          <w:rFonts w:ascii="Times New Roman" w:hAnsi="Times New Roman" w:cs="Times New Roman"/>
          <w:sz w:val="24"/>
          <w:szCs w:val="24"/>
          <w:lang w:val="en-US"/>
        </w:rPr>
        <w:t xml:space="preserve">domestic demand. In turn, that </w:t>
      </w:r>
      <w:r w:rsidR="00E95C14" w:rsidRPr="0047178E">
        <w:rPr>
          <w:rFonts w:ascii="Times New Roman" w:hAnsi="Times New Roman" w:cs="Times New Roman"/>
          <w:sz w:val="24"/>
          <w:szCs w:val="24"/>
          <w:lang w:val="en-US"/>
        </w:rPr>
        <w:t>actually</w:t>
      </w:r>
      <w:r w:rsidRPr="0047178E">
        <w:rPr>
          <w:rFonts w:ascii="Times New Roman" w:hAnsi="Times New Roman" w:cs="Times New Roman"/>
          <w:sz w:val="24"/>
          <w:szCs w:val="24"/>
          <w:lang w:val="en-US"/>
        </w:rPr>
        <w:t xml:space="preserve"> put even more pressure on the industrial sector for it to become more politically active trade-wise. </w:t>
      </w:r>
    </w:p>
    <w:p w14:paraId="6D6ACA22" w14:textId="77777777" w:rsidR="004642C5" w:rsidRPr="0047178E" w:rsidRDefault="004642C5"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That resulted in an increase of tariff and non-tariff barriers. Baumann and Kumme (2013) show that, in 2010, Brazilian tariffs for capital and intermediate goods were </w:t>
      </w:r>
      <w:r w:rsidR="006620DA" w:rsidRPr="0047178E">
        <w:rPr>
          <w:rFonts w:ascii="Times New Roman" w:hAnsi="Times New Roman" w:cs="Times New Roman"/>
          <w:sz w:val="24"/>
          <w:szCs w:val="24"/>
          <w:lang w:val="en-US"/>
        </w:rPr>
        <w:t>higher</w:t>
      </w:r>
      <w:r w:rsidRPr="0047178E">
        <w:rPr>
          <w:rFonts w:ascii="Times New Roman" w:hAnsi="Times New Roman" w:cs="Times New Roman"/>
          <w:sz w:val="24"/>
          <w:szCs w:val="24"/>
          <w:lang w:val="en-US"/>
        </w:rPr>
        <w:t xml:space="preserve"> in comparison to other developing countries (Table</w:t>
      </w:r>
      <w:r w:rsidR="006620DA" w:rsidRPr="0047178E">
        <w:rPr>
          <w:rFonts w:ascii="Times New Roman" w:hAnsi="Times New Roman" w:cs="Times New Roman"/>
          <w:sz w:val="24"/>
          <w:szCs w:val="24"/>
          <w:lang w:val="en-US"/>
        </w:rPr>
        <w:t xml:space="preserve"> </w:t>
      </w:r>
      <w:r w:rsidRPr="0047178E">
        <w:rPr>
          <w:rFonts w:ascii="Times New Roman" w:hAnsi="Times New Roman" w:cs="Times New Roman"/>
          <w:sz w:val="24"/>
          <w:szCs w:val="24"/>
          <w:lang w:val="en-US"/>
        </w:rPr>
        <w:t>1).</w:t>
      </w:r>
    </w:p>
    <w:p w14:paraId="34D97190" w14:textId="77777777" w:rsidR="00E00B38"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The intermediate goods tariff had a larger increase from 2005 to 2010 (from 10.7% to 11.7</w:t>
      </w:r>
      <w:r w:rsidR="00287E44" w:rsidRPr="0047178E">
        <w:rPr>
          <w:rFonts w:ascii="Times New Roman" w:hAnsi="Times New Roman" w:cs="Times New Roman"/>
          <w:sz w:val="24"/>
          <w:szCs w:val="24"/>
          <w:lang w:val="en-US"/>
        </w:rPr>
        <w:t>%</w:t>
      </w:r>
      <w:r w:rsidRPr="0047178E">
        <w:rPr>
          <w:rFonts w:ascii="Times New Roman" w:hAnsi="Times New Roman" w:cs="Times New Roman"/>
          <w:sz w:val="24"/>
          <w:szCs w:val="24"/>
          <w:lang w:val="en-US"/>
        </w:rPr>
        <w:t>) when compared to capital goods (from 13% to 13.2%). According to Veiga and Rios (2015), from 2004 to 2014 intermediate goods share in Brazilian exports dropped by 10 p.p., while consumer and capital goods grew by 6.2 and 2.2 p.p. respectively.</w:t>
      </w:r>
      <w:r w:rsidR="00055886" w:rsidRPr="0047178E">
        <w:rPr>
          <w:rFonts w:ascii="Times New Roman" w:hAnsi="Times New Roman" w:cs="Times New Roman"/>
          <w:sz w:val="24"/>
          <w:szCs w:val="24"/>
          <w:lang w:val="en-US"/>
        </w:rPr>
        <w:t xml:space="preserve"> </w:t>
      </w:r>
    </w:p>
    <w:p w14:paraId="14E67ADB" w14:textId="77777777" w:rsidR="00211A83" w:rsidRPr="0047178E" w:rsidRDefault="00211A83" w:rsidP="0047178E">
      <w:pPr>
        <w:pStyle w:val="PargrafodaLista"/>
        <w:spacing w:after="0" w:line="240" w:lineRule="auto"/>
        <w:ind w:left="0" w:firstLine="567"/>
        <w:jc w:val="both"/>
        <w:rPr>
          <w:rFonts w:ascii="Times New Roman" w:hAnsi="Times New Roman" w:cs="Times New Roman"/>
          <w:sz w:val="24"/>
          <w:szCs w:val="24"/>
          <w:lang w:val="en-US"/>
        </w:rPr>
      </w:pPr>
    </w:p>
    <w:p w14:paraId="6903D95B" w14:textId="77777777" w:rsidR="00E00B38" w:rsidRPr="0047178E" w:rsidRDefault="00F81B65" w:rsidP="0047178E">
      <w:pPr>
        <w:pStyle w:val="PargrafodaLista"/>
        <w:spacing w:after="0" w:line="240" w:lineRule="auto"/>
        <w:ind w:left="0" w:firstLine="567"/>
        <w:jc w:val="center"/>
        <w:rPr>
          <w:rFonts w:ascii="Times New Roman" w:hAnsi="Times New Roman" w:cs="Times New Roman"/>
          <w:b/>
          <w:sz w:val="24"/>
          <w:szCs w:val="24"/>
          <w:lang w:val="en-US"/>
        </w:rPr>
      </w:pPr>
      <w:r w:rsidRPr="0047178E">
        <w:rPr>
          <w:rFonts w:ascii="Times New Roman" w:hAnsi="Times New Roman" w:cs="Times New Roman"/>
          <w:b/>
          <w:sz w:val="24"/>
          <w:szCs w:val="24"/>
          <w:lang w:val="en-US"/>
        </w:rPr>
        <w:t>Table 1: Average import tariff</w:t>
      </w:r>
    </w:p>
    <w:p w14:paraId="53B661EE" w14:textId="37247507" w:rsidR="00E00B38" w:rsidRPr="0047178E" w:rsidRDefault="00C7209A" w:rsidP="0047178E">
      <w:pPr>
        <w:pStyle w:val="PargrafodaLista"/>
        <w:spacing w:after="0" w:line="240" w:lineRule="auto"/>
        <w:ind w:left="709" w:firstLine="567"/>
        <w:jc w:val="both"/>
        <w:rPr>
          <w:rFonts w:ascii="Times New Roman" w:hAnsi="Times New Roman" w:cs="Times New Roman"/>
          <w:sz w:val="24"/>
          <w:szCs w:val="24"/>
          <w:lang w:val="en-US"/>
        </w:rPr>
      </w:pPr>
      <w:r w:rsidRPr="0047178E">
        <w:rPr>
          <w:rFonts w:ascii="Times New Roman" w:hAnsi="Times New Roman" w:cs="Times New Roman"/>
          <w:noProof/>
          <w:sz w:val="24"/>
          <w:szCs w:val="24"/>
          <w:lang w:eastAsia="pt-BR"/>
        </w:rPr>
        <w:drawing>
          <wp:inline distT="0" distB="0" distL="0" distR="0" wp14:anchorId="1019EC1E" wp14:editId="7AD421E0">
            <wp:extent cx="4562475" cy="21050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2105025"/>
                    </a:xfrm>
                    <a:prstGeom prst="rect">
                      <a:avLst/>
                    </a:prstGeom>
                    <a:noFill/>
                    <a:ln>
                      <a:noFill/>
                    </a:ln>
                  </pic:spPr>
                </pic:pic>
              </a:graphicData>
            </a:graphic>
          </wp:inline>
        </w:drawing>
      </w:r>
      <w:r w:rsidR="00774EF2" w:rsidRPr="0047178E">
        <w:rPr>
          <w:rFonts w:ascii="Times New Roman" w:hAnsi="Times New Roman" w:cs="Times New Roman"/>
          <w:noProof/>
          <w:sz w:val="24"/>
          <w:szCs w:val="24"/>
          <w:lang w:eastAsia="pt-BR"/>
        </w:rPr>
        <mc:AlternateContent>
          <mc:Choice Requires="wps">
            <w:drawing>
              <wp:anchor distT="0" distB="0" distL="114300" distR="114300" simplePos="0" relativeHeight="251661312" behindDoc="0" locked="0" layoutInCell="1" allowOverlap="1" wp14:anchorId="3BAA8FDB" wp14:editId="0BDB59C4">
                <wp:simplePos x="0" y="0"/>
                <wp:positionH relativeFrom="column">
                  <wp:posOffset>748030</wp:posOffset>
                </wp:positionH>
                <wp:positionV relativeFrom="paragraph">
                  <wp:posOffset>2099945</wp:posOffset>
                </wp:positionV>
                <wp:extent cx="5131435" cy="197485"/>
                <wp:effectExtent l="0" t="0" r="0" b="0"/>
                <wp:wrapNone/>
                <wp:docPr id="26" name="CaixaDe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1435" cy="197485"/>
                        </a:xfrm>
                        <a:prstGeom prst="rect">
                          <a:avLst/>
                        </a:prstGeom>
                      </wps:spPr>
                      <wps:txbx>
                        <w:txbxContent>
                          <w:p w14:paraId="21B71F2C" w14:textId="7C89A36B" w:rsidR="004129CE" w:rsidRDefault="002428D6" w:rsidP="00E00B38">
                            <w:pPr>
                              <w:pStyle w:val="NormalWeb"/>
                              <w:spacing w:before="0" w:beforeAutospacing="0" w:after="0" w:afterAutospacing="0"/>
                            </w:pPr>
                            <w:r>
                              <w:rPr>
                                <w:rFonts w:asciiTheme="minorHAnsi" w:cstheme="minorBidi"/>
                                <w:sz w:val="16"/>
                                <w:szCs w:val="16"/>
                              </w:rPr>
                              <w:t>Souce</w:t>
                            </w:r>
                            <w:r w:rsidR="004129CE">
                              <w:rPr>
                                <w:rFonts w:asciiTheme="minorHAnsi" w:cstheme="minorBidi"/>
                                <w:sz w:val="16"/>
                                <w:szCs w:val="16"/>
                              </w:rPr>
                              <w:t xml:space="preserve">: Baumann </w:t>
                            </w:r>
                            <w:r>
                              <w:rPr>
                                <w:rFonts w:asciiTheme="minorHAnsi" w:cstheme="minorBidi"/>
                                <w:sz w:val="16"/>
                                <w:szCs w:val="16"/>
                              </w:rPr>
                              <w:t>and</w:t>
                            </w:r>
                            <w:r w:rsidR="004129CE">
                              <w:rPr>
                                <w:rFonts w:asciiTheme="minorHAnsi" w:cstheme="minorBidi"/>
                                <w:sz w:val="16"/>
                                <w:szCs w:val="16"/>
                              </w:rPr>
                              <w:t xml:space="preserve"> Kume, 2013  </w:t>
                            </w:r>
                          </w:p>
                        </w:txbxContent>
                      </wps:txbx>
                      <wps:bodyPr wrap="square" rtlCol="0"/>
                    </wps:wsp>
                  </a:graphicData>
                </a:graphic>
                <wp14:sizeRelH relativeFrom="page">
                  <wp14:pctWidth>0</wp14:pctWidth>
                </wp14:sizeRelH>
                <wp14:sizeRelV relativeFrom="page">
                  <wp14:pctHeight>0</wp14:pctHeight>
                </wp14:sizeRelV>
              </wp:anchor>
            </w:drawing>
          </mc:Choice>
          <mc:Fallback>
            <w:pict>
              <v:shapetype w14:anchorId="3BAA8FDB" id="_x0000_t202" coordsize="21600,21600" o:spt="202" path="m,l,21600r21600,l21600,xe">
                <v:stroke joinstyle="miter"/>
                <v:path gradientshapeok="t" o:connecttype="rect"/>
              </v:shapetype>
              <v:shape id="CaixaDeTexto 1" o:spid="_x0000_s1026" type="#_x0000_t202" style="position:absolute;left:0;text-align:left;margin-left:58.9pt;margin-top:165.35pt;width:404.05pt;height:1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" filled="f" stroked="f">
                <v:path arrowok="t"/>
                <v:textbox>
                  <w:txbxContent>
                    <w:p w14:paraId="21B71F2C" w14:textId="7C89A36B" w:rsidR="004129CE" w:rsidRDefault="002428D6" w:rsidP="00E00B38">
                      <w:pPr>
                        <w:pStyle w:val="NormalWeb"/>
                        <w:spacing w:before="0" w:beforeAutospacing="0" w:after="0" w:afterAutospacing="0"/>
                      </w:pPr>
                      <w:r>
                        <w:rPr>
                          <w:rFonts w:asciiTheme="minorHAnsi" w:cstheme="minorBidi"/>
                          <w:sz w:val="16"/>
                          <w:szCs w:val="16"/>
                        </w:rPr>
                        <w:t>Souce</w:t>
                      </w:r>
                      <w:r w:rsidR="004129CE">
                        <w:rPr>
                          <w:rFonts w:asciiTheme="minorHAnsi" w:cstheme="minorBidi"/>
                          <w:sz w:val="16"/>
                          <w:szCs w:val="16"/>
                        </w:rPr>
                        <w:t xml:space="preserve">: Baumann </w:t>
                      </w:r>
                      <w:r>
                        <w:rPr>
                          <w:rFonts w:asciiTheme="minorHAnsi" w:cstheme="minorBidi"/>
                          <w:sz w:val="16"/>
                          <w:szCs w:val="16"/>
                        </w:rPr>
                        <w:t>and</w:t>
                      </w:r>
                      <w:r w:rsidR="004129CE">
                        <w:rPr>
                          <w:rFonts w:asciiTheme="minorHAnsi" w:cstheme="minorBidi"/>
                          <w:sz w:val="16"/>
                          <w:szCs w:val="16"/>
                        </w:rPr>
                        <w:t xml:space="preserve"> Kume, 2013  </w:t>
                      </w:r>
                    </w:p>
                  </w:txbxContent>
                </v:textbox>
              </v:shape>
            </w:pict>
          </mc:Fallback>
        </mc:AlternateContent>
      </w:r>
    </w:p>
    <w:p w14:paraId="16D7DA8E" w14:textId="77777777" w:rsidR="00E00B38" w:rsidRPr="0047178E" w:rsidRDefault="00E00B38" w:rsidP="0047178E">
      <w:pPr>
        <w:pStyle w:val="PargrafodaLista"/>
        <w:spacing w:after="0" w:line="240" w:lineRule="auto"/>
        <w:ind w:left="0" w:firstLine="567"/>
        <w:jc w:val="both"/>
        <w:rPr>
          <w:rFonts w:ascii="Times New Roman" w:hAnsi="Times New Roman" w:cs="Times New Roman"/>
          <w:sz w:val="24"/>
          <w:szCs w:val="24"/>
          <w:lang w:val="en-US"/>
        </w:rPr>
      </w:pPr>
    </w:p>
    <w:p w14:paraId="71E82D0F" w14:textId="1EF94D9A" w:rsidR="000922A6" w:rsidRPr="0047178E" w:rsidRDefault="00EA5C5D" w:rsidP="0047178E">
      <w:pPr>
        <w:pStyle w:val="PargrafodaLista"/>
        <w:spacing w:after="0" w:line="240" w:lineRule="auto"/>
        <w:ind w:left="0" w:firstLine="567"/>
        <w:jc w:val="both"/>
        <w:rPr>
          <w:rFonts w:ascii="Times New Roman" w:hAnsi="Times New Roman" w:cs="Times New Roman"/>
          <w:color w:val="000000"/>
          <w:sz w:val="24"/>
          <w:szCs w:val="24"/>
          <w:lang w:val="en-US"/>
        </w:rPr>
      </w:pPr>
      <w:r w:rsidRPr="0047178E">
        <w:rPr>
          <w:rFonts w:ascii="Times New Roman" w:hAnsi="Times New Roman" w:cs="Times New Roman"/>
          <w:sz w:val="24"/>
          <w:szCs w:val="24"/>
          <w:lang w:val="en-US"/>
        </w:rPr>
        <w:t>When it comes to non-tariff barriers, the</w:t>
      </w:r>
      <w:r w:rsidR="00FC7960" w:rsidRPr="0047178E">
        <w:rPr>
          <w:rFonts w:ascii="Times New Roman" w:hAnsi="Times New Roman" w:cs="Times New Roman"/>
          <w:sz w:val="24"/>
          <w:szCs w:val="24"/>
          <w:lang w:val="en-US"/>
        </w:rPr>
        <w:t>y also contributed to lower the backward participation level. The</w:t>
      </w:r>
      <w:r w:rsidRPr="0047178E">
        <w:rPr>
          <w:rFonts w:ascii="Times New Roman" w:hAnsi="Times New Roman" w:cs="Times New Roman"/>
          <w:sz w:val="24"/>
          <w:szCs w:val="24"/>
          <w:lang w:val="en-US"/>
        </w:rPr>
        <w:t xml:space="preserve"> increase in protectionism after 2010 was </w:t>
      </w:r>
      <w:r w:rsidRPr="0047178E">
        <w:rPr>
          <w:rFonts w:ascii="Times New Roman" w:hAnsi="Times New Roman" w:cs="Times New Roman"/>
          <w:color w:val="000000"/>
          <w:sz w:val="24"/>
          <w:szCs w:val="24"/>
          <w:lang w:val="en-US"/>
        </w:rPr>
        <w:t>mainly due to the increase in the number of products</w:t>
      </w:r>
      <w:r w:rsidR="008F7008" w:rsidRPr="0047178E">
        <w:rPr>
          <w:rFonts w:ascii="Times New Roman" w:hAnsi="Times New Roman" w:cs="Times New Roman"/>
          <w:color w:val="000000"/>
          <w:sz w:val="24"/>
          <w:szCs w:val="24"/>
          <w:lang w:val="en-US"/>
        </w:rPr>
        <w:t xml:space="preserve"> subject to antidumping rights, the local content requirement to access tax and credit benefits</w:t>
      </w:r>
      <w:r w:rsidR="00533BBF" w:rsidRPr="0047178E">
        <w:rPr>
          <w:rFonts w:ascii="Times New Roman" w:hAnsi="Times New Roman" w:cs="Times New Roman"/>
          <w:color w:val="000000"/>
          <w:sz w:val="24"/>
          <w:szCs w:val="24"/>
          <w:lang w:val="en-US"/>
        </w:rPr>
        <w:t>,</w:t>
      </w:r>
      <w:r w:rsidR="008F7008" w:rsidRPr="0047178E">
        <w:rPr>
          <w:rFonts w:ascii="Times New Roman" w:hAnsi="Times New Roman" w:cs="Times New Roman"/>
          <w:color w:val="000000"/>
          <w:sz w:val="24"/>
          <w:szCs w:val="24"/>
          <w:lang w:val="en-US"/>
        </w:rPr>
        <w:t xml:space="preserve"> </w:t>
      </w:r>
      <w:r w:rsidRPr="0047178E">
        <w:rPr>
          <w:rFonts w:ascii="Times New Roman" w:hAnsi="Times New Roman" w:cs="Times New Roman"/>
          <w:color w:val="000000"/>
          <w:sz w:val="24"/>
          <w:szCs w:val="24"/>
          <w:lang w:val="en-US"/>
        </w:rPr>
        <w:t>and the preference given to Brazilian companies in government procurement policies. Since 2012, out of all WTO members, Brazil is the country that launches the largest number of dumping investigations and ranks second in the number of antidumping rights (</w:t>
      </w:r>
      <w:r w:rsidRPr="0047178E">
        <w:rPr>
          <w:rFonts w:ascii="Times New Roman" w:hAnsi="Times New Roman" w:cs="Times New Roman"/>
          <w:sz w:val="24"/>
          <w:szCs w:val="24"/>
          <w:lang w:val="en-US"/>
        </w:rPr>
        <w:t xml:space="preserve">Veiga and Rios, 2015). </w:t>
      </w:r>
      <w:r w:rsidRPr="0047178E">
        <w:rPr>
          <w:rFonts w:ascii="Times New Roman" w:hAnsi="Times New Roman" w:cs="Times New Roman"/>
          <w:color w:val="000000"/>
          <w:sz w:val="24"/>
          <w:szCs w:val="24"/>
          <w:lang w:val="en-US"/>
        </w:rPr>
        <w:t>The antidumping measures adopted in Brazil focus primarily on intermediate products: 91% of the dumping investigations launched from 2008 to 2013 targeted steel and iron, chemical, plastic, and rubber products, as well as electrical and mechanical products, basic metals, minerals, cement materials and raw materials used in the paper and textile industries; and 88% of the measures were aimed at the same products (WTO).</w:t>
      </w:r>
    </w:p>
    <w:p w14:paraId="7315907B" w14:textId="77777777" w:rsidR="00087B63" w:rsidRPr="0047178E" w:rsidRDefault="00EA5C5D" w:rsidP="0047178E">
      <w:pPr>
        <w:pStyle w:val="PargrafodaLista"/>
        <w:spacing w:after="0" w:line="240" w:lineRule="auto"/>
        <w:ind w:left="0" w:firstLine="567"/>
        <w:jc w:val="both"/>
        <w:rPr>
          <w:rFonts w:ascii="Times New Roman" w:hAnsi="Times New Roman" w:cs="Times New Roman"/>
          <w:spacing w:val="-4"/>
          <w:sz w:val="24"/>
          <w:szCs w:val="24"/>
          <w:lang w:val="en-US"/>
        </w:rPr>
      </w:pPr>
      <w:r w:rsidRPr="0047178E">
        <w:rPr>
          <w:rFonts w:ascii="Times New Roman" w:hAnsi="Times New Roman" w:cs="Times New Roman"/>
          <w:color w:val="000000"/>
          <w:sz w:val="24"/>
          <w:szCs w:val="24"/>
          <w:lang w:val="en-US"/>
        </w:rPr>
        <w:t xml:space="preserve">Analyzing the employment of these measures over a longer period, </w:t>
      </w:r>
      <w:r w:rsidRPr="0047178E">
        <w:rPr>
          <w:rFonts w:ascii="Times New Roman" w:hAnsi="Times New Roman" w:cs="Times New Roman"/>
          <w:sz w:val="24"/>
          <w:szCs w:val="24"/>
          <w:lang w:val="en-US"/>
        </w:rPr>
        <w:t>table 2 shows</w:t>
      </w:r>
      <w:r w:rsidR="000922A6" w:rsidRPr="0047178E">
        <w:rPr>
          <w:rFonts w:ascii="Times New Roman" w:hAnsi="Times New Roman" w:cs="Times New Roman"/>
          <w:sz w:val="24"/>
          <w:szCs w:val="24"/>
          <w:lang w:val="en-US"/>
        </w:rPr>
        <w:t xml:space="preserve"> </w:t>
      </w:r>
      <w:r w:rsidR="00737D4E" w:rsidRPr="0047178E">
        <w:rPr>
          <w:rFonts w:ascii="Times New Roman" w:hAnsi="Times New Roman" w:cs="Times New Roman"/>
          <w:sz w:val="24"/>
          <w:szCs w:val="24"/>
          <w:lang w:val="en-US"/>
        </w:rPr>
        <w:t>that b</w:t>
      </w:r>
      <w:r w:rsidR="00737D4E" w:rsidRPr="0047178E">
        <w:rPr>
          <w:rFonts w:ascii="Times New Roman" w:hAnsi="Times New Roman" w:cs="Times New Roman"/>
          <w:spacing w:val="-4"/>
          <w:sz w:val="24"/>
          <w:szCs w:val="24"/>
          <w:lang w:val="en-US"/>
        </w:rPr>
        <w:t xml:space="preserve">etween January 1995 (the year of Brazil's entry into the WTO) and 2014, 2,111 non-tariff measures were notified to trade partners and entered into force. Among the countries shown in the Table, this quantity is only below that of China (2,148 non-tariff measures), a country that has a trade flow almost 10 times larger than that of Brazil, which joined the WTO six years after Brazil (in 2001), and whose economy is still considered "market socialism". </w:t>
      </w:r>
    </w:p>
    <w:p w14:paraId="7DBB4E21" w14:textId="45C8AEA7" w:rsidR="00897005" w:rsidRPr="0047178E" w:rsidRDefault="00897005" w:rsidP="0047178E">
      <w:pPr>
        <w:spacing w:after="0" w:line="240" w:lineRule="auto"/>
        <w:jc w:val="both"/>
        <w:rPr>
          <w:rFonts w:ascii="Times New Roman" w:hAnsi="Times New Roman" w:cs="Times New Roman"/>
          <w:sz w:val="24"/>
          <w:szCs w:val="24"/>
          <w:lang w:val="en-US"/>
        </w:rPr>
      </w:pPr>
    </w:p>
    <w:p w14:paraId="57205CBA" w14:textId="77777777" w:rsidR="00E00B38" w:rsidRPr="0047178E" w:rsidRDefault="00E00B38" w:rsidP="0047178E">
      <w:pPr>
        <w:pStyle w:val="PargrafodaLista"/>
        <w:spacing w:line="240" w:lineRule="auto"/>
        <w:ind w:left="0" w:right="-710" w:hanging="709"/>
        <w:jc w:val="center"/>
        <w:rPr>
          <w:rFonts w:ascii="Times New Roman" w:hAnsi="Times New Roman" w:cs="Times New Roman"/>
          <w:b/>
          <w:color w:val="000000" w:themeColor="text1"/>
          <w:sz w:val="24"/>
          <w:szCs w:val="24"/>
          <w:lang w:val="en-US"/>
        </w:rPr>
      </w:pPr>
      <w:r w:rsidRPr="0047178E">
        <w:rPr>
          <w:rFonts w:ascii="Times New Roman" w:hAnsi="Times New Roman" w:cs="Times New Roman"/>
          <w:b/>
          <w:color w:val="000000" w:themeColor="text1"/>
          <w:sz w:val="24"/>
          <w:szCs w:val="24"/>
          <w:lang w:val="en-US"/>
        </w:rPr>
        <w:t>T</w:t>
      </w:r>
      <w:r w:rsidR="00F81B65" w:rsidRPr="0047178E">
        <w:rPr>
          <w:rFonts w:ascii="Times New Roman" w:hAnsi="Times New Roman" w:cs="Times New Roman"/>
          <w:b/>
          <w:color w:val="000000" w:themeColor="text1"/>
          <w:sz w:val="24"/>
          <w:szCs w:val="24"/>
          <w:lang w:val="en-US"/>
        </w:rPr>
        <w:t>able</w:t>
      </w:r>
      <w:r w:rsidR="00B64D18" w:rsidRPr="0047178E">
        <w:rPr>
          <w:rFonts w:ascii="Times New Roman" w:hAnsi="Times New Roman" w:cs="Times New Roman"/>
          <w:b/>
          <w:color w:val="000000" w:themeColor="text1"/>
          <w:sz w:val="24"/>
          <w:szCs w:val="24"/>
          <w:lang w:val="en-US"/>
        </w:rPr>
        <w:t xml:space="preserve"> 2</w:t>
      </w:r>
      <w:r w:rsidRPr="0047178E">
        <w:rPr>
          <w:rFonts w:ascii="Times New Roman" w:hAnsi="Times New Roman" w:cs="Times New Roman"/>
          <w:b/>
          <w:color w:val="000000" w:themeColor="text1"/>
          <w:sz w:val="24"/>
          <w:szCs w:val="24"/>
          <w:lang w:val="en-US"/>
        </w:rPr>
        <w:t xml:space="preserve">: </w:t>
      </w:r>
      <w:r w:rsidR="00F81B65" w:rsidRPr="0047178E">
        <w:rPr>
          <w:rFonts w:ascii="Times New Roman" w:hAnsi="Times New Roman" w:cs="Times New Roman"/>
          <w:b/>
          <w:color w:val="000000" w:themeColor="text1"/>
          <w:sz w:val="24"/>
          <w:szCs w:val="24"/>
          <w:lang w:val="en-US"/>
        </w:rPr>
        <w:t>Non-tariff barriers to trade – initiated and entered into force measures</w:t>
      </w:r>
      <w:r w:rsidRPr="0047178E">
        <w:rPr>
          <w:rFonts w:ascii="Times New Roman" w:hAnsi="Times New Roman" w:cs="Times New Roman"/>
          <w:b/>
          <w:color w:val="000000" w:themeColor="text1"/>
          <w:sz w:val="24"/>
          <w:szCs w:val="24"/>
          <w:lang w:val="en-US"/>
        </w:rPr>
        <w:t>- 1995 a 2014</w:t>
      </w:r>
    </w:p>
    <w:p w14:paraId="4855DD5E" w14:textId="77777777" w:rsidR="00133592" w:rsidRPr="0047178E" w:rsidRDefault="00133592" w:rsidP="0047178E">
      <w:pPr>
        <w:pStyle w:val="PargrafodaLista"/>
        <w:spacing w:after="0" w:line="240" w:lineRule="auto"/>
        <w:ind w:left="-142"/>
        <w:jc w:val="center"/>
        <w:rPr>
          <w:rFonts w:ascii="Times New Roman" w:hAnsi="Times New Roman" w:cs="Times New Roman"/>
          <w:sz w:val="24"/>
          <w:szCs w:val="24"/>
          <w:lang w:val="en-US"/>
        </w:rPr>
      </w:pPr>
      <w:r w:rsidRPr="0047178E">
        <w:rPr>
          <w:rFonts w:ascii="Times New Roman" w:hAnsi="Times New Roman" w:cs="Times New Roman"/>
          <w:noProof/>
          <w:sz w:val="24"/>
          <w:szCs w:val="24"/>
          <w:lang w:eastAsia="pt-BR"/>
        </w:rPr>
        <w:drawing>
          <wp:inline distT="0" distB="0" distL="0" distR="0" wp14:anchorId="32FF6C92" wp14:editId="6D130187">
            <wp:extent cx="4864275" cy="28003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4763" cy="2817902"/>
                    </a:xfrm>
                    <a:prstGeom prst="rect">
                      <a:avLst/>
                    </a:prstGeom>
                    <a:noFill/>
                    <a:ln>
                      <a:noFill/>
                    </a:ln>
                  </pic:spPr>
                </pic:pic>
              </a:graphicData>
            </a:graphic>
          </wp:inline>
        </w:drawing>
      </w:r>
    </w:p>
    <w:p w14:paraId="42D6CFC2" w14:textId="709337E5" w:rsidR="00133592" w:rsidRDefault="0047178E" w:rsidP="0047178E">
      <w:pPr>
        <w:pStyle w:val="PargrafodaLista"/>
        <w:spacing w:after="0" w:line="240" w:lineRule="auto"/>
        <w:ind w:left="-14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C54ED">
        <w:rPr>
          <w:rFonts w:ascii="Times New Roman" w:hAnsi="Times New Roman" w:cs="Times New Roman"/>
          <w:sz w:val="24"/>
          <w:szCs w:val="24"/>
          <w:lang w:val="en-US"/>
        </w:rPr>
        <w:t xml:space="preserve">      </w:t>
      </w:r>
      <w:r w:rsidR="00133592" w:rsidRPr="0047178E">
        <w:rPr>
          <w:rFonts w:ascii="Times New Roman" w:hAnsi="Times New Roman" w:cs="Times New Roman"/>
          <w:sz w:val="24"/>
          <w:szCs w:val="24"/>
          <w:lang w:val="en-US"/>
        </w:rPr>
        <w:t xml:space="preserve">  </w:t>
      </w:r>
      <w:r w:rsidR="00F81B65" w:rsidRPr="005C54ED">
        <w:rPr>
          <w:rFonts w:ascii="Times New Roman" w:hAnsi="Times New Roman" w:cs="Times New Roman"/>
          <w:sz w:val="18"/>
          <w:szCs w:val="24"/>
          <w:lang w:val="en-US"/>
        </w:rPr>
        <w:t>Source: WTO</w:t>
      </w:r>
    </w:p>
    <w:p w14:paraId="6ED2E2C4" w14:textId="77777777" w:rsidR="0047178E" w:rsidRPr="0047178E" w:rsidRDefault="0047178E" w:rsidP="0047178E">
      <w:pPr>
        <w:pStyle w:val="PargrafodaLista"/>
        <w:spacing w:line="240" w:lineRule="auto"/>
        <w:ind w:left="-142"/>
        <w:rPr>
          <w:rFonts w:ascii="Times New Roman" w:hAnsi="Times New Roman" w:cs="Times New Roman"/>
          <w:sz w:val="24"/>
          <w:szCs w:val="24"/>
          <w:lang w:val="en-US"/>
        </w:rPr>
      </w:pPr>
    </w:p>
    <w:p w14:paraId="29FA6DC0" w14:textId="7F61F421" w:rsidR="00EA5C5D"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Therefore, the results suggest that the tariff and non-tariff barriers imposed by the Brazilian government have led to a decrease in backward participation due to the difficulties they pose on imports, especially of intermediate goods. This in turn may </w:t>
      </w:r>
      <w:r w:rsidR="006358B6" w:rsidRPr="0047178E">
        <w:rPr>
          <w:rFonts w:ascii="Times New Roman" w:hAnsi="Times New Roman" w:cs="Times New Roman"/>
          <w:sz w:val="24"/>
          <w:szCs w:val="24"/>
          <w:lang w:val="en-US"/>
        </w:rPr>
        <w:t xml:space="preserve">lead to a lack of </w:t>
      </w:r>
      <w:r w:rsidR="00650EE7" w:rsidRPr="0047178E">
        <w:rPr>
          <w:rFonts w:ascii="Times New Roman" w:hAnsi="Times New Roman" w:cs="Times New Roman"/>
          <w:sz w:val="24"/>
          <w:szCs w:val="24"/>
          <w:lang w:val="en-US"/>
        </w:rPr>
        <w:t>incentive</w:t>
      </w:r>
      <w:r w:rsidR="006358B6" w:rsidRPr="0047178E">
        <w:rPr>
          <w:rFonts w:ascii="Times New Roman" w:hAnsi="Times New Roman" w:cs="Times New Roman"/>
          <w:sz w:val="24"/>
          <w:szCs w:val="24"/>
          <w:lang w:val="en-US"/>
        </w:rPr>
        <w:t xml:space="preserve"> for</w:t>
      </w:r>
      <w:r w:rsidRPr="0047178E">
        <w:rPr>
          <w:rFonts w:ascii="Times New Roman" w:hAnsi="Times New Roman" w:cs="Times New Roman"/>
          <w:sz w:val="24"/>
          <w:szCs w:val="24"/>
          <w:lang w:val="en-US"/>
        </w:rPr>
        <w:t xml:space="preserve"> the development of the technological competencies and pose competitive difficulties on the export markets (Carneiro, 2014).</w:t>
      </w:r>
    </w:p>
    <w:p w14:paraId="07512CE7" w14:textId="0813E12D" w:rsidR="000922A6"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The increased use of these protectionist measures and restrictive policies has been possible throughout the whole Brazilian industrial development process due to the country’s relatively diversified and integrated productive structure, which is boosted by a significantly large domestic market that grew even further with the increase in family consumption and demographic dividend. Different from some developed markets, in which population growth is stagnant, the number of Brazilians from 16 to 64 years of age </w:t>
      </w:r>
      <w:r w:rsidR="006358B6" w:rsidRPr="0047178E">
        <w:rPr>
          <w:rFonts w:ascii="Times New Roman" w:hAnsi="Times New Roman" w:cs="Times New Roman"/>
          <w:sz w:val="24"/>
          <w:szCs w:val="24"/>
          <w:lang w:val="en-US"/>
        </w:rPr>
        <w:t>–</w:t>
      </w:r>
      <w:r w:rsidR="00533BBF" w:rsidRPr="0047178E">
        <w:rPr>
          <w:rFonts w:ascii="Times New Roman" w:hAnsi="Times New Roman" w:cs="Times New Roman"/>
          <w:sz w:val="24"/>
          <w:szCs w:val="24"/>
          <w:lang w:val="en-US"/>
        </w:rPr>
        <w:t xml:space="preserve"> who are</w:t>
      </w:r>
      <w:r w:rsidR="006358B6" w:rsidRPr="0047178E">
        <w:rPr>
          <w:rFonts w:ascii="Times New Roman" w:hAnsi="Times New Roman" w:cs="Times New Roman"/>
          <w:sz w:val="24"/>
          <w:szCs w:val="24"/>
          <w:lang w:val="en-US"/>
        </w:rPr>
        <w:t xml:space="preserve"> fit to work – </w:t>
      </w:r>
      <w:r w:rsidRPr="0047178E">
        <w:rPr>
          <w:rFonts w:ascii="Times New Roman" w:hAnsi="Times New Roman" w:cs="Times New Roman"/>
          <w:sz w:val="24"/>
          <w:szCs w:val="24"/>
          <w:lang w:val="en-US"/>
        </w:rPr>
        <w:t xml:space="preserve">grew from 115 million to 134 million, increasing the working age population that is able to </w:t>
      </w:r>
      <w:r w:rsidR="006358B6" w:rsidRPr="0047178E">
        <w:rPr>
          <w:rFonts w:ascii="Times New Roman" w:hAnsi="Times New Roman" w:cs="Times New Roman"/>
          <w:sz w:val="24"/>
          <w:szCs w:val="24"/>
          <w:lang w:val="en-US"/>
        </w:rPr>
        <w:t>foster</w:t>
      </w:r>
      <w:r w:rsidRPr="0047178E">
        <w:rPr>
          <w:rFonts w:ascii="Times New Roman" w:hAnsi="Times New Roman" w:cs="Times New Roman"/>
          <w:sz w:val="24"/>
          <w:szCs w:val="24"/>
          <w:lang w:val="en-US"/>
        </w:rPr>
        <w:t xml:space="preserve"> consumption and capital formation.</w:t>
      </w:r>
    </w:p>
    <w:p w14:paraId="50345EB4" w14:textId="34C5DF59" w:rsidR="000922A6"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However, despite the protectionist measures, the national industries face </w:t>
      </w:r>
      <w:r w:rsidR="00DF54C6" w:rsidRPr="0047178E">
        <w:rPr>
          <w:rFonts w:ascii="Times New Roman" w:hAnsi="Times New Roman" w:cs="Times New Roman"/>
          <w:sz w:val="24"/>
          <w:szCs w:val="24"/>
          <w:lang w:val="en-US"/>
        </w:rPr>
        <w:t>productive and competitive difficulties</w:t>
      </w:r>
      <w:r w:rsidRPr="0047178E">
        <w:rPr>
          <w:rFonts w:ascii="Times New Roman" w:hAnsi="Times New Roman" w:cs="Times New Roman"/>
          <w:sz w:val="24"/>
          <w:szCs w:val="24"/>
          <w:lang w:val="en-US"/>
        </w:rPr>
        <w:t xml:space="preserve"> to supply the growing domestic demand. This </w:t>
      </w:r>
      <w:r w:rsidR="00DF54C6" w:rsidRPr="0047178E">
        <w:rPr>
          <w:rFonts w:ascii="Times New Roman" w:hAnsi="Times New Roman" w:cs="Times New Roman"/>
          <w:sz w:val="24"/>
          <w:szCs w:val="24"/>
          <w:lang w:val="en-US"/>
        </w:rPr>
        <w:t>has resulted</w:t>
      </w:r>
      <w:r w:rsidRPr="0047178E">
        <w:rPr>
          <w:rFonts w:ascii="Times New Roman" w:hAnsi="Times New Roman" w:cs="Times New Roman"/>
          <w:sz w:val="24"/>
          <w:szCs w:val="24"/>
          <w:lang w:val="en-US"/>
        </w:rPr>
        <w:t xml:space="preserve"> in more room for imported consumer goods in the Brazilian economy, especially m</w:t>
      </w:r>
      <w:r w:rsidR="00DF54C6" w:rsidRPr="0047178E">
        <w:rPr>
          <w:rFonts w:ascii="Times New Roman" w:hAnsi="Times New Roman" w:cs="Times New Roman"/>
          <w:sz w:val="24"/>
          <w:szCs w:val="24"/>
          <w:lang w:val="en-US"/>
        </w:rPr>
        <w:t xml:space="preserve">edium-high technology products, which </w:t>
      </w:r>
      <w:r w:rsidRPr="0047178E">
        <w:rPr>
          <w:rFonts w:ascii="Times New Roman" w:hAnsi="Times New Roman" w:cs="Times New Roman"/>
          <w:sz w:val="24"/>
          <w:szCs w:val="24"/>
          <w:lang w:val="en-US"/>
        </w:rPr>
        <w:t xml:space="preserve">does not mean </w:t>
      </w:r>
      <w:r w:rsidR="008968C4" w:rsidRPr="0047178E">
        <w:rPr>
          <w:rFonts w:ascii="Times New Roman" w:hAnsi="Times New Roman" w:cs="Times New Roman"/>
          <w:sz w:val="24"/>
          <w:szCs w:val="24"/>
          <w:lang w:val="en-US"/>
        </w:rPr>
        <w:t xml:space="preserve">that a </w:t>
      </w:r>
      <w:r w:rsidRPr="0047178E">
        <w:rPr>
          <w:rFonts w:ascii="Times New Roman" w:hAnsi="Times New Roman" w:cs="Times New Roman"/>
          <w:sz w:val="24"/>
          <w:szCs w:val="24"/>
          <w:lang w:val="en-US"/>
        </w:rPr>
        <w:lastRenderedPageBreak/>
        <w:t xml:space="preserve">higher value </w:t>
      </w:r>
      <w:r w:rsidR="008968C4" w:rsidRPr="0047178E">
        <w:rPr>
          <w:rFonts w:ascii="Times New Roman" w:hAnsi="Times New Roman" w:cs="Times New Roman"/>
          <w:sz w:val="24"/>
          <w:szCs w:val="24"/>
          <w:lang w:val="en-US"/>
        </w:rPr>
        <w:t xml:space="preserve">is </w:t>
      </w:r>
      <w:r w:rsidRPr="0047178E">
        <w:rPr>
          <w:rFonts w:ascii="Times New Roman" w:hAnsi="Times New Roman" w:cs="Times New Roman"/>
          <w:sz w:val="24"/>
          <w:szCs w:val="24"/>
          <w:lang w:val="en-US"/>
        </w:rPr>
        <w:t>added</w:t>
      </w:r>
      <w:r w:rsidR="00DF54C6" w:rsidRPr="0047178E">
        <w:rPr>
          <w:rFonts w:ascii="Times New Roman" w:hAnsi="Times New Roman" w:cs="Times New Roman"/>
          <w:sz w:val="24"/>
          <w:szCs w:val="24"/>
          <w:lang w:val="en-US"/>
        </w:rPr>
        <w:t xml:space="preserve"> </w:t>
      </w:r>
      <w:r w:rsidR="008968C4" w:rsidRPr="0047178E">
        <w:rPr>
          <w:rFonts w:ascii="Times New Roman" w:hAnsi="Times New Roman" w:cs="Times New Roman"/>
          <w:sz w:val="24"/>
          <w:szCs w:val="24"/>
          <w:lang w:val="en-US"/>
        </w:rPr>
        <w:t xml:space="preserve">to </w:t>
      </w:r>
      <w:r w:rsidR="00DF54C6" w:rsidRPr="0047178E">
        <w:rPr>
          <w:rFonts w:ascii="Times New Roman" w:hAnsi="Times New Roman" w:cs="Times New Roman"/>
          <w:sz w:val="24"/>
          <w:szCs w:val="24"/>
          <w:lang w:val="en-US"/>
        </w:rPr>
        <w:t>exports</w:t>
      </w:r>
      <w:r w:rsidRPr="0047178E">
        <w:rPr>
          <w:rFonts w:ascii="Times New Roman" w:hAnsi="Times New Roman" w:cs="Times New Roman"/>
          <w:sz w:val="24"/>
          <w:szCs w:val="24"/>
          <w:lang w:val="en-US"/>
        </w:rPr>
        <w:t xml:space="preserve">, though. It is possible to assume, then, that little effort has been expended in Brazil towards technological </w:t>
      </w:r>
      <w:r w:rsidR="00DF54C6" w:rsidRPr="0047178E">
        <w:rPr>
          <w:rFonts w:ascii="Times New Roman" w:hAnsi="Times New Roman" w:cs="Times New Roman"/>
          <w:sz w:val="24"/>
          <w:szCs w:val="24"/>
          <w:lang w:val="en-US"/>
        </w:rPr>
        <w:t>progress in order</w:t>
      </w:r>
      <w:r w:rsidRPr="0047178E">
        <w:rPr>
          <w:rFonts w:ascii="Times New Roman" w:hAnsi="Times New Roman" w:cs="Times New Roman"/>
          <w:sz w:val="24"/>
          <w:szCs w:val="24"/>
          <w:lang w:val="en-US"/>
        </w:rPr>
        <w:t xml:space="preserve"> to add more value to exports and gain shares of international markets.</w:t>
      </w:r>
    </w:p>
    <w:p w14:paraId="0421EF7E" w14:textId="77777777" w:rsidR="000922A6" w:rsidRPr="0047178E" w:rsidRDefault="000922A6" w:rsidP="0047178E">
      <w:pPr>
        <w:pStyle w:val="PargrafodaLista"/>
        <w:spacing w:after="0" w:line="240" w:lineRule="auto"/>
        <w:ind w:left="0" w:firstLine="567"/>
        <w:jc w:val="both"/>
        <w:rPr>
          <w:rFonts w:ascii="Times New Roman" w:hAnsi="Times New Roman" w:cs="Times New Roman"/>
          <w:b/>
          <w:bCs/>
          <w:sz w:val="24"/>
          <w:szCs w:val="24"/>
          <w:lang w:val="en-US"/>
        </w:rPr>
      </w:pPr>
    </w:p>
    <w:p w14:paraId="24ED6EEB" w14:textId="7EB5113A" w:rsidR="000922A6" w:rsidRPr="0047178E" w:rsidRDefault="00EA5C5D" w:rsidP="0047178E">
      <w:pPr>
        <w:pStyle w:val="PargrafodaLista"/>
        <w:spacing w:after="0" w:line="240" w:lineRule="auto"/>
        <w:ind w:left="567"/>
        <w:jc w:val="both"/>
        <w:rPr>
          <w:rFonts w:ascii="Times New Roman" w:hAnsi="Times New Roman" w:cs="Times New Roman"/>
          <w:b/>
          <w:bCs/>
          <w:sz w:val="24"/>
          <w:szCs w:val="24"/>
          <w:lang w:val="en-US"/>
        </w:rPr>
      </w:pPr>
      <w:r w:rsidRPr="0047178E">
        <w:rPr>
          <w:rFonts w:ascii="Times New Roman" w:hAnsi="Times New Roman" w:cs="Times New Roman"/>
          <w:b/>
          <w:bCs/>
          <w:sz w:val="24"/>
          <w:szCs w:val="24"/>
          <w:lang w:val="en-US"/>
        </w:rPr>
        <w:t>4.3 Innovation,</w:t>
      </w:r>
      <w:r w:rsidR="00D46BED" w:rsidRPr="0047178E">
        <w:rPr>
          <w:rFonts w:ascii="Times New Roman" w:hAnsi="Times New Roman" w:cs="Times New Roman"/>
          <w:b/>
          <w:bCs/>
          <w:sz w:val="24"/>
          <w:szCs w:val="24"/>
          <w:lang w:val="en-US"/>
        </w:rPr>
        <w:t xml:space="preserve"> R&amp;D, and intellectual property </w:t>
      </w:r>
      <w:r w:rsidR="00D46BED" w:rsidRPr="0047178E">
        <w:rPr>
          <w:rFonts w:ascii="Times New Roman" w:hAnsi="Times New Roman" w:cs="Times New Roman"/>
          <w:sz w:val="24"/>
          <w:szCs w:val="24"/>
          <w:lang w:val="en-US"/>
        </w:rPr>
        <w:t xml:space="preserve">– </w:t>
      </w:r>
      <w:r w:rsidRPr="0047178E">
        <w:rPr>
          <w:rFonts w:ascii="Times New Roman" w:hAnsi="Times New Roman" w:cs="Times New Roman"/>
          <w:b/>
          <w:bCs/>
          <w:sz w:val="24"/>
          <w:szCs w:val="24"/>
          <w:lang w:val="en-US"/>
        </w:rPr>
        <w:t xml:space="preserve">elements to design </w:t>
      </w:r>
      <w:r w:rsidR="00DF54C6" w:rsidRPr="0047178E">
        <w:rPr>
          <w:rFonts w:ascii="Times New Roman" w:hAnsi="Times New Roman" w:cs="Times New Roman"/>
          <w:b/>
          <w:bCs/>
          <w:sz w:val="24"/>
          <w:szCs w:val="24"/>
          <w:lang w:val="en-US"/>
        </w:rPr>
        <w:t>a policy for industry and innovation</w:t>
      </w:r>
    </w:p>
    <w:p w14:paraId="43C50569" w14:textId="6F4D51BA" w:rsidR="000922A6"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The challenges in competition and productivity described in the previous section are directly related to the lack of incentives to innovate and create technological competencies in the Brazilian </w:t>
      </w:r>
      <w:r w:rsidR="00650EE7" w:rsidRPr="0047178E">
        <w:rPr>
          <w:rFonts w:ascii="Times New Roman" w:hAnsi="Times New Roman" w:cs="Times New Roman"/>
          <w:sz w:val="24"/>
          <w:szCs w:val="24"/>
          <w:lang w:val="en-US"/>
        </w:rPr>
        <w:t>productive</w:t>
      </w:r>
      <w:r w:rsidRPr="0047178E">
        <w:rPr>
          <w:rFonts w:ascii="Times New Roman" w:hAnsi="Times New Roman" w:cs="Times New Roman"/>
          <w:sz w:val="24"/>
          <w:szCs w:val="24"/>
          <w:lang w:val="en-US"/>
        </w:rPr>
        <w:t xml:space="preserve"> structure. This </w:t>
      </w:r>
      <w:r w:rsidR="00650EE7" w:rsidRPr="0047178E">
        <w:rPr>
          <w:rFonts w:ascii="Times New Roman" w:hAnsi="Times New Roman" w:cs="Times New Roman"/>
          <w:sz w:val="24"/>
          <w:szCs w:val="24"/>
          <w:lang w:val="en-US"/>
        </w:rPr>
        <w:t>has increased</w:t>
      </w:r>
      <w:r w:rsidRPr="0047178E">
        <w:rPr>
          <w:rFonts w:ascii="Times New Roman" w:hAnsi="Times New Roman" w:cs="Times New Roman"/>
          <w:sz w:val="24"/>
          <w:szCs w:val="24"/>
          <w:lang w:val="en-US"/>
        </w:rPr>
        <w:t xml:space="preserve"> the technological gap be</w:t>
      </w:r>
      <w:r w:rsidR="00650EE7" w:rsidRPr="0047178E">
        <w:rPr>
          <w:rFonts w:ascii="Times New Roman" w:hAnsi="Times New Roman" w:cs="Times New Roman"/>
          <w:sz w:val="24"/>
          <w:szCs w:val="24"/>
          <w:lang w:val="en-US"/>
        </w:rPr>
        <w:t>tween Brazil and</w:t>
      </w:r>
      <w:r w:rsidRPr="0047178E">
        <w:rPr>
          <w:rFonts w:ascii="Times New Roman" w:hAnsi="Times New Roman" w:cs="Times New Roman"/>
          <w:sz w:val="24"/>
          <w:szCs w:val="24"/>
          <w:lang w:val="en-US"/>
        </w:rPr>
        <w:t xml:space="preserve"> other developed and developing economies.</w:t>
      </w:r>
    </w:p>
    <w:p w14:paraId="786D7764" w14:textId="77777777" w:rsidR="00C731F5" w:rsidRPr="0047178E" w:rsidRDefault="00C731F5"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A central question for the analysis of a nation’s efforts to innovate, with the objective of stimulating competitiveness, is expenditure by the productive sectors of the economy on R&amp;D. By comparing R&amp;D expenditure in different economies, especially among nations in different stages of development, it is possible to perceive the relevance of the technological dimension to increases in national competitive capacity. For Dosi et al. (2014), an economy’s engagement with technological activity is a critical element in achieving or strengthening market share for the nation’s exports and, in this manner, increasing its capacity to compete in external markets.</w:t>
      </w:r>
    </w:p>
    <w:p w14:paraId="1A8A26E6" w14:textId="77777777" w:rsidR="00C731F5" w:rsidRPr="0047178E" w:rsidRDefault="00C731F5"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In this sense, a comparison of Brazil’s R&amp;D expenditure with that of its international competitors </w:t>
      </w:r>
      <w:r w:rsidR="00B53A63" w:rsidRPr="0047178E">
        <w:rPr>
          <w:rFonts w:ascii="Times New Roman" w:hAnsi="Times New Roman" w:cs="Times New Roman"/>
          <w:spacing w:val="-4"/>
          <w:sz w:val="24"/>
          <w:szCs w:val="24"/>
          <w:lang w:val="en-US"/>
        </w:rPr>
        <w:t>may serve</w:t>
      </w:r>
      <w:r w:rsidRPr="0047178E">
        <w:rPr>
          <w:rFonts w:ascii="Times New Roman" w:hAnsi="Times New Roman" w:cs="Times New Roman"/>
          <w:spacing w:val="-4"/>
          <w:sz w:val="24"/>
          <w:szCs w:val="24"/>
          <w:lang w:val="en-US"/>
        </w:rPr>
        <w:t xml:space="preserve"> as an indicator of the nation’s low competitive capacity</w:t>
      </w:r>
      <w:r w:rsidR="00B53A63" w:rsidRPr="0047178E">
        <w:rPr>
          <w:rFonts w:ascii="Times New Roman" w:hAnsi="Times New Roman" w:cs="Times New Roman"/>
          <w:spacing w:val="-4"/>
          <w:sz w:val="24"/>
          <w:szCs w:val="24"/>
          <w:lang w:val="en-US"/>
        </w:rPr>
        <w:t>. According to the International Labour Organization (ILO)</w:t>
      </w:r>
      <w:r w:rsidRPr="0047178E">
        <w:rPr>
          <w:rFonts w:ascii="Times New Roman" w:hAnsi="Times New Roman" w:cs="Times New Roman"/>
          <w:spacing w:val="-4"/>
          <w:sz w:val="24"/>
          <w:szCs w:val="24"/>
          <w:lang w:val="en-US"/>
        </w:rPr>
        <w:t>, Brazil’s R&amp;D expenditure, at 1.2% of GDP in 2011, was below the average of developing nations of East Asia and the Pacific and slightly higher than the average for the Latin America region</w:t>
      </w:r>
      <w:r w:rsidR="00B53A63" w:rsidRPr="0047178E">
        <w:rPr>
          <w:rFonts w:ascii="Times New Roman" w:hAnsi="Times New Roman" w:cs="Times New Roman"/>
          <w:spacing w:val="-4"/>
          <w:sz w:val="24"/>
          <w:szCs w:val="24"/>
          <w:lang w:val="en-US"/>
        </w:rPr>
        <w:t xml:space="preserve"> (Figure 8)</w:t>
      </w:r>
      <w:r w:rsidRPr="0047178E">
        <w:rPr>
          <w:rFonts w:ascii="Times New Roman" w:hAnsi="Times New Roman" w:cs="Times New Roman"/>
          <w:spacing w:val="-4"/>
          <w:sz w:val="24"/>
          <w:szCs w:val="24"/>
          <w:lang w:val="en-US"/>
        </w:rPr>
        <w:t>.</w:t>
      </w:r>
    </w:p>
    <w:p w14:paraId="41030ADD" w14:textId="77777777" w:rsidR="00F81B65" w:rsidRPr="0047178E" w:rsidRDefault="00F81B65"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p>
    <w:p w14:paraId="2CC49ACD" w14:textId="77777777" w:rsidR="00F81B65" w:rsidRPr="0047178E" w:rsidRDefault="00203D6C" w:rsidP="0047178E">
      <w:pPr>
        <w:autoSpaceDE w:val="0"/>
        <w:autoSpaceDN w:val="0"/>
        <w:adjustRightInd w:val="0"/>
        <w:spacing w:after="0" w:line="240" w:lineRule="auto"/>
        <w:ind w:left="284"/>
        <w:jc w:val="both"/>
        <w:rPr>
          <w:rFonts w:ascii="Times New Roman" w:hAnsi="Times New Roman" w:cs="Times New Roman"/>
          <w:spacing w:val="-4"/>
          <w:sz w:val="24"/>
          <w:szCs w:val="24"/>
          <w:lang w:val="en-US"/>
        </w:rPr>
      </w:pPr>
      <w:r w:rsidRPr="0047178E">
        <w:rPr>
          <w:rFonts w:ascii="Times New Roman" w:hAnsi="Times New Roman" w:cs="Times New Roman"/>
          <w:noProof/>
          <w:spacing w:val="-4"/>
          <w:sz w:val="24"/>
          <w:szCs w:val="24"/>
          <w:lang w:eastAsia="pt-BR"/>
        </w:rPr>
        <w:drawing>
          <wp:inline distT="0" distB="0" distL="0" distR="0" wp14:anchorId="408F9C86" wp14:editId="60749C77">
            <wp:extent cx="5812977" cy="2562225"/>
            <wp:effectExtent l="0" t="0" r="16510"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736E23" w14:textId="77777777" w:rsidR="008B5EB7" w:rsidRPr="0047178E" w:rsidRDefault="008B5EB7" w:rsidP="0047178E">
      <w:pPr>
        <w:spacing w:after="0" w:line="240" w:lineRule="auto"/>
        <w:jc w:val="both"/>
        <w:rPr>
          <w:rFonts w:ascii="Times New Roman" w:hAnsi="Times New Roman" w:cs="Times New Roman"/>
          <w:sz w:val="24"/>
          <w:szCs w:val="24"/>
          <w:lang w:val="en-US"/>
        </w:rPr>
      </w:pPr>
    </w:p>
    <w:p w14:paraId="2054E904" w14:textId="77777777" w:rsidR="00B53A63" w:rsidRPr="0047178E" w:rsidRDefault="00B53A63"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The Brazilian results of R&amp;D expenditure, which can be measured by the country’s number of patents in operation or by the country’s capacity for innovation, are also less than satisfactory. Brazil is poorly ranked in The Global Innovation Index 2015, occupying the 70th position among 141 nations, behind other nations of its own region, such as Chile (42nd), Colombia (67th) and Uruguay (68th). When considering the relationship between R&amp;D expenditure and patents in operation, Brazil continues to underperform other nations, both developed and developing. The number of patents in operation is some 50 times greater in the United States, 40 times in Japan, 16 times in South Korea and China and 13 times in Germany. </w:t>
      </w:r>
    </w:p>
    <w:p w14:paraId="747C100C" w14:textId="77777777" w:rsidR="00B53A63" w:rsidRPr="0047178E" w:rsidRDefault="00B53A63"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One factor which may explain differences in these measures between Brazil and other nations mentioned above is the participation of private finance in R&amp;D, which is significantly higher in the group of developed countries and in some developing economies (84% in Japan, 78% in China, 75% in South Korea, 70% in Germany, 63% in Chile and 58% in Colombia, compared with 47% in Brazil)</w:t>
      </w:r>
      <w:r w:rsidRPr="0047178E">
        <w:rPr>
          <w:rStyle w:val="Refdenotaderodap"/>
          <w:spacing w:val="-4"/>
          <w:sz w:val="24"/>
          <w:szCs w:val="24"/>
          <w:lang w:val="en-US"/>
        </w:rPr>
        <w:footnoteReference w:id="2"/>
      </w:r>
      <w:r w:rsidRPr="0047178E">
        <w:rPr>
          <w:rFonts w:ascii="Times New Roman" w:hAnsi="Times New Roman" w:cs="Times New Roman"/>
          <w:spacing w:val="-4"/>
          <w:sz w:val="24"/>
          <w:szCs w:val="24"/>
          <w:lang w:val="en-US"/>
        </w:rPr>
        <w:t xml:space="preserve">. Private participation in R&amp;D </w:t>
      </w:r>
      <w:r w:rsidRPr="0047178E">
        <w:rPr>
          <w:rFonts w:ascii="Times New Roman" w:hAnsi="Times New Roman" w:cs="Times New Roman"/>
          <w:spacing w:val="-4"/>
          <w:sz w:val="24"/>
          <w:szCs w:val="24"/>
          <w:lang w:val="en-US"/>
        </w:rPr>
        <w:lastRenderedPageBreak/>
        <w:t>expenditure is key to increasing innovation, given that patents, one of the principal outcomes of R&amp;D expenditure, are typical products of the business environment and an important instrument to increase company competitiveness.</w:t>
      </w:r>
    </w:p>
    <w:p w14:paraId="56809525" w14:textId="77777777" w:rsidR="00F07819" w:rsidRPr="0047178E" w:rsidRDefault="00F07819" w:rsidP="0047178E">
      <w:pPr>
        <w:autoSpaceDE w:val="0"/>
        <w:autoSpaceDN w:val="0"/>
        <w:adjustRightInd w:val="0"/>
        <w:spacing w:after="0" w:line="240" w:lineRule="auto"/>
        <w:ind w:firstLine="567"/>
        <w:jc w:val="both"/>
        <w:rPr>
          <w:rFonts w:ascii="Times New Roman" w:hAnsi="Times New Roman" w:cs="Times New Roman"/>
          <w:sz w:val="24"/>
          <w:szCs w:val="24"/>
          <w:lang w:val="en-US"/>
        </w:rPr>
      </w:pPr>
      <w:r w:rsidRPr="0047178E">
        <w:rPr>
          <w:rFonts w:ascii="Times New Roman" w:hAnsi="Times New Roman" w:cs="Times New Roman"/>
          <w:spacing w:val="-4"/>
          <w:sz w:val="24"/>
          <w:szCs w:val="24"/>
          <w:lang w:val="en-US"/>
        </w:rPr>
        <w:t>Although econometric studies are needed to demonstrate the relationship between low innovation effort and weak competitive performance, Brazil’s low presence in world exports in medium-high and high technology intensity sectors (Figure 9 and 10) indicates that efforts should be pursued to try to improve the nation’s technological and competitive performance.</w:t>
      </w:r>
    </w:p>
    <w:p w14:paraId="1DE67ECA" w14:textId="77777777" w:rsidR="008B5EB7" w:rsidRPr="0047178E" w:rsidRDefault="008B5EB7" w:rsidP="0047178E">
      <w:pPr>
        <w:spacing w:after="0" w:line="240" w:lineRule="auto"/>
        <w:ind w:firstLine="567"/>
        <w:jc w:val="both"/>
        <w:rPr>
          <w:rFonts w:ascii="Times New Roman" w:hAnsi="Times New Roman" w:cs="Times New Roman"/>
          <w:sz w:val="24"/>
          <w:szCs w:val="24"/>
          <w:lang w:val="en-US"/>
        </w:rPr>
      </w:pPr>
    </w:p>
    <w:p w14:paraId="2E9AD6C3" w14:textId="77777777" w:rsidR="008B5EB7" w:rsidRPr="0047178E" w:rsidRDefault="008B5EB7" w:rsidP="0047178E">
      <w:pPr>
        <w:spacing w:after="0" w:line="240" w:lineRule="auto"/>
        <w:ind w:firstLine="567"/>
        <w:jc w:val="center"/>
        <w:rPr>
          <w:rFonts w:ascii="Times New Roman" w:hAnsi="Times New Roman" w:cs="Times New Roman"/>
          <w:sz w:val="24"/>
          <w:szCs w:val="24"/>
          <w:lang w:val="en-US"/>
        </w:rPr>
      </w:pPr>
      <w:r w:rsidRPr="0047178E">
        <w:rPr>
          <w:rFonts w:ascii="Times New Roman" w:hAnsi="Times New Roman" w:cs="Times New Roman"/>
          <w:noProof/>
          <w:sz w:val="24"/>
          <w:szCs w:val="24"/>
          <w:lang w:eastAsia="pt-BR"/>
        </w:rPr>
        <w:drawing>
          <wp:inline distT="0" distB="0" distL="0" distR="0" wp14:anchorId="74A36E9F" wp14:editId="3CD7D175">
            <wp:extent cx="4603805" cy="2345635"/>
            <wp:effectExtent l="0" t="0" r="6350" b="1714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2DC658" w14:textId="77777777" w:rsidR="000922A6" w:rsidRPr="0047178E" w:rsidRDefault="008B5EB7" w:rsidP="0047178E">
      <w:pPr>
        <w:spacing w:after="0" w:line="240" w:lineRule="auto"/>
        <w:ind w:firstLine="567"/>
        <w:jc w:val="center"/>
        <w:rPr>
          <w:rFonts w:ascii="Times New Roman" w:hAnsi="Times New Roman" w:cs="Times New Roman"/>
          <w:sz w:val="24"/>
          <w:szCs w:val="24"/>
          <w:lang w:val="en-US"/>
        </w:rPr>
      </w:pPr>
      <w:r w:rsidRPr="0047178E">
        <w:rPr>
          <w:rFonts w:ascii="Times New Roman" w:hAnsi="Times New Roman" w:cs="Times New Roman"/>
          <w:noProof/>
          <w:sz w:val="24"/>
          <w:szCs w:val="24"/>
          <w:lang w:eastAsia="pt-BR"/>
        </w:rPr>
        <w:drawing>
          <wp:inline distT="0" distB="0" distL="0" distR="0" wp14:anchorId="3E8B4D8C" wp14:editId="0297139A">
            <wp:extent cx="4604400" cy="2754000"/>
            <wp:effectExtent l="0" t="0" r="5715" b="825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81EC6BB" w14:textId="77777777" w:rsidR="000922A6" w:rsidRPr="0047178E" w:rsidRDefault="000922A6" w:rsidP="0047178E">
      <w:pPr>
        <w:spacing w:after="0" w:line="240" w:lineRule="auto"/>
        <w:jc w:val="both"/>
        <w:rPr>
          <w:rFonts w:ascii="Times New Roman" w:hAnsi="Times New Roman" w:cs="Times New Roman"/>
          <w:sz w:val="24"/>
          <w:szCs w:val="24"/>
          <w:lang w:val="en-US"/>
        </w:rPr>
      </w:pPr>
    </w:p>
    <w:p w14:paraId="5FBAC694" w14:textId="1A85B292" w:rsidR="000922A6" w:rsidRPr="0047178E" w:rsidRDefault="00EA5C5D" w:rsidP="0047178E">
      <w:pPr>
        <w:spacing w:after="0" w:line="240" w:lineRule="auto"/>
        <w:ind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The low innovation effort</w:t>
      </w:r>
      <w:r w:rsidR="004A4A0D" w:rsidRPr="0047178E">
        <w:rPr>
          <w:rFonts w:ascii="Times New Roman" w:hAnsi="Times New Roman" w:cs="Times New Roman"/>
          <w:sz w:val="24"/>
          <w:szCs w:val="24"/>
          <w:lang w:val="en-US"/>
        </w:rPr>
        <w:t xml:space="preserve"> seen</w:t>
      </w:r>
      <w:r w:rsidRPr="0047178E">
        <w:rPr>
          <w:rFonts w:ascii="Times New Roman" w:hAnsi="Times New Roman" w:cs="Times New Roman"/>
          <w:sz w:val="24"/>
          <w:szCs w:val="24"/>
          <w:lang w:val="en-US"/>
        </w:rPr>
        <w:t xml:space="preserve"> in the Brazilian industry has not encouraged the development of mechanisms capable of boosting competition, such as product patents, productivity gains, </w:t>
      </w:r>
      <w:r w:rsidR="00650EE7" w:rsidRPr="0047178E">
        <w:rPr>
          <w:rFonts w:ascii="Times New Roman" w:hAnsi="Times New Roman" w:cs="Times New Roman"/>
          <w:sz w:val="24"/>
          <w:szCs w:val="24"/>
          <w:lang w:val="en-US"/>
        </w:rPr>
        <w:t xml:space="preserve">among </w:t>
      </w:r>
      <w:r w:rsidRPr="0047178E">
        <w:rPr>
          <w:rFonts w:ascii="Times New Roman" w:hAnsi="Times New Roman" w:cs="Times New Roman"/>
          <w:sz w:val="24"/>
          <w:szCs w:val="24"/>
          <w:lang w:val="en-US"/>
        </w:rPr>
        <w:t>other factors.</w:t>
      </w:r>
    </w:p>
    <w:p w14:paraId="1B610305" w14:textId="77777777" w:rsidR="00F07819" w:rsidRPr="0047178E" w:rsidRDefault="00F07819"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One factor that explains Brazil’s weak integration in international markets is the lack of consolidation of its private sector as a key element of the national innovation system, as briefly mentioned above. In the absence of a technologically dynamic private sector, Brazil has tended to fail in its efforts to promote the conditions necessary for economic development by way of fostering investment and innovation (Reiner and Staritz, 2013; Reinert, 2007).</w:t>
      </w:r>
    </w:p>
    <w:p w14:paraId="73BD95D4" w14:textId="77777777" w:rsidR="00F07819" w:rsidRPr="0047178E" w:rsidRDefault="00F07819"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One of the challenges that must be met by industrial policy makers in developing nations is the promotion of greater strength in technological skill in the private sector, encouraging leading companies to pursue modernization efforts in local production. This is due to a recognition that private agents are the fundamental element of economic dynamics in capitalist economies and, in this sense, the result of their actions reflects the competitive conditions of the nation (Gadelha, 2001). </w:t>
      </w:r>
    </w:p>
    <w:p w14:paraId="4B29DD00" w14:textId="492F190D" w:rsidR="00F07819" w:rsidRDefault="00F07819"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lastRenderedPageBreak/>
        <w:t>Thus, the State’s fostering of innovative activities by private agents should be incentivized as a direct form of action for industrial transformation and the promotion of economic development, creating conditions for domestic companies to compete in international markets with companies at the forefront of technology.</w:t>
      </w:r>
    </w:p>
    <w:p w14:paraId="2EE0EC81" w14:textId="77777777" w:rsidR="0047178E" w:rsidRPr="0047178E" w:rsidRDefault="0047178E"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p>
    <w:p w14:paraId="201033ED" w14:textId="77777777" w:rsidR="0043078C" w:rsidRPr="0047178E" w:rsidRDefault="0043078C" w:rsidP="0047178E">
      <w:pPr>
        <w:spacing w:after="0" w:line="240" w:lineRule="auto"/>
        <w:jc w:val="both"/>
        <w:rPr>
          <w:rFonts w:ascii="Times New Roman" w:hAnsi="Times New Roman" w:cs="Times New Roman"/>
          <w:sz w:val="24"/>
          <w:szCs w:val="24"/>
          <w:lang w:val="en-US"/>
        </w:rPr>
      </w:pPr>
    </w:p>
    <w:p w14:paraId="28A4C64B" w14:textId="73A23C6D" w:rsidR="000922A6" w:rsidRPr="0047178E" w:rsidRDefault="00EA5C5D" w:rsidP="0047178E">
      <w:pPr>
        <w:pStyle w:val="PargrafodaLista"/>
        <w:spacing w:after="0" w:line="240" w:lineRule="auto"/>
        <w:ind w:left="567"/>
        <w:jc w:val="both"/>
        <w:rPr>
          <w:rFonts w:ascii="Times New Roman" w:hAnsi="Times New Roman" w:cs="Times New Roman"/>
          <w:b/>
          <w:bCs/>
          <w:sz w:val="24"/>
          <w:szCs w:val="24"/>
          <w:lang w:val="en-US"/>
        </w:rPr>
      </w:pPr>
      <w:r w:rsidRPr="0047178E">
        <w:rPr>
          <w:rFonts w:ascii="Times New Roman" w:hAnsi="Times New Roman" w:cs="Times New Roman"/>
          <w:b/>
          <w:bCs/>
          <w:sz w:val="24"/>
          <w:szCs w:val="24"/>
          <w:lang w:val="en-US"/>
        </w:rPr>
        <w:t>4.4 Credibility a</w:t>
      </w:r>
      <w:r w:rsidR="00D46BED" w:rsidRPr="0047178E">
        <w:rPr>
          <w:rFonts w:ascii="Times New Roman" w:hAnsi="Times New Roman" w:cs="Times New Roman"/>
          <w:b/>
          <w:bCs/>
          <w:sz w:val="24"/>
          <w:szCs w:val="24"/>
          <w:lang w:val="en-US"/>
        </w:rPr>
        <w:t>nd trust in</w:t>
      </w:r>
      <w:r w:rsidR="005E48A0" w:rsidRPr="0047178E">
        <w:rPr>
          <w:rFonts w:ascii="Times New Roman" w:hAnsi="Times New Roman" w:cs="Times New Roman"/>
          <w:b/>
          <w:bCs/>
          <w:sz w:val="24"/>
          <w:szCs w:val="24"/>
          <w:lang w:val="en-US"/>
        </w:rPr>
        <w:t xml:space="preserve"> </w:t>
      </w:r>
      <w:r w:rsidR="003F6791" w:rsidRPr="0047178E">
        <w:rPr>
          <w:rFonts w:ascii="Times New Roman" w:hAnsi="Times New Roman" w:cs="Times New Roman"/>
          <w:b/>
          <w:bCs/>
          <w:sz w:val="24"/>
          <w:szCs w:val="24"/>
          <w:lang w:val="en-US"/>
        </w:rPr>
        <w:t>domestic suppliers</w:t>
      </w:r>
      <w:r w:rsidR="00D46BED" w:rsidRPr="0047178E">
        <w:rPr>
          <w:rFonts w:ascii="Times New Roman" w:hAnsi="Times New Roman" w:cs="Times New Roman"/>
          <w:b/>
          <w:bCs/>
          <w:sz w:val="24"/>
          <w:szCs w:val="24"/>
          <w:lang w:val="en-US"/>
        </w:rPr>
        <w:t xml:space="preserve"> </w:t>
      </w:r>
      <w:r w:rsidR="00D46BED" w:rsidRPr="0047178E">
        <w:rPr>
          <w:rFonts w:ascii="Times New Roman" w:hAnsi="Times New Roman" w:cs="Times New Roman"/>
          <w:sz w:val="24"/>
          <w:szCs w:val="24"/>
          <w:lang w:val="en-US"/>
        </w:rPr>
        <w:t xml:space="preserve">– </w:t>
      </w:r>
      <w:r w:rsidRPr="0047178E">
        <w:rPr>
          <w:rFonts w:ascii="Times New Roman" w:hAnsi="Times New Roman" w:cs="Times New Roman"/>
          <w:b/>
          <w:bCs/>
          <w:sz w:val="24"/>
          <w:szCs w:val="24"/>
          <w:lang w:val="en-US"/>
        </w:rPr>
        <w:t>Brazilian logistic and institutional quality</w:t>
      </w:r>
    </w:p>
    <w:p w14:paraId="5457F1C1" w14:textId="0E0DAFC1" w:rsidR="000922A6"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As introduced previously, Kowalski et al. (2015) suggest</w:t>
      </w:r>
      <w:r w:rsidR="005E48A0" w:rsidRPr="0047178E">
        <w:rPr>
          <w:rFonts w:ascii="Times New Roman" w:hAnsi="Times New Roman" w:cs="Times New Roman"/>
          <w:sz w:val="24"/>
          <w:szCs w:val="24"/>
          <w:lang w:val="en-US"/>
        </w:rPr>
        <w:t xml:space="preserve">s that a country’s performance when it comes to </w:t>
      </w:r>
      <w:r w:rsidRPr="0047178E">
        <w:rPr>
          <w:rFonts w:ascii="Times New Roman" w:hAnsi="Times New Roman" w:cs="Times New Roman"/>
          <w:sz w:val="24"/>
          <w:szCs w:val="24"/>
          <w:lang w:val="en-US"/>
        </w:rPr>
        <w:t xml:space="preserve">its ability to meet deadlines, honor agreements and set up an </w:t>
      </w:r>
      <w:r w:rsidR="005E48A0" w:rsidRPr="0047178E">
        <w:rPr>
          <w:rFonts w:ascii="Times New Roman" w:hAnsi="Times New Roman" w:cs="Times New Roman"/>
          <w:sz w:val="24"/>
          <w:szCs w:val="24"/>
          <w:lang w:val="en-US"/>
        </w:rPr>
        <w:t>efficient logistic coordination</w:t>
      </w:r>
      <w:r w:rsidRPr="0047178E">
        <w:rPr>
          <w:rFonts w:ascii="Times New Roman" w:hAnsi="Times New Roman" w:cs="Times New Roman"/>
          <w:sz w:val="24"/>
          <w:szCs w:val="24"/>
          <w:lang w:val="en-US"/>
        </w:rPr>
        <w:t xml:space="preserve"> should be considered </w:t>
      </w:r>
      <w:r w:rsidR="003F6791" w:rsidRPr="0047178E">
        <w:rPr>
          <w:rFonts w:ascii="Times New Roman" w:hAnsi="Times New Roman" w:cs="Times New Roman"/>
          <w:sz w:val="24"/>
          <w:szCs w:val="24"/>
          <w:lang w:val="en-US"/>
        </w:rPr>
        <w:t>a</w:t>
      </w:r>
      <w:r w:rsidRPr="0047178E">
        <w:rPr>
          <w:rFonts w:ascii="Times New Roman" w:hAnsi="Times New Roman" w:cs="Times New Roman"/>
          <w:sz w:val="24"/>
          <w:szCs w:val="24"/>
          <w:lang w:val="en-US"/>
        </w:rPr>
        <w:t xml:space="preserve"> determining factor for participation in GVCs. </w:t>
      </w:r>
      <w:r w:rsidR="005E48A0" w:rsidRPr="0047178E">
        <w:rPr>
          <w:rFonts w:ascii="Times New Roman" w:hAnsi="Times New Roman" w:cs="Times New Roman"/>
          <w:sz w:val="24"/>
          <w:szCs w:val="24"/>
          <w:lang w:val="en-US"/>
        </w:rPr>
        <w:t>In Brazil, this</w:t>
      </w:r>
      <w:r w:rsidRPr="0047178E">
        <w:rPr>
          <w:rFonts w:ascii="Times New Roman" w:hAnsi="Times New Roman" w:cs="Times New Roman"/>
          <w:sz w:val="24"/>
          <w:szCs w:val="24"/>
          <w:lang w:val="en-US"/>
        </w:rPr>
        <w:t xml:space="preserve"> performance can be better understood by analyzing the performance of the service sector as a whole.</w:t>
      </w:r>
    </w:p>
    <w:p w14:paraId="4CE25008" w14:textId="77777777" w:rsidR="000922A6"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According to Arbache, J. and Moreira, R. (2015), the service sector has a transversal, structuring and synergetic nature in comparison with the other sectors in the Brazilian economy. The authors claim that a positive correlation was found between work productivity and service participation in the industrial production process.</w:t>
      </w:r>
    </w:p>
    <w:p w14:paraId="2125115C" w14:textId="76A922F5" w:rsidR="00EA5C5D" w:rsidRPr="0047178E" w:rsidRDefault="00EA5C5D" w:rsidP="0047178E">
      <w:pPr>
        <w:spacing w:after="0" w:line="240" w:lineRule="auto"/>
        <w:ind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The Brazilian service sector, however, is characterized by an “</w:t>
      </w:r>
      <w:r w:rsidR="009D0CE9" w:rsidRPr="0047178E">
        <w:rPr>
          <w:rFonts w:ascii="Times New Roman" w:hAnsi="Times New Roman" w:cs="Times New Roman"/>
          <w:sz w:val="24"/>
          <w:szCs w:val="24"/>
          <w:lang w:val="en-US"/>
        </w:rPr>
        <w:t>early gigantism</w:t>
      </w:r>
      <w:r w:rsidRPr="0047178E">
        <w:rPr>
          <w:rFonts w:ascii="Times New Roman" w:hAnsi="Times New Roman" w:cs="Times New Roman"/>
          <w:sz w:val="24"/>
          <w:szCs w:val="24"/>
          <w:lang w:val="en-US"/>
        </w:rPr>
        <w:t>”: despite being highly relevant to the national economy (about 70% of GDP and labor marke</w:t>
      </w:r>
      <w:r w:rsidR="00D46BED" w:rsidRPr="0047178E">
        <w:rPr>
          <w:rFonts w:ascii="Times New Roman" w:hAnsi="Times New Roman" w:cs="Times New Roman"/>
          <w:sz w:val="24"/>
          <w:szCs w:val="24"/>
          <w:lang w:val="en-US"/>
        </w:rPr>
        <w:t xml:space="preserve">t), it </w:t>
      </w:r>
      <w:r w:rsidR="00FA74C2" w:rsidRPr="0047178E">
        <w:rPr>
          <w:rFonts w:ascii="Times New Roman" w:hAnsi="Times New Roman" w:cs="Times New Roman"/>
          <w:sz w:val="24"/>
          <w:szCs w:val="24"/>
          <w:lang w:val="en-US"/>
        </w:rPr>
        <w:t>presents low levels of productivity, which</w:t>
      </w:r>
      <w:r w:rsidR="00D46BED" w:rsidRPr="0047178E">
        <w:rPr>
          <w:rFonts w:ascii="Times New Roman" w:hAnsi="Times New Roman" w:cs="Times New Roman"/>
          <w:sz w:val="24"/>
          <w:szCs w:val="24"/>
          <w:lang w:val="en-US"/>
        </w:rPr>
        <w:t xml:space="preserve"> </w:t>
      </w:r>
      <w:r w:rsidRPr="0047178E">
        <w:rPr>
          <w:rFonts w:ascii="Times New Roman" w:hAnsi="Times New Roman" w:cs="Times New Roman"/>
          <w:sz w:val="24"/>
          <w:szCs w:val="24"/>
          <w:lang w:val="en-US"/>
        </w:rPr>
        <w:t>accounts for approximately 19% of the American service sector productivity and is five times low</w:t>
      </w:r>
      <w:r w:rsidR="00FA74C2" w:rsidRPr="0047178E">
        <w:rPr>
          <w:rFonts w:ascii="Times New Roman" w:hAnsi="Times New Roman" w:cs="Times New Roman"/>
          <w:sz w:val="24"/>
          <w:szCs w:val="24"/>
          <w:lang w:val="en-US"/>
        </w:rPr>
        <w:t>er than the productivity of</w:t>
      </w:r>
      <w:r w:rsidRPr="0047178E">
        <w:rPr>
          <w:rFonts w:ascii="Times New Roman" w:hAnsi="Times New Roman" w:cs="Times New Roman"/>
          <w:sz w:val="24"/>
          <w:szCs w:val="24"/>
          <w:lang w:val="en-US"/>
        </w:rPr>
        <w:t xml:space="preserve"> the Brazilian mineral extraction sector (Arbache, J., Moreira, R., 2015).</w:t>
      </w:r>
    </w:p>
    <w:p w14:paraId="2617B0B8" w14:textId="77777777" w:rsidR="000922A6"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Possible causes of such low productivity may be observed in the results of some indicators connected to logistics. As a first example, the infrastructure of Brazilian roads, railroads and ports is significantly poorer than the average of emerging countries, as shown in Table 3. Additionally, the value added by the ICT sector </w:t>
      </w:r>
      <w:r w:rsidR="00D46BED" w:rsidRPr="0047178E">
        <w:rPr>
          <w:rFonts w:ascii="Times New Roman" w:hAnsi="Times New Roman" w:cs="Times New Roman"/>
          <w:sz w:val="24"/>
          <w:szCs w:val="24"/>
          <w:lang w:val="en-US"/>
        </w:rPr>
        <w:t>accounted</w:t>
      </w:r>
      <w:r w:rsidRPr="0047178E">
        <w:rPr>
          <w:rFonts w:ascii="Times New Roman" w:hAnsi="Times New Roman" w:cs="Times New Roman"/>
          <w:sz w:val="24"/>
          <w:szCs w:val="24"/>
          <w:lang w:val="en-US"/>
        </w:rPr>
        <w:t xml:space="preserve"> for as little as 5% of the value added by the whole business sectors i</w:t>
      </w:r>
      <w:r w:rsidR="00D46BED" w:rsidRPr="0047178E">
        <w:rPr>
          <w:rFonts w:ascii="Times New Roman" w:hAnsi="Times New Roman" w:cs="Times New Roman"/>
          <w:sz w:val="24"/>
          <w:szCs w:val="24"/>
          <w:lang w:val="en-US"/>
        </w:rPr>
        <w:t>n 2010 (UNCTAD). In South Korea – a</w:t>
      </w:r>
      <w:r w:rsidRPr="0047178E">
        <w:rPr>
          <w:rFonts w:ascii="Times New Roman" w:hAnsi="Times New Roman" w:cs="Times New Roman"/>
          <w:sz w:val="24"/>
          <w:szCs w:val="24"/>
          <w:lang w:val="en-US"/>
        </w:rPr>
        <w:t>n example of a developing economy that has reached better technology levels</w:t>
      </w:r>
      <w:r w:rsidR="00D46BED" w:rsidRPr="0047178E">
        <w:rPr>
          <w:rFonts w:ascii="Times New Roman" w:hAnsi="Times New Roman" w:cs="Times New Roman"/>
          <w:sz w:val="24"/>
          <w:szCs w:val="24"/>
          <w:lang w:val="en-US"/>
        </w:rPr>
        <w:t xml:space="preserve"> – </w:t>
      </w:r>
      <w:r w:rsidRPr="0047178E">
        <w:rPr>
          <w:rFonts w:ascii="Times New Roman" w:hAnsi="Times New Roman" w:cs="Times New Roman"/>
          <w:sz w:val="24"/>
          <w:szCs w:val="24"/>
          <w:lang w:val="en-US"/>
        </w:rPr>
        <w:t>this number was 13% in the same year.</w:t>
      </w:r>
    </w:p>
    <w:p w14:paraId="75E34274" w14:textId="77777777" w:rsidR="00170AE3" w:rsidRPr="0047178E" w:rsidRDefault="00170AE3" w:rsidP="0047178E">
      <w:pPr>
        <w:spacing w:after="0" w:line="240" w:lineRule="auto"/>
        <w:rPr>
          <w:rFonts w:ascii="Times New Roman" w:hAnsi="Times New Roman" w:cs="Times New Roman"/>
          <w:b/>
          <w:sz w:val="24"/>
          <w:szCs w:val="24"/>
          <w:lang w:val="en-US"/>
        </w:rPr>
      </w:pPr>
    </w:p>
    <w:p w14:paraId="2A796483" w14:textId="4741528F" w:rsidR="00E1065C" w:rsidRPr="0047178E" w:rsidRDefault="00170AE3" w:rsidP="0047178E">
      <w:pPr>
        <w:pStyle w:val="PargrafodaLista"/>
        <w:spacing w:after="0" w:line="240" w:lineRule="auto"/>
        <w:ind w:left="0" w:firstLine="567"/>
        <w:jc w:val="center"/>
        <w:rPr>
          <w:rFonts w:ascii="Times New Roman" w:hAnsi="Times New Roman" w:cs="Times New Roman"/>
          <w:b/>
          <w:sz w:val="24"/>
          <w:szCs w:val="24"/>
          <w:lang w:val="en-US"/>
        </w:rPr>
      </w:pPr>
      <w:r w:rsidRPr="0047178E">
        <w:rPr>
          <w:rFonts w:ascii="Times New Roman" w:hAnsi="Times New Roman" w:cs="Times New Roman"/>
          <w:b/>
          <w:sz w:val="24"/>
          <w:szCs w:val="24"/>
          <w:lang w:val="en-US"/>
        </w:rPr>
        <w:t xml:space="preserve">          </w:t>
      </w:r>
      <w:r w:rsidR="00C71C0A" w:rsidRPr="0047178E">
        <w:rPr>
          <w:rFonts w:ascii="Times New Roman" w:hAnsi="Times New Roman" w:cs="Times New Roman"/>
          <w:b/>
          <w:sz w:val="24"/>
          <w:szCs w:val="24"/>
          <w:lang w:val="en-US"/>
        </w:rPr>
        <w:t xml:space="preserve">   Table 3: Quality of transport </w:t>
      </w:r>
      <w:r w:rsidR="00FD4B5C" w:rsidRPr="0047178E">
        <w:rPr>
          <w:rFonts w:ascii="Times New Roman" w:hAnsi="Times New Roman" w:cs="Times New Roman"/>
          <w:b/>
          <w:sz w:val="24"/>
          <w:szCs w:val="24"/>
          <w:lang w:val="en-US"/>
        </w:rPr>
        <w:t>infrastructure</w:t>
      </w:r>
      <w:r w:rsidR="00E1065C" w:rsidRPr="0047178E">
        <w:rPr>
          <w:rFonts w:ascii="Times New Roman" w:hAnsi="Times New Roman" w:cs="Times New Roman"/>
          <w:b/>
          <w:sz w:val="24"/>
          <w:szCs w:val="24"/>
          <w:lang w:val="en-US"/>
        </w:rPr>
        <w:t xml:space="preserve"> - 2013</w:t>
      </w:r>
    </w:p>
    <w:p w14:paraId="0E11BF8C" w14:textId="77777777" w:rsidR="00C71C0A" w:rsidRPr="0047178E" w:rsidRDefault="00C71C0A" w:rsidP="0047178E">
      <w:pPr>
        <w:pStyle w:val="PargrafodaLista"/>
        <w:spacing w:after="0" w:line="240" w:lineRule="auto"/>
        <w:ind w:left="0"/>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            </w:t>
      </w:r>
      <w:r w:rsidRPr="0047178E">
        <w:rPr>
          <w:rFonts w:ascii="Times New Roman" w:hAnsi="Times New Roman" w:cs="Times New Roman"/>
          <w:noProof/>
          <w:sz w:val="24"/>
          <w:szCs w:val="24"/>
          <w:lang w:eastAsia="pt-BR"/>
        </w:rPr>
        <w:drawing>
          <wp:inline distT="0" distB="0" distL="0" distR="0" wp14:anchorId="5ED7E397" wp14:editId="1B430375">
            <wp:extent cx="5049520" cy="9620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9520" cy="962025"/>
                    </a:xfrm>
                    <a:prstGeom prst="rect">
                      <a:avLst/>
                    </a:prstGeom>
                    <a:noFill/>
                    <a:ln>
                      <a:noFill/>
                    </a:ln>
                  </pic:spPr>
                </pic:pic>
              </a:graphicData>
            </a:graphic>
          </wp:inline>
        </w:drawing>
      </w:r>
      <w:r w:rsidRPr="0047178E">
        <w:rPr>
          <w:rFonts w:ascii="Times New Roman" w:hAnsi="Times New Roman" w:cs="Times New Roman"/>
          <w:sz w:val="24"/>
          <w:szCs w:val="24"/>
          <w:lang w:val="en-US"/>
        </w:rPr>
        <w:t xml:space="preserve">             </w:t>
      </w:r>
      <w:r w:rsidR="00E1065C" w:rsidRPr="0047178E">
        <w:rPr>
          <w:rFonts w:ascii="Times New Roman" w:hAnsi="Times New Roman" w:cs="Times New Roman"/>
          <w:sz w:val="24"/>
          <w:szCs w:val="24"/>
          <w:lang w:val="en-US"/>
        </w:rPr>
        <w:t xml:space="preserve">       </w:t>
      </w:r>
    </w:p>
    <w:p w14:paraId="3252C155" w14:textId="77777777" w:rsidR="005C54ED" w:rsidRPr="005C54ED" w:rsidRDefault="005C54ED" w:rsidP="0047178E">
      <w:pPr>
        <w:spacing w:after="0" w:line="240" w:lineRule="auto"/>
        <w:jc w:val="both"/>
        <w:rPr>
          <w:rFonts w:ascii="Times New Roman" w:hAnsi="Times New Roman" w:cs="Times New Roman"/>
          <w:sz w:val="20"/>
          <w:szCs w:val="24"/>
          <w:lang w:val="en-US"/>
        </w:rPr>
      </w:pPr>
      <w:r>
        <w:rPr>
          <w:rFonts w:ascii="Times New Roman" w:hAnsi="Times New Roman" w:cs="Times New Roman"/>
          <w:sz w:val="24"/>
          <w:szCs w:val="24"/>
          <w:lang w:val="en-US"/>
        </w:rPr>
        <w:t xml:space="preserve">          </w:t>
      </w:r>
      <w:r w:rsidR="00C71C0A" w:rsidRPr="0047178E">
        <w:rPr>
          <w:rFonts w:ascii="Times New Roman" w:hAnsi="Times New Roman" w:cs="Times New Roman"/>
          <w:sz w:val="24"/>
          <w:szCs w:val="24"/>
          <w:lang w:val="en-US"/>
        </w:rPr>
        <w:t xml:space="preserve">  </w:t>
      </w:r>
      <w:r w:rsidR="00C71C0A" w:rsidRPr="005C54ED">
        <w:rPr>
          <w:rFonts w:ascii="Times New Roman" w:hAnsi="Times New Roman" w:cs="Times New Roman"/>
          <w:sz w:val="20"/>
          <w:szCs w:val="24"/>
          <w:lang w:val="en-US"/>
        </w:rPr>
        <w:t>Source: Federation of industries of the State of Sao Paulo, using data from</w:t>
      </w:r>
      <w:r w:rsidR="00E1065C" w:rsidRPr="005C54ED">
        <w:rPr>
          <w:rFonts w:ascii="Times New Roman" w:hAnsi="Times New Roman" w:cs="Times New Roman"/>
          <w:sz w:val="20"/>
          <w:szCs w:val="24"/>
          <w:lang w:val="en-US"/>
        </w:rPr>
        <w:t xml:space="preserve"> WEF </w:t>
      </w:r>
      <w:r w:rsidR="00C71C0A" w:rsidRPr="005C54ED">
        <w:rPr>
          <w:rFonts w:ascii="Times New Roman" w:hAnsi="Times New Roman" w:cs="Times New Roman"/>
          <w:sz w:val="20"/>
          <w:szCs w:val="24"/>
          <w:lang w:val="en-US"/>
        </w:rPr>
        <w:t>and</w:t>
      </w:r>
      <w:r w:rsidR="00E1065C" w:rsidRPr="005C54ED">
        <w:rPr>
          <w:rFonts w:ascii="Times New Roman" w:hAnsi="Times New Roman" w:cs="Times New Roman"/>
          <w:sz w:val="20"/>
          <w:szCs w:val="24"/>
          <w:lang w:val="en-US"/>
        </w:rPr>
        <w:t xml:space="preserve"> </w:t>
      </w:r>
      <w:r w:rsidR="00C71C0A" w:rsidRPr="005C54ED">
        <w:rPr>
          <w:rFonts w:ascii="Times New Roman" w:hAnsi="Times New Roman" w:cs="Times New Roman"/>
          <w:sz w:val="20"/>
          <w:szCs w:val="24"/>
          <w:lang w:val="en-US"/>
        </w:rPr>
        <w:t xml:space="preserve">the </w:t>
      </w:r>
      <w:r w:rsidRPr="005C54ED">
        <w:rPr>
          <w:rFonts w:ascii="Times New Roman" w:hAnsi="Times New Roman" w:cs="Times New Roman"/>
          <w:sz w:val="20"/>
          <w:szCs w:val="24"/>
          <w:lang w:val="en-US"/>
        </w:rPr>
        <w:t>Central</w:t>
      </w:r>
    </w:p>
    <w:p w14:paraId="59EE1C0C" w14:textId="6E2CEBC4" w:rsidR="000922A6" w:rsidRPr="005C54ED" w:rsidRDefault="005C54ED" w:rsidP="005C54ED">
      <w:pPr>
        <w:spacing w:after="0" w:line="240" w:lineRule="auto"/>
        <w:ind w:firstLine="567"/>
        <w:jc w:val="both"/>
        <w:rPr>
          <w:rFonts w:ascii="Times New Roman" w:hAnsi="Times New Roman" w:cs="Times New Roman"/>
          <w:sz w:val="20"/>
          <w:szCs w:val="24"/>
          <w:lang w:val="en-US"/>
        </w:rPr>
      </w:pPr>
      <w:r>
        <w:rPr>
          <w:rFonts w:ascii="Times New Roman" w:hAnsi="Times New Roman" w:cs="Times New Roman"/>
          <w:sz w:val="20"/>
          <w:szCs w:val="24"/>
          <w:lang w:val="en-US"/>
        </w:rPr>
        <w:t xml:space="preserve"> </w:t>
      </w:r>
      <w:r w:rsidRPr="005C54ED">
        <w:rPr>
          <w:rFonts w:ascii="Times New Roman" w:hAnsi="Times New Roman" w:cs="Times New Roman"/>
          <w:sz w:val="20"/>
          <w:szCs w:val="24"/>
          <w:lang w:val="en-US"/>
        </w:rPr>
        <w:t xml:space="preserve">  </w:t>
      </w:r>
      <w:r w:rsidR="00E1065C" w:rsidRPr="005C54ED">
        <w:rPr>
          <w:rFonts w:ascii="Times New Roman" w:hAnsi="Times New Roman" w:cs="Times New Roman"/>
          <w:sz w:val="20"/>
          <w:szCs w:val="24"/>
          <w:lang w:val="en-US"/>
        </w:rPr>
        <w:t>Intelligence Agency (CIA)</w:t>
      </w:r>
    </w:p>
    <w:p w14:paraId="1EB6EF6C" w14:textId="77777777" w:rsidR="00C71C0A" w:rsidRPr="005C54ED" w:rsidRDefault="00C71C0A" w:rsidP="0047178E">
      <w:pPr>
        <w:spacing w:after="0" w:line="240" w:lineRule="auto"/>
        <w:jc w:val="both"/>
        <w:rPr>
          <w:rFonts w:ascii="Times New Roman" w:hAnsi="Times New Roman" w:cs="Times New Roman"/>
          <w:sz w:val="20"/>
          <w:szCs w:val="24"/>
          <w:lang w:val="en-US"/>
        </w:rPr>
      </w:pPr>
    </w:p>
    <w:p w14:paraId="6B0BCDC3" w14:textId="77777777" w:rsidR="000922A6" w:rsidRPr="0047178E" w:rsidRDefault="000922A6" w:rsidP="0047178E">
      <w:pPr>
        <w:spacing w:after="0" w:line="240" w:lineRule="auto"/>
        <w:jc w:val="both"/>
        <w:rPr>
          <w:rFonts w:ascii="Times New Roman" w:hAnsi="Times New Roman" w:cs="Times New Roman"/>
          <w:sz w:val="24"/>
          <w:szCs w:val="24"/>
          <w:lang w:val="en-US"/>
        </w:rPr>
      </w:pPr>
    </w:p>
    <w:p w14:paraId="3EE18F47" w14:textId="65728C4A" w:rsidR="000922A6"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Lastly, the Business Environment Index 2014 results calculated by </w:t>
      </w:r>
      <w:r w:rsidRPr="0047178E">
        <w:rPr>
          <w:rFonts w:ascii="Times New Roman" w:hAnsi="Times New Roman" w:cs="Times New Roman"/>
          <w:i/>
          <w:iCs/>
          <w:sz w:val="24"/>
          <w:szCs w:val="24"/>
          <w:lang w:val="en-US"/>
        </w:rPr>
        <w:t xml:space="preserve">The Economist Intelligence Unit </w:t>
      </w:r>
      <w:r w:rsidRPr="0047178E">
        <w:rPr>
          <w:rFonts w:ascii="Times New Roman" w:hAnsi="Times New Roman" w:cs="Times New Roman"/>
          <w:sz w:val="24"/>
          <w:szCs w:val="24"/>
          <w:lang w:val="en-US"/>
        </w:rPr>
        <w:t>can be used as a proxy indicator in the broader concept of institutional quality. It includes variables such as the political macroeconomic environment, market opportunities, infrastructure conditions and competition policies, among others. Brazil was in a relatively low position</w:t>
      </w:r>
      <w:r w:rsidR="00FA74C2" w:rsidRPr="0047178E">
        <w:rPr>
          <w:rFonts w:ascii="Times New Roman" w:hAnsi="Times New Roman" w:cs="Times New Roman"/>
          <w:sz w:val="24"/>
          <w:szCs w:val="24"/>
          <w:lang w:val="en-US"/>
        </w:rPr>
        <w:t xml:space="preserve"> in this index</w:t>
      </w:r>
      <w:r w:rsidRPr="0047178E">
        <w:rPr>
          <w:rFonts w:ascii="Times New Roman" w:hAnsi="Times New Roman" w:cs="Times New Roman"/>
          <w:sz w:val="24"/>
          <w:szCs w:val="24"/>
          <w:lang w:val="en-US"/>
        </w:rPr>
        <w:t>: 43</w:t>
      </w:r>
      <w:r w:rsidRPr="0047178E">
        <w:rPr>
          <w:rFonts w:ascii="Times New Roman" w:hAnsi="Times New Roman" w:cs="Times New Roman"/>
          <w:sz w:val="24"/>
          <w:szCs w:val="24"/>
          <w:vertAlign w:val="superscript"/>
          <w:lang w:val="en-US"/>
        </w:rPr>
        <w:t>rd</w:t>
      </w:r>
      <w:r w:rsidRPr="0047178E">
        <w:rPr>
          <w:rFonts w:ascii="Times New Roman" w:hAnsi="Times New Roman" w:cs="Times New Roman"/>
          <w:sz w:val="24"/>
          <w:szCs w:val="24"/>
          <w:lang w:val="en-US"/>
        </w:rPr>
        <w:t xml:space="preserve"> place out of 74 countries, lower than Malaysia (19</w:t>
      </w:r>
      <w:r w:rsidRPr="0047178E">
        <w:rPr>
          <w:rFonts w:ascii="Times New Roman" w:hAnsi="Times New Roman" w:cs="Times New Roman"/>
          <w:sz w:val="24"/>
          <w:szCs w:val="24"/>
          <w:vertAlign w:val="superscript"/>
          <w:lang w:val="en-US"/>
        </w:rPr>
        <w:t>th</w:t>
      </w:r>
      <w:r w:rsidRPr="0047178E">
        <w:rPr>
          <w:rFonts w:ascii="Times New Roman" w:hAnsi="Times New Roman" w:cs="Times New Roman"/>
          <w:sz w:val="24"/>
          <w:szCs w:val="24"/>
          <w:lang w:val="en-US"/>
        </w:rPr>
        <w:t>), Mexico (32</w:t>
      </w:r>
      <w:r w:rsidRPr="0047178E">
        <w:rPr>
          <w:rFonts w:ascii="Times New Roman" w:hAnsi="Times New Roman" w:cs="Times New Roman"/>
          <w:sz w:val="24"/>
          <w:szCs w:val="24"/>
          <w:vertAlign w:val="superscript"/>
          <w:lang w:val="en-US"/>
        </w:rPr>
        <w:t>nd</w:t>
      </w:r>
      <w:r w:rsidRPr="0047178E">
        <w:rPr>
          <w:rFonts w:ascii="Times New Roman" w:hAnsi="Times New Roman" w:cs="Times New Roman"/>
          <w:sz w:val="24"/>
          <w:szCs w:val="24"/>
          <w:lang w:val="en-US"/>
        </w:rPr>
        <w:t>), Thailand (34</w:t>
      </w:r>
      <w:r w:rsidRPr="0047178E">
        <w:rPr>
          <w:rFonts w:ascii="Times New Roman" w:hAnsi="Times New Roman" w:cs="Times New Roman"/>
          <w:sz w:val="24"/>
          <w:szCs w:val="24"/>
          <w:vertAlign w:val="superscript"/>
          <w:lang w:val="en-US"/>
        </w:rPr>
        <w:t>th</w:t>
      </w:r>
      <w:r w:rsidRPr="0047178E">
        <w:rPr>
          <w:rFonts w:ascii="Times New Roman" w:hAnsi="Times New Roman" w:cs="Times New Roman"/>
          <w:sz w:val="24"/>
          <w:szCs w:val="24"/>
          <w:lang w:val="en-US"/>
        </w:rPr>
        <w:t>), and Costa Rica (40</w:t>
      </w:r>
      <w:r w:rsidRPr="0047178E">
        <w:rPr>
          <w:rFonts w:ascii="Times New Roman" w:hAnsi="Times New Roman" w:cs="Times New Roman"/>
          <w:sz w:val="24"/>
          <w:szCs w:val="24"/>
          <w:vertAlign w:val="superscript"/>
          <w:lang w:val="en-US"/>
        </w:rPr>
        <w:t>th</w:t>
      </w:r>
      <w:r w:rsidRPr="0047178E">
        <w:rPr>
          <w:rFonts w:ascii="Times New Roman" w:hAnsi="Times New Roman" w:cs="Times New Roman"/>
          <w:sz w:val="24"/>
          <w:szCs w:val="24"/>
          <w:lang w:val="en-US"/>
        </w:rPr>
        <w:t>).</w:t>
      </w:r>
    </w:p>
    <w:p w14:paraId="6E425DBF" w14:textId="586DF4F4" w:rsidR="000922A6" w:rsidRPr="0047178E" w:rsidRDefault="000922A6" w:rsidP="0047178E">
      <w:pPr>
        <w:spacing w:after="0" w:line="240" w:lineRule="auto"/>
        <w:jc w:val="both"/>
        <w:rPr>
          <w:rFonts w:ascii="Times New Roman" w:hAnsi="Times New Roman" w:cs="Times New Roman"/>
          <w:sz w:val="24"/>
          <w:szCs w:val="24"/>
          <w:lang w:val="en-US"/>
        </w:rPr>
      </w:pPr>
    </w:p>
    <w:p w14:paraId="0D5B178D" w14:textId="77777777" w:rsidR="00EE21A9" w:rsidRPr="0047178E" w:rsidRDefault="00EE21A9" w:rsidP="0047178E">
      <w:pPr>
        <w:spacing w:after="0" w:line="240" w:lineRule="auto"/>
        <w:jc w:val="both"/>
        <w:rPr>
          <w:rFonts w:ascii="Times New Roman" w:hAnsi="Times New Roman" w:cs="Times New Roman"/>
          <w:sz w:val="24"/>
          <w:szCs w:val="24"/>
          <w:lang w:val="en-US"/>
        </w:rPr>
      </w:pPr>
    </w:p>
    <w:p w14:paraId="0313691E" w14:textId="77777777" w:rsidR="000922A6" w:rsidRPr="0047178E" w:rsidRDefault="00EA5C5D" w:rsidP="0047178E">
      <w:pPr>
        <w:spacing w:after="0" w:line="240" w:lineRule="auto"/>
        <w:ind w:firstLine="567"/>
        <w:jc w:val="both"/>
        <w:rPr>
          <w:rFonts w:ascii="Times New Roman" w:hAnsi="Times New Roman" w:cs="Times New Roman"/>
          <w:b/>
          <w:bCs/>
          <w:sz w:val="24"/>
          <w:szCs w:val="24"/>
          <w:lang w:val="en-US"/>
        </w:rPr>
      </w:pPr>
      <w:r w:rsidRPr="0047178E">
        <w:rPr>
          <w:rFonts w:ascii="Times New Roman" w:hAnsi="Times New Roman" w:cs="Times New Roman"/>
          <w:b/>
          <w:bCs/>
          <w:sz w:val="24"/>
          <w:szCs w:val="24"/>
          <w:lang w:val="en-US"/>
        </w:rPr>
        <w:t>4.5 Direct foreign investment: strengthening primary economy</w:t>
      </w:r>
    </w:p>
    <w:p w14:paraId="1AB459C6" w14:textId="64D437E2" w:rsidR="00EA5C5D"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Considering the FDI re</w:t>
      </w:r>
      <w:r w:rsidR="00610965" w:rsidRPr="0047178E">
        <w:rPr>
          <w:rFonts w:ascii="Times New Roman" w:hAnsi="Times New Roman" w:cs="Times New Roman"/>
          <w:sz w:val="24"/>
          <w:szCs w:val="24"/>
          <w:lang w:val="en-US"/>
        </w:rPr>
        <w:t xml:space="preserve">levance pointed out by Kowalski </w:t>
      </w:r>
      <w:r w:rsidRPr="0047178E">
        <w:rPr>
          <w:rFonts w:ascii="Times New Roman" w:hAnsi="Times New Roman" w:cs="Times New Roman"/>
          <w:sz w:val="24"/>
          <w:szCs w:val="24"/>
          <w:lang w:val="en-US"/>
        </w:rPr>
        <w:t xml:space="preserve">for the country’s backward participation, the flow of investments in Brazil is analyzed below. </w:t>
      </w:r>
    </w:p>
    <w:p w14:paraId="13E4CB6A" w14:textId="24D68EC1" w:rsidR="000922A6"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The country holds an outstanding position in the international capital flow, especially as a receiver of FDI made by multinational companies. The inflow of such FDI has been sustained despite the deteriorating economic conditions (Figure 11). This can be explained by the size of the domestic market, the decrease of poverty and the growth of specific segments despite the</w:t>
      </w:r>
      <w:r w:rsidR="00610965" w:rsidRPr="0047178E">
        <w:rPr>
          <w:rFonts w:ascii="Times New Roman" w:hAnsi="Times New Roman" w:cs="Times New Roman"/>
          <w:sz w:val="24"/>
          <w:szCs w:val="24"/>
          <w:lang w:val="en-US"/>
        </w:rPr>
        <w:t xml:space="preserve"> crisis (e.g. upmarket goods), among</w:t>
      </w:r>
      <w:r w:rsidRPr="0047178E">
        <w:rPr>
          <w:rFonts w:ascii="Times New Roman" w:hAnsi="Times New Roman" w:cs="Times New Roman"/>
          <w:sz w:val="24"/>
          <w:szCs w:val="24"/>
          <w:lang w:val="en-US"/>
        </w:rPr>
        <w:t xml:space="preserve"> other factors. Since 2011, the country has been one of the five main FDI destinations in the world. The importance of foreign companies’ share in the country’s production structure can be represented by the increase of FDI stock participation in the Brazilian GDP from 9.1% in 1990 to 27.9% in 2015, according to UNCTAD.</w:t>
      </w:r>
    </w:p>
    <w:p w14:paraId="4B5C5AC1" w14:textId="77777777" w:rsidR="000922A6" w:rsidRPr="0047178E" w:rsidRDefault="000922A6" w:rsidP="0047178E">
      <w:pPr>
        <w:spacing w:after="0" w:line="240" w:lineRule="auto"/>
        <w:ind w:firstLine="567"/>
        <w:jc w:val="both"/>
        <w:rPr>
          <w:rFonts w:ascii="Times New Roman" w:hAnsi="Times New Roman" w:cs="Times New Roman"/>
          <w:sz w:val="24"/>
          <w:szCs w:val="24"/>
          <w:lang w:val="en-US"/>
        </w:rPr>
      </w:pPr>
    </w:p>
    <w:p w14:paraId="31126F43" w14:textId="77777777" w:rsidR="000922A6" w:rsidRPr="0047178E" w:rsidRDefault="00E1065C"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noProof/>
          <w:sz w:val="24"/>
          <w:szCs w:val="24"/>
          <w:lang w:eastAsia="pt-BR"/>
        </w:rPr>
        <w:drawing>
          <wp:inline distT="0" distB="0" distL="0" distR="0" wp14:anchorId="74E85826" wp14:editId="108A8FEF">
            <wp:extent cx="5400675" cy="2352675"/>
            <wp:effectExtent l="0" t="0" r="9525" b="952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B432C51" w14:textId="77777777" w:rsidR="000922A6" w:rsidRPr="0047178E" w:rsidRDefault="0086545A" w:rsidP="0047178E">
      <w:pPr>
        <w:spacing w:after="0" w:line="240" w:lineRule="auto"/>
        <w:ind w:firstLine="567"/>
        <w:jc w:val="both"/>
        <w:rPr>
          <w:rFonts w:ascii="Times New Roman" w:hAnsi="Times New Roman" w:cs="Times New Roman"/>
          <w:color w:val="000000"/>
          <w:sz w:val="24"/>
          <w:szCs w:val="24"/>
          <w:lang w:val="en-US"/>
        </w:rPr>
      </w:pPr>
      <w:r w:rsidRPr="0047178E">
        <w:rPr>
          <w:rFonts w:ascii="Times New Roman" w:hAnsi="Times New Roman" w:cs="Times New Roman"/>
          <w:color w:val="000000"/>
          <w:sz w:val="24"/>
          <w:szCs w:val="24"/>
          <w:lang w:val="en-US"/>
        </w:rPr>
        <w:t xml:space="preserve"> </w:t>
      </w:r>
    </w:p>
    <w:p w14:paraId="4B07E422" w14:textId="77777777" w:rsidR="000922A6" w:rsidRPr="0047178E" w:rsidRDefault="00EA5C5D" w:rsidP="0047178E">
      <w:pPr>
        <w:spacing w:after="0" w:line="240" w:lineRule="auto"/>
        <w:ind w:firstLine="567"/>
        <w:jc w:val="both"/>
        <w:rPr>
          <w:rFonts w:ascii="Times New Roman" w:hAnsi="Times New Roman" w:cs="Times New Roman"/>
          <w:color w:val="000000"/>
          <w:sz w:val="24"/>
          <w:szCs w:val="24"/>
          <w:lang w:val="en-US"/>
        </w:rPr>
      </w:pPr>
      <w:r w:rsidRPr="0047178E">
        <w:rPr>
          <w:rFonts w:ascii="Times New Roman" w:hAnsi="Times New Roman" w:cs="Times New Roman"/>
          <w:color w:val="000000"/>
          <w:sz w:val="24"/>
          <w:szCs w:val="24"/>
          <w:lang w:val="en-US"/>
        </w:rPr>
        <w:t>Despite the significant FDI inflow, all of these investments were mainly made in sectors related to primary and industrial commodities (Arend, 2015). Therefore, foreign capital has contributed very little to change the national production structure.</w:t>
      </w:r>
    </w:p>
    <w:p w14:paraId="08C7DBD9" w14:textId="6B0F4FEF" w:rsidR="000922A6" w:rsidRPr="0047178E" w:rsidRDefault="00EA5C5D" w:rsidP="0047178E">
      <w:pPr>
        <w:spacing w:after="0" w:line="240" w:lineRule="auto"/>
        <w:ind w:firstLine="567"/>
        <w:jc w:val="both"/>
        <w:rPr>
          <w:rFonts w:ascii="Times New Roman" w:hAnsi="Times New Roman" w:cs="Times New Roman"/>
          <w:color w:val="000000"/>
          <w:sz w:val="24"/>
          <w:szCs w:val="24"/>
          <w:lang w:val="en-US"/>
        </w:rPr>
      </w:pPr>
      <w:r w:rsidRPr="0047178E">
        <w:rPr>
          <w:rFonts w:ascii="Times New Roman" w:hAnsi="Times New Roman" w:cs="Times New Roman"/>
          <w:color w:val="000000"/>
          <w:sz w:val="24"/>
          <w:szCs w:val="24"/>
          <w:lang w:val="en-US"/>
        </w:rPr>
        <w:t>The Census data about foreign capitals, disclosed by the Brazilian Central Bank, reveal that the FDI stock participation in more technologically dynamic sectors is deeply reduced compared to low technology sectors, using the OECD sector classification. More recent Census data show that, between 2010 and 2014, an average of 47% of FDI stock from industrial activities was concentrated in low technology sectors and only 5% went to high</w:t>
      </w:r>
      <w:r w:rsidR="00793AA0" w:rsidRPr="0047178E">
        <w:rPr>
          <w:rFonts w:ascii="Times New Roman" w:hAnsi="Times New Roman" w:cs="Times New Roman"/>
          <w:color w:val="000000"/>
          <w:sz w:val="24"/>
          <w:szCs w:val="24"/>
          <w:lang w:val="en-US"/>
        </w:rPr>
        <w:t xml:space="preserve"> technology sectors. Figure 12 indicates </w:t>
      </w:r>
      <w:r w:rsidRPr="0047178E">
        <w:rPr>
          <w:rFonts w:ascii="Times New Roman" w:hAnsi="Times New Roman" w:cs="Times New Roman"/>
          <w:color w:val="000000"/>
          <w:sz w:val="24"/>
          <w:szCs w:val="24"/>
          <w:lang w:val="en-US"/>
        </w:rPr>
        <w:t>the asymmetry in FDI stock distribution in the Brazilian industry.</w:t>
      </w:r>
    </w:p>
    <w:p w14:paraId="7649D218" w14:textId="77777777" w:rsidR="00E1065C" w:rsidRPr="0047178E" w:rsidRDefault="00E1065C" w:rsidP="0047178E">
      <w:pPr>
        <w:spacing w:after="0" w:line="240" w:lineRule="auto"/>
        <w:ind w:firstLine="567"/>
        <w:jc w:val="both"/>
        <w:rPr>
          <w:rFonts w:ascii="Times New Roman" w:hAnsi="Times New Roman" w:cs="Times New Roman"/>
          <w:color w:val="000000"/>
          <w:sz w:val="24"/>
          <w:szCs w:val="24"/>
          <w:lang w:val="en-US"/>
        </w:rPr>
      </w:pPr>
    </w:p>
    <w:p w14:paraId="090DE0C0" w14:textId="6E1A36CC" w:rsidR="000922A6" w:rsidRPr="0047178E" w:rsidRDefault="00774EF2" w:rsidP="0047178E">
      <w:pPr>
        <w:spacing w:after="0" w:line="240" w:lineRule="auto"/>
        <w:ind w:firstLine="567"/>
        <w:jc w:val="both"/>
        <w:rPr>
          <w:rFonts w:ascii="Times New Roman" w:hAnsi="Times New Roman" w:cs="Times New Roman"/>
          <w:color w:val="000000"/>
          <w:sz w:val="24"/>
          <w:szCs w:val="24"/>
          <w:lang w:val="en-US"/>
        </w:rPr>
      </w:pPr>
      <w:r w:rsidRPr="0047178E">
        <w:rPr>
          <w:rFonts w:ascii="Times New Roman" w:hAnsi="Times New Roman" w:cs="Times New Roman"/>
          <w:noProof/>
          <w:sz w:val="24"/>
          <w:szCs w:val="24"/>
          <w:lang w:eastAsia="pt-BR"/>
        </w:rPr>
        <mc:AlternateContent>
          <mc:Choice Requires="wps">
            <w:drawing>
              <wp:anchor distT="0" distB="0" distL="114300" distR="114300" simplePos="0" relativeHeight="251665408" behindDoc="0" locked="0" layoutInCell="1" allowOverlap="1" wp14:anchorId="2EC08D7B" wp14:editId="60671840">
                <wp:simplePos x="0" y="0"/>
                <wp:positionH relativeFrom="column">
                  <wp:posOffset>3320415</wp:posOffset>
                </wp:positionH>
                <wp:positionV relativeFrom="paragraph">
                  <wp:posOffset>1857375</wp:posOffset>
                </wp:positionV>
                <wp:extent cx="1192530" cy="394970"/>
                <wp:effectExtent l="0" t="0" r="7620" b="5080"/>
                <wp:wrapNone/>
                <wp:docPr id="28" name="Caixa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394970"/>
                        </a:xfrm>
                        <a:prstGeom prst="rect">
                          <a:avLst/>
                        </a:prstGeom>
                        <a:solidFill>
                          <a:srgbClr val="FFFFFF"/>
                        </a:solidFill>
                        <a:ln w="9525">
                          <a:noFill/>
                          <a:miter lim="800000"/>
                          <a:headEnd/>
                          <a:tailEnd/>
                        </a:ln>
                      </wps:spPr>
                      <wps:txbx>
                        <w:txbxContent>
                          <w:p w14:paraId="1AE16B8D" w14:textId="77777777" w:rsidR="004129CE" w:rsidRDefault="004129CE" w:rsidP="006C3B9A">
                            <w:pPr>
                              <w:pStyle w:val="NormalWeb"/>
                              <w:spacing w:before="0" w:beforeAutospacing="0" w:after="200" w:afterAutospacing="0" w:line="276" w:lineRule="auto"/>
                              <w:jc w:val="center"/>
                            </w:pPr>
                            <w:r>
                              <w:rPr>
                                <w:rFonts w:cs="Calibri"/>
                                <w:sz w:val="18"/>
                                <w:szCs w:val="18"/>
                              </w:rPr>
                              <w:t>Medium-high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08D7B" id="Caixa de Texto 28" o:spid="_x0000_s1027" type="#_x0000_t202" style="position:absolute;left:0;text-align:left;margin-left:261.45pt;margin-top:146.25pt;width:93.9pt;height:3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" stroked="f">
                <v:textbox>
                  <w:txbxContent>
                    <w:p w14:paraId="1AE16B8D" w14:textId="77777777" w:rsidR="004129CE" w:rsidRDefault="004129CE" w:rsidP="006C3B9A">
                      <w:pPr>
                        <w:pStyle w:val="NormalWeb"/>
                        <w:spacing w:before="0" w:beforeAutospacing="0" w:after="200" w:afterAutospacing="0" w:line="276" w:lineRule="auto"/>
                        <w:jc w:val="center"/>
                      </w:pPr>
                      <w:r>
                        <w:rPr>
                          <w:rFonts w:cs="Calibri"/>
                          <w:sz w:val="18"/>
                          <w:szCs w:val="18"/>
                        </w:rPr>
                        <w:t>Medium-high technology</w:t>
                      </w:r>
                    </w:p>
                  </w:txbxContent>
                </v:textbox>
              </v:shape>
            </w:pict>
          </mc:Fallback>
        </mc:AlternateContent>
      </w:r>
      <w:r w:rsidRPr="0047178E">
        <w:rPr>
          <w:rFonts w:ascii="Times New Roman" w:hAnsi="Times New Roman" w:cs="Times New Roman"/>
          <w:noProof/>
          <w:sz w:val="24"/>
          <w:szCs w:val="24"/>
          <w:lang w:eastAsia="pt-BR"/>
        </w:rPr>
        <mc:AlternateContent>
          <mc:Choice Requires="wps">
            <w:drawing>
              <wp:anchor distT="0" distB="0" distL="114300" distR="114300" simplePos="0" relativeHeight="251663360" behindDoc="0" locked="0" layoutInCell="1" allowOverlap="1" wp14:anchorId="2C00705E" wp14:editId="4886C08C">
                <wp:simplePos x="0" y="0"/>
                <wp:positionH relativeFrom="column">
                  <wp:posOffset>2101215</wp:posOffset>
                </wp:positionH>
                <wp:positionV relativeFrom="paragraph">
                  <wp:posOffset>1858645</wp:posOffset>
                </wp:positionV>
                <wp:extent cx="1192530" cy="394970"/>
                <wp:effectExtent l="0" t="0" r="7620" b="5080"/>
                <wp:wrapNone/>
                <wp:docPr id="27" name="Caixa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394970"/>
                        </a:xfrm>
                        <a:prstGeom prst="rect">
                          <a:avLst/>
                        </a:prstGeom>
                        <a:solidFill>
                          <a:srgbClr val="FFFFFF"/>
                        </a:solidFill>
                        <a:ln w="9525">
                          <a:noFill/>
                          <a:miter lim="800000"/>
                          <a:headEnd/>
                          <a:tailEnd/>
                        </a:ln>
                      </wps:spPr>
                      <wps:txbx>
                        <w:txbxContent>
                          <w:p w14:paraId="5713D524" w14:textId="77777777" w:rsidR="004129CE" w:rsidRDefault="004129CE" w:rsidP="006C3B9A">
                            <w:pPr>
                              <w:pStyle w:val="NormalWeb"/>
                              <w:spacing w:before="0" w:beforeAutospacing="0" w:after="200" w:afterAutospacing="0" w:line="276" w:lineRule="auto"/>
                              <w:jc w:val="center"/>
                            </w:pPr>
                            <w:r>
                              <w:rPr>
                                <w:rFonts w:cs="Calibri"/>
                                <w:sz w:val="18"/>
                                <w:szCs w:val="18"/>
                              </w:rPr>
                              <w:t>Low-medium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0705E" id="Caixa de Texto 27" o:spid="_x0000_s1028" type="#_x0000_t202" style="position:absolute;left:0;text-align:left;margin-left:165.45pt;margin-top:146.35pt;width:93.9pt;height:3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" stroked="f">
                <v:textbox>
                  <w:txbxContent>
                    <w:p w14:paraId="5713D524" w14:textId="77777777" w:rsidR="004129CE" w:rsidRDefault="004129CE" w:rsidP="006C3B9A">
                      <w:pPr>
                        <w:pStyle w:val="NormalWeb"/>
                        <w:spacing w:before="0" w:beforeAutospacing="0" w:after="200" w:afterAutospacing="0" w:line="276" w:lineRule="auto"/>
                        <w:jc w:val="center"/>
                      </w:pPr>
                      <w:r>
                        <w:rPr>
                          <w:rFonts w:cs="Calibri"/>
                          <w:sz w:val="18"/>
                          <w:szCs w:val="18"/>
                        </w:rPr>
                        <w:t>Low-medium technology</w:t>
                      </w:r>
                    </w:p>
                  </w:txbxContent>
                </v:textbox>
              </v:shape>
            </w:pict>
          </mc:Fallback>
        </mc:AlternateContent>
      </w:r>
      <w:r w:rsidR="00E1065C" w:rsidRPr="0047178E">
        <w:rPr>
          <w:rFonts w:ascii="Times New Roman" w:hAnsi="Times New Roman" w:cs="Times New Roman"/>
          <w:noProof/>
          <w:sz w:val="24"/>
          <w:szCs w:val="24"/>
          <w:lang w:eastAsia="pt-BR"/>
        </w:rPr>
        <w:drawing>
          <wp:inline distT="0" distB="0" distL="0" distR="0" wp14:anchorId="27E380F8" wp14:editId="6FA0F2F6">
            <wp:extent cx="5400675" cy="2886075"/>
            <wp:effectExtent l="0" t="0" r="952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473ED4E" w14:textId="77777777" w:rsidR="000922A6" w:rsidRPr="0047178E" w:rsidRDefault="000922A6" w:rsidP="0047178E">
      <w:pPr>
        <w:spacing w:line="240" w:lineRule="auto"/>
        <w:ind w:firstLine="567"/>
        <w:jc w:val="both"/>
        <w:rPr>
          <w:rFonts w:ascii="Times New Roman" w:hAnsi="Times New Roman" w:cs="Times New Roman"/>
          <w:sz w:val="24"/>
          <w:szCs w:val="24"/>
          <w:lang w:val="en-US"/>
        </w:rPr>
      </w:pPr>
    </w:p>
    <w:p w14:paraId="1E63B516" w14:textId="33CD9348" w:rsidR="00EA5C5D" w:rsidRPr="0047178E" w:rsidRDefault="00EA5C5D" w:rsidP="0047178E">
      <w:pPr>
        <w:spacing w:after="0" w:line="240" w:lineRule="auto"/>
        <w:ind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Considerin</w:t>
      </w:r>
      <w:r w:rsidR="00793AA0" w:rsidRPr="0047178E">
        <w:rPr>
          <w:rFonts w:ascii="Times New Roman" w:hAnsi="Times New Roman" w:cs="Times New Roman"/>
          <w:sz w:val="24"/>
          <w:szCs w:val="24"/>
          <w:lang w:val="en-US"/>
        </w:rPr>
        <w:t>g only the industrial sectors, C</w:t>
      </w:r>
      <w:r w:rsidRPr="0047178E">
        <w:rPr>
          <w:rFonts w:ascii="Times New Roman" w:hAnsi="Times New Roman" w:cs="Times New Roman"/>
          <w:sz w:val="24"/>
          <w:szCs w:val="24"/>
          <w:lang w:val="en-US"/>
        </w:rPr>
        <w:t>ensus data indicate that, between 2010 and 2014, the stock of</w:t>
      </w:r>
      <w:r w:rsidR="00AC39B5" w:rsidRPr="0047178E">
        <w:rPr>
          <w:rFonts w:ascii="Times New Roman" w:hAnsi="Times New Roman" w:cs="Times New Roman"/>
          <w:sz w:val="24"/>
          <w:szCs w:val="24"/>
          <w:lang w:val="en-US"/>
        </w:rPr>
        <w:t xml:space="preserve"> FDI in wooden goods production – </w:t>
      </w:r>
      <w:r w:rsidRPr="0047178E">
        <w:rPr>
          <w:rFonts w:ascii="Times New Roman" w:hAnsi="Times New Roman" w:cs="Times New Roman"/>
          <w:sz w:val="24"/>
          <w:szCs w:val="24"/>
          <w:lang w:val="en-US"/>
        </w:rPr>
        <w:t xml:space="preserve">a sector with </w:t>
      </w:r>
      <w:r w:rsidR="00793AA0" w:rsidRPr="0047178E">
        <w:rPr>
          <w:rFonts w:ascii="Times New Roman" w:hAnsi="Times New Roman" w:cs="Times New Roman"/>
          <w:sz w:val="24"/>
          <w:szCs w:val="24"/>
          <w:lang w:val="en-US"/>
        </w:rPr>
        <w:t xml:space="preserve">very low </w:t>
      </w:r>
      <w:r w:rsidRPr="0047178E">
        <w:rPr>
          <w:rFonts w:ascii="Times New Roman" w:hAnsi="Times New Roman" w:cs="Times New Roman"/>
          <w:sz w:val="24"/>
          <w:szCs w:val="24"/>
          <w:lang w:val="en-US"/>
        </w:rPr>
        <w:t>technological dynam</w:t>
      </w:r>
      <w:r w:rsidR="00AC39B5" w:rsidRPr="0047178E">
        <w:rPr>
          <w:rFonts w:ascii="Times New Roman" w:hAnsi="Times New Roman" w:cs="Times New Roman"/>
          <w:sz w:val="24"/>
          <w:szCs w:val="24"/>
          <w:lang w:val="en-US"/>
        </w:rPr>
        <w:t xml:space="preserve">ism – </w:t>
      </w:r>
      <w:r w:rsidRPr="0047178E">
        <w:rPr>
          <w:rFonts w:ascii="Times New Roman" w:hAnsi="Times New Roman" w:cs="Times New Roman"/>
          <w:sz w:val="24"/>
          <w:szCs w:val="24"/>
          <w:lang w:val="en-US"/>
        </w:rPr>
        <w:t xml:space="preserve">grew by an average of 28% per year. On the other hand, activities that contribute to capital formation and that are more technologically dynamic experienced a decrease in investments. In the machinery and equipment sector, for example, FDI stock </w:t>
      </w:r>
      <w:r w:rsidR="00BA3C00" w:rsidRPr="0047178E">
        <w:rPr>
          <w:rFonts w:ascii="Times New Roman" w:hAnsi="Times New Roman" w:cs="Times New Roman"/>
          <w:sz w:val="24"/>
          <w:szCs w:val="24"/>
          <w:lang w:val="en-US"/>
        </w:rPr>
        <w:t>de</w:t>
      </w:r>
      <w:r w:rsidRPr="0047178E">
        <w:rPr>
          <w:rFonts w:ascii="Times New Roman" w:hAnsi="Times New Roman" w:cs="Times New Roman"/>
          <w:sz w:val="24"/>
          <w:szCs w:val="24"/>
          <w:lang w:val="en-US"/>
        </w:rPr>
        <w:t>creased by an average of 1.7% per year.</w:t>
      </w:r>
    </w:p>
    <w:p w14:paraId="7226C842" w14:textId="7C9F2950" w:rsidR="00EA5C5D" w:rsidRPr="0047178E" w:rsidRDefault="00EA5C5D" w:rsidP="0047178E">
      <w:pPr>
        <w:spacing w:after="0" w:line="240" w:lineRule="auto"/>
        <w:ind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In this scenario, it is possible to consider that, although FDI participation in the Brazilian GDP has grown in the past 15 years, the distribution of such investments has been very unequal </w:t>
      </w:r>
      <w:r w:rsidR="00AC39B5" w:rsidRPr="0047178E">
        <w:rPr>
          <w:rFonts w:ascii="Times New Roman" w:hAnsi="Times New Roman" w:cs="Times New Roman"/>
          <w:sz w:val="24"/>
          <w:szCs w:val="24"/>
          <w:lang w:val="en-US"/>
        </w:rPr>
        <w:t>across</w:t>
      </w:r>
      <w:r w:rsidRPr="0047178E">
        <w:rPr>
          <w:rFonts w:ascii="Times New Roman" w:hAnsi="Times New Roman" w:cs="Times New Roman"/>
          <w:sz w:val="24"/>
          <w:szCs w:val="24"/>
          <w:lang w:val="en-US"/>
        </w:rPr>
        <w:t xml:space="preserve"> sectors. </w:t>
      </w:r>
      <w:r w:rsidRPr="0047178E">
        <w:rPr>
          <w:rFonts w:ascii="Times New Roman" w:hAnsi="Times New Roman" w:cs="Times New Roman"/>
          <w:sz w:val="24"/>
          <w:szCs w:val="24"/>
          <w:lang w:val="en-US"/>
        </w:rPr>
        <w:lastRenderedPageBreak/>
        <w:t xml:space="preserve">Activities in which the country already has some kind of technological </w:t>
      </w:r>
      <w:r w:rsidR="00BA3C00" w:rsidRPr="0047178E">
        <w:rPr>
          <w:rFonts w:ascii="Times New Roman" w:hAnsi="Times New Roman" w:cs="Times New Roman"/>
          <w:sz w:val="24"/>
          <w:szCs w:val="24"/>
          <w:lang w:val="en-US"/>
        </w:rPr>
        <w:t>progress</w:t>
      </w:r>
      <w:r w:rsidRPr="0047178E">
        <w:rPr>
          <w:rFonts w:ascii="Times New Roman" w:hAnsi="Times New Roman" w:cs="Times New Roman"/>
          <w:sz w:val="24"/>
          <w:szCs w:val="24"/>
          <w:lang w:val="en-US"/>
        </w:rPr>
        <w:t xml:space="preserve">, such as natural resources, have been a priority. </w:t>
      </w:r>
    </w:p>
    <w:p w14:paraId="54DD7FD1" w14:textId="77777777" w:rsidR="000922A6" w:rsidRPr="0047178E" w:rsidRDefault="00EA5C5D" w:rsidP="0047178E">
      <w:pPr>
        <w:spacing w:after="0" w:line="240" w:lineRule="auto"/>
        <w:ind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Therefore, the low presence of FDI in activities with high technological dynamism brings serious consequences to the Brazilian production structure, as it contributes to maintain the country’s position as heavily specialized in producing goods with little value added.</w:t>
      </w:r>
    </w:p>
    <w:p w14:paraId="507D47DF" w14:textId="77777777" w:rsidR="000922A6" w:rsidRPr="0047178E" w:rsidRDefault="000922A6" w:rsidP="0047178E">
      <w:pPr>
        <w:spacing w:after="0" w:line="240" w:lineRule="auto"/>
        <w:ind w:firstLine="567"/>
        <w:jc w:val="both"/>
        <w:rPr>
          <w:rFonts w:ascii="Times New Roman" w:hAnsi="Times New Roman" w:cs="Times New Roman"/>
          <w:b/>
          <w:bCs/>
          <w:sz w:val="24"/>
          <w:szCs w:val="24"/>
          <w:lang w:val="en-US"/>
        </w:rPr>
      </w:pPr>
    </w:p>
    <w:p w14:paraId="713B12C5" w14:textId="77777777" w:rsidR="000922A6" w:rsidRPr="0047178E" w:rsidRDefault="00E1065C" w:rsidP="0047178E">
      <w:pPr>
        <w:spacing w:after="0" w:line="240" w:lineRule="auto"/>
        <w:ind w:left="567"/>
        <w:jc w:val="both"/>
        <w:rPr>
          <w:rFonts w:ascii="Times New Roman" w:hAnsi="Times New Roman" w:cs="Times New Roman"/>
          <w:b/>
          <w:bCs/>
          <w:sz w:val="24"/>
          <w:szCs w:val="24"/>
          <w:lang w:val="en-US"/>
        </w:rPr>
      </w:pPr>
      <w:r w:rsidRPr="0047178E">
        <w:rPr>
          <w:rFonts w:ascii="Times New Roman" w:hAnsi="Times New Roman" w:cs="Times New Roman"/>
          <w:b/>
          <w:bCs/>
          <w:sz w:val="24"/>
          <w:szCs w:val="24"/>
          <w:lang w:val="en-US"/>
        </w:rPr>
        <w:t xml:space="preserve">4.6 </w:t>
      </w:r>
      <w:r w:rsidR="00FD3158" w:rsidRPr="0047178E">
        <w:rPr>
          <w:rFonts w:ascii="Times New Roman" w:hAnsi="Times New Roman" w:cs="Times New Roman"/>
          <w:b/>
          <w:bCs/>
          <w:sz w:val="24"/>
          <w:szCs w:val="24"/>
          <w:lang w:val="en-US"/>
        </w:rPr>
        <w:t>Preferential</w:t>
      </w:r>
      <w:r w:rsidR="00E11CB6" w:rsidRPr="0047178E">
        <w:rPr>
          <w:rFonts w:ascii="Times New Roman" w:hAnsi="Times New Roman" w:cs="Times New Roman"/>
          <w:b/>
          <w:bCs/>
          <w:sz w:val="24"/>
          <w:szCs w:val="24"/>
          <w:lang w:val="en-US"/>
        </w:rPr>
        <w:t xml:space="preserve"> trade agreements</w:t>
      </w:r>
      <w:r w:rsidR="000922A6" w:rsidRPr="0047178E">
        <w:rPr>
          <w:rFonts w:ascii="Times New Roman" w:hAnsi="Times New Roman" w:cs="Times New Roman"/>
          <w:b/>
          <w:bCs/>
          <w:sz w:val="24"/>
          <w:szCs w:val="24"/>
          <w:lang w:val="en-US"/>
        </w:rPr>
        <w:t xml:space="preserve"> </w:t>
      </w:r>
      <w:r w:rsidR="00E11CB6" w:rsidRPr="0047178E">
        <w:rPr>
          <w:rFonts w:ascii="Times New Roman" w:hAnsi="Times New Roman" w:cs="Times New Roman"/>
          <w:b/>
          <w:bCs/>
          <w:sz w:val="24"/>
          <w:szCs w:val="24"/>
          <w:lang w:val="en-US"/>
        </w:rPr>
        <w:t>–</w:t>
      </w:r>
      <w:r w:rsidR="000922A6" w:rsidRPr="0047178E">
        <w:rPr>
          <w:rFonts w:ascii="Times New Roman" w:hAnsi="Times New Roman" w:cs="Times New Roman"/>
          <w:b/>
          <w:bCs/>
          <w:sz w:val="24"/>
          <w:szCs w:val="24"/>
          <w:lang w:val="en-US"/>
        </w:rPr>
        <w:t xml:space="preserve"> </w:t>
      </w:r>
      <w:r w:rsidR="00E11CB6" w:rsidRPr="0047178E">
        <w:rPr>
          <w:rFonts w:ascii="Times New Roman" w:hAnsi="Times New Roman" w:cs="Times New Roman"/>
          <w:b/>
          <w:bCs/>
          <w:sz w:val="24"/>
          <w:szCs w:val="24"/>
          <w:lang w:val="en-US"/>
        </w:rPr>
        <w:t xml:space="preserve">Isolation of Brazil </w:t>
      </w:r>
      <w:r w:rsidR="00FD3158" w:rsidRPr="0047178E">
        <w:rPr>
          <w:rFonts w:ascii="Times New Roman" w:hAnsi="Times New Roman" w:cs="Times New Roman"/>
          <w:b/>
          <w:bCs/>
          <w:sz w:val="24"/>
          <w:szCs w:val="24"/>
          <w:lang w:val="en-US"/>
        </w:rPr>
        <w:t>in international</w:t>
      </w:r>
      <w:r w:rsidR="00E11CB6" w:rsidRPr="0047178E">
        <w:rPr>
          <w:rFonts w:ascii="Times New Roman" w:hAnsi="Times New Roman" w:cs="Times New Roman"/>
          <w:b/>
          <w:bCs/>
          <w:sz w:val="24"/>
          <w:szCs w:val="24"/>
          <w:lang w:val="en-US"/>
        </w:rPr>
        <w:t xml:space="preserve"> trade agreements </w:t>
      </w:r>
    </w:p>
    <w:p w14:paraId="024C0AD4" w14:textId="625A56B7" w:rsidR="000922A6" w:rsidRPr="0047178E" w:rsidRDefault="00EA5C5D"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Brazil is a signatory </w:t>
      </w:r>
      <w:r w:rsidR="00BA3C00" w:rsidRPr="0047178E">
        <w:rPr>
          <w:rFonts w:ascii="Times New Roman" w:hAnsi="Times New Roman" w:cs="Times New Roman"/>
          <w:sz w:val="24"/>
          <w:szCs w:val="24"/>
          <w:lang w:val="en-US"/>
        </w:rPr>
        <w:t>of a</w:t>
      </w:r>
      <w:r w:rsidRPr="0047178E">
        <w:rPr>
          <w:rFonts w:ascii="Times New Roman" w:hAnsi="Times New Roman" w:cs="Times New Roman"/>
          <w:sz w:val="24"/>
          <w:szCs w:val="24"/>
          <w:lang w:val="en-US"/>
        </w:rPr>
        <w:t xml:space="preserve"> </w:t>
      </w:r>
      <w:r w:rsidR="00A7215B" w:rsidRPr="0047178E">
        <w:rPr>
          <w:rFonts w:ascii="Times New Roman" w:hAnsi="Times New Roman" w:cs="Times New Roman"/>
          <w:sz w:val="24"/>
          <w:szCs w:val="24"/>
          <w:lang w:val="en-US"/>
        </w:rPr>
        <w:t xml:space="preserve">relatively </w:t>
      </w:r>
      <w:r w:rsidRPr="0047178E">
        <w:rPr>
          <w:rFonts w:ascii="Times New Roman" w:hAnsi="Times New Roman" w:cs="Times New Roman"/>
          <w:sz w:val="24"/>
          <w:szCs w:val="24"/>
          <w:lang w:val="en-US"/>
        </w:rPr>
        <w:t xml:space="preserve">small number of international trade agreements, particularly in </w:t>
      </w:r>
      <w:r w:rsidR="00BA3C00" w:rsidRPr="0047178E">
        <w:rPr>
          <w:rFonts w:ascii="Times New Roman" w:hAnsi="Times New Roman" w:cs="Times New Roman"/>
          <w:sz w:val="24"/>
          <w:szCs w:val="24"/>
          <w:lang w:val="en-US"/>
        </w:rPr>
        <w:t>the extra-regional</w:t>
      </w:r>
      <w:r w:rsidRPr="0047178E">
        <w:rPr>
          <w:rFonts w:ascii="Times New Roman" w:hAnsi="Times New Roman" w:cs="Times New Roman"/>
          <w:sz w:val="24"/>
          <w:szCs w:val="24"/>
          <w:lang w:val="en-US"/>
        </w:rPr>
        <w:t xml:space="preserve"> scope. Furthermore, the </w:t>
      </w:r>
      <w:r w:rsidR="00BA3C00" w:rsidRPr="0047178E">
        <w:rPr>
          <w:rFonts w:ascii="Times New Roman" w:hAnsi="Times New Roman" w:cs="Times New Roman"/>
          <w:sz w:val="24"/>
          <w:szCs w:val="24"/>
          <w:lang w:val="en-US"/>
        </w:rPr>
        <w:t>content of the agreements that the</w:t>
      </w:r>
      <w:r w:rsidRPr="0047178E">
        <w:rPr>
          <w:rFonts w:ascii="Times New Roman" w:hAnsi="Times New Roman" w:cs="Times New Roman"/>
          <w:sz w:val="24"/>
          <w:szCs w:val="24"/>
          <w:lang w:val="en-US"/>
        </w:rPr>
        <w:t xml:space="preserve"> country </w:t>
      </w:r>
      <w:r w:rsidR="00BA3C00" w:rsidRPr="0047178E">
        <w:rPr>
          <w:rFonts w:ascii="Times New Roman" w:hAnsi="Times New Roman" w:cs="Times New Roman"/>
          <w:sz w:val="24"/>
          <w:szCs w:val="24"/>
          <w:lang w:val="en-US"/>
        </w:rPr>
        <w:t xml:space="preserve">has </w:t>
      </w:r>
      <w:r w:rsidRPr="0047178E">
        <w:rPr>
          <w:rFonts w:ascii="Times New Roman" w:hAnsi="Times New Roman" w:cs="Times New Roman"/>
          <w:sz w:val="24"/>
          <w:szCs w:val="24"/>
          <w:lang w:val="en-US"/>
        </w:rPr>
        <w:t>signed are not really elaborate or innovative (Thorstensen et al., 2013).</w:t>
      </w:r>
    </w:p>
    <w:p w14:paraId="3A4812D9" w14:textId="77777777" w:rsidR="00365BA3" w:rsidRPr="0047178E" w:rsidRDefault="00365BA3"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The low number of signed agreements is explained by the fact that Brazil has prioritized the multilateral sphere as the main forum for international trade negotiations, because the country believes that this framework provides better conditions for developing nations to coordinate their positions, increasing their bargaining power relative to the interests of developed countries. However, the Brazilian strategy was undermined by the Doha Round deadlock at the same time that large economies began to give priority to PTAs as the main regulatory source of international trade, given their greater agility in the negotiation.  </w:t>
      </w:r>
    </w:p>
    <w:p w14:paraId="7A07F2A3" w14:textId="7CE55D4F" w:rsidR="000922A6" w:rsidRPr="0047178E" w:rsidRDefault="00EA5C5D" w:rsidP="0047178E">
      <w:pPr>
        <w:tabs>
          <w:tab w:val="left" w:pos="8789"/>
        </w:tabs>
        <w:autoSpaceDE w:val="0"/>
        <w:autoSpaceDN w:val="0"/>
        <w:adjustRightInd w:val="0"/>
        <w:spacing w:after="0" w:line="240" w:lineRule="auto"/>
        <w:ind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By lagging behind in these preferential agreements, especially in Latin America, where several countries have been negotiating a</w:t>
      </w:r>
      <w:r w:rsidR="00A7215B" w:rsidRPr="0047178E">
        <w:rPr>
          <w:rFonts w:ascii="Times New Roman" w:hAnsi="Times New Roman" w:cs="Times New Roman"/>
          <w:sz w:val="24"/>
          <w:szCs w:val="24"/>
          <w:lang w:val="en-US"/>
        </w:rPr>
        <w:t xml:space="preserve"> significant </w:t>
      </w:r>
      <w:r w:rsidRPr="0047178E">
        <w:rPr>
          <w:rFonts w:ascii="Times New Roman" w:hAnsi="Times New Roman" w:cs="Times New Roman"/>
          <w:sz w:val="24"/>
          <w:szCs w:val="24"/>
          <w:lang w:val="en-US"/>
        </w:rPr>
        <w:t xml:space="preserve">number of PTAs, Brazil faces ever increasing difficulties to find a place in global production </w:t>
      </w:r>
      <w:r w:rsidR="00A7215B" w:rsidRPr="0047178E">
        <w:rPr>
          <w:rFonts w:ascii="Times New Roman" w:hAnsi="Times New Roman" w:cs="Times New Roman"/>
          <w:sz w:val="24"/>
          <w:szCs w:val="24"/>
          <w:lang w:val="en-US"/>
        </w:rPr>
        <w:t xml:space="preserve">chains </w:t>
      </w:r>
      <w:r w:rsidRPr="0047178E">
        <w:rPr>
          <w:rFonts w:ascii="Times New Roman" w:hAnsi="Times New Roman" w:cs="Times New Roman"/>
          <w:sz w:val="24"/>
          <w:szCs w:val="24"/>
          <w:lang w:val="en-US"/>
        </w:rPr>
        <w:t>and to sell its products internationally. The challenges to make Brazil’s interests prevail in othe</w:t>
      </w:r>
      <w:r w:rsidR="00713FB2" w:rsidRPr="0047178E">
        <w:rPr>
          <w:rFonts w:ascii="Times New Roman" w:hAnsi="Times New Roman" w:cs="Times New Roman"/>
          <w:sz w:val="24"/>
          <w:szCs w:val="24"/>
          <w:lang w:val="en-US"/>
        </w:rPr>
        <w:t>r markets are also in</w:t>
      </w:r>
      <w:r w:rsidR="005B25E4" w:rsidRPr="0047178E">
        <w:rPr>
          <w:rFonts w:ascii="Times New Roman" w:hAnsi="Times New Roman" w:cs="Times New Roman"/>
          <w:sz w:val="24"/>
          <w:szCs w:val="24"/>
          <w:lang w:val="en-US"/>
        </w:rPr>
        <w:t>tensifying</w:t>
      </w:r>
      <w:r w:rsidR="00713FB2" w:rsidRPr="0047178E">
        <w:rPr>
          <w:rFonts w:ascii="Times New Roman" w:hAnsi="Times New Roman" w:cs="Times New Roman"/>
          <w:sz w:val="24"/>
          <w:szCs w:val="24"/>
          <w:lang w:val="en-US"/>
        </w:rPr>
        <w:t xml:space="preserve">. </w:t>
      </w:r>
      <w:r w:rsidR="005B25E4" w:rsidRPr="0047178E">
        <w:rPr>
          <w:rFonts w:ascii="Times New Roman" w:hAnsi="Times New Roman" w:cs="Times New Roman"/>
          <w:sz w:val="24"/>
          <w:szCs w:val="24"/>
          <w:lang w:val="en-US"/>
        </w:rPr>
        <w:t>In order to examine</w:t>
      </w:r>
      <w:r w:rsidRPr="0047178E">
        <w:rPr>
          <w:rFonts w:ascii="Times New Roman" w:hAnsi="Times New Roman" w:cs="Times New Roman"/>
          <w:sz w:val="24"/>
          <w:szCs w:val="24"/>
          <w:lang w:val="en-US"/>
        </w:rPr>
        <w:t xml:space="preserve"> these matters in more detail, it is necessary to</w:t>
      </w:r>
      <w:r w:rsidR="00A7215B" w:rsidRPr="0047178E">
        <w:rPr>
          <w:rFonts w:ascii="Times New Roman" w:hAnsi="Times New Roman" w:cs="Times New Roman"/>
          <w:sz w:val="24"/>
          <w:szCs w:val="24"/>
          <w:lang w:val="en-US"/>
        </w:rPr>
        <w:t xml:space="preserve"> first</w:t>
      </w:r>
      <w:r w:rsidRPr="0047178E">
        <w:rPr>
          <w:rFonts w:ascii="Times New Roman" w:hAnsi="Times New Roman" w:cs="Times New Roman"/>
          <w:sz w:val="24"/>
          <w:szCs w:val="24"/>
          <w:lang w:val="en-US"/>
        </w:rPr>
        <w:t xml:space="preserve"> identify the two international integration vectors in Brazil: the regional and the extra-regional.</w:t>
      </w:r>
    </w:p>
    <w:p w14:paraId="1DF445F6" w14:textId="40AC8F58" w:rsidR="00365BA3" w:rsidRPr="0047178E" w:rsidRDefault="00365BA3"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Regarding the representativeness and character of Brazil’s existing agreements, in the regional vector, MERCOSUR is the main project of Brazilian trade integration. The following trade agreements are currently in force between the members of MERCOSUR and: (i) Chile; (ii) Bolivia; (iii) Mexico (general); (iv) Mexico (automotive industry); (v) Peru; (vi) Colombia, Ecuador and Venezuela; and (vii) Cuba. Brazil also signed agreements </w:t>
      </w:r>
      <w:r w:rsidRPr="0047178E">
        <w:rPr>
          <w:rFonts w:ascii="Times New Roman" w:hAnsi="Times New Roman" w:cs="Times New Roman"/>
          <w:noProof/>
          <w:spacing w:val="-4"/>
          <w:sz w:val="24"/>
          <w:szCs w:val="24"/>
          <w:lang w:val="en-US"/>
        </w:rPr>
        <w:t>with</w:t>
      </w:r>
      <w:r w:rsidRPr="0047178E">
        <w:rPr>
          <w:rFonts w:ascii="Times New Roman" w:hAnsi="Times New Roman" w:cs="Times New Roman"/>
          <w:spacing w:val="-4"/>
          <w:sz w:val="24"/>
          <w:szCs w:val="24"/>
          <w:lang w:val="en-US"/>
        </w:rPr>
        <w:t xml:space="preserve"> (i) Guiana</w:t>
      </w:r>
      <w:r w:rsidRPr="0047178E">
        <w:rPr>
          <w:rFonts w:ascii="Times New Roman" w:hAnsi="Times New Roman" w:cs="Times New Roman"/>
          <w:i/>
          <w:spacing w:val="-4"/>
          <w:sz w:val="24"/>
          <w:szCs w:val="24"/>
          <w:lang w:val="en-US"/>
        </w:rPr>
        <w:t xml:space="preserve"> </w:t>
      </w:r>
      <w:r w:rsidRPr="0047178E">
        <w:rPr>
          <w:rFonts w:ascii="Times New Roman" w:hAnsi="Times New Roman" w:cs="Times New Roman"/>
          <w:spacing w:val="-4"/>
          <w:sz w:val="24"/>
          <w:szCs w:val="24"/>
          <w:lang w:val="en-US"/>
        </w:rPr>
        <w:t>and (ii) Surina</w:t>
      </w:r>
      <w:r w:rsidRPr="0047178E">
        <w:rPr>
          <w:rFonts w:ascii="Times New Roman" w:hAnsi="Times New Roman" w:cs="Times New Roman"/>
          <w:color w:val="000000" w:themeColor="text1"/>
          <w:spacing w:val="-4"/>
          <w:sz w:val="24"/>
          <w:szCs w:val="24"/>
          <w:lang w:val="en-US"/>
        </w:rPr>
        <w:t xml:space="preserve">me </w:t>
      </w:r>
      <w:r w:rsidRPr="0047178E">
        <w:rPr>
          <w:rFonts w:ascii="Times New Roman" w:hAnsi="Times New Roman" w:cs="Times New Roman"/>
          <w:spacing w:val="-4"/>
          <w:sz w:val="24"/>
          <w:szCs w:val="24"/>
          <w:lang w:val="en-US"/>
        </w:rPr>
        <w:t>(only rice). Overall, these regional agreements provide for a wide margin of tariff preferences to be granted to a</w:t>
      </w:r>
      <w:r w:rsidR="00EE2951" w:rsidRPr="0047178E">
        <w:rPr>
          <w:rFonts w:ascii="Times New Roman" w:hAnsi="Times New Roman" w:cs="Times New Roman"/>
          <w:spacing w:val="-4"/>
          <w:sz w:val="24"/>
          <w:szCs w:val="24"/>
          <w:lang w:val="en-US"/>
        </w:rPr>
        <w:t xml:space="preserve"> significant number of products, </w:t>
      </w:r>
      <w:r w:rsidRPr="0047178E">
        <w:rPr>
          <w:rFonts w:ascii="Times New Roman" w:hAnsi="Times New Roman" w:cs="Times New Roman"/>
          <w:spacing w:val="-4"/>
          <w:sz w:val="24"/>
          <w:szCs w:val="24"/>
          <w:lang w:val="en-US"/>
        </w:rPr>
        <w:t xml:space="preserve">as shown in Table 4. Consequently, Brazilian exports have gained greater access to some important markets to the country’s trade agenda.  Together, they </w:t>
      </w:r>
      <w:r w:rsidR="00CC3B0A" w:rsidRPr="0047178E">
        <w:rPr>
          <w:rFonts w:ascii="Times New Roman" w:hAnsi="Times New Roman" w:cs="Times New Roman"/>
          <w:spacing w:val="-4"/>
          <w:sz w:val="24"/>
          <w:szCs w:val="24"/>
          <w:lang w:val="en-US"/>
        </w:rPr>
        <w:t>account for</w:t>
      </w:r>
      <w:r w:rsidRPr="0047178E">
        <w:rPr>
          <w:rFonts w:ascii="Times New Roman" w:hAnsi="Times New Roman" w:cs="Times New Roman"/>
          <w:spacing w:val="-4"/>
          <w:sz w:val="24"/>
          <w:szCs w:val="24"/>
          <w:lang w:val="en-US"/>
        </w:rPr>
        <w:t xml:space="preserve"> about 10% of the Brazilian export destinations, according to the </w:t>
      </w:r>
      <w:r w:rsidR="00B01AFA" w:rsidRPr="0047178E">
        <w:rPr>
          <w:rFonts w:ascii="Times New Roman" w:hAnsi="Times New Roman" w:cs="Times New Roman"/>
          <w:spacing w:val="-4"/>
          <w:sz w:val="24"/>
          <w:szCs w:val="24"/>
          <w:lang w:val="en-US"/>
        </w:rPr>
        <w:t>Brazilian Ministry of Industry, Foreign Trade and Services (</w:t>
      </w:r>
      <w:r w:rsidRPr="0047178E">
        <w:rPr>
          <w:rFonts w:ascii="Times New Roman" w:hAnsi="Times New Roman" w:cs="Times New Roman"/>
          <w:spacing w:val="-4"/>
          <w:sz w:val="24"/>
          <w:szCs w:val="24"/>
          <w:lang w:val="en-US"/>
        </w:rPr>
        <w:t>MDIC</w:t>
      </w:r>
      <w:r w:rsidR="00B01AFA" w:rsidRPr="0047178E">
        <w:rPr>
          <w:rFonts w:ascii="Times New Roman" w:hAnsi="Times New Roman" w:cs="Times New Roman"/>
          <w:spacing w:val="-4"/>
          <w:sz w:val="24"/>
          <w:szCs w:val="24"/>
          <w:lang w:val="en-US"/>
        </w:rPr>
        <w:t>)</w:t>
      </w:r>
      <w:r w:rsidRPr="0047178E">
        <w:rPr>
          <w:rFonts w:ascii="Times New Roman" w:hAnsi="Times New Roman" w:cs="Times New Roman"/>
          <w:spacing w:val="-4"/>
          <w:sz w:val="24"/>
          <w:szCs w:val="24"/>
          <w:lang w:val="en-US"/>
        </w:rPr>
        <w:t xml:space="preserve"> data. </w:t>
      </w:r>
    </w:p>
    <w:p w14:paraId="3F2CB3D3" w14:textId="6DDBF9DA" w:rsidR="00365BA3" w:rsidRPr="0047178E" w:rsidRDefault="00365BA3"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Regarding the content of the regulatory framework of these agreements, however, nothing new has been presented in relation to the rules already laid down in the WTO agreements. There was also no evidence of the approach of new themes</w:t>
      </w:r>
      <w:r w:rsidR="00EE2951" w:rsidRPr="0047178E">
        <w:rPr>
          <w:rFonts w:ascii="Times New Roman" w:hAnsi="Times New Roman" w:cs="Times New Roman"/>
          <w:spacing w:val="-4"/>
          <w:sz w:val="24"/>
          <w:szCs w:val="24"/>
          <w:lang w:val="en-US"/>
        </w:rPr>
        <w:t xml:space="preserve"> (Thorstensen, V. et al., 2013)</w:t>
      </w:r>
      <w:r w:rsidRPr="0047178E">
        <w:rPr>
          <w:rFonts w:ascii="Times New Roman" w:hAnsi="Times New Roman" w:cs="Times New Roman"/>
          <w:spacing w:val="-4"/>
          <w:sz w:val="24"/>
          <w:szCs w:val="24"/>
          <w:lang w:val="en-US"/>
        </w:rPr>
        <w:t xml:space="preserve">. </w:t>
      </w:r>
    </w:p>
    <w:p w14:paraId="30FB8E1B" w14:textId="004F9ECD" w:rsidR="00365BA3" w:rsidRPr="0047178E" w:rsidRDefault="00365BA3" w:rsidP="0047178E">
      <w:pPr>
        <w:autoSpaceDE w:val="0"/>
        <w:autoSpaceDN w:val="0"/>
        <w:adjustRightInd w:val="0"/>
        <w:spacing w:after="0" w:line="240" w:lineRule="auto"/>
        <w:ind w:firstLine="567"/>
        <w:jc w:val="both"/>
        <w:rPr>
          <w:rFonts w:ascii="Times New Roman" w:hAnsi="Times New Roman" w:cs="Times New Roman"/>
          <w:color w:val="FF0000"/>
          <w:spacing w:val="-4"/>
          <w:sz w:val="24"/>
          <w:szCs w:val="24"/>
          <w:lang w:val="en-US"/>
        </w:rPr>
      </w:pPr>
      <w:r w:rsidRPr="0047178E">
        <w:rPr>
          <w:rFonts w:ascii="Times New Roman" w:hAnsi="Times New Roman" w:cs="Times New Roman"/>
          <w:spacing w:val="-4"/>
          <w:sz w:val="24"/>
          <w:szCs w:val="24"/>
          <w:lang w:val="en-US"/>
        </w:rPr>
        <w:t xml:space="preserve">In the extra-regional vector, Brazil and MERCOSUR have PTAs signed </w:t>
      </w:r>
      <w:r w:rsidR="00EE2951" w:rsidRPr="0047178E">
        <w:rPr>
          <w:rFonts w:ascii="Times New Roman" w:hAnsi="Times New Roman" w:cs="Times New Roman"/>
          <w:spacing w:val="-4"/>
          <w:sz w:val="24"/>
          <w:szCs w:val="24"/>
          <w:lang w:val="en-US"/>
        </w:rPr>
        <w:t xml:space="preserve">only </w:t>
      </w:r>
      <w:r w:rsidRPr="0047178E">
        <w:rPr>
          <w:rFonts w:ascii="Times New Roman" w:hAnsi="Times New Roman" w:cs="Times New Roman"/>
          <w:spacing w:val="-4"/>
          <w:sz w:val="24"/>
          <w:szCs w:val="24"/>
          <w:lang w:val="en-US"/>
        </w:rPr>
        <w:t xml:space="preserve">with India, Israel, the South African Customs Union (SACU), Egypt, and Palestine, of which only the first two are currently in force. The participation of these countries in Brazilian exports is also variable, being relatively relevant in the case of India (2.13%) and Egypt (1.03%), but small in the </w:t>
      </w:r>
      <w:r w:rsidRPr="0047178E">
        <w:rPr>
          <w:rFonts w:ascii="Times New Roman" w:hAnsi="Times New Roman" w:cs="Times New Roman"/>
          <w:color w:val="000000" w:themeColor="text1"/>
          <w:spacing w:val="-4"/>
          <w:sz w:val="24"/>
          <w:szCs w:val="24"/>
          <w:lang w:val="en-US"/>
        </w:rPr>
        <w:t>case of Israel (0.18%), Palestine (0.01%) and SACU (0.56%), according to the MDIC data. The terms of the agreements are also less innovative</w:t>
      </w:r>
      <w:r w:rsidR="00EE2951" w:rsidRPr="0047178E">
        <w:rPr>
          <w:rFonts w:ascii="Times New Roman" w:hAnsi="Times New Roman" w:cs="Times New Roman"/>
          <w:color w:val="000000" w:themeColor="text1"/>
          <w:spacing w:val="-4"/>
          <w:sz w:val="24"/>
          <w:szCs w:val="24"/>
          <w:lang w:val="en-US"/>
        </w:rPr>
        <w:t xml:space="preserve"> </w:t>
      </w:r>
      <w:r w:rsidR="00EE2951" w:rsidRPr="0047178E">
        <w:rPr>
          <w:rFonts w:ascii="Times New Roman" w:hAnsi="Times New Roman" w:cs="Times New Roman"/>
          <w:spacing w:val="-4"/>
          <w:sz w:val="24"/>
          <w:szCs w:val="24"/>
          <w:lang w:val="en-US"/>
        </w:rPr>
        <w:t>(Thorstensen, V. et al., 2013)</w:t>
      </w:r>
      <w:r w:rsidRPr="0047178E">
        <w:rPr>
          <w:rFonts w:ascii="Times New Roman" w:hAnsi="Times New Roman" w:cs="Times New Roman"/>
          <w:color w:val="000000" w:themeColor="text1"/>
          <w:spacing w:val="-4"/>
          <w:sz w:val="24"/>
          <w:szCs w:val="24"/>
          <w:lang w:val="en-US"/>
        </w:rPr>
        <w:t>.</w:t>
      </w:r>
      <w:r w:rsidRPr="0047178E">
        <w:rPr>
          <w:rFonts w:ascii="Times New Roman" w:hAnsi="Times New Roman" w:cs="Times New Roman"/>
          <w:color w:val="FF0000"/>
          <w:spacing w:val="-4"/>
          <w:sz w:val="24"/>
          <w:szCs w:val="24"/>
          <w:lang w:val="en-US"/>
        </w:rPr>
        <w:t xml:space="preserve"> </w:t>
      </w:r>
    </w:p>
    <w:p w14:paraId="3D875D3A" w14:textId="303761E9" w:rsidR="00170AE3" w:rsidRPr="0047178E" w:rsidRDefault="00170AE3" w:rsidP="0047178E">
      <w:pPr>
        <w:spacing w:after="0" w:line="240" w:lineRule="auto"/>
        <w:jc w:val="both"/>
        <w:rPr>
          <w:rFonts w:ascii="Times New Roman" w:hAnsi="Times New Roman" w:cs="Times New Roman"/>
          <w:b/>
          <w:sz w:val="24"/>
          <w:szCs w:val="24"/>
          <w:lang w:val="en-US"/>
        </w:rPr>
      </w:pPr>
    </w:p>
    <w:p w14:paraId="09B4ECA0" w14:textId="4575CD1A" w:rsidR="00435918" w:rsidRDefault="00435918" w:rsidP="0047178E">
      <w:pPr>
        <w:spacing w:after="0" w:line="240" w:lineRule="auto"/>
        <w:jc w:val="both"/>
        <w:rPr>
          <w:rFonts w:ascii="Times New Roman" w:hAnsi="Times New Roman" w:cs="Times New Roman"/>
          <w:b/>
          <w:sz w:val="24"/>
          <w:szCs w:val="24"/>
          <w:lang w:val="en-US"/>
        </w:rPr>
      </w:pPr>
    </w:p>
    <w:p w14:paraId="534A43F9" w14:textId="586E622D" w:rsidR="0047178E" w:rsidRDefault="0047178E" w:rsidP="0047178E">
      <w:pPr>
        <w:spacing w:after="0" w:line="240" w:lineRule="auto"/>
        <w:jc w:val="both"/>
        <w:rPr>
          <w:rFonts w:ascii="Times New Roman" w:hAnsi="Times New Roman" w:cs="Times New Roman"/>
          <w:b/>
          <w:sz w:val="24"/>
          <w:szCs w:val="24"/>
          <w:lang w:val="en-US"/>
        </w:rPr>
      </w:pPr>
    </w:p>
    <w:p w14:paraId="1DB9454C" w14:textId="7EF326F2" w:rsidR="005C54ED" w:rsidRDefault="005C54ED" w:rsidP="0047178E">
      <w:pPr>
        <w:spacing w:after="0" w:line="240" w:lineRule="auto"/>
        <w:jc w:val="both"/>
        <w:rPr>
          <w:rFonts w:ascii="Times New Roman" w:hAnsi="Times New Roman" w:cs="Times New Roman"/>
          <w:b/>
          <w:sz w:val="24"/>
          <w:szCs w:val="24"/>
          <w:lang w:val="en-US"/>
        </w:rPr>
      </w:pPr>
    </w:p>
    <w:p w14:paraId="512A0454" w14:textId="6617B25F" w:rsidR="005C54ED" w:rsidRDefault="005C54ED" w:rsidP="0047178E">
      <w:pPr>
        <w:spacing w:after="0" w:line="240" w:lineRule="auto"/>
        <w:jc w:val="both"/>
        <w:rPr>
          <w:rFonts w:ascii="Times New Roman" w:hAnsi="Times New Roman" w:cs="Times New Roman"/>
          <w:b/>
          <w:sz w:val="24"/>
          <w:szCs w:val="24"/>
          <w:lang w:val="en-US"/>
        </w:rPr>
      </w:pPr>
    </w:p>
    <w:p w14:paraId="3622D2C9" w14:textId="1F639106" w:rsidR="005C54ED" w:rsidRDefault="005C54ED" w:rsidP="0047178E">
      <w:pPr>
        <w:spacing w:after="0" w:line="240" w:lineRule="auto"/>
        <w:jc w:val="both"/>
        <w:rPr>
          <w:rFonts w:ascii="Times New Roman" w:hAnsi="Times New Roman" w:cs="Times New Roman"/>
          <w:b/>
          <w:sz w:val="24"/>
          <w:szCs w:val="24"/>
          <w:lang w:val="en-US"/>
        </w:rPr>
      </w:pPr>
    </w:p>
    <w:p w14:paraId="49BF629A" w14:textId="0745C582" w:rsidR="005C54ED" w:rsidRDefault="005C54ED" w:rsidP="0047178E">
      <w:pPr>
        <w:spacing w:after="0" w:line="240" w:lineRule="auto"/>
        <w:jc w:val="both"/>
        <w:rPr>
          <w:rFonts w:ascii="Times New Roman" w:hAnsi="Times New Roman" w:cs="Times New Roman"/>
          <w:b/>
          <w:sz w:val="24"/>
          <w:szCs w:val="24"/>
          <w:lang w:val="en-US"/>
        </w:rPr>
      </w:pPr>
    </w:p>
    <w:p w14:paraId="1AB6C6AC" w14:textId="7009F3C1" w:rsidR="005C54ED" w:rsidRDefault="005C54ED" w:rsidP="0047178E">
      <w:pPr>
        <w:spacing w:after="0" w:line="240" w:lineRule="auto"/>
        <w:jc w:val="both"/>
        <w:rPr>
          <w:rFonts w:ascii="Times New Roman" w:hAnsi="Times New Roman" w:cs="Times New Roman"/>
          <w:b/>
          <w:sz w:val="24"/>
          <w:szCs w:val="24"/>
          <w:lang w:val="en-US"/>
        </w:rPr>
      </w:pPr>
    </w:p>
    <w:p w14:paraId="48D935A3" w14:textId="0929B2DA" w:rsidR="005C54ED" w:rsidRDefault="005C54ED" w:rsidP="0047178E">
      <w:pPr>
        <w:spacing w:after="0" w:line="240" w:lineRule="auto"/>
        <w:jc w:val="both"/>
        <w:rPr>
          <w:rFonts w:ascii="Times New Roman" w:hAnsi="Times New Roman" w:cs="Times New Roman"/>
          <w:b/>
          <w:sz w:val="24"/>
          <w:szCs w:val="24"/>
          <w:lang w:val="en-US"/>
        </w:rPr>
      </w:pPr>
    </w:p>
    <w:p w14:paraId="1FBEF9FD" w14:textId="58E969F4" w:rsidR="005C54ED" w:rsidRDefault="005C54ED" w:rsidP="0047178E">
      <w:pPr>
        <w:spacing w:after="0" w:line="240" w:lineRule="auto"/>
        <w:jc w:val="both"/>
        <w:rPr>
          <w:rFonts w:ascii="Times New Roman" w:hAnsi="Times New Roman" w:cs="Times New Roman"/>
          <w:b/>
          <w:sz w:val="24"/>
          <w:szCs w:val="24"/>
          <w:lang w:val="en-US"/>
        </w:rPr>
      </w:pPr>
    </w:p>
    <w:p w14:paraId="0D92AB22" w14:textId="535807FE" w:rsidR="005C54ED" w:rsidRDefault="005C54ED" w:rsidP="0047178E">
      <w:pPr>
        <w:spacing w:after="0" w:line="240" w:lineRule="auto"/>
        <w:jc w:val="both"/>
        <w:rPr>
          <w:rFonts w:ascii="Times New Roman" w:hAnsi="Times New Roman" w:cs="Times New Roman"/>
          <w:b/>
          <w:sz w:val="24"/>
          <w:szCs w:val="24"/>
          <w:lang w:val="en-US"/>
        </w:rPr>
      </w:pPr>
    </w:p>
    <w:p w14:paraId="73376E11" w14:textId="0E5F3D04" w:rsidR="005C54ED" w:rsidRDefault="005C54ED" w:rsidP="0047178E">
      <w:pPr>
        <w:spacing w:after="0" w:line="240" w:lineRule="auto"/>
        <w:jc w:val="both"/>
        <w:rPr>
          <w:rFonts w:ascii="Times New Roman" w:hAnsi="Times New Roman" w:cs="Times New Roman"/>
          <w:b/>
          <w:sz w:val="24"/>
          <w:szCs w:val="24"/>
          <w:lang w:val="en-US"/>
        </w:rPr>
      </w:pPr>
    </w:p>
    <w:p w14:paraId="29323CE0" w14:textId="5B539E67" w:rsidR="005C54ED" w:rsidRPr="0047178E" w:rsidRDefault="005C54ED" w:rsidP="0047178E">
      <w:pPr>
        <w:spacing w:after="0" w:line="240" w:lineRule="auto"/>
        <w:jc w:val="both"/>
        <w:rPr>
          <w:rFonts w:ascii="Times New Roman" w:hAnsi="Times New Roman" w:cs="Times New Roman"/>
          <w:b/>
          <w:sz w:val="24"/>
          <w:szCs w:val="24"/>
          <w:lang w:val="en-US"/>
        </w:rPr>
      </w:pPr>
    </w:p>
    <w:p w14:paraId="0D10557C" w14:textId="77777777" w:rsidR="00170AE3" w:rsidRPr="0047178E" w:rsidRDefault="00170AE3" w:rsidP="0047178E">
      <w:pPr>
        <w:pStyle w:val="PargrafodaLista"/>
        <w:spacing w:after="0" w:line="240" w:lineRule="auto"/>
        <w:ind w:left="0" w:firstLine="567"/>
        <w:jc w:val="both"/>
        <w:rPr>
          <w:rFonts w:ascii="Times New Roman" w:hAnsi="Times New Roman" w:cs="Times New Roman"/>
          <w:b/>
          <w:sz w:val="24"/>
          <w:szCs w:val="24"/>
          <w:lang w:val="en-US"/>
        </w:rPr>
      </w:pPr>
      <w:r w:rsidRPr="0047178E">
        <w:rPr>
          <w:rFonts w:ascii="Times New Roman" w:hAnsi="Times New Roman" w:cs="Times New Roman"/>
          <w:b/>
          <w:sz w:val="24"/>
          <w:szCs w:val="24"/>
          <w:lang w:val="en-US"/>
        </w:rPr>
        <w:lastRenderedPageBreak/>
        <w:t xml:space="preserve">                  </w:t>
      </w:r>
      <w:r w:rsidR="00203D6C" w:rsidRPr="0047178E">
        <w:rPr>
          <w:rFonts w:ascii="Times New Roman" w:hAnsi="Times New Roman" w:cs="Times New Roman"/>
          <w:b/>
          <w:sz w:val="24"/>
          <w:szCs w:val="24"/>
          <w:lang w:val="en-US"/>
        </w:rPr>
        <w:t xml:space="preserve">           Table 4: Tariff preference to Brazilian exports</w:t>
      </w:r>
    </w:p>
    <w:p w14:paraId="46AC409A" w14:textId="77777777" w:rsidR="00203D6C" w:rsidRPr="0047178E" w:rsidRDefault="00203D6C" w:rsidP="0047178E">
      <w:pPr>
        <w:pStyle w:val="PargrafodaLista"/>
        <w:spacing w:after="0" w:line="240" w:lineRule="auto"/>
        <w:ind w:left="0" w:firstLine="567"/>
        <w:jc w:val="both"/>
        <w:rPr>
          <w:rFonts w:ascii="Times New Roman" w:hAnsi="Times New Roman" w:cs="Times New Roman"/>
          <w:b/>
          <w:sz w:val="24"/>
          <w:szCs w:val="24"/>
          <w:lang w:val="en-US"/>
        </w:rPr>
      </w:pPr>
      <w:r w:rsidRPr="0047178E">
        <w:rPr>
          <w:rFonts w:ascii="Times New Roman" w:hAnsi="Times New Roman" w:cs="Times New Roman"/>
          <w:noProof/>
          <w:spacing w:val="-4"/>
          <w:sz w:val="24"/>
          <w:szCs w:val="24"/>
          <w:lang w:eastAsia="pt-BR"/>
        </w:rPr>
        <w:drawing>
          <wp:inline distT="0" distB="0" distL="0" distR="0" wp14:anchorId="2D8EB4C9" wp14:editId="56BA4F98">
            <wp:extent cx="5398770" cy="227501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8486" b="1"/>
                    <a:stretch/>
                  </pic:blipFill>
                  <pic:spPr bwMode="auto">
                    <a:xfrm>
                      <a:off x="0" y="0"/>
                      <a:ext cx="5400040" cy="2275553"/>
                    </a:xfrm>
                    <a:prstGeom prst="rect">
                      <a:avLst/>
                    </a:prstGeom>
                    <a:noFill/>
                    <a:ln>
                      <a:noFill/>
                    </a:ln>
                    <a:extLst>
                      <a:ext uri="{53640926-AAD7-44d8-BBD7-CCE9431645EC}">
                        <a14:shadowObscured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9372385" w14:textId="77777777" w:rsidR="00EF0A3B" w:rsidRPr="0047178E" w:rsidRDefault="00EF0A3B"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From the facts mentioned above, it is observed that Brazil has two major challenges when it comes to international trade agreements. The first is to advance in the themes brought forth by them so that they are not limited to tariff liberalization and other issues already covered in the scope of the WTO. The second challenge is to maintain (in the case of regional integration) and expand (in the case of extra-regional integration) the condition of the tariff preference granted to Brazil. </w:t>
      </w:r>
    </w:p>
    <w:p w14:paraId="335A7B69" w14:textId="44D247E4" w:rsidR="00EF0A3B" w:rsidRPr="0047178E" w:rsidRDefault="00EA5C5D"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z w:val="24"/>
          <w:szCs w:val="24"/>
          <w:lang w:val="en-US"/>
        </w:rPr>
        <w:t xml:space="preserve">It is relevant to consider that taking part </w:t>
      </w:r>
      <w:r w:rsidR="005B25E4" w:rsidRPr="0047178E">
        <w:rPr>
          <w:rFonts w:ascii="Times New Roman" w:hAnsi="Times New Roman" w:cs="Times New Roman"/>
          <w:sz w:val="24"/>
          <w:szCs w:val="24"/>
          <w:lang w:val="en-US"/>
        </w:rPr>
        <w:t xml:space="preserve">in international agreements may </w:t>
      </w:r>
      <w:r w:rsidRPr="0047178E">
        <w:rPr>
          <w:rFonts w:ascii="Times New Roman" w:hAnsi="Times New Roman" w:cs="Times New Roman"/>
          <w:sz w:val="24"/>
          <w:szCs w:val="24"/>
          <w:lang w:val="en-US"/>
        </w:rPr>
        <w:t xml:space="preserve">represent limitations for the country when it comes to implementing more dashing foreign policies. </w:t>
      </w:r>
      <w:r w:rsidR="005B25E4" w:rsidRPr="0047178E">
        <w:rPr>
          <w:rFonts w:ascii="Times New Roman" w:hAnsi="Times New Roman" w:cs="Times New Roman"/>
          <w:sz w:val="24"/>
          <w:szCs w:val="24"/>
          <w:lang w:val="en-US"/>
        </w:rPr>
        <w:t>However, i</w:t>
      </w:r>
      <w:r w:rsidRPr="0047178E">
        <w:rPr>
          <w:rFonts w:ascii="Times New Roman" w:hAnsi="Times New Roman" w:cs="Times New Roman"/>
          <w:sz w:val="24"/>
          <w:szCs w:val="24"/>
          <w:lang w:val="en-US"/>
        </w:rPr>
        <w:t xml:space="preserve">n terms of GVC </w:t>
      </w:r>
      <w:r w:rsidR="005B25E4" w:rsidRPr="0047178E">
        <w:rPr>
          <w:rFonts w:ascii="Times New Roman" w:hAnsi="Times New Roman" w:cs="Times New Roman"/>
          <w:sz w:val="24"/>
          <w:szCs w:val="24"/>
          <w:lang w:val="en-US"/>
        </w:rPr>
        <w:t xml:space="preserve">participation </w:t>
      </w:r>
      <w:r w:rsidRPr="0047178E">
        <w:rPr>
          <w:rFonts w:ascii="Times New Roman" w:hAnsi="Times New Roman" w:cs="Times New Roman"/>
          <w:sz w:val="24"/>
          <w:szCs w:val="24"/>
          <w:lang w:val="en-US"/>
        </w:rPr>
        <w:t xml:space="preserve">and </w:t>
      </w:r>
      <w:r w:rsidR="005B25E4" w:rsidRPr="0047178E">
        <w:rPr>
          <w:rFonts w:ascii="Times New Roman" w:hAnsi="Times New Roman" w:cs="Times New Roman"/>
          <w:sz w:val="24"/>
          <w:szCs w:val="24"/>
          <w:lang w:val="en-US"/>
        </w:rPr>
        <w:t>economic competitiveness</w:t>
      </w:r>
      <w:r w:rsidR="00A7215B" w:rsidRPr="0047178E">
        <w:rPr>
          <w:rFonts w:ascii="Times New Roman" w:hAnsi="Times New Roman" w:cs="Times New Roman"/>
          <w:sz w:val="24"/>
          <w:szCs w:val="24"/>
          <w:lang w:val="en-US"/>
        </w:rPr>
        <w:t>,</w:t>
      </w:r>
      <w:r w:rsidR="005B25E4" w:rsidRPr="0047178E">
        <w:rPr>
          <w:rFonts w:ascii="Times New Roman" w:hAnsi="Times New Roman" w:cs="Times New Roman"/>
          <w:sz w:val="24"/>
          <w:szCs w:val="24"/>
          <w:lang w:val="en-US"/>
        </w:rPr>
        <w:t xml:space="preserve"> </w:t>
      </w:r>
      <w:r w:rsidR="00A7215B" w:rsidRPr="0047178E">
        <w:rPr>
          <w:rFonts w:ascii="Times New Roman" w:hAnsi="Times New Roman" w:cs="Times New Roman"/>
          <w:sz w:val="24"/>
          <w:szCs w:val="24"/>
          <w:lang w:val="en-US"/>
        </w:rPr>
        <w:t>failure to</w:t>
      </w:r>
      <w:r w:rsidRPr="0047178E">
        <w:rPr>
          <w:rFonts w:ascii="Times New Roman" w:hAnsi="Times New Roman" w:cs="Times New Roman"/>
          <w:sz w:val="24"/>
          <w:szCs w:val="24"/>
          <w:lang w:val="en-US"/>
        </w:rPr>
        <w:t xml:space="preserve"> overcom</w:t>
      </w:r>
      <w:r w:rsidR="00A7215B" w:rsidRPr="0047178E">
        <w:rPr>
          <w:rFonts w:ascii="Times New Roman" w:hAnsi="Times New Roman" w:cs="Times New Roman"/>
          <w:sz w:val="24"/>
          <w:szCs w:val="24"/>
          <w:lang w:val="en-US"/>
        </w:rPr>
        <w:t>e</w:t>
      </w:r>
      <w:r w:rsidRPr="0047178E">
        <w:rPr>
          <w:rFonts w:ascii="Times New Roman" w:hAnsi="Times New Roman" w:cs="Times New Roman"/>
          <w:sz w:val="24"/>
          <w:szCs w:val="24"/>
          <w:lang w:val="en-US"/>
        </w:rPr>
        <w:t xml:space="preserve"> these challenges may result in significant risks.</w:t>
      </w:r>
      <w:r w:rsidR="00EF0A3B" w:rsidRPr="0047178E">
        <w:rPr>
          <w:rFonts w:ascii="Times New Roman" w:hAnsi="Times New Roman" w:cs="Times New Roman"/>
          <w:sz w:val="24"/>
          <w:szCs w:val="24"/>
          <w:lang w:val="en-US"/>
        </w:rPr>
        <w:t xml:space="preserve"> </w:t>
      </w:r>
      <w:r w:rsidR="00EF0A3B" w:rsidRPr="0047178E">
        <w:rPr>
          <w:rFonts w:ascii="Times New Roman" w:hAnsi="Times New Roman" w:cs="Times New Roman"/>
          <w:spacing w:val="-4"/>
          <w:sz w:val="24"/>
          <w:szCs w:val="24"/>
          <w:lang w:val="en-US"/>
        </w:rPr>
        <w:t>In Latin America, despite relevant preferences given to Brazil in a region whose participation in the Brazilian trade agenda is of major importance, the proliferation of PTAs involving Latin American countries, but without the participation of Brazil, threatens to undermine Brazil’s tariff preferences. It is noteworthy that the loss of preference in these markets may have a negative impact on the Brazilian manufacturing sector, considering that approximately 77% of Brazilian exports to Latin America are precisely those same manufactured products (MDIC).</w:t>
      </w:r>
    </w:p>
    <w:p w14:paraId="14DA3CC0" w14:textId="66688950" w:rsidR="00055886" w:rsidRPr="0047178E" w:rsidRDefault="00EF0A3B" w:rsidP="0047178E">
      <w:pPr>
        <w:autoSpaceDE w:val="0"/>
        <w:autoSpaceDN w:val="0"/>
        <w:adjustRightInd w:val="0"/>
        <w:spacing w:after="0" w:line="240" w:lineRule="auto"/>
        <w:ind w:firstLine="567"/>
        <w:jc w:val="both"/>
        <w:rPr>
          <w:rFonts w:ascii="Times New Roman" w:hAnsi="Times New Roman" w:cs="Times New Roman"/>
          <w:sz w:val="24"/>
          <w:szCs w:val="24"/>
          <w:lang w:val="en-US"/>
        </w:rPr>
      </w:pPr>
      <w:r w:rsidRPr="0047178E">
        <w:rPr>
          <w:rFonts w:ascii="Times New Roman" w:hAnsi="Times New Roman" w:cs="Times New Roman"/>
          <w:color w:val="000000" w:themeColor="text1"/>
          <w:spacing w:val="-4"/>
          <w:sz w:val="24"/>
          <w:szCs w:val="24"/>
          <w:lang w:val="en-US"/>
        </w:rPr>
        <w:t xml:space="preserve">Within the extra-regional scope, the overall risk arising from the isolation is, in addition to the tariff competitive disadvantages, that the country also bears the burden of identifying and complying with the various regulatory subsystems brought upon by these new agreements, while the exporters who wish to access the Brazilian market may do so by relying on the multilateral rules (Thorstensen, V. et al., 2013). </w:t>
      </w:r>
      <w:r w:rsidR="00EA5C5D" w:rsidRPr="0047178E">
        <w:rPr>
          <w:rFonts w:ascii="Times New Roman" w:hAnsi="Times New Roman" w:cs="Times New Roman"/>
          <w:sz w:val="24"/>
          <w:szCs w:val="24"/>
          <w:lang w:val="en-US"/>
        </w:rPr>
        <w:t xml:space="preserve">Additionally, </w:t>
      </w:r>
      <w:r w:rsidR="005A1BBB" w:rsidRPr="0047178E">
        <w:rPr>
          <w:rFonts w:ascii="Times New Roman" w:hAnsi="Times New Roman" w:cs="Times New Roman"/>
          <w:sz w:val="24"/>
          <w:szCs w:val="24"/>
          <w:lang w:val="en-US"/>
        </w:rPr>
        <w:t>due to the fact that the rules established through PTAs may end up creating the bases for future multilateral negotiations, there is a chance that Brazilian non-participation in the negotiation process of this new regulation may hinder the country’s ability to enforce its interests when the discussion achieves the multilateral scope.</w:t>
      </w:r>
    </w:p>
    <w:p w14:paraId="5368B72D" w14:textId="77777777" w:rsidR="005A1BBB" w:rsidRPr="0047178E" w:rsidRDefault="005A1BBB" w:rsidP="0047178E">
      <w:pPr>
        <w:autoSpaceDE w:val="0"/>
        <w:autoSpaceDN w:val="0"/>
        <w:adjustRightInd w:val="0"/>
        <w:spacing w:after="0" w:line="240" w:lineRule="auto"/>
        <w:ind w:firstLine="567"/>
        <w:jc w:val="both"/>
        <w:rPr>
          <w:rFonts w:ascii="Times New Roman" w:hAnsi="Times New Roman" w:cs="Times New Roman"/>
          <w:sz w:val="24"/>
          <w:szCs w:val="24"/>
          <w:lang w:val="en-US"/>
        </w:rPr>
      </w:pPr>
    </w:p>
    <w:p w14:paraId="13594D3F" w14:textId="4DBE6FE1" w:rsidR="000922A6" w:rsidRPr="0047178E" w:rsidRDefault="000B1E64" w:rsidP="0047178E">
      <w:pPr>
        <w:pStyle w:val="PargrafodaLista"/>
        <w:spacing w:after="0" w:line="240" w:lineRule="auto"/>
        <w:ind w:left="567"/>
        <w:jc w:val="both"/>
        <w:rPr>
          <w:rFonts w:ascii="Times New Roman" w:hAnsi="Times New Roman" w:cs="Times New Roman"/>
          <w:b/>
          <w:bCs/>
          <w:sz w:val="24"/>
          <w:szCs w:val="24"/>
          <w:lang w:val="en-US"/>
        </w:rPr>
      </w:pPr>
      <w:r w:rsidRPr="0047178E">
        <w:rPr>
          <w:rFonts w:ascii="Times New Roman" w:hAnsi="Times New Roman" w:cs="Times New Roman"/>
          <w:b/>
          <w:bCs/>
          <w:sz w:val="24"/>
          <w:szCs w:val="24"/>
          <w:lang w:val="en-US"/>
        </w:rPr>
        <w:t>4</w:t>
      </w:r>
      <w:r w:rsidR="000922A6" w:rsidRPr="0047178E">
        <w:rPr>
          <w:rFonts w:ascii="Times New Roman" w:hAnsi="Times New Roman" w:cs="Times New Roman"/>
          <w:b/>
          <w:bCs/>
          <w:sz w:val="24"/>
          <w:szCs w:val="24"/>
          <w:lang w:val="en-US"/>
        </w:rPr>
        <w:t>.</w:t>
      </w:r>
      <w:r w:rsidRPr="0047178E">
        <w:rPr>
          <w:rFonts w:ascii="Times New Roman" w:hAnsi="Times New Roman" w:cs="Times New Roman"/>
          <w:b/>
          <w:bCs/>
          <w:sz w:val="24"/>
          <w:szCs w:val="24"/>
          <w:lang w:val="en-US"/>
        </w:rPr>
        <w:t xml:space="preserve">7 </w:t>
      </w:r>
      <w:r w:rsidR="00BF44E9" w:rsidRPr="0047178E">
        <w:rPr>
          <w:rFonts w:ascii="Times New Roman" w:hAnsi="Times New Roman" w:cs="Times New Roman"/>
          <w:b/>
          <w:bCs/>
          <w:sz w:val="24"/>
          <w:szCs w:val="24"/>
          <w:lang w:val="en-US"/>
        </w:rPr>
        <w:t>The regional factor</w:t>
      </w:r>
      <w:r w:rsidR="000922A6" w:rsidRPr="0047178E">
        <w:rPr>
          <w:rFonts w:ascii="Times New Roman" w:hAnsi="Times New Roman" w:cs="Times New Roman"/>
          <w:b/>
          <w:bCs/>
          <w:sz w:val="24"/>
          <w:szCs w:val="24"/>
          <w:lang w:val="en-US"/>
        </w:rPr>
        <w:t xml:space="preserve"> </w:t>
      </w:r>
      <w:r w:rsidR="00BF44E9" w:rsidRPr="0047178E">
        <w:rPr>
          <w:rFonts w:ascii="Times New Roman" w:hAnsi="Times New Roman" w:cs="Times New Roman"/>
          <w:b/>
          <w:bCs/>
          <w:sz w:val="24"/>
          <w:szCs w:val="24"/>
          <w:lang w:val="en-US"/>
        </w:rPr>
        <w:t>–</w:t>
      </w:r>
      <w:r w:rsidR="000922A6" w:rsidRPr="0047178E">
        <w:rPr>
          <w:rFonts w:ascii="Times New Roman" w:hAnsi="Times New Roman" w:cs="Times New Roman"/>
          <w:b/>
          <w:bCs/>
          <w:sz w:val="24"/>
          <w:szCs w:val="24"/>
          <w:lang w:val="en-US"/>
        </w:rPr>
        <w:t xml:space="preserve"> </w:t>
      </w:r>
      <w:r w:rsidR="00BF44E9" w:rsidRPr="0047178E">
        <w:rPr>
          <w:rFonts w:ascii="Times New Roman" w:hAnsi="Times New Roman" w:cs="Times New Roman"/>
          <w:b/>
          <w:bCs/>
          <w:sz w:val="24"/>
          <w:szCs w:val="24"/>
          <w:lang w:val="en-US"/>
        </w:rPr>
        <w:t xml:space="preserve">the low </w:t>
      </w:r>
      <w:r w:rsidR="0055163B" w:rsidRPr="0047178E">
        <w:rPr>
          <w:rFonts w:ascii="Times New Roman" w:hAnsi="Times New Roman" w:cs="Times New Roman"/>
          <w:b/>
          <w:bCs/>
          <w:sz w:val="24"/>
          <w:szCs w:val="24"/>
          <w:lang w:val="en-US"/>
        </w:rPr>
        <w:t>commercial</w:t>
      </w:r>
      <w:r w:rsidR="00BF44E9" w:rsidRPr="0047178E">
        <w:rPr>
          <w:rFonts w:ascii="Times New Roman" w:hAnsi="Times New Roman" w:cs="Times New Roman"/>
          <w:b/>
          <w:bCs/>
          <w:sz w:val="24"/>
          <w:szCs w:val="24"/>
          <w:lang w:val="en-US"/>
        </w:rPr>
        <w:t xml:space="preserve"> and productive integration in Latin America and the Caribbean </w:t>
      </w:r>
    </w:p>
    <w:p w14:paraId="63F525E7" w14:textId="417C1240" w:rsidR="00A52EB1" w:rsidRPr="0047178E" w:rsidRDefault="00A52EB1" w:rsidP="0047178E">
      <w:pPr>
        <w:autoSpaceDE w:val="0"/>
        <w:autoSpaceDN w:val="0"/>
        <w:adjustRightInd w:val="0"/>
        <w:spacing w:after="0" w:line="240" w:lineRule="auto"/>
        <w:ind w:firstLine="567"/>
        <w:jc w:val="both"/>
        <w:rPr>
          <w:rFonts w:ascii="Times New Roman" w:hAnsi="Times New Roman" w:cs="Times New Roman"/>
          <w:sz w:val="24"/>
          <w:szCs w:val="24"/>
          <w:lang w:val="en-US"/>
        </w:rPr>
      </w:pPr>
      <w:r w:rsidRPr="0047178E">
        <w:rPr>
          <w:rFonts w:ascii="Times New Roman" w:hAnsi="Times New Roman" w:cs="Times New Roman"/>
          <w:spacing w:val="-4"/>
          <w:sz w:val="24"/>
          <w:szCs w:val="24"/>
          <w:lang w:val="en-US"/>
        </w:rPr>
        <w:t xml:space="preserve">As explained in section 2, GVCs are currently formed primarily at the regional level. LAC, however, has a low productive integration, with negative impacts on </w:t>
      </w:r>
      <w:r w:rsidR="0055163B" w:rsidRPr="0047178E">
        <w:rPr>
          <w:rFonts w:ascii="Times New Roman" w:hAnsi="Times New Roman" w:cs="Times New Roman"/>
          <w:spacing w:val="-4"/>
          <w:sz w:val="24"/>
          <w:szCs w:val="24"/>
          <w:lang w:val="en-US"/>
        </w:rPr>
        <w:t xml:space="preserve">the </w:t>
      </w:r>
      <w:r w:rsidRPr="0047178E">
        <w:rPr>
          <w:rFonts w:ascii="Times New Roman" w:hAnsi="Times New Roman" w:cs="Times New Roman"/>
          <w:spacing w:val="-4"/>
          <w:sz w:val="24"/>
          <w:szCs w:val="24"/>
          <w:lang w:val="en-US"/>
        </w:rPr>
        <w:t>GVC engagement of Brazil and other countries from the region</w:t>
      </w:r>
      <w:r w:rsidRPr="0047178E">
        <w:rPr>
          <w:rStyle w:val="Refdenotaderodap"/>
          <w:spacing w:val="-4"/>
          <w:sz w:val="24"/>
          <w:szCs w:val="24"/>
          <w:lang w:val="en-US"/>
        </w:rPr>
        <w:footnoteReference w:id="3"/>
      </w:r>
      <w:r w:rsidRPr="0047178E">
        <w:rPr>
          <w:rFonts w:ascii="Times New Roman" w:hAnsi="Times New Roman" w:cs="Times New Roman"/>
          <w:spacing w:val="-4"/>
          <w:sz w:val="24"/>
          <w:szCs w:val="24"/>
          <w:lang w:val="en-US"/>
        </w:rPr>
        <w:t xml:space="preserve">. Two main factors explain this weak productive integration: </w:t>
      </w:r>
      <w:r w:rsidR="005A1BBB" w:rsidRPr="0047178E">
        <w:rPr>
          <w:rFonts w:ascii="Times New Roman" w:hAnsi="Times New Roman" w:cs="Times New Roman"/>
          <w:spacing w:val="-4"/>
          <w:sz w:val="24"/>
          <w:szCs w:val="24"/>
          <w:lang w:val="en-US"/>
        </w:rPr>
        <w:t xml:space="preserve">(I) </w:t>
      </w:r>
      <w:r w:rsidRPr="0047178E">
        <w:rPr>
          <w:rFonts w:ascii="Times New Roman" w:hAnsi="Times New Roman" w:cs="Times New Roman"/>
          <w:spacing w:val="-4"/>
          <w:sz w:val="24"/>
          <w:szCs w:val="24"/>
          <w:lang w:val="en-US"/>
        </w:rPr>
        <w:t xml:space="preserve">the low level of trade complementarity between countries in the region, </w:t>
      </w:r>
      <w:r w:rsidR="00EA5C5D" w:rsidRPr="0047178E">
        <w:rPr>
          <w:rFonts w:ascii="Times New Roman" w:hAnsi="Times New Roman" w:cs="Times New Roman"/>
          <w:sz w:val="24"/>
          <w:szCs w:val="24"/>
          <w:lang w:val="en-US"/>
        </w:rPr>
        <w:t>result</w:t>
      </w:r>
      <w:r w:rsidR="005A1BBB" w:rsidRPr="0047178E">
        <w:rPr>
          <w:rFonts w:ascii="Times New Roman" w:hAnsi="Times New Roman" w:cs="Times New Roman"/>
          <w:sz w:val="24"/>
          <w:szCs w:val="24"/>
          <w:lang w:val="en-US"/>
        </w:rPr>
        <w:t xml:space="preserve">ing especially from the common supply of raw materials and </w:t>
      </w:r>
      <w:r w:rsidR="00EA5C5D" w:rsidRPr="0047178E">
        <w:rPr>
          <w:rFonts w:ascii="Times New Roman" w:hAnsi="Times New Roman" w:cs="Times New Roman"/>
          <w:sz w:val="24"/>
          <w:szCs w:val="24"/>
          <w:lang w:val="en-US"/>
        </w:rPr>
        <w:t xml:space="preserve">the lack of </w:t>
      </w:r>
      <w:r w:rsidR="005A1BBB" w:rsidRPr="0047178E">
        <w:rPr>
          <w:rFonts w:ascii="Times New Roman" w:hAnsi="Times New Roman" w:cs="Times New Roman"/>
          <w:sz w:val="24"/>
          <w:szCs w:val="24"/>
          <w:lang w:val="en-US"/>
        </w:rPr>
        <w:t xml:space="preserve">a regional manufacturing </w:t>
      </w:r>
      <w:r w:rsidR="003A1848" w:rsidRPr="0047178E">
        <w:rPr>
          <w:rFonts w:ascii="Times New Roman" w:hAnsi="Times New Roman" w:cs="Times New Roman"/>
          <w:sz w:val="24"/>
          <w:szCs w:val="24"/>
          <w:lang w:val="en-US"/>
        </w:rPr>
        <w:t>hub</w:t>
      </w:r>
      <w:r w:rsidR="005A1BBB" w:rsidRPr="0047178E">
        <w:rPr>
          <w:rFonts w:ascii="Times New Roman" w:hAnsi="Times New Roman" w:cs="Times New Roman"/>
          <w:sz w:val="24"/>
          <w:szCs w:val="24"/>
          <w:lang w:val="en-US"/>
        </w:rPr>
        <w:t>;</w:t>
      </w:r>
      <w:r w:rsidR="00EA5C5D" w:rsidRPr="0047178E">
        <w:rPr>
          <w:rFonts w:ascii="Times New Roman" w:hAnsi="Times New Roman" w:cs="Times New Roman"/>
          <w:sz w:val="24"/>
          <w:szCs w:val="24"/>
          <w:lang w:val="en-US"/>
        </w:rPr>
        <w:t xml:space="preserve"> </w:t>
      </w:r>
      <w:r w:rsidR="005A1BBB" w:rsidRPr="0047178E">
        <w:rPr>
          <w:rFonts w:ascii="Times New Roman" w:hAnsi="Times New Roman" w:cs="Times New Roman"/>
          <w:sz w:val="24"/>
          <w:szCs w:val="24"/>
          <w:lang w:val="en-US"/>
        </w:rPr>
        <w:t xml:space="preserve">and (II) </w:t>
      </w:r>
      <w:r w:rsidR="00EA5C5D" w:rsidRPr="0047178E">
        <w:rPr>
          <w:rFonts w:ascii="Times New Roman" w:hAnsi="Times New Roman" w:cs="Times New Roman"/>
          <w:sz w:val="24"/>
          <w:szCs w:val="24"/>
          <w:lang w:val="en-US"/>
        </w:rPr>
        <w:t>the weaknesses related to commercial and economic integration agreements in LAC.</w:t>
      </w:r>
    </w:p>
    <w:p w14:paraId="4EBBFBB7" w14:textId="233415CF" w:rsidR="00EF0A3B" w:rsidRPr="0047178E" w:rsidRDefault="009A2F20"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Regarding the first factor, given the abundance of natural resources typical of Latin American countries and the resulting comparative advantage in the production of primary goods, it is possible to </w:t>
      </w:r>
      <w:r w:rsidRPr="0047178E">
        <w:rPr>
          <w:rFonts w:ascii="Times New Roman" w:hAnsi="Times New Roman" w:cs="Times New Roman"/>
          <w:sz w:val="24"/>
          <w:szCs w:val="24"/>
          <w:lang w:val="en-US"/>
        </w:rPr>
        <w:lastRenderedPageBreak/>
        <w:t xml:space="preserve">verify the existence of a common </w:t>
      </w:r>
      <w:r w:rsidR="005A1BBB" w:rsidRPr="0047178E">
        <w:rPr>
          <w:rFonts w:ascii="Times New Roman" w:hAnsi="Times New Roman" w:cs="Times New Roman"/>
          <w:sz w:val="24"/>
          <w:szCs w:val="24"/>
          <w:lang w:val="en-US"/>
        </w:rPr>
        <w:t>supply of raw materials</w:t>
      </w:r>
      <w:r w:rsidRPr="0047178E">
        <w:rPr>
          <w:rFonts w:ascii="Times New Roman" w:hAnsi="Times New Roman" w:cs="Times New Roman"/>
          <w:sz w:val="24"/>
          <w:szCs w:val="24"/>
          <w:lang w:val="en-US"/>
        </w:rPr>
        <w:t xml:space="preserve"> </w:t>
      </w:r>
      <w:r w:rsidR="005A1BBB" w:rsidRPr="0047178E">
        <w:rPr>
          <w:rFonts w:ascii="Times New Roman" w:hAnsi="Times New Roman" w:cs="Times New Roman"/>
          <w:sz w:val="24"/>
          <w:szCs w:val="24"/>
          <w:lang w:val="en-US"/>
        </w:rPr>
        <w:t>among</w:t>
      </w:r>
      <w:r w:rsidRPr="0047178E">
        <w:rPr>
          <w:rFonts w:ascii="Times New Roman" w:hAnsi="Times New Roman" w:cs="Times New Roman"/>
          <w:sz w:val="24"/>
          <w:szCs w:val="24"/>
          <w:lang w:val="en-US"/>
        </w:rPr>
        <w:t xml:space="preserve"> Brazil and other South American countries. That </w:t>
      </w:r>
      <w:r w:rsidR="003A1848" w:rsidRPr="0047178E">
        <w:rPr>
          <w:rFonts w:ascii="Times New Roman" w:hAnsi="Times New Roman" w:cs="Times New Roman"/>
          <w:sz w:val="24"/>
          <w:szCs w:val="24"/>
          <w:lang w:val="en-US"/>
        </w:rPr>
        <w:t>is observed together with</w:t>
      </w:r>
      <w:r w:rsidRPr="0047178E">
        <w:rPr>
          <w:rFonts w:ascii="Times New Roman" w:hAnsi="Times New Roman" w:cs="Times New Roman"/>
          <w:sz w:val="24"/>
          <w:szCs w:val="24"/>
          <w:lang w:val="en-US"/>
        </w:rPr>
        <w:t xml:space="preserve"> low industrialization rates, a deindustrialization trend, </w:t>
      </w:r>
      <w:r w:rsidR="003A1848" w:rsidRPr="0047178E">
        <w:rPr>
          <w:rFonts w:ascii="Times New Roman" w:hAnsi="Times New Roman" w:cs="Times New Roman"/>
          <w:sz w:val="24"/>
          <w:szCs w:val="24"/>
          <w:lang w:val="en-US"/>
        </w:rPr>
        <w:t xml:space="preserve">as well as </w:t>
      </w:r>
      <w:r w:rsidR="0055163B" w:rsidRPr="0047178E">
        <w:rPr>
          <w:rFonts w:ascii="Times New Roman" w:hAnsi="Times New Roman" w:cs="Times New Roman"/>
          <w:sz w:val="24"/>
          <w:szCs w:val="24"/>
          <w:lang w:val="en-US"/>
        </w:rPr>
        <w:t xml:space="preserve">the </w:t>
      </w:r>
      <w:r w:rsidRPr="0047178E">
        <w:rPr>
          <w:rFonts w:ascii="Times New Roman" w:hAnsi="Times New Roman" w:cs="Times New Roman"/>
          <w:sz w:val="24"/>
          <w:szCs w:val="24"/>
          <w:lang w:val="en-US"/>
        </w:rPr>
        <w:t xml:space="preserve">lack of a broad network to trade manufactured goods and of a manufacturing </w:t>
      </w:r>
      <w:r w:rsidR="003A1848" w:rsidRPr="0047178E">
        <w:rPr>
          <w:rFonts w:ascii="Times New Roman" w:hAnsi="Times New Roman" w:cs="Times New Roman"/>
          <w:sz w:val="24"/>
          <w:szCs w:val="24"/>
          <w:lang w:val="en-US"/>
        </w:rPr>
        <w:t>hub</w:t>
      </w:r>
      <w:r w:rsidRPr="0047178E">
        <w:rPr>
          <w:rFonts w:ascii="Times New Roman" w:hAnsi="Times New Roman" w:cs="Times New Roman"/>
          <w:sz w:val="24"/>
          <w:szCs w:val="24"/>
          <w:lang w:val="en-US"/>
        </w:rPr>
        <w:t xml:space="preserve"> that </w:t>
      </w:r>
      <w:r w:rsidR="003A1848" w:rsidRPr="0047178E">
        <w:rPr>
          <w:rFonts w:ascii="Times New Roman" w:hAnsi="Times New Roman" w:cs="Times New Roman"/>
          <w:sz w:val="24"/>
          <w:szCs w:val="24"/>
          <w:lang w:val="en-US"/>
        </w:rPr>
        <w:t>centralizes</w:t>
      </w:r>
      <w:r w:rsidRPr="0047178E">
        <w:rPr>
          <w:rFonts w:ascii="Times New Roman" w:hAnsi="Times New Roman" w:cs="Times New Roman"/>
          <w:sz w:val="24"/>
          <w:szCs w:val="24"/>
          <w:lang w:val="en-US"/>
        </w:rPr>
        <w:t xml:space="preserve"> the demand for natural resources in the region.</w:t>
      </w:r>
    </w:p>
    <w:p w14:paraId="1CB46B6E" w14:textId="77777777" w:rsidR="00CE6E7F" w:rsidRPr="0047178E" w:rsidRDefault="009A2F20"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z w:val="24"/>
          <w:szCs w:val="24"/>
          <w:lang w:val="en-US"/>
        </w:rPr>
        <w:t>Such scenario has an impact on the low level of trade complementarity in the region</w:t>
      </w:r>
      <w:r w:rsidR="00EF0A3B" w:rsidRPr="0047178E">
        <w:rPr>
          <w:rFonts w:ascii="Times New Roman" w:hAnsi="Times New Roman" w:cs="Times New Roman"/>
          <w:sz w:val="24"/>
          <w:szCs w:val="24"/>
          <w:lang w:val="en-US"/>
        </w:rPr>
        <w:t xml:space="preserve">, </w:t>
      </w:r>
      <w:r w:rsidR="00A52EB1" w:rsidRPr="0047178E">
        <w:rPr>
          <w:rFonts w:ascii="Times New Roman" w:hAnsi="Times New Roman" w:cs="Times New Roman"/>
          <w:sz w:val="24"/>
          <w:szCs w:val="24"/>
          <w:lang w:val="en-US"/>
        </w:rPr>
        <w:t>since</w:t>
      </w:r>
      <w:r w:rsidR="00A52EB1" w:rsidRPr="0047178E">
        <w:rPr>
          <w:rFonts w:ascii="Times New Roman" w:hAnsi="Times New Roman" w:cs="Times New Roman"/>
          <w:spacing w:val="-4"/>
          <w:sz w:val="24"/>
          <w:szCs w:val="24"/>
          <w:lang w:val="en-US"/>
        </w:rPr>
        <w:t xml:space="preserve"> the countries that produce primary products in common tend to have a lower level of fragmentation of production among them. This is explained by the fact that, considering the lower level of processing of primary products compared to manufactured products, the input exchange among its producers becomes relatively less relevant. </w:t>
      </w:r>
    </w:p>
    <w:p w14:paraId="60019AB0" w14:textId="78900F35" w:rsidR="00A52EB1" w:rsidRPr="0047178E" w:rsidRDefault="00CE6E7F"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The low commercial complementarity and weak productive integration is reflected in the low percentage of intraregional trade in LAC as compared to other groups of countries: while in the LAC region, intraregional trade accounts for only 18% of its total exports, this figure escalates to 63% in the European Union and 50% in the ASEAN + 5</w:t>
      </w:r>
      <w:r w:rsidRPr="0047178E">
        <w:rPr>
          <w:rStyle w:val="Refdenotaderodap"/>
          <w:spacing w:val="-4"/>
          <w:sz w:val="24"/>
          <w:szCs w:val="24"/>
          <w:lang w:val="en-US"/>
        </w:rPr>
        <w:footnoteReference w:id="4"/>
      </w:r>
      <w:r w:rsidRPr="0047178E">
        <w:rPr>
          <w:rFonts w:ascii="Times New Roman" w:hAnsi="Times New Roman" w:cs="Times New Roman"/>
          <w:spacing w:val="-4"/>
          <w:sz w:val="24"/>
          <w:szCs w:val="24"/>
          <w:lang w:val="en-US"/>
        </w:rPr>
        <w:t xml:space="preserve"> and NAFTA groups, according to the Economic Commission for Latin America and the Caribbean (ECLAC).</w:t>
      </w:r>
    </w:p>
    <w:p w14:paraId="38983B70" w14:textId="77777777" w:rsidR="00CE6E7F" w:rsidRPr="0047178E" w:rsidRDefault="00CE6E7F"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In addition, the share of parts and components in intraregional trade is only 9% in LAC, significantly below the European Union (17%), ASEAN + 5 (37%) and North American Free Trade Agreement (NAFTA0 (18%), also according to ECLAC. </w:t>
      </w:r>
    </w:p>
    <w:p w14:paraId="432D07F0" w14:textId="77777777" w:rsidR="00EF0A3B" w:rsidRPr="0047178E" w:rsidRDefault="00CE6E7F"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It should be further noted that, as mentioned in the beginning of this section, the physical-natural availability of primary resources in the region is not the only factor that contributes to a low trade complementarity and weak productive integration in the region, but also the absence of a strong manufacturing hub. Unlike the United States in North America, Germany in Europe, and Japan and China in Asia, LAC has no 'headquarter' economies. The presence of a strong manufacturing country can play a key role in creating and promoting trade complementarity and productive integration. This is because their ability to invest in and open subsidiaries in neighboring countries to meet the demand for inputs for the industry can make each country specialize in specific components, exporting these parts to other multinational factories and at the same time importing inputs from them that are not produced domestically.</w:t>
      </w:r>
    </w:p>
    <w:p w14:paraId="31964A45" w14:textId="2FE089AE" w:rsidR="00CE6E7F" w:rsidRPr="0047178E" w:rsidRDefault="00CE6E7F"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pacing w:val="-4"/>
          <w:sz w:val="24"/>
          <w:szCs w:val="24"/>
          <w:lang w:val="en-US"/>
        </w:rPr>
        <w:t>Considering the second factor - trade and econ</w:t>
      </w:r>
      <w:r w:rsidR="00DE06A5" w:rsidRPr="0047178E">
        <w:rPr>
          <w:rFonts w:ascii="Times New Roman" w:hAnsi="Times New Roman" w:cs="Times New Roman"/>
          <w:spacing w:val="-4"/>
          <w:sz w:val="24"/>
          <w:szCs w:val="24"/>
          <w:lang w:val="en-US"/>
        </w:rPr>
        <w:t xml:space="preserve">omic integration agreements -, </w:t>
      </w:r>
      <w:r w:rsidRPr="0047178E">
        <w:rPr>
          <w:rFonts w:ascii="Times New Roman" w:hAnsi="Times New Roman" w:cs="Times New Roman"/>
          <w:spacing w:val="-4"/>
          <w:sz w:val="24"/>
          <w:szCs w:val="24"/>
          <w:lang w:val="en-US"/>
        </w:rPr>
        <w:t xml:space="preserve">LAC countries are not integrated into a regional trade agreement, but rather they are interconnected by a complex web of multiple agreements, each of them with its own trade standards. This can result in variable rules applicable to each country, depending on agreement signed, causing institutional disorder and hindering the productive integration in international chains. </w:t>
      </w:r>
      <w:r w:rsidR="009A2F20" w:rsidRPr="0047178E">
        <w:rPr>
          <w:rFonts w:ascii="Times New Roman" w:hAnsi="Times New Roman" w:cs="Times New Roman"/>
          <w:sz w:val="24"/>
          <w:szCs w:val="24"/>
          <w:lang w:val="en-US"/>
        </w:rPr>
        <w:t>Some of the most im</w:t>
      </w:r>
      <w:r w:rsidR="00DE06A5" w:rsidRPr="0047178E">
        <w:rPr>
          <w:rFonts w:ascii="Times New Roman" w:hAnsi="Times New Roman" w:cs="Times New Roman"/>
          <w:sz w:val="24"/>
          <w:szCs w:val="24"/>
          <w:lang w:val="en-US"/>
        </w:rPr>
        <w:t>portant agreements involving both the largest</w:t>
      </w:r>
      <w:r w:rsidR="009A2F20" w:rsidRPr="0047178E">
        <w:rPr>
          <w:rFonts w:ascii="Times New Roman" w:hAnsi="Times New Roman" w:cs="Times New Roman"/>
          <w:sz w:val="24"/>
          <w:szCs w:val="24"/>
          <w:lang w:val="en-US"/>
        </w:rPr>
        <w:t xml:space="preserve"> and smallest economies in the region are: MERCOSUL, Union of South </w:t>
      </w:r>
      <w:r w:rsidR="00DE06A5" w:rsidRPr="0047178E">
        <w:rPr>
          <w:rFonts w:ascii="Times New Roman" w:hAnsi="Times New Roman" w:cs="Times New Roman"/>
          <w:sz w:val="24"/>
          <w:szCs w:val="24"/>
          <w:lang w:val="en-US"/>
        </w:rPr>
        <w:t>American Nations</w:t>
      </w:r>
      <w:r w:rsidR="009A2F20" w:rsidRPr="0047178E">
        <w:rPr>
          <w:rFonts w:ascii="Times New Roman" w:hAnsi="Times New Roman" w:cs="Times New Roman"/>
          <w:sz w:val="24"/>
          <w:szCs w:val="24"/>
          <w:lang w:val="en-US"/>
        </w:rPr>
        <w:t xml:space="preserve"> (USAN), Bolivarian Alliance for the Peoples of Our America (ALBA), Andean Community, Central American Common Market, Latin American Integration Association (LAIA), Pacific Alliance, Caribbean Community and Common Market (CARICOM)</w:t>
      </w:r>
      <w:r w:rsidR="0055163B" w:rsidRPr="0047178E">
        <w:rPr>
          <w:rFonts w:ascii="Times New Roman" w:hAnsi="Times New Roman" w:cs="Times New Roman"/>
          <w:sz w:val="24"/>
          <w:szCs w:val="24"/>
          <w:lang w:val="en-US"/>
        </w:rPr>
        <w:t>,</w:t>
      </w:r>
      <w:r w:rsidR="009A2F20" w:rsidRPr="0047178E">
        <w:rPr>
          <w:rFonts w:ascii="Times New Roman" w:hAnsi="Times New Roman" w:cs="Times New Roman"/>
          <w:sz w:val="24"/>
          <w:szCs w:val="24"/>
          <w:lang w:val="en-US"/>
        </w:rPr>
        <w:t xml:space="preserve"> and Community of Latin American and Caribbean States (CELAC).</w:t>
      </w:r>
    </w:p>
    <w:p w14:paraId="6DAC08DD" w14:textId="77777777" w:rsidR="00CE6E7F" w:rsidRPr="0047178E" w:rsidRDefault="00CE6E7F" w:rsidP="0047178E">
      <w:pPr>
        <w:autoSpaceDE w:val="0"/>
        <w:autoSpaceDN w:val="0"/>
        <w:adjustRightInd w:val="0"/>
        <w:spacing w:after="0" w:line="240" w:lineRule="auto"/>
        <w:ind w:firstLine="567"/>
        <w:jc w:val="both"/>
        <w:rPr>
          <w:rFonts w:ascii="Times New Roman" w:hAnsi="Times New Roman" w:cs="Times New Roman"/>
          <w:spacing w:val="-4"/>
          <w:sz w:val="24"/>
          <w:szCs w:val="24"/>
          <w:lang w:val="en-US"/>
        </w:rPr>
      </w:pPr>
      <w:r w:rsidRPr="0047178E">
        <w:rPr>
          <w:rFonts w:ascii="Times New Roman" w:hAnsi="Times New Roman" w:cs="Times New Roman"/>
          <w:spacing w:val="-4"/>
          <w:sz w:val="24"/>
          <w:szCs w:val="24"/>
          <w:lang w:val="en-US"/>
        </w:rPr>
        <w:t xml:space="preserve">The strongest of these agreements exclusively involving LAC countries is MERCOSUR. However, free trade within the bloc is constrained by delays in the trade liberalization schedule and by barriers maintained by country members, such as exceptions to the granted preferential tariffs, non-automatic import licenses, and non-internalization of negotiated commitments. </w:t>
      </w:r>
    </w:p>
    <w:p w14:paraId="7BDCF148" w14:textId="19516AC8" w:rsidR="00EF0A3B" w:rsidRPr="0047178E" w:rsidRDefault="009A2F20" w:rsidP="0047178E">
      <w:pPr>
        <w:pStyle w:val="PargrafodaLista"/>
        <w:spacing w:after="0" w:line="240" w:lineRule="auto"/>
        <w:ind w:left="0" w:firstLine="567"/>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Hence, it is possible to observe that, despite a higher concentration in the production of primary goods and the presence of several small economies in the region that could be more prone to be established in the international trade as </w:t>
      </w:r>
      <w:r w:rsidR="00DE06A5" w:rsidRPr="0047178E">
        <w:rPr>
          <w:rFonts w:ascii="Times New Roman" w:hAnsi="Times New Roman" w:cs="Times New Roman"/>
          <w:i/>
          <w:iCs/>
          <w:sz w:val="24"/>
          <w:szCs w:val="24"/>
          <w:lang w:val="en-US"/>
        </w:rPr>
        <w:t>maquilas</w:t>
      </w:r>
      <w:r w:rsidRPr="0047178E">
        <w:rPr>
          <w:rFonts w:ascii="Times New Roman" w:hAnsi="Times New Roman" w:cs="Times New Roman"/>
          <w:sz w:val="24"/>
          <w:szCs w:val="24"/>
          <w:lang w:val="en-US"/>
        </w:rPr>
        <w:t xml:space="preserve">, LAC’s </w:t>
      </w:r>
      <w:r w:rsidR="00DE06A5" w:rsidRPr="0047178E">
        <w:rPr>
          <w:rFonts w:ascii="Times New Roman" w:hAnsi="Times New Roman" w:cs="Times New Roman"/>
          <w:sz w:val="24"/>
          <w:szCs w:val="24"/>
          <w:lang w:val="en-US"/>
        </w:rPr>
        <w:t xml:space="preserve">greatest </w:t>
      </w:r>
      <w:r w:rsidRPr="0047178E">
        <w:rPr>
          <w:rFonts w:ascii="Times New Roman" w:hAnsi="Times New Roman" w:cs="Times New Roman"/>
          <w:sz w:val="24"/>
          <w:szCs w:val="24"/>
          <w:lang w:val="en-US"/>
        </w:rPr>
        <w:t xml:space="preserve">challenge </w:t>
      </w:r>
      <w:r w:rsidR="0055163B" w:rsidRPr="0047178E">
        <w:rPr>
          <w:rFonts w:ascii="Times New Roman" w:hAnsi="Times New Roman" w:cs="Times New Roman"/>
          <w:sz w:val="24"/>
          <w:szCs w:val="24"/>
          <w:lang w:val="en-US"/>
        </w:rPr>
        <w:t>is not associated with</w:t>
      </w:r>
      <w:r w:rsidRPr="0047178E">
        <w:rPr>
          <w:rFonts w:ascii="Times New Roman" w:hAnsi="Times New Roman" w:cs="Times New Roman"/>
          <w:sz w:val="24"/>
          <w:szCs w:val="24"/>
          <w:lang w:val="en-US"/>
        </w:rPr>
        <w:t xml:space="preserve"> the lack of initiatives for integration agreements between the countries</w:t>
      </w:r>
      <w:r w:rsidR="00DE06A5" w:rsidRPr="0047178E">
        <w:rPr>
          <w:rFonts w:ascii="Times New Roman" w:hAnsi="Times New Roman" w:cs="Times New Roman"/>
          <w:sz w:val="24"/>
          <w:szCs w:val="24"/>
          <w:lang w:val="en-US"/>
        </w:rPr>
        <w:t>. Rather, it is related to the</w:t>
      </w:r>
      <w:r w:rsidRPr="0047178E">
        <w:rPr>
          <w:rFonts w:ascii="Times New Roman" w:hAnsi="Times New Roman" w:cs="Times New Roman"/>
          <w:sz w:val="24"/>
          <w:szCs w:val="24"/>
          <w:lang w:val="en-US"/>
        </w:rPr>
        <w:t xml:space="preserve"> weaknesses inherent to existing agreements and the lack of coordination among them, making it difficult to create production chains in the region.</w:t>
      </w:r>
    </w:p>
    <w:p w14:paraId="66213FAE" w14:textId="09B6CC65" w:rsidR="000922A6" w:rsidRDefault="000922A6" w:rsidP="0047178E">
      <w:pPr>
        <w:spacing w:after="0" w:line="240" w:lineRule="auto"/>
        <w:ind w:firstLine="567"/>
        <w:jc w:val="both"/>
        <w:rPr>
          <w:rFonts w:ascii="Times New Roman" w:hAnsi="Times New Roman" w:cs="Times New Roman"/>
          <w:b/>
          <w:bCs/>
          <w:sz w:val="24"/>
          <w:szCs w:val="24"/>
          <w:lang w:val="en-US"/>
        </w:rPr>
      </w:pPr>
    </w:p>
    <w:p w14:paraId="44CBE3EE" w14:textId="3143F88B" w:rsidR="005C54ED" w:rsidRDefault="005C54ED" w:rsidP="0047178E">
      <w:pPr>
        <w:spacing w:after="0" w:line="240" w:lineRule="auto"/>
        <w:ind w:firstLine="567"/>
        <w:jc w:val="both"/>
        <w:rPr>
          <w:rFonts w:ascii="Times New Roman" w:hAnsi="Times New Roman" w:cs="Times New Roman"/>
          <w:b/>
          <w:bCs/>
          <w:sz w:val="24"/>
          <w:szCs w:val="24"/>
          <w:lang w:val="en-US"/>
        </w:rPr>
      </w:pPr>
    </w:p>
    <w:p w14:paraId="17A2CBE2" w14:textId="4E843005" w:rsidR="005C54ED" w:rsidRDefault="005C54ED" w:rsidP="0047178E">
      <w:pPr>
        <w:spacing w:after="0" w:line="240" w:lineRule="auto"/>
        <w:ind w:firstLine="567"/>
        <w:jc w:val="both"/>
        <w:rPr>
          <w:rFonts w:ascii="Times New Roman" w:hAnsi="Times New Roman" w:cs="Times New Roman"/>
          <w:b/>
          <w:bCs/>
          <w:sz w:val="24"/>
          <w:szCs w:val="24"/>
          <w:lang w:val="en-US"/>
        </w:rPr>
      </w:pPr>
    </w:p>
    <w:p w14:paraId="40331E56" w14:textId="60C02770" w:rsidR="005C54ED" w:rsidRDefault="005C54ED" w:rsidP="0047178E">
      <w:pPr>
        <w:spacing w:after="0" w:line="240" w:lineRule="auto"/>
        <w:ind w:firstLine="567"/>
        <w:jc w:val="both"/>
        <w:rPr>
          <w:rFonts w:ascii="Times New Roman" w:hAnsi="Times New Roman" w:cs="Times New Roman"/>
          <w:b/>
          <w:bCs/>
          <w:sz w:val="24"/>
          <w:szCs w:val="24"/>
          <w:lang w:val="en-US"/>
        </w:rPr>
      </w:pPr>
    </w:p>
    <w:p w14:paraId="46B5E833" w14:textId="77777777" w:rsidR="005C54ED" w:rsidRPr="0047178E" w:rsidRDefault="005C54ED" w:rsidP="0047178E">
      <w:pPr>
        <w:spacing w:after="0" w:line="240" w:lineRule="auto"/>
        <w:ind w:firstLine="567"/>
        <w:jc w:val="both"/>
        <w:rPr>
          <w:rFonts w:ascii="Times New Roman" w:hAnsi="Times New Roman" w:cs="Times New Roman"/>
          <w:b/>
          <w:bCs/>
          <w:sz w:val="24"/>
          <w:szCs w:val="24"/>
          <w:lang w:val="en-US"/>
        </w:rPr>
      </w:pPr>
      <w:bookmarkStart w:id="0" w:name="_GoBack"/>
      <w:bookmarkEnd w:id="0"/>
    </w:p>
    <w:p w14:paraId="2494DF0A" w14:textId="47AB75B0" w:rsidR="000922A6" w:rsidRPr="0047178E" w:rsidRDefault="00DE06A5" w:rsidP="0047178E">
      <w:pPr>
        <w:pStyle w:val="PargrafodaLista"/>
        <w:numPr>
          <w:ilvl w:val="0"/>
          <w:numId w:val="30"/>
        </w:numPr>
        <w:spacing w:after="0" w:line="240" w:lineRule="auto"/>
        <w:jc w:val="both"/>
        <w:rPr>
          <w:rFonts w:ascii="Times New Roman" w:hAnsi="Times New Roman" w:cs="Times New Roman"/>
          <w:b/>
          <w:bCs/>
          <w:sz w:val="24"/>
          <w:szCs w:val="24"/>
          <w:lang w:val="en-US"/>
        </w:rPr>
      </w:pPr>
      <w:r w:rsidRPr="0047178E">
        <w:rPr>
          <w:rFonts w:ascii="Times New Roman" w:hAnsi="Times New Roman" w:cs="Times New Roman"/>
          <w:b/>
          <w:bCs/>
          <w:sz w:val="24"/>
          <w:szCs w:val="24"/>
          <w:lang w:val="en-US"/>
        </w:rPr>
        <w:lastRenderedPageBreak/>
        <w:t>FINAL COMMENTS</w:t>
      </w:r>
    </w:p>
    <w:p w14:paraId="7E3D3A87" w14:textId="18BEE87A" w:rsidR="00EA29AF" w:rsidRPr="0047178E" w:rsidRDefault="009A2F20" w:rsidP="0047178E">
      <w:pPr>
        <w:spacing w:after="0" w:line="240" w:lineRule="auto"/>
        <w:ind w:firstLine="708"/>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The analysis developed in this </w:t>
      </w:r>
      <w:r w:rsidR="00DE06A5" w:rsidRPr="0047178E">
        <w:rPr>
          <w:rFonts w:ascii="Times New Roman" w:hAnsi="Times New Roman" w:cs="Times New Roman"/>
          <w:sz w:val="24"/>
          <w:szCs w:val="24"/>
          <w:lang w:val="en-US"/>
        </w:rPr>
        <w:t>paper</w:t>
      </w:r>
      <w:r w:rsidRPr="0047178E">
        <w:rPr>
          <w:rFonts w:ascii="Times New Roman" w:hAnsi="Times New Roman" w:cs="Times New Roman"/>
          <w:sz w:val="24"/>
          <w:szCs w:val="24"/>
          <w:lang w:val="en-US"/>
        </w:rPr>
        <w:t xml:space="preserve"> shows that Brazil’s </w:t>
      </w:r>
      <w:r w:rsidR="00DE06A5" w:rsidRPr="0047178E">
        <w:rPr>
          <w:rFonts w:ascii="Times New Roman" w:hAnsi="Times New Roman" w:cs="Times New Roman"/>
          <w:sz w:val="24"/>
          <w:szCs w:val="24"/>
          <w:lang w:val="en-US"/>
        </w:rPr>
        <w:t>participation</w:t>
      </w:r>
      <w:r w:rsidRPr="0047178E">
        <w:rPr>
          <w:rFonts w:ascii="Times New Roman" w:hAnsi="Times New Roman" w:cs="Times New Roman"/>
          <w:sz w:val="24"/>
          <w:szCs w:val="24"/>
          <w:lang w:val="en-US"/>
        </w:rPr>
        <w:t xml:space="preserve"> in GVCs is characterized by an intense forward participation as a primary product supplier and a low backward participation, with a reduced </w:t>
      </w:r>
      <w:r w:rsidR="00F4058A" w:rsidRPr="0047178E">
        <w:rPr>
          <w:rFonts w:ascii="Times New Roman" w:hAnsi="Times New Roman" w:cs="Times New Roman"/>
          <w:sz w:val="24"/>
          <w:szCs w:val="24"/>
          <w:lang w:val="en-US"/>
        </w:rPr>
        <w:t>use</w:t>
      </w:r>
      <w:r w:rsidRPr="0047178E">
        <w:rPr>
          <w:rFonts w:ascii="Times New Roman" w:hAnsi="Times New Roman" w:cs="Times New Roman"/>
          <w:sz w:val="24"/>
          <w:szCs w:val="24"/>
          <w:lang w:val="en-US"/>
        </w:rPr>
        <w:t xml:space="preserve"> of imports in exports</w:t>
      </w:r>
      <w:r w:rsidR="00F4058A" w:rsidRPr="0047178E">
        <w:rPr>
          <w:rFonts w:ascii="Times New Roman" w:hAnsi="Times New Roman" w:cs="Times New Roman"/>
          <w:sz w:val="24"/>
          <w:szCs w:val="24"/>
          <w:lang w:val="en-US"/>
        </w:rPr>
        <w:t xml:space="preserve">. This </w:t>
      </w:r>
      <w:r w:rsidR="00035C11" w:rsidRPr="0047178E">
        <w:rPr>
          <w:rFonts w:ascii="Times New Roman" w:hAnsi="Times New Roman" w:cs="Times New Roman"/>
          <w:sz w:val="24"/>
          <w:szCs w:val="24"/>
          <w:lang w:val="en-US"/>
        </w:rPr>
        <w:t>occur</w:t>
      </w:r>
      <w:r w:rsidR="004F6A2C" w:rsidRPr="0047178E">
        <w:rPr>
          <w:rFonts w:ascii="Times New Roman" w:hAnsi="Times New Roman" w:cs="Times New Roman"/>
          <w:sz w:val="24"/>
          <w:szCs w:val="24"/>
          <w:lang w:val="en-US"/>
        </w:rPr>
        <w:t xml:space="preserve">s </w:t>
      </w:r>
      <w:r w:rsidR="00F4058A" w:rsidRPr="0047178E">
        <w:rPr>
          <w:rFonts w:ascii="Times New Roman" w:hAnsi="Times New Roman" w:cs="Times New Roman"/>
          <w:sz w:val="24"/>
          <w:szCs w:val="24"/>
          <w:lang w:val="en-US"/>
        </w:rPr>
        <w:t>despite the fact that</w:t>
      </w:r>
      <w:r w:rsidRPr="0047178E">
        <w:rPr>
          <w:rFonts w:ascii="Times New Roman" w:hAnsi="Times New Roman" w:cs="Times New Roman"/>
          <w:sz w:val="24"/>
          <w:szCs w:val="24"/>
          <w:lang w:val="en-US"/>
        </w:rPr>
        <w:t xml:space="preserve"> the country has been one of the main destinations of FDI in the past few years and </w:t>
      </w:r>
      <w:r w:rsidR="00F4058A" w:rsidRPr="0047178E">
        <w:rPr>
          <w:rFonts w:ascii="Times New Roman" w:hAnsi="Times New Roman" w:cs="Times New Roman"/>
          <w:sz w:val="24"/>
          <w:szCs w:val="24"/>
          <w:lang w:val="en-US"/>
        </w:rPr>
        <w:t>has imported</w:t>
      </w:r>
      <w:r w:rsidRPr="0047178E">
        <w:rPr>
          <w:rFonts w:ascii="Times New Roman" w:hAnsi="Times New Roman" w:cs="Times New Roman"/>
          <w:sz w:val="24"/>
          <w:szCs w:val="24"/>
          <w:lang w:val="en-US"/>
        </w:rPr>
        <w:t xml:space="preserve"> great </w:t>
      </w:r>
      <w:r w:rsidR="00035C11" w:rsidRPr="0047178E">
        <w:rPr>
          <w:rFonts w:ascii="Times New Roman" w:hAnsi="Times New Roman" w:cs="Times New Roman"/>
          <w:sz w:val="24"/>
          <w:szCs w:val="24"/>
          <w:lang w:val="en-US"/>
        </w:rPr>
        <w:t>quantities</w:t>
      </w:r>
      <w:r w:rsidRPr="0047178E">
        <w:rPr>
          <w:rFonts w:ascii="Times New Roman" w:hAnsi="Times New Roman" w:cs="Times New Roman"/>
          <w:sz w:val="24"/>
          <w:szCs w:val="24"/>
          <w:lang w:val="en-US"/>
        </w:rPr>
        <w:t xml:space="preserve"> of high value added products</w:t>
      </w:r>
      <w:r w:rsidR="00F4058A" w:rsidRPr="0047178E">
        <w:rPr>
          <w:rFonts w:ascii="Times New Roman" w:hAnsi="Times New Roman" w:cs="Times New Roman"/>
          <w:sz w:val="24"/>
          <w:szCs w:val="24"/>
          <w:lang w:val="en-US"/>
        </w:rPr>
        <w:t>.</w:t>
      </w:r>
    </w:p>
    <w:p w14:paraId="0DFB3A38" w14:textId="7B240D5B" w:rsidR="009A2F20" w:rsidRPr="0047178E" w:rsidRDefault="009A2F20" w:rsidP="0047178E">
      <w:pPr>
        <w:spacing w:after="0" w:line="240" w:lineRule="auto"/>
        <w:ind w:firstLine="708"/>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These ele</w:t>
      </w:r>
      <w:r w:rsidR="00035C11" w:rsidRPr="0047178E">
        <w:rPr>
          <w:rFonts w:ascii="Times New Roman" w:hAnsi="Times New Roman" w:cs="Times New Roman"/>
          <w:sz w:val="24"/>
          <w:szCs w:val="24"/>
          <w:lang w:val="en-US"/>
        </w:rPr>
        <w:t>ments demonstrate how peculiar, even paradoxical,</w:t>
      </w:r>
      <w:r w:rsidRPr="0047178E">
        <w:rPr>
          <w:rFonts w:ascii="Times New Roman" w:hAnsi="Times New Roman" w:cs="Times New Roman"/>
          <w:sz w:val="24"/>
          <w:szCs w:val="24"/>
          <w:lang w:val="en-US"/>
        </w:rPr>
        <w:t xml:space="preserve"> the Brazilian participation in GVCs is: even though the Brazilian economy leverages exports in the rest of the world, especially in developed countries, </w:t>
      </w:r>
      <w:r w:rsidR="00C46935" w:rsidRPr="0047178E">
        <w:rPr>
          <w:rFonts w:ascii="Times New Roman" w:hAnsi="Times New Roman" w:cs="Times New Roman"/>
          <w:sz w:val="24"/>
          <w:szCs w:val="24"/>
          <w:lang w:val="en-US"/>
        </w:rPr>
        <w:t xml:space="preserve">as </w:t>
      </w:r>
      <w:r w:rsidR="00035C11" w:rsidRPr="0047178E">
        <w:rPr>
          <w:rFonts w:ascii="Times New Roman" w:hAnsi="Times New Roman" w:cs="Times New Roman"/>
          <w:sz w:val="24"/>
          <w:szCs w:val="24"/>
          <w:lang w:val="en-US"/>
        </w:rPr>
        <w:t xml:space="preserve">a </w:t>
      </w:r>
      <w:r w:rsidR="00C46935" w:rsidRPr="0047178E">
        <w:rPr>
          <w:rFonts w:ascii="Times New Roman" w:hAnsi="Times New Roman" w:cs="Times New Roman"/>
          <w:sz w:val="24"/>
          <w:szCs w:val="24"/>
          <w:lang w:val="en-US"/>
        </w:rPr>
        <w:t>supplier of</w:t>
      </w:r>
      <w:r w:rsidRPr="0047178E">
        <w:rPr>
          <w:rFonts w:ascii="Times New Roman" w:hAnsi="Times New Roman" w:cs="Times New Roman"/>
          <w:sz w:val="24"/>
          <w:szCs w:val="24"/>
          <w:lang w:val="en-US"/>
        </w:rPr>
        <w:t xml:space="preserve"> goods </w:t>
      </w:r>
      <w:r w:rsidR="00C46935" w:rsidRPr="0047178E">
        <w:rPr>
          <w:rFonts w:ascii="Times New Roman" w:hAnsi="Times New Roman" w:cs="Times New Roman"/>
          <w:sz w:val="24"/>
          <w:szCs w:val="24"/>
          <w:lang w:val="en-US"/>
        </w:rPr>
        <w:t>with</w:t>
      </w:r>
      <w:r w:rsidRPr="0047178E">
        <w:rPr>
          <w:rFonts w:ascii="Times New Roman" w:hAnsi="Times New Roman" w:cs="Times New Roman"/>
          <w:sz w:val="24"/>
          <w:szCs w:val="24"/>
          <w:lang w:val="en-US"/>
        </w:rPr>
        <w:t xml:space="preserve"> low value added and high competitive edge, the country is not capable of using imports to pro</w:t>
      </w:r>
      <w:r w:rsidR="00F4058A" w:rsidRPr="0047178E">
        <w:rPr>
          <w:rFonts w:ascii="Times New Roman" w:hAnsi="Times New Roman" w:cs="Times New Roman"/>
          <w:sz w:val="24"/>
          <w:szCs w:val="24"/>
          <w:lang w:val="en-US"/>
        </w:rPr>
        <w:t>mote the competitive edge of its own</w:t>
      </w:r>
      <w:r w:rsidRPr="0047178E">
        <w:rPr>
          <w:rFonts w:ascii="Times New Roman" w:hAnsi="Times New Roman" w:cs="Times New Roman"/>
          <w:sz w:val="24"/>
          <w:szCs w:val="24"/>
          <w:lang w:val="en-US"/>
        </w:rPr>
        <w:t xml:space="preserve"> exports. Due to the low technological</w:t>
      </w:r>
      <w:r w:rsidR="00035C11" w:rsidRPr="0047178E">
        <w:rPr>
          <w:rFonts w:ascii="Times New Roman" w:hAnsi="Times New Roman" w:cs="Times New Roman"/>
          <w:sz w:val="24"/>
          <w:szCs w:val="24"/>
          <w:lang w:val="en-US"/>
        </w:rPr>
        <w:t xml:space="preserve"> dynamism that distinguishes</w:t>
      </w:r>
      <w:r w:rsidRPr="0047178E">
        <w:rPr>
          <w:rFonts w:ascii="Times New Roman" w:hAnsi="Times New Roman" w:cs="Times New Roman"/>
          <w:sz w:val="24"/>
          <w:szCs w:val="24"/>
          <w:lang w:val="en-US"/>
        </w:rPr>
        <w:t xml:space="preserve"> Brazilian industry, having high value added imports in the country’s exports would be a relevant element to increase competitiveness.</w:t>
      </w:r>
    </w:p>
    <w:p w14:paraId="79F51C7B" w14:textId="428F95BF" w:rsidR="00EA29AF" w:rsidRPr="0047178E" w:rsidRDefault="009A2F20" w:rsidP="0047178E">
      <w:pPr>
        <w:spacing w:after="0" w:line="240" w:lineRule="auto"/>
        <w:ind w:firstLine="708"/>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Therefore, this specific model of participation in GVCs represents a trap that compromises competitive development, since it is incapable of </w:t>
      </w:r>
      <w:r w:rsidR="00C46935" w:rsidRPr="0047178E">
        <w:rPr>
          <w:rFonts w:ascii="Times New Roman" w:hAnsi="Times New Roman" w:cs="Times New Roman"/>
          <w:sz w:val="24"/>
          <w:szCs w:val="24"/>
          <w:lang w:val="en-US"/>
        </w:rPr>
        <w:t>enhancing the dynamism of</w:t>
      </w:r>
      <w:r w:rsidRPr="0047178E">
        <w:rPr>
          <w:rFonts w:ascii="Times New Roman" w:hAnsi="Times New Roman" w:cs="Times New Roman"/>
          <w:sz w:val="24"/>
          <w:szCs w:val="24"/>
          <w:lang w:val="en-US"/>
        </w:rPr>
        <w:t xml:space="preserve"> the industry and service sectors. Causes for this peculiar process involve the widespread debate </w:t>
      </w:r>
      <w:r w:rsidR="00C46935" w:rsidRPr="0047178E">
        <w:rPr>
          <w:rFonts w:ascii="Times New Roman" w:hAnsi="Times New Roman" w:cs="Times New Roman"/>
          <w:sz w:val="24"/>
          <w:szCs w:val="24"/>
          <w:lang w:val="en-US"/>
        </w:rPr>
        <w:t>on</w:t>
      </w:r>
      <w:r w:rsidRPr="0047178E">
        <w:rPr>
          <w:rFonts w:ascii="Times New Roman" w:hAnsi="Times New Roman" w:cs="Times New Roman"/>
          <w:sz w:val="24"/>
          <w:szCs w:val="24"/>
          <w:lang w:val="en-US"/>
        </w:rPr>
        <w:t xml:space="preserve"> the country’s development path, from the specific ways in which industrialization took place in the mid-twentieth century to the economic policies adopted to overcome the longstanding crisis in the 1980’s. </w:t>
      </w:r>
      <w:r w:rsidR="00035C11" w:rsidRPr="0047178E">
        <w:rPr>
          <w:rFonts w:ascii="Times New Roman" w:hAnsi="Times New Roman" w:cs="Times New Roman"/>
          <w:sz w:val="24"/>
          <w:szCs w:val="24"/>
          <w:lang w:val="en-US"/>
        </w:rPr>
        <w:t>R</w:t>
      </w:r>
      <w:r w:rsidRPr="0047178E">
        <w:rPr>
          <w:rFonts w:ascii="Times New Roman" w:hAnsi="Times New Roman" w:cs="Times New Roman"/>
          <w:sz w:val="24"/>
          <w:szCs w:val="24"/>
          <w:lang w:val="en-US"/>
        </w:rPr>
        <w:t>ecent high</w:t>
      </w:r>
      <w:r w:rsidR="00035C11" w:rsidRPr="0047178E">
        <w:rPr>
          <w:rFonts w:ascii="Times New Roman" w:hAnsi="Times New Roman" w:cs="Times New Roman"/>
          <w:sz w:val="24"/>
          <w:szCs w:val="24"/>
          <w:lang w:val="en-US"/>
        </w:rPr>
        <w:t>lights have been the effects of</w:t>
      </w:r>
      <w:r w:rsidR="00C46935" w:rsidRPr="0047178E">
        <w:rPr>
          <w:rFonts w:ascii="Times New Roman" w:hAnsi="Times New Roman" w:cs="Times New Roman"/>
          <w:sz w:val="24"/>
          <w:szCs w:val="24"/>
          <w:lang w:val="en-US"/>
        </w:rPr>
        <w:t xml:space="preserve"> persistent </w:t>
      </w:r>
      <w:r w:rsidRPr="0047178E">
        <w:rPr>
          <w:rFonts w:ascii="Times New Roman" w:hAnsi="Times New Roman" w:cs="Times New Roman"/>
          <w:sz w:val="24"/>
          <w:szCs w:val="24"/>
          <w:lang w:val="en-US"/>
        </w:rPr>
        <w:t xml:space="preserve">currency appreciation, a </w:t>
      </w:r>
      <w:r w:rsidR="00C46935" w:rsidRPr="0047178E">
        <w:rPr>
          <w:rFonts w:ascii="Times New Roman" w:hAnsi="Times New Roman" w:cs="Times New Roman"/>
          <w:sz w:val="24"/>
          <w:szCs w:val="24"/>
          <w:lang w:val="en-US"/>
        </w:rPr>
        <w:t>measure</w:t>
      </w:r>
      <w:r w:rsidRPr="0047178E">
        <w:rPr>
          <w:rFonts w:ascii="Times New Roman" w:hAnsi="Times New Roman" w:cs="Times New Roman"/>
          <w:sz w:val="24"/>
          <w:szCs w:val="24"/>
          <w:lang w:val="en-US"/>
        </w:rPr>
        <w:t xml:space="preserve"> used in inflation-control policies, as well as the strategies to support incom</w:t>
      </w:r>
      <w:r w:rsidR="00035C11" w:rsidRPr="0047178E">
        <w:rPr>
          <w:rFonts w:ascii="Times New Roman" w:hAnsi="Times New Roman" w:cs="Times New Roman"/>
          <w:sz w:val="24"/>
          <w:szCs w:val="24"/>
          <w:lang w:val="en-US"/>
        </w:rPr>
        <w:t xml:space="preserve">e gains for the population. </w:t>
      </w:r>
      <w:r w:rsidRPr="0047178E">
        <w:rPr>
          <w:rFonts w:ascii="Times New Roman" w:hAnsi="Times New Roman" w:cs="Times New Roman"/>
          <w:sz w:val="24"/>
          <w:szCs w:val="24"/>
          <w:lang w:val="en-US"/>
        </w:rPr>
        <w:t>Chinese economic growth fueled this trend, with a strong i</w:t>
      </w:r>
      <w:r w:rsidR="00035C11" w:rsidRPr="0047178E">
        <w:rPr>
          <w:rFonts w:ascii="Times New Roman" w:hAnsi="Times New Roman" w:cs="Times New Roman"/>
          <w:sz w:val="24"/>
          <w:szCs w:val="24"/>
          <w:lang w:val="en-US"/>
        </w:rPr>
        <w:t>ncrease in primary goods export</w:t>
      </w:r>
      <w:r w:rsidRPr="0047178E">
        <w:rPr>
          <w:rFonts w:ascii="Times New Roman" w:hAnsi="Times New Roman" w:cs="Times New Roman"/>
          <w:sz w:val="24"/>
          <w:szCs w:val="24"/>
          <w:lang w:val="en-US"/>
        </w:rPr>
        <w:t xml:space="preserve"> revenue and the massive inflow of industrialized goods at competitive prices. Additionally, the massive FDI inflow contributed to currency </w:t>
      </w:r>
      <w:r w:rsidR="00071E14" w:rsidRPr="0047178E">
        <w:rPr>
          <w:rFonts w:ascii="Times New Roman" w:hAnsi="Times New Roman" w:cs="Times New Roman"/>
          <w:sz w:val="24"/>
          <w:szCs w:val="24"/>
          <w:lang w:val="en-US"/>
        </w:rPr>
        <w:t>appreciation</w:t>
      </w:r>
      <w:r w:rsidRPr="0047178E">
        <w:rPr>
          <w:rFonts w:ascii="Times New Roman" w:hAnsi="Times New Roman" w:cs="Times New Roman"/>
          <w:sz w:val="24"/>
          <w:szCs w:val="24"/>
          <w:lang w:val="en-US"/>
        </w:rPr>
        <w:t xml:space="preserve"> and to </w:t>
      </w:r>
      <w:r w:rsidR="00035C11" w:rsidRPr="0047178E">
        <w:rPr>
          <w:rFonts w:ascii="Times New Roman" w:hAnsi="Times New Roman" w:cs="Times New Roman"/>
          <w:sz w:val="24"/>
          <w:szCs w:val="24"/>
          <w:lang w:val="en-US"/>
        </w:rPr>
        <w:t>the tendency for</w:t>
      </w:r>
      <w:r w:rsidRPr="0047178E">
        <w:rPr>
          <w:rFonts w:ascii="Times New Roman" w:hAnsi="Times New Roman" w:cs="Times New Roman"/>
          <w:sz w:val="24"/>
          <w:szCs w:val="24"/>
          <w:lang w:val="en-US"/>
        </w:rPr>
        <w:t xml:space="preserve"> industrial sector spe</w:t>
      </w:r>
      <w:r w:rsidR="00035C11" w:rsidRPr="0047178E">
        <w:rPr>
          <w:rFonts w:ascii="Times New Roman" w:hAnsi="Times New Roman" w:cs="Times New Roman"/>
          <w:sz w:val="24"/>
          <w:szCs w:val="24"/>
          <w:lang w:val="en-US"/>
        </w:rPr>
        <w:t>cialization</w:t>
      </w:r>
      <w:r w:rsidRPr="0047178E">
        <w:rPr>
          <w:rFonts w:ascii="Times New Roman" w:hAnsi="Times New Roman" w:cs="Times New Roman"/>
          <w:sz w:val="24"/>
          <w:szCs w:val="24"/>
          <w:lang w:val="en-US"/>
        </w:rPr>
        <w:t xml:space="preserve"> in the production of goods to supply the domestic market.</w:t>
      </w:r>
      <w:r w:rsidR="00EA29AF" w:rsidRPr="0047178E">
        <w:rPr>
          <w:rFonts w:ascii="Times New Roman" w:hAnsi="Times New Roman" w:cs="Times New Roman"/>
          <w:sz w:val="24"/>
          <w:szCs w:val="24"/>
          <w:lang w:val="en-US"/>
        </w:rPr>
        <w:t xml:space="preserve"> </w:t>
      </w:r>
    </w:p>
    <w:p w14:paraId="4B5285FB" w14:textId="77777777" w:rsidR="000D62E7" w:rsidRPr="0047178E" w:rsidRDefault="000D62E7" w:rsidP="0047178E">
      <w:pPr>
        <w:spacing w:after="0" w:line="240" w:lineRule="auto"/>
        <w:jc w:val="both"/>
        <w:rPr>
          <w:rFonts w:ascii="Times New Roman" w:hAnsi="Times New Roman" w:cs="Times New Roman"/>
          <w:sz w:val="24"/>
          <w:szCs w:val="24"/>
          <w:lang w:val="en-US"/>
        </w:rPr>
      </w:pPr>
    </w:p>
    <w:p w14:paraId="37EACC38" w14:textId="66847536" w:rsidR="009174C3" w:rsidRPr="0047178E" w:rsidRDefault="004F6A2C" w:rsidP="0047178E">
      <w:pPr>
        <w:pStyle w:val="PargrafodaLista"/>
        <w:numPr>
          <w:ilvl w:val="0"/>
          <w:numId w:val="30"/>
        </w:numPr>
        <w:spacing w:after="0" w:line="240" w:lineRule="auto"/>
        <w:contextualSpacing/>
        <w:jc w:val="both"/>
        <w:rPr>
          <w:rFonts w:ascii="Times New Roman" w:hAnsi="Times New Roman" w:cs="Times New Roman"/>
          <w:sz w:val="24"/>
          <w:szCs w:val="24"/>
          <w:lang w:val="en-US"/>
        </w:rPr>
      </w:pPr>
      <w:r w:rsidRPr="0047178E">
        <w:rPr>
          <w:rFonts w:ascii="Times New Roman" w:hAnsi="Times New Roman" w:cs="Times New Roman"/>
          <w:b/>
          <w:sz w:val="24"/>
          <w:szCs w:val="24"/>
          <w:lang w:val="en-US"/>
        </w:rPr>
        <w:t>REFERENCES</w:t>
      </w:r>
    </w:p>
    <w:p w14:paraId="45A9589C"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Arbache, J., Moreira, R. (2015), “</w:t>
      </w:r>
      <w:r w:rsidRPr="0047178E">
        <w:rPr>
          <w:rFonts w:ascii="Times New Roman" w:hAnsi="Times New Roman" w:cs="Times New Roman"/>
          <w:i/>
          <w:sz w:val="24"/>
          <w:szCs w:val="24"/>
          <w:lang w:val="en-US"/>
        </w:rPr>
        <w:t>How Can Services Improve Productivity</w:t>
      </w:r>
      <w:r w:rsidRPr="0047178E">
        <w:rPr>
          <w:rFonts w:ascii="Times New Roman" w:hAnsi="Times New Roman" w:cs="Times New Roman"/>
          <w:sz w:val="24"/>
          <w:szCs w:val="24"/>
          <w:lang w:val="en-US"/>
        </w:rPr>
        <w:t>? The Case of Brazil”;</w:t>
      </w:r>
    </w:p>
    <w:p w14:paraId="0CB93177"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rPr>
      </w:pPr>
      <w:r w:rsidRPr="0047178E">
        <w:rPr>
          <w:rFonts w:ascii="Times New Roman" w:hAnsi="Times New Roman" w:cs="Times New Roman"/>
          <w:sz w:val="24"/>
          <w:szCs w:val="24"/>
        </w:rPr>
        <w:t>Arend, M. (2015), “</w:t>
      </w:r>
      <w:r w:rsidRPr="0047178E">
        <w:rPr>
          <w:rFonts w:ascii="Times New Roman" w:hAnsi="Times New Roman" w:cs="Times New Roman"/>
          <w:i/>
          <w:sz w:val="24"/>
          <w:szCs w:val="24"/>
        </w:rPr>
        <w:t>A industrialização do Brasil ante a nova Divisão Internacional do Trabalho</w:t>
      </w:r>
      <w:r w:rsidRPr="0047178E">
        <w:rPr>
          <w:rFonts w:ascii="Times New Roman" w:hAnsi="Times New Roman" w:cs="Times New Roman"/>
          <w:sz w:val="24"/>
          <w:szCs w:val="24"/>
        </w:rPr>
        <w:t xml:space="preserve">”, IPEA, Texto para discussão 2105; </w:t>
      </w:r>
    </w:p>
    <w:p w14:paraId="37AB5F13"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rPr>
      </w:pPr>
      <w:r w:rsidRPr="0047178E">
        <w:rPr>
          <w:rFonts w:ascii="Times New Roman" w:hAnsi="Times New Roman" w:cs="Times New Roman"/>
          <w:color w:val="000000"/>
          <w:sz w:val="24"/>
          <w:szCs w:val="24"/>
        </w:rPr>
        <w:t>Baumann, R.; Kume, H. (2013), “</w:t>
      </w:r>
      <w:r w:rsidRPr="0047178E">
        <w:rPr>
          <w:rFonts w:ascii="Times New Roman" w:hAnsi="Times New Roman" w:cs="Times New Roman"/>
          <w:i/>
          <w:color w:val="000000"/>
          <w:sz w:val="24"/>
          <w:szCs w:val="24"/>
        </w:rPr>
        <w:t>Novos padrões de comércio e a política tarifária no Brasil</w:t>
      </w:r>
      <w:r w:rsidRPr="0047178E">
        <w:rPr>
          <w:rFonts w:ascii="Times New Roman" w:hAnsi="Times New Roman" w:cs="Times New Roman"/>
          <w:i/>
          <w:iCs/>
          <w:color w:val="000000"/>
          <w:sz w:val="24"/>
          <w:szCs w:val="24"/>
        </w:rPr>
        <w:t>. In</w:t>
      </w:r>
      <w:r w:rsidRPr="0047178E">
        <w:rPr>
          <w:rFonts w:ascii="Times New Roman" w:hAnsi="Times New Roman" w:cs="Times New Roman"/>
          <w:color w:val="000000"/>
          <w:sz w:val="24"/>
          <w:szCs w:val="24"/>
        </w:rPr>
        <w:t>: Bacha, E.; Bolle, M. (Orgs.), “</w:t>
      </w:r>
      <w:r w:rsidRPr="0047178E">
        <w:rPr>
          <w:rFonts w:ascii="Times New Roman" w:hAnsi="Times New Roman" w:cs="Times New Roman"/>
          <w:bCs/>
          <w:i/>
          <w:color w:val="000000"/>
          <w:sz w:val="24"/>
          <w:szCs w:val="24"/>
        </w:rPr>
        <w:t>O futuro da indústria no Brasil</w:t>
      </w:r>
      <w:r w:rsidRPr="0047178E">
        <w:rPr>
          <w:rFonts w:ascii="Times New Roman" w:hAnsi="Times New Roman" w:cs="Times New Roman"/>
          <w:i/>
          <w:color w:val="000000"/>
          <w:sz w:val="24"/>
          <w:szCs w:val="24"/>
        </w:rPr>
        <w:t>”,</w:t>
      </w:r>
      <w:r w:rsidRPr="0047178E">
        <w:rPr>
          <w:rFonts w:ascii="Times New Roman" w:hAnsi="Times New Roman" w:cs="Times New Roman"/>
          <w:color w:val="000000"/>
          <w:sz w:val="24"/>
          <w:szCs w:val="24"/>
        </w:rPr>
        <w:t xml:space="preserve"> Civilização Brasiliera, Rio de Janeiro;</w:t>
      </w:r>
    </w:p>
    <w:p w14:paraId="446B2243"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Baldwin, R. &amp; Venables, A (2013), “</w:t>
      </w:r>
      <w:r w:rsidRPr="0047178E">
        <w:rPr>
          <w:rFonts w:ascii="Times New Roman" w:hAnsi="Times New Roman" w:cs="Times New Roman"/>
          <w:i/>
          <w:sz w:val="24"/>
          <w:szCs w:val="24"/>
          <w:lang w:val="en-US"/>
        </w:rPr>
        <w:t>Spiders and snakes: Offshoring and agglomeration in the global economy</w:t>
      </w:r>
      <w:r w:rsidRPr="0047178E">
        <w:rPr>
          <w:rFonts w:ascii="Times New Roman" w:hAnsi="Times New Roman" w:cs="Times New Roman"/>
          <w:sz w:val="24"/>
          <w:szCs w:val="24"/>
          <w:lang w:val="en-US"/>
        </w:rPr>
        <w:t>”, Journal of International Economics, Vol. 90, No 2, pp. 245-254;</w:t>
      </w:r>
    </w:p>
    <w:p w14:paraId="5D0E2D52"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Backer, K &amp; Miroudot, S. (2013), “</w:t>
      </w:r>
      <w:r w:rsidRPr="0047178E">
        <w:rPr>
          <w:rFonts w:ascii="Times New Roman" w:hAnsi="Times New Roman" w:cs="Times New Roman"/>
          <w:i/>
          <w:sz w:val="24"/>
          <w:szCs w:val="24"/>
          <w:lang w:val="en-US"/>
        </w:rPr>
        <w:t>Mapping Global Value Chains</w:t>
      </w:r>
      <w:r w:rsidRPr="0047178E">
        <w:rPr>
          <w:rFonts w:ascii="Times New Roman" w:hAnsi="Times New Roman" w:cs="Times New Roman"/>
          <w:sz w:val="24"/>
          <w:szCs w:val="24"/>
          <w:lang w:val="en-US"/>
        </w:rPr>
        <w:t>”, OECD Trade Policy Papers 159, OECD Publishing;</w:t>
      </w:r>
    </w:p>
    <w:p w14:paraId="03ED797C"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rPr>
      </w:pPr>
      <w:r w:rsidRPr="0047178E">
        <w:rPr>
          <w:rFonts w:ascii="Times New Roman" w:hAnsi="Times New Roman" w:cs="Times New Roman"/>
          <w:sz w:val="24"/>
          <w:szCs w:val="24"/>
        </w:rPr>
        <w:t>Bielschowsky, R.; Squeff, G.; Vasconcelos, L. (2015), “</w:t>
      </w:r>
      <w:r w:rsidRPr="0047178E">
        <w:rPr>
          <w:rFonts w:ascii="Times New Roman" w:hAnsi="Times New Roman" w:cs="Times New Roman"/>
          <w:i/>
          <w:sz w:val="24"/>
          <w:szCs w:val="24"/>
        </w:rPr>
        <w:t>Evolução dos Investimentos nas Três Frentes de Expansão da Economia Brasileira na Década de 2000</w:t>
      </w:r>
      <w:r w:rsidRPr="0047178E">
        <w:rPr>
          <w:rFonts w:ascii="Times New Roman" w:hAnsi="Times New Roman" w:cs="Times New Roman"/>
          <w:sz w:val="24"/>
          <w:szCs w:val="24"/>
        </w:rPr>
        <w:t xml:space="preserve">”, IPEA; </w:t>
      </w:r>
    </w:p>
    <w:p w14:paraId="485A4397"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rPr>
      </w:pPr>
      <w:r w:rsidRPr="0047178E">
        <w:rPr>
          <w:rFonts w:ascii="Times New Roman" w:hAnsi="Times New Roman" w:cs="Times New Roman"/>
          <w:sz w:val="24"/>
          <w:szCs w:val="24"/>
        </w:rPr>
        <w:t>Carneiro, F. (2014), “</w:t>
      </w:r>
      <w:r w:rsidRPr="0047178E">
        <w:rPr>
          <w:rFonts w:ascii="Times New Roman" w:hAnsi="Times New Roman" w:cs="Times New Roman"/>
          <w:i/>
          <w:sz w:val="24"/>
          <w:szCs w:val="24"/>
        </w:rPr>
        <w:t>Comércio e Protecionismo em Bens Intermediários”</w:t>
      </w:r>
      <w:r w:rsidRPr="0047178E">
        <w:rPr>
          <w:rFonts w:ascii="Times New Roman" w:hAnsi="Times New Roman" w:cs="Times New Roman"/>
          <w:sz w:val="24"/>
          <w:szCs w:val="24"/>
        </w:rPr>
        <w:t xml:space="preserve">, IPEA, Brasília; </w:t>
      </w:r>
    </w:p>
    <w:p w14:paraId="49DFE4E0"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rPr>
      </w:pPr>
      <w:r w:rsidRPr="0047178E">
        <w:rPr>
          <w:rFonts w:ascii="Times New Roman" w:hAnsi="Times New Roman" w:cs="Times New Roman"/>
          <w:sz w:val="24"/>
          <w:szCs w:val="24"/>
        </w:rPr>
        <w:t>Carvalho, L; Kupfer, D. (2011), “</w:t>
      </w:r>
      <w:r w:rsidRPr="0047178E">
        <w:rPr>
          <w:rFonts w:ascii="Times New Roman" w:hAnsi="Times New Roman" w:cs="Times New Roman"/>
          <w:i/>
          <w:sz w:val="24"/>
          <w:szCs w:val="24"/>
        </w:rPr>
        <w:t>Diversificação ou Especialização: uma análise do processo de mudança estrutural da economia brasileira</w:t>
      </w:r>
      <w:r w:rsidRPr="0047178E">
        <w:rPr>
          <w:rFonts w:ascii="Times New Roman" w:hAnsi="Times New Roman" w:cs="Times New Roman"/>
          <w:sz w:val="24"/>
          <w:szCs w:val="24"/>
        </w:rPr>
        <w:t>”, Revista de Economia Política, v. 31, n. 4;</w:t>
      </w:r>
    </w:p>
    <w:p w14:paraId="2D5C4A3B"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Clark, C. (1957), “</w:t>
      </w:r>
      <w:r w:rsidRPr="0047178E">
        <w:rPr>
          <w:rFonts w:ascii="Times New Roman" w:hAnsi="Times New Roman" w:cs="Times New Roman"/>
          <w:i/>
          <w:sz w:val="24"/>
          <w:szCs w:val="24"/>
          <w:lang w:val="en-US"/>
        </w:rPr>
        <w:t>The Conditions of Economic Progress</w:t>
      </w:r>
      <w:r w:rsidRPr="0047178E">
        <w:rPr>
          <w:rFonts w:ascii="Times New Roman" w:hAnsi="Times New Roman" w:cs="Times New Roman"/>
          <w:sz w:val="24"/>
          <w:szCs w:val="24"/>
          <w:lang w:val="en-US"/>
        </w:rPr>
        <w:t>”, London: Macmillan;</w:t>
      </w:r>
    </w:p>
    <w:p w14:paraId="48987FA4" w14:textId="77777777" w:rsidR="009174C3" w:rsidRPr="0047178E" w:rsidRDefault="009174C3" w:rsidP="0047178E">
      <w:pPr>
        <w:pStyle w:val="PargrafodaLista"/>
        <w:numPr>
          <w:ilvl w:val="0"/>
          <w:numId w:val="20"/>
        </w:numPr>
        <w:spacing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Dosi, G.; Grazzi, M.; Moschella, D. (2014), “</w:t>
      </w:r>
      <w:r w:rsidRPr="0047178E">
        <w:rPr>
          <w:rFonts w:ascii="Times New Roman" w:hAnsi="Times New Roman" w:cs="Times New Roman"/>
          <w:i/>
          <w:sz w:val="24"/>
          <w:szCs w:val="24"/>
          <w:lang w:val="en-US"/>
        </w:rPr>
        <w:t>Technology and Costs in International Competitiveness: from countries and sectors to firms</w:t>
      </w:r>
      <w:r w:rsidRPr="0047178E">
        <w:rPr>
          <w:rFonts w:ascii="Times New Roman" w:hAnsi="Times New Roman" w:cs="Times New Roman"/>
          <w:sz w:val="24"/>
          <w:szCs w:val="24"/>
          <w:lang w:val="en-US"/>
        </w:rPr>
        <w:t>”. Sant’Anna School, LEM Working Paper No 2014/10;</w:t>
      </w:r>
    </w:p>
    <w:p w14:paraId="1D6597FD" w14:textId="77777777" w:rsidR="009174C3" w:rsidRPr="0047178E" w:rsidRDefault="009174C3" w:rsidP="0047178E">
      <w:pPr>
        <w:pStyle w:val="PargrafodaLista"/>
        <w:numPr>
          <w:ilvl w:val="0"/>
          <w:numId w:val="20"/>
        </w:numPr>
        <w:spacing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rPr>
        <w:t>Gadelha, C. (2001), “</w:t>
      </w:r>
      <w:r w:rsidRPr="0047178E">
        <w:rPr>
          <w:rFonts w:ascii="Times New Roman" w:hAnsi="Times New Roman" w:cs="Times New Roman"/>
          <w:i/>
          <w:sz w:val="24"/>
          <w:szCs w:val="24"/>
        </w:rPr>
        <w:t>Política industrial: uma visão neo-schumpeteriana sistêmica e estrutural</w:t>
      </w:r>
      <w:r w:rsidRPr="0047178E">
        <w:rPr>
          <w:rFonts w:ascii="Times New Roman" w:hAnsi="Times New Roman" w:cs="Times New Roman"/>
          <w:sz w:val="24"/>
          <w:szCs w:val="24"/>
        </w:rPr>
        <w:t xml:space="preserve">”. </w:t>
      </w:r>
      <w:r w:rsidRPr="0047178E">
        <w:rPr>
          <w:rFonts w:ascii="Times New Roman" w:hAnsi="Times New Roman" w:cs="Times New Roman"/>
          <w:sz w:val="24"/>
          <w:szCs w:val="24"/>
          <w:lang w:val="en-US"/>
        </w:rPr>
        <w:t>Revista de Economia Política, Vol. 21, No. 4, pp. 149-171;</w:t>
      </w:r>
    </w:p>
    <w:p w14:paraId="5D847D7B" w14:textId="77777777" w:rsidR="009174C3" w:rsidRPr="0047178E" w:rsidRDefault="009174C3" w:rsidP="0047178E">
      <w:pPr>
        <w:pStyle w:val="PargrafodaLista"/>
        <w:numPr>
          <w:ilvl w:val="0"/>
          <w:numId w:val="20"/>
        </w:numPr>
        <w:spacing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Gereffi, G. (2014), </w:t>
      </w:r>
      <w:r w:rsidRPr="0047178E">
        <w:rPr>
          <w:rFonts w:ascii="Times New Roman" w:hAnsi="Times New Roman" w:cs="Times New Roman"/>
          <w:i/>
          <w:sz w:val="24"/>
          <w:szCs w:val="24"/>
          <w:lang w:val="en-US"/>
        </w:rPr>
        <w:t>“A Global Value Chain Perspective on Industrial Policy in Emerging Markets</w:t>
      </w:r>
      <w:r w:rsidRPr="0047178E">
        <w:rPr>
          <w:rFonts w:ascii="Times New Roman" w:hAnsi="Times New Roman" w:cs="Times New Roman"/>
          <w:sz w:val="24"/>
          <w:szCs w:val="24"/>
          <w:lang w:val="en-US"/>
        </w:rPr>
        <w:t>”, Duke Journal of Comparative &amp; International Law;</w:t>
      </w:r>
    </w:p>
    <w:p w14:paraId="3ECEB6D8"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Humphrey, J. (2004), “</w:t>
      </w:r>
      <w:r w:rsidRPr="0047178E">
        <w:rPr>
          <w:rFonts w:ascii="Times New Roman" w:hAnsi="Times New Roman" w:cs="Times New Roman"/>
          <w:i/>
          <w:sz w:val="24"/>
          <w:szCs w:val="24"/>
          <w:lang w:val="en-US"/>
        </w:rPr>
        <w:t>Upgrading in Global Value Chains</w:t>
      </w:r>
      <w:r w:rsidRPr="0047178E">
        <w:rPr>
          <w:rFonts w:ascii="Times New Roman" w:hAnsi="Times New Roman" w:cs="Times New Roman"/>
          <w:sz w:val="24"/>
          <w:szCs w:val="24"/>
          <w:lang w:val="en-US"/>
        </w:rPr>
        <w:t>”, Documento de Trabalho ILO No. 28, Policy Integration Department, World Commission on the Social Dimension of Globalization, Organização Internacional do Trabalho (OIT), Genebra;</w:t>
      </w:r>
    </w:p>
    <w:p w14:paraId="1B494A2C"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Kowalski, P; Gonzalez, J.; Ragoussis, A.; Ugarte, C. (2015), “</w:t>
      </w:r>
      <w:r w:rsidRPr="0047178E">
        <w:rPr>
          <w:rFonts w:ascii="Times New Roman" w:hAnsi="Times New Roman" w:cs="Times New Roman"/>
          <w:i/>
          <w:sz w:val="24"/>
          <w:szCs w:val="24"/>
          <w:lang w:val="en-US"/>
        </w:rPr>
        <w:t>Participation of Developing Countries in Global Value Chains: Implications for Trade and Trade-Related Policies”</w:t>
      </w:r>
      <w:r w:rsidRPr="0047178E">
        <w:rPr>
          <w:rFonts w:ascii="Times New Roman" w:hAnsi="Times New Roman" w:cs="Times New Roman"/>
          <w:sz w:val="24"/>
          <w:szCs w:val="24"/>
          <w:lang w:val="en-US"/>
        </w:rPr>
        <w:t xml:space="preserve">, OECD Trade Policy Papers, No. 179, OECD Publishing; </w:t>
      </w:r>
    </w:p>
    <w:p w14:paraId="65AF3B52"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lastRenderedPageBreak/>
        <w:t>Koopman, R.; Powers, W.; Wang, Z.; Wei, S-J. (2010), “</w:t>
      </w:r>
      <w:r w:rsidRPr="0047178E">
        <w:rPr>
          <w:rFonts w:ascii="Times New Roman" w:hAnsi="Times New Roman" w:cs="Times New Roman"/>
          <w:i/>
          <w:sz w:val="24"/>
          <w:szCs w:val="24"/>
          <w:lang w:val="en-US"/>
        </w:rPr>
        <w:t>Give credit to where credit is due: tracing value added in global production chains</w:t>
      </w:r>
      <w:r w:rsidRPr="0047178E">
        <w:rPr>
          <w:rFonts w:ascii="Times New Roman" w:hAnsi="Times New Roman" w:cs="Times New Roman"/>
          <w:sz w:val="24"/>
          <w:szCs w:val="24"/>
          <w:lang w:val="en-US"/>
        </w:rPr>
        <w:t>”, NBER Working Papers Series 16426;</w:t>
      </w:r>
    </w:p>
    <w:p w14:paraId="0E83A19E"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Miroudot, S.; Rouzet, D.; Spinelli, F. (2013), “</w:t>
      </w:r>
      <w:r w:rsidRPr="0047178E">
        <w:rPr>
          <w:rFonts w:ascii="Times New Roman" w:hAnsi="Times New Roman" w:cs="Times New Roman"/>
          <w:i/>
          <w:sz w:val="24"/>
          <w:szCs w:val="24"/>
          <w:lang w:val="en-US"/>
        </w:rPr>
        <w:t>Trade Policy Implications of Global Value Chains: Case Studies</w:t>
      </w:r>
      <w:r w:rsidRPr="0047178E">
        <w:rPr>
          <w:rFonts w:ascii="Times New Roman" w:hAnsi="Times New Roman" w:cs="Times New Roman"/>
          <w:sz w:val="24"/>
          <w:szCs w:val="24"/>
          <w:lang w:val="en-US"/>
        </w:rPr>
        <w:t>”, OECD Trade Policy Paper, No. 161, OECD Publishing;</w:t>
      </w:r>
    </w:p>
    <w:p w14:paraId="6ADBE24B"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Morceiro, P. (2016), “</w:t>
      </w:r>
      <w:r w:rsidRPr="0047178E">
        <w:rPr>
          <w:rFonts w:ascii="Times New Roman" w:hAnsi="Times New Roman" w:cs="Times New Roman"/>
          <w:i/>
          <w:sz w:val="24"/>
          <w:szCs w:val="24"/>
          <w:lang w:val="en-US"/>
        </w:rPr>
        <w:t>Sectoral demand and competitiveness of the Brazilian manufacturing industry</w:t>
      </w:r>
      <w:r w:rsidRPr="0047178E">
        <w:rPr>
          <w:rFonts w:ascii="Times New Roman" w:hAnsi="Times New Roman" w:cs="Times New Roman"/>
          <w:sz w:val="24"/>
          <w:szCs w:val="24"/>
          <w:lang w:val="en-US"/>
        </w:rPr>
        <w:t xml:space="preserve">”; Working paper series, n. 2016-12; </w:t>
      </w:r>
    </w:p>
    <w:p w14:paraId="1085446B"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 xml:space="preserve">OECD (2013), </w:t>
      </w:r>
      <w:r w:rsidRPr="0047178E">
        <w:rPr>
          <w:rFonts w:ascii="Times New Roman" w:hAnsi="Times New Roman" w:cs="Times New Roman"/>
          <w:i/>
          <w:sz w:val="24"/>
          <w:szCs w:val="24"/>
          <w:lang w:val="en-US"/>
        </w:rPr>
        <w:t>Interconnected Economies: Benefiting from Global Value Chains</w:t>
      </w:r>
      <w:r w:rsidRPr="0047178E">
        <w:rPr>
          <w:rFonts w:ascii="Times New Roman" w:hAnsi="Times New Roman" w:cs="Times New Roman"/>
          <w:sz w:val="24"/>
          <w:szCs w:val="24"/>
          <w:lang w:val="en-US"/>
        </w:rPr>
        <w:t>, OECD Publishing, Paris;</w:t>
      </w:r>
    </w:p>
    <w:p w14:paraId="639E895F"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i/>
          <w:sz w:val="24"/>
          <w:szCs w:val="24"/>
          <w:lang w:val="en-US"/>
        </w:rPr>
      </w:pPr>
      <w:r w:rsidRPr="0047178E">
        <w:rPr>
          <w:rFonts w:ascii="Times New Roman" w:hAnsi="Times New Roman" w:cs="Times New Roman"/>
          <w:sz w:val="24"/>
          <w:szCs w:val="24"/>
          <w:lang w:val="en-US"/>
        </w:rPr>
        <w:t>OCDE, OMC, e UNCTAD (2013), “</w:t>
      </w:r>
      <w:r w:rsidRPr="0047178E">
        <w:rPr>
          <w:rFonts w:ascii="Times New Roman" w:hAnsi="Times New Roman" w:cs="Times New Roman"/>
          <w:i/>
          <w:sz w:val="24"/>
          <w:szCs w:val="24"/>
          <w:lang w:val="en-US"/>
        </w:rPr>
        <w:t>Implications of Global Value Chains for Trade, Investment, Development and Jobs</w:t>
      </w:r>
      <w:r w:rsidRPr="0047178E">
        <w:rPr>
          <w:rFonts w:ascii="Times New Roman" w:hAnsi="Times New Roman" w:cs="Times New Roman"/>
          <w:sz w:val="24"/>
          <w:szCs w:val="24"/>
          <w:lang w:val="en-US"/>
        </w:rPr>
        <w:t>,” preparado para o encontro de líderes do G-20 - Saint Petersburg, Rússia;</w:t>
      </w:r>
    </w:p>
    <w:p w14:paraId="5408ECCF" w14:textId="77777777" w:rsidR="009174C3" w:rsidRPr="0047178E" w:rsidRDefault="009174C3" w:rsidP="0047178E">
      <w:pPr>
        <w:pStyle w:val="PargrafodaLista"/>
        <w:numPr>
          <w:ilvl w:val="0"/>
          <w:numId w:val="20"/>
        </w:numPr>
        <w:spacing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Reiner, C. &amp; Staritz, C. (2013), “</w:t>
      </w:r>
      <w:r w:rsidRPr="0047178E">
        <w:rPr>
          <w:rFonts w:ascii="Times New Roman" w:hAnsi="Times New Roman" w:cs="Times New Roman"/>
          <w:i/>
          <w:sz w:val="24"/>
          <w:szCs w:val="24"/>
          <w:lang w:val="en-US"/>
        </w:rPr>
        <w:t>Private sector development and industrial policy: why, how and for whom?</w:t>
      </w:r>
      <w:r w:rsidRPr="0047178E">
        <w:rPr>
          <w:rFonts w:ascii="Times New Roman" w:hAnsi="Times New Roman" w:cs="Times New Roman"/>
          <w:sz w:val="24"/>
          <w:szCs w:val="24"/>
          <w:lang w:val="en-US"/>
        </w:rPr>
        <w:t>” In: Österreichischen Forschungsstiftung für Internationale Entwicklung (ÖFSE), “</w:t>
      </w:r>
      <w:r w:rsidRPr="0047178E">
        <w:rPr>
          <w:rFonts w:ascii="Times New Roman" w:hAnsi="Times New Roman" w:cs="Times New Roman"/>
          <w:i/>
          <w:sz w:val="24"/>
          <w:szCs w:val="24"/>
          <w:lang w:val="en-US"/>
        </w:rPr>
        <w:t>Private sector development: einneuer businessplan für entwicklung?</w:t>
      </w:r>
      <w:r w:rsidRPr="0047178E">
        <w:rPr>
          <w:rFonts w:ascii="Times New Roman" w:hAnsi="Times New Roman" w:cs="Times New Roman"/>
          <w:sz w:val="24"/>
          <w:szCs w:val="24"/>
          <w:lang w:val="en-US"/>
        </w:rPr>
        <w:t xml:space="preserve"> Viena, pp. 53-61;</w:t>
      </w:r>
    </w:p>
    <w:p w14:paraId="75719F3B" w14:textId="77777777" w:rsidR="009174C3" w:rsidRPr="0047178E" w:rsidRDefault="009174C3" w:rsidP="0047178E">
      <w:pPr>
        <w:pStyle w:val="PargrafodaLista"/>
        <w:numPr>
          <w:ilvl w:val="0"/>
          <w:numId w:val="20"/>
        </w:numPr>
        <w:spacing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Reinert, E. (2007), “</w:t>
      </w:r>
      <w:r w:rsidRPr="0047178E">
        <w:rPr>
          <w:rFonts w:ascii="Times New Roman" w:hAnsi="Times New Roman" w:cs="Times New Roman"/>
          <w:i/>
          <w:sz w:val="24"/>
          <w:szCs w:val="24"/>
          <w:lang w:val="en-US"/>
        </w:rPr>
        <w:t>How Rich Countries Got Rich… and Why Poor Countries Stay Poor”</w:t>
      </w:r>
      <w:r w:rsidRPr="0047178E">
        <w:rPr>
          <w:rFonts w:ascii="Times New Roman" w:hAnsi="Times New Roman" w:cs="Times New Roman"/>
          <w:sz w:val="24"/>
          <w:szCs w:val="24"/>
          <w:lang w:val="en-US"/>
        </w:rPr>
        <w:t>, Londres;</w:t>
      </w:r>
    </w:p>
    <w:p w14:paraId="22F69911"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Rowthorn, R.; Ramaswamy, R. (1999) “</w:t>
      </w:r>
      <w:r w:rsidRPr="0047178E">
        <w:rPr>
          <w:rFonts w:ascii="Times New Roman" w:hAnsi="Times New Roman" w:cs="Times New Roman"/>
          <w:i/>
          <w:sz w:val="24"/>
          <w:szCs w:val="24"/>
          <w:lang w:val="en-US"/>
        </w:rPr>
        <w:t>Growth, trade, and deindustrialization</w:t>
      </w:r>
      <w:r w:rsidRPr="0047178E">
        <w:rPr>
          <w:rFonts w:ascii="Times New Roman" w:hAnsi="Times New Roman" w:cs="Times New Roman"/>
          <w:sz w:val="24"/>
          <w:szCs w:val="24"/>
          <w:lang w:val="en-US"/>
        </w:rPr>
        <w:t>”, IMF Staff Papers 46(1). Washington, DC;</w:t>
      </w:r>
    </w:p>
    <w:p w14:paraId="695AD3C0"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Sachs, D.; Shatz, H. (1994), “</w:t>
      </w:r>
      <w:r w:rsidRPr="0047178E">
        <w:rPr>
          <w:rFonts w:ascii="Times New Roman" w:hAnsi="Times New Roman" w:cs="Times New Roman"/>
          <w:i/>
          <w:sz w:val="24"/>
          <w:szCs w:val="24"/>
          <w:lang w:val="en-US"/>
        </w:rPr>
        <w:t>Trade and Jobs in U.S. Manufacturing</w:t>
      </w:r>
      <w:r w:rsidRPr="0047178E">
        <w:rPr>
          <w:rFonts w:ascii="Times New Roman" w:hAnsi="Times New Roman" w:cs="Times New Roman"/>
          <w:sz w:val="24"/>
          <w:szCs w:val="24"/>
          <w:lang w:val="en-US"/>
        </w:rPr>
        <w:t>”, Brookings Papers on Economic Activity: 1, Brookings Institution;</w:t>
      </w:r>
    </w:p>
    <w:p w14:paraId="5C7A5DE4" w14:textId="77777777" w:rsidR="009174C3" w:rsidRPr="0047178E" w:rsidRDefault="009174C3" w:rsidP="0047178E">
      <w:pPr>
        <w:pStyle w:val="PargrafodaLista"/>
        <w:numPr>
          <w:ilvl w:val="0"/>
          <w:numId w:val="20"/>
        </w:numPr>
        <w:spacing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lang w:val="en-US"/>
        </w:rPr>
        <w:t>Sturgeon, T.; Gereffi, G.; Guinn, A.; Zylberberg, E. (2013), “</w:t>
      </w:r>
      <w:r w:rsidRPr="0047178E">
        <w:rPr>
          <w:rFonts w:ascii="Times New Roman" w:hAnsi="Times New Roman" w:cs="Times New Roman"/>
          <w:i/>
          <w:sz w:val="24"/>
          <w:szCs w:val="24"/>
          <w:lang w:val="en-US"/>
        </w:rPr>
        <w:t>Brazil in Global Value Chains: Implications for Trade and Industrial Policy</w:t>
      </w:r>
      <w:r w:rsidRPr="0047178E">
        <w:rPr>
          <w:rFonts w:ascii="Times New Roman" w:hAnsi="Times New Roman" w:cs="Times New Roman"/>
          <w:sz w:val="24"/>
          <w:szCs w:val="24"/>
          <w:lang w:val="en-US"/>
        </w:rPr>
        <w:t xml:space="preserve">”, Revista Funcex; </w:t>
      </w:r>
    </w:p>
    <w:p w14:paraId="5D70D84E"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rPr>
      </w:pPr>
      <w:r w:rsidRPr="0047178E">
        <w:rPr>
          <w:rFonts w:ascii="Times New Roman" w:hAnsi="Times New Roman" w:cs="Times New Roman"/>
          <w:sz w:val="24"/>
          <w:szCs w:val="24"/>
        </w:rPr>
        <w:t>Thorstensen, V.; Ferraz, L.; Ramos, D.; Müller, C.; Eleotério, B. (2013), “</w:t>
      </w:r>
      <w:r w:rsidRPr="0047178E">
        <w:rPr>
          <w:rFonts w:ascii="Times New Roman" w:hAnsi="Times New Roman" w:cs="Times New Roman"/>
          <w:i/>
          <w:sz w:val="24"/>
          <w:szCs w:val="24"/>
        </w:rPr>
        <w:t>A multiplicação dos Acordos Preferenciais de Comércio e o Isolamento do Brasil”</w:t>
      </w:r>
      <w:r w:rsidRPr="0047178E">
        <w:rPr>
          <w:rFonts w:ascii="Times New Roman" w:hAnsi="Times New Roman" w:cs="Times New Roman"/>
          <w:sz w:val="24"/>
          <w:szCs w:val="24"/>
        </w:rPr>
        <w:t>, Instituto de Estudos para o Desenvolvimento Industrial (IEDI);</w:t>
      </w:r>
    </w:p>
    <w:p w14:paraId="4D27186E" w14:textId="77777777" w:rsidR="009174C3" w:rsidRPr="0047178E" w:rsidRDefault="009174C3" w:rsidP="0047178E">
      <w:pPr>
        <w:pStyle w:val="PargrafodaLista"/>
        <w:numPr>
          <w:ilvl w:val="0"/>
          <w:numId w:val="20"/>
        </w:numPr>
        <w:spacing w:after="0" w:line="240" w:lineRule="auto"/>
        <w:ind w:left="284" w:hanging="284"/>
        <w:contextualSpacing/>
        <w:jc w:val="both"/>
        <w:rPr>
          <w:rStyle w:val="A21"/>
          <w:rFonts w:ascii="Times New Roman" w:hAnsi="Times New Roman" w:cs="Times New Roman"/>
          <w:b w:val="0"/>
          <w:bCs w:val="0"/>
          <w:color w:val="auto"/>
          <w:sz w:val="24"/>
          <w:szCs w:val="24"/>
        </w:rPr>
      </w:pPr>
      <w:r w:rsidRPr="0047178E">
        <w:rPr>
          <w:rFonts w:ascii="Times New Roman" w:hAnsi="Times New Roman" w:cs="Times New Roman"/>
          <w:sz w:val="24"/>
          <w:szCs w:val="24"/>
        </w:rPr>
        <w:t>Veiga, P.; Rios, S. (2015), “</w:t>
      </w:r>
      <w:r w:rsidRPr="0047178E">
        <w:rPr>
          <w:rStyle w:val="A21"/>
          <w:rFonts w:ascii="Times New Roman" w:hAnsi="Times New Roman" w:cs="Times New Roman"/>
          <w:b w:val="0"/>
          <w:i/>
          <w:sz w:val="24"/>
          <w:szCs w:val="24"/>
        </w:rPr>
        <w:t>Inserção em Cadeias Globais de Valor e Políticas Públicas: o caso do Brasil</w:t>
      </w:r>
      <w:r w:rsidRPr="0047178E">
        <w:rPr>
          <w:rStyle w:val="A21"/>
          <w:rFonts w:ascii="Times New Roman" w:hAnsi="Times New Roman" w:cs="Times New Roman"/>
          <w:b w:val="0"/>
          <w:sz w:val="24"/>
          <w:szCs w:val="24"/>
        </w:rPr>
        <w:t>”, Texto para discussão 2069;</w:t>
      </w:r>
    </w:p>
    <w:p w14:paraId="6FE1039B" w14:textId="77777777" w:rsidR="009174C3" w:rsidRPr="0047178E" w:rsidRDefault="009174C3" w:rsidP="0047178E">
      <w:pPr>
        <w:pStyle w:val="PargrafodaLista"/>
        <w:numPr>
          <w:ilvl w:val="0"/>
          <w:numId w:val="20"/>
        </w:numPr>
        <w:spacing w:after="0" w:line="240" w:lineRule="auto"/>
        <w:ind w:left="284" w:hanging="284"/>
        <w:contextualSpacing/>
        <w:jc w:val="both"/>
        <w:rPr>
          <w:rFonts w:ascii="Times New Roman" w:hAnsi="Times New Roman" w:cs="Times New Roman"/>
          <w:sz w:val="24"/>
          <w:szCs w:val="24"/>
          <w:lang w:val="en-US"/>
        </w:rPr>
      </w:pPr>
      <w:r w:rsidRPr="0047178E">
        <w:rPr>
          <w:rFonts w:ascii="Times New Roman" w:hAnsi="Times New Roman" w:cs="Times New Roman"/>
          <w:sz w:val="24"/>
          <w:szCs w:val="24"/>
        </w:rPr>
        <w:t>Zhang, L.; Schimanski, S. (2014), “</w:t>
      </w:r>
      <w:r w:rsidRPr="0047178E">
        <w:rPr>
          <w:rFonts w:ascii="Times New Roman" w:hAnsi="Times New Roman" w:cs="Times New Roman"/>
          <w:i/>
          <w:sz w:val="24"/>
          <w:szCs w:val="24"/>
        </w:rPr>
        <w:t>Cadeias globais de valor e os países em desenvolvimento</w:t>
      </w:r>
      <w:r w:rsidRPr="0047178E">
        <w:rPr>
          <w:rFonts w:ascii="Times New Roman" w:hAnsi="Times New Roman" w:cs="Times New Roman"/>
          <w:sz w:val="24"/>
          <w:szCs w:val="24"/>
        </w:rPr>
        <w:t xml:space="preserve">”, Instituto de Pesquisas Econômica Aplicada. </w:t>
      </w:r>
      <w:r w:rsidRPr="0047178E">
        <w:rPr>
          <w:rFonts w:ascii="Times New Roman" w:hAnsi="Times New Roman" w:cs="Times New Roman"/>
          <w:sz w:val="24"/>
          <w:szCs w:val="24"/>
          <w:lang w:val="en-US"/>
        </w:rPr>
        <w:t>Boletim de Economia Política Internacional</w:t>
      </w:r>
      <w:r w:rsidRPr="0047178E">
        <w:rPr>
          <w:rFonts w:ascii="Times New Roman" w:hAnsi="Times New Roman" w:cs="Times New Roman"/>
          <w:i/>
          <w:sz w:val="24"/>
          <w:szCs w:val="24"/>
          <w:lang w:val="en-US"/>
        </w:rPr>
        <w:t>,</w:t>
      </w:r>
      <w:r w:rsidRPr="0047178E">
        <w:rPr>
          <w:rFonts w:ascii="Times New Roman" w:hAnsi="Times New Roman" w:cs="Times New Roman"/>
          <w:sz w:val="24"/>
          <w:szCs w:val="24"/>
          <w:lang w:val="en-US"/>
        </w:rPr>
        <w:t xml:space="preserve"> Brasília, No 18.</w:t>
      </w:r>
    </w:p>
    <w:p w14:paraId="265454BC" w14:textId="77777777" w:rsidR="009174C3" w:rsidRPr="0047178E" w:rsidRDefault="009174C3" w:rsidP="0047178E">
      <w:pPr>
        <w:pStyle w:val="PargrafodaLista"/>
        <w:spacing w:after="0" w:line="240" w:lineRule="auto"/>
        <w:ind w:left="0" w:firstLine="540"/>
        <w:jc w:val="both"/>
        <w:rPr>
          <w:rFonts w:ascii="Times New Roman" w:hAnsi="Times New Roman" w:cs="Times New Roman"/>
          <w:sz w:val="24"/>
          <w:szCs w:val="24"/>
          <w:lang w:val="en-US"/>
        </w:rPr>
      </w:pPr>
    </w:p>
    <w:sectPr w:rsidR="009174C3" w:rsidRPr="0047178E" w:rsidSect="005C54ED">
      <w:footerReference w:type="default" r:id="rId24"/>
      <w:pgSz w:w="11906" w:h="16838"/>
      <w:pgMar w:top="1134" w:right="851" w:bottom="1134"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EBEA0" w14:textId="77777777" w:rsidR="002F5A09" w:rsidRDefault="002F5A09">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372DC55C" w14:textId="77777777" w:rsidR="002F5A09" w:rsidRDefault="002F5A09">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w:altName w:val="Frutige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05EE7" w14:textId="722AE93D" w:rsidR="004129CE" w:rsidRDefault="004129CE">
    <w:pPr>
      <w:pStyle w:val="Rodap"/>
      <w:jc w:val="right"/>
      <w:rPr>
        <w:rFonts w:ascii="Times New Roman" w:hAnsi="Times New Roman" w:cs="Times New Roman"/>
      </w:rPr>
    </w:pPr>
    <w:r>
      <w:fldChar w:fldCharType="begin"/>
    </w:r>
    <w:r>
      <w:instrText>PAGE   \* MERGEFORMAT</w:instrText>
    </w:r>
    <w:r>
      <w:fldChar w:fldCharType="separate"/>
    </w:r>
    <w:r w:rsidR="005C54ED">
      <w:rPr>
        <w:noProof/>
      </w:rPr>
      <w:t>1</w:t>
    </w:r>
    <w:r>
      <w:rPr>
        <w:noProof/>
      </w:rPr>
      <w:fldChar w:fldCharType="end"/>
    </w:r>
  </w:p>
  <w:p w14:paraId="6EE5A0FA" w14:textId="77777777" w:rsidR="004129CE" w:rsidRDefault="004129CE">
    <w:pPr>
      <w:pStyle w:val="Rodap"/>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1DCE2" w14:textId="77777777" w:rsidR="002F5A09" w:rsidRDefault="002F5A09">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7C4FB759" w14:textId="77777777" w:rsidR="002F5A09" w:rsidRDefault="002F5A09">
      <w:pPr>
        <w:spacing w:after="0" w:line="240" w:lineRule="auto"/>
        <w:rPr>
          <w:rFonts w:ascii="Times New Roman" w:hAnsi="Times New Roman" w:cs="Times New Roman"/>
        </w:rPr>
      </w:pPr>
      <w:r>
        <w:rPr>
          <w:rFonts w:ascii="Times New Roman" w:hAnsi="Times New Roman" w:cs="Times New Roman"/>
        </w:rPr>
        <w:continuationSeparator/>
      </w:r>
    </w:p>
  </w:footnote>
  <w:footnote w:id="1">
    <w:p w14:paraId="10A3390F" w14:textId="77777777" w:rsidR="004129CE" w:rsidRPr="00636D03" w:rsidRDefault="004129CE" w:rsidP="007679CA">
      <w:pPr>
        <w:pStyle w:val="Textodenotaderodap"/>
        <w:rPr>
          <w:lang w:val="en-US"/>
        </w:rPr>
      </w:pPr>
      <w:r>
        <w:rPr>
          <w:rStyle w:val="Refdenotaderodap"/>
        </w:rPr>
        <w:footnoteRef/>
      </w:r>
      <w:r w:rsidRPr="007679CA">
        <w:rPr>
          <w:lang w:val="en-US"/>
        </w:rPr>
        <w:t xml:space="preserve"> </w:t>
      </w:r>
      <w:r>
        <w:rPr>
          <w:lang w:val="en-US"/>
        </w:rPr>
        <w:t>This</w:t>
      </w:r>
      <w:r w:rsidRPr="007679CA">
        <w:rPr>
          <w:lang w:val="en-US"/>
        </w:rPr>
        <w:t xml:space="preserve"> is calculated as a percentage of gross exports and has two components: the import content of exports and the exports of intermediate inputs (goods and services) used in third countries’ exports. </w:t>
      </w:r>
      <w:r w:rsidRPr="00636D03">
        <w:rPr>
          <w:lang w:val="en-US"/>
        </w:rPr>
        <w:t>The methodology used for this calculus will be explained wit</w:t>
      </w:r>
      <w:r>
        <w:rPr>
          <w:lang w:val="en-US"/>
        </w:rPr>
        <w:t>h further details in section 3.</w:t>
      </w:r>
    </w:p>
  </w:footnote>
  <w:footnote w:id="2">
    <w:p w14:paraId="60D09EC8" w14:textId="77777777" w:rsidR="004129CE" w:rsidRPr="00C325FE" w:rsidRDefault="004129CE" w:rsidP="00B53A63">
      <w:pPr>
        <w:pStyle w:val="Textodenotaderodap"/>
        <w:rPr>
          <w:lang w:val="en-US"/>
        </w:rPr>
      </w:pPr>
      <w:r>
        <w:rPr>
          <w:rStyle w:val="Refdenotaderodap"/>
        </w:rPr>
        <w:footnoteRef/>
      </w:r>
      <w:r w:rsidRPr="00C325FE">
        <w:rPr>
          <w:lang w:val="en-US"/>
        </w:rPr>
        <w:t xml:space="preserve"> Data for the United States and Uruguay were not available.</w:t>
      </w:r>
    </w:p>
  </w:footnote>
  <w:footnote w:id="3">
    <w:p w14:paraId="3E68508C" w14:textId="4B664677" w:rsidR="004129CE" w:rsidRPr="00CC3B0A" w:rsidRDefault="004129CE">
      <w:pPr>
        <w:pStyle w:val="Textodenotaderodap"/>
        <w:rPr>
          <w:lang w:val="en-US"/>
        </w:rPr>
      </w:pPr>
      <w:r w:rsidRPr="00CC3B0A">
        <w:rPr>
          <w:rStyle w:val="Refdenotaderodap"/>
        </w:rPr>
        <w:footnoteRef/>
      </w:r>
      <w:r w:rsidRPr="00CC3B0A">
        <w:rPr>
          <w:lang w:val="en-US"/>
        </w:rPr>
        <w:t xml:space="preserve"> Similar to the Brazilian case, Chile and Argentina also present low rates of backward participation (18.5 and 12.1, respectively) and high rates of forward participation (33.8 and 22.5, respectively). Mexico is an exception in Latin America. The country has a high rate of backward participation (30.3) due to the </w:t>
      </w:r>
      <w:r w:rsidRPr="00CC3B0A">
        <w:rPr>
          <w:i/>
          <w:lang w:val="en-US"/>
        </w:rPr>
        <w:t>maquila</w:t>
      </w:r>
      <w:r w:rsidRPr="00CC3B0A">
        <w:rPr>
          <w:lang w:val="en-US"/>
        </w:rPr>
        <w:t xml:space="preserve"> industries, which import mainly American inputs, assemble them and re-export the finished goods mostly to the United States. Brazil, Argentina, Chile and Mexico are the only Latin American countries for which TiVA breaks down data at the nation level.</w:t>
      </w:r>
    </w:p>
  </w:footnote>
  <w:footnote w:id="4">
    <w:p w14:paraId="42E6E84C" w14:textId="77777777" w:rsidR="004129CE" w:rsidRPr="009159DC" w:rsidRDefault="004129CE" w:rsidP="00CE6E7F">
      <w:pPr>
        <w:pStyle w:val="Textodenotaderodap"/>
        <w:rPr>
          <w:lang w:val="en-US"/>
        </w:rPr>
      </w:pPr>
      <w:r w:rsidRPr="00CC3B0A">
        <w:rPr>
          <w:rStyle w:val="Refdenotaderodap"/>
        </w:rPr>
        <w:footnoteRef/>
      </w:r>
      <w:r w:rsidRPr="00CC3B0A">
        <w:rPr>
          <w:lang w:val="en-US"/>
        </w:rPr>
        <w:t xml:space="preserve"> The Association of Southeast Asian Nations, a group comprised of Indonesia, Malaysia, the Philippines, Singapore and Thailand.</w:t>
      </w:r>
      <w:r w:rsidRPr="009159DC">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600"/>
    <w:multiLevelType w:val="multilevel"/>
    <w:tmpl w:val="A11E73BE"/>
    <w:lvl w:ilvl="0">
      <w:start w:val="3"/>
      <w:numFmt w:val="decimal"/>
      <w:lvlText w:val="%1"/>
      <w:lvlJc w:val="left"/>
      <w:pPr>
        <w:ind w:left="360" w:hanging="360"/>
      </w:pPr>
      <w:rPr>
        <w:rFonts w:ascii="Times New Roman" w:hAnsi="Times New Roman" w:cs="Times New Roman" w:hint="default"/>
      </w:rPr>
    </w:lvl>
    <w:lvl w:ilvl="1">
      <w:start w:val="2"/>
      <w:numFmt w:val="decimal"/>
      <w:lvlText w:val="%1.%2"/>
      <w:lvlJc w:val="left"/>
      <w:pPr>
        <w:ind w:left="1800" w:hanging="360"/>
      </w:pPr>
      <w:rPr>
        <w:rFonts w:ascii="Times New Roman" w:hAnsi="Times New Roman" w:cs="Times New Roman" w:hint="default"/>
      </w:rPr>
    </w:lvl>
    <w:lvl w:ilvl="2">
      <w:start w:val="1"/>
      <w:numFmt w:val="decimal"/>
      <w:lvlText w:val="%1.%2.%3"/>
      <w:lvlJc w:val="left"/>
      <w:pPr>
        <w:ind w:left="3600" w:hanging="720"/>
      </w:pPr>
      <w:rPr>
        <w:rFonts w:ascii="Times New Roman" w:hAnsi="Times New Roman" w:cs="Times New Roman" w:hint="default"/>
      </w:rPr>
    </w:lvl>
    <w:lvl w:ilvl="3">
      <w:start w:val="1"/>
      <w:numFmt w:val="decimal"/>
      <w:lvlText w:val="%1.%2.%3.%4"/>
      <w:lvlJc w:val="left"/>
      <w:pPr>
        <w:ind w:left="5040" w:hanging="720"/>
      </w:pPr>
      <w:rPr>
        <w:rFonts w:ascii="Times New Roman" w:hAnsi="Times New Roman" w:cs="Times New Roman" w:hint="default"/>
      </w:rPr>
    </w:lvl>
    <w:lvl w:ilvl="4">
      <w:start w:val="1"/>
      <w:numFmt w:val="decimal"/>
      <w:lvlText w:val="%1.%2.%3.%4.%5"/>
      <w:lvlJc w:val="left"/>
      <w:pPr>
        <w:ind w:left="6840" w:hanging="1080"/>
      </w:pPr>
      <w:rPr>
        <w:rFonts w:ascii="Times New Roman" w:hAnsi="Times New Roman" w:cs="Times New Roman" w:hint="default"/>
      </w:rPr>
    </w:lvl>
    <w:lvl w:ilvl="5">
      <w:start w:val="1"/>
      <w:numFmt w:val="decimal"/>
      <w:lvlText w:val="%1.%2.%3.%4.%5.%6"/>
      <w:lvlJc w:val="left"/>
      <w:pPr>
        <w:ind w:left="8280" w:hanging="1080"/>
      </w:pPr>
      <w:rPr>
        <w:rFonts w:ascii="Times New Roman" w:hAnsi="Times New Roman" w:cs="Times New Roman" w:hint="default"/>
      </w:rPr>
    </w:lvl>
    <w:lvl w:ilvl="6">
      <w:start w:val="1"/>
      <w:numFmt w:val="decimal"/>
      <w:lvlText w:val="%1.%2.%3.%4.%5.%6.%7"/>
      <w:lvlJc w:val="left"/>
      <w:pPr>
        <w:ind w:left="10080" w:hanging="1440"/>
      </w:pPr>
      <w:rPr>
        <w:rFonts w:ascii="Times New Roman" w:hAnsi="Times New Roman" w:cs="Times New Roman" w:hint="default"/>
      </w:rPr>
    </w:lvl>
    <w:lvl w:ilvl="7">
      <w:start w:val="1"/>
      <w:numFmt w:val="decimal"/>
      <w:lvlText w:val="%1.%2.%3.%4.%5.%6.%7.%8"/>
      <w:lvlJc w:val="left"/>
      <w:pPr>
        <w:ind w:left="11520" w:hanging="1440"/>
      </w:pPr>
      <w:rPr>
        <w:rFonts w:ascii="Times New Roman" w:hAnsi="Times New Roman" w:cs="Times New Roman" w:hint="default"/>
      </w:rPr>
    </w:lvl>
    <w:lvl w:ilvl="8">
      <w:start w:val="1"/>
      <w:numFmt w:val="decimal"/>
      <w:lvlText w:val="%1.%2.%3.%4.%5.%6.%7.%8.%9"/>
      <w:lvlJc w:val="left"/>
      <w:pPr>
        <w:ind w:left="12960" w:hanging="1440"/>
      </w:pPr>
      <w:rPr>
        <w:rFonts w:ascii="Times New Roman" w:hAnsi="Times New Roman" w:cs="Times New Roman" w:hint="default"/>
      </w:rPr>
    </w:lvl>
  </w:abstractNum>
  <w:abstractNum w:abstractNumId="1" w15:restartNumberingAfterBreak="0">
    <w:nsid w:val="04C41444"/>
    <w:multiLevelType w:val="hybridMultilevel"/>
    <w:tmpl w:val="3786822A"/>
    <w:lvl w:ilvl="0" w:tplc="04160001">
      <w:start w:val="1"/>
      <w:numFmt w:val="bullet"/>
      <w:lvlText w:val=""/>
      <w:lvlJc w:val="left"/>
      <w:pPr>
        <w:ind w:left="1211" w:hanging="360"/>
      </w:pPr>
      <w:rPr>
        <w:rFonts w:ascii="Symbol" w:hAnsi="Symbol" w:cs="Symbol" w:hint="default"/>
      </w:rPr>
    </w:lvl>
    <w:lvl w:ilvl="1" w:tplc="04160003">
      <w:start w:val="1"/>
      <w:numFmt w:val="bullet"/>
      <w:lvlText w:val="o"/>
      <w:lvlJc w:val="left"/>
      <w:pPr>
        <w:ind w:left="1931" w:hanging="360"/>
      </w:pPr>
      <w:rPr>
        <w:rFonts w:ascii="Courier New" w:hAnsi="Courier New" w:cs="Courier New" w:hint="default"/>
      </w:rPr>
    </w:lvl>
    <w:lvl w:ilvl="2" w:tplc="04160005">
      <w:start w:val="1"/>
      <w:numFmt w:val="bullet"/>
      <w:lvlText w:val=""/>
      <w:lvlJc w:val="left"/>
      <w:pPr>
        <w:ind w:left="2651" w:hanging="360"/>
      </w:pPr>
      <w:rPr>
        <w:rFonts w:ascii="Wingdings" w:hAnsi="Wingdings" w:cs="Wingdings" w:hint="default"/>
      </w:rPr>
    </w:lvl>
    <w:lvl w:ilvl="3" w:tplc="04160001">
      <w:start w:val="1"/>
      <w:numFmt w:val="bullet"/>
      <w:lvlText w:val=""/>
      <w:lvlJc w:val="left"/>
      <w:pPr>
        <w:ind w:left="3371" w:hanging="360"/>
      </w:pPr>
      <w:rPr>
        <w:rFonts w:ascii="Symbol" w:hAnsi="Symbol" w:cs="Symbol" w:hint="default"/>
      </w:rPr>
    </w:lvl>
    <w:lvl w:ilvl="4" w:tplc="04160003">
      <w:start w:val="1"/>
      <w:numFmt w:val="bullet"/>
      <w:lvlText w:val="o"/>
      <w:lvlJc w:val="left"/>
      <w:pPr>
        <w:ind w:left="4091" w:hanging="360"/>
      </w:pPr>
      <w:rPr>
        <w:rFonts w:ascii="Courier New" w:hAnsi="Courier New" w:cs="Courier New" w:hint="default"/>
      </w:rPr>
    </w:lvl>
    <w:lvl w:ilvl="5" w:tplc="04160005">
      <w:start w:val="1"/>
      <w:numFmt w:val="bullet"/>
      <w:lvlText w:val=""/>
      <w:lvlJc w:val="left"/>
      <w:pPr>
        <w:ind w:left="4811" w:hanging="360"/>
      </w:pPr>
      <w:rPr>
        <w:rFonts w:ascii="Wingdings" w:hAnsi="Wingdings" w:cs="Wingdings" w:hint="default"/>
      </w:rPr>
    </w:lvl>
    <w:lvl w:ilvl="6" w:tplc="04160001">
      <w:start w:val="1"/>
      <w:numFmt w:val="bullet"/>
      <w:lvlText w:val=""/>
      <w:lvlJc w:val="left"/>
      <w:pPr>
        <w:ind w:left="5531" w:hanging="360"/>
      </w:pPr>
      <w:rPr>
        <w:rFonts w:ascii="Symbol" w:hAnsi="Symbol" w:cs="Symbol" w:hint="default"/>
      </w:rPr>
    </w:lvl>
    <w:lvl w:ilvl="7" w:tplc="04160003">
      <w:start w:val="1"/>
      <w:numFmt w:val="bullet"/>
      <w:lvlText w:val="o"/>
      <w:lvlJc w:val="left"/>
      <w:pPr>
        <w:ind w:left="6251" w:hanging="360"/>
      </w:pPr>
      <w:rPr>
        <w:rFonts w:ascii="Courier New" w:hAnsi="Courier New" w:cs="Courier New" w:hint="default"/>
      </w:rPr>
    </w:lvl>
    <w:lvl w:ilvl="8" w:tplc="04160005">
      <w:start w:val="1"/>
      <w:numFmt w:val="bullet"/>
      <w:lvlText w:val=""/>
      <w:lvlJc w:val="left"/>
      <w:pPr>
        <w:ind w:left="6971" w:hanging="360"/>
      </w:pPr>
      <w:rPr>
        <w:rFonts w:ascii="Wingdings" w:hAnsi="Wingdings" w:cs="Wingdings" w:hint="default"/>
      </w:rPr>
    </w:lvl>
  </w:abstractNum>
  <w:abstractNum w:abstractNumId="2" w15:restartNumberingAfterBreak="0">
    <w:nsid w:val="0AE8135A"/>
    <w:multiLevelType w:val="hybridMultilevel"/>
    <w:tmpl w:val="F230A084"/>
    <w:lvl w:ilvl="0" w:tplc="9B50D6A4">
      <w:start w:val="4"/>
      <w:numFmt w:val="decimal"/>
      <w:lvlText w:val="%1."/>
      <w:lvlJc w:val="left"/>
      <w:pPr>
        <w:ind w:left="900" w:hanging="360"/>
      </w:pPr>
      <w:rPr>
        <w:rFonts w:hint="default"/>
      </w:r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3" w15:restartNumberingAfterBreak="0">
    <w:nsid w:val="0F2B1CC8"/>
    <w:multiLevelType w:val="hybridMultilevel"/>
    <w:tmpl w:val="2EE6742C"/>
    <w:lvl w:ilvl="0" w:tplc="935009DA">
      <w:numFmt w:val="bullet"/>
      <w:lvlText w:val="-"/>
      <w:lvlJc w:val="left"/>
      <w:pPr>
        <w:ind w:left="1776" w:hanging="360"/>
      </w:pPr>
      <w:rPr>
        <w:rFonts w:ascii="Calibri" w:eastAsia="Times New Roman" w:hAnsi="Calibri" w:hint="default"/>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cs="Wingdings" w:hint="default"/>
      </w:rPr>
    </w:lvl>
    <w:lvl w:ilvl="3" w:tplc="04160001">
      <w:start w:val="1"/>
      <w:numFmt w:val="bullet"/>
      <w:lvlText w:val=""/>
      <w:lvlJc w:val="left"/>
      <w:pPr>
        <w:ind w:left="3936" w:hanging="360"/>
      </w:pPr>
      <w:rPr>
        <w:rFonts w:ascii="Symbol" w:hAnsi="Symbol" w:cs="Symbol" w:hint="default"/>
      </w:rPr>
    </w:lvl>
    <w:lvl w:ilvl="4" w:tplc="04160003">
      <w:start w:val="1"/>
      <w:numFmt w:val="bullet"/>
      <w:lvlText w:val="o"/>
      <w:lvlJc w:val="left"/>
      <w:pPr>
        <w:ind w:left="4656" w:hanging="360"/>
      </w:pPr>
      <w:rPr>
        <w:rFonts w:ascii="Courier New" w:hAnsi="Courier New" w:cs="Courier New" w:hint="default"/>
      </w:rPr>
    </w:lvl>
    <w:lvl w:ilvl="5" w:tplc="04160005">
      <w:start w:val="1"/>
      <w:numFmt w:val="bullet"/>
      <w:lvlText w:val=""/>
      <w:lvlJc w:val="left"/>
      <w:pPr>
        <w:ind w:left="5376" w:hanging="360"/>
      </w:pPr>
      <w:rPr>
        <w:rFonts w:ascii="Wingdings" w:hAnsi="Wingdings" w:cs="Wingdings" w:hint="default"/>
      </w:rPr>
    </w:lvl>
    <w:lvl w:ilvl="6" w:tplc="04160001">
      <w:start w:val="1"/>
      <w:numFmt w:val="bullet"/>
      <w:lvlText w:val=""/>
      <w:lvlJc w:val="left"/>
      <w:pPr>
        <w:ind w:left="6096" w:hanging="360"/>
      </w:pPr>
      <w:rPr>
        <w:rFonts w:ascii="Symbol" w:hAnsi="Symbol" w:cs="Symbol" w:hint="default"/>
      </w:rPr>
    </w:lvl>
    <w:lvl w:ilvl="7" w:tplc="04160003">
      <w:start w:val="1"/>
      <w:numFmt w:val="bullet"/>
      <w:lvlText w:val="o"/>
      <w:lvlJc w:val="left"/>
      <w:pPr>
        <w:ind w:left="6816" w:hanging="360"/>
      </w:pPr>
      <w:rPr>
        <w:rFonts w:ascii="Courier New" w:hAnsi="Courier New" w:cs="Courier New" w:hint="default"/>
      </w:rPr>
    </w:lvl>
    <w:lvl w:ilvl="8" w:tplc="04160005">
      <w:start w:val="1"/>
      <w:numFmt w:val="bullet"/>
      <w:lvlText w:val=""/>
      <w:lvlJc w:val="left"/>
      <w:pPr>
        <w:ind w:left="7536" w:hanging="360"/>
      </w:pPr>
      <w:rPr>
        <w:rFonts w:ascii="Wingdings" w:hAnsi="Wingdings" w:cs="Wingdings" w:hint="default"/>
      </w:rPr>
    </w:lvl>
  </w:abstractNum>
  <w:abstractNum w:abstractNumId="4" w15:restartNumberingAfterBreak="0">
    <w:nsid w:val="119527F5"/>
    <w:multiLevelType w:val="multilevel"/>
    <w:tmpl w:val="CE00930A"/>
    <w:lvl w:ilvl="0">
      <w:start w:val="1"/>
      <w:numFmt w:val="decimal"/>
      <w:lvlText w:val="%1."/>
      <w:lvlJc w:val="left"/>
      <w:pPr>
        <w:ind w:left="927" w:hanging="360"/>
      </w:pPr>
      <w:rPr>
        <w:rFonts w:hint="default"/>
      </w:rPr>
    </w:lvl>
    <w:lvl w:ilvl="1">
      <w:start w:val="2"/>
      <w:numFmt w:val="decimal"/>
      <w:isLgl/>
      <w:lvlText w:val="%1.%2"/>
      <w:lvlJc w:val="left"/>
      <w:pPr>
        <w:ind w:left="1077" w:hanging="51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5" w15:restartNumberingAfterBreak="0">
    <w:nsid w:val="12A1666D"/>
    <w:multiLevelType w:val="hybridMultilevel"/>
    <w:tmpl w:val="0B4475A0"/>
    <w:lvl w:ilvl="0" w:tplc="DE4E1912">
      <w:start w:val="1"/>
      <w:numFmt w:val="decimal"/>
      <w:lvlText w:val="%1."/>
      <w:lvlJc w:val="left"/>
      <w:pPr>
        <w:ind w:left="927" w:hanging="360"/>
      </w:pPr>
      <w:rPr>
        <w:rFonts w:ascii="Times New Roman" w:hAnsi="Times New Roman" w:cs="Times New Roman" w:hint="default"/>
        <w:b/>
        <w:bCs/>
      </w:rPr>
    </w:lvl>
    <w:lvl w:ilvl="1" w:tplc="04160019">
      <w:start w:val="1"/>
      <w:numFmt w:val="lowerLetter"/>
      <w:lvlText w:val="%2."/>
      <w:lvlJc w:val="left"/>
      <w:pPr>
        <w:ind w:left="1647" w:hanging="360"/>
      </w:pPr>
      <w:rPr>
        <w:rFonts w:ascii="Times New Roman" w:hAnsi="Times New Roman" w:cs="Times New Roman"/>
      </w:rPr>
    </w:lvl>
    <w:lvl w:ilvl="2" w:tplc="0416001B">
      <w:start w:val="1"/>
      <w:numFmt w:val="lowerRoman"/>
      <w:lvlText w:val="%3."/>
      <w:lvlJc w:val="right"/>
      <w:pPr>
        <w:ind w:left="2367" w:hanging="180"/>
      </w:pPr>
      <w:rPr>
        <w:rFonts w:ascii="Times New Roman" w:hAnsi="Times New Roman" w:cs="Times New Roman"/>
      </w:rPr>
    </w:lvl>
    <w:lvl w:ilvl="3" w:tplc="0416000F">
      <w:start w:val="1"/>
      <w:numFmt w:val="decimal"/>
      <w:lvlText w:val="%4."/>
      <w:lvlJc w:val="left"/>
      <w:pPr>
        <w:ind w:left="3087" w:hanging="360"/>
      </w:pPr>
      <w:rPr>
        <w:rFonts w:ascii="Times New Roman" w:hAnsi="Times New Roman" w:cs="Times New Roman"/>
      </w:rPr>
    </w:lvl>
    <w:lvl w:ilvl="4" w:tplc="04160019">
      <w:start w:val="1"/>
      <w:numFmt w:val="lowerLetter"/>
      <w:lvlText w:val="%5."/>
      <w:lvlJc w:val="left"/>
      <w:pPr>
        <w:ind w:left="3807" w:hanging="360"/>
      </w:pPr>
      <w:rPr>
        <w:rFonts w:ascii="Times New Roman" w:hAnsi="Times New Roman" w:cs="Times New Roman"/>
      </w:rPr>
    </w:lvl>
    <w:lvl w:ilvl="5" w:tplc="0416001B">
      <w:start w:val="1"/>
      <w:numFmt w:val="lowerRoman"/>
      <w:lvlText w:val="%6."/>
      <w:lvlJc w:val="right"/>
      <w:pPr>
        <w:ind w:left="4527" w:hanging="180"/>
      </w:pPr>
      <w:rPr>
        <w:rFonts w:ascii="Times New Roman" w:hAnsi="Times New Roman" w:cs="Times New Roman"/>
      </w:rPr>
    </w:lvl>
    <w:lvl w:ilvl="6" w:tplc="0416000F">
      <w:start w:val="1"/>
      <w:numFmt w:val="decimal"/>
      <w:lvlText w:val="%7."/>
      <w:lvlJc w:val="left"/>
      <w:pPr>
        <w:ind w:left="5247" w:hanging="360"/>
      </w:pPr>
      <w:rPr>
        <w:rFonts w:ascii="Times New Roman" w:hAnsi="Times New Roman" w:cs="Times New Roman"/>
      </w:rPr>
    </w:lvl>
    <w:lvl w:ilvl="7" w:tplc="04160019">
      <w:start w:val="1"/>
      <w:numFmt w:val="lowerLetter"/>
      <w:lvlText w:val="%8."/>
      <w:lvlJc w:val="left"/>
      <w:pPr>
        <w:ind w:left="5967" w:hanging="360"/>
      </w:pPr>
      <w:rPr>
        <w:rFonts w:ascii="Times New Roman" w:hAnsi="Times New Roman" w:cs="Times New Roman"/>
      </w:rPr>
    </w:lvl>
    <w:lvl w:ilvl="8" w:tplc="0416001B">
      <w:start w:val="1"/>
      <w:numFmt w:val="lowerRoman"/>
      <w:lvlText w:val="%9."/>
      <w:lvlJc w:val="right"/>
      <w:pPr>
        <w:ind w:left="6687" w:hanging="180"/>
      </w:pPr>
      <w:rPr>
        <w:rFonts w:ascii="Times New Roman" w:hAnsi="Times New Roman" w:cs="Times New Roman"/>
      </w:rPr>
    </w:lvl>
  </w:abstractNum>
  <w:abstractNum w:abstractNumId="6" w15:restartNumberingAfterBreak="0">
    <w:nsid w:val="19CD1468"/>
    <w:multiLevelType w:val="hybridMultilevel"/>
    <w:tmpl w:val="28AA7BB2"/>
    <w:lvl w:ilvl="0" w:tplc="BA0A96FE">
      <w:start w:val="1"/>
      <w:numFmt w:val="decimal"/>
      <w:lvlText w:val="%1."/>
      <w:lvlJc w:val="left"/>
      <w:pPr>
        <w:ind w:left="1776" w:hanging="360"/>
      </w:pPr>
      <w:rPr>
        <w:rFonts w:ascii="Times New Roman" w:hAnsi="Times New Roman" w:cs="Times New Roman" w:hint="default"/>
      </w:rPr>
    </w:lvl>
    <w:lvl w:ilvl="1" w:tplc="04160019">
      <w:start w:val="1"/>
      <w:numFmt w:val="lowerLetter"/>
      <w:lvlText w:val="%2."/>
      <w:lvlJc w:val="left"/>
      <w:pPr>
        <w:ind w:left="2496" w:hanging="360"/>
      </w:pPr>
      <w:rPr>
        <w:rFonts w:ascii="Times New Roman" w:hAnsi="Times New Roman" w:cs="Times New Roman"/>
      </w:rPr>
    </w:lvl>
    <w:lvl w:ilvl="2" w:tplc="0416001B">
      <w:start w:val="1"/>
      <w:numFmt w:val="lowerRoman"/>
      <w:lvlText w:val="%3."/>
      <w:lvlJc w:val="right"/>
      <w:pPr>
        <w:ind w:left="3216" w:hanging="180"/>
      </w:pPr>
      <w:rPr>
        <w:rFonts w:ascii="Times New Roman" w:hAnsi="Times New Roman" w:cs="Times New Roman"/>
      </w:rPr>
    </w:lvl>
    <w:lvl w:ilvl="3" w:tplc="0416000F">
      <w:start w:val="1"/>
      <w:numFmt w:val="decimal"/>
      <w:lvlText w:val="%4."/>
      <w:lvlJc w:val="left"/>
      <w:pPr>
        <w:ind w:left="3936" w:hanging="360"/>
      </w:pPr>
      <w:rPr>
        <w:rFonts w:ascii="Times New Roman" w:hAnsi="Times New Roman" w:cs="Times New Roman"/>
      </w:rPr>
    </w:lvl>
    <w:lvl w:ilvl="4" w:tplc="04160019">
      <w:start w:val="1"/>
      <w:numFmt w:val="lowerLetter"/>
      <w:lvlText w:val="%5."/>
      <w:lvlJc w:val="left"/>
      <w:pPr>
        <w:ind w:left="4656" w:hanging="360"/>
      </w:pPr>
      <w:rPr>
        <w:rFonts w:ascii="Times New Roman" w:hAnsi="Times New Roman" w:cs="Times New Roman"/>
      </w:rPr>
    </w:lvl>
    <w:lvl w:ilvl="5" w:tplc="0416001B">
      <w:start w:val="1"/>
      <w:numFmt w:val="lowerRoman"/>
      <w:lvlText w:val="%6."/>
      <w:lvlJc w:val="right"/>
      <w:pPr>
        <w:ind w:left="5376" w:hanging="180"/>
      </w:pPr>
      <w:rPr>
        <w:rFonts w:ascii="Times New Roman" w:hAnsi="Times New Roman" w:cs="Times New Roman"/>
      </w:rPr>
    </w:lvl>
    <w:lvl w:ilvl="6" w:tplc="0416000F">
      <w:start w:val="1"/>
      <w:numFmt w:val="decimal"/>
      <w:lvlText w:val="%7."/>
      <w:lvlJc w:val="left"/>
      <w:pPr>
        <w:ind w:left="6096" w:hanging="360"/>
      </w:pPr>
      <w:rPr>
        <w:rFonts w:ascii="Times New Roman" w:hAnsi="Times New Roman" w:cs="Times New Roman"/>
      </w:rPr>
    </w:lvl>
    <w:lvl w:ilvl="7" w:tplc="04160019">
      <w:start w:val="1"/>
      <w:numFmt w:val="lowerLetter"/>
      <w:lvlText w:val="%8."/>
      <w:lvlJc w:val="left"/>
      <w:pPr>
        <w:ind w:left="6816" w:hanging="360"/>
      </w:pPr>
      <w:rPr>
        <w:rFonts w:ascii="Times New Roman" w:hAnsi="Times New Roman" w:cs="Times New Roman"/>
      </w:rPr>
    </w:lvl>
    <w:lvl w:ilvl="8" w:tplc="0416001B">
      <w:start w:val="1"/>
      <w:numFmt w:val="lowerRoman"/>
      <w:lvlText w:val="%9."/>
      <w:lvlJc w:val="right"/>
      <w:pPr>
        <w:ind w:left="7536" w:hanging="180"/>
      </w:pPr>
      <w:rPr>
        <w:rFonts w:ascii="Times New Roman" w:hAnsi="Times New Roman" w:cs="Times New Roman"/>
      </w:rPr>
    </w:lvl>
  </w:abstractNum>
  <w:abstractNum w:abstractNumId="7" w15:restartNumberingAfterBreak="0">
    <w:nsid w:val="1A0017D1"/>
    <w:multiLevelType w:val="multilevel"/>
    <w:tmpl w:val="40961486"/>
    <w:lvl w:ilvl="0">
      <w:start w:val="5"/>
      <w:numFmt w:val="decimal"/>
      <w:lvlText w:val="%1."/>
      <w:lvlJc w:val="left"/>
      <w:pPr>
        <w:ind w:left="1080" w:hanging="360"/>
      </w:pPr>
      <w:rPr>
        <w:rFonts w:ascii="Times New Roman" w:hAnsi="Times New Roman" w:cs="Times New Roman" w:hint="default"/>
        <w:b/>
        <w:bCs/>
      </w:rPr>
    </w:lvl>
    <w:lvl w:ilvl="1">
      <w:start w:val="1"/>
      <w:numFmt w:val="decimal"/>
      <w:isLgl/>
      <w:lvlText w:val="%1.%2"/>
      <w:lvlJc w:val="left"/>
      <w:pPr>
        <w:ind w:left="1637" w:hanging="360"/>
      </w:pPr>
      <w:rPr>
        <w:rFonts w:ascii="Times New Roman" w:hAnsi="Times New Roman" w:cs="Times New Roman" w:hint="default"/>
      </w:rPr>
    </w:lvl>
    <w:lvl w:ilvl="2">
      <w:start w:val="1"/>
      <w:numFmt w:val="decimal"/>
      <w:isLgl/>
      <w:lvlText w:val="%1.%2.%3"/>
      <w:lvlJc w:val="left"/>
      <w:pPr>
        <w:ind w:left="2554" w:hanging="720"/>
      </w:pPr>
      <w:rPr>
        <w:rFonts w:ascii="Times New Roman" w:hAnsi="Times New Roman" w:cs="Times New Roman" w:hint="default"/>
      </w:rPr>
    </w:lvl>
    <w:lvl w:ilvl="3">
      <w:start w:val="1"/>
      <w:numFmt w:val="decimal"/>
      <w:isLgl/>
      <w:lvlText w:val="%1.%2.%3.%4"/>
      <w:lvlJc w:val="left"/>
      <w:pPr>
        <w:ind w:left="3111" w:hanging="720"/>
      </w:pPr>
      <w:rPr>
        <w:rFonts w:ascii="Times New Roman" w:hAnsi="Times New Roman" w:cs="Times New Roman" w:hint="default"/>
      </w:rPr>
    </w:lvl>
    <w:lvl w:ilvl="4">
      <w:start w:val="1"/>
      <w:numFmt w:val="decimal"/>
      <w:isLgl/>
      <w:lvlText w:val="%1.%2.%3.%4.%5"/>
      <w:lvlJc w:val="left"/>
      <w:pPr>
        <w:ind w:left="4028" w:hanging="1080"/>
      </w:pPr>
      <w:rPr>
        <w:rFonts w:ascii="Times New Roman" w:hAnsi="Times New Roman" w:cs="Times New Roman" w:hint="default"/>
      </w:rPr>
    </w:lvl>
    <w:lvl w:ilvl="5">
      <w:start w:val="1"/>
      <w:numFmt w:val="decimal"/>
      <w:isLgl/>
      <w:lvlText w:val="%1.%2.%3.%4.%5.%6"/>
      <w:lvlJc w:val="left"/>
      <w:pPr>
        <w:ind w:left="4585" w:hanging="1080"/>
      </w:pPr>
      <w:rPr>
        <w:rFonts w:ascii="Times New Roman" w:hAnsi="Times New Roman" w:cs="Times New Roman" w:hint="default"/>
      </w:rPr>
    </w:lvl>
    <w:lvl w:ilvl="6">
      <w:start w:val="1"/>
      <w:numFmt w:val="decimal"/>
      <w:isLgl/>
      <w:lvlText w:val="%1.%2.%3.%4.%5.%6.%7"/>
      <w:lvlJc w:val="left"/>
      <w:pPr>
        <w:ind w:left="5502" w:hanging="1440"/>
      </w:pPr>
      <w:rPr>
        <w:rFonts w:ascii="Times New Roman" w:hAnsi="Times New Roman" w:cs="Times New Roman" w:hint="default"/>
      </w:rPr>
    </w:lvl>
    <w:lvl w:ilvl="7">
      <w:start w:val="1"/>
      <w:numFmt w:val="decimal"/>
      <w:isLgl/>
      <w:lvlText w:val="%1.%2.%3.%4.%5.%6.%7.%8"/>
      <w:lvlJc w:val="left"/>
      <w:pPr>
        <w:ind w:left="6059" w:hanging="1440"/>
      </w:pPr>
      <w:rPr>
        <w:rFonts w:ascii="Times New Roman" w:hAnsi="Times New Roman" w:cs="Times New Roman" w:hint="default"/>
      </w:rPr>
    </w:lvl>
    <w:lvl w:ilvl="8">
      <w:start w:val="1"/>
      <w:numFmt w:val="decimal"/>
      <w:isLgl/>
      <w:lvlText w:val="%1.%2.%3.%4.%5.%6.%7.%8.%9"/>
      <w:lvlJc w:val="left"/>
      <w:pPr>
        <w:ind w:left="6616" w:hanging="1440"/>
      </w:pPr>
      <w:rPr>
        <w:rFonts w:ascii="Times New Roman" w:hAnsi="Times New Roman" w:cs="Times New Roman" w:hint="default"/>
      </w:rPr>
    </w:lvl>
  </w:abstractNum>
  <w:abstractNum w:abstractNumId="8" w15:restartNumberingAfterBreak="0">
    <w:nsid w:val="1B331AEC"/>
    <w:multiLevelType w:val="hybridMultilevel"/>
    <w:tmpl w:val="650CE62E"/>
    <w:lvl w:ilvl="0" w:tplc="8CE46A24">
      <w:start w:val="1"/>
      <w:numFmt w:val="decimal"/>
      <w:lvlText w:val="%1."/>
      <w:lvlJc w:val="left"/>
      <w:pPr>
        <w:ind w:left="1778" w:hanging="360"/>
      </w:pPr>
      <w:rPr>
        <w:rFonts w:ascii="Times New Roman" w:hAnsi="Times New Roman" w:cs="Times New Roman" w:hint="default"/>
        <w:b/>
        <w:bCs/>
      </w:rPr>
    </w:lvl>
    <w:lvl w:ilvl="1" w:tplc="04160019">
      <w:start w:val="1"/>
      <w:numFmt w:val="lowerLetter"/>
      <w:lvlText w:val="%2."/>
      <w:lvlJc w:val="left"/>
      <w:pPr>
        <w:ind w:left="2498" w:hanging="360"/>
      </w:pPr>
      <w:rPr>
        <w:rFonts w:ascii="Times New Roman" w:hAnsi="Times New Roman" w:cs="Times New Roman"/>
      </w:rPr>
    </w:lvl>
    <w:lvl w:ilvl="2" w:tplc="0416001B">
      <w:start w:val="1"/>
      <w:numFmt w:val="lowerRoman"/>
      <w:lvlText w:val="%3."/>
      <w:lvlJc w:val="right"/>
      <w:pPr>
        <w:ind w:left="3218" w:hanging="180"/>
      </w:pPr>
      <w:rPr>
        <w:rFonts w:ascii="Times New Roman" w:hAnsi="Times New Roman" w:cs="Times New Roman"/>
      </w:rPr>
    </w:lvl>
    <w:lvl w:ilvl="3" w:tplc="0416000F">
      <w:start w:val="1"/>
      <w:numFmt w:val="decimal"/>
      <w:lvlText w:val="%4."/>
      <w:lvlJc w:val="left"/>
      <w:pPr>
        <w:ind w:left="3938" w:hanging="360"/>
      </w:pPr>
      <w:rPr>
        <w:rFonts w:ascii="Times New Roman" w:hAnsi="Times New Roman" w:cs="Times New Roman"/>
      </w:rPr>
    </w:lvl>
    <w:lvl w:ilvl="4" w:tplc="04160019">
      <w:start w:val="1"/>
      <w:numFmt w:val="lowerLetter"/>
      <w:lvlText w:val="%5."/>
      <w:lvlJc w:val="left"/>
      <w:pPr>
        <w:ind w:left="4658" w:hanging="360"/>
      </w:pPr>
      <w:rPr>
        <w:rFonts w:ascii="Times New Roman" w:hAnsi="Times New Roman" w:cs="Times New Roman"/>
      </w:rPr>
    </w:lvl>
    <w:lvl w:ilvl="5" w:tplc="0416001B">
      <w:start w:val="1"/>
      <w:numFmt w:val="lowerRoman"/>
      <w:lvlText w:val="%6."/>
      <w:lvlJc w:val="right"/>
      <w:pPr>
        <w:ind w:left="5378" w:hanging="180"/>
      </w:pPr>
      <w:rPr>
        <w:rFonts w:ascii="Times New Roman" w:hAnsi="Times New Roman" w:cs="Times New Roman"/>
      </w:rPr>
    </w:lvl>
    <w:lvl w:ilvl="6" w:tplc="0416000F">
      <w:start w:val="1"/>
      <w:numFmt w:val="decimal"/>
      <w:lvlText w:val="%7."/>
      <w:lvlJc w:val="left"/>
      <w:pPr>
        <w:ind w:left="6098" w:hanging="360"/>
      </w:pPr>
      <w:rPr>
        <w:rFonts w:ascii="Times New Roman" w:hAnsi="Times New Roman" w:cs="Times New Roman"/>
      </w:rPr>
    </w:lvl>
    <w:lvl w:ilvl="7" w:tplc="04160019">
      <w:start w:val="1"/>
      <w:numFmt w:val="lowerLetter"/>
      <w:lvlText w:val="%8."/>
      <w:lvlJc w:val="left"/>
      <w:pPr>
        <w:ind w:left="6818" w:hanging="360"/>
      </w:pPr>
      <w:rPr>
        <w:rFonts w:ascii="Times New Roman" w:hAnsi="Times New Roman" w:cs="Times New Roman"/>
      </w:rPr>
    </w:lvl>
    <w:lvl w:ilvl="8" w:tplc="0416001B">
      <w:start w:val="1"/>
      <w:numFmt w:val="lowerRoman"/>
      <w:lvlText w:val="%9."/>
      <w:lvlJc w:val="right"/>
      <w:pPr>
        <w:ind w:left="7538" w:hanging="180"/>
      </w:pPr>
      <w:rPr>
        <w:rFonts w:ascii="Times New Roman" w:hAnsi="Times New Roman" w:cs="Times New Roman"/>
      </w:rPr>
    </w:lvl>
  </w:abstractNum>
  <w:abstractNum w:abstractNumId="9" w15:restartNumberingAfterBreak="0">
    <w:nsid w:val="1DAC7C7C"/>
    <w:multiLevelType w:val="hybridMultilevel"/>
    <w:tmpl w:val="C9B4B556"/>
    <w:lvl w:ilvl="0" w:tplc="E856D51A">
      <w:start w:val="1"/>
      <w:numFmt w:val="decimal"/>
      <w:lvlText w:val="%1."/>
      <w:lvlJc w:val="left"/>
      <w:pPr>
        <w:ind w:left="1776" w:hanging="360"/>
      </w:pPr>
      <w:rPr>
        <w:rFonts w:ascii="Times New Roman" w:hAnsi="Times New Roman" w:cs="Times New Roman" w:hint="default"/>
      </w:rPr>
    </w:lvl>
    <w:lvl w:ilvl="1" w:tplc="04160019">
      <w:start w:val="1"/>
      <w:numFmt w:val="lowerLetter"/>
      <w:lvlText w:val="%2."/>
      <w:lvlJc w:val="left"/>
      <w:pPr>
        <w:ind w:left="2496" w:hanging="360"/>
      </w:pPr>
      <w:rPr>
        <w:rFonts w:ascii="Times New Roman" w:hAnsi="Times New Roman" w:cs="Times New Roman"/>
      </w:rPr>
    </w:lvl>
    <w:lvl w:ilvl="2" w:tplc="0416001B">
      <w:start w:val="1"/>
      <w:numFmt w:val="lowerRoman"/>
      <w:lvlText w:val="%3."/>
      <w:lvlJc w:val="right"/>
      <w:pPr>
        <w:ind w:left="3216" w:hanging="180"/>
      </w:pPr>
      <w:rPr>
        <w:rFonts w:ascii="Times New Roman" w:hAnsi="Times New Roman" w:cs="Times New Roman"/>
      </w:rPr>
    </w:lvl>
    <w:lvl w:ilvl="3" w:tplc="0416000F">
      <w:start w:val="1"/>
      <w:numFmt w:val="decimal"/>
      <w:lvlText w:val="%4."/>
      <w:lvlJc w:val="left"/>
      <w:pPr>
        <w:ind w:left="3936" w:hanging="360"/>
      </w:pPr>
      <w:rPr>
        <w:rFonts w:ascii="Times New Roman" w:hAnsi="Times New Roman" w:cs="Times New Roman"/>
      </w:rPr>
    </w:lvl>
    <w:lvl w:ilvl="4" w:tplc="04160019">
      <w:start w:val="1"/>
      <w:numFmt w:val="lowerLetter"/>
      <w:lvlText w:val="%5."/>
      <w:lvlJc w:val="left"/>
      <w:pPr>
        <w:ind w:left="4656" w:hanging="360"/>
      </w:pPr>
      <w:rPr>
        <w:rFonts w:ascii="Times New Roman" w:hAnsi="Times New Roman" w:cs="Times New Roman"/>
      </w:rPr>
    </w:lvl>
    <w:lvl w:ilvl="5" w:tplc="0416001B">
      <w:start w:val="1"/>
      <w:numFmt w:val="lowerRoman"/>
      <w:lvlText w:val="%6."/>
      <w:lvlJc w:val="right"/>
      <w:pPr>
        <w:ind w:left="5376" w:hanging="180"/>
      </w:pPr>
      <w:rPr>
        <w:rFonts w:ascii="Times New Roman" w:hAnsi="Times New Roman" w:cs="Times New Roman"/>
      </w:rPr>
    </w:lvl>
    <w:lvl w:ilvl="6" w:tplc="0416000F">
      <w:start w:val="1"/>
      <w:numFmt w:val="decimal"/>
      <w:lvlText w:val="%7."/>
      <w:lvlJc w:val="left"/>
      <w:pPr>
        <w:ind w:left="6096" w:hanging="360"/>
      </w:pPr>
      <w:rPr>
        <w:rFonts w:ascii="Times New Roman" w:hAnsi="Times New Roman" w:cs="Times New Roman"/>
      </w:rPr>
    </w:lvl>
    <w:lvl w:ilvl="7" w:tplc="04160019">
      <w:start w:val="1"/>
      <w:numFmt w:val="lowerLetter"/>
      <w:lvlText w:val="%8."/>
      <w:lvlJc w:val="left"/>
      <w:pPr>
        <w:ind w:left="6816" w:hanging="360"/>
      </w:pPr>
      <w:rPr>
        <w:rFonts w:ascii="Times New Roman" w:hAnsi="Times New Roman" w:cs="Times New Roman"/>
      </w:rPr>
    </w:lvl>
    <w:lvl w:ilvl="8" w:tplc="0416001B">
      <w:start w:val="1"/>
      <w:numFmt w:val="lowerRoman"/>
      <w:lvlText w:val="%9."/>
      <w:lvlJc w:val="right"/>
      <w:pPr>
        <w:ind w:left="7536" w:hanging="180"/>
      </w:pPr>
      <w:rPr>
        <w:rFonts w:ascii="Times New Roman" w:hAnsi="Times New Roman" w:cs="Times New Roman"/>
      </w:rPr>
    </w:lvl>
  </w:abstractNum>
  <w:abstractNum w:abstractNumId="10" w15:restartNumberingAfterBreak="0">
    <w:nsid w:val="1E751A04"/>
    <w:multiLevelType w:val="multilevel"/>
    <w:tmpl w:val="005E67B0"/>
    <w:lvl w:ilvl="0">
      <w:start w:val="1"/>
      <w:numFmt w:val="decimal"/>
      <w:lvlText w:val="%1."/>
      <w:lvlJc w:val="left"/>
      <w:pPr>
        <w:ind w:left="720" w:hanging="360"/>
      </w:pPr>
      <w:rPr>
        <w:rFonts w:ascii="Times New Roman" w:hAnsi="Times New Roman" w:cs="Times New Roman" w:hint="default"/>
        <w:b/>
        <w:bCs/>
      </w:r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160" w:hanging="72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240" w:hanging="108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320" w:hanging="1440"/>
      </w:pPr>
      <w:rPr>
        <w:rFonts w:ascii="Times New Roman" w:hAnsi="Times New Roman" w:cs="Times New Roman" w:hint="default"/>
      </w:rPr>
    </w:lvl>
    <w:lvl w:ilvl="8">
      <w:start w:val="1"/>
      <w:numFmt w:val="decimal"/>
      <w:isLgl/>
      <w:lvlText w:val="%1.%2.%3.%4.%5.%6.%7.%8.%9"/>
      <w:lvlJc w:val="left"/>
      <w:pPr>
        <w:ind w:left="4680" w:hanging="1440"/>
      </w:pPr>
      <w:rPr>
        <w:rFonts w:ascii="Times New Roman" w:hAnsi="Times New Roman" w:cs="Times New Roman" w:hint="default"/>
      </w:rPr>
    </w:lvl>
  </w:abstractNum>
  <w:abstractNum w:abstractNumId="11" w15:restartNumberingAfterBreak="0">
    <w:nsid w:val="257074DD"/>
    <w:multiLevelType w:val="multilevel"/>
    <w:tmpl w:val="151665B6"/>
    <w:lvl w:ilvl="0">
      <w:start w:val="3"/>
      <w:numFmt w:val="decimal"/>
      <w:lvlText w:val="%1"/>
      <w:lvlJc w:val="left"/>
      <w:pPr>
        <w:ind w:left="360" w:hanging="360"/>
      </w:pPr>
      <w:rPr>
        <w:rFonts w:ascii="Times New Roman" w:hAnsi="Times New Roman" w:cs="Times New Roman" w:hint="default"/>
      </w:rPr>
    </w:lvl>
    <w:lvl w:ilvl="1">
      <w:start w:val="3"/>
      <w:numFmt w:val="decimal"/>
      <w:lvlText w:val="%1.%2"/>
      <w:lvlJc w:val="left"/>
      <w:pPr>
        <w:ind w:left="1710" w:hanging="360"/>
      </w:pPr>
      <w:rPr>
        <w:rFonts w:ascii="Times New Roman" w:hAnsi="Times New Roman" w:cs="Times New Roman" w:hint="default"/>
      </w:rPr>
    </w:lvl>
    <w:lvl w:ilvl="2">
      <w:start w:val="1"/>
      <w:numFmt w:val="decimal"/>
      <w:lvlText w:val="%1.%2.%3"/>
      <w:lvlJc w:val="left"/>
      <w:pPr>
        <w:ind w:left="3420" w:hanging="720"/>
      </w:pPr>
      <w:rPr>
        <w:rFonts w:ascii="Times New Roman" w:hAnsi="Times New Roman" w:cs="Times New Roman" w:hint="default"/>
      </w:rPr>
    </w:lvl>
    <w:lvl w:ilvl="3">
      <w:start w:val="1"/>
      <w:numFmt w:val="decimal"/>
      <w:lvlText w:val="%1.%2.%3.%4"/>
      <w:lvlJc w:val="left"/>
      <w:pPr>
        <w:ind w:left="4770" w:hanging="720"/>
      </w:pPr>
      <w:rPr>
        <w:rFonts w:ascii="Times New Roman" w:hAnsi="Times New Roman" w:cs="Times New Roman" w:hint="default"/>
      </w:rPr>
    </w:lvl>
    <w:lvl w:ilvl="4">
      <w:start w:val="1"/>
      <w:numFmt w:val="decimal"/>
      <w:lvlText w:val="%1.%2.%3.%4.%5"/>
      <w:lvlJc w:val="left"/>
      <w:pPr>
        <w:ind w:left="6480" w:hanging="1080"/>
      </w:pPr>
      <w:rPr>
        <w:rFonts w:ascii="Times New Roman" w:hAnsi="Times New Roman" w:cs="Times New Roman" w:hint="default"/>
      </w:rPr>
    </w:lvl>
    <w:lvl w:ilvl="5">
      <w:start w:val="1"/>
      <w:numFmt w:val="decimal"/>
      <w:lvlText w:val="%1.%2.%3.%4.%5.%6"/>
      <w:lvlJc w:val="left"/>
      <w:pPr>
        <w:ind w:left="7830" w:hanging="1080"/>
      </w:pPr>
      <w:rPr>
        <w:rFonts w:ascii="Times New Roman" w:hAnsi="Times New Roman" w:cs="Times New Roman" w:hint="default"/>
      </w:rPr>
    </w:lvl>
    <w:lvl w:ilvl="6">
      <w:start w:val="1"/>
      <w:numFmt w:val="decimal"/>
      <w:lvlText w:val="%1.%2.%3.%4.%5.%6.%7"/>
      <w:lvlJc w:val="left"/>
      <w:pPr>
        <w:ind w:left="9540" w:hanging="1440"/>
      </w:pPr>
      <w:rPr>
        <w:rFonts w:ascii="Times New Roman" w:hAnsi="Times New Roman" w:cs="Times New Roman" w:hint="default"/>
      </w:rPr>
    </w:lvl>
    <w:lvl w:ilvl="7">
      <w:start w:val="1"/>
      <w:numFmt w:val="decimal"/>
      <w:lvlText w:val="%1.%2.%3.%4.%5.%6.%7.%8"/>
      <w:lvlJc w:val="left"/>
      <w:pPr>
        <w:ind w:left="10890" w:hanging="1440"/>
      </w:pPr>
      <w:rPr>
        <w:rFonts w:ascii="Times New Roman" w:hAnsi="Times New Roman" w:cs="Times New Roman" w:hint="default"/>
      </w:rPr>
    </w:lvl>
    <w:lvl w:ilvl="8">
      <w:start w:val="1"/>
      <w:numFmt w:val="decimal"/>
      <w:lvlText w:val="%1.%2.%3.%4.%5.%6.%7.%8.%9"/>
      <w:lvlJc w:val="left"/>
      <w:pPr>
        <w:ind w:left="12240" w:hanging="1440"/>
      </w:pPr>
      <w:rPr>
        <w:rFonts w:ascii="Times New Roman" w:hAnsi="Times New Roman" w:cs="Times New Roman" w:hint="default"/>
      </w:rPr>
    </w:lvl>
  </w:abstractNum>
  <w:abstractNum w:abstractNumId="12" w15:restartNumberingAfterBreak="0">
    <w:nsid w:val="2EC73885"/>
    <w:multiLevelType w:val="multilevel"/>
    <w:tmpl w:val="E7787622"/>
    <w:lvl w:ilvl="0">
      <w:start w:val="3"/>
      <w:numFmt w:val="decimal"/>
      <w:lvlText w:val="%1"/>
      <w:lvlJc w:val="left"/>
      <w:pPr>
        <w:ind w:left="360" w:hanging="360"/>
      </w:pPr>
      <w:rPr>
        <w:rFonts w:ascii="Times New Roman" w:hAnsi="Times New Roman" w:cs="Times New Roman" w:hint="default"/>
      </w:rPr>
    </w:lvl>
    <w:lvl w:ilvl="1">
      <w:start w:val="3"/>
      <w:numFmt w:val="decimal"/>
      <w:lvlText w:val="%1.%2"/>
      <w:lvlJc w:val="left"/>
      <w:pPr>
        <w:ind w:left="2160" w:hanging="360"/>
      </w:pPr>
      <w:rPr>
        <w:rFonts w:ascii="Times New Roman" w:hAnsi="Times New Roman" w:cs="Times New Roman" w:hint="default"/>
      </w:rPr>
    </w:lvl>
    <w:lvl w:ilvl="2">
      <w:start w:val="1"/>
      <w:numFmt w:val="decimal"/>
      <w:lvlText w:val="%1.%2.%3"/>
      <w:lvlJc w:val="left"/>
      <w:pPr>
        <w:ind w:left="4320" w:hanging="720"/>
      </w:pPr>
      <w:rPr>
        <w:rFonts w:ascii="Times New Roman" w:hAnsi="Times New Roman" w:cs="Times New Roman" w:hint="default"/>
      </w:rPr>
    </w:lvl>
    <w:lvl w:ilvl="3">
      <w:start w:val="1"/>
      <w:numFmt w:val="decimal"/>
      <w:lvlText w:val="%1.%2.%3.%4"/>
      <w:lvlJc w:val="left"/>
      <w:pPr>
        <w:ind w:left="6120" w:hanging="720"/>
      </w:pPr>
      <w:rPr>
        <w:rFonts w:ascii="Times New Roman" w:hAnsi="Times New Roman" w:cs="Times New Roman" w:hint="default"/>
      </w:rPr>
    </w:lvl>
    <w:lvl w:ilvl="4">
      <w:start w:val="1"/>
      <w:numFmt w:val="decimal"/>
      <w:lvlText w:val="%1.%2.%3.%4.%5"/>
      <w:lvlJc w:val="left"/>
      <w:pPr>
        <w:ind w:left="8280" w:hanging="1080"/>
      </w:pPr>
      <w:rPr>
        <w:rFonts w:ascii="Times New Roman" w:hAnsi="Times New Roman" w:cs="Times New Roman" w:hint="default"/>
      </w:rPr>
    </w:lvl>
    <w:lvl w:ilvl="5">
      <w:start w:val="1"/>
      <w:numFmt w:val="decimal"/>
      <w:lvlText w:val="%1.%2.%3.%4.%5.%6"/>
      <w:lvlJc w:val="left"/>
      <w:pPr>
        <w:ind w:left="10080" w:hanging="1080"/>
      </w:pPr>
      <w:rPr>
        <w:rFonts w:ascii="Times New Roman" w:hAnsi="Times New Roman" w:cs="Times New Roman" w:hint="default"/>
      </w:rPr>
    </w:lvl>
    <w:lvl w:ilvl="6">
      <w:start w:val="1"/>
      <w:numFmt w:val="decimal"/>
      <w:lvlText w:val="%1.%2.%3.%4.%5.%6.%7"/>
      <w:lvlJc w:val="left"/>
      <w:pPr>
        <w:ind w:left="12240" w:hanging="1440"/>
      </w:pPr>
      <w:rPr>
        <w:rFonts w:ascii="Times New Roman" w:hAnsi="Times New Roman" w:cs="Times New Roman" w:hint="default"/>
      </w:rPr>
    </w:lvl>
    <w:lvl w:ilvl="7">
      <w:start w:val="1"/>
      <w:numFmt w:val="decimal"/>
      <w:lvlText w:val="%1.%2.%3.%4.%5.%6.%7.%8"/>
      <w:lvlJc w:val="left"/>
      <w:pPr>
        <w:ind w:left="14040" w:hanging="1440"/>
      </w:pPr>
      <w:rPr>
        <w:rFonts w:ascii="Times New Roman" w:hAnsi="Times New Roman" w:cs="Times New Roman" w:hint="default"/>
      </w:rPr>
    </w:lvl>
    <w:lvl w:ilvl="8">
      <w:start w:val="1"/>
      <w:numFmt w:val="decimal"/>
      <w:lvlText w:val="%1.%2.%3.%4.%5.%6.%7.%8.%9"/>
      <w:lvlJc w:val="left"/>
      <w:pPr>
        <w:ind w:left="15840" w:hanging="1440"/>
      </w:pPr>
      <w:rPr>
        <w:rFonts w:ascii="Times New Roman" w:hAnsi="Times New Roman" w:cs="Times New Roman" w:hint="default"/>
      </w:rPr>
    </w:lvl>
  </w:abstractNum>
  <w:abstractNum w:abstractNumId="13" w15:restartNumberingAfterBreak="0">
    <w:nsid w:val="3FB95D97"/>
    <w:multiLevelType w:val="multilevel"/>
    <w:tmpl w:val="49AA5A04"/>
    <w:lvl w:ilvl="0">
      <w:start w:val="4"/>
      <w:numFmt w:val="decimal"/>
      <w:lvlText w:val="%1"/>
      <w:lvlJc w:val="left"/>
      <w:pPr>
        <w:ind w:left="360" w:hanging="360"/>
      </w:pPr>
      <w:rPr>
        <w:rFonts w:ascii="Times New Roman" w:hAnsi="Times New Roman" w:cs="Times New Roman" w:hint="default"/>
      </w:rPr>
    </w:lvl>
    <w:lvl w:ilvl="1">
      <w:start w:val="5"/>
      <w:numFmt w:val="decimal"/>
      <w:lvlText w:val="%1.%2"/>
      <w:lvlJc w:val="left"/>
      <w:pPr>
        <w:ind w:left="2070" w:hanging="360"/>
      </w:pPr>
      <w:rPr>
        <w:rFonts w:ascii="Times New Roman" w:hAnsi="Times New Roman" w:cs="Times New Roman" w:hint="default"/>
      </w:rPr>
    </w:lvl>
    <w:lvl w:ilvl="2">
      <w:start w:val="1"/>
      <w:numFmt w:val="decimal"/>
      <w:lvlText w:val="%1.%2.%3"/>
      <w:lvlJc w:val="left"/>
      <w:pPr>
        <w:ind w:left="4140" w:hanging="720"/>
      </w:pPr>
      <w:rPr>
        <w:rFonts w:ascii="Times New Roman" w:hAnsi="Times New Roman" w:cs="Times New Roman" w:hint="default"/>
      </w:rPr>
    </w:lvl>
    <w:lvl w:ilvl="3">
      <w:start w:val="1"/>
      <w:numFmt w:val="decimal"/>
      <w:lvlText w:val="%1.%2.%3.%4"/>
      <w:lvlJc w:val="left"/>
      <w:pPr>
        <w:ind w:left="5850" w:hanging="720"/>
      </w:pPr>
      <w:rPr>
        <w:rFonts w:ascii="Times New Roman" w:hAnsi="Times New Roman" w:cs="Times New Roman" w:hint="default"/>
      </w:rPr>
    </w:lvl>
    <w:lvl w:ilvl="4">
      <w:start w:val="1"/>
      <w:numFmt w:val="decimal"/>
      <w:lvlText w:val="%1.%2.%3.%4.%5"/>
      <w:lvlJc w:val="left"/>
      <w:pPr>
        <w:ind w:left="7920" w:hanging="1080"/>
      </w:pPr>
      <w:rPr>
        <w:rFonts w:ascii="Times New Roman" w:hAnsi="Times New Roman" w:cs="Times New Roman" w:hint="default"/>
      </w:rPr>
    </w:lvl>
    <w:lvl w:ilvl="5">
      <w:start w:val="1"/>
      <w:numFmt w:val="decimal"/>
      <w:lvlText w:val="%1.%2.%3.%4.%5.%6"/>
      <w:lvlJc w:val="left"/>
      <w:pPr>
        <w:ind w:left="9630" w:hanging="1080"/>
      </w:pPr>
      <w:rPr>
        <w:rFonts w:ascii="Times New Roman" w:hAnsi="Times New Roman" w:cs="Times New Roman" w:hint="default"/>
      </w:rPr>
    </w:lvl>
    <w:lvl w:ilvl="6">
      <w:start w:val="1"/>
      <w:numFmt w:val="decimal"/>
      <w:lvlText w:val="%1.%2.%3.%4.%5.%6.%7"/>
      <w:lvlJc w:val="left"/>
      <w:pPr>
        <w:ind w:left="11700" w:hanging="1440"/>
      </w:pPr>
      <w:rPr>
        <w:rFonts w:ascii="Times New Roman" w:hAnsi="Times New Roman" w:cs="Times New Roman" w:hint="default"/>
      </w:rPr>
    </w:lvl>
    <w:lvl w:ilvl="7">
      <w:start w:val="1"/>
      <w:numFmt w:val="decimal"/>
      <w:lvlText w:val="%1.%2.%3.%4.%5.%6.%7.%8"/>
      <w:lvlJc w:val="left"/>
      <w:pPr>
        <w:ind w:left="13410" w:hanging="1440"/>
      </w:pPr>
      <w:rPr>
        <w:rFonts w:ascii="Times New Roman" w:hAnsi="Times New Roman" w:cs="Times New Roman" w:hint="default"/>
      </w:rPr>
    </w:lvl>
    <w:lvl w:ilvl="8">
      <w:start w:val="1"/>
      <w:numFmt w:val="decimal"/>
      <w:lvlText w:val="%1.%2.%3.%4.%5.%6.%7.%8.%9"/>
      <w:lvlJc w:val="left"/>
      <w:pPr>
        <w:ind w:left="15120" w:hanging="1440"/>
      </w:pPr>
      <w:rPr>
        <w:rFonts w:ascii="Times New Roman" w:hAnsi="Times New Roman" w:cs="Times New Roman" w:hint="default"/>
      </w:rPr>
    </w:lvl>
  </w:abstractNum>
  <w:abstractNum w:abstractNumId="14" w15:restartNumberingAfterBreak="0">
    <w:nsid w:val="40316093"/>
    <w:multiLevelType w:val="multilevel"/>
    <w:tmpl w:val="898A1AB2"/>
    <w:lvl w:ilvl="0">
      <w:start w:val="3"/>
      <w:numFmt w:val="decimal"/>
      <w:lvlText w:val="%1"/>
      <w:lvlJc w:val="left"/>
      <w:pPr>
        <w:ind w:left="360" w:hanging="360"/>
      </w:pPr>
      <w:rPr>
        <w:rFonts w:ascii="Times New Roman" w:hAnsi="Times New Roman" w:cs="Times New Roman" w:hint="default"/>
      </w:rPr>
    </w:lvl>
    <w:lvl w:ilvl="1">
      <w:start w:val="3"/>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15" w15:restartNumberingAfterBreak="0">
    <w:nsid w:val="455B0024"/>
    <w:multiLevelType w:val="hybridMultilevel"/>
    <w:tmpl w:val="4C641394"/>
    <w:lvl w:ilvl="0" w:tplc="8D324F14">
      <w:start w:val="1"/>
      <w:numFmt w:val="decimal"/>
      <w:lvlText w:val="%1."/>
      <w:lvlJc w:val="left"/>
      <w:pPr>
        <w:ind w:left="1070" w:hanging="360"/>
      </w:pPr>
      <w:rPr>
        <w:rFonts w:ascii="Times New Roman" w:hAnsi="Times New Roman" w:cs="Times New Roman" w:hint="default"/>
      </w:rPr>
    </w:lvl>
    <w:lvl w:ilvl="1" w:tplc="04160019">
      <w:start w:val="1"/>
      <w:numFmt w:val="lowerLetter"/>
      <w:lvlText w:val="%2."/>
      <w:lvlJc w:val="left"/>
      <w:pPr>
        <w:ind w:left="1790" w:hanging="360"/>
      </w:pPr>
      <w:rPr>
        <w:rFonts w:ascii="Times New Roman" w:hAnsi="Times New Roman" w:cs="Times New Roman"/>
      </w:rPr>
    </w:lvl>
    <w:lvl w:ilvl="2" w:tplc="0416001B">
      <w:start w:val="1"/>
      <w:numFmt w:val="lowerRoman"/>
      <w:lvlText w:val="%3."/>
      <w:lvlJc w:val="right"/>
      <w:pPr>
        <w:ind w:left="2510" w:hanging="180"/>
      </w:pPr>
      <w:rPr>
        <w:rFonts w:ascii="Times New Roman" w:hAnsi="Times New Roman" w:cs="Times New Roman"/>
      </w:rPr>
    </w:lvl>
    <w:lvl w:ilvl="3" w:tplc="0416000F">
      <w:start w:val="1"/>
      <w:numFmt w:val="decimal"/>
      <w:lvlText w:val="%4."/>
      <w:lvlJc w:val="left"/>
      <w:pPr>
        <w:ind w:left="3230" w:hanging="360"/>
      </w:pPr>
      <w:rPr>
        <w:rFonts w:ascii="Times New Roman" w:hAnsi="Times New Roman" w:cs="Times New Roman"/>
      </w:rPr>
    </w:lvl>
    <w:lvl w:ilvl="4" w:tplc="04160019">
      <w:start w:val="1"/>
      <w:numFmt w:val="lowerLetter"/>
      <w:lvlText w:val="%5."/>
      <w:lvlJc w:val="left"/>
      <w:pPr>
        <w:ind w:left="3950" w:hanging="360"/>
      </w:pPr>
      <w:rPr>
        <w:rFonts w:ascii="Times New Roman" w:hAnsi="Times New Roman" w:cs="Times New Roman"/>
      </w:rPr>
    </w:lvl>
    <w:lvl w:ilvl="5" w:tplc="0416001B">
      <w:start w:val="1"/>
      <w:numFmt w:val="lowerRoman"/>
      <w:lvlText w:val="%6."/>
      <w:lvlJc w:val="right"/>
      <w:pPr>
        <w:ind w:left="4670" w:hanging="180"/>
      </w:pPr>
      <w:rPr>
        <w:rFonts w:ascii="Times New Roman" w:hAnsi="Times New Roman" w:cs="Times New Roman"/>
      </w:rPr>
    </w:lvl>
    <w:lvl w:ilvl="6" w:tplc="0416000F">
      <w:start w:val="1"/>
      <w:numFmt w:val="decimal"/>
      <w:lvlText w:val="%7."/>
      <w:lvlJc w:val="left"/>
      <w:pPr>
        <w:ind w:left="5390" w:hanging="360"/>
      </w:pPr>
      <w:rPr>
        <w:rFonts w:ascii="Times New Roman" w:hAnsi="Times New Roman" w:cs="Times New Roman"/>
      </w:rPr>
    </w:lvl>
    <w:lvl w:ilvl="7" w:tplc="04160019">
      <w:start w:val="1"/>
      <w:numFmt w:val="lowerLetter"/>
      <w:lvlText w:val="%8."/>
      <w:lvlJc w:val="left"/>
      <w:pPr>
        <w:ind w:left="6110" w:hanging="360"/>
      </w:pPr>
      <w:rPr>
        <w:rFonts w:ascii="Times New Roman" w:hAnsi="Times New Roman" w:cs="Times New Roman"/>
      </w:rPr>
    </w:lvl>
    <w:lvl w:ilvl="8" w:tplc="0416001B">
      <w:start w:val="1"/>
      <w:numFmt w:val="lowerRoman"/>
      <w:lvlText w:val="%9."/>
      <w:lvlJc w:val="right"/>
      <w:pPr>
        <w:ind w:left="6830" w:hanging="180"/>
      </w:pPr>
      <w:rPr>
        <w:rFonts w:ascii="Times New Roman" w:hAnsi="Times New Roman" w:cs="Times New Roman"/>
      </w:rPr>
    </w:lvl>
  </w:abstractNum>
  <w:abstractNum w:abstractNumId="16" w15:restartNumberingAfterBreak="0">
    <w:nsid w:val="457F60A8"/>
    <w:multiLevelType w:val="multilevel"/>
    <w:tmpl w:val="9354A666"/>
    <w:lvl w:ilvl="0">
      <w:start w:val="2"/>
      <w:numFmt w:val="decimal"/>
      <w:lvlText w:val="%1"/>
      <w:lvlJc w:val="left"/>
      <w:pPr>
        <w:ind w:left="360" w:hanging="360"/>
      </w:pPr>
      <w:rPr>
        <w:rFonts w:ascii="Times New Roman" w:hAnsi="Times New Roman" w:cs="Times New Roman" w:hint="default"/>
      </w:rPr>
    </w:lvl>
    <w:lvl w:ilvl="1">
      <w:start w:val="3"/>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7" w15:restartNumberingAfterBreak="0">
    <w:nsid w:val="4E7A656F"/>
    <w:multiLevelType w:val="hybridMultilevel"/>
    <w:tmpl w:val="1A023F5A"/>
    <w:lvl w:ilvl="0" w:tplc="FE5E08D4">
      <w:start w:val="1"/>
      <w:numFmt w:val="decimal"/>
      <w:lvlText w:val="%1-"/>
      <w:lvlJc w:val="left"/>
      <w:pPr>
        <w:ind w:left="1776" w:hanging="360"/>
      </w:pPr>
      <w:rPr>
        <w:rFonts w:ascii="Times New Roman" w:hAnsi="Times New Roman" w:cs="Times New Roman" w:hint="default"/>
        <w:b/>
        <w:bCs/>
      </w:rPr>
    </w:lvl>
    <w:lvl w:ilvl="1" w:tplc="04160019">
      <w:start w:val="1"/>
      <w:numFmt w:val="lowerLetter"/>
      <w:lvlText w:val="%2."/>
      <w:lvlJc w:val="left"/>
      <w:pPr>
        <w:ind w:left="2496" w:hanging="360"/>
      </w:pPr>
      <w:rPr>
        <w:rFonts w:ascii="Times New Roman" w:hAnsi="Times New Roman" w:cs="Times New Roman"/>
      </w:rPr>
    </w:lvl>
    <w:lvl w:ilvl="2" w:tplc="0416001B">
      <w:start w:val="1"/>
      <w:numFmt w:val="lowerRoman"/>
      <w:lvlText w:val="%3."/>
      <w:lvlJc w:val="right"/>
      <w:pPr>
        <w:ind w:left="3216" w:hanging="180"/>
      </w:pPr>
      <w:rPr>
        <w:rFonts w:ascii="Times New Roman" w:hAnsi="Times New Roman" w:cs="Times New Roman"/>
      </w:rPr>
    </w:lvl>
    <w:lvl w:ilvl="3" w:tplc="0416000F">
      <w:start w:val="1"/>
      <w:numFmt w:val="decimal"/>
      <w:lvlText w:val="%4."/>
      <w:lvlJc w:val="left"/>
      <w:pPr>
        <w:ind w:left="3936" w:hanging="360"/>
      </w:pPr>
      <w:rPr>
        <w:rFonts w:ascii="Times New Roman" w:hAnsi="Times New Roman" w:cs="Times New Roman"/>
      </w:rPr>
    </w:lvl>
    <w:lvl w:ilvl="4" w:tplc="04160019">
      <w:start w:val="1"/>
      <w:numFmt w:val="lowerLetter"/>
      <w:lvlText w:val="%5."/>
      <w:lvlJc w:val="left"/>
      <w:pPr>
        <w:ind w:left="4656" w:hanging="360"/>
      </w:pPr>
      <w:rPr>
        <w:rFonts w:ascii="Times New Roman" w:hAnsi="Times New Roman" w:cs="Times New Roman"/>
      </w:rPr>
    </w:lvl>
    <w:lvl w:ilvl="5" w:tplc="0416001B">
      <w:start w:val="1"/>
      <w:numFmt w:val="lowerRoman"/>
      <w:lvlText w:val="%6."/>
      <w:lvlJc w:val="right"/>
      <w:pPr>
        <w:ind w:left="5376" w:hanging="180"/>
      </w:pPr>
      <w:rPr>
        <w:rFonts w:ascii="Times New Roman" w:hAnsi="Times New Roman" w:cs="Times New Roman"/>
      </w:rPr>
    </w:lvl>
    <w:lvl w:ilvl="6" w:tplc="0416000F">
      <w:start w:val="1"/>
      <w:numFmt w:val="decimal"/>
      <w:lvlText w:val="%7."/>
      <w:lvlJc w:val="left"/>
      <w:pPr>
        <w:ind w:left="6096" w:hanging="360"/>
      </w:pPr>
      <w:rPr>
        <w:rFonts w:ascii="Times New Roman" w:hAnsi="Times New Roman" w:cs="Times New Roman"/>
      </w:rPr>
    </w:lvl>
    <w:lvl w:ilvl="7" w:tplc="04160019">
      <w:start w:val="1"/>
      <w:numFmt w:val="lowerLetter"/>
      <w:lvlText w:val="%8."/>
      <w:lvlJc w:val="left"/>
      <w:pPr>
        <w:ind w:left="6816" w:hanging="360"/>
      </w:pPr>
      <w:rPr>
        <w:rFonts w:ascii="Times New Roman" w:hAnsi="Times New Roman" w:cs="Times New Roman"/>
      </w:rPr>
    </w:lvl>
    <w:lvl w:ilvl="8" w:tplc="0416001B">
      <w:start w:val="1"/>
      <w:numFmt w:val="lowerRoman"/>
      <w:lvlText w:val="%9."/>
      <w:lvlJc w:val="right"/>
      <w:pPr>
        <w:ind w:left="7536" w:hanging="180"/>
      </w:pPr>
      <w:rPr>
        <w:rFonts w:ascii="Times New Roman" w:hAnsi="Times New Roman" w:cs="Times New Roman"/>
      </w:rPr>
    </w:lvl>
  </w:abstractNum>
  <w:abstractNum w:abstractNumId="18" w15:restartNumberingAfterBreak="0">
    <w:nsid w:val="547546B4"/>
    <w:multiLevelType w:val="hybridMultilevel"/>
    <w:tmpl w:val="18665D1C"/>
    <w:lvl w:ilvl="0" w:tplc="9162F79E">
      <w:start w:val="1"/>
      <w:numFmt w:val="decimal"/>
      <w:lvlText w:val="%1."/>
      <w:lvlJc w:val="left"/>
      <w:pPr>
        <w:ind w:left="360" w:hanging="360"/>
      </w:pPr>
      <w:rPr>
        <w:rFonts w:ascii="Times New Roman" w:eastAsia="Times New Roman" w:hAnsi="Times New Roman"/>
        <w:b/>
        <w:bCs/>
      </w:rPr>
    </w:lvl>
    <w:lvl w:ilvl="1" w:tplc="04160019">
      <w:start w:val="1"/>
      <w:numFmt w:val="lowerLetter"/>
      <w:lvlText w:val="%2."/>
      <w:lvlJc w:val="left"/>
      <w:pPr>
        <w:ind w:left="1080" w:hanging="360"/>
      </w:pPr>
      <w:rPr>
        <w:rFonts w:ascii="Times New Roman" w:hAnsi="Times New Roman" w:cs="Times New Roman"/>
      </w:rPr>
    </w:lvl>
    <w:lvl w:ilvl="2" w:tplc="0416001B">
      <w:start w:val="1"/>
      <w:numFmt w:val="lowerRoman"/>
      <w:lvlText w:val="%3."/>
      <w:lvlJc w:val="right"/>
      <w:pPr>
        <w:ind w:left="1800" w:hanging="180"/>
      </w:pPr>
      <w:rPr>
        <w:rFonts w:ascii="Times New Roman" w:hAnsi="Times New Roman" w:cs="Times New Roman"/>
      </w:rPr>
    </w:lvl>
    <w:lvl w:ilvl="3" w:tplc="0416000F">
      <w:start w:val="1"/>
      <w:numFmt w:val="decimal"/>
      <w:lvlText w:val="%4."/>
      <w:lvlJc w:val="left"/>
      <w:pPr>
        <w:ind w:left="2520" w:hanging="360"/>
      </w:pPr>
      <w:rPr>
        <w:rFonts w:ascii="Times New Roman" w:hAnsi="Times New Roman" w:cs="Times New Roman"/>
      </w:rPr>
    </w:lvl>
    <w:lvl w:ilvl="4" w:tplc="04160019">
      <w:start w:val="1"/>
      <w:numFmt w:val="lowerLetter"/>
      <w:lvlText w:val="%5."/>
      <w:lvlJc w:val="left"/>
      <w:pPr>
        <w:ind w:left="3240" w:hanging="360"/>
      </w:pPr>
      <w:rPr>
        <w:rFonts w:ascii="Times New Roman" w:hAnsi="Times New Roman" w:cs="Times New Roman"/>
      </w:rPr>
    </w:lvl>
    <w:lvl w:ilvl="5" w:tplc="0416001B">
      <w:start w:val="1"/>
      <w:numFmt w:val="lowerRoman"/>
      <w:lvlText w:val="%6."/>
      <w:lvlJc w:val="right"/>
      <w:pPr>
        <w:ind w:left="3960" w:hanging="180"/>
      </w:pPr>
      <w:rPr>
        <w:rFonts w:ascii="Times New Roman" w:hAnsi="Times New Roman" w:cs="Times New Roman"/>
      </w:rPr>
    </w:lvl>
    <w:lvl w:ilvl="6" w:tplc="0416000F">
      <w:start w:val="1"/>
      <w:numFmt w:val="decimal"/>
      <w:lvlText w:val="%7."/>
      <w:lvlJc w:val="left"/>
      <w:pPr>
        <w:ind w:left="4680" w:hanging="360"/>
      </w:pPr>
      <w:rPr>
        <w:rFonts w:ascii="Times New Roman" w:hAnsi="Times New Roman" w:cs="Times New Roman"/>
      </w:rPr>
    </w:lvl>
    <w:lvl w:ilvl="7" w:tplc="04160019">
      <w:start w:val="1"/>
      <w:numFmt w:val="lowerLetter"/>
      <w:lvlText w:val="%8."/>
      <w:lvlJc w:val="left"/>
      <w:pPr>
        <w:ind w:left="5400" w:hanging="360"/>
      </w:pPr>
      <w:rPr>
        <w:rFonts w:ascii="Times New Roman" w:hAnsi="Times New Roman" w:cs="Times New Roman"/>
      </w:rPr>
    </w:lvl>
    <w:lvl w:ilvl="8" w:tplc="0416001B">
      <w:start w:val="1"/>
      <w:numFmt w:val="lowerRoman"/>
      <w:lvlText w:val="%9."/>
      <w:lvlJc w:val="right"/>
      <w:pPr>
        <w:ind w:left="6120" w:hanging="180"/>
      </w:pPr>
      <w:rPr>
        <w:rFonts w:ascii="Times New Roman" w:hAnsi="Times New Roman" w:cs="Times New Roman"/>
      </w:rPr>
    </w:lvl>
  </w:abstractNum>
  <w:abstractNum w:abstractNumId="19" w15:restartNumberingAfterBreak="0">
    <w:nsid w:val="551F3E13"/>
    <w:multiLevelType w:val="hybridMultilevel"/>
    <w:tmpl w:val="4EF450DE"/>
    <w:lvl w:ilvl="0" w:tplc="C952DF2C">
      <w:start w:val="3"/>
      <w:numFmt w:val="decimal"/>
      <w:lvlText w:val="%1."/>
      <w:lvlJc w:val="left"/>
      <w:pPr>
        <w:ind w:left="1080" w:hanging="360"/>
      </w:pPr>
      <w:rPr>
        <w:rFonts w:ascii="Times New Roman" w:hAnsi="Times New Roman" w:cs="Times New Roman" w:hint="default"/>
      </w:rPr>
    </w:lvl>
    <w:lvl w:ilvl="1" w:tplc="04160019">
      <w:start w:val="1"/>
      <w:numFmt w:val="lowerLetter"/>
      <w:lvlText w:val="%2."/>
      <w:lvlJc w:val="left"/>
      <w:pPr>
        <w:ind w:left="1800" w:hanging="360"/>
      </w:pPr>
      <w:rPr>
        <w:rFonts w:ascii="Times New Roman" w:hAnsi="Times New Roman" w:cs="Times New Roman"/>
      </w:rPr>
    </w:lvl>
    <w:lvl w:ilvl="2" w:tplc="0416001B">
      <w:start w:val="1"/>
      <w:numFmt w:val="lowerRoman"/>
      <w:lvlText w:val="%3."/>
      <w:lvlJc w:val="right"/>
      <w:pPr>
        <w:ind w:left="2520" w:hanging="180"/>
      </w:pPr>
      <w:rPr>
        <w:rFonts w:ascii="Times New Roman" w:hAnsi="Times New Roman" w:cs="Times New Roman"/>
      </w:rPr>
    </w:lvl>
    <w:lvl w:ilvl="3" w:tplc="0416000F">
      <w:start w:val="1"/>
      <w:numFmt w:val="decimal"/>
      <w:lvlText w:val="%4."/>
      <w:lvlJc w:val="left"/>
      <w:pPr>
        <w:ind w:left="3240" w:hanging="360"/>
      </w:pPr>
      <w:rPr>
        <w:rFonts w:ascii="Times New Roman" w:hAnsi="Times New Roman" w:cs="Times New Roman"/>
      </w:rPr>
    </w:lvl>
    <w:lvl w:ilvl="4" w:tplc="04160019">
      <w:start w:val="1"/>
      <w:numFmt w:val="lowerLetter"/>
      <w:lvlText w:val="%5."/>
      <w:lvlJc w:val="left"/>
      <w:pPr>
        <w:ind w:left="3960" w:hanging="360"/>
      </w:pPr>
      <w:rPr>
        <w:rFonts w:ascii="Times New Roman" w:hAnsi="Times New Roman" w:cs="Times New Roman"/>
      </w:rPr>
    </w:lvl>
    <w:lvl w:ilvl="5" w:tplc="0416001B">
      <w:start w:val="1"/>
      <w:numFmt w:val="lowerRoman"/>
      <w:lvlText w:val="%6."/>
      <w:lvlJc w:val="right"/>
      <w:pPr>
        <w:ind w:left="4680" w:hanging="180"/>
      </w:pPr>
      <w:rPr>
        <w:rFonts w:ascii="Times New Roman" w:hAnsi="Times New Roman" w:cs="Times New Roman"/>
      </w:rPr>
    </w:lvl>
    <w:lvl w:ilvl="6" w:tplc="0416000F">
      <w:start w:val="1"/>
      <w:numFmt w:val="decimal"/>
      <w:lvlText w:val="%7."/>
      <w:lvlJc w:val="left"/>
      <w:pPr>
        <w:ind w:left="5400" w:hanging="360"/>
      </w:pPr>
      <w:rPr>
        <w:rFonts w:ascii="Times New Roman" w:hAnsi="Times New Roman" w:cs="Times New Roman"/>
      </w:rPr>
    </w:lvl>
    <w:lvl w:ilvl="7" w:tplc="04160019">
      <w:start w:val="1"/>
      <w:numFmt w:val="lowerLetter"/>
      <w:lvlText w:val="%8."/>
      <w:lvlJc w:val="left"/>
      <w:pPr>
        <w:ind w:left="6120" w:hanging="360"/>
      </w:pPr>
      <w:rPr>
        <w:rFonts w:ascii="Times New Roman" w:hAnsi="Times New Roman" w:cs="Times New Roman"/>
      </w:rPr>
    </w:lvl>
    <w:lvl w:ilvl="8" w:tplc="0416001B">
      <w:start w:val="1"/>
      <w:numFmt w:val="lowerRoman"/>
      <w:lvlText w:val="%9."/>
      <w:lvlJc w:val="right"/>
      <w:pPr>
        <w:ind w:left="6840" w:hanging="180"/>
      </w:pPr>
      <w:rPr>
        <w:rFonts w:ascii="Times New Roman" w:hAnsi="Times New Roman" w:cs="Times New Roman"/>
      </w:rPr>
    </w:lvl>
  </w:abstractNum>
  <w:abstractNum w:abstractNumId="20" w15:restartNumberingAfterBreak="0">
    <w:nsid w:val="5D943489"/>
    <w:multiLevelType w:val="multilevel"/>
    <w:tmpl w:val="3B102D06"/>
    <w:lvl w:ilvl="0">
      <w:start w:val="3"/>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21" w15:restartNumberingAfterBreak="0">
    <w:nsid w:val="5FEE0510"/>
    <w:multiLevelType w:val="multilevel"/>
    <w:tmpl w:val="B956AC30"/>
    <w:lvl w:ilvl="0">
      <w:start w:val="4"/>
      <w:numFmt w:val="decimal"/>
      <w:lvlText w:val="%1"/>
      <w:lvlJc w:val="left"/>
      <w:pPr>
        <w:ind w:left="360" w:hanging="360"/>
      </w:pPr>
      <w:rPr>
        <w:rFonts w:ascii="Times New Roman" w:hAnsi="Times New Roman" w:cs="Times New Roman" w:hint="default"/>
      </w:rPr>
    </w:lvl>
    <w:lvl w:ilvl="1">
      <w:start w:val="5"/>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200" w:hanging="1440"/>
      </w:pPr>
      <w:rPr>
        <w:rFonts w:ascii="Times New Roman" w:hAnsi="Times New Roman" w:cs="Times New Roman" w:hint="default"/>
      </w:rPr>
    </w:lvl>
  </w:abstractNum>
  <w:abstractNum w:abstractNumId="22" w15:restartNumberingAfterBreak="0">
    <w:nsid w:val="653C7A6D"/>
    <w:multiLevelType w:val="multilevel"/>
    <w:tmpl w:val="0346DC20"/>
    <w:lvl w:ilvl="0">
      <w:start w:val="3"/>
      <w:numFmt w:val="decimal"/>
      <w:lvlText w:val="%1"/>
      <w:lvlJc w:val="left"/>
      <w:pPr>
        <w:ind w:left="360" w:hanging="360"/>
      </w:pPr>
      <w:rPr>
        <w:rFonts w:ascii="Times New Roman" w:hAnsi="Times New Roman" w:cs="Times New Roman" w:hint="default"/>
      </w:rPr>
    </w:lvl>
    <w:lvl w:ilvl="1">
      <w:start w:val="2"/>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abstractNum w:abstractNumId="23" w15:restartNumberingAfterBreak="0">
    <w:nsid w:val="6738187C"/>
    <w:multiLevelType w:val="hybridMultilevel"/>
    <w:tmpl w:val="016CE184"/>
    <w:lvl w:ilvl="0" w:tplc="04090001">
      <w:start w:val="1"/>
      <w:numFmt w:val="bullet"/>
      <w:lvlText w:val=""/>
      <w:lvlJc w:val="left"/>
      <w:pPr>
        <w:ind w:left="1146" w:hanging="360"/>
      </w:pPr>
      <w:rPr>
        <w:rFonts w:ascii="Symbol" w:hAnsi="Symbol" w:cs="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cs="Wingdings" w:hint="default"/>
      </w:rPr>
    </w:lvl>
    <w:lvl w:ilvl="3" w:tplc="04090001">
      <w:start w:val="1"/>
      <w:numFmt w:val="bullet"/>
      <w:lvlText w:val=""/>
      <w:lvlJc w:val="left"/>
      <w:pPr>
        <w:ind w:left="3306" w:hanging="360"/>
      </w:pPr>
      <w:rPr>
        <w:rFonts w:ascii="Symbol" w:hAnsi="Symbol" w:cs="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cs="Wingdings" w:hint="default"/>
      </w:rPr>
    </w:lvl>
    <w:lvl w:ilvl="6" w:tplc="04090001">
      <w:start w:val="1"/>
      <w:numFmt w:val="bullet"/>
      <w:lvlText w:val=""/>
      <w:lvlJc w:val="left"/>
      <w:pPr>
        <w:ind w:left="5466" w:hanging="360"/>
      </w:pPr>
      <w:rPr>
        <w:rFonts w:ascii="Symbol" w:hAnsi="Symbol" w:cs="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cs="Wingdings" w:hint="default"/>
      </w:rPr>
    </w:lvl>
  </w:abstractNum>
  <w:abstractNum w:abstractNumId="24" w15:restartNumberingAfterBreak="0">
    <w:nsid w:val="68DA40FB"/>
    <w:multiLevelType w:val="multilevel"/>
    <w:tmpl w:val="C7E4ED04"/>
    <w:lvl w:ilvl="0">
      <w:start w:val="1"/>
      <w:numFmt w:val="decimal"/>
      <w:lvlText w:val="%1."/>
      <w:lvlJc w:val="left"/>
      <w:pPr>
        <w:ind w:left="720" w:hanging="360"/>
      </w:pPr>
      <w:rPr>
        <w:rFonts w:ascii="Times New Roman" w:hAnsi="Times New Roman" w:cs="Times New Roman" w:hint="default"/>
        <w:b/>
        <w:bCs/>
      </w:rPr>
    </w:lvl>
    <w:lvl w:ilvl="1">
      <w:start w:val="1"/>
      <w:numFmt w:val="decimal"/>
      <w:isLgl/>
      <w:lvlText w:val="%1.%2"/>
      <w:lvlJc w:val="left"/>
      <w:pPr>
        <w:ind w:left="1637" w:hanging="36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160" w:hanging="72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240" w:hanging="108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320" w:hanging="1440"/>
      </w:pPr>
      <w:rPr>
        <w:rFonts w:ascii="Times New Roman" w:hAnsi="Times New Roman" w:cs="Times New Roman" w:hint="default"/>
      </w:rPr>
    </w:lvl>
    <w:lvl w:ilvl="8">
      <w:start w:val="1"/>
      <w:numFmt w:val="decimal"/>
      <w:isLgl/>
      <w:lvlText w:val="%1.%2.%3.%4.%5.%6.%7.%8.%9"/>
      <w:lvlJc w:val="left"/>
      <w:pPr>
        <w:ind w:left="4680" w:hanging="1440"/>
      </w:pPr>
      <w:rPr>
        <w:rFonts w:ascii="Times New Roman" w:hAnsi="Times New Roman" w:cs="Times New Roman" w:hint="default"/>
      </w:rPr>
    </w:lvl>
  </w:abstractNum>
  <w:abstractNum w:abstractNumId="25" w15:restartNumberingAfterBreak="0">
    <w:nsid w:val="70333443"/>
    <w:multiLevelType w:val="multilevel"/>
    <w:tmpl w:val="65AE42FC"/>
    <w:lvl w:ilvl="0">
      <w:start w:val="4"/>
      <w:numFmt w:val="decimal"/>
      <w:lvlText w:val="%1"/>
      <w:lvlJc w:val="left"/>
      <w:pPr>
        <w:ind w:left="360" w:hanging="360"/>
      </w:pPr>
      <w:rPr>
        <w:rFonts w:ascii="Times New Roman" w:hAnsi="Times New Roman" w:cs="Times New Roman" w:hint="default"/>
      </w:rPr>
    </w:lvl>
    <w:lvl w:ilvl="1">
      <w:start w:val="5"/>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26" w15:restartNumberingAfterBreak="0">
    <w:nsid w:val="70780109"/>
    <w:multiLevelType w:val="multilevel"/>
    <w:tmpl w:val="EDBE27B0"/>
    <w:lvl w:ilvl="0">
      <w:start w:val="2"/>
      <w:numFmt w:val="decimal"/>
      <w:lvlText w:val="%1"/>
      <w:lvlJc w:val="left"/>
      <w:pPr>
        <w:ind w:left="360" w:hanging="360"/>
      </w:pPr>
      <w:rPr>
        <w:rFonts w:ascii="Times New Roman" w:hAnsi="Times New Roman" w:cs="Times New Roman" w:hint="default"/>
      </w:rPr>
    </w:lvl>
    <w:lvl w:ilvl="1">
      <w:start w:val="3"/>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880" w:hanging="720"/>
      </w:pPr>
      <w:rPr>
        <w:rFonts w:ascii="Times New Roman" w:hAnsi="Times New Roman" w:cs="Times New Roman" w:hint="default"/>
      </w:rPr>
    </w:lvl>
    <w:lvl w:ilvl="3">
      <w:start w:val="1"/>
      <w:numFmt w:val="decimal"/>
      <w:lvlText w:val="%1.%2.%3.%4"/>
      <w:lvlJc w:val="left"/>
      <w:pPr>
        <w:ind w:left="3960" w:hanging="720"/>
      </w:pPr>
      <w:rPr>
        <w:rFonts w:ascii="Times New Roman" w:hAnsi="Times New Roman" w:cs="Times New Roman" w:hint="default"/>
      </w:rPr>
    </w:lvl>
    <w:lvl w:ilvl="4">
      <w:start w:val="1"/>
      <w:numFmt w:val="decimal"/>
      <w:lvlText w:val="%1.%2.%3.%4.%5"/>
      <w:lvlJc w:val="left"/>
      <w:pPr>
        <w:ind w:left="5400" w:hanging="1080"/>
      </w:pPr>
      <w:rPr>
        <w:rFonts w:ascii="Times New Roman" w:hAnsi="Times New Roman" w:cs="Times New Roman" w:hint="default"/>
      </w:rPr>
    </w:lvl>
    <w:lvl w:ilvl="5">
      <w:start w:val="1"/>
      <w:numFmt w:val="decimal"/>
      <w:lvlText w:val="%1.%2.%3.%4.%5.%6"/>
      <w:lvlJc w:val="left"/>
      <w:pPr>
        <w:ind w:left="6480" w:hanging="1080"/>
      </w:pPr>
      <w:rPr>
        <w:rFonts w:ascii="Times New Roman" w:hAnsi="Times New Roman" w:cs="Times New Roman" w:hint="default"/>
      </w:rPr>
    </w:lvl>
    <w:lvl w:ilvl="6">
      <w:start w:val="1"/>
      <w:numFmt w:val="decimal"/>
      <w:lvlText w:val="%1.%2.%3.%4.%5.%6.%7"/>
      <w:lvlJc w:val="left"/>
      <w:pPr>
        <w:ind w:left="7920" w:hanging="1440"/>
      </w:pPr>
      <w:rPr>
        <w:rFonts w:ascii="Times New Roman" w:hAnsi="Times New Roman" w:cs="Times New Roman" w:hint="default"/>
      </w:rPr>
    </w:lvl>
    <w:lvl w:ilvl="7">
      <w:start w:val="1"/>
      <w:numFmt w:val="decimal"/>
      <w:lvlText w:val="%1.%2.%3.%4.%5.%6.%7.%8"/>
      <w:lvlJc w:val="left"/>
      <w:pPr>
        <w:ind w:left="9000" w:hanging="1440"/>
      </w:pPr>
      <w:rPr>
        <w:rFonts w:ascii="Times New Roman" w:hAnsi="Times New Roman" w:cs="Times New Roman" w:hint="default"/>
      </w:rPr>
    </w:lvl>
    <w:lvl w:ilvl="8">
      <w:start w:val="1"/>
      <w:numFmt w:val="decimal"/>
      <w:lvlText w:val="%1.%2.%3.%4.%5.%6.%7.%8.%9"/>
      <w:lvlJc w:val="left"/>
      <w:pPr>
        <w:ind w:left="10080" w:hanging="1440"/>
      </w:pPr>
      <w:rPr>
        <w:rFonts w:ascii="Times New Roman" w:hAnsi="Times New Roman" w:cs="Times New Roman" w:hint="default"/>
      </w:rPr>
    </w:lvl>
  </w:abstractNum>
  <w:abstractNum w:abstractNumId="27" w15:restartNumberingAfterBreak="0">
    <w:nsid w:val="72BB4D3A"/>
    <w:multiLevelType w:val="hybridMultilevel"/>
    <w:tmpl w:val="BE78851E"/>
    <w:lvl w:ilvl="0" w:tplc="A306BAE6">
      <w:start w:val="1"/>
      <w:numFmt w:val="decimal"/>
      <w:lvlText w:val="%1."/>
      <w:lvlJc w:val="left"/>
      <w:pPr>
        <w:tabs>
          <w:tab w:val="num" w:pos="900"/>
        </w:tabs>
        <w:ind w:left="900" w:hanging="360"/>
      </w:pPr>
      <w:rPr>
        <w:rFonts w:hint="default"/>
      </w:rPr>
    </w:lvl>
    <w:lvl w:ilvl="1" w:tplc="04160019">
      <w:start w:val="1"/>
      <w:numFmt w:val="lowerLetter"/>
      <w:lvlText w:val="%2."/>
      <w:lvlJc w:val="left"/>
      <w:pPr>
        <w:tabs>
          <w:tab w:val="num" w:pos="1620"/>
        </w:tabs>
        <w:ind w:left="1620" w:hanging="360"/>
      </w:pPr>
    </w:lvl>
    <w:lvl w:ilvl="2" w:tplc="0416001B">
      <w:start w:val="1"/>
      <w:numFmt w:val="lowerRoman"/>
      <w:lvlText w:val="%3."/>
      <w:lvlJc w:val="right"/>
      <w:pPr>
        <w:tabs>
          <w:tab w:val="num" w:pos="2340"/>
        </w:tabs>
        <w:ind w:left="2340" w:hanging="180"/>
      </w:pPr>
    </w:lvl>
    <w:lvl w:ilvl="3" w:tplc="0416000F">
      <w:start w:val="1"/>
      <w:numFmt w:val="decimal"/>
      <w:lvlText w:val="%4."/>
      <w:lvlJc w:val="left"/>
      <w:pPr>
        <w:tabs>
          <w:tab w:val="num" w:pos="3060"/>
        </w:tabs>
        <w:ind w:left="3060" w:hanging="360"/>
      </w:pPr>
    </w:lvl>
    <w:lvl w:ilvl="4" w:tplc="04160019">
      <w:start w:val="1"/>
      <w:numFmt w:val="lowerLetter"/>
      <w:lvlText w:val="%5."/>
      <w:lvlJc w:val="left"/>
      <w:pPr>
        <w:tabs>
          <w:tab w:val="num" w:pos="3780"/>
        </w:tabs>
        <w:ind w:left="3780" w:hanging="360"/>
      </w:pPr>
    </w:lvl>
    <w:lvl w:ilvl="5" w:tplc="0416001B">
      <w:start w:val="1"/>
      <w:numFmt w:val="lowerRoman"/>
      <w:lvlText w:val="%6."/>
      <w:lvlJc w:val="right"/>
      <w:pPr>
        <w:tabs>
          <w:tab w:val="num" w:pos="4500"/>
        </w:tabs>
        <w:ind w:left="4500" w:hanging="180"/>
      </w:pPr>
    </w:lvl>
    <w:lvl w:ilvl="6" w:tplc="0416000F">
      <w:start w:val="1"/>
      <w:numFmt w:val="decimal"/>
      <w:lvlText w:val="%7."/>
      <w:lvlJc w:val="left"/>
      <w:pPr>
        <w:tabs>
          <w:tab w:val="num" w:pos="5220"/>
        </w:tabs>
        <w:ind w:left="5220" w:hanging="360"/>
      </w:pPr>
    </w:lvl>
    <w:lvl w:ilvl="7" w:tplc="04160019">
      <w:start w:val="1"/>
      <w:numFmt w:val="lowerLetter"/>
      <w:lvlText w:val="%8."/>
      <w:lvlJc w:val="left"/>
      <w:pPr>
        <w:tabs>
          <w:tab w:val="num" w:pos="5940"/>
        </w:tabs>
        <w:ind w:left="5940" w:hanging="360"/>
      </w:pPr>
    </w:lvl>
    <w:lvl w:ilvl="8" w:tplc="0416001B">
      <w:start w:val="1"/>
      <w:numFmt w:val="lowerRoman"/>
      <w:lvlText w:val="%9."/>
      <w:lvlJc w:val="right"/>
      <w:pPr>
        <w:tabs>
          <w:tab w:val="num" w:pos="6660"/>
        </w:tabs>
        <w:ind w:left="6660" w:hanging="180"/>
      </w:pPr>
    </w:lvl>
  </w:abstractNum>
  <w:abstractNum w:abstractNumId="28" w15:restartNumberingAfterBreak="0">
    <w:nsid w:val="73A02024"/>
    <w:multiLevelType w:val="hybridMultilevel"/>
    <w:tmpl w:val="00DA0D7C"/>
    <w:lvl w:ilvl="0" w:tplc="6CC2E198">
      <w:start w:val="7"/>
      <w:numFmt w:val="decimal"/>
      <w:lvlText w:val="%1."/>
      <w:lvlJc w:val="left"/>
      <w:pPr>
        <w:ind w:left="1080" w:hanging="360"/>
      </w:pPr>
      <w:rPr>
        <w:rFonts w:ascii="Times New Roman" w:hAnsi="Times New Roman" w:cs="Times New Roman" w:hint="default"/>
        <w:b/>
        <w:bCs/>
      </w:rPr>
    </w:lvl>
    <w:lvl w:ilvl="1" w:tplc="04160019">
      <w:start w:val="1"/>
      <w:numFmt w:val="lowerLetter"/>
      <w:lvlText w:val="%2."/>
      <w:lvlJc w:val="left"/>
      <w:pPr>
        <w:ind w:left="1800" w:hanging="360"/>
      </w:pPr>
      <w:rPr>
        <w:rFonts w:ascii="Times New Roman" w:hAnsi="Times New Roman" w:cs="Times New Roman"/>
      </w:rPr>
    </w:lvl>
    <w:lvl w:ilvl="2" w:tplc="0416001B">
      <w:start w:val="1"/>
      <w:numFmt w:val="lowerRoman"/>
      <w:lvlText w:val="%3."/>
      <w:lvlJc w:val="right"/>
      <w:pPr>
        <w:ind w:left="2520" w:hanging="180"/>
      </w:pPr>
      <w:rPr>
        <w:rFonts w:ascii="Times New Roman" w:hAnsi="Times New Roman" w:cs="Times New Roman"/>
      </w:rPr>
    </w:lvl>
    <w:lvl w:ilvl="3" w:tplc="0416000F">
      <w:start w:val="1"/>
      <w:numFmt w:val="decimal"/>
      <w:lvlText w:val="%4."/>
      <w:lvlJc w:val="left"/>
      <w:pPr>
        <w:ind w:left="3240" w:hanging="360"/>
      </w:pPr>
      <w:rPr>
        <w:rFonts w:ascii="Times New Roman" w:hAnsi="Times New Roman" w:cs="Times New Roman"/>
      </w:rPr>
    </w:lvl>
    <w:lvl w:ilvl="4" w:tplc="04160019">
      <w:start w:val="1"/>
      <w:numFmt w:val="lowerLetter"/>
      <w:lvlText w:val="%5."/>
      <w:lvlJc w:val="left"/>
      <w:pPr>
        <w:ind w:left="3960" w:hanging="360"/>
      </w:pPr>
      <w:rPr>
        <w:rFonts w:ascii="Times New Roman" w:hAnsi="Times New Roman" w:cs="Times New Roman"/>
      </w:rPr>
    </w:lvl>
    <w:lvl w:ilvl="5" w:tplc="0416001B">
      <w:start w:val="1"/>
      <w:numFmt w:val="lowerRoman"/>
      <w:lvlText w:val="%6."/>
      <w:lvlJc w:val="right"/>
      <w:pPr>
        <w:ind w:left="4680" w:hanging="180"/>
      </w:pPr>
      <w:rPr>
        <w:rFonts w:ascii="Times New Roman" w:hAnsi="Times New Roman" w:cs="Times New Roman"/>
      </w:rPr>
    </w:lvl>
    <w:lvl w:ilvl="6" w:tplc="0416000F">
      <w:start w:val="1"/>
      <w:numFmt w:val="decimal"/>
      <w:lvlText w:val="%7."/>
      <w:lvlJc w:val="left"/>
      <w:pPr>
        <w:ind w:left="5400" w:hanging="360"/>
      </w:pPr>
      <w:rPr>
        <w:rFonts w:ascii="Times New Roman" w:hAnsi="Times New Roman" w:cs="Times New Roman"/>
      </w:rPr>
    </w:lvl>
    <w:lvl w:ilvl="7" w:tplc="04160019">
      <w:start w:val="1"/>
      <w:numFmt w:val="lowerLetter"/>
      <w:lvlText w:val="%8."/>
      <w:lvlJc w:val="left"/>
      <w:pPr>
        <w:ind w:left="6120" w:hanging="360"/>
      </w:pPr>
      <w:rPr>
        <w:rFonts w:ascii="Times New Roman" w:hAnsi="Times New Roman" w:cs="Times New Roman"/>
      </w:rPr>
    </w:lvl>
    <w:lvl w:ilvl="8" w:tplc="0416001B">
      <w:start w:val="1"/>
      <w:numFmt w:val="lowerRoman"/>
      <w:lvlText w:val="%9."/>
      <w:lvlJc w:val="right"/>
      <w:pPr>
        <w:ind w:left="6840" w:hanging="180"/>
      </w:pPr>
      <w:rPr>
        <w:rFonts w:ascii="Times New Roman" w:hAnsi="Times New Roman" w:cs="Times New Roman"/>
      </w:rPr>
    </w:lvl>
  </w:abstractNum>
  <w:abstractNum w:abstractNumId="29" w15:restartNumberingAfterBreak="0">
    <w:nsid w:val="7435580C"/>
    <w:multiLevelType w:val="hybridMultilevel"/>
    <w:tmpl w:val="E4009356"/>
    <w:lvl w:ilvl="0" w:tplc="CCB00D20">
      <w:start w:val="1"/>
      <w:numFmt w:val="decimal"/>
      <w:lvlText w:val="%1."/>
      <w:lvlJc w:val="left"/>
      <w:pPr>
        <w:ind w:left="900" w:hanging="360"/>
      </w:pPr>
      <w:rPr>
        <w:rFonts w:hint="default"/>
        <w:b/>
      </w:r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30" w15:restartNumberingAfterBreak="0">
    <w:nsid w:val="77EE36E2"/>
    <w:multiLevelType w:val="hybridMultilevel"/>
    <w:tmpl w:val="5EBA6D28"/>
    <w:lvl w:ilvl="0" w:tplc="F656F372">
      <w:start w:val="1"/>
      <w:numFmt w:val="bullet"/>
      <w:lvlText w:val="•"/>
      <w:lvlJc w:val="left"/>
      <w:pPr>
        <w:tabs>
          <w:tab w:val="num" w:pos="720"/>
        </w:tabs>
        <w:ind w:left="720" w:hanging="360"/>
      </w:pPr>
      <w:rPr>
        <w:rFonts w:ascii="Arial" w:hAnsi="Arial" w:cs="Arial" w:hint="default"/>
      </w:rPr>
    </w:lvl>
    <w:lvl w:ilvl="1" w:tplc="23283C10">
      <w:start w:val="1"/>
      <w:numFmt w:val="bullet"/>
      <w:lvlText w:val="•"/>
      <w:lvlJc w:val="left"/>
      <w:pPr>
        <w:tabs>
          <w:tab w:val="num" w:pos="1440"/>
        </w:tabs>
        <w:ind w:left="1440" w:hanging="360"/>
      </w:pPr>
      <w:rPr>
        <w:rFonts w:ascii="Arial" w:hAnsi="Arial" w:cs="Arial" w:hint="default"/>
      </w:rPr>
    </w:lvl>
    <w:lvl w:ilvl="2" w:tplc="B2D2CFC0">
      <w:start w:val="1"/>
      <w:numFmt w:val="bullet"/>
      <w:lvlText w:val="•"/>
      <w:lvlJc w:val="left"/>
      <w:pPr>
        <w:tabs>
          <w:tab w:val="num" w:pos="2160"/>
        </w:tabs>
        <w:ind w:left="2160" w:hanging="360"/>
      </w:pPr>
      <w:rPr>
        <w:rFonts w:ascii="Arial" w:hAnsi="Arial" w:cs="Arial" w:hint="default"/>
      </w:rPr>
    </w:lvl>
    <w:lvl w:ilvl="3" w:tplc="9ED4A15A">
      <w:start w:val="1"/>
      <w:numFmt w:val="bullet"/>
      <w:lvlText w:val="•"/>
      <w:lvlJc w:val="left"/>
      <w:pPr>
        <w:tabs>
          <w:tab w:val="num" w:pos="2880"/>
        </w:tabs>
        <w:ind w:left="2880" w:hanging="360"/>
      </w:pPr>
      <w:rPr>
        <w:rFonts w:ascii="Arial" w:hAnsi="Arial" w:cs="Arial" w:hint="default"/>
      </w:rPr>
    </w:lvl>
    <w:lvl w:ilvl="4" w:tplc="AAB0A20E">
      <w:start w:val="1"/>
      <w:numFmt w:val="bullet"/>
      <w:lvlText w:val="•"/>
      <w:lvlJc w:val="left"/>
      <w:pPr>
        <w:tabs>
          <w:tab w:val="num" w:pos="3600"/>
        </w:tabs>
        <w:ind w:left="3600" w:hanging="360"/>
      </w:pPr>
      <w:rPr>
        <w:rFonts w:ascii="Arial" w:hAnsi="Arial" w:cs="Arial" w:hint="default"/>
      </w:rPr>
    </w:lvl>
    <w:lvl w:ilvl="5" w:tplc="6F7EB3E0">
      <w:start w:val="1"/>
      <w:numFmt w:val="bullet"/>
      <w:lvlText w:val="•"/>
      <w:lvlJc w:val="left"/>
      <w:pPr>
        <w:tabs>
          <w:tab w:val="num" w:pos="4320"/>
        </w:tabs>
        <w:ind w:left="4320" w:hanging="360"/>
      </w:pPr>
      <w:rPr>
        <w:rFonts w:ascii="Arial" w:hAnsi="Arial" w:cs="Arial" w:hint="default"/>
      </w:rPr>
    </w:lvl>
    <w:lvl w:ilvl="6" w:tplc="371A2E40">
      <w:start w:val="1"/>
      <w:numFmt w:val="bullet"/>
      <w:lvlText w:val="•"/>
      <w:lvlJc w:val="left"/>
      <w:pPr>
        <w:tabs>
          <w:tab w:val="num" w:pos="5040"/>
        </w:tabs>
        <w:ind w:left="5040" w:hanging="360"/>
      </w:pPr>
      <w:rPr>
        <w:rFonts w:ascii="Arial" w:hAnsi="Arial" w:cs="Arial" w:hint="default"/>
      </w:rPr>
    </w:lvl>
    <w:lvl w:ilvl="7" w:tplc="CA56BC42">
      <w:start w:val="1"/>
      <w:numFmt w:val="bullet"/>
      <w:lvlText w:val="•"/>
      <w:lvlJc w:val="left"/>
      <w:pPr>
        <w:tabs>
          <w:tab w:val="num" w:pos="5760"/>
        </w:tabs>
        <w:ind w:left="5760" w:hanging="360"/>
      </w:pPr>
      <w:rPr>
        <w:rFonts w:ascii="Arial" w:hAnsi="Arial" w:cs="Arial" w:hint="default"/>
      </w:rPr>
    </w:lvl>
    <w:lvl w:ilvl="8" w:tplc="A9E66298">
      <w:start w:val="1"/>
      <w:numFmt w:val="bullet"/>
      <w:lvlText w:val="•"/>
      <w:lvlJc w:val="left"/>
      <w:pPr>
        <w:tabs>
          <w:tab w:val="num" w:pos="6480"/>
        </w:tabs>
        <w:ind w:left="6480" w:hanging="360"/>
      </w:pPr>
      <w:rPr>
        <w:rFonts w:ascii="Arial" w:hAnsi="Arial" w:cs="Arial" w:hint="default"/>
      </w:rPr>
    </w:lvl>
  </w:abstractNum>
  <w:num w:numId="1">
    <w:abstractNumId w:val="24"/>
  </w:num>
  <w:num w:numId="2">
    <w:abstractNumId w:val="26"/>
  </w:num>
  <w:num w:numId="3">
    <w:abstractNumId w:val="30"/>
  </w:num>
  <w:num w:numId="4">
    <w:abstractNumId w:val="3"/>
  </w:num>
  <w:num w:numId="5">
    <w:abstractNumId w:val="16"/>
  </w:num>
  <w:num w:numId="6">
    <w:abstractNumId w:val="20"/>
  </w:num>
  <w:num w:numId="7">
    <w:abstractNumId w:val="0"/>
  </w:num>
  <w:num w:numId="8">
    <w:abstractNumId w:val="12"/>
  </w:num>
  <w:num w:numId="9">
    <w:abstractNumId w:val="14"/>
  </w:num>
  <w:num w:numId="10">
    <w:abstractNumId w:val="11"/>
  </w:num>
  <w:num w:numId="11">
    <w:abstractNumId w:val="19"/>
  </w:num>
  <w:num w:numId="12">
    <w:abstractNumId w:val="9"/>
  </w:num>
  <w:num w:numId="13">
    <w:abstractNumId w:val="15"/>
  </w:num>
  <w:num w:numId="14">
    <w:abstractNumId w:val="13"/>
  </w:num>
  <w:num w:numId="15">
    <w:abstractNumId w:val="25"/>
  </w:num>
  <w:num w:numId="16">
    <w:abstractNumId w:val="21"/>
  </w:num>
  <w:num w:numId="17">
    <w:abstractNumId w:val="6"/>
  </w:num>
  <w:num w:numId="18">
    <w:abstractNumId w:val="10"/>
  </w:num>
  <w:num w:numId="19">
    <w:abstractNumId w:val="1"/>
  </w:num>
  <w:num w:numId="20">
    <w:abstractNumId w:val="23"/>
  </w:num>
  <w:num w:numId="21">
    <w:abstractNumId w:val="7"/>
  </w:num>
  <w:num w:numId="22">
    <w:abstractNumId w:val="28"/>
  </w:num>
  <w:num w:numId="23">
    <w:abstractNumId w:val="22"/>
  </w:num>
  <w:num w:numId="24">
    <w:abstractNumId w:val="17"/>
  </w:num>
  <w:num w:numId="25">
    <w:abstractNumId w:val="8"/>
  </w:num>
  <w:num w:numId="26">
    <w:abstractNumId w:val="18"/>
  </w:num>
  <w:num w:numId="27">
    <w:abstractNumId w:val="5"/>
  </w:num>
  <w:num w:numId="28">
    <w:abstractNumId w:val="27"/>
  </w:num>
  <w:num w:numId="29">
    <w:abstractNumId w:val="2"/>
  </w:num>
  <w:num w:numId="30">
    <w:abstractNumId w:val="2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2A6"/>
    <w:rsid w:val="000065A5"/>
    <w:rsid w:val="00025ABB"/>
    <w:rsid w:val="00035C11"/>
    <w:rsid w:val="000429E0"/>
    <w:rsid w:val="00045343"/>
    <w:rsid w:val="00045AE8"/>
    <w:rsid w:val="00051937"/>
    <w:rsid w:val="00054545"/>
    <w:rsid w:val="00055886"/>
    <w:rsid w:val="00057B9F"/>
    <w:rsid w:val="0006379A"/>
    <w:rsid w:val="000645DE"/>
    <w:rsid w:val="0006553C"/>
    <w:rsid w:val="000671D1"/>
    <w:rsid w:val="0007027E"/>
    <w:rsid w:val="00071E14"/>
    <w:rsid w:val="000729FB"/>
    <w:rsid w:val="00084F68"/>
    <w:rsid w:val="00087B63"/>
    <w:rsid w:val="000922A6"/>
    <w:rsid w:val="000A6B6D"/>
    <w:rsid w:val="000B1E64"/>
    <w:rsid w:val="000C7CF6"/>
    <w:rsid w:val="000D06A8"/>
    <w:rsid w:val="000D62E7"/>
    <w:rsid w:val="000E343A"/>
    <w:rsid w:val="000E532D"/>
    <w:rsid w:val="000F3871"/>
    <w:rsid w:val="00106EA2"/>
    <w:rsid w:val="00107E1B"/>
    <w:rsid w:val="00111CDC"/>
    <w:rsid w:val="0011202E"/>
    <w:rsid w:val="00116917"/>
    <w:rsid w:val="00120E5A"/>
    <w:rsid w:val="001253E9"/>
    <w:rsid w:val="0012775B"/>
    <w:rsid w:val="00133592"/>
    <w:rsid w:val="0013498C"/>
    <w:rsid w:val="00134E3E"/>
    <w:rsid w:val="001361F7"/>
    <w:rsid w:val="00142784"/>
    <w:rsid w:val="00146F95"/>
    <w:rsid w:val="00154034"/>
    <w:rsid w:val="00163097"/>
    <w:rsid w:val="00163730"/>
    <w:rsid w:val="0016456D"/>
    <w:rsid w:val="0016756F"/>
    <w:rsid w:val="00170AE3"/>
    <w:rsid w:val="00170B8A"/>
    <w:rsid w:val="00195F73"/>
    <w:rsid w:val="001A0F06"/>
    <w:rsid w:val="001A1B2F"/>
    <w:rsid w:val="001B0093"/>
    <w:rsid w:val="001B093D"/>
    <w:rsid w:val="001C4B47"/>
    <w:rsid w:val="001D0564"/>
    <w:rsid w:val="001E0132"/>
    <w:rsid w:val="001E0F25"/>
    <w:rsid w:val="001E57C3"/>
    <w:rsid w:val="001F56C8"/>
    <w:rsid w:val="00203D6C"/>
    <w:rsid w:val="00211A83"/>
    <w:rsid w:val="00213ECB"/>
    <w:rsid w:val="0022008E"/>
    <w:rsid w:val="002215DC"/>
    <w:rsid w:val="002428D6"/>
    <w:rsid w:val="00242DBC"/>
    <w:rsid w:val="0024481C"/>
    <w:rsid w:val="00254134"/>
    <w:rsid w:val="00262882"/>
    <w:rsid w:val="00263267"/>
    <w:rsid w:val="002653FD"/>
    <w:rsid w:val="00266799"/>
    <w:rsid w:val="002809A9"/>
    <w:rsid w:val="00281C6F"/>
    <w:rsid w:val="00287E44"/>
    <w:rsid w:val="00294719"/>
    <w:rsid w:val="0029513A"/>
    <w:rsid w:val="002A01CE"/>
    <w:rsid w:val="002A2B5A"/>
    <w:rsid w:val="002A2C98"/>
    <w:rsid w:val="002B4AD5"/>
    <w:rsid w:val="002B6CB3"/>
    <w:rsid w:val="002C27E7"/>
    <w:rsid w:val="002D6961"/>
    <w:rsid w:val="002E6DB1"/>
    <w:rsid w:val="002E6F9B"/>
    <w:rsid w:val="002F1D5A"/>
    <w:rsid w:val="002F5A09"/>
    <w:rsid w:val="002F6E4E"/>
    <w:rsid w:val="002F7DB8"/>
    <w:rsid w:val="00300E16"/>
    <w:rsid w:val="003063B2"/>
    <w:rsid w:val="00331A1E"/>
    <w:rsid w:val="0034564B"/>
    <w:rsid w:val="00345E4F"/>
    <w:rsid w:val="00365BA3"/>
    <w:rsid w:val="0037681C"/>
    <w:rsid w:val="00380A10"/>
    <w:rsid w:val="00393F79"/>
    <w:rsid w:val="003A1848"/>
    <w:rsid w:val="003A38D6"/>
    <w:rsid w:val="003B4B9E"/>
    <w:rsid w:val="003B60FF"/>
    <w:rsid w:val="003B6772"/>
    <w:rsid w:val="003C09E1"/>
    <w:rsid w:val="003C0BC9"/>
    <w:rsid w:val="003C486B"/>
    <w:rsid w:val="003C6219"/>
    <w:rsid w:val="003C704C"/>
    <w:rsid w:val="003D18F9"/>
    <w:rsid w:val="003D2DD7"/>
    <w:rsid w:val="003D3CB3"/>
    <w:rsid w:val="003E27EC"/>
    <w:rsid w:val="003F6791"/>
    <w:rsid w:val="00402802"/>
    <w:rsid w:val="00404AA4"/>
    <w:rsid w:val="00411353"/>
    <w:rsid w:val="00411C86"/>
    <w:rsid w:val="004129CE"/>
    <w:rsid w:val="00412A7E"/>
    <w:rsid w:val="00416CED"/>
    <w:rsid w:val="004242EA"/>
    <w:rsid w:val="004274DA"/>
    <w:rsid w:val="0043078C"/>
    <w:rsid w:val="00435918"/>
    <w:rsid w:val="00444B83"/>
    <w:rsid w:val="00453963"/>
    <w:rsid w:val="00461EC2"/>
    <w:rsid w:val="004642C5"/>
    <w:rsid w:val="00470603"/>
    <w:rsid w:val="00470FA4"/>
    <w:rsid w:val="0047178E"/>
    <w:rsid w:val="00483E69"/>
    <w:rsid w:val="00495080"/>
    <w:rsid w:val="004A4A0D"/>
    <w:rsid w:val="004B1B58"/>
    <w:rsid w:val="004B4179"/>
    <w:rsid w:val="004B74F7"/>
    <w:rsid w:val="004C1C2B"/>
    <w:rsid w:val="004D0F5F"/>
    <w:rsid w:val="004D6D18"/>
    <w:rsid w:val="004E33ED"/>
    <w:rsid w:val="004E6894"/>
    <w:rsid w:val="004E7510"/>
    <w:rsid w:val="004E792E"/>
    <w:rsid w:val="004F3815"/>
    <w:rsid w:val="004F6A2C"/>
    <w:rsid w:val="00507941"/>
    <w:rsid w:val="0052759F"/>
    <w:rsid w:val="00530064"/>
    <w:rsid w:val="005317C4"/>
    <w:rsid w:val="00533BBF"/>
    <w:rsid w:val="005363F7"/>
    <w:rsid w:val="00536744"/>
    <w:rsid w:val="0053744B"/>
    <w:rsid w:val="00541D31"/>
    <w:rsid w:val="00542D42"/>
    <w:rsid w:val="00543D5F"/>
    <w:rsid w:val="0054466B"/>
    <w:rsid w:val="0055163B"/>
    <w:rsid w:val="00552ABD"/>
    <w:rsid w:val="005645B5"/>
    <w:rsid w:val="00567F0F"/>
    <w:rsid w:val="00573B5C"/>
    <w:rsid w:val="005A10D8"/>
    <w:rsid w:val="005A1BBB"/>
    <w:rsid w:val="005A6F97"/>
    <w:rsid w:val="005B25E4"/>
    <w:rsid w:val="005B3FD8"/>
    <w:rsid w:val="005B49E6"/>
    <w:rsid w:val="005C152B"/>
    <w:rsid w:val="005C20B3"/>
    <w:rsid w:val="005C3A41"/>
    <w:rsid w:val="005C54ED"/>
    <w:rsid w:val="005D4916"/>
    <w:rsid w:val="005E0A54"/>
    <w:rsid w:val="005E1E17"/>
    <w:rsid w:val="005E48A0"/>
    <w:rsid w:val="005E70B7"/>
    <w:rsid w:val="005F6AD7"/>
    <w:rsid w:val="0060128F"/>
    <w:rsid w:val="00601EFC"/>
    <w:rsid w:val="00607B36"/>
    <w:rsid w:val="0061055F"/>
    <w:rsid w:val="00610965"/>
    <w:rsid w:val="00612549"/>
    <w:rsid w:val="00621CE3"/>
    <w:rsid w:val="0062379E"/>
    <w:rsid w:val="00634031"/>
    <w:rsid w:val="006358B6"/>
    <w:rsid w:val="00636D03"/>
    <w:rsid w:val="00640FDD"/>
    <w:rsid w:val="00644EF1"/>
    <w:rsid w:val="00650EE7"/>
    <w:rsid w:val="00652B6F"/>
    <w:rsid w:val="006620DA"/>
    <w:rsid w:val="00667169"/>
    <w:rsid w:val="00667D8B"/>
    <w:rsid w:val="00671848"/>
    <w:rsid w:val="00672F05"/>
    <w:rsid w:val="00687EFB"/>
    <w:rsid w:val="00691715"/>
    <w:rsid w:val="006925C0"/>
    <w:rsid w:val="006959D5"/>
    <w:rsid w:val="006A4AE4"/>
    <w:rsid w:val="006B0CD9"/>
    <w:rsid w:val="006B0EFA"/>
    <w:rsid w:val="006C3B9A"/>
    <w:rsid w:val="006D76E8"/>
    <w:rsid w:val="006E120B"/>
    <w:rsid w:val="006E7261"/>
    <w:rsid w:val="006F2328"/>
    <w:rsid w:val="006F3BB7"/>
    <w:rsid w:val="007043C9"/>
    <w:rsid w:val="00707F15"/>
    <w:rsid w:val="00713FB2"/>
    <w:rsid w:val="00714208"/>
    <w:rsid w:val="0072471A"/>
    <w:rsid w:val="007253D0"/>
    <w:rsid w:val="007267AC"/>
    <w:rsid w:val="00737D4E"/>
    <w:rsid w:val="00754DD6"/>
    <w:rsid w:val="00755216"/>
    <w:rsid w:val="00755B5A"/>
    <w:rsid w:val="00766E45"/>
    <w:rsid w:val="007679CA"/>
    <w:rsid w:val="007706FA"/>
    <w:rsid w:val="00774D2F"/>
    <w:rsid w:val="00774EF2"/>
    <w:rsid w:val="007805A3"/>
    <w:rsid w:val="00785BAE"/>
    <w:rsid w:val="00785DC6"/>
    <w:rsid w:val="00793AA0"/>
    <w:rsid w:val="00793D4D"/>
    <w:rsid w:val="007A0640"/>
    <w:rsid w:val="007A1B1C"/>
    <w:rsid w:val="007B2B08"/>
    <w:rsid w:val="007B4618"/>
    <w:rsid w:val="007B4DCD"/>
    <w:rsid w:val="007D472A"/>
    <w:rsid w:val="007D48E2"/>
    <w:rsid w:val="007D690C"/>
    <w:rsid w:val="007E15C2"/>
    <w:rsid w:val="007E184B"/>
    <w:rsid w:val="007E1C96"/>
    <w:rsid w:val="007E3E0A"/>
    <w:rsid w:val="007E556D"/>
    <w:rsid w:val="007E7F5D"/>
    <w:rsid w:val="007F3727"/>
    <w:rsid w:val="00820F84"/>
    <w:rsid w:val="00824673"/>
    <w:rsid w:val="00826A13"/>
    <w:rsid w:val="008303F4"/>
    <w:rsid w:val="00833EC8"/>
    <w:rsid w:val="0083516D"/>
    <w:rsid w:val="008618B4"/>
    <w:rsid w:val="00864F23"/>
    <w:rsid w:val="0086545A"/>
    <w:rsid w:val="008657F0"/>
    <w:rsid w:val="00882477"/>
    <w:rsid w:val="0089402D"/>
    <w:rsid w:val="008968C4"/>
    <w:rsid w:val="00897005"/>
    <w:rsid w:val="008A19C2"/>
    <w:rsid w:val="008A6AC8"/>
    <w:rsid w:val="008A7004"/>
    <w:rsid w:val="008B47B8"/>
    <w:rsid w:val="008B4AD0"/>
    <w:rsid w:val="008B5EB7"/>
    <w:rsid w:val="008C02E8"/>
    <w:rsid w:val="008C168A"/>
    <w:rsid w:val="008D789F"/>
    <w:rsid w:val="008E48C8"/>
    <w:rsid w:val="008F14E6"/>
    <w:rsid w:val="008F60A6"/>
    <w:rsid w:val="008F7008"/>
    <w:rsid w:val="00901AF5"/>
    <w:rsid w:val="00902141"/>
    <w:rsid w:val="00913B02"/>
    <w:rsid w:val="009174C3"/>
    <w:rsid w:val="00926D96"/>
    <w:rsid w:val="0093203B"/>
    <w:rsid w:val="00934057"/>
    <w:rsid w:val="00934838"/>
    <w:rsid w:val="009404DD"/>
    <w:rsid w:val="009576E8"/>
    <w:rsid w:val="0096168D"/>
    <w:rsid w:val="00965FC7"/>
    <w:rsid w:val="00966594"/>
    <w:rsid w:val="0099781B"/>
    <w:rsid w:val="009A2F20"/>
    <w:rsid w:val="009D0CE9"/>
    <w:rsid w:val="009D1264"/>
    <w:rsid w:val="009D5EF8"/>
    <w:rsid w:val="009F14C9"/>
    <w:rsid w:val="009F4987"/>
    <w:rsid w:val="00A103C2"/>
    <w:rsid w:val="00A1594F"/>
    <w:rsid w:val="00A17649"/>
    <w:rsid w:val="00A17C1F"/>
    <w:rsid w:val="00A20AC9"/>
    <w:rsid w:val="00A23FAF"/>
    <w:rsid w:val="00A260AB"/>
    <w:rsid w:val="00A304CC"/>
    <w:rsid w:val="00A313D4"/>
    <w:rsid w:val="00A3385A"/>
    <w:rsid w:val="00A400A6"/>
    <w:rsid w:val="00A40CB0"/>
    <w:rsid w:val="00A52EB1"/>
    <w:rsid w:val="00A678A4"/>
    <w:rsid w:val="00A7215B"/>
    <w:rsid w:val="00A77880"/>
    <w:rsid w:val="00A8037A"/>
    <w:rsid w:val="00A83F2A"/>
    <w:rsid w:val="00A916DA"/>
    <w:rsid w:val="00AA0EF8"/>
    <w:rsid w:val="00AB3578"/>
    <w:rsid w:val="00AC1429"/>
    <w:rsid w:val="00AC39B5"/>
    <w:rsid w:val="00AD2F91"/>
    <w:rsid w:val="00AE0E25"/>
    <w:rsid w:val="00AE5589"/>
    <w:rsid w:val="00AE5D8C"/>
    <w:rsid w:val="00AF36F4"/>
    <w:rsid w:val="00B01AFA"/>
    <w:rsid w:val="00B04DCB"/>
    <w:rsid w:val="00B124EA"/>
    <w:rsid w:val="00B14C9F"/>
    <w:rsid w:val="00B16F2B"/>
    <w:rsid w:val="00B23AE2"/>
    <w:rsid w:val="00B30C03"/>
    <w:rsid w:val="00B36A49"/>
    <w:rsid w:val="00B37C80"/>
    <w:rsid w:val="00B53A63"/>
    <w:rsid w:val="00B5587B"/>
    <w:rsid w:val="00B64D18"/>
    <w:rsid w:val="00B65FF6"/>
    <w:rsid w:val="00B71AD3"/>
    <w:rsid w:val="00B7530F"/>
    <w:rsid w:val="00B77CF1"/>
    <w:rsid w:val="00B84365"/>
    <w:rsid w:val="00B84368"/>
    <w:rsid w:val="00BA3C00"/>
    <w:rsid w:val="00BA4CAE"/>
    <w:rsid w:val="00BB6E03"/>
    <w:rsid w:val="00BB6F1B"/>
    <w:rsid w:val="00BC2F72"/>
    <w:rsid w:val="00BC4C35"/>
    <w:rsid w:val="00BD3247"/>
    <w:rsid w:val="00BD45A4"/>
    <w:rsid w:val="00BD6C04"/>
    <w:rsid w:val="00BE49CF"/>
    <w:rsid w:val="00BE5B26"/>
    <w:rsid w:val="00BE5BB8"/>
    <w:rsid w:val="00BE6630"/>
    <w:rsid w:val="00BF0B5C"/>
    <w:rsid w:val="00BF44E9"/>
    <w:rsid w:val="00C06585"/>
    <w:rsid w:val="00C1446D"/>
    <w:rsid w:val="00C200FB"/>
    <w:rsid w:val="00C31022"/>
    <w:rsid w:val="00C37822"/>
    <w:rsid w:val="00C4199D"/>
    <w:rsid w:val="00C4511E"/>
    <w:rsid w:val="00C4539C"/>
    <w:rsid w:val="00C45822"/>
    <w:rsid w:val="00C46935"/>
    <w:rsid w:val="00C52E8A"/>
    <w:rsid w:val="00C56DEB"/>
    <w:rsid w:val="00C62380"/>
    <w:rsid w:val="00C67FA4"/>
    <w:rsid w:val="00C71C0A"/>
    <w:rsid w:val="00C7209A"/>
    <w:rsid w:val="00C731F5"/>
    <w:rsid w:val="00C74739"/>
    <w:rsid w:val="00C7524A"/>
    <w:rsid w:val="00C849BF"/>
    <w:rsid w:val="00CA3654"/>
    <w:rsid w:val="00CB17D0"/>
    <w:rsid w:val="00CB430C"/>
    <w:rsid w:val="00CB6726"/>
    <w:rsid w:val="00CB6752"/>
    <w:rsid w:val="00CC3B0A"/>
    <w:rsid w:val="00CC73AE"/>
    <w:rsid w:val="00CC7ABC"/>
    <w:rsid w:val="00CE313E"/>
    <w:rsid w:val="00CE6E7F"/>
    <w:rsid w:val="00CF11BC"/>
    <w:rsid w:val="00D0219E"/>
    <w:rsid w:val="00D06F89"/>
    <w:rsid w:val="00D1076C"/>
    <w:rsid w:val="00D135B7"/>
    <w:rsid w:val="00D13E79"/>
    <w:rsid w:val="00D1618B"/>
    <w:rsid w:val="00D25CCD"/>
    <w:rsid w:val="00D347C9"/>
    <w:rsid w:val="00D35104"/>
    <w:rsid w:val="00D377D9"/>
    <w:rsid w:val="00D41D54"/>
    <w:rsid w:val="00D44D0A"/>
    <w:rsid w:val="00D46BED"/>
    <w:rsid w:val="00D47F7E"/>
    <w:rsid w:val="00D5714D"/>
    <w:rsid w:val="00D70649"/>
    <w:rsid w:val="00D71EED"/>
    <w:rsid w:val="00D73908"/>
    <w:rsid w:val="00D73977"/>
    <w:rsid w:val="00D77895"/>
    <w:rsid w:val="00D8073F"/>
    <w:rsid w:val="00D8253A"/>
    <w:rsid w:val="00D850B2"/>
    <w:rsid w:val="00D86951"/>
    <w:rsid w:val="00D87792"/>
    <w:rsid w:val="00D91373"/>
    <w:rsid w:val="00D942F0"/>
    <w:rsid w:val="00D964EF"/>
    <w:rsid w:val="00DA0D52"/>
    <w:rsid w:val="00DA1F6E"/>
    <w:rsid w:val="00DA4000"/>
    <w:rsid w:val="00DB09BB"/>
    <w:rsid w:val="00DB2DD8"/>
    <w:rsid w:val="00DC415E"/>
    <w:rsid w:val="00DD6BC6"/>
    <w:rsid w:val="00DE06A5"/>
    <w:rsid w:val="00DE505A"/>
    <w:rsid w:val="00DE7893"/>
    <w:rsid w:val="00DF0DAE"/>
    <w:rsid w:val="00DF54C6"/>
    <w:rsid w:val="00E00B38"/>
    <w:rsid w:val="00E04D53"/>
    <w:rsid w:val="00E1065C"/>
    <w:rsid w:val="00E11CB6"/>
    <w:rsid w:val="00E12E01"/>
    <w:rsid w:val="00E17DC8"/>
    <w:rsid w:val="00E255BF"/>
    <w:rsid w:val="00E26B07"/>
    <w:rsid w:val="00E27C00"/>
    <w:rsid w:val="00E30197"/>
    <w:rsid w:val="00E32272"/>
    <w:rsid w:val="00E34DA1"/>
    <w:rsid w:val="00E42562"/>
    <w:rsid w:val="00E53C48"/>
    <w:rsid w:val="00E54F86"/>
    <w:rsid w:val="00E60B29"/>
    <w:rsid w:val="00E622A6"/>
    <w:rsid w:val="00E66D65"/>
    <w:rsid w:val="00E753FE"/>
    <w:rsid w:val="00E75ACE"/>
    <w:rsid w:val="00E83067"/>
    <w:rsid w:val="00E95C14"/>
    <w:rsid w:val="00EA29AF"/>
    <w:rsid w:val="00EA5C5D"/>
    <w:rsid w:val="00EB2E5A"/>
    <w:rsid w:val="00EB7166"/>
    <w:rsid w:val="00EC488D"/>
    <w:rsid w:val="00ED491A"/>
    <w:rsid w:val="00ED6113"/>
    <w:rsid w:val="00ED7DF9"/>
    <w:rsid w:val="00EE21A9"/>
    <w:rsid w:val="00EE2951"/>
    <w:rsid w:val="00EE6B59"/>
    <w:rsid w:val="00EE6C40"/>
    <w:rsid w:val="00EF0A3B"/>
    <w:rsid w:val="00EF3800"/>
    <w:rsid w:val="00EF516C"/>
    <w:rsid w:val="00EF5992"/>
    <w:rsid w:val="00F02E53"/>
    <w:rsid w:val="00F05B13"/>
    <w:rsid w:val="00F0715A"/>
    <w:rsid w:val="00F07819"/>
    <w:rsid w:val="00F3579B"/>
    <w:rsid w:val="00F36A07"/>
    <w:rsid w:val="00F4058A"/>
    <w:rsid w:val="00F411DC"/>
    <w:rsid w:val="00F51323"/>
    <w:rsid w:val="00F572D5"/>
    <w:rsid w:val="00F574DF"/>
    <w:rsid w:val="00F75F63"/>
    <w:rsid w:val="00F77012"/>
    <w:rsid w:val="00F81B65"/>
    <w:rsid w:val="00F9601A"/>
    <w:rsid w:val="00FA586B"/>
    <w:rsid w:val="00FA74C2"/>
    <w:rsid w:val="00FB03D6"/>
    <w:rsid w:val="00FC7960"/>
    <w:rsid w:val="00FD3158"/>
    <w:rsid w:val="00FD4B5C"/>
    <w:rsid w:val="00FE6429"/>
    <w:rsid w:val="00FF0B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9984D"/>
  <w15:docId w15:val="{1CAA2846-2605-410A-8252-34C7FECF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F72"/>
    <w:pPr>
      <w:spacing w:after="200" w:line="276" w:lineRule="auto"/>
    </w:pPr>
    <w:rPr>
      <w:rFonts w:cs="Calibri"/>
      <w:sz w:val="22"/>
      <w:szCs w:val="22"/>
      <w:lang w:eastAsia="en-US"/>
    </w:rPr>
  </w:style>
  <w:style w:type="paragraph" w:styleId="Ttulo1">
    <w:name w:val="heading 1"/>
    <w:basedOn w:val="Normal"/>
    <w:link w:val="Ttulo1Char"/>
    <w:uiPriority w:val="99"/>
    <w:qFormat/>
    <w:rsid w:val="00BC2F72"/>
    <w:pPr>
      <w:spacing w:before="100" w:beforeAutospacing="1" w:after="100" w:afterAutospacing="1" w:line="240" w:lineRule="auto"/>
      <w:outlineLvl w:val="0"/>
    </w:pPr>
    <w:rPr>
      <w:rFonts w:cs="Times New Roman"/>
      <w:b/>
      <w:bCs/>
      <w:kern w:val="36"/>
      <w:sz w:val="48"/>
      <w:szCs w:val="48"/>
      <w:lang w:eastAsia="pt-BR"/>
    </w:rPr>
  </w:style>
  <w:style w:type="paragraph" w:styleId="Ttulo3">
    <w:name w:val="heading 3"/>
    <w:basedOn w:val="Normal"/>
    <w:next w:val="Normal"/>
    <w:link w:val="Ttulo3Char"/>
    <w:uiPriority w:val="99"/>
    <w:qFormat/>
    <w:rsid w:val="00BC2F72"/>
    <w:pPr>
      <w:keepNext/>
      <w:keepLines/>
      <w:spacing w:before="200" w:after="0"/>
      <w:outlineLvl w:val="2"/>
    </w:pPr>
    <w:rPr>
      <w:rFonts w:ascii="Cambria" w:hAnsi="Cambria" w:cs="Cambria"/>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BC2F72"/>
    <w:rPr>
      <w:rFonts w:ascii="Times New Roman" w:hAnsi="Times New Roman" w:cs="Times New Roman"/>
      <w:b/>
      <w:bCs/>
      <w:kern w:val="36"/>
      <w:sz w:val="48"/>
      <w:szCs w:val="48"/>
      <w:lang w:eastAsia="pt-BR"/>
    </w:rPr>
  </w:style>
  <w:style w:type="character" w:customStyle="1" w:styleId="Ttulo3Char">
    <w:name w:val="Título 3 Char"/>
    <w:link w:val="Ttulo3"/>
    <w:uiPriority w:val="99"/>
    <w:rsid w:val="00BC2F72"/>
    <w:rPr>
      <w:rFonts w:ascii="Cambria" w:hAnsi="Cambria" w:cs="Cambria"/>
      <w:b/>
      <w:bCs/>
      <w:color w:val="auto"/>
    </w:rPr>
  </w:style>
  <w:style w:type="paragraph" w:styleId="PargrafodaLista">
    <w:name w:val="List Paragraph"/>
    <w:basedOn w:val="Normal"/>
    <w:uiPriority w:val="34"/>
    <w:qFormat/>
    <w:rsid w:val="00BC2F72"/>
    <w:pPr>
      <w:ind w:left="720"/>
    </w:pPr>
  </w:style>
  <w:style w:type="paragraph" w:styleId="Textodebalo">
    <w:name w:val="Balloon Text"/>
    <w:basedOn w:val="Normal"/>
    <w:link w:val="TextodebaloChar"/>
    <w:uiPriority w:val="99"/>
    <w:rsid w:val="00BC2F72"/>
    <w:pPr>
      <w:spacing w:after="0" w:line="240" w:lineRule="auto"/>
    </w:pPr>
    <w:rPr>
      <w:rFonts w:ascii="Tahoma" w:hAnsi="Tahoma" w:cs="Tahoma"/>
      <w:sz w:val="16"/>
      <w:szCs w:val="16"/>
    </w:rPr>
  </w:style>
  <w:style w:type="character" w:customStyle="1" w:styleId="TextodebaloChar">
    <w:name w:val="Texto de balão Char"/>
    <w:link w:val="Textodebalo"/>
    <w:uiPriority w:val="99"/>
    <w:rsid w:val="00BC2F72"/>
    <w:rPr>
      <w:rFonts w:ascii="Tahoma" w:hAnsi="Tahoma" w:cs="Tahoma"/>
      <w:sz w:val="16"/>
      <w:szCs w:val="16"/>
    </w:rPr>
  </w:style>
  <w:style w:type="paragraph" w:styleId="NormalWeb">
    <w:name w:val="Normal (Web)"/>
    <w:basedOn w:val="Normal"/>
    <w:uiPriority w:val="99"/>
    <w:rsid w:val="00BC2F72"/>
    <w:pPr>
      <w:spacing w:before="100" w:beforeAutospacing="1" w:after="100" w:afterAutospacing="1" w:line="240" w:lineRule="auto"/>
    </w:pPr>
    <w:rPr>
      <w:rFonts w:cs="Times New Roman"/>
      <w:sz w:val="24"/>
      <w:szCs w:val="24"/>
      <w:lang w:eastAsia="pt-BR"/>
    </w:rPr>
  </w:style>
  <w:style w:type="paragraph" w:styleId="Cabealho">
    <w:name w:val="header"/>
    <w:basedOn w:val="Normal"/>
    <w:link w:val="CabealhoChar"/>
    <w:uiPriority w:val="99"/>
    <w:rsid w:val="00BC2F72"/>
    <w:pPr>
      <w:tabs>
        <w:tab w:val="center" w:pos="4252"/>
        <w:tab w:val="right" w:pos="8504"/>
      </w:tabs>
      <w:spacing w:after="0" w:line="240" w:lineRule="auto"/>
    </w:pPr>
  </w:style>
  <w:style w:type="character" w:customStyle="1" w:styleId="CabealhoChar">
    <w:name w:val="Cabeçalho Char"/>
    <w:link w:val="Cabealho"/>
    <w:uiPriority w:val="99"/>
    <w:rsid w:val="00BC2F72"/>
    <w:rPr>
      <w:rFonts w:ascii="Times New Roman" w:hAnsi="Times New Roman" w:cs="Times New Roman"/>
    </w:rPr>
  </w:style>
  <w:style w:type="paragraph" w:styleId="Rodap">
    <w:name w:val="footer"/>
    <w:basedOn w:val="Normal"/>
    <w:link w:val="RodapChar"/>
    <w:uiPriority w:val="99"/>
    <w:rsid w:val="00BC2F72"/>
    <w:pPr>
      <w:tabs>
        <w:tab w:val="center" w:pos="4252"/>
        <w:tab w:val="right" w:pos="8504"/>
      </w:tabs>
      <w:spacing w:after="0" w:line="240" w:lineRule="auto"/>
    </w:pPr>
  </w:style>
  <w:style w:type="character" w:customStyle="1" w:styleId="RodapChar">
    <w:name w:val="Rodapé Char"/>
    <w:link w:val="Rodap"/>
    <w:uiPriority w:val="99"/>
    <w:rsid w:val="00BC2F72"/>
    <w:rPr>
      <w:rFonts w:ascii="Times New Roman" w:hAnsi="Times New Roman" w:cs="Times New Roman"/>
    </w:rPr>
  </w:style>
  <w:style w:type="paragraph" w:styleId="Textodenotaderodap">
    <w:name w:val="footnote text"/>
    <w:basedOn w:val="Normal"/>
    <w:link w:val="TextodenotaderodapChar"/>
    <w:rsid w:val="00BC2F72"/>
    <w:pPr>
      <w:spacing w:after="0" w:line="240" w:lineRule="auto"/>
    </w:pPr>
    <w:rPr>
      <w:sz w:val="20"/>
      <w:szCs w:val="20"/>
    </w:rPr>
  </w:style>
  <w:style w:type="character" w:customStyle="1" w:styleId="TextodenotaderodapChar">
    <w:name w:val="Texto de nota de rodapé Char"/>
    <w:link w:val="Textodenotaderodap"/>
    <w:rsid w:val="00BC2F72"/>
    <w:rPr>
      <w:rFonts w:ascii="Times New Roman" w:hAnsi="Times New Roman" w:cs="Times New Roman"/>
      <w:sz w:val="20"/>
      <w:szCs w:val="20"/>
    </w:rPr>
  </w:style>
  <w:style w:type="character" w:styleId="Refdenotaderodap">
    <w:name w:val="footnote reference"/>
    <w:rsid w:val="00BC2F72"/>
    <w:rPr>
      <w:rFonts w:ascii="Times New Roman" w:hAnsi="Times New Roman" w:cs="Times New Roman"/>
      <w:vertAlign w:val="superscript"/>
    </w:rPr>
  </w:style>
  <w:style w:type="character" w:customStyle="1" w:styleId="field-content">
    <w:name w:val="field-content"/>
    <w:uiPriority w:val="99"/>
    <w:rsid w:val="00BC2F72"/>
    <w:rPr>
      <w:rFonts w:ascii="Times New Roman" w:hAnsi="Times New Roman" w:cs="Times New Roman"/>
    </w:rPr>
  </w:style>
  <w:style w:type="character" w:customStyle="1" w:styleId="apple-converted-space">
    <w:name w:val="apple-converted-space"/>
    <w:rsid w:val="00BC2F72"/>
    <w:rPr>
      <w:rFonts w:ascii="Times New Roman" w:hAnsi="Times New Roman" w:cs="Times New Roman"/>
    </w:rPr>
  </w:style>
  <w:style w:type="character" w:styleId="nfase">
    <w:name w:val="Emphasis"/>
    <w:uiPriority w:val="20"/>
    <w:qFormat/>
    <w:rsid w:val="00BC2F72"/>
    <w:rPr>
      <w:rFonts w:ascii="Times New Roman" w:hAnsi="Times New Roman" w:cs="Times New Roman"/>
      <w:i/>
      <w:iCs/>
    </w:rPr>
  </w:style>
  <w:style w:type="character" w:styleId="Hyperlink">
    <w:name w:val="Hyperlink"/>
    <w:uiPriority w:val="99"/>
    <w:rsid w:val="00BC2F72"/>
    <w:rPr>
      <w:rFonts w:ascii="Times New Roman" w:hAnsi="Times New Roman" w:cs="Times New Roman"/>
      <w:color w:val="0000FF"/>
      <w:u w:val="single"/>
    </w:rPr>
  </w:style>
  <w:style w:type="character" w:styleId="Refdecomentrio">
    <w:name w:val="annotation reference"/>
    <w:uiPriority w:val="99"/>
    <w:rsid w:val="00BC2F72"/>
    <w:rPr>
      <w:rFonts w:ascii="Times New Roman" w:hAnsi="Times New Roman" w:cs="Times New Roman"/>
      <w:sz w:val="16"/>
      <w:szCs w:val="16"/>
    </w:rPr>
  </w:style>
  <w:style w:type="paragraph" w:styleId="Textodecomentrio">
    <w:name w:val="annotation text"/>
    <w:basedOn w:val="Normal"/>
    <w:link w:val="TextodecomentrioChar"/>
    <w:uiPriority w:val="99"/>
    <w:rsid w:val="00BC2F72"/>
    <w:pPr>
      <w:spacing w:line="240" w:lineRule="auto"/>
    </w:pPr>
    <w:rPr>
      <w:sz w:val="20"/>
      <w:szCs w:val="20"/>
    </w:rPr>
  </w:style>
  <w:style w:type="character" w:customStyle="1" w:styleId="TextodecomentrioChar">
    <w:name w:val="Texto de comentário Char"/>
    <w:link w:val="Textodecomentrio"/>
    <w:uiPriority w:val="99"/>
    <w:rsid w:val="00BC2F72"/>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rsid w:val="00BC2F72"/>
    <w:rPr>
      <w:b/>
      <w:bCs/>
    </w:rPr>
  </w:style>
  <w:style w:type="character" w:customStyle="1" w:styleId="AssuntodocomentrioChar">
    <w:name w:val="Assunto do comentário Char"/>
    <w:link w:val="Assuntodocomentrio"/>
    <w:uiPriority w:val="99"/>
    <w:rsid w:val="00BC2F72"/>
    <w:rPr>
      <w:rFonts w:ascii="Times New Roman" w:hAnsi="Times New Roman" w:cs="Times New Roman"/>
      <w:b/>
      <w:bCs/>
      <w:sz w:val="20"/>
      <w:szCs w:val="20"/>
    </w:rPr>
  </w:style>
  <w:style w:type="character" w:styleId="HiperlinkVisitado">
    <w:name w:val="FollowedHyperlink"/>
    <w:uiPriority w:val="99"/>
    <w:rsid w:val="00BC2F72"/>
    <w:rPr>
      <w:rFonts w:ascii="Times New Roman" w:hAnsi="Times New Roman" w:cs="Times New Roman"/>
      <w:color w:val="800080"/>
      <w:u w:val="single"/>
    </w:rPr>
  </w:style>
  <w:style w:type="paragraph" w:customStyle="1" w:styleId="Default">
    <w:name w:val="Default"/>
    <w:uiPriority w:val="99"/>
    <w:rsid w:val="00BC2F72"/>
    <w:pPr>
      <w:autoSpaceDE w:val="0"/>
      <w:autoSpaceDN w:val="0"/>
      <w:adjustRightInd w:val="0"/>
    </w:pPr>
    <w:rPr>
      <w:rFonts w:ascii="Frutiger" w:hAnsi="Frutiger" w:cs="Frutiger"/>
      <w:color w:val="000000"/>
      <w:sz w:val="24"/>
      <w:szCs w:val="24"/>
      <w:lang w:eastAsia="en-US"/>
    </w:rPr>
  </w:style>
  <w:style w:type="paragraph" w:customStyle="1" w:styleId="Pa0">
    <w:name w:val="Pa0"/>
    <w:basedOn w:val="Default"/>
    <w:next w:val="Default"/>
    <w:uiPriority w:val="99"/>
    <w:rsid w:val="00BC2F72"/>
    <w:pPr>
      <w:spacing w:line="241" w:lineRule="atLeast"/>
    </w:pPr>
    <w:rPr>
      <w:color w:val="auto"/>
    </w:rPr>
  </w:style>
  <w:style w:type="character" w:customStyle="1" w:styleId="A21">
    <w:name w:val="A2+1"/>
    <w:uiPriority w:val="99"/>
    <w:rsid w:val="00BC2F72"/>
    <w:rPr>
      <w:b/>
      <w:bCs/>
      <w:color w:val="000000"/>
      <w:sz w:val="26"/>
      <w:szCs w:val="26"/>
    </w:rPr>
  </w:style>
  <w:style w:type="paragraph" w:styleId="Corpodetexto2">
    <w:name w:val="Body Text 2"/>
    <w:basedOn w:val="Normal"/>
    <w:link w:val="Corpodetexto2Char"/>
    <w:uiPriority w:val="99"/>
    <w:rsid w:val="00BC2F72"/>
    <w:pPr>
      <w:tabs>
        <w:tab w:val="left" w:pos="284"/>
      </w:tabs>
      <w:spacing w:after="0" w:line="360" w:lineRule="auto"/>
      <w:ind w:right="-44" w:firstLine="540"/>
      <w:jc w:val="both"/>
    </w:pPr>
    <w:rPr>
      <w:rFonts w:cs="Times New Roman"/>
      <w:noProof/>
      <w:sz w:val="24"/>
      <w:szCs w:val="24"/>
      <w:lang w:eastAsia="pt-BR"/>
    </w:rPr>
  </w:style>
  <w:style w:type="character" w:customStyle="1" w:styleId="Corpodetexto2Char">
    <w:name w:val="Corpo de texto 2 Char"/>
    <w:link w:val="Corpodetexto2"/>
    <w:uiPriority w:val="99"/>
    <w:semiHidden/>
    <w:rsid w:val="000922A6"/>
    <w:rPr>
      <w:rFonts w:ascii="Calibri" w:hAnsi="Calibri" w:cs="Calibri"/>
      <w:lang w:eastAsia="en-US"/>
    </w:rPr>
  </w:style>
  <w:style w:type="paragraph" w:customStyle="1" w:styleId="def-head">
    <w:name w:val="def-head"/>
    <w:basedOn w:val="Normal"/>
    <w:rsid w:val="002A01CE"/>
    <w:pPr>
      <w:spacing w:before="100" w:beforeAutospacing="1" w:after="100" w:afterAutospacing="1" w:line="240" w:lineRule="auto"/>
    </w:pPr>
    <w:rPr>
      <w:rFonts w:ascii="Times New Roman" w:hAnsi="Times New Roman" w:cs="Times New Roman"/>
      <w:sz w:val="24"/>
      <w:szCs w:val="24"/>
      <w:lang w:eastAsia="pt-BR"/>
    </w:rPr>
  </w:style>
  <w:style w:type="character" w:customStyle="1" w:styleId="def-body">
    <w:name w:val="def-body"/>
    <w:basedOn w:val="Fontepargpadro"/>
    <w:rsid w:val="002A01CE"/>
  </w:style>
  <w:style w:type="character" w:customStyle="1" w:styleId="trans">
    <w:name w:val="trans"/>
    <w:basedOn w:val="Fontepargpadro"/>
    <w:rsid w:val="002A01CE"/>
  </w:style>
  <w:style w:type="character" w:customStyle="1" w:styleId="eg">
    <w:name w:val="eg"/>
    <w:basedOn w:val="Fontepargpadro"/>
    <w:rsid w:val="002A0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9143">
      <w:bodyDiv w:val="1"/>
      <w:marLeft w:val="0"/>
      <w:marRight w:val="0"/>
      <w:marTop w:val="0"/>
      <w:marBottom w:val="0"/>
      <w:divBdr>
        <w:top w:val="none" w:sz="0" w:space="0" w:color="auto"/>
        <w:left w:val="none" w:sz="0" w:space="0" w:color="auto"/>
        <w:bottom w:val="none" w:sz="0" w:space="0" w:color="auto"/>
        <w:right w:val="none" w:sz="0" w:space="0" w:color="auto"/>
      </w:divBdr>
      <w:divsChild>
        <w:div w:id="610161448">
          <w:marLeft w:val="0"/>
          <w:marRight w:val="0"/>
          <w:marTop w:val="0"/>
          <w:marBottom w:val="75"/>
          <w:divBdr>
            <w:top w:val="none" w:sz="0" w:space="0" w:color="auto"/>
            <w:left w:val="none" w:sz="0" w:space="0" w:color="auto"/>
            <w:bottom w:val="none" w:sz="0" w:space="0" w:color="auto"/>
            <w:right w:val="none" w:sz="0" w:space="0" w:color="auto"/>
          </w:divBdr>
        </w:div>
        <w:div w:id="997079631">
          <w:marLeft w:val="0"/>
          <w:marRight w:val="0"/>
          <w:marTop w:val="0"/>
          <w:marBottom w:val="75"/>
          <w:divBdr>
            <w:top w:val="none" w:sz="0" w:space="0" w:color="auto"/>
            <w:left w:val="none" w:sz="0" w:space="0" w:color="auto"/>
            <w:bottom w:val="none" w:sz="0" w:space="0" w:color="auto"/>
            <w:right w:val="none" w:sz="0" w:space="0" w:color="auto"/>
          </w:divBdr>
        </w:div>
      </w:divsChild>
    </w:div>
    <w:div w:id="64574437">
      <w:bodyDiv w:val="1"/>
      <w:marLeft w:val="0"/>
      <w:marRight w:val="0"/>
      <w:marTop w:val="0"/>
      <w:marBottom w:val="0"/>
      <w:divBdr>
        <w:top w:val="none" w:sz="0" w:space="0" w:color="auto"/>
        <w:left w:val="none" w:sz="0" w:space="0" w:color="auto"/>
        <w:bottom w:val="none" w:sz="0" w:space="0" w:color="auto"/>
        <w:right w:val="none" w:sz="0" w:space="0" w:color="auto"/>
      </w:divBdr>
    </w:div>
    <w:div w:id="286592203">
      <w:bodyDiv w:val="1"/>
      <w:marLeft w:val="0"/>
      <w:marRight w:val="0"/>
      <w:marTop w:val="0"/>
      <w:marBottom w:val="0"/>
      <w:divBdr>
        <w:top w:val="none" w:sz="0" w:space="0" w:color="auto"/>
        <w:left w:val="none" w:sz="0" w:space="0" w:color="auto"/>
        <w:bottom w:val="none" w:sz="0" w:space="0" w:color="auto"/>
        <w:right w:val="none" w:sz="0" w:space="0" w:color="auto"/>
      </w:divBdr>
    </w:div>
    <w:div w:id="332531882">
      <w:bodyDiv w:val="1"/>
      <w:marLeft w:val="0"/>
      <w:marRight w:val="0"/>
      <w:marTop w:val="0"/>
      <w:marBottom w:val="0"/>
      <w:divBdr>
        <w:top w:val="none" w:sz="0" w:space="0" w:color="auto"/>
        <w:left w:val="none" w:sz="0" w:space="0" w:color="auto"/>
        <w:bottom w:val="none" w:sz="0" w:space="0" w:color="auto"/>
        <w:right w:val="none" w:sz="0" w:space="0" w:color="auto"/>
      </w:divBdr>
    </w:div>
    <w:div w:id="396519656">
      <w:bodyDiv w:val="1"/>
      <w:marLeft w:val="0"/>
      <w:marRight w:val="0"/>
      <w:marTop w:val="0"/>
      <w:marBottom w:val="0"/>
      <w:divBdr>
        <w:top w:val="none" w:sz="0" w:space="0" w:color="auto"/>
        <w:left w:val="none" w:sz="0" w:space="0" w:color="auto"/>
        <w:bottom w:val="none" w:sz="0" w:space="0" w:color="auto"/>
        <w:right w:val="none" w:sz="0" w:space="0" w:color="auto"/>
      </w:divBdr>
    </w:div>
    <w:div w:id="446048145">
      <w:bodyDiv w:val="1"/>
      <w:marLeft w:val="0"/>
      <w:marRight w:val="0"/>
      <w:marTop w:val="0"/>
      <w:marBottom w:val="0"/>
      <w:divBdr>
        <w:top w:val="none" w:sz="0" w:space="0" w:color="auto"/>
        <w:left w:val="none" w:sz="0" w:space="0" w:color="auto"/>
        <w:bottom w:val="none" w:sz="0" w:space="0" w:color="auto"/>
        <w:right w:val="none" w:sz="0" w:space="0" w:color="auto"/>
      </w:divBdr>
    </w:div>
    <w:div w:id="144789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4.emf"/><Relationship Id="rId10" Type="http://schemas.openxmlformats.org/officeDocument/2006/relationships/chart" Target="charts/chart3.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callegari\Desktop\tcc\bases\grafico%201_2_participacao_total.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jcallegari\Desktop\tcc\bases\maket_share_exp_paises.xlsx" TargetMode="External"/></Relationships>
</file>

<file path=word/charts/_rels/chart11.xml.rels><?xml version="1.0" encoding="UTF-8" standalone="yes"?>
<Relationships xmlns="http://schemas.openxmlformats.org/package/2006/relationships"><Relationship Id="rId3" Type="http://schemas.openxmlformats.org/officeDocument/2006/relationships/chartUserShapes" Target="../drawings/drawing11.xml"/><Relationship Id="rId2" Type="http://schemas.openxmlformats.org/officeDocument/2006/relationships/oleObject" Target="file:///C:\Users\jcallegari\Desktop\tcc\bases\10_FDI.xlsx" TargetMode="External"/><Relationship Id="rId1" Type="http://schemas.openxmlformats.org/officeDocument/2006/relationships/themeOverride" Target="../theme/themeOverride1.xm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E:\Tatiana\Tatiana\Artigo_JuliaCalegari_CGV\Censo%20de%20Capitais%20Estrangeiros%20-%20resultados%202010-2014%20(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jcallegari\Desktop\tcc\bases\ingles%20artigo%202\3_4_participa&#231;&#227;o_backward.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jcallegari\Desktop\tcc\bases\ingles%20artigo%202\5_6_participa&#231;&#227;o_forward.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jcallegari\Desktop\tcc\bases\ingles%20artigo%202\7_va_estrangeiro_eletrico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jcallegari\Desktop\tcc\bases\CEI_CNI.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Consultor\Desktop\pessoais\fipe\tcc\bases\termos_de_troca.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jcallegari\Desktop\tcc\bases\ingles\Figure_19_manufacturing_exp_china.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jcallegari\Desktop\tcc\bases\ingles%20artigo%202\Figure_9_R&amp;D.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jcallegari\Desktop\tcc\bases\maket_share_exp_pai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pt-BR" sz="1200"/>
              <a:t>Figure 1: GVC participation index</a:t>
            </a:r>
            <a:r>
              <a:rPr lang="pt-BR" sz="1200" baseline="0"/>
              <a:t> </a:t>
            </a:r>
            <a:r>
              <a:rPr lang="pt-BR" sz="1200"/>
              <a:t>(backward and forward)</a:t>
            </a:r>
            <a:r>
              <a:rPr lang="pt-BR" sz="1200" baseline="0"/>
              <a:t>, 2009</a:t>
            </a:r>
            <a:endParaRPr lang="pt-BR" sz="1200"/>
          </a:p>
        </c:rich>
      </c:tx>
      <c:overlay val="0"/>
    </c:title>
    <c:autoTitleDeleted val="0"/>
    <c:plotArea>
      <c:layout>
        <c:manualLayout>
          <c:layoutTarget val="inner"/>
          <c:xMode val="edge"/>
          <c:yMode val="edge"/>
          <c:x val="0.11199009480540098"/>
          <c:y val="0.16286689163854495"/>
          <c:w val="0.82710973266010246"/>
          <c:h val="0.50646376801965554"/>
        </c:manualLayout>
      </c:layout>
      <c:barChart>
        <c:barDir val="col"/>
        <c:grouping val="clustered"/>
        <c:varyColors val="0"/>
        <c:ser>
          <c:idx val="0"/>
          <c:order val="0"/>
          <c:spPr>
            <a:solidFill>
              <a:schemeClr val="accent1"/>
            </a:solidFill>
          </c:spPr>
          <c:invertIfNegative val="0"/>
          <c:dPt>
            <c:idx val="12"/>
            <c:invertIfNegative val="0"/>
            <c:bubble3D val="0"/>
            <c:spPr>
              <a:solidFill>
                <a:schemeClr val="accent2"/>
              </a:solidFill>
            </c:spPr>
            <c:extLst>
              <c:ext xmlns:c16="http://schemas.microsoft.com/office/drawing/2014/chart" uri="{C3380CC4-5D6E-409C-BE32-E72D297353CC}">
                <c16:uniqueId val="{00000001-8925-4621-8A52-1D11C3D4D0FF}"/>
              </c:ext>
            </c:extLst>
          </c:dPt>
          <c:dLbls>
            <c:dLbl>
              <c:idx val="12"/>
              <c:numFmt formatCode="#,##0" sourceLinked="0"/>
              <c:spPr/>
              <c:txPr>
                <a:bodyPr/>
                <a:lstStyle/>
                <a:p>
                  <a:pPr>
                    <a:defRPr sz="1050" b="1">
                      <a:solidFill>
                        <a:schemeClr val="accent2"/>
                      </a:solidFill>
                    </a:defRPr>
                  </a:pPr>
                  <a:endParaRPr lang="pt-BR"/>
                </a:p>
              </c:txPr>
              <c:showLegendKey val="0"/>
              <c:showVal val="1"/>
              <c:showCatName val="0"/>
              <c:showSerName val="0"/>
              <c:showPercent val="0"/>
              <c:showBubbleSize val="0"/>
              <c:extLst>
                <c:ext xmlns:c16="http://schemas.microsoft.com/office/drawing/2014/chart" uri="{C3380CC4-5D6E-409C-BE32-E72D297353CC}">
                  <c16:uniqueId val="{00000001-8925-4621-8A52-1D11C3D4D0FF}"/>
                </c:ext>
              </c:extLst>
            </c:dLbl>
            <c:numFmt formatCode="#,##0" sourceLinked="0"/>
            <c:spPr>
              <a:noFill/>
              <a:ln>
                <a:noFill/>
              </a:ln>
              <a:effectLst/>
            </c:spPr>
            <c:txPr>
              <a:bodyPr/>
              <a:lstStyle/>
              <a:p>
                <a:pPr>
                  <a:defRPr sz="1050" b="1">
                    <a:solidFill>
                      <a:schemeClr val="tx2"/>
                    </a:solidFill>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'OECD.Stat export'!$R$23:$R$37</c:f>
              <c:strCache>
                <c:ptCount val="15"/>
                <c:pt idx="0">
                  <c:v>Sigapure</c:v>
                </c:pt>
                <c:pt idx="1">
                  <c:v>Philippines</c:v>
                </c:pt>
                <c:pt idx="2">
                  <c:v>Malásia</c:v>
                </c:pt>
                <c:pt idx="3">
                  <c:v>Korea</c:v>
                </c:pt>
                <c:pt idx="4">
                  <c:v>Hong Kong</c:v>
                </c:pt>
                <c:pt idx="5">
                  <c:v>Malaysia</c:v>
                </c:pt>
                <c:pt idx="6">
                  <c:v>Vietnam </c:v>
                </c:pt>
                <c:pt idx="7">
                  <c:v>China</c:v>
                </c:pt>
                <c:pt idx="8">
                  <c:v>Indonesia</c:v>
                </c:pt>
                <c:pt idx="9">
                  <c:v>India</c:v>
                </c:pt>
                <c:pt idx="10">
                  <c:v>Mexico</c:v>
                </c:pt>
                <c:pt idx="11">
                  <c:v>Turkey</c:v>
                </c:pt>
                <c:pt idx="12">
                  <c:v>Brazil</c:v>
                </c:pt>
                <c:pt idx="13">
                  <c:v>Argentina</c:v>
                </c:pt>
                <c:pt idx="14">
                  <c:v>South Africa</c:v>
                </c:pt>
              </c:strCache>
            </c:strRef>
          </c:cat>
          <c:val>
            <c:numRef>
              <c:f>'OECD.Stat export'!$S$23:$S$37</c:f>
              <c:numCache>
                <c:formatCode>General</c:formatCode>
                <c:ptCount val="15"/>
                <c:pt idx="0">
                  <c:v>70.599999999999994</c:v>
                </c:pt>
                <c:pt idx="1">
                  <c:v>66.599999999999994</c:v>
                </c:pt>
                <c:pt idx="2">
                  <c:v>65.599999999999994</c:v>
                </c:pt>
                <c:pt idx="3">
                  <c:v>65</c:v>
                </c:pt>
                <c:pt idx="4">
                  <c:v>55.8</c:v>
                </c:pt>
                <c:pt idx="5">
                  <c:v>52.8</c:v>
                </c:pt>
                <c:pt idx="6">
                  <c:v>51.3</c:v>
                </c:pt>
                <c:pt idx="7">
                  <c:v>46.1</c:v>
                </c:pt>
                <c:pt idx="8">
                  <c:v>43.7</c:v>
                </c:pt>
                <c:pt idx="9">
                  <c:v>42.4</c:v>
                </c:pt>
                <c:pt idx="10">
                  <c:v>41.8</c:v>
                </c:pt>
                <c:pt idx="11">
                  <c:v>37.700000000000003</c:v>
                </c:pt>
                <c:pt idx="12">
                  <c:v>36.200000000000003</c:v>
                </c:pt>
                <c:pt idx="13">
                  <c:v>34.6</c:v>
                </c:pt>
                <c:pt idx="14">
                  <c:v>33.800000000000004</c:v>
                </c:pt>
              </c:numCache>
            </c:numRef>
          </c:val>
          <c:extLst>
            <c:ext xmlns:c16="http://schemas.microsoft.com/office/drawing/2014/chart" uri="{C3380CC4-5D6E-409C-BE32-E72D297353CC}">
              <c16:uniqueId val="{00000002-8925-4621-8A52-1D11C3D4D0FF}"/>
            </c:ext>
          </c:extLst>
        </c:ser>
        <c:dLbls>
          <c:showLegendKey val="0"/>
          <c:showVal val="0"/>
          <c:showCatName val="0"/>
          <c:showSerName val="0"/>
          <c:showPercent val="0"/>
          <c:showBubbleSize val="0"/>
        </c:dLbls>
        <c:gapWidth val="150"/>
        <c:axId val="586148160"/>
        <c:axId val="586148552"/>
      </c:barChart>
      <c:catAx>
        <c:axId val="586148160"/>
        <c:scaling>
          <c:orientation val="minMax"/>
        </c:scaling>
        <c:delete val="0"/>
        <c:axPos val="b"/>
        <c:numFmt formatCode="General" sourceLinked="0"/>
        <c:majorTickMark val="out"/>
        <c:minorTickMark val="none"/>
        <c:tickLblPos val="nextTo"/>
        <c:txPr>
          <a:bodyPr rot="-5400000" vert="horz"/>
          <a:lstStyle/>
          <a:p>
            <a:pPr>
              <a:defRPr sz="900"/>
            </a:pPr>
            <a:endParaRPr lang="pt-BR"/>
          </a:p>
        </c:txPr>
        <c:crossAx val="586148552"/>
        <c:crosses val="autoZero"/>
        <c:auto val="1"/>
        <c:lblAlgn val="ctr"/>
        <c:lblOffset val="100"/>
        <c:noMultiLvlLbl val="0"/>
      </c:catAx>
      <c:valAx>
        <c:axId val="586148552"/>
        <c:scaling>
          <c:orientation val="minMax"/>
          <c:max val="80"/>
          <c:min val="20"/>
        </c:scaling>
        <c:delete val="1"/>
        <c:axPos val="l"/>
        <c:numFmt formatCode="General" sourceLinked="1"/>
        <c:majorTickMark val="out"/>
        <c:minorTickMark val="none"/>
        <c:tickLblPos val="none"/>
        <c:crossAx val="586148160"/>
        <c:crosses val="autoZero"/>
        <c:crossBetween val="between"/>
      </c:valAx>
    </c:plotArea>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solidFill>
                <a:latin typeface="+mn-lt"/>
                <a:ea typeface="+mn-ea"/>
                <a:cs typeface="+mn-cs"/>
              </a:defRPr>
            </a:pPr>
            <a:r>
              <a:rPr lang="en-US" sz="1100" b="1">
                <a:solidFill>
                  <a:schemeClr val="tx1"/>
                </a:solidFill>
              </a:rPr>
              <a:t>Figure 10:</a:t>
            </a:r>
            <a:r>
              <a:rPr lang="en-US" sz="1100" b="1" baseline="0">
                <a:solidFill>
                  <a:schemeClr val="tx1"/>
                </a:solidFill>
              </a:rPr>
              <a:t> Share of world exports (%) - </a:t>
            </a:r>
            <a:r>
              <a:rPr lang="en-US" sz="1100" b="1">
                <a:solidFill>
                  <a:schemeClr val="tx1"/>
                </a:solidFill>
              </a:rPr>
              <a:t>Transport equipment and machinery - 2015</a:t>
            </a:r>
          </a:p>
        </c:rich>
      </c:tx>
      <c:overlay val="0"/>
      <c:spPr>
        <a:noFill/>
        <a:ln>
          <a:noFill/>
        </a:ln>
        <a:effectLst/>
      </c:spPr>
    </c:title>
    <c:autoTitleDeleted val="0"/>
    <c:plotArea>
      <c:layout>
        <c:manualLayout>
          <c:layoutTarget val="inner"/>
          <c:xMode val="edge"/>
          <c:yMode val="edge"/>
          <c:x val="3.034064266997661E-2"/>
          <c:y val="0.16536776573668394"/>
          <c:w val="0.93931871466004702"/>
          <c:h val="0.6262702002000734"/>
        </c:manualLayout>
      </c:layout>
      <c:barChart>
        <c:barDir val="col"/>
        <c:grouping val="clustered"/>
        <c:varyColors val="0"/>
        <c:ser>
          <c:idx val="0"/>
          <c:order val="0"/>
          <c:tx>
            <c:strRef>
              <c:f>Planilha3!$B$12</c:f>
              <c:strCache>
                <c:ptCount val="1"/>
                <c:pt idx="0">
                  <c:v>Máquinas e equipamentos</c:v>
                </c:pt>
              </c:strCache>
            </c:strRef>
          </c:tx>
          <c:spPr>
            <a:solidFill>
              <a:schemeClr val="accent1"/>
            </a:solidFill>
            <a:ln>
              <a:noFill/>
            </a:ln>
            <a:effectLst/>
          </c:spPr>
          <c:invertIfNegative val="0"/>
          <c:dLbls>
            <c:dLbl>
              <c:idx val="0"/>
              <c:tx>
                <c:rich>
                  <a:bodyPr/>
                  <a:lstStyle/>
                  <a:p>
                    <a:r>
                      <a:rPr lang="en-US"/>
                      <a:t>17.8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DF-4EA8-96C7-F88C04E1A786}"/>
                </c:ext>
              </c:extLst>
            </c:dLbl>
            <c:dLbl>
              <c:idx val="1"/>
              <c:tx>
                <c:rich>
                  <a:bodyPr/>
                  <a:lstStyle/>
                  <a:p>
                    <a:r>
                      <a:rPr lang="en-US"/>
                      <a:t>5.2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DF-4EA8-96C7-F88C04E1A786}"/>
                </c:ext>
              </c:extLst>
            </c:dLbl>
            <c:dLbl>
              <c:idx val="2"/>
              <c:tx>
                <c:rich>
                  <a:bodyPr/>
                  <a:lstStyle/>
                  <a:p>
                    <a:r>
                      <a:rPr lang="en-US"/>
                      <a:t>3.9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DF-4EA8-96C7-F88C04E1A786}"/>
                </c:ext>
              </c:extLst>
            </c:dLbl>
            <c:dLbl>
              <c:idx val="3"/>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DF-4EA8-96C7-F88C04E1A786}"/>
                </c:ext>
              </c:extLst>
            </c:dLbl>
            <c:dLbl>
              <c:idx val="4"/>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DDF-4EA8-96C7-F88C04E1A786}"/>
                </c:ext>
              </c:extLst>
            </c:dLbl>
            <c:dLbl>
              <c:idx val="5"/>
              <c:tx>
                <c:rich>
                  <a:bodyPr/>
                  <a:lstStyle/>
                  <a:p>
                    <a:r>
                      <a:rPr lang="en-US"/>
                      <a:t>0.7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DF-4EA8-96C7-F88C04E1A786}"/>
                </c:ext>
              </c:extLst>
            </c:dLbl>
            <c:dLbl>
              <c:idx val="6"/>
              <c:tx>
                <c:rich>
                  <a:bodyPr/>
                  <a:lstStyle/>
                  <a:p>
                    <a:r>
                      <a:rPr lang="en-US"/>
                      <a:t>0.6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DF-4EA8-96C7-F88C04E1A786}"/>
                </c:ext>
              </c:extLst>
            </c:dLbl>
            <c:dLbl>
              <c:idx val="7"/>
              <c:tx>
                <c:rich>
                  <a:bodyPr/>
                  <a:lstStyle/>
                  <a:p>
                    <a:r>
                      <a:rPr lang="en-US"/>
                      <a:t>0.5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DF-4EA8-96C7-F88C04E1A786}"/>
                </c:ext>
              </c:extLst>
            </c:dLbl>
            <c:dLbl>
              <c:idx val="8"/>
              <c:tx>
                <c:rich>
                  <a:bodyPr/>
                  <a:lstStyle/>
                  <a:p>
                    <a:r>
                      <a:rPr lang="en-US"/>
                      <a:t>0.4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DDF-4EA8-96C7-F88C04E1A786}"/>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2"/>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Planilha3!$A$13:$A$21</c:f>
              <c:strCache>
                <c:ptCount val="9"/>
                <c:pt idx="0">
                  <c:v>China</c:v>
                </c:pt>
                <c:pt idx="1">
                  <c:v>Korea</c:v>
                </c:pt>
                <c:pt idx="2">
                  <c:v>Mexico</c:v>
                </c:pt>
                <c:pt idx="3">
                  <c:v>Thailand</c:v>
                </c:pt>
                <c:pt idx="4">
                  <c:v>Malaysia</c:v>
                </c:pt>
                <c:pt idx="5">
                  <c:v>India</c:v>
                </c:pt>
                <c:pt idx="6">
                  <c:v>Philippines</c:v>
                </c:pt>
                <c:pt idx="7">
                  <c:v>Brazil</c:v>
                </c:pt>
                <c:pt idx="8">
                  <c:v>Indonesia</c:v>
                </c:pt>
              </c:strCache>
            </c:strRef>
          </c:cat>
          <c:val>
            <c:numRef>
              <c:f>Planilha3!$B$13:$B$21</c:f>
              <c:numCache>
                <c:formatCode>0.00%</c:formatCode>
                <c:ptCount val="9"/>
                <c:pt idx="0">
                  <c:v>0.17832483513882999</c:v>
                </c:pt>
                <c:pt idx="1">
                  <c:v>5.19140022144279E-2</c:v>
                </c:pt>
                <c:pt idx="2">
                  <c:v>3.9387401145294897E-2</c:v>
                </c:pt>
                <c:pt idx="3">
                  <c:v>1.5806669722071499E-2</c:v>
                </c:pt>
                <c:pt idx="4">
                  <c:v>1.4012048769868701E-2</c:v>
                </c:pt>
                <c:pt idx="5">
                  <c:v>7.2400798031100133E-3</c:v>
                </c:pt>
                <c:pt idx="6">
                  <c:v>6.3287759290449217E-3</c:v>
                </c:pt>
                <c:pt idx="7">
                  <c:v>5.2248985871859296E-3</c:v>
                </c:pt>
                <c:pt idx="8">
                  <c:v>3.6300361807195809E-3</c:v>
                </c:pt>
              </c:numCache>
            </c:numRef>
          </c:val>
          <c:extLst>
            <c:ext xmlns:c16="http://schemas.microsoft.com/office/drawing/2014/chart" uri="{C3380CC4-5D6E-409C-BE32-E72D297353CC}">
              <c16:uniqueId val="{00000000-3472-4891-ABA0-E3E44522859C}"/>
            </c:ext>
          </c:extLst>
        </c:ser>
        <c:dLbls>
          <c:showLegendKey val="0"/>
          <c:showVal val="0"/>
          <c:showCatName val="0"/>
          <c:showSerName val="0"/>
          <c:showPercent val="0"/>
          <c:showBubbleSize val="0"/>
        </c:dLbls>
        <c:gapWidth val="150"/>
        <c:axId val="344238392"/>
        <c:axId val="344238000"/>
      </c:barChart>
      <c:catAx>
        <c:axId val="344238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crossAx val="344238000"/>
        <c:crosses val="autoZero"/>
        <c:auto val="1"/>
        <c:lblAlgn val="ctr"/>
        <c:lblOffset val="100"/>
        <c:noMultiLvlLbl val="0"/>
      </c:catAx>
      <c:valAx>
        <c:axId val="344238000"/>
        <c:scaling>
          <c:orientation val="minMax"/>
        </c:scaling>
        <c:delete val="1"/>
        <c:axPos val="l"/>
        <c:numFmt formatCode="0.00%" sourceLinked="1"/>
        <c:majorTickMark val="none"/>
        <c:minorTickMark val="none"/>
        <c:tickLblPos val="none"/>
        <c:crossAx val="344238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pt-BR"/>
    </a:p>
  </c:tx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0" i="0" u="none" strike="noStrike" kern="1200" spc="0" baseline="0">
                <a:solidFill>
                  <a:sysClr val="windowText" lastClr="000000"/>
                </a:solidFill>
                <a:latin typeface="+mn-lt"/>
                <a:ea typeface="+mn-ea"/>
                <a:cs typeface="Times New Roman" panose="02020603050405020304" pitchFamily="18" charset="0"/>
              </a:defRPr>
            </a:pPr>
            <a:r>
              <a:rPr lang="en-US" sz="1100" b="1" i="0" baseline="0">
                <a:solidFill>
                  <a:sysClr val="windowText" lastClr="000000"/>
                </a:solidFill>
                <a:effectLst/>
                <a:latin typeface="+mn-lt"/>
                <a:cs typeface="Times New Roman" panose="02020603050405020304" pitchFamily="18" charset="0"/>
              </a:rPr>
              <a:t>Figure 11: Brazilian stock of FDI (% GPD)</a:t>
            </a:r>
            <a:endParaRPr lang="pt-BR" sz="1100">
              <a:solidFill>
                <a:sysClr val="windowText" lastClr="000000"/>
              </a:solidFill>
              <a:effectLst/>
              <a:latin typeface="+mn-lt"/>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5.4452267540631538E-2"/>
          <c:y val="0.18802083333333305"/>
          <c:w val="0.91968059548112102"/>
          <c:h val="0.60462680446194195"/>
        </c:manualLayout>
      </c:layout>
      <c:lineChart>
        <c:grouping val="standard"/>
        <c:varyColors val="0"/>
        <c:ser>
          <c:idx val="0"/>
          <c:order val="0"/>
          <c:spPr>
            <a:ln w="28575" cap="rnd">
              <a:solidFill>
                <a:schemeClr val="accent1"/>
              </a:solidFill>
              <a:round/>
            </a:ln>
            <a:effectLst/>
          </c:spPr>
          <c:marker>
            <c:symbol val="none"/>
          </c:marker>
          <c:dLbls>
            <c:dLbl>
              <c:idx val="0"/>
              <c:layout>
                <c:manualLayout>
                  <c:x val="-1.9493177387914208E-2"/>
                  <c:y val="2.6845637583892516E-2"/>
                </c:manualLayout>
              </c:layout>
              <c:tx>
                <c:rich>
                  <a:bodyPr/>
                  <a:lstStyle/>
                  <a:p>
                    <a:r>
                      <a:rPr lang="en-US"/>
                      <a:t>18.7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A48-428F-BCBC-FAB1BF64D839}"/>
                </c:ext>
              </c:extLst>
            </c:dLbl>
            <c:dLbl>
              <c:idx val="5"/>
              <c:layout>
                <c:manualLayout>
                  <c:x val="-1.1695906432748598E-2"/>
                  <c:y val="4.0268456375838896E-2"/>
                </c:manualLayout>
              </c:layout>
              <c:tx>
                <c:rich>
                  <a:bodyPr/>
                  <a:lstStyle/>
                  <a:p>
                    <a:r>
                      <a:rPr lang="en-US"/>
                      <a:t>19.9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A48-428F-BCBC-FAB1BF64D839}"/>
                </c:ext>
              </c:extLst>
            </c:dLbl>
            <c:dLbl>
              <c:idx val="10"/>
              <c:layout>
                <c:manualLayout>
                  <c:x val="-3.3138401559454099E-2"/>
                  <c:y val="-4.9217002237136528E-2"/>
                </c:manualLayout>
              </c:layout>
              <c:tx>
                <c:rich>
                  <a:bodyPr/>
                  <a:lstStyle/>
                  <a:p>
                    <a:r>
                      <a:rPr lang="en-US"/>
                      <a:t>29.0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A48-428F-BCBC-FAB1BF64D839}"/>
                </c:ext>
              </c:extLst>
            </c:dLbl>
            <c:dLbl>
              <c:idx val="15"/>
              <c:layout>
                <c:manualLayout>
                  <c:x val="-3.3262138528980204E-2"/>
                  <c:y val="5.0140797177680704E-2"/>
                </c:manualLayout>
              </c:layout>
              <c:tx>
                <c:rich>
                  <a:bodyPr/>
                  <a:lstStyle/>
                  <a:p>
                    <a:r>
                      <a:rPr lang="en-US"/>
                      <a:t>27.9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A48-428F-BCBC-FAB1BF64D839}"/>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1"/>
                    </a:solidFill>
                    <a:latin typeface="+mn-lt"/>
                    <a:ea typeface="+mn-ea"/>
                    <a:cs typeface="Times New Roman" panose="02020603050405020304" pitchFamily="18" charset="0"/>
                  </a:defRPr>
                </a:pPr>
                <a:endParaRPr lang="pt-B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Plan2!$A$1:$P$1</c:f>
              <c:strCach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strCache>
            </c:strRef>
          </c:cat>
          <c:val>
            <c:numRef>
              <c:f>Plan2!$A$2:$P$2</c:f>
              <c:numCache>
                <c:formatCode>0.0</c:formatCode>
                <c:ptCount val="16"/>
                <c:pt idx="0">
                  <c:v>18.7396976683</c:v>
                </c:pt>
                <c:pt idx="1">
                  <c:v>20.973939631099988</c:v>
                </c:pt>
                <c:pt idx="2">
                  <c:v>18.917023082699988</c:v>
                </c:pt>
                <c:pt idx="3">
                  <c:v>22.852163194900001</c:v>
                </c:pt>
                <c:pt idx="4">
                  <c:v>23.562403191699993</c:v>
                </c:pt>
                <c:pt idx="5">
                  <c:v>19.943233954099981</c:v>
                </c:pt>
                <c:pt idx="6">
                  <c:v>19.229397074399991</c:v>
                </c:pt>
                <c:pt idx="7">
                  <c:v>20.95538728659999</c:v>
                </c:pt>
                <c:pt idx="8">
                  <c:v>15.374016271700004</c:v>
                </c:pt>
                <c:pt idx="9">
                  <c:v>22.058835695399999</c:v>
                </c:pt>
                <c:pt idx="10">
                  <c:v>28.982271706999988</c:v>
                </c:pt>
                <c:pt idx="11">
                  <c:v>24.821579216100002</c:v>
                </c:pt>
                <c:pt idx="12">
                  <c:v>27.993523568899988</c:v>
                </c:pt>
                <c:pt idx="13">
                  <c:v>26.956983861000001</c:v>
                </c:pt>
                <c:pt idx="14">
                  <c:v>26.2166211987</c:v>
                </c:pt>
                <c:pt idx="15">
                  <c:v>27.931663695600001</c:v>
                </c:pt>
              </c:numCache>
            </c:numRef>
          </c:val>
          <c:smooth val="0"/>
          <c:extLst>
            <c:ext xmlns:c16="http://schemas.microsoft.com/office/drawing/2014/chart" uri="{C3380CC4-5D6E-409C-BE32-E72D297353CC}">
              <c16:uniqueId val="{00000004-1A48-428F-BCBC-FAB1BF64D839}"/>
            </c:ext>
          </c:extLst>
        </c:ser>
        <c:dLbls>
          <c:showLegendKey val="0"/>
          <c:showVal val="0"/>
          <c:showCatName val="0"/>
          <c:showSerName val="0"/>
          <c:showPercent val="0"/>
          <c:showBubbleSize val="0"/>
        </c:dLbls>
        <c:smooth val="0"/>
        <c:axId val="344237608"/>
        <c:axId val="596985880"/>
      </c:lineChart>
      <c:catAx>
        <c:axId val="34423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Times New Roman" panose="02020603050405020304" pitchFamily="18" charset="0"/>
              </a:defRPr>
            </a:pPr>
            <a:endParaRPr lang="pt-BR"/>
          </a:p>
        </c:txPr>
        <c:crossAx val="596985880"/>
        <c:crossesAt val="0"/>
        <c:auto val="1"/>
        <c:lblAlgn val="ctr"/>
        <c:lblOffset val="100"/>
        <c:noMultiLvlLbl val="0"/>
      </c:catAx>
      <c:valAx>
        <c:axId val="596985880"/>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Times New Roman" panose="02020603050405020304" pitchFamily="18" charset="0"/>
              </a:defRPr>
            </a:pPr>
            <a:endParaRPr lang="pt-BR"/>
          </a:p>
        </c:txPr>
        <c:crossAx val="344237608"/>
        <c:crosses val="autoZero"/>
        <c:crossBetween val="between"/>
      </c:valAx>
      <c:spPr>
        <a:noFill/>
        <a:ln>
          <a:solidFill>
            <a:srgbClr val="EEECE1">
              <a:lumMod val="75000"/>
            </a:srgbClr>
          </a:solid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pt-BR"/>
    </a:p>
  </c:txPr>
  <c:externalData r:id="rId2">
    <c:autoUpdate val="0"/>
  </c:externalData>
  <c:userShapes r:id="rId3"/>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76693985348203"/>
          <c:y val="0.19954858758382207"/>
          <c:w val="0.86278916435812825"/>
          <c:h val="0.44340172267198991"/>
        </c:manualLayout>
      </c:layout>
      <c:barChart>
        <c:barDir val="col"/>
        <c:grouping val="clustered"/>
        <c:varyColors val="0"/>
        <c:ser>
          <c:idx val="0"/>
          <c:order val="0"/>
          <c:tx>
            <c:v>2010</c:v>
          </c:tx>
          <c:spPr>
            <a:solidFill>
              <a:schemeClr val="accent1">
                <a:lumMod val="75000"/>
              </a:schemeClr>
            </a:solidFill>
          </c:spPr>
          <c:invertIfNegative val="0"/>
          <c:cat>
            <c:strRef>
              <c:f>'Quadro 12'!$A$100:$A$103</c:f>
              <c:strCache>
                <c:ptCount val="4"/>
                <c:pt idx="0">
                  <c:v>Baixa Tecnologia</c:v>
                </c:pt>
                <c:pt idx="1">
                  <c:v>Média Baixa Tecnologia</c:v>
                </c:pt>
                <c:pt idx="2">
                  <c:v>Média Alta Tecnologia</c:v>
                </c:pt>
                <c:pt idx="3">
                  <c:v>Alta Tecnologia</c:v>
                </c:pt>
              </c:strCache>
            </c:strRef>
          </c:cat>
          <c:val>
            <c:numRef>
              <c:f>'Quadro 12'!$C$100:$C$103</c:f>
              <c:numCache>
                <c:formatCode>General</c:formatCode>
                <c:ptCount val="4"/>
                <c:pt idx="0">
                  <c:v>41.346286672006045</c:v>
                </c:pt>
                <c:pt idx="1">
                  <c:v>23.676264906172911</c:v>
                </c:pt>
                <c:pt idx="2">
                  <c:v>27.777581468957866</c:v>
                </c:pt>
                <c:pt idx="3">
                  <c:v>5.9081098630197566</c:v>
                </c:pt>
              </c:numCache>
            </c:numRef>
          </c:val>
          <c:extLst>
            <c:ext xmlns:c16="http://schemas.microsoft.com/office/drawing/2014/chart" uri="{C3380CC4-5D6E-409C-BE32-E72D297353CC}">
              <c16:uniqueId val="{00000000-5552-4F46-8A8D-6A236CD5C59B}"/>
            </c:ext>
          </c:extLst>
        </c:ser>
        <c:ser>
          <c:idx val="1"/>
          <c:order val="1"/>
          <c:tx>
            <c:v>2011</c:v>
          </c:tx>
          <c:spPr>
            <a:solidFill>
              <a:srgbClr val="990000"/>
            </a:solidFill>
          </c:spPr>
          <c:invertIfNegative val="0"/>
          <c:cat>
            <c:strRef>
              <c:f>'Quadro 12'!$A$100:$A$103</c:f>
              <c:strCache>
                <c:ptCount val="4"/>
                <c:pt idx="0">
                  <c:v>Baixa Tecnologia</c:v>
                </c:pt>
                <c:pt idx="1">
                  <c:v>Média Baixa Tecnologia</c:v>
                </c:pt>
                <c:pt idx="2">
                  <c:v>Média Alta Tecnologia</c:v>
                </c:pt>
                <c:pt idx="3">
                  <c:v>Alta Tecnologia</c:v>
                </c:pt>
              </c:strCache>
            </c:strRef>
          </c:cat>
          <c:val>
            <c:numRef>
              <c:f>'Quadro 12'!$E$100:$E$103</c:f>
              <c:numCache>
                <c:formatCode>General</c:formatCode>
                <c:ptCount val="4"/>
                <c:pt idx="0">
                  <c:v>46.193077129705969</c:v>
                </c:pt>
                <c:pt idx="1">
                  <c:v>21.21849916402801</c:v>
                </c:pt>
                <c:pt idx="2">
                  <c:v>25.523659049064889</c:v>
                </c:pt>
                <c:pt idx="3">
                  <c:v>5.4828307675707659</c:v>
                </c:pt>
              </c:numCache>
            </c:numRef>
          </c:val>
          <c:extLst>
            <c:ext xmlns:c16="http://schemas.microsoft.com/office/drawing/2014/chart" uri="{C3380CC4-5D6E-409C-BE32-E72D297353CC}">
              <c16:uniqueId val="{00000001-5552-4F46-8A8D-6A236CD5C59B}"/>
            </c:ext>
          </c:extLst>
        </c:ser>
        <c:ser>
          <c:idx val="2"/>
          <c:order val="2"/>
          <c:tx>
            <c:v>2012</c:v>
          </c:tx>
          <c:spPr>
            <a:solidFill>
              <a:schemeClr val="accent3">
                <a:lumMod val="75000"/>
              </a:schemeClr>
            </a:solidFill>
          </c:spPr>
          <c:invertIfNegative val="0"/>
          <c:cat>
            <c:strRef>
              <c:f>'Quadro 12'!$A$100:$A$103</c:f>
              <c:strCache>
                <c:ptCount val="4"/>
                <c:pt idx="0">
                  <c:v>Baixa Tecnologia</c:v>
                </c:pt>
                <c:pt idx="1">
                  <c:v>Média Baixa Tecnologia</c:v>
                </c:pt>
                <c:pt idx="2">
                  <c:v>Média Alta Tecnologia</c:v>
                </c:pt>
                <c:pt idx="3">
                  <c:v>Alta Tecnologia</c:v>
                </c:pt>
              </c:strCache>
            </c:strRef>
          </c:cat>
          <c:val>
            <c:numRef>
              <c:f>'Quadro 12'!$G$100:$G$103</c:f>
              <c:numCache>
                <c:formatCode>General</c:formatCode>
                <c:ptCount val="4"/>
                <c:pt idx="0">
                  <c:v>50.867196220260553</c:v>
                </c:pt>
                <c:pt idx="1">
                  <c:v>19.514818763811544</c:v>
                </c:pt>
                <c:pt idx="2">
                  <c:v>23.46579278437731</c:v>
                </c:pt>
                <c:pt idx="3">
                  <c:v>5.1468331051933403</c:v>
                </c:pt>
              </c:numCache>
            </c:numRef>
          </c:val>
          <c:extLst>
            <c:ext xmlns:c16="http://schemas.microsoft.com/office/drawing/2014/chart" uri="{C3380CC4-5D6E-409C-BE32-E72D297353CC}">
              <c16:uniqueId val="{00000002-5552-4F46-8A8D-6A236CD5C59B}"/>
            </c:ext>
          </c:extLst>
        </c:ser>
        <c:ser>
          <c:idx val="3"/>
          <c:order val="3"/>
          <c:tx>
            <c:v>2013</c:v>
          </c:tx>
          <c:spPr>
            <a:solidFill>
              <a:schemeClr val="accent4">
                <a:lumMod val="75000"/>
              </a:schemeClr>
            </a:solidFill>
          </c:spPr>
          <c:invertIfNegative val="0"/>
          <c:cat>
            <c:strRef>
              <c:f>'Quadro 12'!$A$100:$A$103</c:f>
              <c:strCache>
                <c:ptCount val="4"/>
                <c:pt idx="0">
                  <c:v>Baixa Tecnologia</c:v>
                </c:pt>
                <c:pt idx="1">
                  <c:v>Média Baixa Tecnologia</c:v>
                </c:pt>
                <c:pt idx="2">
                  <c:v>Média Alta Tecnologia</c:v>
                </c:pt>
                <c:pt idx="3">
                  <c:v>Alta Tecnologia</c:v>
                </c:pt>
              </c:strCache>
            </c:strRef>
          </c:cat>
          <c:val>
            <c:numRef>
              <c:f>'Quadro 12'!$I$100:$I$103</c:f>
              <c:numCache>
                <c:formatCode>General</c:formatCode>
                <c:ptCount val="4"/>
                <c:pt idx="0">
                  <c:v>48.320126313508332</c:v>
                </c:pt>
                <c:pt idx="1">
                  <c:v>19.966412501402118</c:v>
                </c:pt>
                <c:pt idx="2">
                  <c:v>24.230469874559919</c:v>
                </c:pt>
                <c:pt idx="3">
                  <c:v>6.2928351566787448</c:v>
                </c:pt>
              </c:numCache>
            </c:numRef>
          </c:val>
          <c:extLst>
            <c:ext xmlns:c16="http://schemas.microsoft.com/office/drawing/2014/chart" uri="{C3380CC4-5D6E-409C-BE32-E72D297353CC}">
              <c16:uniqueId val="{00000003-5552-4F46-8A8D-6A236CD5C59B}"/>
            </c:ext>
          </c:extLst>
        </c:ser>
        <c:ser>
          <c:idx val="4"/>
          <c:order val="4"/>
          <c:tx>
            <c:v>2014</c:v>
          </c:tx>
          <c:spPr>
            <a:solidFill>
              <a:schemeClr val="tx2">
                <a:lumMod val="50000"/>
              </a:schemeClr>
            </a:solidFill>
          </c:spPr>
          <c:invertIfNegative val="0"/>
          <c:cat>
            <c:strRef>
              <c:f>'Quadro 12'!$A$100:$A$103</c:f>
              <c:strCache>
                <c:ptCount val="4"/>
                <c:pt idx="0">
                  <c:v>Baixa Tecnologia</c:v>
                </c:pt>
                <c:pt idx="1">
                  <c:v>Média Baixa Tecnologia</c:v>
                </c:pt>
                <c:pt idx="2">
                  <c:v>Média Alta Tecnologia</c:v>
                </c:pt>
                <c:pt idx="3">
                  <c:v>Alta Tecnologia</c:v>
                </c:pt>
              </c:strCache>
            </c:strRef>
          </c:cat>
          <c:val>
            <c:numRef>
              <c:f>'Quadro 12'!$K$100:$K$103</c:f>
              <c:numCache>
                <c:formatCode>General</c:formatCode>
                <c:ptCount val="4"/>
                <c:pt idx="0">
                  <c:v>46.549954239576991</c:v>
                </c:pt>
                <c:pt idx="1">
                  <c:v>20.766141291289181</c:v>
                </c:pt>
                <c:pt idx="2">
                  <c:v>24.422805758684941</c:v>
                </c:pt>
                <c:pt idx="3">
                  <c:v>6.9154132243966577</c:v>
                </c:pt>
              </c:numCache>
            </c:numRef>
          </c:val>
          <c:extLst>
            <c:ext xmlns:c16="http://schemas.microsoft.com/office/drawing/2014/chart" uri="{C3380CC4-5D6E-409C-BE32-E72D297353CC}">
              <c16:uniqueId val="{00000004-5552-4F46-8A8D-6A236CD5C59B}"/>
            </c:ext>
          </c:extLst>
        </c:ser>
        <c:dLbls>
          <c:showLegendKey val="0"/>
          <c:showVal val="0"/>
          <c:showCatName val="0"/>
          <c:showSerName val="0"/>
          <c:showPercent val="0"/>
          <c:showBubbleSize val="0"/>
        </c:dLbls>
        <c:gapWidth val="150"/>
        <c:axId val="596986664"/>
        <c:axId val="596985488"/>
      </c:barChart>
      <c:catAx>
        <c:axId val="596986664"/>
        <c:scaling>
          <c:orientation val="minMax"/>
        </c:scaling>
        <c:delete val="0"/>
        <c:axPos val="b"/>
        <c:numFmt formatCode="General" sourceLinked="0"/>
        <c:majorTickMark val="out"/>
        <c:minorTickMark val="none"/>
        <c:tickLblPos val="nextTo"/>
        <c:txPr>
          <a:bodyPr/>
          <a:lstStyle/>
          <a:p>
            <a:pPr>
              <a:defRPr sz="1000">
                <a:latin typeface="Times New Roman" panose="02020603050405020304" pitchFamily="18" charset="0"/>
                <a:cs typeface="Times New Roman" panose="02020603050405020304" pitchFamily="18" charset="0"/>
              </a:defRPr>
            </a:pPr>
            <a:endParaRPr lang="pt-BR"/>
          </a:p>
        </c:txPr>
        <c:crossAx val="596985488"/>
        <c:crosses val="autoZero"/>
        <c:auto val="1"/>
        <c:lblAlgn val="ctr"/>
        <c:lblOffset val="100"/>
        <c:noMultiLvlLbl val="0"/>
      </c:catAx>
      <c:valAx>
        <c:axId val="596985488"/>
        <c:scaling>
          <c:orientation val="minMax"/>
        </c:scaling>
        <c:delete val="0"/>
        <c:axPos val="l"/>
        <c:majorGridlines/>
        <c:numFmt formatCode="General" sourceLinked="1"/>
        <c:majorTickMark val="out"/>
        <c:minorTickMark val="none"/>
        <c:tickLblPos val="nextTo"/>
        <c:txPr>
          <a:bodyPr/>
          <a:lstStyle/>
          <a:p>
            <a:pPr>
              <a:defRPr sz="1000">
                <a:latin typeface="Times New Roman" panose="02020603050405020304" pitchFamily="18" charset="0"/>
                <a:cs typeface="Times New Roman" panose="02020603050405020304" pitchFamily="18" charset="0"/>
              </a:defRPr>
            </a:pPr>
            <a:endParaRPr lang="pt-BR"/>
          </a:p>
        </c:txPr>
        <c:crossAx val="596986664"/>
        <c:crosses val="autoZero"/>
        <c:crossBetween val="between"/>
      </c:valAx>
    </c:plotArea>
    <c:legend>
      <c:legendPos val="b"/>
      <c:layout>
        <c:manualLayout>
          <c:xMode val="edge"/>
          <c:yMode val="edge"/>
          <c:x val="0.25333740689821199"/>
          <c:y val="0.78760274093255078"/>
          <c:w val="0.49332535957495022"/>
          <c:h val="6.8496332598326326E-2"/>
        </c:manualLayout>
      </c:layout>
      <c:overlay val="0"/>
      <c:txPr>
        <a:bodyPr/>
        <a:lstStyle/>
        <a:p>
          <a:pPr>
            <a:defRPr>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spPr>
    <a:noFill/>
    <a:ln>
      <a:solidFill>
        <a:schemeClr val="bg2">
          <a:lumMod val="75000"/>
        </a:schemeClr>
      </a:solid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pt-BR" sz="1200" b="1" i="0" u="none" strike="noStrike" baseline="0">
                <a:effectLst/>
              </a:rPr>
              <a:t>Figure 2: Backward participation index, 2009</a:t>
            </a:r>
            <a:endParaRPr lang="pt-BR" sz="1200" i="0"/>
          </a:p>
        </c:rich>
      </c:tx>
      <c:overlay val="0"/>
    </c:title>
    <c:autoTitleDeleted val="0"/>
    <c:plotArea>
      <c:layout>
        <c:manualLayout>
          <c:layoutTarget val="inner"/>
          <c:xMode val="edge"/>
          <c:yMode val="edge"/>
          <c:x val="2.2101528647501707E-2"/>
          <c:y val="4.0387939312464004E-2"/>
          <c:w val="0.94179894179894097"/>
          <c:h val="0.58840463117909003"/>
        </c:manualLayout>
      </c:layout>
      <c:barChart>
        <c:barDir val="col"/>
        <c:grouping val="clustered"/>
        <c:varyColors val="0"/>
        <c:ser>
          <c:idx val="0"/>
          <c:order val="0"/>
          <c:spPr>
            <a:solidFill>
              <a:schemeClr val="accent1"/>
            </a:solidFill>
          </c:spPr>
          <c:invertIfNegative val="0"/>
          <c:dPt>
            <c:idx val="14"/>
            <c:invertIfNegative val="0"/>
            <c:bubble3D val="0"/>
            <c:spPr>
              <a:solidFill>
                <a:schemeClr val="accent2"/>
              </a:solidFill>
            </c:spPr>
            <c:extLst>
              <c:ext xmlns:c16="http://schemas.microsoft.com/office/drawing/2014/chart" uri="{C3380CC4-5D6E-409C-BE32-E72D297353CC}">
                <c16:uniqueId val="{00000001-2FEA-4771-8BD3-887A28538DA5}"/>
              </c:ext>
            </c:extLst>
          </c:dPt>
          <c:dLbls>
            <c:dLbl>
              <c:idx val="14"/>
              <c:numFmt formatCode="#,##0" sourceLinked="0"/>
              <c:spPr/>
              <c:txPr>
                <a:bodyPr/>
                <a:lstStyle/>
                <a:p>
                  <a:pPr>
                    <a:defRPr sz="1050" b="1">
                      <a:solidFill>
                        <a:schemeClr val="accent2"/>
                      </a:solidFill>
                    </a:defRPr>
                  </a:pPr>
                  <a:endParaRPr lang="pt-BR"/>
                </a:p>
              </c:txPr>
              <c:showLegendKey val="0"/>
              <c:showVal val="1"/>
              <c:showCatName val="0"/>
              <c:showSerName val="0"/>
              <c:showPercent val="0"/>
              <c:showBubbleSize val="0"/>
              <c:extLst>
                <c:ext xmlns:c16="http://schemas.microsoft.com/office/drawing/2014/chart" uri="{C3380CC4-5D6E-409C-BE32-E72D297353CC}">
                  <c16:uniqueId val="{00000001-2FEA-4771-8BD3-887A28538DA5}"/>
                </c:ext>
              </c:extLst>
            </c:dLbl>
            <c:numFmt formatCode="#,##0" sourceLinked="0"/>
            <c:spPr>
              <a:noFill/>
              <a:ln>
                <a:noFill/>
              </a:ln>
              <a:effectLst/>
            </c:spPr>
            <c:txPr>
              <a:bodyPr/>
              <a:lstStyle/>
              <a:p>
                <a:pPr>
                  <a:defRPr sz="1050" b="1">
                    <a:solidFill>
                      <a:schemeClr val="tx2"/>
                    </a:solidFill>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'OECD.Stat export'!$Q$6:$Q$20</c:f>
              <c:strCache>
                <c:ptCount val="15"/>
                <c:pt idx="0">
                  <c:v>Singapore</c:v>
                </c:pt>
                <c:pt idx="1">
                  <c:v>Korea</c:v>
                </c:pt>
                <c:pt idx="2">
                  <c:v>Philippines</c:v>
                </c:pt>
                <c:pt idx="3">
                  <c:v>Malaysia</c:v>
                </c:pt>
                <c:pt idx="4">
                  <c:v>Vietnam</c:v>
                </c:pt>
                <c:pt idx="5">
                  <c:v>Thailand</c:v>
                </c:pt>
                <c:pt idx="6">
                  <c:v>China</c:v>
                </c:pt>
                <c:pt idx="7">
                  <c:v>Mexico</c:v>
                </c:pt>
                <c:pt idx="8">
                  <c:v>Hong Kong</c:v>
                </c:pt>
                <c:pt idx="9">
                  <c:v>India</c:v>
                </c:pt>
                <c:pt idx="10">
                  <c:v>Turkey</c:v>
                </c:pt>
                <c:pt idx="11">
                  <c:v>South Africa</c:v>
                </c:pt>
                <c:pt idx="12">
                  <c:v>Indonesia</c:v>
                </c:pt>
                <c:pt idx="13">
                  <c:v>Argentina</c:v>
                </c:pt>
                <c:pt idx="14">
                  <c:v>Brazil</c:v>
                </c:pt>
              </c:strCache>
            </c:strRef>
          </c:cat>
          <c:val>
            <c:numRef>
              <c:f>'OECD.Stat export'!$S$6:$S$20</c:f>
              <c:numCache>
                <c:formatCode>0.0</c:formatCode>
                <c:ptCount val="15"/>
                <c:pt idx="0">
                  <c:v>49.916744229999999</c:v>
                </c:pt>
                <c:pt idx="1">
                  <c:v>40.64163971</c:v>
                </c:pt>
                <c:pt idx="2">
                  <c:v>38.370319370000011</c:v>
                </c:pt>
                <c:pt idx="3">
                  <c:v>37.891315460000001</c:v>
                </c:pt>
                <c:pt idx="4">
                  <c:v>36.645656590000002</c:v>
                </c:pt>
                <c:pt idx="5">
                  <c:v>34.530319210000037</c:v>
                </c:pt>
                <c:pt idx="6">
                  <c:v>32.631790160000001</c:v>
                </c:pt>
                <c:pt idx="7">
                  <c:v>30.32636261</c:v>
                </c:pt>
                <c:pt idx="8">
                  <c:v>28.497797009999989</c:v>
                </c:pt>
                <c:pt idx="9">
                  <c:v>21.922927859999973</c:v>
                </c:pt>
                <c:pt idx="10">
                  <c:v>21.789867399999999</c:v>
                </c:pt>
                <c:pt idx="11">
                  <c:v>16.489988329999999</c:v>
                </c:pt>
                <c:pt idx="12">
                  <c:v>14.414310459999999</c:v>
                </c:pt>
                <c:pt idx="13">
                  <c:v>12.079651830000003</c:v>
                </c:pt>
                <c:pt idx="14">
                  <c:v>9.028900145999998</c:v>
                </c:pt>
              </c:numCache>
            </c:numRef>
          </c:val>
          <c:extLst>
            <c:ext xmlns:c16="http://schemas.microsoft.com/office/drawing/2014/chart" uri="{C3380CC4-5D6E-409C-BE32-E72D297353CC}">
              <c16:uniqueId val="{00000002-2FEA-4771-8BD3-887A28538DA5}"/>
            </c:ext>
          </c:extLst>
        </c:ser>
        <c:dLbls>
          <c:showLegendKey val="0"/>
          <c:showVal val="0"/>
          <c:showCatName val="0"/>
          <c:showSerName val="0"/>
          <c:showPercent val="0"/>
          <c:showBubbleSize val="0"/>
        </c:dLbls>
        <c:gapWidth val="150"/>
        <c:axId val="586150512"/>
        <c:axId val="674808264"/>
      </c:barChart>
      <c:catAx>
        <c:axId val="586150512"/>
        <c:scaling>
          <c:orientation val="minMax"/>
        </c:scaling>
        <c:delete val="0"/>
        <c:axPos val="b"/>
        <c:numFmt formatCode="General" sourceLinked="0"/>
        <c:majorTickMark val="out"/>
        <c:minorTickMark val="none"/>
        <c:tickLblPos val="nextTo"/>
        <c:txPr>
          <a:bodyPr rot="-5400000" vert="horz"/>
          <a:lstStyle/>
          <a:p>
            <a:pPr>
              <a:defRPr sz="900"/>
            </a:pPr>
            <a:endParaRPr lang="pt-BR"/>
          </a:p>
        </c:txPr>
        <c:crossAx val="674808264"/>
        <c:crosses val="autoZero"/>
        <c:auto val="1"/>
        <c:lblAlgn val="ctr"/>
        <c:lblOffset val="100"/>
        <c:noMultiLvlLbl val="0"/>
      </c:catAx>
      <c:valAx>
        <c:axId val="674808264"/>
        <c:scaling>
          <c:orientation val="minMax"/>
          <c:max val="70"/>
          <c:min val="0"/>
        </c:scaling>
        <c:delete val="1"/>
        <c:axPos val="l"/>
        <c:numFmt formatCode="0.0" sourceLinked="1"/>
        <c:majorTickMark val="out"/>
        <c:minorTickMark val="none"/>
        <c:tickLblPos val="none"/>
        <c:crossAx val="586150512"/>
        <c:crosses val="autoZero"/>
        <c:crossBetween val="between"/>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200"/>
            </a:pPr>
            <a:r>
              <a:rPr lang="pt-BR" sz="1200"/>
              <a:t>Figure</a:t>
            </a:r>
            <a:r>
              <a:rPr lang="pt-BR" sz="1200" baseline="0"/>
              <a:t> 3: Forward participation index, 2009</a:t>
            </a:r>
            <a:endParaRPr lang="pt-BR" sz="1200"/>
          </a:p>
        </c:rich>
      </c:tx>
      <c:layout>
        <c:manualLayout>
          <c:xMode val="edge"/>
          <c:yMode val="edge"/>
          <c:x val="0.22634880584678299"/>
          <c:y val="3.5033731894624311E-2"/>
        </c:manualLayout>
      </c:layout>
      <c:overlay val="0"/>
    </c:title>
    <c:autoTitleDeleted val="0"/>
    <c:plotArea>
      <c:layout>
        <c:manualLayout>
          <c:layoutTarget val="inner"/>
          <c:xMode val="edge"/>
          <c:yMode val="edge"/>
          <c:x val="7.2666272152904929E-2"/>
          <c:y val="0.125512801465855"/>
          <c:w val="0.85992147856518064"/>
          <c:h val="0.48719962088072299"/>
        </c:manualLayout>
      </c:layout>
      <c:barChart>
        <c:barDir val="col"/>
        <c:grouping val="clustered"/>
        <c:varyColors val="0"/>
        <c:ser>
          <c:idx val="0"/>
          <c:order val="0"/>
          <c:spPr>
            <a:solidFill>
              <a:schemeClr val="accent1"/>
            </a:solidFill>
          </c:spPr>
          <c:invertIfNegative val="0"/>
          <c:dPt>
            <c:idx val="4"/>
            <c:invertIfNegative val="0"/>
            <c:bubble3D val="0"/>
            <c:spPr>
              <a:solidFill>
                <a:schemeClr val="accent2"/>
              </a:solidFill>
            </c:spPr>
            <c:extLst>
              <c:ext xmlns:c16="http://schemas.microsoft.com/office/drawing/2014/chart" uri="{C3380CC4-5D6E-409C-BE32-E72D297353CC}">
                <c16:uniqueId val="{00000001-41A2-4E28-8AF0-278E6B87329A}"/>
              </c:ext>
            </c:extLst>
          </c:dPt>
          <c:dLbls>
            <c:dLbl>
              <c:idx val="4"/>
              <c:spPr/>
              <c:txPr>
                <a:bodyPr/>
                <a:lstStyle/>
                <a:p>
                  <a:pPr>
                    <a:defRPr b="1">
                      <a:solidFill>
                        <a:schemeClr val="accent2"/>
                      </a:solidFill>
                    </a:defRPr>
                  </a:pPr>
                  <a:endParaRPr lang="pt-BR"/>
                </a:p>
              </c:txPr>
              <c:showLegendKey val="0"/>
              <c:showVal val="1"/>
              <c:showCatName val="0"/>
              <c:showSerName val="0"/>
              <c:showPercent val="0"/>
              <c:showBubbleSize val="0"/>
              <c:extLst>
                <c:ext xmlns:c16="http://schemas.microsoft.com/office/drawing/2014/chart" uri="{C3380CC4-5D6E-409C-BE32-E72D297353CC}">
                  <c16:uniqueId val="{00000001-41A2-4E28-8AF0-278E6B87329A}"/>
                </c:ext>
              </c:extLst>
            </c:dLbl>
            <c:spPr>
              <a:noFill/>
              <a:ln>
                <a:noFill/>
              </a:ln>
              <a:effectLst/>
            </c:spPr>
            <c:txPr>
              <a:bodyPr/>
              <a:lstStyle/>
              <a:p>
                <a:pPr>
                  <a:defRPr b="1">
                    <a:solidFill>
                      <a:schemeClr val="tx2"/>
                    </a:solidFill>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'OECD.Stat export'!$E$28:$E$42</c:f>
              <c:strCache>
                <c:ptCount val="15"/>
                <c:pt idx="0">
                  <c:v>Indonesia</c:v>
                </c:pt>
                <c:pt idx="1">
                  <c:v>Philippines</c:v>
                </c:pt>
                <c:pt idx="2">
                  <c:v>Malaysia</c:v>
                </c:pt>
                <c:pt idx="3">
                  <c:v>Hong Kong</c:v>
                </c:pt>
                <c:pt idx="4">
                  <c:v>Brazil</c:v>
                </c:pt>
                <c:pt idx="5">
                  <c:v>Korea</c:v>
                </c:pt>
                <c:pt idx="6">
                  <c:v>Argentina</c:v>
                </c:pt>
                <c:pt idx="7">
                  <c:v>Singapure</c:v>
                </c:pt>
                <c:pt idx="8">
                  <c:v>India</c:v>
                </c:pt>
                <c:pt idx="9">
                  <c:v>Thailand</c:v>
                </c:pt>
                <c:pt idx="10">
                  <c:v>South Africa</c:v>
                </c:pt>
                <c:pt idx="11">
                  <c:v>Turkey</c:v>
                </c:pt>
                <c:pt idx="12">
                  <c:v>Vietnam</c:v>
                </c:pt>
                <c:pt idx="13">
                  <c:v>China</c:v>
                </c:pt>
                <c:pt idx="14">
                  <c:v>Mexico</c:v>
                </c:pt>
              </c:strCache>
            </c:strRef>
          </c:cat>
          <c:val>
            <c:numRef>
              <c:f>'OECD.Stat export'!$D$28:$D$42</c:f>
              <c:numCache>
                <c:formatCode>0</c:formatCode>
                <c:ptCount val="15"/>
                <c:pt idx="0">
                  <c:v>29.309602739999974</c:v>
                </c:pt>
                <c:pt idx="1">
                  <c:v>28.278732299999966</c:v>
                </c:pt>
                <c:pt idx="2">
                  <c:v>27.6817627</c:v>
                </c:pt>
                <c:pt idx="3">
                  <c:v>27.29517555</c:v>
                </c:pt>
                <c:pt idx="4">
                  <c:v>27.174318310000018</c:v>
                </c:pt>
                <c:pt idx="5">
                  <c:v>24.386821749999999</c:v>
                </c:pt>
                <c:pt idx="6">
                  <c:v>22.54711914</c:v>
                </c:pt>
                <c:pt idx="7">
                  <c:v>20.738742829999964</c:v>
                </c:pt>
                <c:pt idx="8">
                  <c:v>20.348003389999974</c:v>
                </c:pt>
                <c:pt idx="9">
                  <c:v>18.288057329999987</c:v>
                </c:pt>
                <c:pt idx="10">
                  <c:v>17.332841869999999</c:v>
                </c:pt>
                <c:pt idx="11">
                  <c:v>15.937238689999999</c:v>
                </c:pt>
                <c:pt idx="12">
                  <c:v>14.702301029999999</c:v>
                </c:pt>
                <c:pt idx="13">
                  <c:v>13.426830290000014</c:v>
                </c:pt>
                <c:pt idx="14">
                  <c:v>11.463843350000003</c:v>
                </c:pt>
              </c:numCache>
            </c:numRef>
          </c:val>
          <c:extLst>
            <c:ext xmlns:c16="http://schemas.microsoft.com/office/drawing/2014/chart" uri="{C3380CC4-5D6E-409C-BE32-E72D297353CC}">
              <c16:uniqueId val="{00000002-41A2-4E28-8AF0-278E6B87329A}"/>
            </c:ext>
          </c:extLst>
        </c:ser>
        <c:dLbls>
          <c:showLegendKey val="0"/>
          <c:showVal val="0"/>
          <c:showCatName val="0"/>
          <c:showSerName val="0"/>
          <c:showPercent val="0"/>
          <c:showBubbleSize val="0"/>
        </c:dLbls>
        <c:gapWidth val="150"/>
        <c:axId val="674809440"/>
        <c:axId val="674809832"/>
      </c:barChart>
      <c:catAx>
        <c:axId val="674809440"/>
        <c:scaling>
          <c:orientation val="minMax"/>
        </c:scaling>
        <c:delete val="0"/>
        <c:axPos val="b"/>
        <c:numFmt formatCode="General" sourceLinked="0"/>
        <c:majorTickMark val="out"/>
        <c:minorTickMark val="none"/>
        <c:tickLblPos val="nextTo"/>
        <c:txPr>
          <a:bodyPr rot="-5400000" vert="horz"/>
          <a:lstStyle/>
          <a:p>
            <a:pPr>
              <a:defRPr sz="900"/>
            </a:pPr>
            <a:endParaRPr lang="pt-BR"/>
          </a:p>
        </c:txPr>
        <c:crossAx val="674809832"/>
        <c:crosses val="autoZero"/>
        <c:auto val="1"/>
        <c:lblAlgn val="ctr"/>
        <c:lblOffset val="100"/>
        <c:noMultiLvlLbl val="0"/>
      </c:catAx>
      <c:valAx>
        <c:axId val="674809832"/>
        <c:scaling>
          <c:orientation val="minMax"/>
          <c:max val="40"/>
        </c:scaling>
        <c:delete val="1"/>
        <c:axPos val="l"/>
        <c:numFmt formatCode="0" sourceLinked="1"/>
        <c:majorTickMark val="out"/>
        <c:minorTickMark val="none"/>
        <c:tickLblPos val="none"/>
        <c:crossAx val="674809440"/>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200"/>
            </a:pPr>
            <a:r>
              <a:rPr lang="en-US" sz="1200" b="1" i="0" baseline="0">
                <a:effectLst/>
              </a:rPr>
              <a:t>Figure 4: Foreign value added share of gross exports, 2009 - electric machinery and apparatus</a:t>
            </a:r>
            <a:endParaRPr lang="pt-BR" sz="1200">
              <a:effectLst/>
            </a:endParaRPr>
          </a:p>
        </c:rich>
      </c:tx>
      <c:overlay val="0"/>
    </c:title>
    <c:autoTitleDeleted val="0"/>
    <c:plotArea>
      <c:layout>
        <c:manualLayout>
          <c:layoutTarget val="inner"/>
          <c:xMode val="edge"/>
          <c:yMode val="edge"/>
          <c:x val="3.1584884376762497E-2"/>
          <c:y val="0.18450704225352099"/>
          <c:w val="0.95036661026508795"/>
          <c:h val="0.41696277401944526"/>
        </c:manualLayout>
      </c:layout>
      <c:barChart>
        <c:barDir val="col"/>
        <c:grouping val="clustered"/>
        <c:varyColors val="0"/>
        <c:ser>
          <c:idx val="0"/>
          <c:order val="0"/>
          <c:invertIfNegative val="0"/>
          <c:dPt>
            <c:idx val="19"/>
            <c:invertIfNegative val="0"/>
            <c:bubble3D val="0"/>
            <c:spPr>
              <a:solidFill>
                <a:schemeClr val="accent2"/>
              </a:solidFill>
            </c:spPr>
            <c:extLst>
              <c:ext xmlns:c16="http://schemas.microsoft.com/office/drawing/2014/chart" uri="{C3380CC4-5D6E-409C-BE32-E72D297353CC}">
                <c16:uniqueId val="{00000001-2757-4AD1-B27C-873D4A85C94C}"/>
              </c:ext>
            </c:extLst>
          </c:dPt>
          <c:dPt>
            <c:idx val="20"/>
            <c:invertIfNegative val="0"/>
            <c:bubble3D val="0"/>
            <c:spPr>
              <a:solidFill>
                <a:schemeClr val="accent1"/>
              </a:solidFill>
            </c:spPr>
            <c:extLst>
              <c:ext xmlns:c16="http://schemas.microsoft.com/office/drawing/2014/chart" uri="{C3380CC4-5D6E-409C-BE32-E72D297353CC}">
                <c16:uniqueId val="{00000003-2757-4AD1-B27C-873D4A85C94C}"/>
              </c:ext>
            </c:extLst>
          </c:dPt>
          <c:dLbls>
            <c:dLbl>
              <c:idx val="19"/>
              <c:numFmt formatCode="#,##0" sourceLinked="0"/>
              <c:spPr/>
              <c:txPr>
                <a:bodyPr/>
                <a:lstStyle/>
                <a:p>
                  <a:pPr>
                    <a:defRPr sz="1050" b="1">
                      <a:solidFill>
                        <a:schemeClr val="accent2"/>
                      </a:solidFill>
                    </a:defRPr>
                  </a:pPr>
                  <a:endParaRPr lang="pt-BR"/>
                </a:p>
              </c:txPr>
              <c:showLegendKey val="0"/>
              <c:showVal val="1"/>
              <c:showCatName val="0"/>
              <c:showSerName val="0"/>
              <c:showPercent val="0"/>
              <c:showBubbleSize val="0"/>
              <c:extLst>
                <c:ext xmlns:c16="http://schemas.microsoft.com/office/drawing/2014/chart" uri="{C3380CC4-5D6E-409C-BE32-E72D297353CC}">
                  <c16:uniqueId val="{00000001-2757-4AD1-B27C-873D4A85C94C}"/>
                </c:ext>
              </c:extLst>
            </c:dLbl>
            <c:numFmt formatCode="#,##0" sourceLinked="0"/>
            <c:spPr>
              <a:noFill/>
              <a:ln>
                <a:noFill/>
              </a:ln>
              <a:effectLst/>
            </c:spPr>
            <c:txPr>
              <a:bodyPr/>
              <a:lstStyle/>
              <a:p>
                <a:pPr>
                  <a:defRPr sz="1050" b="1">
                    <a:solidFill>
                      <a:schemeClr val="tx2"/>
                    </a:solidFill>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'OECD.Stat export'!$B$4:$B$24</c:f>
              <c:strCache>
                <c:ptCount val="21"/>
                <c:pt idx="0">
                  <c:v> Vietnam</c:v>
                </c:pt>
                <c:pt idx="1">
                  <c:v> Malaysia</c:v>
                </c:pt>
                <c:pt idx="2">
                  <c:v> Thailand</c:v>
                </c:pt>
                <c:pt idx="3">
                  <c:v> Singapore</c:v>
                </c:pt>
                <c:pt idx="4">
                  <c:v> China</c:v>
                </c:pt>
                <c:pt idx="5">
                  <c:v> Mexico</c:v>
                </c:pt>
                <c:pt idx="6">
                  <c:v> Costa Rica</c:v>
                </c:pt>
                <c:pt idx="7">
                  <c:v> Canada</c:v>
                </c:pt>
                <c:pt idx="8">
                  <c:v> Korea</c:v>
                </c:pt>
                <c:pt idx="9">
                  <c:v> United Kingdom</c:v>
                </c:pt>
                <c:pt idx="10">
                  <c:v> India</c:v>
                </c:pt>
                <c:pt idx="11">
                  <c:v> South Africa</c:v>
                </c:pt>
                <c:pt idx="12">
                  <c:v> France</c:v>
                </c:pt>
                <c:pt idx="13">
                  <c:v> Russia</c:v>
                </c:pt>
                <c:pt idx="14">
                  <c:v> Australia</c:v>
                </c:pt>
                <c:pt idx="15">
                  <c:v> Germany</c:v>
                </c:pt>
                <c:pt idx="16">
                  <c:v> Indonesia</c:v>
                </c:pt>
                <c:pt idx="17">
                  <c:v>USA</c:v>
                </c:pt>
                <c:pt idx="18">
                  <c:v> Argentina</c:v>
                </c:pt>
                <c:pt idx="19">
                  <c:v> Brazil</c:v>
                </c:pt>
                <c:pt idx="20">
                  <c:v> Japan</c:v>
                </c:pt>
              </c:strCache>
            </c:strRef>
          </c:cat>
          <c:val>
            <c:numRef>
              <c:f>'OECD.Stat export'!$K$4:$K$24</c:f>
              <c:numCache>
                <c:formatCode>General</c:formatCode>
                <c:ptCount val="21"/>
                <c:pt idx="0">
                  <c:v>66.39</c:v>
                </c:pt>
                <c:pt idx="1">
                  <c:v>62.220000000000013</c:v>
                </c:pt>
                <c:pt idx="2">
                  <c:v>53.42</c:v>
                </c:pt>
                <c:pt idx="3">
                  <c:v>52.55</c:v>
                </c:pt>
                <c:pt idx="4">
                  <c:v>48.63</c:v>
                </c:pt>
                <c:pt idx="5">
                  <c:v>47.720000000000013</c:v>
                </c:pt>
                <c:pt idx="6">
                  <c:v>41.51</c:v>
                </c:pt>
                <c:pt idx="7">
                  <c:v>38.700000000000003</c:v>
                </c:pt>
                <c:pt idx="8">
                  <c:v>38.290000000000013</c:v>
                </c:pt>
                <c:pt idx="9">
                  <c:v>35.380000000000003</c:v>
                </c:pt>
                <c:pt idx="10">
                  <c:v>33.96</c:v>
                </c:pt>
                <c:pt idx="11">
                  <c:v>32.43</c:v>
                </c:pt>
                <c:pt idx="12">
                  <c:v>32.17</c:v>
                </c:pt>
                <c:pt idx="13">
                  <c:v>31.14</c:v>
                </c:pt>
                <c:pt idx="14">
                  <c:v>29.73</c:v>
                </c:pt>
                <c:pt idx="15">
                  <c:v>25.8</c:v>
                </c:pt>
                <c:pt idx="16">
                  <c:v>25.77</c:v>
                </c:pt>
                <c:pt idx="17">
                  <c:v>22.39</c:v>
                </c:pt>
                <c:pt idx="18">
                  <c:v>20.18</c:v>
                </c:pt>
                <c:pt idx="19">
                  <c:v>16.079999999999988</c:v>
                </c:pt>
                <c:pt idx="20">
                  <c:v>15.51</c:v>
                </c:pt>
              </c:numCache>
            </c:numRef>
          </c:val>
          <c:extLst>
            <c:ext xmlns:c16="http://schemas.microsoft.com/office/drawing/2014/chart" uri="{C3380CC4-5D6E-409C-BE32-E72D297353CC}">
              <c16:uniqueId val="{00000004-2757-4AD1-B27C-873D4A85C94C}"/>
            </c:ext>
          </c:extLst>
        </c:ser>
        <c:ser>
          <c:idx val="1"/>
          <c:order val="1"/>
          <c:invertIfNegative val="0"/>
          <c:cat>
            <c:strRef>
              <c:f>'OECD.Stat export'!$B$4:$B$24</c:f>
              <c:strCache>
                <c:ptCount val="21"/>
                <c:pt idx="0">
                  <c:v> Vietnam</c:v>
                </c:pt>
                <c:pt idx="1">
                  <c:v> Malaysia</c:v>
                </c:pt>
                <c:pt idx="2">
                  <c:v> Thailand</c:v>
                </c:pt>
                <c:pt idx="3">
                  <c:v> Singapore</c:v>
                </c:pt>
                <c:pt idx="4">
                  <c:v> China</c:v>
                </c:pt>
                <c:pt idx="5">
                  <c:v> Mexico</c:v>
                </c:pt>
                <c:pt idx="6">
                  <c:v> Costa Rica</c:v>
                </c:pt>
                <c:pt idx="7">
                  <c:v> Canada</c:v>
                </c:pt>
                <c:pt idx="8">
                  <c:v> Korea</c:v>
                </c:pt>
                <c:pt idx="9">
                  <c:v> United Kingdom</c:v>
                </c:pt>
                <c:pt idx="10">
                  <c:v> India</c:v>
                </c:pt>
                <c:pt idx="11">
                  <c:v> South Africa</c:v>
                </c:pt>
                <c:pt idx="12">
                  <c:v> France</c:v>
                </c:pt>
                <c:pt idx="13">
                  <c:v> Russia</c:v>
                </c:pt>
                <c:pt idx="14">
                  <c:v> Australia</c:v>
                </c:pt>
                <c:pt idx="15">
                  <c:v> Germany</c:v>
                </c:pt>
                <c:pt idx="16">
                  <c:v> Indonesia</c:v>
                </c:pt>
                <c:pt idx="17">
                  <c:v>USA</c:v>
                </c:pt>
                <c:pt idx="18">
                  <c:v> Argentina</c:v>
                </c:pt>
                <c:pt idx="19">
                  <c:v> Brazil</c:v>
                </c:pt>
                <c:pt idx="20">
                  <c:v> Japan</c:v>
                </c:pt>
              </c:strCache>
            </c:strRef>
          </c:cat>
          <c:val>
            <c:numRef>
              <c:f>'OECD.Stat export'!$L$4:$L$24</c:f>
              <c:numCache>
                <c:formatCode>General</c:formatCode>
                <c:ptCount val="21"/>
              </c:numCache>
            </c:numRef>
          </c:val>
          <c:extLst>
            <c:ext xmlns:c16="http://schemas.microsoft.com/office/drawing/2014/chart" uri="{C3380CC4-5D6E-409C-BE32-E72D297353CC}">
              <c16:uniqueId val="{00000005-2757-4AD1-B27C-873D4A85C94C}"/>
            </c:ext>
          </c:extLst>
        </c:ser>
        <c:dLbls>
          <c:showLegendKey val="0"/>
          <c:showVal val="0"/>
          <c:showCatName val="0"/>
          <c:showSerName val="0"/>
          <c:showPercent val="0"/>
          <c:showBubbleSize val="0"/>
        </c:dLbls>
        <c:gapWidth val="150"/>
        <c:axId val="599268112"/>
        <c:axId val="599268504"/>
      </c:barChart>
      <c:catAx>
        <c:axId val="599268112"/>
        <c:scaling>
          <c:orientation val="minMax"/>
        </c:scaling>
        <c:delete val="0"/>
        <c:axPos val="b"/>
        <c:numFmt formatCode="General" sourceLinked="0"/>
        <c:majorTickMark val="out"/>
        <c:minorTickMark val="none"/>
        <c:tickLblPos val="nextTo"/>
        <c:txPr>
          <a:bodyPr rot="-5400000" vert="horz"/>
          <a:lstStyle/>
          <a:p>
            <a:pPr>
              <a:defRPr sz="900"/>
            </a:pPr>
            <a:endParaRPr lang="pt-BR"/>
          </a:p>
        </c:txPr>
        <c:crossAx val="599268504"/>
        <c:crosses val="autoZero"/>
        <c:auto val="1"/>
        <c:lblAlgn val="ctr"/>
        <c:lblOffset val="100"/>
        <c:noMultiLvlLbl val="0"/>
      </c:catAx>
      <c:valAx>
        <c:axId val="599268504"/>
        <c:scaling>
          <c:orientation val="minMax"/>
        </c:scaling>
        <c:delete val="1"/>
        <c:axPos val="l"/>
        <c:numFmt formatCode="General" sourceLinked="1"/>
        <c:majorTickMark val="out"/>
        <c:minorTickMark val="none"/>
        <c:tickLblPos val="none"/>
        <c:crossAx val="599268112"/>
        <c:crosses val="autoZero"/>
        <c:crossBetween val="between"/>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ysClr val="windowText" lastClr="000000"/>
                </a:solidFill>
                <a:latin typeface="+mn-lt"/>
                <a:ea typeface="+mn-ea"/>
                <a:cs typeface="+mn-cs"/>
              </a:defRPr>
            </a:pPr>
            <a:r>
              <a:rPr lang="pt-BR" sz="1100" b="1">
                <a:solidFill>
                  <a:sysClr val="windowText" lastClr="000000"/>
                </a:solidFill>
              </a:rPr>
              <a:t>Figure 5</a:t>
            </a:r>
            <a:r>
              <a:rPr lang="pt-BR" sz="1100" b="1" baseline="0">
                <a:solidFill>
                  <a:sysClr val="windowText" lastClr="000000"/>
                </a:solidFill>
              </a:rPr>
              <a:t>: Export coefficient and import penetration coefficient (manufacturing industry) </a:t>
            </a:r>
            <a:endParaRPr lang="pt-BR" sz="1100" b="1">
              <a:solidFill>
                <a:sysClr val="windowText" lastClr="000000"/>
              </a:solidFill>
            </a:endParaRPr>
          </a:p>
        </c:rich>
      </c:tx>
      <c:overlay val="0"/>
      <c:spPr>
        <a:noFill/>
        <a:ln>
          <a:noFill/>
        </a:ln>
        <a:effectLst/>
      </c:spPr>
    </c:title>
    <c:autoTitleDeleted val="0"/>
    <c:plotArea>
      <c:layout>
        <c:manualLayout>
          <c:layoutTarget val="inner"/>
          <c:xMode val="edge"/>
          <c:yMode val="edge"/>
          <c:x val="0.125341878277485"/>
          <c:y val="0.20932844932844899"/>
          <c:w val="0.79558518375387099"/>
          <c:h val="0.52029746281714773"/>
        </c:manualLayout>
      </c:layout>
      <c:lineChart>
        <c:grouping val="standard"/>
        <c:varyColors val="0"/>
        <c:ser>
          <c:idx val="0"/>
          <c:order val="0"/>
          <c:tx>
            <c:strRef>
              <c:f>Linhas!$G$21</c:f>
              <c:strCache>
                <c:ptCount val="1"/>
                <c:pt idx="0">
                  <c:v>Import penetration coefficient</c:v>
                </c:pt>
              </c:strCache>
            </c:strRef>
          </c:tx>
          <c:spPr>
            <a:ln w="28575" cap="rnd">
              <a:solidFill>
                <a:schemeClr val="accent1"/>
              </a:solidFill>
              <a:round/>
            </a:ln>
            <a:effectLst/>
          </c:spPr>
          <c:marker>
            <c:symbol val="none"/>
          </c:marker>
          <c:cat>
            <c:numRef>
              <c:f>Linhas!$F$22:$F$34</c:f>
              <c:numCache>
                <c:formatCode>General</c:formatCode>
                <c:ptCount val="13"/>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numCache>
            </c:numRef>
          </c:cat>
          <c:val>
            <c:numRef>
              <c:f>Linhas!$G$22:$G$34</c:f>
              <c:numCache>
                <c:formatCode>#,##0.00</c:formatCode>
                <c:ptCount val="13"/>
                <c:pt idx="0">
                  <c:v>10.3</c:v>
                </c:pt>
                <c:pt idx="1">
                  <c:v>11.2</c:v>
                </c:pt>
                <c:pt idx="2">
                  <c:v>12.7</c:v>
                </c:pt>
                <c:pt idx="3">
                  <c:v>14</c:v>
                </c:pt>
                <c:pt idx="4">
                  <c:v>15.3</c:v>
                </c:pt>
                <c:pt idx="5">
                  <c:v>16.600000000000001</c:v>
                </c:pt>
                <c:pt idx="6">
                  <c:v>15.1</c:v>
                </c:pt>
                <c:pt idx="7">
                  <c:v>18</c:v>
                </c:pt>
                <c:pt idx="8">
                  <c:v>18.8</c:v>
                </c:pt>
                <c:pt idx="9">
                  <c:v>18</c:v>
                </c:pt>
                <c:pt idx="10">
                  <c:v>18.2</c:v>
                </c:pt>
                <c:pt idx="11">
                  <c:v>17.8</c:v>
                </c:pt>
                <c:pt idx="12">
                  <c:v>17.3</c:v>
                </c:pt>
              </c:numCache>
            </c:numRef>
          </c:val>
          <c:smooth val="0"/>
          <c:extLst>
            <c:ext xmlns:c16="http://schemas.microsoft.com/office/drawing/2014/chart" uri="{C3380CC4-5D6E-409C-BE32-E72D297353CC}">
              <c16:uniqueId val="{00000000-B19C-49F1-ADAD-813654E52DC1}"/>
            </c:ext>
          </c:extLst>
        </c:ser>
        <c:ser>
          <c:idx val="1"/>
          <c:order val="1"/>
          <c:tx>
            <c:strRef>
              <c:f>Linhas!$H$21</c:f>
              <c:strCache>
                <c:ptCount val="1"/>
                <c:pt idx="0">
                  <c:v>Export coefficient</c:v>
                </c:pt>
              </c:strCache>
            </c:strRef>
          </c:tx>
          <c:spPr>
            <a:ln w="28575" cap="rnd">
              <a:solidFill>
                <a:schemeClr val="accent2"/>
              </a:solidFill>
              <a:round/>
            </a:ln>
            <a:effectLst/>
          </c:spPr>
          <c:marker>
            <c:symbol val="none"/>
          </c:marker>
          <c:cat>
            <c:numRef>
              <c:f>Linhas!$F$22:$F$34</c:f>
              <c:numCache>
                <c:formatCode>General</c:formatCode>
                <c:ptCount val="13"/>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numCache>
            </c:numRef>
          </c:cat>
          <c:val>
            <c:numRef>
              <c:f>Linhas!$H$22:$H$34</c:f>
              <c:numCache>
                <c:formatCode>#,##0.00</c:formatCode>
                <c:ptCount val="13"/>
                <c:pt idx="0">
                  <c:v>15.7</c:v>
                </c:pt>
                <c:pt idx="1">
                  <c:v>17.5</c:v>
                </c:pt>
                <c:pt idx="2">
                  <c:v>19.7</c:v>
                </c:pt>
                <c:pt idx="3">
                  <c:v>19.100000000000001</c:v>
                </c:pt>
                <c:pt idx="4">
                  <c:v>18</c:v>
                </c:pt>
                <c:pt idx="5">
                  <c:v>16.100000000000001</c:v>
                </c:pt>
                <c:pt idx="6">
                  <c:v>14.6</c:v>
                </c:pt>
                <c:pt idx="7">
                  <c:v>13.7</c:v>
                </c:pt>
                <c:pt idx="8">
                  <c:v>13.5</c:v>
                </c:pt>
                <c:pt idx="9">
                  <c:v>13.1</c:v>
                </c:pt>
                <c:pt idx="10">
                  <c:v>13</c:v>
                </c:pt>
                <c:pt idx="11">
                  <c:v>12.1</c:v>
                </c:pt>
                <c:pt idx="12">
                  <c:v>14.3</c:v>
                </c:pt>
              </c:numCache>
            </c:numRef>
          </c:val>
          <c:smooth val="0"/>
          <c:extLst>
            <c:ext xmlns:c16="http://schemas.microsoft.com/office/drawing/2014/chart" uri="{C3380CC4-5D6E-409C-BE32-E72D297353CC}">
              <c16:uniqueId val="{00000001-B19C-49F1-ADAD-813654E52DC1}"/>
            </c:ext>
          </c:extLst>
        </c:ser>
        <c:dLbls>
          <c:showLegendKey val="0"/>
          <c:showVal val="0"/>
          <c:showCatName val="0"/>
          <c:showSerName val="0"/>
          <c:showPercent val="0"/>
          <c:showBubbleSize val="0"/>
        </c:dLbls>
        <c:smooth val="0"/>
        <c:axId val="667950568"/>
        <c:axId val="667951352"/>
      </c:lineChart>
      <c:catAx>
        <c:axId val="667950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667951352"/>
        <c:crosses val="autoZero"/>
        <c:auto val="1"/>
        <c:lblAlgn val="ctr"/>
        <c:lblOffset val="100"/>
        <c:noMultiLvlLbl val="0"/>
      </c:catAx>
      <c:valAx>
        <c:axId val="6679513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667950568"/>
        <c:crosses val="autoZero"/>
        <c:crossBetween val="between"/>
      </c:valAx>
      <c:spPr>
        <a:noFill/>
        <a:ln>
          <a:noFill/>
        </a:ln>
        <a:effectLst/>
      </c:spPr>
    </c:plotArea>
    <c:legend>
      <c:legendPos val="b"/>
      <c:layout>
        <c:manualLayout>
          <c:xMode val="edge"/>
          <c:yMode val="edge"/>
          <c:x val="0.21546656361206407"/>
          <c:y val="0.82269252057778519"/>
          <c:w val="0.73266605477996183"/>
          <c:h val="8.241815926855296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pt-BR"/>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Figure 6: Brazil's terms</a:t>
            </a:r>
            <a:r>
              <a:rPr lang="en-US" sz="1200" baseline="0"/>
              <a:t> of trade index </a:t>
            </a:r>
            <a:r>
              <a:rPr lang="en-US" sz="1200"/>
              <a:t>X Commodity price index</a:t>
            </a:r>
          </a:p>
        </c:rich>
      </c:tx>
      <c:overlay val="0"/>
    </c:title>
    <c:autoTitleDeleted val="0"/>
    <c:plotArea>
      <c:layout>
        <c:manualLayout>
          <c:layoutTarget val="inner"/>
          <c:xMode val="edge"/>
          <c:yMode val="edge"/>
          <c:x val="7.9919639674670334E-2"/>
          <c:y val="0.18004683750778411"/>
          <c:w val="0.81664514157952528"/>
          <c:h val="0.55521509506433597"/>
        </c:manualLayout>
      </c:layout>
      <c:lineChart>
        <c:grouping val="standard"/>
        <c:varyColors val="0"/>
        <c:ser>
          <c:idx val="0"/>
          <c:order val="0"/>
          <c:tx>
            <c:strRef>
              <c:f>Séries!$B$167</c:f>
              <c:strCache>
                <c:ptCount val="1"/>
                <c:pt idx="0">
                  <c:v>Terms of trade</c:v>
                </c:pt>
              </c:strCache>
            </c:strRef>
          </c:tx>
          <c:marker>
            <c:symbol val="none"/>
          </c:marker>
          <c:cat>
            <c:strRef>
              <c:f>Séries!$A$157:$A$166</c:f>
              <c:strCache>
                <c:ptCount val="10"/>
                <c:pt idx="0">
                  <c:v>2005</c:v>
                </c:pt>
                <c:pt idx="1">
                  <c:v>2006</c:v>
                </c:pt>
                <c:pt idx="2">
                  <c:v>2007</c:v>
                </c:pt>
                <c:pt idx="3">
                  <c:v>2008</c:v>
                </c:pt>
                <c:pt idx="4">
                  <c:v>2009</c:v>
                </c:pt>
                <c:pt idx="5">
                  <c:v>2010</c:v>
                </c:pt>
                <c:pt idx="6">
                  <c:v>2011</c:v>
                </c:pt>
                <c:pt idx="7">
                  <c:v>2012</c:v>
                </c:pt>
                <c:pt idx="8">
                  <c:v>2013</c:v>
                </c:pt>
                <c:pt idx="9">
                  <c:v>2014</c:v>
                </c:pt>
              </c:strCache>
            </c:strRef>
          </c:cat>
          <c:val>
            <c:numRef>
              <c:f>Séries!$B$157:$B$166</c:f>
              <c:numCache>
                <c:formatCode>#.##00</c:formatCode>
                <c:ptCount val="10"/>
                <c:pt idx="0">
                  <c:v>94.990000000000023</c:v>
                </c:pt>
                <c:pt idx="1">
                  <c:v>100</c:v>
                </c:pt>
                <c:pt idx="2">
                  <c:v>102.1</c:v>
                </c:pt>
                <c:pt idx="3">
                  <c:v>105.89</c:v>
                </c:pt>
                <c:pt idx="4">
                  <c:v>103.17999999999998</c:v>
                </c:pt>
                <c:pt idx="5">
                  <c:v>119.7</c:v>
                </c:pt>
                <c:pt idx="6">
                  <c:v>129.04</c:v>
                </c:pt>
                <c:pt idx="7">
                  <c:v>121.51</c:v>
                </c:pt>
                <c:pt idx="8">
                  <c:v>119.03</c:v>
                </c:pt>
                <c:pt idx="9">
                  <c:v>115</c:v>
                </c:pt>
              </c:numCache>
            </c:numRef>
          </c:val>
          <c:smooth val="0"/>
          <c:extLst>
            <c:ext xmlns:c16="http://schemas.microsoft.com/office/drawing/2014/chart" uri="{C3380CC4-5D6E-409C-BE32-E72D297353CC}">
              <c16:uniqueId val="{00000000-541D-43A8-901C-D4C132CA044D}"/>
            </c:ext>
          </c:extLst>
        </c:ser>
        <c:dLbls>
          <c:showLegendKey val="0"/>
          <c:showVal val="0"/>
          <c:showCatName val="0"/>
          <c:showSerName val="0"/>
          <c:showPercent val="0"/>
          <c:showBubbleSize val="0"/>
        </c:dLbls>
        <c:marker val="1"/>
        <c:smooth val="0"/>
        <c:axId val="666201192"/>
        <c:axId val="666198840"/>
      </c:lineChart>
      <c:lineChart>
        <c:grouping val="standard"/>
        <c:varyColors val="0"/>
        <c:ser>
          <c:idx val="1"/>
          <c:order val="1"/>
          <c:tx>
            <c:strRef>
              <c:f>Séries!$C$167</c:f>
              <c:strCache>
                <c:ptCount val="1"/>
                <c:pt idx="0">
                  <c:v>Commodity price</c:v>
                </c:pt>
              </c:strCache>
            </c:strRef>
          </c:tx>
          <c:marker>
            <c:symbol val="none"/>
          </c:marker>
          <c:cat>
            <c:strRef>
              <c:f>Séries!$A$157:$A$166</c:f>
              <c:strCache>
                <c:ptCount val="10"/>
                <c:pt idx="0">
                  <c:v>2005</c:v>
                </c:pt>
                <c:pt idx="1">
                  <c:v>2006</c:v>
                </c:pt>
                <c:pt idx="2">
                  <c:v>2007</c:v>
                </c:pt>
                <c:pt idx="3">
                  <c:v>2008</c:v>
                </c:pt>
                <c:pt idx="4">
                  <c:v>2009</c:v>
                </c:pt>
                <c:pt idx="5">
                  <c:v>2010</c:v>
                </c:pt>
                <c:pt idx="6">
                  <c:v>2011</c:v>
                </c:pt>
                <c:pt idx="7">
                  <c:v>2012</c:v>
                </c:pt>
                <c:pt idx="8">
                  <c:v>2013</c:v>
                </c:pt>
                <c:pt idx="9">
                  <c:v>2014</c:v>
                </c:pt>
              </c:strCache>
            </c:strRef>
          </c:cat>
          <c:val>
            <c:numRef>
              <c:f>Séries!$C$157:$C$166</c:f>
              <c:numCache>
                <c:formatCode>General</c:formatCode>
                <c:ptCount val="10"/>
                <c:pt idx="0">
                  <c:v>100</c:v>
                </c:pt>
                <c:pt idx="1">
                  <c:v>120.8</c:v>
                </c:pt>
                <c:pt idx="2">
                  <c:v>134.9</c:v>
                </c:pt>
                <c:pt idx="3">
                  <c:v>172.4</c:v>
                </c:pt>
                <c:pt idx="4">
                  <c:v>120.7</c:v>
                </c:pt>
                <c:pt idx="5">
                  <c:v>152.30000000000001</c:v>
                </c:pt>
                <c:pt idx="6">
                  <c:v>192.4</c:v>
                </c:pt>
                <c:pt idx="7">
                  <c:v>186.3</c:v>
                </c:pt>
                <c:pt idx="8">
                  <c:v>183.3</c:v>
                </c:pt>
                <c:pt idx="9">
                  <c:v>171.8</c:v>
                </c:pt>
              </c:numCache>
            </c:numRef>
          </c:val>
          <c:smooth val="0"/>
          <c:extLst>
            <c:ext xmlns:c16="http://schemas.microsoft.com/office/drawing/2014/chart" uri="{C3380CC4-5D6E-409C-BE32-E72D297353CC}">
              <c16:uniqueId val="{00000001-541D-43A8-901C-D4C132CA044D}"/>
            </c:ext>
          </c:extLst>
        </c:ser>
        <c:dLbls>
          <c:showLegendKey val="0"/>
          <c:showVal val="0"/>
          <c:showCatName val="0"/>
          <c:showSerName val="0"/>
          <c:showPercent val="0"/>
          <c:showBubbleSize val="0"/>
        </c:dLbls>
        <c:marker val="1"/>
        <c:smooth val="0"/>
        <c:axId val="666199624"/>
        <c:axId val="666199232"/>
      </c:lineChart>
      <c:catAx>
        <c:axId val="666201192"/>
        <c:scaling>
          <c:orientation val="minMax"/>
        </c:scaling>
        <c:delete val="0"/>
        <c:axPos val="b"/>
        <c:numFmt formatCode="General" sourceLinked="0"/>
        <c:majorTickMark val="out"/>
        <c:minorTickMark val="none"/>
        <c:tickLblPos val="nextTo"/>
        <c:crossAx val="666198840"/>
        <c:crosses val="autoZero"/>
        <c:auto val="1"/>
        <c:lblAlgn val="ctr"/>
        <c:lblOffset val="100"/>
        <c:noMultiLvlLbl val="0"/>
      </c:catAx>
      <c:valAx>
        <c:axId val="666198840"/>
        <c:scaling>
          <c:orientation val="minMax"/>
          <c:max val="140"/>
          <c:min val="90"/>
        </c:scaling>
        <c:delete val="0"/>
        <c:axPos val="l"/>
        <c:majorGridlines/>
        <c:numFmt formatCode="#,##0" sourceLinked="0"/>
        <c:majorTickMark val="out"/>
        <c:minorTickMark val="none"/>
        <c:tickLblPos val="nextTo"/>
        <c:txPr>
          <a:bodyPr/>
          <a:lstStyle/>
          <a:p>
            <a:pPr>
              <a:defRPr b="1">
                <a:solidFill>
                  <a:schemeClr val="accent1"/>
                </a:solidFill>
              </a:defRPr>
            </a:pPr>
            <a:endParaRPr lang="pt-BR"/>
          </a:p>
        </c:txPr>
        <c:crossAx val="666201192"/>
        <c:crosses val="autoZero"/>
        <c:crossBetween val="between"/>
      </c:valAx>
      <c:valAx>
        <c:axId val="666199232"/>
        <c:scaling>
          <c:orientation val="minMax"/>
          <c:max val="250"/>
          <c:min val="90"/>
        </c:scaling>
        <c:delete val="0"/>
        <c:axPos val="r"/>
        <c:numFmt formatCode="General" sourceLinked="1"/>
        <c:majorTickMark val="out"/>
        <c:minorTickMark val="none"/>
        <c:tickLblPos val="nextTo"/>
        <c:txPr>
          <a:bodyPr/>
          <a:lstStyle/>
          <a:p>
            <a:pPr>
              <a:defRPr b="1">
                <a:solidFill>
                  <a:schemeClr val="accent2"/>
                </a:solidFill>
              </a:defRPr>
            </a:pPr>
            <a:endParaRPr lang="pt-BR"/>
          </a:p>
        </c:txPr>
        <c:crossAx val="666199624"/>
        <c:crosses val="max"/>
        <c:crossBetween val="between"/>
      </c:valAx>
      <c:catAx>
        <c:axId val="666199624"/>
        <c:scaling>
          <c:orientation val="minMax"/>
        </c:scaling>
        <c:delete val="1"/>
        <c:axPos val="b"/>
        <c:numFmt formatCode="General" sourceLinked="1"/>
        <c:majorTickMark val="out"/>
        <c:minorTickMark val="none"/>
        <c:tickLblPos val="none"/>
        <c:crossAx val="666199232"/>
        <c:crosses val="autoZero"/>
        <c:auto val="1"/>
        <c:lblAlgn val="ctr"/>
        <c:lblOffset val="100"/>
        <c:noMultiLvlLbl val="0"/>
      </c:catAx>
    </c:plotArea>
    <c:legend>
      <c:legendPos val="b"/>
      <c:layout>
        <c:manualLayout>
          <c:xMode val="edge"/>
          <c:yMode val="edge"/>
          <c:x val="0.23748994338670606"/>
          <c:y val="0.86145157160232999"/>
          <c:w val="0.50150434899341279"/>
          <c:h val="7.3507777991165812E-2"/>
        </c:manualLayout>
      </c:layout>
      <c:overlay val="0"/>
    </c:legend>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pt-BR" sz="1100" b="1" i="0" baseline="0">
                <a:effectLst/>
              </a:rPr>
              <a:t>Figure 7: LAC's manufacturing imports from China X Brazilian manufacturing exports</a:t>
            </a:r>
            <a:endParaRPr lang="pt-BR" sz="1100">
              <a:effectLst/>
            </a:endParaRPr>
          </a:p>
        </c:rich>
      </c:tx>
      <c:layout>
        <c:manualLayout>
          <c:xMode val="edge"/>
          <c:yMode val="edge"/>
          <c:x val="0.17055644205573106"/>
          <c:y val="1.69455623808515E-2"/>
        </c:manualLayout>
      </c:layout>
      <c:overlay val="0"/>
    </c:title>
    <c:autoTitleDeleted val="0"/>
    <c:plotArea>
      <c:layout>
        <c:manualLayout>
          <c:layoutTarget val="inner"/>
          <c:xMode val="edge"/>
          <c:yMode val="edge"/>
          <c:x val="0.112217968447111"/>
          <c:y val="0.22569320859887201"/>
          <c:w val="0.76858585540135205"/>
          <c:h val="0.4451113129319379"/>
        </c:manualLayout>
      </c:layout>
      <c:lineChart>
        <c:grouping val="standard"/>
        <c:varyColors val="0"/>
        <c:ser>
          <c:idx val="1"/>
          <c:order val="0"/>
          <c:tx>
            <c:strRef>
              <c:f>Plan1!$L$26</c:f>
              <c:strCache>
                <c:ptCount val="1"/>
                <c:pt idx="0">
                  <c:v>Share of manufacturing in brazilian exports</c:v>
                </c:pt>
              </c:strCache>
            </c:strRef>
          </c:tx>
          <c:marker>
            <c:symbol val="none"/>
          </c:marker>
          <c:cat>
            <c:numRef>
              <c:f>Plan1!$A$7:$A$16</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Plan1!$D$7:$D$16</c:f>
              <c:numCache>
                <c:formatCode>0%</c:formatCode>
                <c:ptCount val="10"/>
                <c:pt idx="0">
                  <c:v>0.55063055752780921</c:v>
                </c:pt>
                <c:pt idx="1">
                  <c:v>0.54437002474475182</c:v>
                </c:pt>
                <c:pt idx="2">
                  <c:v>0.52252426096645477</c:v>
                </c:pt>
                <c:pt idx="3">
                  <c:v>0.46822806680744922</c:v>
                </c:pt>
                <c:pt idx="4">
                  <c:v>0.44020392823294902</c:v>
                </c:pt>
                <c:pt idx="5">
                  <c:v>0.39403969153200413</c:v>
                </c:pt>
                <c:pt idx="6">
                  <c:v>0.36294813729441622</c:v>
                </c:pt>
                <c:pt idx="7">
                  <c:v>0.37463413829778502</c:v>
                </c:pt>
                <c:pt idx="8">
                  <c:v>0.38731681937740337</c:v>
                </c:pt>
                <c:pt idx="9">
                  <c:v>0.36287710849796312</c:v>
                </c:pt>
              </c:numCache>
            </c:numRef>
          </c:val>
          <c:smooth val="0"/>
          <c:extLst>
            <c:ext xmlns:c16="http://schemas.microsoft.com/office/drawing/2014/chart" uri="{C3380CC4-5D6E-409C-BE32-E72D297353CC}">
              <c16:uniqueId val="{00000000-EBB3-4F49-919D-023451A41217}"/>
            </c:ext>
          </c:extLst>
        </c:ser>
        <c:dLbls>
          <c:showLegendKey val="0"/>
          <c:showVal val="0"/>
          <c:showCatName val="0"/>
          <c:showSerName val="0"/>
          <c:showPercent val="0"/>
          <c:showBubbleSize val="0"/>
        </c:dLbls>
        <c:marker val="1"/>
        <c:smooth val="0"/>
        <c:axId val="666201976"/>
        <c:axId val="666201584"/>
      </c:lineChart>
      <c:lineChart>
        <c:grouping val="standard"/>
        <c:varyColors val="0"/>
        <c:ser>
          <c:idx val="3"/>
          <c:order val="1"/>
          <c:tx>
            <c:strRef>
              <c:f>Plan1!$L$27</c:f>
              <c:strCache>
                <c:ptCount val="1"/>
                <c:pt idx="0">
                  <c:v>Share of chineses manufacturing in LAC's imports</c:v>
                </c:pt>
              </c:strCache>
            </c:strRef>
          </c:tx>
          <c:spPr>
            <a:ln>
              <a:solidFill>
                <a:schemeClr val="tx2"/>
              </a:solidFill>
            </a:ln>
          </c:spPr>
          <c:marker>
            <c:symbol val="none"/>
          </c:marker>
          <c:cat>
            <c:numRef>
              <c:f>Plan1!$A$7:$A$16</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Plan1!$M$23:$V$23</c:f>
              <c:numCache>
                <c:formatCode>0.0%</c:formatCode>
                <c:ptCount val="10"/>
                <c:pt idx="0">
                  <c:v>7.2056564222709424E-2</c:v>
                </c:pt>
                <c:pt idx="1">
                  <c:v>9.017486404882924E-2</c:v>
                </c:pt>
                <c:pt idx="2">
                  <c:v>9.2898300563983641E-2</c:v>
                </c:pt>
                <c:pt idx="3">
                  <c:v>0.11180414179343702</c:v>
                </c:pt>
                <c:pt idx="4">
                  <c:v>0.12430684777141908</c:v>
                </c:pt>
                <c:pt idx="5">
                  <c:v>0.141343541271817</c:v>
                </c:pt>
                <c:pt idx="6">
                  <c:v>0.14439129173957399</c:v>
                </c:pt>
                <c:pt idx="7">
                  <c:v>0.14777824901461001</c:v>
                </c:pt>
                <c:pt idx="8">
                  <c:v>0.15609360627264501</c:v>
                </c:pt>
                <c:pt idx="9">
                  <c:v>0.16447398958352399</c:v>
                </c:pt>
              </c:numCache>
            </c:numRef>
          </c:val>
          <c:smooth val="0"/>
          <c:extLst>
            <c:ext xmlns:c16="http://schemas.microsoft.com/office/drawing/2014/chart" uri="{C3380CC4-5D6E-409C-BE32-E72D297353CC}">
              <c16:uniqueId val="{00000001-EBB3-4F49-919D-023451A41217}"/>
            </c:ext>
          </c:extLst>
        </c:ser>
        <c:dLbls>
          <c:showLegendKey val="0"/>
          <c:showVal val="0"/>
          <c:showCatName val="0"/>
          <c:showSerName val="0"/>
          <c:showPercent val="0"/>
          <c:showBubbleSize val="0"/>
        </c:dLbls>
        <c:marker val="1"/>
        <c:smooth val="0"/>
        <c:axId val="666200800"/>
        <c:axId val="666200016"/>
      </c:lineChart>
      <c:catAx>
        <c:axId val="666201976"/>
        <c:scaling>
          <c:orientation val="minMax"/>
        </c:scaling>
        <c:delete val="0"/>
        <c:axPos val="b"/>
        <c:numFmt formatCode="General" sourceLinked="1"/>
        <c:majorTickMark val="out"/>
        <c:minorTickMark val="none"/>
        <c:tickLblPos val="nextTo"/>
        <c:crossAx val="666201584"/>
        <c:crosses val="autoZero"/>
        <c:auto val="1"/>
        <c:lblAlgn val="ctr"/>
        <c:lblOffset val="100"/>
        <c:noMultiLvlLbl val="0"/>
      </c:catAx>
      <c:valAx>
        <c:axId val="666201584"/>
        <c:scaling>
          <c:orientation val="minMax"/>
          <c:min val="0.3000000000000001"/>
        </c:scaling>
        <c:delete val="0"/>
        <c:axPos val="l"/>
        <c:majorGridlines/>
        <c:numFmt formatCode="0%" sourceLinked="1"/>
        <c:majorTickMark val="out"/>
        <c:minorTickMark val="none"/>
        <c:tickLblPos val="nextTo"/>
        <c:txPr>
          <a:bodyPr/>
          <a:lstStyle/>
          <a:p>
            <a:pPr>
              <a:defRPr b="1">
                <a:solidFill>
                  <a:schemeClr val="accent2"/>
                </a:solidFill>
              </a:defRPr>
            </a:pPr>
            <a:endParaRPr lang="pt-BR"/>
          </a:p>
        </c:txPr>
        <c:crossAx val="666201976"/>
        <c:crosses val="autoZero"/>
        <c:crossBetween val="between"/>
      </c:valAx>
      <c:valAx>
        <c:axId val="666200016"/>
        <c:scaling>
          <c:orientation val="minMax"/>
          <c:max val="0.2"/>
          <c:min val="0.05"/>
        </c:scaling>
        <c:delete val="0"/>
        <c:axPos val="r"/>
        <c:numFmt formatCode="0%" sourceLinked="0"/>
        <c:majorTickMark val="out"/>
        <c:minorTickMark val="none"/>
        <c:tickLblPos val="nextTo"/>
        <c:txPr>
          <a:bodyPr/>
          <a:lstStyle/>
          <a:p>
            <a:pPr>
              <a:defRPr b="1">
                <a:solidFill>
                  <a:schemeClr val="tx2"/>
                </a:solidFill>
              </a:defRPr>
            </a:pPr>
            <a:endParaRPr lang="pt-BR"/>
          </a:p>
        </c:txPr>
        <c:crossAx val="666200800"/>
        <c:crosses val="max"/>
        <c:crossBetween val="between"/>
        <c:majorUnit val="0.05"/>
      </c:valAx>
      <c:catAx>
        <c:axId val="666200800"/>
        <c:scaling>
          <c:orientation val="minMax"/>
        </c:scaling>
        <c:delete val="1"/>
        <c:axPos val="b"/>
        <c:numFmt formatCode="General" sourceLinked="1"/>
        <c:majorTickMark val="out"/>
        <c:minorTickMark val="none"/>
        <c:tickLblPos val="none"/>
        <c:crossAx val="666200016"/>
        <c:crosses val="autoZero"/>
        <c:auto val="1"/>
        <c:lblAlgn val="ctr"/>
        <c:lblOffset val="100"/>
        <c:noMultiLvlLbl val="0"/>
      </c:catAx>
    </c:plotArea>
    <c:legend>
      <c:legendPos val="b"/>
      <c:layout>
        <c:manualLayout>
          <c:xMode val="edge"/>
          <c:yMode val="edge"/>
          <c:x val="0.341065724191984"/>
          <c:y val="0.78715047632642821"/>
          <c:w val="0.50409534381238896"/>
          <c:h val="0.16625581712587201"/>
        </c:manualLayout>
      </c:layout>
      <c:overlay val="0"/>
      <c:txPr>
        <a:bodyPr/>
        <a:lstStyle/>
        <a:p>
          <a:pPr>
            <a:defRPr sz="900"/>
          </a:pPr>
          <a:endParaRPr lang="pt-BR"/>
        </a:p>
      </c:txPr>
    </c:legend>
    <c:plotVisOnly val="1"/>
    <c:dispBlanksAs val="gap"/>
    <c:showDLblsOverMax val="0"/>
  </c:chart>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pt-BR" sz="1200"/>
              <a:t>Figure</a:t>
            </a:r>
            <a:r>
              <a:rPr lang="pt-BR" sz="1200" baseline="0"/>
              <a:t> 8: </a:t>
            </a:r>
            <a:r>
              <a:rPr lang="pt-BR" sz="1200"/>
              <a:t>R&amp;D expenditure (%</a:t>
            </a:r>
            <a:r>
              <a:rPr lang="pt-BR" sz="1200" baseline="0"/>
              <a:t> of GDP)</a:t>
            </a:r>
            <a:endParaRPr lang="pt-BR" sz="1200"/>
          </a:p>
        </c:rich>
      </c:tx>
      <c:overlay val="0"/>
    </c:title>
    <c:autoTitleDeleted val="0"/>
    <c:plotArea>
      <c:layout>
        <c:manualLayout>
          <c:layoutTarget val="inner"/>
          <c:xMode val="edge"/>
          <c:yMode val="edge"/>
          <c:x val="7.573077094176793E-2"/>
          <c:y val="0.17440052666684"/>
          <c:w val="0.54982766137283701"/>
          <c:h val="0.64935457325260104"/>
        </c:manualLayout>
      </c:layout>
      <c:lineChart>
        <c:grouping val="standard"/>
        <c:varyColors val="0"/>
        <c:ser>
          <c:idx val="0"/>
          <c:order val="0"/>
          <c:tx>
            <c:strRef>
              <c:f>Data!$A$5</c:f>
              <c:strCache>
                <c:ptCount val="1"/>
                <c:pt idx="0">
                  <c:v>USA</c:v>
                </c:pt>
              </c:strCache>
            </c:strRef>
          </c:tx>
          <c:spPr>
            <a:ln>
              <a:solidFill>
                <a:schemeClr val="accent2"/>
              </a:solidFill>
            </a:ln>
          </c:spPr>
          <c:marker>
            <c:symbol val="none"/>
          </c:marker>
          <c:cat>
            <c:strRef>
              <c:f>Data!$B$4:$K$4</c:f>
              <c:strCache>
                <c:ptCount val="10"/>
                <c:pt idx="0">
                  <c:v>2002</c:v>
                </c:pt>
                <c:pt idx="1">
                  <c:v>2003</c:v>
                </c:pt>
                <c:pt idx="2">
                  <c:v>2004</c:v>
                </c:pt>
                <c:pt idx="3">
                  <c:v>2005</c:v>
                </c:pt>
                <c:pt idx="4">
                  <c:v>2006</c:v>
                </c:pt>
                <c:pt idx="5">
                  <c:v>2007</c:v>
                </c:pt>
                <c:pt idx="6">
                  <c:v>2008</c:v>
                </c:pt>
                <c:pt idx="7">
                  <c:v>2009</c:v>
                </c:pt>
                <c:pt idx="8">
                  <c:v>2010</c:v>
                </c:pt>
                <c:pt idx="9">
                  <c:v>2011</c:v>
                </c:pt>
              </c:strCache>
            </c:strRef>
          </c:cat>
          <c:val>
            <c:numRef>
              <c:f>Data!$B$5:$K$5</c:f>
              <c:numCache>
                <c:formatCode>0.00</c:formatCode>
                <c:ptCount val="10"/>
                <c:pt idx="0">
                  <c:v>2.54905009269714</c:v>
                </c:pt>
                <c:pt idx="1">
                  <c:v>2.5525300502777117</c:v>
                </c:pt>
                <c:pt idx="2">
                  <c:v>2.489530086517334</c:v>
                </c:pt>
                <c:pt idx="3">
                  <c:v>2.5056700706481871</c:v>
                </c:pt>
                <c:pt idx="4">
                  <c:v>2.5496499538421582</c:v>
                </c:pt>
                <c:pt idx="5">
                  <c:v>2.6264400482177699</c:v>
                </c:pt>
                <c:pt idx="6">
                  <c:v>2.7665100097656299</c:v>
                </c:pt>
                <c:pt idx="7">
                  <c:v>2.815939903259276</c:v>
                </c:pt>
                <c:pt idx="8">
                  <c:v>2.73827004432678</c:v>
                </c:pt>
                <c:pt idx="9">
                  <c:v>2.762639999389648</c:v>
                </c:pt>
              </c:numCache>
            </c:numRef>
          </c:val>
          <c:smooth val="0"/>
          <c:extLst>
            <c:ext xmlns:c16="http://schemas.microsoft.com/office/drawing/2014/chart" uri="{C3380CC4-5D6E-409C-BE32-E72D297353CC}">
              <c16:uniqueId val="{00000000-8C06-4464-AB36-835F298513D9}"/>
            </c:ext>
          </c:extLst>
        </c:ser>
        <c:ser>
          <c:idx val="1"/>
          <c:order val="1"/>
          <c:tx>
            <c:strRef>
              <c:f>Data!$A$6</c:f>
              <c:strCache>
                <c:ptCount val="1"/>
                <c:pt idx="0">
                  <c:v>European Union</c:v>
                </c:pt>
              </c:strCache>
            </c:strRef>
          </c:tx>
          <c:spPr>
            <a:ln>
              <a:solidFill>
                <a:schemeClr val="bg1">
                  <a:lumMod val="65000"/>
                </a:schemeClr>
              </a:solidFill>
            </a:ln>
          </c:spPr>
          <c:marker>
            <c:symbol val="none"/>
          </c:marker>
          <c:cat>
            <c:strRef>
              <c:f>Data!$B$4:$K$4</c:f>
              <c:strCache>
                <c:ptCount val="10"/>
                <c:pt idx="0">
                  <c:v>2002</c:v>
                </c:pt>
                <c:pt idx="1">
                  <c:v>2003</c:v>
                </c:pt>
                <c:pt idx="2">
                  <c:v>2004</c:v>
                </c:pt>
                <c:pt idx="3">
                  <c:v>2005</c:v>
                </c:pt>
                <c:pt idx="4">
                  <c:v>2006</c:v>
                </c:pt>
                <c:pt idx="5">
                  <c:v>2007</c:v>
                </c:pt>
                <c:pt idx="6">
                  <c:v>2008</c:v>
                </c:pt>
                <c:pt idx="7">
                  <c:v>2009</c:v>
                </c:pt>
                <c:pt idx="8">
                  <c:v>2010</c:v>
                </c:pt>
                <c:pt idx="9">
                  <c:v>2011</c:v>
                </c:pt>
              </c:strCache>
            </c:strRef>
          </c:cat>
          <c:val>
            <c:numRef>
              <c:f>Data!$B$6:$K$6</c:f>
              <c:numCache>
                <c:formatCode>0.00</c:formatCode>
                <c:ptCount val="10"/>
                <c:pt idx="0">
                  <c:v>1.8364172496403481</c:v>
                </c:pt>
                <c:pt idx="1">
                  <c:v>1.862706993032885</c:v>
                </c:pt>
                <c:pt idx="2">
                  <c:v>1.8245946854572406</c:v>
                </c:pt>
                <c:pt idx="3">
                  <c:v>1.8174543990827658</c:v>
                </c:pt>
                <c:pt idx="4">
                  <c:v>1.8397313700347058</c:v>
                </c:pt>
                <c:pt idx="5">
                  <c:v>1.841732458446947</c:v>
                </c:pt>
                <c:pt idx="6">
                  <c:v>1.937860074407048</c:v>
                </c:pt>
                <c:pt idx="7">
                  <c:v>2.037595656541785</c:v>
                </c:pt>
                <c:pt idx="8">
                  <c:v>2.02735592048144</c:v>
                </c:pt>
                <c:pt idx="9">
                  <c:v>2.0429437562758119</c:v>
                </c:pt>
              </c:numCache>
            </c:numRef>
          </c:val>
          <c:smooth val="0"/>
          <c:extLst>
            <c:ext xmlns:c16="http://schemas.microsoft.com/office/drawing/2014/chart" uri="{C3380CC4-5D6E-409C-BE32-E72D297353CC}">
              <c16:uniqueId val="{00000001-8C06-4464-AB36-835F298513D9}"/>
            </c:ext>
          </c:extLst>
        </c:ser>
        <c:ser>
          <c:idx val="2"/>
          <c:order val="2"/>
          <c:tx>
            <c:strRef>
              <c:f>Data!$A$7</c:f>
              <c:strCache>
                <c:ptCount val="1"/>
                <c:pt idx="0">
                  <c:v>China</c:v>
                </c:pt>
              </c:strCache>
            </c:strRef>
          </c:tx>
          <c:marker>
            <c:symbol val="none"/>
          </c:marker>
          <c:cat>
            <c:strRef>
              <c:f>Data!$B$4:$K$4</c:f>
              <c:strCache>
                <c:ptCount val="10"/>
                <c:pt idx="0">
                  <c:v>2002</c:v>
                </c:pt>
                <c:pt idx="1">
                  <c:v>2003</c:v>
                </c:pt>
                <c:pt idx="2">
                  <c:v>2004</c:v>
                </c:pt>
                <c:pt idx="3">
                  <c:v>2005</c:v>
                </c:pt>
                <c:pt idx="4">
                  <c:v>2006</c:v>
                </c:pt>
                <c:pt idx="5">
                  <c:v>2007</c:v>
                </c:pt>
                <c:pt idx="6">
                  <c:v>2008</c:v>
                </c:pt>
                <c:pt idx="7">
                  <c:v>2009</c:v>
                </c:pt>
                <c:pt idx="8">
                  <c:v>2010</c:v>
                </c:pt>
                <c:pt idx="9">
                  <c:v>2011</c:v>
                </c:pt>
              </c:strCache>
            </c:strRef>
          </c:cat>
          <c:val>
            <c:numRef>
              <c:f>Data!$B$7:$K$7</c:f>
              <c:numCache>
                <c:formatCode>0.00</c:formatCode>
                <c:ptCount val="10"/>
                <c:pt idx="0">
                  <c:v>1.0700299739837615</c:v>
                </c:pt>
                <c:pt idx="1">
                  <c:v>1.1335599422454798</c:v>
                </c:pt>
                <c:pt idx="2">
                  <c:v>1.2298899888992298</c:v>
                </c:pt>
                <c:pt idx="3">
                  <c:v>1.3247599601745601</c:v>
                </c:pt>
                <c:pt idx="4">
                  <c:v>1.3882999420166</c:v>
                </c:pt>
                <c:pt idx="5">
                  <c:v>1.3958200216293299</c:v>
                </c:pt>
                <c:pt idx="6">
                  <c:v>1.4698599576950098</c:v>
                </c:pt>
                <c:pt idx="7">
                  <c:v>1.7019799947738599</c:v>
                </c:pt>
                <c:pt idx="8">
                  <c:v>1.7589900493621786</c:v>
                </c:pt>
                <c:pt idx="9">
                  <c:v>1.8361699581146198</c:v>
                </c:pt>
              </c:numCache>
            </c:numRef>
          </c:val>
          <c:smooth val="0"/>
          <c:extLst>
            <c:ext xmlns:c16="http://schemas.microsoft.com/office/drawing/2014/chart" uri="{C3380CC4-5D6E-409C-BE32-E72D297353CC}">
              <c16:uniqueId val="{00000002-8C06-4464-AB36-835F298513D9}"/>
            </c:ext>
          </c:extLst>
        </c:ser>
        <c:ser>
          <c:idx val="3"/>
          <c:order val="3"/>
          <c:tx>
            <c:strRef>
              <c:f>Data!$A$8</c:f>
              <c:strCache>
                <c:ptCount val="1"/>
                <c:pt idx="0">
                  <c:v>East Asia and Pacific (in develop.)</c:v>
                </c:pt>
              </c:strCache>
            </c:strRef>
          </c:tx>
          <c:marker>
            <c:symbol val="none"/>
          </c:marker>
          <c:cat>
            <c:strRef>
              <c:f>Data!$B$4:$K$4</c:f>
              <c:strCache>
                <c:ptCount val="10"/>
                <c:pt idx="0">
                  <c:v>2002</c:v>
                </c:pt>
                <c:pt idx="1">
                  <c:v>2003</c:v>
                </c:pt>
                <c:pt idx="2">
                  <c:v>2004</c:v>
                </c:pt>
                <c:pt idx="3">
                  <c:v>2005</c:v>
                </c:pt>
                <c:pt idx="4">
                  <c:v>2006</c:v>
                </c:pt>
                <c:pt idx="5">
                  <c:v>2007</c:v>
                </c:pt>
                <c:pt idx="6">
                  <c:v>2008</c:v>
                </c:pt>
                <c:pt idx="7">
                  <c:v>2009</c:v>
                </c:pt>
                <c:pt idx="8">
                  <c:v>2010</c:v>
                </c:pt>
                <c:pt idx="9">
                  <c:v>2011</c:v>
                </c:pt>
              </c:strCache>
            </c:strRef>
          </c:cat>
          <c:val>
            <c:numRef>
              <c:f>Data!$B$8:$K$8</c:f>
              <c:numCache>
                <c:formatCode>0.00</c:formatCode>
                <c:ptCount val="10"/>
                <c:pt idx="0">
                  <c:v>0.92471264894672978</c:v>
                </c:pt>
                <c:pt idx="1">
                  <c:v>1.021769664408511</c:v>
                </c:pt>
                <c:pt idx="2">
                  <c:v>1.1232719644992961</c:v>
                </c:pt>
                <c:pt idx="3">
                  <c:v>1.199301272096257</c:v>
                </c:pt>
                <c:pt idx="4">
                  <c:v>1.2702087441723311</c:v>
                </c:pt>
                <c:pt idx="5">
                  <c:v>1.271205904644106</c:v>
                </c:pt>
                <c:pt idx="6">
                  <c:v>1.4357306885766465</c:v>
                </c:pt>
                <c:pt idx="7">
                  <c:v>1.470906386821131</c:v>
                </c:pt>
                <c:pt idx="8">
                  <c:v>1.7301070183797269</c:v>
                </c:pt>
                <c:pt idx="9">
                  <c:v>1.805459800113882</c:v>
                </c:pt>
              </c:numCache>
            </c:numRef>
          </c:val>
          <c:smooth val="0"/>
          <c:extLst>
            <c:ext xmlns:c16="http://schemas.microsoft.com/office/drawing/2014/chart" uri="{C3380CC4-5D6E-409C-BE32-E72D297353CC}">
              <c16:uniqueId val="{00000003-8C06-4464-AB36-835F298513D9}"/>
            </c:ext>
          </c:extLst>
        </c:ser>
        <c:ser>
          <c:idx val="4"/>
          <c:order val="4"/>
          <c:tx>
            <c:strRef>
              <c:f>Data!$A$9</c:f>
              <c:strCache>
                <c:ptCount val="1"/>
                <c:pt idx="0">
                  <c:v>Brazil</c:v>
                </c:pt>
              </c:strCache>
            </c:strRef>
          </c:tx>
          <c:marker>
            <c:symbol val="none"/>
          </c:marker>
          <c:cat>
            <c:strRef>
              <c:f>Data!$B$4:$K$4</c:f>
              <c:strCache>
                <c:ptCount val="10"/>
                <c:pt idx="0">
                  <c:v>2002</c:v>
                </c:pt>
                <c:pt idx="1">
                  <c:v>2003</c:v>
                </c:pt>
                <c:pt idx="2">
                  <c:v>2004</c:v>
                </c:pt>
                <c:pt idx="3">
                  <c:v>2005</c:v>
                </c:pt>
                <c:pt idx="4">
                  <c:v>2006</c:v>
                </c:pt>
                <c:pt idx="5">
                  <c:v>2007</c:v>
                </c:pt>
                <c:pt idx="6">
                  <c:v>2008</c:v>
                </c:pt>
                <c:pt idx="7">
                  <c:v>2009</c:v>
                </c:pt>
                <c:pt idx="8">
                  <c:v>2010</c:v>
                </c:pt>
                <c:pt idx="9">
                  <c:v>2011</c:v>
                </c:pt>
              </c:strCache>
            </c:strRef>
          </c:cat>
          <c:val>
            <c:numRef>
              <c:f>Data!$B$9:$K$9</c:f>
              <c:numCache>
                <c:formatCode>0.00</c:formatCode>
                <c:ptCount val="10"/>
                <c:pt idx="0">
                  <c:v>0.98471999168395996</c:v>
                </c:pt>
                <c:pt idx="1">
                  <c:v>0.95792001485824618</c:v>
                </c:pt>
                <c:pt idx="2">
                  <c:v>0.89951997995376576</c:v>
                </c:pt>
                <c:pt idx="3">
                  <c:v>0.97131997346878141</c:v>
                </c:pt>
                <c:pt idx="4">
                  <c:v>1.0080100297927919</c:v>
                </c:pt>
                <c:pt idx="5">
                  <c:v>1.0951399803161599</c:v>
                </c:pt>
                <c:pt idx="6">
                  <c:v>1.1143100261688219</c:v>
                </c:pt>
                <c:pt idx="7">
                  <c:v>1.1661399602890001</c:v>
                </c:pt>
                <c:pt idx="8">
                  <c:v>1.1604199409484901</c:v>
                </c:pt>
                <c:pt idx="9">
                  <c:v>1.20964002609253</c:v>
                </c:pt>
              </c:numCache>
            </c:numRef>
          </c:val>
          <c:smooth val="0"/>
          <c:extLst>
            <c:ext xmlns:c16="http://schemas.microsoft.com/office/drawing/2014/chart" uri="{C3380CC4-5D6E-409C-BE32-E72D297353CC}">
              <c16:uniqueId val="{00000004-8C06-4464-AB36-835F298513D9}"/>
            </c:ext>
          </c:extLst>
        </c:ser>
        <c:ser>
          <c:idx val="5"/>
          <c:order val="5"/>
          <c:tx>
            <c:strRef>
              <c:f>Data!$A$10</c:f>
              <c:strCache>
                <c:ptCount val="1"/>
                <c:pt idx="0">
                  <c:v>Latin America</c:v>
                </c:pt>
              </c:strCache>
            </c:strRef>
          </c:tx>
          <c:marker>
            <c:symbol val="none"/>
          </c:marker>
          <c:cat>
            <c:strRef>
              <c:f>Data!$B$4:$K$4</c:f>
              <c:strCache>
                <c:ptCount val="10"/>
                <c:pt idx="0">
                  <c:v>2002</c:v>
                </c:pt>
                <c:pt idx="1">
                  <c:v>2003</c:v>
                </c:pt>
                <c:pt idx="2">
                  <c:v>2004</c:v>
                </c:pt>
                <c:pt idx="3">
                  <c:v>2005</c:v>
                </c:pt>
                <c:pt idx="4">
                  <c:v>2006</c:v>
                </c:pt>
                <c:pt idx="5">
                  <c:v>2007</c:v>
                </c:pt>
                <c:pt idx="6">
                  <c:v>2008</c:v>
                </c:pt>
                <c:pt idx="7">
                  <c:v>2009</c:v>
                </c:pt>
                <c:pt idx="8">
                  <c:v>2010</c:v>
                </c:pt>
                <c:pt idx="9">
                  <c:v>2011</c:v>
                </c:pt>
              </c:strCache>
            </c:strRef>
          </c:cat>
          <c:val>
            <c:numRef>
              <c:f>Data!$B$10:$K$10</c:f>
              <c:numCache>
                <c:formatCode>0.00</c:formatCode>
                <c:ptCount val="10"/>
                <c:pt idx="0">
                  <c:v>0.53114011711795273</c:v>
                </c:pt>
                <c:pt idx="1">
                  <c:v>0.54605481395871824</c:v>
                </c:pt>
                <c:pt idx="2">
                  <c:v>0.54872857875521897</c:v>
                </c:pt>
                <c:pt idx="3">
                  <c:v>0.61155027029413023</c:v>
                </c:pt>
                <c:pt idx="4">
                  <c:v>0.62153589469860326</c:v>
                </c:pt>
                <c:pt idx="5">
                  <c:v>0.65477662538666903</c:v>
                </c:pt>
                <c:pt idx="6">
                  <c:v>0.69458388759840495</c:v>
                </c:pt>
                <c:pt idx="7">
                  <c:v>0.75780939156125604</c:v>
                </c:pt>
                <c:pt idx="8">
                  <c:v>0.79322985793825018</c:v>
                </c:pt>
                <c:pt idx="9">
                  <c:v>0.83757541895844623</c:v>
                </c:pt>
              </c:numCache>
            </c:numRef>
          </c:val>
          <c:smooth val="0"/>
          <c:extLst>
            <c:ext xmlns:c16="http://schemas.microsoft.com/office/drawing/2014/chart" uri="{C3380CC4-5D6E-409C-BE32-E72D297353CC}">
              <c16:uniqueId val="{00000005-8C06-4464-AB36-835F298513D9}"/>
            </c:ext>
          </c:extLst>
        </c:ser>
        <c:dLbls>
          <c:showLegendKey val="0"/>
          <c:showVal val="0"/>
          <c:showCatName val="0"/>
          <c:showSerName val="0"/>
          <c:showPercent val="0"/>
          <c:showBubbleSize val="0"/>
        </c:dLbls>
        <c:smooth val="0"/>
        <c:axId val="344239176"/>
        <c:axId val="344237216"/>
      </c:lineChart>
      <c:catAx>
        <c:axId val="344239176"/>
        <c:scaling>
          <c:orientation val="minMax"/>
        </c:scaling>
        <c:delete val="0"/>
        <c:axPos val="b"/>
        <c:numFmt formatCode="General" sourceLinked="0"/>
        <c:majorTickMark val="out"/>
        <c:minorTickMark val="none"/>
        <c:tickLblPos val="nextTo"/>
        <c:crossAx val="344237216"/>
        <c:crosses val="autoZero"/>
        <c:auto val="1"/>
        <c:lblAlgn val="ctr"/>
        <c:lblOffset val="100"/>
        <c:noMultiLvlLbl val="0"/>
      </c:catAx>
      <c:valAx>
        <c:axId val="344237216"/>
        <c:scaling>
          <c:orientation val="minMax"/>
        </c:scaling>
        <c:delete val="0"/>
        <c:axPos val="l"/>
        <c:majorGridlines/>
        <c:numFmt formatCode="0" sourceLinked="0"/>
        <c:majorTickMark val="out"/>
        <c:minorTickMark val="none"/>
        <c:tickLblPos val="nextTo"/>
        <c:crossAx val="344239176"/>
        <c:crosses val="autoZero"/>
        <c:crossBetween val="midCat"/>
        <c:majorUnit val="1"/>
      </c:valAx>
    </c:plotArea>
    <c:legend>
      <c:legendPos val="r"/>
      <c:layout>
        <c:manualLayout>
          <c:xMode val="edge"/>
          <c:yMode val="edge"/>
          <c:x val="0.65419273705053926"/>
          <c:y val="0.21214452282683999"/>
          <c:w val="0.33203789285375512"/>
          <c:h val="0.7283758530183736"/>
        </c:manualLayout>
      </c:layout>
      <c:overlay val="0"/>
    </c:legend>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solidFill>
                <a:latin typeface="+mn-lt"/>
                <a:ea typeface="+mn-ea"/>
                <a:cs typeface="+mn-cs"/>
              </a:defRPr>
            </a:pPr>
            <a:r>
              <a:rPr lang="en-US" sz="1100" b="1" i="0" u="none" strike="noStrike" baseline="0">
                <a:solidFill>
                  <a:schemeClr val="tx1"/>
                </a:solidFill>
                <a:effectLst/>
              </a:rPr>
              <a:t>Figure 9 - Share of world exports (%) - </a:t>
            </a:r>
            <a:r>
              <a:rPr lang="en-US" sz="1100" b="1">
                <a:solidFill>
                  <a:schemeClr val="tx1"/>
                </a:solidFill>
              </a:rPr>
              <a:t>Parts and components</a:t>
            </a:r>
            <a:r>
              <a:rPr lang="en-US" sz="1100" b="1" baseline="0">
                <a:solidFill>
                  <a:schemeClr val="tx1"/>
                </a:solidFill>
              </a:rPr>
              <a:t> for eletric and eletronic goods</a:t>
            </a:r>
            <a:r>
              <a:rPr lang="en-US" sz="1100" b="1">
                <a:solidFill>
                  <a:schemeClr val="tx1"/>
                </a:solidFill>
              </a:rPr>
              <a:t>- 2015</a:t>
            </a:r>
          </a:p>
        </c:rich>
      </c:tx>
      <c:overlay val="0"/>
      <c:spPr>
        <a:noFill/>
        <a:ln>
          <a:noFill/>
        </a:ln>
        <a:effectLst/>
      </c:spPr>
    </c:title>
    <c:autoTitleDeleted val="0"/>
    <c:plotArea>
      <c:layout>
        <c:manualLayout>
          <c:layoutTarget val="inner"/>
          <c:xMode val="edge"/>
          <c:yMode val="edge"/>
          <c:x val="2.7586206896551699E-2"/>
          <c:y val="0.24836176550230207"/>
          <c:w val="0.9393103448275858"/>
          <c:h val="0.5610977141261082"/>
        </c:manualLayout>
      </c:layout>
      <c:barChart>
        <c:barDir val="col"/>
        <c:grouping val="clustered"/>
        <c:varyColors val="0"/>
        <c:ser>
          <c:idx val="0"/>
          <c:order val="0"/>
          <c:tx>
            <c:strRef>
              <c:f>Planilha3!$B$23</c:f>
              <c:strCache>
                <c:ptCount val="1"/>
                <c:pt idx="0">
                  <c:v>Partes e componentes para bens eletrônicos</c:v>
                </c:pt>
              </c:strCache>
            </c:strRef>
          </c:tx>
          <c:spPr>
            <a:solidFill>
              <a:schemeClr val="accent1"/>
            </a:solidFill>
            <a:ln>
              <a:noFill/>
            </a:ln>
            <a:effectLst/>
          </c:spPr>
          <c:invertIfNegative val="0"/>
          <c:dLbls>
            <c:dLbl>
              <c:idx val="0"/>
              <c:tx>
                <c:rich>
                  <a:bodyPr/>
                  <a:lstStyle/>
                  <a:p>
                    <a:r>
                      <a:rPr lang="en-US"/>
                      <a:t>25.5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CDD-4AFB-A293-F7D1689D4F8E}"/>
                </c:ext>
              </c:extLst>
            </c:dLbl>
            <c:dLbl>
              <c:idx val="1"/>
              <c:tx>
                <c:rich>
                  <a:bodyPr/>
                  <a:lstStyle/>
                  <a:p>
                    <a:r>
                      <a:rPr lang="en-US"/>
                      <a:t>6.7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CDD-4AFB-A293-F7D1689D4F8E}"/>
                </c:ext>
              </c:extLst>
            </c:dLbl>
            <c:dLbl>
              <c:idx val="2"/>
              <c:tx>
                <c:rich>
                  <a:bodyPr/>
                  <a:lstStyle/>
                  <a:p>
                    <a:r>
                      <a:rPr lang="en-US"/>
                      <a:t>3.1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CDD-4AFB-A293-F7D1689D4F8E}"/>
                </c:ext>
              </c:extLst>
            </c:dLbl>
            <c:dLbl>
              <c:idx val="3"/>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CDD-4AFB-A293-F7D1689D4F8E}"/>
                </c:ext>
              </c:extLst>
            </c:dLbl>
            <c:dLbl>
              <c:idx val="4"/>
              <c:tx>
                <c:rich>
                  <a:bodyPr/>
                  <a:lstStyle/>
                  <a:p>
                    <a:r>
                      <a:rPr lang="en-US"/>
                      <a:t>1.3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CDD-4AFB-A293-F7D1689D4F8E}"/>
                </c:ext>
              </c:extLst>
            </c:dLbl>
            <c:dLbl>
              <c:idx val="5"/>
              <c:tx>
                <c:rich>
                  <a:bodyPr/>
                  <a:lstStyle/>
                  <a:p>
                    <a:r>
                      <a:rPr lang="en-US"/>
                      <a:t>1.2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CDD-4AFB-A293-F7D1689D4F8E}"/>
                </c:ext>
              </c:extLst>
            </c:dLbl>
            <c:dLbl>
              <c:idx val="6"/>
              <c:tx>
                <c:rich>
                  <a:bodyPr/>
                  <a:lstStyle/>
                  <a:p>
                    <a:r>
                      <a:rPr lang="en-US"/>
                      <a:t>0.2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CDD-4AFB-A293-F7D1689D4F8E}"/>
                </c:ext>
              </c:extLst>
            </c:dLbl>
            <c:dLbl>
              <c:idx val="7"/>
              <c:tx>
                <c:rich>
                  <a:bodyPr/>
                  <a:lstStyle/>
                  <a:p>
                    <a:r>
                      <a:rPr lang="en-US"/>
                      <a:t>0.2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CDD-4AFB-A293-F7D1689D4F8E}"/>
                </c:ext>
              </c:extLst>
            </c:dLbl>
            <c:dLbl>
              <c:idx val="8"/>
              <c:tx>
                <c:rich>
                  <a:bodyPr/>
                  <a:lstStyle/>
                  <a:p>
                    <a:r>
                      <a:rPr lang="en-US"/>
                      <a:t>0.1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CDD-4AFB-A293-F7D1689D4F8E}"/>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2"/>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Planilha3!$A$24:$A$32</c:f>
              <c:strCache>
                <c:ptCount val="9"/>
                <c:pt idx="0">
                  <c:v>China</c:v>
                </c:pt>
                <c:pt idx="1">
                  <c:v>Korea</c:v>
                </c:pt>
                <c:pt idx="2">
                  <c:v>Malaysia</c:v>
                </c:pt>
                <c:pt idx="3">
                  <c:v>Mexico</c:v>
                </c:pt>
                <c:pt idx="4">
                  <c:v>Philippines</c:v>
                </c:pt>
                <c:pt idx="5">
                  <c:v>Thailand</c:v>
                </c:pt>
                <c:pt idx="6">
                  <c:v>Indonesia</c:v>
                </c:pt>
                <c:pt idx="7">
                  <c:v>India</c:v>
                </c:pt>
                <c:pt idx="8">
                  <c:v>Brazil</c:v>
                </c:pt>
              </c:strCache>
            </c:strRef>
          </c:cat>
          <c:val>
            <c:numRef>
              <c:f>Planilha3!$B$24:$B$32</c:f>
              <c:numCache>
                <c:formatCode>0.00%</c:formatCode>
                <c:ptCount val="9"/>
                <c:pt idx="0">
                  <c:v>0.25466253996727412</c:v>
                </c:pt>
                <c:pt idx="1">
                  <c:v>6.6975730319768903E-2</c:v>
                </c:pt>
                <c:pt idx="2">
                  <c:v>3.0657812003354018E-2</c:v>
                </c:pt>
                <c:pt idx="3">
                  <c:v>2.0304411980297688E-2</c:v>
                </c:pt>
                <c:pt idx="4">
                  <c:v>1.2932176105517505E-2</c:v>
                </c:pt>
                <c:pt idx="5">
                  <c:v>1.1739413093671E-2</c:v>
                </c:pt>
                <c:pt idx="6">
                  <c:v>2.3227779211775408E-3</c:v>
                </c:pt>
                <c:pt idx="7">
                  <c:v>2.1218102050258002E-3</c:v>
                </c:pt>
                <c:pt idx="8">
                  <c:v>6.6311829483371026E-4</c:v>
                </c:pt>
              </c:numCache>
            </c:numRef>
          </c:val>
          <c:extLst>
            <c:ext xmlns:c16="http://schemas.microsoft.com/office/drawing/2014/chart" uri="{C3380CC4-5D6E-409C-BE32-E72D297353CC}">
              <c16:uniqueId val="{00000000-6118-482D-93CF-834BF2569218}"/>
            </c:ext>
          </c:extLst>
        </c:ser>
        <c:dLbls>
          <c:showLegendKey val="0"/>
          <c:showVal val="0"/>
          <c:showCatName val="0"/>
          <c:showSerName val="0"/>
          <c:showPercent val="0"/>
          <c:showBubbleSize val="0"/>
        </c:dLbls>
        <c:gapWidth val="150"/>
        <c:axId val="344239568"/>
        <c:axId val="344239960"/>
      </c:barChart>
      <c:catAx>
        <c:axId val="34423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crossAx val="344239960"/>
        <c:crosses val="autoZero"/>
        <c:auto val="1"/>
        <c:lblAlgn val="ctr"/>
        <c:lblOffset val="100"/>
        <c:noMultiLvlLbl val="0"/>
      </c:catAx>
      <c:valAx>
        <c:axId val="344239960"/>
        <c:scaling>
          <c:orientation val="minMax"/>
        </c:scaling>
        <c:delete val="1"/>
        <c:axPos val="l"/>
        <c:numFmt formatCode="0.00%" sourceLinked="1"/>
        <c:majorTickMark val="none"/>
        <c:minorTickMark val="none"/>
        <c:tickLblPos val="none"/>
        <c:crossAx val="344239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pt-BR"/>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0.89692</cdr:y>
    </cdr:from>
    <cdr:to>
      <cdr:x>0.61082</cdr:x>
      <cdr:y>0.98371</cdr:y>
    </cdr:to>
    <cdr:sp macro="" textlink="">
      <cdr:nvSpPr>
        <cdr:cNvPr id="2" name="Caixa de Texto 2"/>
        <cdr:cNvSpPr txBox="1">
          <a:spLocks xmlns:a="http://schemas.openxmlformats.org/drawingml/2006/main" noChangeArrowheads="1"/>
        </cdr:cNvSpPr>
      </cdr:nvSpPr>
      <cdr:spPr bwMode="auto">
        <a:xfrm xmlns:a="http://schemas.openxmlformats.org/drawingml/2006/main">
          <a:off x="0" y="2622761"/>
          <a:ext cx="3272465" cy="253789"/>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a:lnSpc>
              <a:spcPct val="115000"/>
            </a:lnSpc>
            <a:spcAft>
              <a:spcPts val="1000"/>
            </a:spcAft>
          </a:pPr>
          <a:r>
            <a:rPr lang="en-US" sz="800">
              <a:effectLst/>
              <a:latin typeface="Calibri" panose="020F0502020204030204" pitchFamily="34" charset="0"/>
              <a:ea typeface="Calibri" panose="020F0502020204030204" pitchFamily="34" charset="0"/>
              <a:cs typeface="Times New Roman" panose="02020603050405020304" pitchFamily="18" charset="0"/>
            </a:rPr>
            <a:t>Source: OECD Sta</a:t>
          </a:r>
          <a:r>
            <a:rPr lang="en-US" sz="800" baseline="0">
              <a:effectLst/>
              <a:latin typeface="Calibri" panose="020F0502020204030204" pitchFamily="34" charset="0"/>
              <a:ea typeface="Calibri" panose="020F0502020204030204" pitchFamily="34" charset="0"/>
              <a:cs typeface="Times New Roman" panose="02020603050405020304" pitchFamily="18" charset="0"/>
            </a:rPr>
            <a:t>t -</a:t>
          </a:r>
          <a:r>
            <a:rPr lang="en-US" sz="800">
              <a:effectLst/>
              <a:latin typeface="Calibri" panose="020F0502020204030204" pitchFamily="34" charset="0"/>
              <a:ea typeface="Calibri" panose="020F0502020204030204" pitchFamily="34" charset="0"/>
              <a:cs typeface="Times New Roman" panose="02020603050405020304" pitchFamily="18" charset="0"/>
            </a:rPr>
            <a:t> Trade in Value Added (TiVA), October 2015</a:t>
          </a:r>
          <a:endParaRPr lang="pt-BR"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drawings/drawing10.xml><?xml version="1.0" encoding="utf-8"?>
<c:userShapes xmlns:c="http://schemas.openxmlformats.org/drawingml/2006/chart">
  <cdr:relSizeAnchor xmlns:cdr="http://schemas.openxmlformats.org/drawingml/2006/chartDrawing">
    <cdr:from>
      <cdr:x>0</cdr:x>
      <cdr:y>0.90505</cdr:y>
    </cdr:from>
    <cdr:to>
      <cdr:x>0.99986</cdr:x>
      <cdr:y>0.97925</cdr:y>
    </cdr:to>
    <cdr:sp macro="" textlink="">
      <cdr:nvSpPr>
        <cdr:cNvPr id="2" name="CaixaDeTexto 1"/>
        <cdr:cNvSpPr txBox="1"/>
      </cdr:nvSpPr>
      <cdr:spPr>
        <a:xfrm xmlns:a="http://schemas.openxmlformats.org/drawingml/2006/main">
          <a:off x="0" y="2492499"/>
          <a:ext cx="4603740" cy="20434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a:t>Source: UNCTAD</a:t>
          </a:r>
        </a:p>
      </cdr:txBody>
    </cdr:sp>
  </cdr:relSizeAnchor>
</c:userShapes>
</file>

<file path=word/drawings/drawing11.xml><?xml version="1.0" encoding="utf-8"?>
<c:userShapes xmlns:c="http://schemas.openxmlformats.org/drawingml/2006/chart">
  <cdr:relSizeAnchor xmlns:cdr="http://schemas.openxmlformats.org/drawingml/2006/chartDrawing">
    <cdr:from>
      <cdr:x>0.00941</cdr:x>
      <cdr:y>0.91314</cdr:y>
    </cdr:from>
    <cdr:to>
      <cdr:x>0.86185</cdr:x>
      <cdr:y>1</cdr:y>
    </cdr:to>
    <cdr:sp macro="" textlink="">
      <cdr:nvSpPr>
        <cdr:cNvPr id="2" name="CaixaDeTexto 1"/>
        <cdr:cNvSpPr txBox="1"/>
      </cdr:nvSpPr>
      <cdr:spPr>
        <a:xfrm xmlns:a="http://schemas.openxmlformats.org/drawingml/2006/main">
          <a:off x="50800" y="2191513"/>
          <a:ext cx="4603750" cy="20434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a:t>Source:</a:t>
          </a:r>
          <a:r>
            <a:rPr lang="en-US" sz="800" baseline="0"/>
            <a:t> UNCTAD</a:t>
          </a:r>
          <a:endParaRPr lang="en-US" sz="800"/>
        </a:p>
      </cdr:txBody>
    </cdr:sp>
  </cdr:relSizeAnchor>
</c:userShapes>
</file>

<file path=word/drawings/drawing12.xml><?xml version="1.0" encoding="utf-8"?>
<c:userShapes xmlns:c="http://schemas.openxmlformats.org/drawingml/2006/chart">
  <cdr:relSizeAnchor xmlns:cdr="http://schemas.openxmlformats.org/drawingml/2006/chartDrawing">
    <cdr:from>
      <cdr:x>0.02188</cdr:x>
      <cdr:y>0.03299</cdr:y>
    </cdr:from>
    <cdr:to>
      <cdr:x>0.95729</cdr:x>
      <cdr:y>0.13368</cdr:y>
    </cdr:to>
    <cdr:sp macro="" textlink="">
      <cdr:nvSpPr>
        <cdr:cNvPr id="2" name="CaixaDeTexto 1"/>
        <cdr:cNvSpPr txBox="1"/>
      </cdr:nvSpPr>
      <cdr:spPr>
        <a:xfrm xmlns:a="http://schemas.openxmlformats.org/drawingml/2006/main">
          <a:off x="100013" y="90488"/>
          <a:ext cx="42767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t-BR" sz="1100"/>
        </a:p>
      </cdr:txBody>
    </cdr:sp>
  </cdr:relSizeAnchor>
  <cdr:relSizeAnchor xmlns:cdr="http://schemas.openxmlformats.org/drawingml/2006/chartDrawing">
    <cdr:from>
      <cdr:x>0.00504</cdr:x>
      <cdr:y>0.02951</cdr:y>
    </cdr:from>
    <cdr:to>
      <cdr:x>0.99194</cdr:x>
      <cdr:y>0.21701</cdr:y>
    </cdr:to>
    <cdr:sp macro="" textlink="">
      <cdr:nvSpPr>
        <cdr:cNvPr id="3" name="CaixaDeTexto 2"/>
        <cdr:cNvSpPr txBox="1"/>
      </cdr:nvSpPr>
      <cdr:spPr>
        <a:xfrm xmlns:a="http://schemas.openxmlformats.org/drawingml/2006/main">
          <a:off x="23814" y="87569"/>
          <a:ext cx="4667250" cy="5563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pt-BR" sz="1100" b="1">
              <a:latin typeface="+mn-lt"/>
              <a:cs typeface="Times New Roman" panose="02020603050405020304" pitchFamily="18" charset="0"/>
            </a:rPr>
            <a:t>Figure 12:</a:t>
          </a:r>
          <a:r>
            <a:rPr lang="pt-BR" sz="1100" b="1" baseline="0">
              <a:latin typeface="+mn-lt"/>
              <a:cs typeface="Times New Roman" panose="02020603050405020304" pitchFamily="18" charset="0"/>
            </a:rPr>
            <a:t> Stock of FDI distribution in Brazilian industry by technological intensity (%)</a:t>
          </a:r>
          <a:endParaRPr lang="pt-BR" sz="1100" b="1">
            <a:latin typeface="+mn-lt"/>
            <a:cs typeface="Times New Roman" panose="02020603050405020304" pitchFamily="18" charset="0"/>
          </a:endParaRPr>
        </a:p>
      </cdr:txBody>
    </cdr:sp>
  </cdr:relSizeAnchor>
  <cdr:relSizeAnchor xmlns:cdr="http://schemas.openxmlformats.org/drawingml/2006/chartDrawing">
    <cdr:from>
      <cdr:x>0</cdr:x>
      <cdr:y>0.91749</cdr:y>
    </cdr:from>
    <cdr:to>
      <cdr:x>1</cdr:x>
      <cdr:y>1</cdr:y>
    </cdr:to>
    <cdr:sp macro="" textlink="">
      <cdr:nvSpPr>
        <cdr:cNvPr id="5" name="CaixaDeTexto 4"/>
        <cdr:cNvSpPr txBox="1"/>
      </cdr:nvSpPr>
      <cdr:spPr>
        <a:xfrm xmlns:a="http://schemas.openxmlformats.org/drawingml/2006/main">
          <a:off x="0" y="2647949"/>
          <a:ext cx="540067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900">
              <a:latin typeface="+mn-lt"/>
              <a:cs typeface="Times New Roman" panose="02020603050405020304" pitchFamily="18" charset="0"/>
            </a:rPr>
            <a:t>Source:</a:t>
          </a:r>
          <a:r>
            <a:rPr lang="pt-BR" sz="900" baseline="0">
              <a:latin typeface="+mn-lt"/>
              <a:cs typeface="Times New Roman" panose="02020603050405020304" pitchFamily="18" charset="0"/>
            </a:rPr>
            <a:t> Census data disclosed by The Brazilian Central Bank</a:t>
          </a:r>
          <a:endParaRPr lang="pt-BR" sz="900">
            <a:latin typeface="+mn-lt"/>
            <a:cs typeface="Times New Roman" panose="02020603050405020304" pitchFamily="18" charset="0"/>
          </a:endParaRPr>
        </a:p>
      </cdr:txBody>
    </cdr:sp>
  </cdr:relSizeAnchor>
  <cdr:relSizeAnchor xmlns:cdr="http://schemas.openxmlformats.org/drawingml/2006/chartDrawing">
    <cdr:from>
      <cdr:x>0.11503</cdr:x>
      <cdr:y>0.65863</cdr:y>
    </cdr:from>
    <cdr:to>
      <cdr:x>0.31424</cdr:x>
      <cdr:y>0.74348</cdr:y>
    </cdr:to>
    <cdr:sp macro="" textlink="">
      <cdr:nvSpPr>
        <cdr:cNvPr id="6" name="Caixa de Texto 2"/>
        <cdr:cNvSpPr txBox="1">
          <a:spLocks xmlns:a="http://schemas.openxmlformats.org/drawingml/2006/main" noChangeArrowheads="1"/>
        </cdr:cNvSpPr>
      </cdr:nvSpPr>
      <cdr:spPr bwMode="auto">
        <a:xfrm xmlns:a="http://schemas.openxmlformats.org/drawingml/2006/main">
          <a:off x="621233" y="1900860"/>
          <a:ext cx="1075893" cy="2448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a:lnSpc>
              <a:spcPct val="115000"/>
            </a:lnSpc>
            <a:spcAft>
              <a:spcPts val="1000"/>
            </a:spcAft>
          </a:pPr>
          <a:r>
            <a:rPr lang="pt-BR" sz="900">
              <a:effectLst/>
              <a:latin typeface="Calibri" panose="020F0502020204030204" pitchFamily="34" charset="0"/>
              <a:ea typeface="Times New Roman" panose="02020603050405020304" pitchFamily="18" charset="0"/>
              <a:cs typeface="Calibri" panose="020F0502020204030204" pitchFamily="34" charset="0"/>
            </a:rPr>
            <a:t> Low technology</a:t>
          </a:r>
        </a:p>
      </cdr:txBody>
    </cdr:sp>
  </cdr:relSizeAnchor>
  <cdr:relSizeAnchor xmlns:cdr="http://schemas.openxmlformats.org/drawingml/2006/chartDrawing">
    <cdr:from>
      <cdr:x>0.74885</cdr:x>
      <cdr:y>0.64634</cdr:y>
    </cdr:from>
    <cdr:to>
      <cdr:x>0.96954</cdr:x>
      <cdr:y>0.78319</cdr:y>
    </cdr:to>
    <cdr:sp macro="" textlink="">
      <cdr:nvSpPr>
        <cdr:cNvPr id="7" name="Caixa de Texto 27"/>
        <cdr:cNvSpPr txBox="1">
          <a:spLocks xmlns:a="http://schemas.openxmlformats.org/drawingml/2006/main" noChangeArrowheads="1"/>
        </cdr:cNvSpPr>
      </cdr:nvSpPr>
      <cdr:spPr bwMode="auto">
        <a:xfrm xmlns:a="http://schemas.openxmlformats.org/drawingml/2006/main">
          <a:off x="4044289" y="1865376"/>
          <a:ext cx="1191895" cy="394970"/>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algn="ctr">
            <a:lnSpc>
              <a:spcPct val="115000"/>
            </a:lnSpc>
            <a:spcAft>
              <a:spcPts val="1000"/>
            </a:spcAft>
          </a:pPr>
          <a:r>
            <a:rPr lang="pt-BR" sz="900">
              <a:effectLst/>
              <a:latin typeface="Calibri" panose="020F0502020204030204" pitchFamily="34" charset="0"/>
              <a:ea typeface="Times New Roman" panose="02020603050405020304" pitchFamily="18" charset="0"/>
              <a:cs typeface="Calibri" panose="020F0502020204030204" pitchFamily="34" charset="0"/>
            </a:rPr>
            <a:t>High technology</a:t>
          </a:r>
          <a:endParaRPr lang="pt-BR" sz="1200">
            <a:effectLst/>
            <a:latin typeface="Calibri" panose="020F0502020204030204" pitchFamily="34" charset="0"/>
            <a:ea typeface="Times New Roman" panose="02020603050405020304" pitchFamily="18"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0.01107</cdr:x>
      <cdr:y>0.89469</cdr:y>
    </cdr:from>
    <cdr:to>
      <cdr:x>0.72436</cdr:x>
      <cdr:y>0.98625</cdr:y>
    </cdr:to>
    <cdr:sp macro="" textlink="">
      <cdr:nvSpPr>
        <cdr:cNvPr id="2" name="Caixa de Texto 2"/>
        <cdr:cNvSpPr txBox="1">
          <a:spLocks xmlns:a="http://schemas.openxmlformats.org/drawingml/2006/main" noChangeArrowheads="1"/>
        </cdr:cNvSpPr>
      </cdr:nvSpPr>
      <cdr:spPr bwMode="auto">
        <a:xfrm xmlns:a="http://schemas.openxmlformats.org/drawingml/2006/main">
          <a:off x="50788" y="2479891"/>
          <a:ext cx="3272485" cy="253784"/>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15000"/>
            </a:lnSpc>
            <a:spcAft>
              <a:spcPts val="1000"/>
            </a:spcAft>
          </a:pPr>
          <a:r>
            <a:rPr lang="en-US" sz="800">
              <a:effectLst/>
              <a:latin typeface="Calibri" panose="020F0502020204030204" pitchFamily="34" charset="0"/>
              <a:ea typeface="Calibri" panose="020F0502020204030204" pitchFamily="34" charset="0"/>
              <a:cs typeface="Times New Roman" panose="02020603050405020304" pitchFamily="18" charset="0"/>
            </a:rPr>
            <a:t>Source: OECD Sta</a:t>
          </a:r>
          <a:r>
            <a:rPr lang="en-US" sz="800" baseline="0">
              <a:effectLst/>
              <a:latin typeface="Calibri" panose="020F0502020204030204" pitchFamily="34" charset="0"/>
              <a:ea typeface="Calibri" panose="020F0502020204030204" pitchFamily="34" charset="0"/>
              <a:cs typeface="Times New Roman" panose="02020603050405020304" pitchFamily="18" charset="0"/>
            </a:rPr>
            <a:t>t -</a:t>
          </a:r>
          <a:r>
            <a:rPr lang="en-US" sz="800">
              <a:effectLst/>
              <a:latin typeface="Calibri" panose="020F0502020204030204" pitchFamily="34" charset="0"/>
              <a:ea typeface="Calibri" panose="020F0502020204030204" pitchFamily="34" charset="0"/>
              <a:cs typeface="Times New Roman" panose="02020603050405020304" pitchFamily="18" charset="0"/>
            </a:rPr>
            <a:t> Trade in Value Added (TiVA), October 2015</a:t>
          </a:r>
          <a:endParaRPr lang="pt-BR"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0.01105</cdr:x>
      <cdr:y>0.90131</cdr:y>
    </cdr:from>
    <cdr:to>
      <cdr:x>0.72286</cdr:x>
      <cdr:y>1</cdr:y>
    </cdr:to>
    <cdr:sp macro="" textlink="">
      <cdr:nvSpPr>
        <cdr:cNvPr id="2" name="Caixa de Texto 2"/>
        <cdr:cNvSpPr txBox="1">
          <a:spLocks xmlns:a="http://schemas.openxmlformats.org/drawingml/2006/main" noChangeArrowheads="1"/>
        </cdr:cNvSpPr>
      </cdr:nvSpPr>
      <cdr:spPr bwMode="auto">
        <a:xfrm xmlns:a="http://schemas.openxmlformats.org/drawingml/2006/main">
          <a:off x="50800" y="2721179"/>
          <a:ext cx="3272479" cy="253796"/>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15000"/>
            </a:lnSpc>
            <a:spcAft>
              <a:spcPts val="1000"/>
            </a:spcAft>
          </a:pPr>
          <a:r>
            <a:rPr lang="en-US" sz="800">
              <a:effectLst/>
              <a:latin typeface="Calibri" panose="020F0502020204030204" pitchFamily="34" charset="0"/>
              <a:ea typeface="Calibri" panose="020F0502020204030204" pitchFamily="34" charset="0"/>
              <a:cs typeface="Times New Roman" panose="02020603050405020304" pitchFamily="18" charset="0"/>
            </a:rPr>
            <a:t>Source: OECD Sta</a:t>
          </a:r>
          <a:r>
            <a:rPr lang="en-US" sz="800" baseline="0">
              <a:effectLst/>
              <a:latin typeface="Calibri" panose="020F0502020204030204" pitchFamily="34" charset="0"/>
              <a:ea typeface="Calibri" panose="020F0502020204030204" pitchFamily="34" charset="0"/>
              <a:cs typeface="Times New Roman" panose="02020603050405020304" pitchFamily="18" charset="0"/>
            </a:rPr>
            <a:t>t -</a:t>
          </a:r>
          <a:r>
            <a:rPr lang="en-US" sz="800">
              <a:effectLst/>
              <a:latin typeface="Calibri" panose="020F0502020204030204" pitchFamily="34" charset="0"/>
              <a:ea typeface="Calibri" panose="020F0502020204030204" pitchFamily="34" charset="0"/>
              <a:cs typeface="Times New Roman" panose="02020603050405020304" pitchFamily="18" charset="0"/>
            </a:rPr>
            <a:t> Trade in Value Added (TiVA), October 2015</a:t>
          </a:r>
          <a:endParaRPr lang="pt-BR"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cdr:x>
      <cdr:y>0.90204</cdr:y>
    </cdr:from>
    <cdr:to>
      <cdr:x>0.58199</cdr:x>
      <cdr:y>1</cdr:y>
    </cdr:to>
    <cdr:sp macro="" textlink="">
      <cdr:nvSpPr>
        <cdr:cNvPr id="2" name="Caixa de Texto 2"/>
        <cdr:cNvSpPr txBox="1">
          <a:spLocks xmlns:a="http://schemas.openxmlformats.org/drawingml/2006/main" noChangeArrowheads="1"/>
        </cdr:cNvSpPr>
      </cdr:nvSpPr>
      <cdr:spPr bwMode="auto">
        <a:xfrm xmlns:a="http://schemas.openxmlformats.org/drawingml/2006/main">
          <a:off x="0" y="2654907"/>
          <a:ext cx="3272486" cy="288318"/>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15000"/>
            </a:lnSpc>
            <a:spcAft>
              <a:spcPts val="1000"/>
            </a:spcAft>
          </a:pPr>
          <a:r>
            <a:rPr lang="en-US" sz="800">
              <a:effectLst/>
              <a:latin typeface="Calibri" panose="020F0502020204030204" pitchFamily="34" charset="0"/>
              <a:ea typeface="Calibri" panose="020F0502020204030204" pitchFamily="34" charset="0"/>
              <a:cs typeface="Times New Roman" panose="02020603050405020304" pitchFamily="18" charset="0"/>
            </a:rPr>
            <a:t>Source: OECD Sta</a:t>
          </a:r>
          <a:r>
            <a:rPr lang="en-US" sz="800" baseline="0">
              <a:effectLst/>
              <a:latin typeface="Calibri" panose="020F0502020204030204" pitchFamily="34" charset="0"/>
              <a:ea typeface="Calibri" panose="020F0502020204030204" pitchFamily="34" charset="0"/>
              <a:cs typeface="Times New Roman" panose="02020603050405020304" pitchFamily="18" charset="0"/>
            </a:rPr>
            <a:t>t -</a:t>
          </a:r>
          <a:r>
            <a:rPr lang="en-US" sz="800">
              <a:effectLst/>
              <a:latin typeface="Calibri" panose="020F0502020204030204" pitchFamily="34" charset="0"/>
              <a:ea typeface="Calibri" panose="020F0502020204030204" pitchFamily="34" charset="0"/>
              <a:cs typeface="Times New Roman" panose="02020603050405020304" pitchFamily="18" charset="0"/>
            </a:rPr>
            <a:t> Trade in Value Added (TiVA), October 2015</a:t>
          </a:r>
          <a:endParaRPr lang="pt-BR"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0.00409</cdr:x>
      <cdr:y>0.89971</cdr:y>
    </cdr:from>
    <cdr:to>
      <cdr:x>0.62124</cdr:x>
      <cdr:y>0.97827</cdr:y>
    </cdr:to>
    <cdr:sp macro="" textlink="">
      <cdr:nvSpPr>
        <cdr:cNvPr id="2" name="CaixaDeTexto 1"/>
        <cdr:cNvSpPr txBox="1"/>
      </cdr:nvSpPr>
      <cdr:spPr>
        <a:xfrm xmlns:a="http://schemas.openxmlformats.org/drawingml/2006/main">
          <a:off x="19050" y="2836590"/>
          <a:ext cx="2874515" cy="24768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Source: National</a:t>
          </a:r>
          <a:r>
            <a:rPr lang="en-US" sz="900" baseline="0"/>
            <a:t> Confederation of Industry, Brazil (CNI)</a:t>
          </a:r>
          <a:endParaRPr lang="en-US" sz="900"/>
        </a:p>
      </cdr:txBody>
    </cdr:sp>
  </cdr:relSizeAnchor>
</c:userShapes>
</file>

<file path=word/drawings/drawing6.xml><?xml version="1.0" encoding="utf-8"?>
<c:userShapes xmlns:c="http://schemas.openxmlformats.org/drawingml/2006/chart">
  <cdr:relSizeAnchor xmlns:cdr="http://schemas.openxmlformats.org/drawingml/2006/chartDrawing">
    <cdr:from>
      <cdr:x>0.00529</cdr:x>
      <cdr:y>0.90718</cdr:y>
    </cdr:from>
    <cdr:to>
      <cdr:x>0.52028</cdr:x>
      <cdr:y>0.96815</cdr:y>
    </cdr:to>
    <cdr:sp macro="" textlink="">
      <cdr:nvSpPr>
        <cdr:cNvPr id="2" name="CaixaDeTexto 1"/>
        <cdr:cNvSpPr txBox="1"/>
      </cdr:nvSpPr>
      <cdr:spPr>
        <a:xfrm xmlns:a="http://schemas.openxmlformats.org/drawingml/2006/main">
          <a:off x="29527" y="2348583"/>
          <a:ext cx="2874494" cy="15784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Source: IPEA DATA</a:t>
          </a:r>
          <a:r>
            <a:rPr lang="en-US" sz="900" baseline="0"/>
            <a:t>, Brazil</a:t>
          </a:r>
          <a:endParaRPr lang="en-US" sz="900"/>
        </a:p>
      </cdr:txBody>
    </cdr:sp>
  </cdr:relSizeAnchor>
</c:userShapes>
</file>

<file path=word/drawings/drawing7.xml><?xml version="1.0" encoding="utf-8"?>
<c:userShapes xmlns:c="http://schemas.openxmlformats.org/drawingml/2006/chart">
  <cdr:relSizeAnchor xmlns:cdr="http://schemas.openxmlformats.org/drawingml/2006/chartDrawing">
    <cdr:from>
      <cdr:x>0.00485</cdr:x>
      <cdr:y>0.91528</cdr:y>
    </cdr:from>
    <cdr:to>
      <cdr:x>0.41998</cdr:x>
      <cdr:y>0.98588</cdr:y>
    </cdr:to>
    <cdr:sp macro="" textlink="">
      <cdr:nvSpPr>
        <cdr:cNvPr id="2" name="CaixaDeTexto 1"/>
        <cdr:cNvSpPr txBox="1"/>
      </cdr:nvSpPr>
      <cdr:spPr>
        <a:xfrm xmlns:a="http://schemas.openxmlformats.org/drawingml/2006/main">
          <a:off x="26458" y="2744260"/>
          <a:ext cx="2264833" cy="2116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Source:</a:t>
          </a:r>
          <a:r>
            <a:rPr lang="en-US" sz="900" baseline="0"/>
            <a:t> UN Comtrade</a:t>
          </a:r>
          <a:endParaRPr lang="en-US" sz="900"/>
        </a:p>
      </cdr:txBody>
    </cdr:sp>
  </cdr:relSizeAnchor>
</c:userShapes>
</file>

<file path=word/drawings/drawing8.xml><?xml version="1.0" encoding="utf-8"?>
<c:userShapes xmlns:c="http://schemas.openxmlformats.org/drawingml/2006/chart">
  <cdr:relSizeAnchor xmlns:cdr="http://schemas.openxmlformats.org/drawingml/2006/chartDrawing">
    <cdr:from>
      <cdr:x>0.86321</cdr:x>
      <cdr:y>0.89496</cdr:y>
    </cdr:from>
    <cdr:to>
      <cdr:x>1</cdr:x>
      <cdr:y>0.99628</cdr:y>
    </cdr:to>
    <cdr:sp macro="" textlink="">
      <cdr:nvSpPr>
        <cdr:cNvPr id="2" name="CaixaDeTexto 1"/>
        <cdr:cNvSpPr txBox="1"/>
      </cdr:nvSpPr>
      <cdr:spPr>
        <a:xfrm xmlns:a="http://schemas.openxmlformats.org/drawingml/2006/main">
          <a:off x="5017634" y="2293095"/>
          <a:ext cx="795156" cy="25960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Source: </a:t>
          </a:r>
          <a:r>
            <a:rPr lang="en-US" sz="900" baseline="0"/>
            <a:t> ILO</a:t>
          </a:r>
          <a:endParaRPr lang="en-US" sz="900"/>
        </a:p>
      </cdr:txBody>
    </cdr:sp>
  </cdr:relSizeAnchor>
</c:userShapes>
</file>

<file path=word/drawings/drawing9.xml><?xml version="1.0" encoding="utf-8"?>
<c:userShapes xmlns:c="http://schemas.openxmlformats.org/drawingml/2006/chart">
  <cdr:relSizeAnchor xmlns:cdr="http://schemas.openxmlformats.org/drawingml/2006/chartDrawing">
    <cdr:from>
      <cdr:x>0</cdr:x>
      <cdr:y>0.91286</cdr:y>
    </cdr:from>
    <cdr:to>
      <cdr:x>1</cdr:x>
      <cdr:y>1</cdr:y>
    </cdr:to>
    <cdr:sp macro="" textlink="">
      <cdr:nvSpPr>
        <cdr:cNvPr id="2" name="CaixaDeTexto 1"/>
        <cdr:cNvSpPr txBox="1"/>
      </cdr:nvSpPr>
      <cdr:spPr>
        <a:xfrm xmlns:a="http://schemas.openxmlformats.org/drawingml/2006/main">
          <a:off x="0" y="2140713"/>
          <a:ext cx="4603750" cy="20434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a:t>Source:</a:t>
          </a:r>
          <a:r>
            <a:rPr lang="en-US" sz="800" baseline="0"/>
            <a:t> UNCTAD</a:t>
          </a:r>
          <a:endParaRPr lang="en-US" sz="8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71A8A-8A88-4497-AD85-05BE9BBAE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9308</Words>
  <Characters>50266</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DETERMINANTES DA BAIXA INSERÇÃO DO BRASIL NAS CADEIAS GLOBAIS DE VALOR</vt:lpstr>
    </vt:vector>
  </TitlesOfParts>
  <Company>Hewlett-Packard</Company>
  <LinksUpToDate>false</LinksUpToDate>
  <CharactersWithSpaces>59456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DETERMINANTES DA BAIXA INSERÇÃO DO BRASIL NAS CADEIAS GLOBAIS DE VALOR</dc:title>
  <dc:creator>Consutor</dc:creator>
  <cp:lastModifiedBy>Julia de Oliveira Callegari</cp:lastModifiedBy>
  <cp:revision>2</cp:revision>
  <cp:lastPrinted>2017-05-23T21:18:00Z</cp:lastPrinted>
  <dcterms:created xsi:type="dcterms:W3CDTF">2017-07-08T19:37:00Z</dcterms:created>
  <dcterms:modified xsi:type="dcterms:W3CDTF">2017-07-08T19:37:00Z</dcterms:modified>
</cp:coreProperties>
</file>