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17D" w:rsidRPr="0013317D" w:rsidRDefault="0013317D" w:rsidP="00D72970">
      <w:pPr>
        <w:spacing w:after="0" w:line="240" w:lineRule="auto"/>
        <w:jc w:val="center"/>
        <w:rPr>
          <w:rFonts w:ascii="Times New Roman" w:hAnsi="Times New Roman" w:cs="Times New Roman"/>
          <w:b/>
          <w:sz w:val="28"/>
          <w:szCs w:val="28"/>
        </w:rPr>
      </w:pPr>
      <w:r w:rsidRPr="0013317D">
        <w:rPr>
          <w:rFonts w:ascii="Times New Roman" w:hAnsi="Times New Roman" w:cs="Times New Roman"/>
          <w:b/>
          <w:sz w:val="28"/>
          <w:szCs w:val="28"/>
        </w:rPr>
        <w:t>Risco-Retorno e Impaciência nos Mercados Imobiliários de</w:t>
      </w:r>
    </w:p>
    <w:p w:rsidR="007A3CBD" w:rsidRPr="0013317D" w:rsidRDefault="0013317D" w:rsidP="00D72970">
      <w:pPr>
        <w:spacing w:after="0" w:line="240" w:lineRule="auto"/>
        <w:jc w:val="center"/>
        <w:rPr>
          <w:rFonts w:ascii="Times New Roman" w:hAnsi="Times New Roman" w:cs="Times New Roman"/>
          <w:b/>
          <w:sz w:val="28"/>
          <w:szCs w:val="28"/>
        </w:rPr>
      </w:pPr>
      <w:r w:rsidRPr="0013317D">
        <w:rPr>
          <w:rFonts w:ascii="Times New Roman" w:hAnsi="Times New Roman" w:cs="Times New Roman"/>
          <w:b/>
          <w:sz w:val="28"/>
          <w:szCs w:val="28"/>
        </w:rPr>
        <w:t>São Paulo e Rio de Janeiro</w:t>
      </w:r>
    </w:p>
    <w:p w:rsidR="0013317D" w:rsidRDefault="0013317D" w:rsidP="00D72970">
      <w:pPr>
        <w:spacing w:after="0" w:line="240" w:lineRule="auto"/>
        <w:rPr>
          <w:rFonts w:ascii="Times New Roman" w:hAnsi="Times New Roman" w:cs="Times New Roman"/>
        </w:rPr>
      </w:pPr>
    </w:p>
    <w:p w:rsidR="0013317D" w:rsidRPr="00944E88" w:rsidRDefault="0013317D" w:rsidP="00D72970">
      <w:pPr>
        <w:spacing w:after="0" w:line="240" w:lineRule="auto"/>
        <w:jc w:val="center"/>
        <w:rPr>
          <w:rFonts w:ascii="Times New Roman" w:hAnsi="Times New Roman" w:cs="Times New Roman"/>
          <w:sz w:val="24"/>
          <w:szCs w:val="24"/>
        </w:rPr>
      </w:pPr>
      <w:r w:rsidRPr="00944E88">
        <w:rPr>
          <w:rFonts w:ascii="Times New Roman" w:hAnsi="Times New Roman" w:cs="Times New Roman"/>
          <w:sz w:val="24"/>
          <w:szCs w:val="24"/>
        </w:rPr>
        <w:t>Lílian</w:t>
      </w:r>
      <w:r w:rsidR="00B43837" w:rsidRPr="00944E88">
        <w:rPr>
          <w:rFonts w:ascii="Times New Roman" w:hAnsi="Times New Roman" w:cs="Times New Roman"/>
          <w:sz w:val="24"/>
          <w:szCs w:val="24"/>
        </w:rPr>
        <w:t xml:space="preserve"> Santos</w:t>
      </w:r>
      <w:r w:rsidRPr="00944E88">
        <w:rPr>
          <w:rFonts w:ascii="Times New Roman" w:hAnsi="Times New Roman" w:cs="Times New Roman"/>
          <w:sz w:val="24"/>
          <w:szCs w:val="24"/>
        </w:rPr>
        <w:t xml:space="preserve"> Marques</w:t>
      </w:r>
      <w:r w:rsidR="00B43837" w:rsidRPr="00944E88">
        <w:rPr>
          <w:rFonts w:ascii="Times New Roman" w:hAnsi="Times New Roman" w:cs="Times New Roman"/>
          <w:sz w:val="24"/>
          <w:szCs w:val="24"/>
        </w:rPr>
        <w:t xml:space="preserve"> Severino</w:t>
      </w:r>
    </w:p>
    <w:p w:rsidR="0013317D" w:rsidRPr="00944E88" w:rsidRDefault="0013317D" w:rsidP="00D72970">
      <w:pPr>
        <w:spacing w:after="0" w:line="240" w:lineRule="auto"/>
        <w:jc w:val="center"/>
        <w:rPr>
          <w:rFonts w:ascii="Times New Roman" w:hAnsi="Times New Roman" w:cs="Times New Roman"/>
          <w:sz w:val="24"/>
          <w:szCs w:val="24"/>
        </w:rPr>
      </w:pPr>
      <w:r w:rsidRPr="00944E88">
        <w:rPr>
          <w:rFonts w:ascii="Times New Roman" w:hAnsi="Times New Roman" w:cs="Times New Roman"/>
          <w:sz w:val="24"/>
          <w:szCs w:val="24"/>
        </w:rPr>
        <w:t>Universidade Católica de Brasília</w:t>
      </w:r>
    </w:p>
    <w:p w:rsidR="0073171A" w:rsidRDefault="0073171A" w:rsidP="00371377">
      <w:pPr>
        <w:spacing w:after="0" w:line="240" w:lineRule="auto"/>
        <w:rPr>
          <w:rFonts w:ascii="Times New Roman" w:hAnsi="Times New Roman" w:cs="Times New Roman"/>
          <w:b/>
          <w:sz w:val="24"/>
          <w:szCs w:val="24"/>
        </w:rPr>
      </w:pPr>
    </w:p>
    <w:p w:rsidR="0013317D" w:rsidRDefault="0073171A" w:rsidP="00371377">
      <w:pPr>
        <w:spacing w:after="0" w:line="240" w:lineRule="auto"/>
        <w:rPr>
          <w:rFonts w:ascii="Times New Roman" w:hAnsi="Times New Roman" w:cs="Times New Roman"/>
          <w:b/>
          <w:sz w:val="24"/>
          <w:szCs w:val="24"/>
        </w:rPr>
      </w:pPr>
      <w:r w:rsidRPr="0073171A">
        <w:rPr>
          <w:rFonts w:ascii="Times New Roman" w:hAnsi="Times New Roman" w:cs="Times New Roman"/>
          <w:b/>
          <w:sz w:val="24"/>
          <w:szCs w:val="24"/>
        </w:rPr>
        <w:t xml:space="preserve">ANPEC: </w:t>
      </w:r>
      <w:r>
        <w:rPr>
          <w:rFonts w:ascii="Times New Roman" w:hAnsi="Times New Roman" w:cs="Times New Roman"/>
          <w:b/>
          <w:sz w:val="24"/>
          <w:szCs w:val="24"/>
        </w:rPr>
        <w:t xml:space="preserve">Área 8 – Microeconomia, Métodos Quantitativos e </w:t>
      </w:r>
      <w:proofErr w:type="gramStart"/>
      <w:r>
        <w:rPr>
          <w:rFonts w:ascii="Times New Roman" w:hAnsi="Times New Roman" w:cs="Times New Roman"/>
          <w:b/>
          <w:sz w:val="24"/>
          <w:szCs w:val="24"/>
        </w:rPr>
        <w:t>Finanças</w:t>
      </w:r>
      <w:proofErr w:type="gramEnd"/>
    </w:p>
    <w:p w:rsidR="00371377" w:rsidRDefault="00371377" w:rsidP="00371377">
      <w:pPr>
        <w:spacing w:after="0" w:line="240" w:lineRule="auto"/>
        <w:rPr>
          <w:rFonts w:ascii="Times New Roman" w:hAnsi="Times New Roman" w:cs="Times New Roman"/>
          <w:b/>
          <w:sz w:val="24"/>
          <w:szCs w:val="24"/>
        </w:rPr>
      </w:pPr>
    </w:p>
    <w:p w:rsidR="00D72970" w:rsidRPr="00944E88" w:rsidRDefault="00D72970" w:rsidP="00371377">
      <w:pPr>
        <w:spacing w:after="0" w:line="240" w:lineRule="auto"/>
        <w:rPr>
          <w:rFonts w:ascii="Times New Roman" w:hAnsi="Times New Roman" w:cs="Times New Roman"/>
          <w:sz w:val="24"/>
          <w:szCs w:val="24"/>
        </w:rPr>
      </w:pPr>
      <w:r w:rsidRPr="0073171A">
        <w:rPr>
          <w:rFonts w:ascii="Times New Roman" w:hAnsi="Times New Roman" w:cs="Times New Roman"/>
          <w:b/>
          <w:sz w:val="24"/>
          <w:szCs w:val="24"/>
        </w:rPr>
        <w:t xml:space="preserve">JEL </w:t>
      </w:r>
      <w:proofErr w:type="spellStart"/>
      <w:r w:rsidRPr="0073171A">
        <w:rPr>
          <w:rFonts w:ascii="Times New Roman" w:hAnsi="Times New Roman" w:cs="Times New Roman"/>
          <w:b/>
          <w:sz w:val="24"/>
          <w:szCs w:val="24"/>
        </w:rPr>
        <w:t>Classification</w:t>
      </w:r>
      <w:proofErr w:type="spellEnd"/>
      <w:r w:rsidRPr="0073171A">
        <w:rPr>
          <w:rFonts w:ascii="Times New Roman" w:hAnsi="Times New Roman" w:cs="Times New Roman"/>
          <w:b/>
          <w:sz w:val="24"/>
          <w:szCs w:val="24"/>
        </w:rPr>
        <w:t>:</w:t>
      </w:r>
      <w:r w:rsidRPr="00944E88">
        <w:rPr>
          <w:rFonts w:ascii="Times New Roman" w:hAnsi="Times New Roman" w:cs="Times New Roman"/>
          <w:sz w:val="24"/>
          <w:szCs w:val="24"/>
        </w:rPr>
        <w:t xml:space="preserve"> G12, C58</w:t>
      </w:r>
      <w:r w:rsidR="00CA1AB9">
        <w:rPr>
          <w:rFonts w:ascii="Times New Roman" w:hAnsi="Times New Roman" w:cs="Times New Roman"/>
          <w:sz w:val="24"/>
          <w:szCs w:val="24"/>
        </w:rPr>
        <w:t>,</w:t>
      </w:r>
      <w:bookmarkStart w:id="0" w:name="_GoBack"/>
      <w:bookmarkEnd w:id="0"/>
      <w:r w:rsidR="00CA1AB9" w:rsidRPr="00CA1AB9">
        <w:rPr>
          <w:rFonts w:ascii="Times New Roman" w:hAnsi="Times New Roman" w:cs="Times New Roman"/>
          <w:sz w:val="24"/>
          <w:szCs w:val="24"/>
        </w:rPr>
        <w:t xml:space="preserve"> </w:t>
      </w:r>
      <w:r w:rsidR="00CA1AB9" w:rsidRPr="00944E88">
        <w:rPr>
          <w:rFonts w:ascii="Times New Roman" w:hAnsi="Times New Roman" w:cs="Times New Roman"/>
          <w:sz w:val="24"/>
          <w:szCs w:val="24"/>
        </w:rPr>
        <w:t>R21, R31</w:t>
      </w:r>
      <w:r w:rsidRPr="00944E88">
        <w:rPr>
          <w:rFonts w:ascii="Times New Roman" w:hAnsi="Times New Roman" w:cs="Times New Roman"/>
          <w:sz w:val="24"/>
          <w:szCs w:val="24"/>
        </w:rPr>
        <w:t xml:space="preserve">. </w:t>
      </w:r>
    </w:p>
    <w:p w:rsidR="00371377" w:rsidRDefault="00371377" w:rsidP="00D72970">
      <w:pPr>
        <w:spacing w:after="0" w:line="240" w:lineRule="auto"/>
        <w:rPr>
          <w:rFonts w:ascii="Times New Roman" w:hAnsi="Times New Roman" w:cs="Times New Roman"/>
          <w:b/>
          <w:sz w:val="24"/>
          <w:szCs w:val="24"/>
        </w:rPr>
      </w:pPr>
    </w:p>
    <w:p w:rsidR="00F957A3" w:rsidRPr="00944E88" w:rsidRDefault="00944E88" w:rsidP="00D72970">
      <w:pPr>
        <w:spacing w:after="0" w:line="240" w:lineRule="auto"/>
        <w:rPr>
          <w:rFonts w:ascii="Times New Roman" w:hAnsi="Times New Roman" w:cs="Times New Roman"/>
          <w:b/>
          <w:sz w:val="24"/>
          <w:szCs w:val="24"/>
        </w:rPr>
      </w:pPr>
      <w:r w:rsidRPr="00944E88">
        <w:rPr>
          <w:rFonts w:ascii="Times New Roman" w:hAnsi="Times New Roman" w:cs="Times New Roman"/>
          <w:b/>
          <w:sz w:val="24"/>
          <w:szCs w:val="24"/>
        </w:rPr>
        <w:t>RESUMO</w:t>
      </w:r>
    </w:p>
    <w:p w:rsidR="00D72970" w:rsidRDefault="00D72970" w:rsidP="00D72970">
      <w:pPr>
        <w:spacing w:after="0" w:line="240" w:lineRule="auto"/>
        <w:jc w:val="both"/>
        <w:rPr>
          <w:rFonts w:ascii="Times New Roman" w:hAnsi="Times New Roman" w:cs="Times New Roman"/>
          <w:sz w:val="24"/>
          <w:szCs w:val="24"/>
        </w:rPr>
      </w:pPr>
    </w:p>
    <w:p w:rsidR="00944E88" w:rsidRPr="00944E88" w:rsidRDefault="00944E88" w:rsidP="00D72970">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 xml:space="preserve">O presente trabalho trata do comportamento do mercado imobiliário nas cidades de São Paulo e Rio de Janeiro no período de 2008 a 2017, analisando dados mensais de preços de venda e de aluguel de imóveis, consumo aparente, estoque de imóveis e taxa de retorno de mercado (IBOVESPA). Foram estimados dois modelos, o primeiro, o CAPM, visou analisar o comportamento do retorno do investimento imobiliário das duas localidades em relação ao retorno de mercado e o segundo modelo, o CCAPM modificado para existência de preferências pela propriedade de imóveis. O estudo </w:t>
      </w:r>
      <w:proofErr w:type="gramStart"/>
      <w:r w:rsidRPr="00944E88">
        <w:rPr>
          <w:rFonts w:ascii="Times New Roman" w:hAnsi="Times New Roman" w:cs="Times New Roman"/>
          <w:sz w:val="24"/>
          <w:szCs w:val="24"/>
        </w:rPr>
        <w:t>conclui,</w:t>
      </w:r>
      <w:proofErr w:type="gramEnd"/>
      <w:r w:rsidRPr="00944E88">
        <w:rPr>
          <w:rFonts w:ascii="Times New Roman" w:hAnsi="Times New Roman" w:cs="Times New Roman"/>
          <w:sz w:val="24"/>
          <w:szCs w:val="24"/>
        </w:rPr>
        <w:t xml:space="preserve"> em relação às taxas de retorno, que a variação da taxa de retorno do investimento no mercado imobiliário, tanto no Rio de Janeiro quanto em São Paulo, é afetada de forma negativa pela variação da taxa de retorno de mercado. Além disso, quando inclui o consumo no modelo de precificação, observa-se um fator de desconto intertemporal do consumo em torno de 0,99 ao mês para as duas cidades, confirmando que o consumidor brasileiro é mais impaciente que o americano, e que os perc</w:t>
      </w:r>
      <w:r w:rsidR="00371377">
        <w:rPr>
          <w:rFonts w:ascii="Times New Roman" w:hAnsi="Times New Roman" w:cs="Times New Roman"/>
          <w:sz w:val="24"/>
          <w:szCs w:val="24"/>
        </w:rPr>
        <w:t xml:space="preserve">entuais da sua renda destinada </w:t>
      </w:r>
      <w:r w:rsidRPr="00944E88">
        <w:rPr>
          <w:rFonts w:ascii="Times New Roman" w:hAnsi="Times New Roman" w:cs="Times New Roman"/>
          <w:sz w:val="24"/>
          <w:szCs w:val="24"/>
        </w:rPr>
        <w:t>ao investimento imobiliário são de 18% e 23% aproximadamente para as cidades de São Paulo e Rio de Janeiro respectivamente.</w:t>
      </w:r>
    </w:p>
    <w:p w:rsidR="00D72970" w:rsidRDefault="00D72970" w:rsidP="00D72970">
      <w:pPr>
        <w:spacing w:after="0" w:line="240" w:lineRule="auto"/>
        <w:rPr>
          <w:rFonts w:ascii="Times New Roman" w:hAnsi="Times New Roman" w:cs="Times New Roman"/>
          <w:b/>
          <w:sz w:val="24"/>
          <w:szCs w:val="24"/>
        </w:rPr>
      </w:pPr>
    </w:p>
    <w:p w:rsidR="0013317D" w:rsidRDefault="0013317D" w:rsidP="00D72970">
      <w:pPr>
        <w:spacing w:after="0" w:line="240" w:lineRule="auto"/>
        <w:rPr>
          <w:rFonts w:ascii="Times New Roman" w:hAnsi="Times New Roman" w:cs="Times New Roman"/>
          <w:sz w:val="24"/>
          <w:szCs w:val="24"/>
        </w:rPr>
      </w:pPr>
      <w:r w:rsidRPr="0073171A">
        <w:rPr>
          <w:rFonts w:ascii="Times New Roman" w:hAnsi="Times New Roman" w:cs="Times New Roman"/>
          <w:b/>
          <w:sz w:val="24"/>
          <w:szCs w:val="24"/>
        </w:rPr>
        <w:t>Palavras-chave:</w:t>
      </w:r>
      <w:r w:rsidR="00627547" w:rsidRPr="00944E88">
        <w:rPr>
          <w:rFonts w:ascii="Times New Roman" w:hAnsi="Times New Roman" w:cs="Times New Roman"/>
          <w:sz w:val="24"/>
          <w:szCs w:val="24"/>
        </w:rPr>
        <w:t xml:space="preserve"> </w:t>
      </w:r>
      <w:r w:rsidR="00F957A3" w:rsidRPr="00944E88">
        <w:rPr>
          <w:rFonts w:ascii="Times New Roman" w:hAnsi="Times New Roman" w:cs="Times New Roman"/>
          <w:sz w:val="24"/>
          <w:szCs w:val="24"/>
        </w:rPr>
        <w:t xml:space="preserve">Mercado </w:t>
      </w:r>
      <w:r w:rsidR="00627547" w:rsidRPr="00944E88">
        <w:rPr>
          <w:rFonts w:ascii="Times New Roman" w:hAnsi="Times New Roman" w:cs="Times New Roman"/>
          <w:sz w:val="24"/>
          <w:szCs w:val="24"/>
        </w:rPr>
        <w:t>imobiliário, Capi</w:t>
      </w:r>
      <w:r w:rsidR="00742C4D" w:rsidRPr="00944E88">
        <w:rPr>
          <w:rFonts w:ascii="Times New Roman" w:hAnsi="Times New Roman" w:cs="Times New Roman"/>
          <w:sz w:val="24"/>
          <w:szCs w:val="24"/>
        </w:rPr>
        <w:t xml:space="preserve">tal </w:t>
      </w:r>
      <w:proofErr w:type="spellStart"/>
      <w:r w:rsidR="00742C4D" w:rsidRPr="00944E88">
        <w:rPr>
          <w:rFonts w:ascii="Times New Roman" w:hAnsi="Times New Roman" w:cs="Times New Roman"/>
          <w:sz w:val="24"/>
          <w:szCs w:val="24"/>
        </w:rPr>
        <w:t>Asset</w:t>
      </w:r>
      <w:proofErr w:type="spellEnd"/>
      <w:r w:rsidR="00742C4D" w:rsidRPr="00944E88">
        <w:rPr>
          <w:rFonts w:ascii="Times New Roman" w:hAnsi="Times New Roman" w:cs="Times New Roman"/>
          <w:sz w:val="24"/>
          <w:szCs w:val="24"/>
        </w:rPr>
        <w:t xml:space="preserve"> </w:t>
      </w:r>
      <w:proofErr w:type="spellStart"/>
      <w:r w:rsidR="00742C4D" w:rsidRPr="00944E88">
        <w:rPr>
          <w:rFonts w:ascii="Times New Roman" w:hAnsi="Times New Roman" w:cs="Times New Roman"/>
          <w:sz w:val="24"/>
          <w:szCs w:val="24"/>
        </w:rPr>
        <w:t>Pricing</w:t>
      </w:r>
      <w:proofErr w:type="spellEnd"/>
      <w:r w:rsidR="00742C4D" w:rsidRPr="00944E88">
        <w:rPr>
          <w:rFonts w:ascii="Times New Roman" w:hAnsi="Times New Roman" w:cs="Times New Roman"/>
          <w:sz w:val="24"/>
          <w:szCs w:val="24"/>
        </w:rPr>
        <w:t xml:space="preserve">, </w:t>
      </w:r>
      <w:proofErr w:type="spellStart"/>
      <w:r w:rsidR="00742C4D" w:rsidRPr="00944E88">
        <w:rPr>
          <w:rFonts w:ascii="Times New Roman" w:hAnsi="Times New Roman" w:cs="Times New Roman"/>
          <w:sz w:val="24"/>
          <w:szCs w:val="24"/>
        </w:rPr>
        <w:t>Consumption</w:t>
      </w:r>
      <w:proofErr w:type="spellEnd"/>
      <w:r w:rsidR="00742C4D" w:rsidRPr="00944E88">
        <w:rPr>
          <w:rFonts w:ascii="Times New Roman" w:hAnsi="Times New Roman" w:cs="Times New Roman"/>
          <w:sz w:val="24"/>
          <w:szCs w:val="24"/>
        </w:rPr>
        <w:t xml:space="preserve"> </w:t>
      </w:r>
      <w:proofErr w:type="spellStart"/>
      <w:r w:rsidR="00742C4D" w:rsidRPr="00944E88">
        <w:rPr>
          <w:rFonts w:ascii="Times New Roman" w:hAnsi="Times New Roman" w:cs="Times New Roman"/>
          <w:sz w:val="24"/>
          <w:szCs w:val="24"/>
        </w:rPr>
        <w:t>B</w:t>
      </w:r>
      <w:r w:rsidR="00627547" w:rsidRPr="00944E88">
        <w:rPr>
          <w:rFonts w:ascii="Times New Roman" w:hAnsi="Times New Roman" w:cs="Times New Roman"/>
          <w:sz w:val="24"/>
          <w:szCs w:val="24"/>
        </w:rPr>
        <w:t>ased</w:t>
      </w:r>
      <w:proofErr w:type="spellEnd"/>
      <w:r w:rsidR="00627547" w:rsidRPr="00944E88">
        <w:rPr>
          <w:rFonts w:ascii="Times New Roman" w:hAnsi="Times New Roman" w:cs="Times New Roman"/>
          <w:sz w:val="24"/>
          <w:szCs w:val="24"/>
        </w:rPr>
        <w:t xml:space="preserve"> </w:t>
      </w:r>
      <w:proofErr w:type="gramStart"/>
      <w:r w:rsidR="00627547" w:rsidRPr="00944E88">
        <w:rPr>
          <w:rFonts w:ascii="Times New Roman" w:hAnsi="Times New Roman" w:cs="Times New Roman"/>
          <w:sz w:val="24"/>
          <w:szCs w:val="24"/>
        </w:rPr>
        <w:t>Capital</w:t>
      </w:r>
      <w:proofErr w:type="gramEnd"/>
      <w:r w:rsidR="00627547" w:rsidRPr="00944E88">
        <w:rPr>
          <w:rFonts w:ascii="Times New Roman" w:hAnsi="Times New Roman" w:cs="Times New Roman"/>
          <w:sz w:val="24"/>
          <w:szCs w:val="24"/>
        </w:rPr>
        <w:t xml:space="preserve"> </w:t>
      </w:r>
      <w:proofErr w:type="spellStart"/>
      <w:r w:rsidR="00627547" w:rsidRPr="00944E88">
        <w:rPr>
          <w:rFonts w:ascii="Times New Roman" w:hAnsi="Times New Roman" w:cs="Times New Roman"/>
          <w:sz w:val="24"/>
          <w:szCs w:val="24"/>
        </w:rPr>
        <w:t>Asset</w:t>
      </w:r>
      <w:proofErr w:type="spellEnd"/>
      <w:r w:rsidR="00627547" w:rsidRPr="00944E88">
        <w:rPr>
          <w:rFonts w:ascii="Times New Roman" w:hAnsi="Times New Roman" w:cs="Times New Roman"/>
          <w:sz w:val="24"/>
          <w:szCs w:val="24"/>
        </w:rPr>
        <w:t xml:space="preserve"> </w:t>
      </w:r>
      <w:proofErr w:type="spellStart"/>
      <w:r w:rsidR="00627547" w:rsidRPr="00944E88">
        <w:rPr>
          <w:rFonts w:ascii="Times New Roman" w:hAnsi="Times New Roman" w:cs="Times New Roman"/>
          <w:sz w:val="24"/>
          <w:szCs w:val="24"/>
        </w:rPr>
        <w:t>Pricing</w:t>
      </w:r>
      <w:proofErr w:type="spellEnd"/>
      <w:r w:rsidR="00627547" w:rsidRPr="00944E88">
        <w:rPr>
          <w:rFonts w:ascii="Times New Roman" w:hAnsi="Times New Roman" w:cs="Times New Roman"/>
          <w:sz w:val="24"/>
          <w:szCs w:val="24"/>
        </w:rPr>
        <w:t>.</w:t>
      </w:r>
    </w:p>
    <w:p w:rsidR="0073171A" w:rsidRDefault="0073171A" w:rsidP="00D72970">
      <w:pPr>
        <w:spacing w:after="0" w:line="240" w:lineRule="auto"/>
        <w:rPr>
          <w:rFonts w:ascii="Times New Roman" w:hAnsi="Times New Roman" w:cs="Times New Roman"/>
          <w:sz w:val="24"/>
          <w:szCs w:val="24"/>
        </w:rPr>
      </w:pPr>
    </w:p>
    <w:p w:rsidR="0073171A" w:rsidRDefault="0073171A" w:rsidP="00D72970">
      <w:pPr>
        <w:spacing w:after="0" w:line="240" w:lineRule="auto"/>
        <w:rPr>
          <w:rFonts w:ascii="Times New Roman" w:hAnsi="Times New Roman" w:cs="Times New Roman"/>
          <w:b/>
          <w:sz w:val="24"/>
          <w:szCs w:val="24"/>
        </w:rPr>
      </w:pPr>
      <w:r w:rsidRPr="0073171A">
        <w:rPr>
          <w:rFonts w:ascii="Times New Roman" w:hAnsi="Times New Roman" w:cs="Times New Roman"/>
          <w:b/>
          <w:sz w:val="24"/>
          <w:szCs w:val="24"/>
        </w:rPr>
        <w:t xml:space="preserve">ABSTRACT </w:t>
      </w:r>
    </w:p>
    <w:p w:rsidR="00371377" w:rsidRDefault="00371377" w:rsidP="00371377">
      <w:pPr>
        <w:spacing w:after="0" w:line="240" w:lineRule="auto"/>
        <w:jc w:val="both"/>
        <w:rPr>
          <w:rFonts w:ascii="Times New Roman" w:hAnsi="Times New Roman" w:cs="Times New Roman"/>
          <w:sz w:val="24"/>
          <w:szCs w:val="24"/>
        </w:rPr>
      </w:pPr>
    </w:p>
    <w:p w:rsidR="00371377" w:rsidRDefault="00371377" w:rsidP="00371377">
      <w:pPr>
        <w:spacing w:after="0" w:line="240" w:lineRule="auto"/>
        <w:jc w:val="both"/>
        <w:rPr>
          <w:rFonts w:ascii="Times New Roman" w:hAnsi="Times New Roman" w:cs="Times New Roman"/>
          <w:sz w:val="24"/>
          <w:szCs w:val="24"/>
        </w:rPr>
      </w:pPr>
      <w:proofErr w:type="spellStart"/>
      <w:r w:rsidRPr="00371377">
        <w:rPr>
          <w:rFonts w:ascii="Times New Roman" w:hAnsi="Times New Roman" w:cs="Times New Roman"/>
          <w:sz w:val="24"/>
          <w:szCs w:val="24"/>
        </w:rPr>
        <w:t>This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paper</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deals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with</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behavior</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market</w:t>
      </w:r>
      <w:proofErr w:type="spellEnd"/>
      <w:r w:rsidRPr="00371377">
        <w:rPr>
          <w:rFonts w:ascii="Times New Roman" w:hAnsi="Times New Roman" w:cs="Times New Roman"/>
          <w:sz w:val="24"/>
          <w:szCs w:val="24"/>
        </w:rPr>
        <w:t xml:space="preserve"> in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cities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São Paulo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Rio de Janeiro </w:t>
      </w:r>
      <w:proofErr w:type="spellStart"/>
      <w:r w:rsidRPr="00371377">
        <w:rPr>
          <w:rFonts w:ascii="Times New Roman" w:hAnsi="Times New Roman" w:cs="Times New Roman"/>
          <w:sz w:val="24"/>
          <w:szCs w:val="24"/>
        </w:rPr>
        <w:t>from</w:t>
      </w:r>
      <w:proofErr w:type="spellEnd"/>
      <w:r w:rsidRPr="00371377">
        <w:rPr>
          <w:rFonts w:ascii="Times New Roman" w:hAnsi="Times New Roman" w:cs="Times New Roman"/>
          <w:sz w:val="24"/>
          <w:szCs w:val="24"/>
        </w:rPr>
        <w:t xml:space="preserve"> 2008 </w:t>
      </w:r>
      <w:proofErr w:type="spellStart"/>
      <w:r w:rsidRPr="00371377">
        <w:rPr>
          <w:rFonts w:ascii="Times New Roman" w:hAnsi="Times New Roman" w:cs="Times New Roman"/>
          <w:sz w:val="24"/>
          <w:szCs w:val="24"/>
        </w:rPr>
        <w:t>to</w:t>
      </w:r>
      <w:proofErr w:type="spellEnd"/>
      <w:r w:rsidRPr="00371377">
        <w:rPr>
          <w:rFonts w:ascii="Times New Roman" w:hAnsi="Times New Roman" w:cs="Times New Roman"/>
          <w:sz w:val="24"/>
          <w:szCs w:val="24"/>
        </w:rPr>
        <w:t xml:space="preserve"> 2017, </w:t>
      </w:r>
      <w:proofErr w:type="spellStart"/>
      <w:r w:rsidRPr="00371377">
        <w:rPr>
          <w:rFonts w:ascii="Times New Roman" w:hAnsi="Times New Roman" w:cs="Times New Roman"/>
          <w:sz w:val="24"/>
          <w:szCs w:val="24"/>
        </w:rPr>
        <w:t>analyzing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monthly</w:t>
      </w:r>
      <w:proofErr w:type="spellEnd"/>
      <w:r w:rsidRPr="00371377">
        <w:rPr>
          <w:rFonts w:ascii="Times New Roman" w:hAnsi="Times New Roman" w:cs="Times New Roman"/>
          <w:sz w:val="24"/>
          <w:szCs w:val="24"/>
        </w:rPr>
        <w:t xml:space="preserve"> data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sale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prices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rental</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apparent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consumption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inventory</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market</w:t>
      </w:r>
      <w:proofErr w:type="spellEnd"/>
      <w:r w:rsidRPr="00371377">
        <w:rPr>
          <w:rFonts w:ascii="Times New Roman" w:hAnsi="Times New Roman" w:cs="Times New Roman"/>
          <w:sz w:val="24"/>
          <w:szCs w:val="24"/>
        </w:rPr>
        <w:t xml:space="preserve"> rate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(IBOVESPA). </w:t>
      </w:r>
      <w:proofErr w:type="spellStart"/>
      <w:r w:rsidRPr="00371377">
        <w:rPr>
          <w:rFonts w:ascii="Times New Roman" w:hAnsi="Times New Roman" w:cs="Times New Roman"/>
          <w:sz w:val="24"/>
          <w:szCs w:val="24"/>
        </w:rPr>
        <w:t>Two</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models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were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estimated</w:t>
      </w:r>
      <w:proofErr w:type="spellEnd"/>
      <w:r w:rsidRPr="00371377">
        <w:rPr>
          <w:rFonts w:ascii="Times New Roman" w:hAnsi="Times New Roman" w:cs="Times New Roman"/>
          <w:sz w:val="24"/>
          <w:szCs w:val="24"/>
        </w:rPr>
        <w:t xml:space="preserve">. The </w:t>
      </w:r>
      <w:proofErr w:type="spellStart"/>
      <w:r w:rsidRPr="00371377">
        <w:rPr>
          <w:rFonts w:ascii="Times New Roman" w:hAnsi="Times New Roman" w:cs="Times New Roman"/>
          <w:sz w:val="24"/>
          <w:szCs w:val="24"/>
        </w:rPr>
        <w:t>first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one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CAPM, </w:t>
      </w:r>
      <w:proofErr w:type="spellStart"/>
      <w:r w:rsidRPr="00371377">
        <w:rPr>
          <w:rFonts w:ascii="Times New Roman" w:hAnsi="Times New Roman" w:cs="Times New Roman"/>
          <w:sz w:val="24"/>
          <w:szCs w:val="24"/>
        </w:rPr>
        <w:t>was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aimed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analyzing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behavior</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investment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two</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localities</w:t>
      </w:r>
      <w:proofErr w:type="spellEnd"/>
      <w:r w:rsidRPr="00371377">
        <w:rPr>
          <w:rFonts w:ascii="Times New Roman" w:hAnsi="Times New Roman" w:cs="Times New Roman"/>
          <w:sz w:val="24"/>
          <w:szCs w:val="24"/>
        </w:rPr>
        <w:t xml:space="preserve"> in </w:t>
      </w:r>
      <w:proofErr w:type="spellStart"/>
      <w:r w:rsidRPr="00371377">
        <w:rPr>
          <w:rFonts w:ascii="Times New Roman" w:hAnsi="Times New Roman" w:cs="Times New Roman"/>
          <w:sz w:val="24"/>
          <w:szCs w:val="24"/>
        </w:rPr>
        <w:t>relation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to</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market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second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model</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modified</w:t>
      </w:r>
      <w:proofErr w:type="spellEnd"/>
      <w:r w:rsidRPr="00371377">
        <w:rPr>
          <w:rFonts w:ascii="Times New Roman" w:hAnsi="Times New Roman" w:cs="Times New Roman"/>
          <w:sz w:val="24"/>
          <w:szCs w:val="24"/>
        </w:rPr>
        <w:t xml:space="preserve"> CCAPM for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existence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preferences</w:t>
      </w:r>
      <w:proofErr w:type="spellEnd"/>
      <w:r w:rsidRPr="00371377">
        <w:rPr>
          <w:rFonts w:ascii="Times New Roman" w:hAnsi="Times New Roman" w:cs="Times New Roman"/>
          <w:sz w:val="24"/>
          <w:szCs w:val="24"/>
        </w:rPr>
        <w:t xml:space="preserve"> for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property</w:t>
      </w:r>
      <w:proofErr w:type="spellEnd"/>
      <w:r w:rsidRPr="00371377">
        <w:rPr>
          <w:rFonts w:ascii="Times New Roman" w:hAnsi="Times New Roman" w:cs="Times New Roman"/>
          <w:sz w:val="24"/>
          <w:szCs w:val="24"/>
        </w:rPr>
        <w:t>.</w:t>
      </w:r>
      <w:r>
        <w:rPr>
          <w:rFonts w:ascii="Times New Roman" w:hAnsi="Times New Roman" w:cs="Times New Roman"/>
          <w:sz w:val="24"/>
          <w:szCs w:val="24"/>
        </w:rPr>
        <w:t xml:space="preserve"> </w:t>
      </w:r>
      <w:r w:rsidRPr="00371377">
        <w:rPr>
          <w:rFonts w:ascii="Times New Roman" w:hAnsi="Times New Roman" w:cs="Times New Roman"/>
          <w:sz w:val="24"/>
          <w:szCs w:val="24"/>
        </w:rPr>
        <w:t xml:space="preserve">The </w:t>
      </w:r>
      <w:proofErr w:type="spellStart"/>
      <w:r w:rsidRPr="00371377">
        <w:rPr>
          <w:rFonts w:ascii="Times New Roman" w:hAnsi="Times New Roman" w:cs="Times New Roman"/>
          <w:sz w:val="24"/>
          <w:szCs w:val="24"/>
        </w:rPr>
        <w:t>study</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concludes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with</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respect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to</w:t>
      </w:r>
      <w:proofErr w:type="spellEnd"/>
      <w:r w:rsidRPr="00371377">
        <w:rPr>
          <w:rFonts w:ascii="Times New Roman" w:hAnsi="Times New Roman" w:cs="Times New Roman"/>
          <w:sz w:val="24"/>
          <w:szCs w:val="24"/>
        </w:rPr>
        <w:t xml:space="preserve"> rates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that</w:t>
      </w:r>
      <w:proofErr w:type="spellEnd"/>
      <w:r w:rsidRPr="00371377">
        <w:rPr>
          <w:rFonts w:ascii="Times New Roman" w:hAnsi="Times New Roman" w:cs="Times New Roman"/>
          <w:sz w:val="24"/>
          <w:szCs w:val="24"/>
        </w:rPr>
        <w:t xml:space="preserve"> a </w:t>
      </w:r>
      <w:proofErr w:type="spellStart"/>
      <w:r w:rsidRPr="00371377">
        <w:rPr>
          <w:rFonts w:ascii="Times New Roman" w:hAnsi="Times New Roman" w:cs="Times New Roman"/>
          <w:sz w:val="24"/>
          <w:szCs w:val="24"/>
        </w:rPr>
        <w:t>variation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rate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investment</w:t>
      </w:r>
      <w:proofErr w:type="spellEnd"/>
      <w:r w:rsidRPr="00371377">
        <w:rPr>
          <w:rFonts w:ascii="Times New Roman" w:hAnsi="Times New Roman" w:cs="Times New Roman"/>
          <w:sz w:val="24"/>
          <w:szCs w:val="24"/>
        </w:rPr>
        <w:t xml:space="preserve"> in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market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both</w:t>
      </w:r>
      <w:proofErr w:type="spellEnd"/>
      <w:r w:rsidRPr="00371377">
        <w:rPr>
          <w:rFonts w:ascii="Times New Roman" w:hAnsi="Times New Roman" w:cs="Times New Roman"/>
          <w:sz w:val="24"/>
          <w:szCs w:val="24"/>
        </w:rPr>
        <w:t xml:space="preserve"> in Rio de Janeiro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in São Paulo, </w:t>
      </w:r>
      <w:proofErr w:type="spellStart"/>
      <w:r w:rsidRPr="00371377">
        <w:rPr>
          <w:rFonts w:ascii="Times New Roman" w:hAnsi="Times New Roman" w:cs="Times New Roman"/>
          <w:sz w:val="24"/>
          <w:szCs w:val="24"/>
        </w:rPr>
        <w:t>is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negatively</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affected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by</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variation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market</w:t>
      </w:r>
      <w:proofErr w:type="spellEnd"/>
      <w:r w:rsidRPr="00371377">
        <w:rPr>
          <w:rFonts w:ascii="Times New Roman" w:hAnsi="Times New Roman" w:cs="Times New Roman"/>
          <w:sz w:val="24"/>
          <w:szCs w:val="24"/>
        </w:rPr>
        <w:t xml:space="preserve"> rate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return</w:t>
      </w:r>
      <w:proofErr w:type="spellEnd"/>
      <w:r w:rsidRPr="00371377">
        <w:rPr>
          <w:rFonts w:ascii="Times New Roman" w:hAnsi="Times New Roman" w:cs="Times New Roman"/>
          <w:sz w:val="24"/>
          <w:szCs w:val="24"/>
        </w:rPr>
        <w:t xml:space="preserve">. In </w:t>
      </w:r>
      <w:proofErr w:type="spellStart"/>
      <w:r w:rsidRPr="00371377">
        <w:rPr>
          <w:rFonts w:ascii="Times New Roman" w:hAnsi="Times New Roman" w:cs="Times New Roman"/>
          <w:sz w:val="24"/>
          <w:szCs w:val="24"/>
        </w:rPr>
        <w:t>addition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when</w:t>
      </w:r>
      <w:proofErr w:type="spellEnd"/>
      <w:r w:rsidRPr="00371377">
        <w:rPr>
          <w:rFonts w:ascii="Times New Roman" w:hAnsi="Times New Roman" w:cs="Times New Roman"/>
          <w:sz w:val="24"/>
          <w:szCs w:val="24"/>
        </w:rPr>
        <w:t xml:space="preserve"> </w:t>
      </w:r>
      <w:proofErr w:type="spellStart"/>
      <w:r>
        <w:rPr>
          <w:rFonts w:ascii="Times New Roman" w:hAnsi="Times New Roman" w:cs="Times New Roman"/>
          <w:sz w:val="24"/>
          <w:szCs w:val="24"/>
        </w:rPr>
        <w:t>consumption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proofErr w:type="gramStart"/>
      <w:r>
        <w:rPr>
          <w:rFonts w:ascii="Times New Roman" w:hAnsi="Times New Roman" w:cs="Times New Roman"/>
          <w:sz w:val="24"/>
          <w:szCs w:val="24"/>
        </w:rPr>
        <w:t xml:space="preserve"> </w:t>
      </w:r>
      <w:r w:rsidRPr="00371377">
        <w:rPr>
          <w:rFonts w:ascii="Times New Roman" w:hAnsi="Times New Roman" w:cs="Times New Roman"/>
          <w:sz w:val="24"/>
          <w:szCs w:val="24"/>
        </w:rPr>
        <w:t xml:space="preserve"> </w:t>
      </w:r>
      <w:proofErr w:type="spellStart"/>
      <w:proofErr w:type="gramEnd"/>
      <w:r w:rsidRPr="00371377">
        <w:rPr>
          <w:rFonts w:ascii="Times New Roman" w:hAnsi="Times New Roman" w:cs="Times New Roman"/>
          <w:sz w:val="24"/>
          <w:szCs w:val="24"/>
        </w:rPr>
        <w:t>include</w:t>
      </w:r>
      <w:r>
        <w:rPr>
          <w:rFonts w:ascii="Times New Roman" w:hAnsi="Times New Roman" w:cs="Times New Roman"/>
          <w:sz w:val="24"/>
          <w:szCs w:val="24"/>
        </w:rPr>
        <w:t>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pricing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model</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an</w:t>
      </w:r>
      <w:proofErr w:type="spellEnd"/>
      <w:r w:rsidRPr="00371377">
        <w:rPr>
          <w:rFonts w:ascii="Times New Roman" w:hAnsi="Times New Roman" w:cs="Times New Roman"/>
          <w:sz w:val="24"/>
          <w:szCs w:val="24"/>
        </w:rPr>
        <w:t xml:space="preserve"> intertemporal </w:t>
      </w:r>
      <w:proofErr w:type="spellStart"/>
      <w:r w:rsidRPr="00371377">
        <w:rPr>
          <w:rFonts w:ascii="Times New Roman" w:hAnsi="Times New Roman" w:cs="Times New Roman"/>
          <w:sz w:val="24"/>
          <w:szCs w:val="24"/>
        </w:rPr>
        <w:t>discount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factor</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consumption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around</w:t>
      </w:r>
      <w:proofErr w:type="spellEnd"/>
      <w:r w:rsidRPr="00371377">
        <w:rPr>
          <w:rFonts w:ascii="Times New Roman" w:hAnsi="Times New Roman" w:cs="Times New Roman"/>
          <w:sz w:val="24"/>
          <w:szCs w:val="24"/>
        </w:rPr>
        <w:t xml:space="preserve"> 0.99 per </w:t>
      </w:r>
      <w:proofErr w:type="spellStart"/>
      <w:r w:rsidRPr="00371377">
        <w:rPr>
          <w:rFonts w:ascii="Times New Roman" w:hAnsi="Times New Roman" w:cs="Times New Roman"/>
          <w:sz w:val="24"/>
          <w:szCs w:val="24"/>
        </w:rPr>
        <w:t>month</w:t>
      </w:r>
      <w:proofErr w:type="spellEnd"/>
      <w:r w:rsidRPr="00371377">
        <w:rPr>
          <w:rFonts w:ascii="Times New Roman" w:hAnsi="Times New Roman" w:cs="Times New Roman"/>
          <w:sz w:val="24"/>
          <w:szCs w:val="24"/>
        </w:rPr>
        <w:t xml:space="preserve"> for </w:t>
      </w:r>
      <w:proofErr w:type="spellStart"/>
      <w:r w:rsidRPr="00371377">
        <w:rPr>
          <w:rFonts w:ascii="Times New Roman" w:hAnsi="Times New Roman" w:cs="Times New Roman"/>
          <w:sz w:val="24"/>
          <w:szCs w:val="24"/>
        </w:rPr>
        <w:t>both</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cities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observed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confirming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that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Brazilian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consumer</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is</w:t>
      </w:r>
      <w:proofErr w:type="spellEnd"/>
      <w:r w:rsidRPr="00371377">
        <w:rPr>
          <w:rFonts w:ascii="Times New Roman" w:hAnsi="Times New Roman" w:cs="Times New Roman"/>
          <w:sz w:val="24"/>
          <w:szCs w:val="24"/>
        </w:rPr>
        <w:t xml:space="preserve"> more </w:t>
      </w:r>
      <w:proofErr w:type="spellStart"/>
      <w:r w:rsidRPr="00371377">
        <w:rPr>
          <w:rFonts w:ascii="Times New Roman" w:hAnsi="Times New Roman" w:cs="Times New Roman"/>
          <w:sz w:val="24"/>
          <w:szCs w:val="24"/>
        </w:rPr>
        <w:t>impatient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than</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American,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that</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Percentages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their</w:t>
      </w:r>
      <w:proofErr w:type="spellEnd"/>
      <w:r w:rsidRPr="00371377">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destined</w:t>
      </w:r>
      <w:proofErr w:type="spellEnd"/>
      <w:r>
        <w:rPr>
          <w:rFonts w:ascii="Times New Roman" w:hAnsi="Times New Roman" w:cs="Times New Roman"/>
          <w:sz w:val="24"/>
          <w:szCs w:val="24"/>
        </w:rPr>
        <w:t xml:space="preserve"> for </w:t>
      </w:r>
      <w:proofErr w:type="spellStart"/>
      <w:r w:rsidRPr="00371377">
        <w:rPr>
          <w:rFonts w:ascii="Times New Roman" w:hAnsi="Times New Roman" w:cs="Times New Roman"/>
          <w:sz w:val="24"/>
          <w:szCs w:val="24"/>
        </w:rPr>
        <w:t>housing</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investment</w:t>
      </w:r>
      <w:proofErr w:type="spellEnd"/>
      <w:r w:rsidRPr="00371377">
        <w:rPr>
          <w:rFonts w:ascii="Times New Roman" w:hAnsi="Times New Roman" w:cs="Times New Roman"/>
          <w:sz w:val="24"/>
          <w:szCs w:val="24"/>
        </w:rPr>
        <w:t xml:space="preserve"> are </w:t>
      </w:r>
      <w:proofErr w:type="spellStart"/>
      <w:r w:rsidRPr="00371377">
        <w:rPr>
          <w:rFonts w:ascii="Times New Roman" w:hAnsi="Times New Roman" w:cs="Times New Roman"/>
          <w:sz w:val="24"/>
          <w:szCs w:val="24"/>
        </w:rPr>
        <w:t>approximately</w:t>
      </w:r>
      <w:proofErr w:type="spellEnd"/>
      <w:r w:rsidRPr="00371377">
        <w:rPr>
          <w:rFonts w:ascii="Times New Roman" w:hAnsi="Times New Roman" w:cs="Times New Roman"/>
          <w:sz w:val="24"/>
          <w:szCs w:val="24"/>
        </w:rPr>
        <w:t xml:space="preserve"> 18%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23% for </w:t>
      </w:r>
      <w:proofErr w:type="spellStart"/>
      <w:r w:rsidRPr="00371377">
        <w:rPr>
          <w:rFonts w:ascii="Times New Roman" w:hAnsi="Times New Roman" w:cs="Times New Roman"/>
          <w:sz w:val="24"/>
          <w:szCs w:val="24"/>
        </w:rPr>
        <w:t>the</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cities</w:t>
      </w:r>
      <w:proofErr w:type="spellEnd"/>
      <w:r w:rsidRPr="00371377">
        <w:rPr>
          <w:rFonts w:ascii="Times New Roman" w:hAnsi="Times New Roman" w:cs="Times New Roman"/>
          <w:sz w:val="24"/>
          <w:szCs w:val="24"/>
        </w:rPr>
        <w:t xml:space="preserve"> </w:t>
      </w:r>
      <w:proofErr w:type="spellStart"/>
      <w:r w:rsidRPr="00371377">
        <w:rPr>
          <w:rFonts w:ascii="Times New Roman" w:hAnsi="Times New Roman" w:cs="Times New Roman"/>
          <w:sz w:val="24"/>
          <w:szCs w:val="24"/>
        </w:rPr>
        <w:t>of</w:t>
      </w:r>
      <w:proofErr w:type="spellEnd"/>
      <w:r w:rsidRPr="00371377">
        <w:rPr>
          <w:rFonts w:ascii="Times New Roman" w:hAnsi="Times New Roman" w:cs="Times New Roman"/>
          <w:sz w:val="24"/>
          <w:szCs w:val="24"/>
        </w:rPr>
        <w:t xml:space="preserve"> São Paulo </w:t>
      </w:r>
      <w:proofErr w:type="spellStart"/>
      <w:r w:rsidRPr="00371377">
        <w:rPr>
          <w:rFonts w:ascii="Times New Roman" w:hAnsi="Times New Roman" w:cs="Times New Roman"/>
          <w:sz w:val="24"/>
          <w:szCs w:val="24"/>
        </w:rPr>
        <w:t>and</w:t>
      </w:r>
      <w:proofErr w:type="spellEnd"/>
      <w:r w:rsidRPr="00371377">
        <w:rPr>
          <w:rFonts w:ascii="Times New Roman" w:hAnsi="Times New Roman" w:cs="Times New Roman"/>
          <w:sz w:val="24"/>
          <w:szCs w:val="24"/>
        </w:rPr>
        <w:t xml:space="preserve"> Rio de Janeiro </w:t>
      </w:r>
      <w:proofErr w:type="spellStart"/>
      <w:r w:rsidRPr="00371377">
        <w:rPr>
          <w:rFonts w:ascii="Times New Roman" w:hAnsi="Times New Roman" w:cs="Times New Roman"/>
          <w:sz w:val="24"/>
          <w:szCs w:val="24"/>
        </w:rPr>
        <w:t>respectively</w:t>
      </w:r>
      <w:proofErr w:type="spellEnd"/>
      <w:r w:rsidRPr="00371377">
        <w:rPr>
          <w:rFonts w:ascii="Times New Roman" w:hAnsi="Times New Roman" w:cs="Times New Roman"/>
          <w:sz w:val="24"/>
          <w:szCs w:val="24"/>
        </w:rPr>
        <w:t>.</w:t>
      </w:r>
    </w:p>
    <w:p w:rsidR="00371377" w:rsidRPr="00371377" w:rsidRDefault="00371377" w:rsidP="00371377">
      <w:pPr>
        <w:spacing w:after="0" w:line="240" w:lineRule="auto"/>
        <w:jc w:val="both"/>
        <w:rPr>
          <w:rFonts w:ascii="Times New Roman" w:hAnsi="Times New Roman" w:cs="Times New Roman"/>
          <w:sz w:val="24"/>
          <w:szCs w:val="24"/>
        </w:rPr>
      </w:pPr>
    </w:p>
    <w:p w:rsidR="0073171A" w:rsidRDefault="0073171A" w:rsidP="00D72970">
      <w:pPr>
        <w:spacing w:after="0" w:line="240" w:lineRule="auto"/>
        <w:rPr>
          <w:rFonts w:ascii="Times New Roman" w:hAnsi="Times New Roman" w:cs="Times New Roman"/>
          <w:sz w:val="24"/>
          <w:szCs w:val="24"/>
        </w:rPr>
      </w:pPr>
      <w:proofErr w:type="spellStart"/>
      <w:r w:rsidRPr="0073171A">
        <w:rPr>
          <w:rFonts w:ascii="Times New Roman" w:hAnsi="Times New Roman" w:cs="Times New Roman"/>
          <w:b/>
          <w:sz w:val="24"/>
          <w:szCs w:val="24"/>
        </w:rPr>
        <w:t>Keywords</w:t>
      </w:r>
      <w:proofErr w:type="spellEnd"/>
      <w:r w:rsidRPr="0073171A">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Housing</w:t>
      </w:r>
      <w:proofErr w:type="spellEnd"/>
      <w:r w:rsidR="004645BC">
        <w:rPr>
          <w:rFonts w:ascii="Times New Roman" w:hAnsi="Times New Roman" w:cs="Times New Roman"/>
          <w:sz w:val="24"/>
          <w:szCs w:val="24"/>
        </w:rPr>
        <w:t xml:space="preserve"> </w:t>
      </w:r>
      <w:proofErr w:type="spellStart"/>
      <w:r w:rsidR="004645BC">
        <w:rPr>
          <w:rFonts w:ascii="Times New Roman" w:hAnsi="Times New Roman" w:cs="Times New Roman"/>
          <w:sz w:val="24"/>
          <w:szCs w:val="24"/>
        </w:rPr>
        <w:t>market</w:t>
      </w:r>
      <w:proofErr w:type="spellEnd"/>
      <w:r w:rsidRPr="00944E88">
        <w:rPr>
          <w:rFonts w:ascii="Times New Roman" w:hAnsi="Times New Roman" w:cs="Times New Roman"/>
          <w:sz w:val="24"/>
          <w:szCs w:val="24"/>
        </w:rPr>
        <w:t xml:space="preserve">, Capital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Pricing</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Consumption</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Based</w:t>
      </w:r>
      <w:proofErr w:type="spellEnd"/>
      <w:r w:rsidRPr="00944E88">
        <w:rPr>
          <w:rFonts w:ascii="Times New Roman" w:hAnsi="Times New Roman" w:cs="Times New Roman"/>
          <w:sz w:val="24"/>
          <w:szCs w:val="24"/>
        </w:rPr>
        <w:t xml:space="preserve"> Capital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Pricing</w:t>
      </w:r>
      <w:proofErr w:type="spellEnd"/>
      <w:r w:rsidRPr="00944E88">
        <w:rPr>
          <w:rFonts w:ascii="Times New Roman" w:hAnsi="Times New Roman" w:cs="Times New Roman"/>
          <w:sz w:val="24"/>
          <w:szCs w:val="24"/>
        </w:rPr>
        <w:t>.</w:t>
      </w:r>
    </w:p>
    <w:p w:rsidR="0045524C" w:rsidRPr="00944E88" w:rsidRDefault="0045524C" w:rsidP="00D72970">
      <w:pPr>
        <w:spacing w:line="240" w:lineRule="auto"/>
        <w:rPr>
          <w:rFonts w:ascii="Times New Roman" w:hAnsi="Times New Roman" w:cs="Times New Roman"/>
          <w:color w:val="FF0000"/>
          <w:sz w:val="24"/>
          <w:szCs w:val="24"/>
        </w:rPr>
      </w:pPr>
      <w:r w:rsidRPr="00944E88">
        <w:rPr>
          <w:rFonts w:ascii="Times New Roman" w:hAnsi="Times New Roman" w:cs="Times New Roman"/>
          <w:color w:val="FF0000"/>
          <w:sz w:val="24"/>
          <w:szCs w:val="24"/>
        </w:rPr>
        <w:br w:type="page"/>
      </w:r>
    </w:p>
    <w:p w:rsidR="0013317D" w:rsidRPr="00944E88" w:rsidRDefault="0045524C" w:rsidP="00944E88">
      <w:pPr>
        <w:pStyle w:val="PargrafodaLista"/>
        <w:numPr>
          <w:ilvl w:val="0"/>
          <w:numId w:val="1"/>
        </w:numPr>
        <w:spacing w:after="0" w:line="240" w:lineRule="auto"/>
        <w:ind w:left="709" w:hanging="709"/>
        <w:rPr>
          <w:rFonts w:ascii="Times New Roman" w:hAnsi="Times New Roman" w:cs="Times New Roman"/>
          <w:b/>
          <w:sz w:val="24"/>
          <w:szCs w:val="24"/>
        </w:rPr>
      </w:pPr>
      <w:r w:rsidRPr="00944E88">
        <w:rPr>
          <w:rFonts w:ascii="Times New Roman" w:hAnsi="Times New Roman" w:cs="Times New Roman"/>
          <w:b/>
          <w:sz w:val="24"/>
          <w:szCs w:val="24"/>
        </w:rPr>
        <w:lastRenderedPageBreak/>
        <w:t>INTRODUÇÃO</w:t>
      </w:r>
    </w:p>
    <w:p w:rsidR="00D3229A" w:rsidRPr="00944E88" w:rsidRDefault="00D3229A" w:rsidP="00944E88">
      <w:pPr>
        <w:pStyle w:val="PargrafodaLista"/>
        <w:spacing w:after="0" w:line="240" w:lineRule="auto"/>
        <w:ind w:left="709"/>
        <w:rPr>
          <w:rFonts w:ascii="Times New Roman" w:hAnsi="Times New Roman" w:cs="Times New Roman"/>
          <w:b/>
          <w:color w:val="FF0000"/>
          <w:sz w:val="24"/>
          <w:szCs w:val="24"/>
        </w:rPr>
      </w:pPr>
    </w:p>
    <w:p w:rsidR="00953AE2" w:rsidRPr="00944E88" w:rsidRDefault="00953AE2"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Desde o estouro da bolha no mercado imobiliário dos Estados Unidos</w:t>
      </w:r>
      <w:r w:rsidR="005154E9" w:rsidRPr="00944E88">
        <w:rPr>
          <w:rFonts w:ascii="Times New Roman" w:hAnsi="Times New Roman" w:cs="Times New Roman"/>
          <w:sz w:val="24"/>
          <w:szCs w:val="24"/>
        </w:rPr>
        <w:t xml:space="preserve"> (EUA)</w:t>
      </w:r>
      <w:r w:rsidRPr="00944E88">
        <w:rPr>
          <w:rFonts w:ascii="Times New Roman" w:hAnsi="Times New Roman" w:cs="Times New Roman"/>
          <w:sz w:val="24"/>
          <w:szCs w:val="24"/>
        </w:rPr>
        <w:t xml:space="preserve"> em 2007 e a deflagração da Crise Financeira Internacional, o mercado imobiliário tem sido foco de vários pesquisadores da área econômica, principalmente no que diz respeito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abordagem do investimento em imóveis como um investimento financeiro. Os dados do setor imobiliário brasileiro mostram que</w:t>
      </w:r>
      <w:r w:rsidR="00881305" w:rsidRPr="00944E88">
        <w:rPr>
          <w:rFonts w:ascii="Times New Roman" w:hAnsi="Times New Roman" w:cs="Times New Roman"/>
          <w:sz w:val="24"/>
          <w:szCs w:val="24"/>
        </w:rPr>
        <w:t>,</w:t>
      </w:r>
      <w:r w:rsidRPr="00944E88">
        <w:rPr>
          <w:rFonts w:ascii="Times New Roman" w:hAnsi="Times New Roman" w:cs="Times New Roman"/>
          <w:sz w:val="24"/>
          <w:szCs w:val="24"/>
        </w:rPr>
        <w:t xml:space="preserve"> desde 2008 até o </w:t>
      </w:r>
      <w:r w:rsidR="00B035E9" w:rsidRPr="00944E88">
        <w:rPr>
          <w:rFonts w:ascii="Times New Roman" w:hAnsi="Times New Roman" w:cs="Times New Roman"/>
          <w:sz w:val="24"/>
          <w:szCs w:val="24"/>
        </w:rPr>
        <w:t>primeiro trimestre de 2017</w:t>
      </w:r>
      <w:r w:rsidR="00881305" w:rsidRPr="00944E88">
        <w:rPr>
          <w:rFonts w:ascii="Times New Roman" w:hAnsi="Times New Roman" w:cs="Times New Roman"/>
          <w:sz w:val="24"/>
          <w:szCs w:val="24"/>
        </w:rPr>
        <w:t>,</w:t>
      </w:r>
      <w:r w:rsidRPr="00944E88">
        <w:rPr>
          <w:rFonts w:ascii="Times New Roman" w:hAnsi="Times New Roman" w:cs="Times New Roman"/>
          <w:sz w:val="24"/>
          <w:szCs w:val="24"/>
        </w:rPr>
        <w:t xml:space="preserve"> a parcela do PIB gerada pelos serviços imobiliários e aluguel </w:t>
      </w:r>
      <w:r w:rsidR="007E4CA8" w:rsidRPr="00944E88">
        <w:rPr>
          <w:rFonts w:ascii="Times New Roman" w:hAnsi="Times New Roman" w:cs="Times New Roman"/>
          <w:sz w:val="24"/>
          <w:szCs w:val="24"/>
        </w:rPr>
        <w:t xml:space="preserve">é representativa, </w:t>
      </w:r>
      <w:proofErr w:type="gramStart"/>
      <w:r w:rsidR="007E4CA8" w:rsidRPr="00944E88">
        <w:rPr>
          <w:rFonts w:ascii="Times New Roman" w:hAnsi="Times New Roman" w:cs="Times New Roman"/>
          <w:sz w:val="24"/>
          <w:szCs w:val="24"/>
        </w:rPr>
        <w:t>cerca de 7,68</w:t>
      </w:r>
      <w:proofErr w:type="gramEnd"/>
      <w:r w:rsidR="007E4CA8" w:rsidRPr="00944E88">
        <w:rPr>
          <w:rFonts w:ascii="Times New Roman" w:hAnsi="Times New Roman" w:cs="Times New Roman"/>
          <w:sz w:val="24"/>
          <w:szCs w:val="24"/>
        </w:rPr>
        <w:t>%</w:t>
      </w:r>
      <w:r w:rsidR="00881305" w:rsidRPr="00944E88">
        <w:rPr>
          <w:rFonts w:ascii="Times New Roman" w:hAnsi="Times New Roman" w:cs="Times New Roman"/>
          <w:sz w:val="24"/>
          <w:szCs w:val="24"/>
        </w:rPr>
        <w:t>. A</w:t>
      </w:r>
      <w:r w:rsidR="007E4CA8" w:rsidRPr="00944E88">
        <w:rPr>
          <w:rFonts w:ascii="Times New Roman" w:hAnsi="Times New Roman" w:cs="Times New Roman"/>
          <w:sz w:val="24"/>
          <w:szCs w:val="24"/>
        </w:rPr>
        <w:t>lém disso, houve um</w:t>
      </w:r>
      <w:r w:rsidRPr="00944E88">
        <w:rPr>
          <w:rFonts w:ascii="Times New Roman" w:hAnsi="Times New Roman" w:cs="Times New Roman"/>
          <w:sz w:val="24"/>
          <w:szCs w:val="24"/>
        </w:rPr>
        <w:t xml:space="preserve"> crescimento representativo do valor e do percentual destinado </w:t>
      </w:r>
      <w:proofErr w:type="gramStart"/>
      <w:r w:rsidRPr="00944E88">
        <w:rPr>
          <w:rFonts w:ascii="Times New Roman" w:hAnsi="Times New Roman" w:cs="Times New Roman"/>
          <w:sz w:val="24"/>
          <w:szCs w:val="24"/>
        </w:rPr>
        <w:t>as</w:t>
      </w:r>
      <w:proofErr w:type="gramEnd"/>
      <w:r w:rsidRPr="00944E88">
        <w:rPr>
          <w:rFonts w:ascii="Times New Roman" w:hAnsi="Times New Roman" w:cs="Times New Roman"/>
          <w:sz w:val="24"/>
          <w:szCs w:val="24"/>
        </w:rPr>
        <w:t xml:space="preserve"> operações de crédito ao mercado imobiliário (de 5,30% para 17,78%)</w:t>
      </w:r>
      <w:r w:rsidR="001E0A0E" w:rsidRPr="00944E88">
        <w:rPr>
          <w:rFonts w:ascii="Times New Roman" w:hAnsi="Times New Roman" w:cs="Times New Roman"/>
          <w:sz w:val="24"/>
          <w:szCs w:val="24"/>
        </w:rPr>
        <w:t xml:space="preserve"> de 2008 a 2014</w:t>
      </w:r>
      <w:r w:rsidRPr="00944E88">
        <w:rPr>
          <w:rFonts w:ascii="Times New Roman" w:hAnsi="Times New Roman" w:cs="Times New Roman"/>
          <w:sz w:val="24"/>
          <w:szCs w:val="24"/>
        </w:rPr>
        <w:t>. Assim, o estudo sobre o comportamento do mercado imobiliário é de extrema relevância para entender a evolução da economia nacional.</w:t>
      </w:r>
    </w:p>
    <w:p w:rsidR="005154E9" w:rsidRPr="00944E88" w:rsidRDefault="007E4CA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A maior parte da literatura sobre mercado imobiliário concentra-se na análise dos dados do mercado imobiliário dos EUA</w:t>
      </w:r>
      <w:r w:rsidR="005154E9" w:rsidRPr="00944E88">
        <w:rPr>
          <w:rFonts w:ascii="Times New Roman" w:hAnsi="Times New Roman" w:cs="Times New Roman"/>
          <w:sz w:val="24"/>
          <w:szCs w:val="24"/>
        </w:rPr>
        <w:t xml:space="preserve">, o grande empecilho para o desenvolvimento de pesquisas nesta área no Brasil é a inexistência de uma boa base de dados que possa ser utilizada pelos pesquisadores. </w:t>
      </w:r>
    </w:p>
    <w:p w:rsidR="007E4CA8" w:rsidRPr="00944E88" w:rsidRDefault="005154E9"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r>
      <w:proofErr w:type="gramStart"/>
      <w:r w:rsidR="007E4CA8" w:rsidRPr="00944E88">
        <w:rPr>
          <w:rFonts w:ascii="Times New Roman" w:hAnsi="Times New Roman" w:cs="Times New Roman"/>
          <w:sz w:val="24"/>
          <w:szCs w:val="24"/>
        </w:rPr>
        <w:t>Case,</w:t>
      </w:r>
      <w:proofErr w:type="gramEnd"/>
      <w:r w:rsidR="007E4CA8" w:rsidRPr="00944E88">
        <w:rPr>
          <w:rFonts w:ascii="Times New Roman" w:hAnsi="Times New Roman" w:cs="Times New Roman"/>
          <w:sz w:val="24"/>
          <w:szCs w:val="24"/>
        </w:rPr>
        <w:t xml:space="preserve"> </w:t>
      </w:r>
      <w:proofErr w:type="spellStart"/>
      <w:r w:rsidR="007E4CA8" w:rsidRPr="00944E88">
        <w:rPr>
          <w:rFonts w:ascii="Times New Roman" w:hAnsi="Times New Roman" w:cs="Times New Roman"/>
          <w:sz w:val="24"/>
          <w:szCs w:val="24"/>
        </w:rPr>
        <w:t>Cotter</w:t>
      </w:r>
      <w:proofErr w:type="spellEnd"/>
      <w:r w:rsidR="007E4CA8" w:rsidRPr="00944E88">
        <w:rPr>
          <w:rFonts w:ascii="Times New Roman" w:hAnsi="Times New Roman" w:cs="Times New Roman"/>
          <w:sz w:val="24"/>
          <w:szCs w:val="24"/>
        </w:rPr>
        <w:t xml:space="preserve"> e Gabriel (2010) estimam vários modelos para investimentos nas regiões metropolitanas dos EUA incluindo controles para variáveis econômicas locais, os resultados mostraram que existe uma influência significativa do retorno do investimento imobiliário nacional nos retornos dos investimentos em imóveis da maioria das regiões metropolitanas analisadas. A média dos betas encontrados no modelo CAPM é de 0,72 e possuem um grande R². O mesmo não ocorre com o poder explicativo da variável de retorno dos investimentos em ativos da S&amp;P500 nos retornos dos investimentos imobiliários devido ao seu ser R² muito baixo. Além disso, a média dos betas do CAPM foi de -0,0412,</w:t>
      </w:r>
      <w:r w:rsidR="00A87A3D" w:rsidRPr="00944E88">
        <w:rPr>
          <w:rFonts w:ascii="Times New Roman" w:hAnsi="Times New Roman" w:cs="Times New Roman"/>
          <w:sz w:val="24"/>
          <w:szCs w:val="24"/>
        </w:rPr>
        <w:t xml:space="preserve"> um número negativo, porém pequeno</w:t>
      </w:r>
      <w:r w:rsidR="007E4CA8" w:rsidRPr="00944E88">
        <w:rPr>
          <w:rFonts w:ascii="Times New Roman" w:hAnsi="Times New Roman" w:cs="Times New Roman"/>
          <w:sz w:val="24"/>
          <w:szCs w:val="24"/>
        </w:rPr>
        <w:t xml:space="preserve">. </w:t>
      </w:r>
      <w:r w:rsidRPr="00944E88">
        <w:rPr>
          <w:rFonts w:ascii="Times New Roman" w:hAnsi="Times New Roman" w:cs="Times New Roman"/>
          <w:sz w:val="24"/>
          <w:szCs w:val="24"/>
        </w:rPr>
        <w:t>O</w:t>
      </w:r>
      <w:r w:rsidR="007E4CA8" w:rsidRPr="00944E88">
        <w:rPr>
          <w:rFonts w:ascii="Times New Roman" w:hAnsi="Times New Roman" w:cs="Times New Roman"/>
          <w:sz w:val="24"/>
          <w:szCs w:val="24"/>
        </w:rPr>
        <w:t>s autores ressaltam que a determinação dos retornos do mercado imobiliário nos EUA sofre um</w:t>
      </w:r>
      <w:r w:rsidR="00881305" w:rsidRPr="00944E88">
        <w:rPr>
          <w:rFonts w:ascii="Times New Roman" w:hAnsi="Times New Roman" w:cs="Times New Roman"/>
          <w:sz w:val="24"/>
          <w:szCs w:val="24"/>
        </w:rPr>
        <w:t>a grande influência de forças es</w:t>
      </w:r>
      <w:r w:rsidR="007E4CA8" w:rsidRPr="00944E88">
        <w:rPr>
          <w:rFonts w:ascii="Times New Roman" w:hAnsi="Times New Roman" w:cs="Times New Roman"/>
          <w:sz w:val="24"/>
          <w:szCs w:val="24"/>
        </w:rPr>
        <w:t xml:space="preserve">peculativas. </w:t>
      </w:r>
    </w:p>
    <w:p w:rsidR="007E4CA8" w:rsidRPr="00944E88" w:rsidRDefault="007E4CA8" w:rsidP="00944E88">
      <w:pPr>
        <w:autoSpaceDE w:val="0"/>
        <w:autoSpaceDN w:val="0"/>
        <w:adjustRightInd w:val="0"/>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Liu e </w:t>
      </w:r>
      <w:proofErr w:type="spellStart"/>
      <w:r w:rsidRPr="00944E88">
        <w:rPr>
          <w:rFonts w:ascii="Times New Roman" w:hAnsi="Times New Roman" w:cs="Times New Roman"/>
          <w:sz w:val="24"/>
          <w:szCs w:val="24"/>
        </w:rPr>
        <w:t>Xu</w:t>
      </w:r>
      <w:proofErr w:type="spellEnd"/>
      <w:r w:rsidRPr="00944E88">
        <w:rPr>
          <w:rFonts w:ascii="Times New Roman" w:hAnsi="Times New Roman" w:cs="Times New Roman"/>
          <w:sz w:val="24"/>
          <w:szCs w:val="24"/>
        </w:rPr>
        <w:t xml:space="preserve"> (2012) </w:t>
      </w:r>
      <w:r w:rsidR="005154E9" w:rsidRPr="00944E88">
        <w:rPr>
          <w:rFonts w:ascii="Times New Roman" w:hAnsi="Times New Roman" w:cs="Times New Roman"/>
          <w:sz w:val="24"/>
          <w:szCs w:val="24"/>
        </w:rPr>
        <w:t xml:space="preserve">destacam que </w:t>
      </w:r>
      <w:r w:rsidRPr="00944E88">
        <w:rPr>
          <w:rFonts w:ascii="Times New Roman" w:hAnsi="Times New Roman" w:cs="Times New Roman"/>
          <w:sz w:val="24"/>
          <w:szCs w:val="24"/>
        </w:rPr>
        <w:t>os imóveis podem ser comprados visando satisfazer a necessidade de moradia (podendo ser considerado como um bem de consumo) ou podem servir como forma de investimento do agente, podendo ser considerado um tipo de ativo financeiro</w:t>
      </w:r>
      <w:r w:rsidR="005154E9" w:rsidRPr="00944E88">
        <w:rPr>
          <w:rFonts w:ascii="Times New Roman" w:hAnsi="Times New Roman" w:cs="Times New Roman"/>
          <w:sz w:val="24"/>
          <w:szCs w:val="24"/>
        </w:rPr>
        <w:t>.</w:t>
      </w:r>
      <w:r w:rsidRPr="00944E88">
        <w:rPr>
          <w:rFonts w:ascii="Times New Roman" w:hAnsi="Times New Roman" w:cs="Times New Roman"/>
          <w:sz w:val="24"/>
          <w:szCs w:val="24"/>
        </w:rPr>
        <w:t xml:space="preserve"> Desta forma, observa-se que as pessoas atribuem uma parcela significativa da sua riqueza </w:t>
      </w:r>
      <w:r w:rsidR="007D6C21" w:rsidRPr="00944E88">
        <w:rPr>
          <w:rFonts w:ascii="Times New Roman" w:hAnsi="Times New Roman" w:cs="Times New Roman"/>
          <w:sz w:val="24"/>
          <w:szCs w:val="24"/>
        </w:rPr>
        <w:t>à</w:t>
      </w:r>
      <w:r w:rsidRPr="00944E88">
        <w:rPr>
          <w:rFonts w:ascii="Times New Roman" w:hAnsi="Times New Roman" w:cs="Times New Roman"/>
          <w:sz w:val="24"/>
          <w:szCs w:val="24"/>
        </w:rPr>
        <w:t xml:space="preserve"> propriedade de imóveis, o que não é abordado no modelo padrão da Teoria de Precificação de Ativos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Pricing</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Theory</w:t>
      </w:r>
      <w:proofErr w:type="spellEnd"/>
      <w:r w:rsidR="005154E9" w:rsidRPr="00944E88">
        <w:rPr>
          <w:rFonts w:ascii="Times New Roman" w:hAnsi="Times New Roman" w:cs="Times New Roman"/>
          <w:sz w:val="24"/>
          <w:szCs w:val="24"/>
        </w:rPr>
        <w:t>)</w:t>
      </w:r>
      <w:r w:rsidRPr="00944E88">
        <w:rPr>
          <w:rFonts w:ascii="Times New Roman" w:hAnsi="Times New Roman" w:cs="Times New Roman"/>
          <w:sz w:val="24"/>
          <w:szCs w:val="24"/>
        </w:rPr>
        <w:t>.</w:t>
      </w:r>
    </w:p>
    <w:p w:rsidR="00953AE2" w:rsidRPr="00944E88" w:rsidRDefault="007E4CA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b/>
          <w:sz w:val="24"/>
          <w:szCs w:val="24"/>
        </w:rPr>
        <w:tab/>
      </w:r>
      <w:r w:rsidR="005154E9" w:rsidRPr="00944E88">
        <w:rPr>
          <w:rFonts w:ascii="Times New Roman" w:hAnsi="Times New Roman" w:cs="Times New Roman"/>
          <w:sz w:val="24"/>
          <w:szCs w:val="24"/>
        </w:rPr>
        <w:t>O</w:t>
      </w:r>
      <w:r w:rsidR="005154E9" w:rsidRPr="00944E88">
        <w:rPr>
          <w:rFonts w:ascii="Times New Roman" w:hAnsi="Times New Roman" w:cs="Times New Roman"/>
          <w:b/>
          <w:sz w:val="24"/>
          <w:szCs w:val="24"/>
        </w:rPr>
        <w:t xml:space="preserve"> </w:t>
      </w:r>
      <w:r w:rsidR="00953AE2" w:rsidRPr="00944E88">
        <w:rPr>
          <w:rFonts w:ascii="Times New Roman" w:hAnsi="Times New Roman" w:cs="Times New Roman"/>
          <w:sz w:val="24"/>
          <w:szCs w:val="24"/>
        </w:rPr>
        <w:t>objetivo dest</w:t>
      </w:r>
      <w:r w:rsidR="005154E9" w:rsidRPr="00944E88">
        <w:rPr>
          <w:rFonts w:ascii="Times New Roman" w:hAnsi="Times New Roman" w:cs="Times New Roman"/>
          <w:sz w:val="24"/>
          <w:szCs w:val="24"/>
        </w:rPr>
        <w:t>e estudo é a</w:t>
      </w:r>
      <w:r w:rsidR="00953AE2" w:rsidRPr="00944E88">
        <w:rPr>
          <w:rFonts w:ascii="Times New Roman" w:hAnsi="Times New Roman" w:cs="Times New Roman"/>
          <w:sz w:val="24"/>
          <w:szCs w:val="24"/>
        </w:rPr>
        <w:t xml:space="preserve"> aplicação dos modelos Capital </w:t>
      </w:r>
      <w:proofErr w:type="spellStart"/>
      <w:r w:rsidR="00953AE2" w:rsidRPr="00944E88">
        <w:rPr>
          <w:rFonts w:ascii="Times New Roman" w:hAnsi="Times New Roman" w:cs="Times New Roman"/>
          <w:sz w:val="24"/>
          <w:szCs w:val="24"/>
        </w:rPr>
        <w:t>Asset</w:t>
      </w:r>
      <w:proofErr w:type="spellEnd"/>
      <w:r w:rsidR="00953AE2" w:rsidRPr="00944E88">
        <w:rPr>
          <w:rFonts w:ascii="Times New Roman" w:hAnsi="Times New Roman" w:cs="Times New Roman"/>
          <w:sz w:val="24"/>
          <w:szCs w:val="24"/>
        </w:rPr>
        <w:t xml:space="preserve"> </w:t>
      </w:r>
      <w:proofErr w:type="spellStart"/>
      <w:r w:rsidR="00953AE2" w:rsidRPr="00944E88">
        <w:rPr>
          <w:rFonts w:ascii="Times New Roman" w:hAnsi="Times New Roman" w:cs="Times New Roman"/>
          <w:sz w:val="24"/>
          <w:szCs w:val="24"/>
        </w:rPr>
        <w:t>Pricing</w:t>
      </w:r>
      <w:proofErr w:type="spellEnd"/>
      <w:r w:rsidR="00953AE2" w:rsidRPr="00944E88">
        <w:rPr>
          <w:rFonts w:ascii="Times New Roman" w:hAnsi="Times New Roman" w:cs="Times New Roman"/>
          <w:sz w:val="24"/>
          <w:szCs w:val="24"/>
        </w:rPr>
        <w:t xml:space="preserve"> (CAPM) e </w:t>
      </w:r>
      <w:proofErr w:type="spellStart"/>
      <w:r w:rsidR="00953AE2" w:rsidRPr="00944E88">
        <w:rPr>
          <w:rFonts w:ascii="Times New Roman" w:hAnsi="Times New Roman" w:cs="Times New Roman"/>
          <w:sz w:val="24"/>
          <w:szCs w:val="24"/>
        </w:rPr>
        <w:t>Consumption</w:t>
      </w:r>
      <w:proofErr w:type="spellEnd"/>
      <w:r w:rsidR="00953AE2" w:rsidRPr="00944E88">
        <w:rPr>
          <w:rFonts w:ascii="Times New Roman" w:hAnsi="Times New Roman" w:cs="Times New Roman"/>
          <w:sz w:val="24"/>
          <w:szCs w:val="24"/>
        </w:rPr>
        <w:t xml:space="preserve"> </w:t>
      </w:r>
      <w:proofErr w:type="spellStart"/>
      <w:r w:rsidR="00953AE2" w:rsidRPr="00944E88">
        <w:rPr>
          <w:rFonts w:ascii="Times New Roman" w:hAnsi="Times New Roman" w:cs="Times New Roman"/>
          <w:sz w:val="24"/>
          <w:szCs w:val="24"/>
        </w:rPr>
        <w:t>Based</w:t>
      </w:r>
      <w:proofErr w:type="spellEnd"/>
      <w:r w:rsidR="00953AE2" w:rsidRPr="00944E88">
        <w:rPr>
          <w:rFonts w:ascii="Times New Roman" w:hAnsi="Times New Roman" w:cs="Times New Roman"/>
          <w:sz w:val="24"/>
          <w:szCs w:val="24"/>
        </w:rPr>
        <w:t xml:space="preserve"> Capital </w:t>
      </w:r>
      <w:proofErr w:type="spellStart"/>
      <w:r w:rsidR="00953AE2" w:rsidRPr="00944E88">
        <w:rPr>
          <w:rFonts w:ascii="Times New Roman" w:hAnsi="Times New Roman" w:cs="Times New Roman"/>
          <w:sz w:val="24"/>
          <w:szCs w:val="24"/>
        </w:rPr>
        <w:t>Asset</w:t>
      </w:r>
      <w:proofErr w:type="spellEnd"/>
      <w:r w:rsidR="00953AE2" w:rsidRPr="00944E88">
        <w:rPr>
          <w:rFonts w:ascii="Times New Roman" w:hAnsi="Times New Roman" w:cs="Times New Roman"/>
          <w:sz w:val="24"/>
          <w:szCs w:val="24"/>
        </w:rPr>
        <w:t xml:space="preserve"> </w:t>
      </w:r>
      <w:proofErr w:type="spellStart"/>
      <w:r w:rsidR="00953AE2" w:rsidRPr="00944E88">
        <w:rPr>
          <w:rFonts w:ascii="Times New Roman" w:hAnsi="Times New Roman" w:cs="Times New Roman"/>
          <w:sz w:val="24"/>
          <w:szCs w:val="24"/>
        </w:rPr>
        <w:t>Pricing</w:t>
      </w:r>
      <w:proofErr w:type="spellEnd"/>
      <w:r w:rsidR="00953AE2" w:rsidRPr="00944E88">
        <w:rPr>
          <w:rFonts w:ascii="Times New Roman" w:hAnsi="Times New Roman" w:cs="Times New Roman"/>
          <w:sz w:val="24"/>
          <w:szCs w:val="24"/>
        </w:rPr>
        <w:t xml:space="preserve"> (CCAPM) com uma modificação para a existência de preferências pela propriedade de imóveis para os dados das cidades de São Paulo e Rio de Janeiro, no perí</w:t>
      </w:r>
      <w:r w:rsidR="00AD4160" w:rsidRPr="00944E88">
        <w:rPr>
          <w:rFonts w:ascii="Times New Roman" w:hAnsi="Times New Roman" w:cs="Times New Roman"/>
          <w:sz w:val="24"/>
          <w:szCs w:val="24"/>
        </w:rPr>
        <w:t>odo de 2008 a 2017</w:t>
      </w:r>
      <w:r w:rsidR="00953AE2" w:rsidRPr="00944E88">
        <w:rPr>
          <w:rFonts w:ascii="Times New Roman" w:hAnsi="Times New Roman" w:cs="Times New Roman"/>
          <w:sz w:val="24"/>
          <w:szCs w:val="24"/>
        </w:rPr>
        <w:t>. A ideia é entender a relação entre as taxas de retorno do investimento imobiliário comparando-o ao investimento no mercado de ações (IBOVESPA)</w:t>
      </w:r>
      <w:r w:rsidR="007D6C21" w:rsidRPr="00944E88">
        <w:rPr>
          <w:rFonts w:ascii="Times New Roman" w:hAnsi="Times New Roman" w:cs="Times New Roman"/>
          <w:sz w:val="24"/>
          <w:szCs w:val="24"/>
        </w:rPr>
        <w:t>,</w:t>
      </w:r>
      <w:r w:rsidR="00953AE2" w:rsidRPr="00944E88">
        <w:rPr>
          <w:rFonts w:ascii="Times New Roman" w:hAnsi="Times New Roman" w:cs="Times New Roman"/>
          <w:sz w:val="24"/>
          <w:szCs w:val="24"/>
        </w:rPr>
        <w:t xml:space="preserve"> bem como estimar o fator de desconto intertemporal do consumo, considerando este mercado</w:t>
      </w:r>
      <w:r w:rsidR="005154E9" w:rsidRPr="00944E88">
        <w:rPr>
          <w:rFonts w:ascii="Times New Roman" w:hAnsi="Times New Roman" w:cs="Times New Roman"/>
          <w:sz w:val="24"/>
          <w:szCs w:val="24"/>
        </w:rPr>
        <w:t>,</w:t>
      </w:r>
      <w:r w:rsidR="00953AE2" w:rsidRPr="00944E88">
        <w:rPr>
          <w:rFonts w:ascii="Times New Roman" w:hAnsi="Times New Roman" w:cs="Times New Roman"/>
          <w:sz w:val="24"/>
          <w:szCs w:val="24"/>
        </w:rPr>
        <w:t xml:space="preserve"> e o percentual da renda destinado ao consumo e ao investimento imobiliário para os agentes representativos de cada uma destas cidades.</w:t>
      </w:r>
      <w:r w:rsidR="00953AE2" w:rsidRPr="00944E88">
        <w:rPr>
          <w:rFonts w:ascii="Times New Roman" w:hAnsi="Times New Roman" w:cs="Times New Roman"/>
          <w:sz w:val="24"/>
          <w:szCs w:val="24"/>
        </w:rPr>
        <w:tab/>
      </w:r>
      <w:r w:rsidR="005154E9" w:rsidRPr="00944E88">
        <w:rPr>
          <w:rFonts w:ascii="Times New Roman" w:hAnsi="Times New Roman" w:cs="Times New Roman"/>
          <w:sz w:val="24"/>
          <w:szCs w:val="24"/>
        </w:rPr>
        <w:t xml:space="preserve">O artigo é composto </w:t>
      </w:r>
      <w:r w:rsidR="00953AE2" w:rsidRPr="00944E88">
        <w:rPr>
          <w:rFonts w:ascii="Times New Roman" w:hAnsi="Times New Roman" w:cs="Times New Roman"/>
          <w:sz w:val="24"/>
          <w:szCs w:val="24"/>
        </w:rPr>
        <w:t>por</w:t>
      </w:r>
      <w:r w:rsidR="005154E9" w:rsidRPr="00944E88">
        <w:rPr>
          <w:rFonts w:ascii="Times New Roman" w:hAnsi="Times New Roman" w:cs="Times New Roman"/>
          <w:sz w:val="24"/>
          <w:szCs w:val="24"/>
        </w:rPr>
        <w:t xml:space="preserve"> cinco</w:t>
      </w:r>
      <w:r w:rsidR="00953AE2" w:rsidRPr="00944E88">
        <w:rPr>
          <w:rFonts w:ascii="Times New Roman" w:hAnsi="Times New Roman" w:cs="Times New Roman"/>
          <w:sz w:val="24"/>
          <w:szCs w:val="24"/>
        </w:rPr>
        <w:t xml:space="preserve"> seções incluindo esta introdução. Na seção </w:t>
      </w:r>
      <w:r w:rsidR="005154E9" w:rsidRPr="00944E88">
        <w:rPr>
          <w:rFonts w:ascii="Times New Roman" w:hAnsi="Times New Roman" w:cs="Times New Roman"/>
          <w:sz w:val="24"/>
          <w:szCs w:val="24"/>
        </w:rPr>
        <w:t>II</w:t>
      </w:r>
      <w:r w:rsidR="00953AE2" w:rsidRPr="00944E88">
        <w:rPr>
          <w:rFonts w:ascii="Times New Roman" w:hAnsi="Times New Roman" w:cs="Times New Roman"/>
          <w:sz w:val="24"/>
          <w:szCs w:val="24"/>
        </w:rPr>
        <w:t xml:space="preserve"> apresenta-se a metodologia utilizada na parte empírica deste trabalho, especifican</w:t>
      </w:r>
      <w:r w:rsidR="005154E9" w:rsidRPr="00944E88">
        <w:rPr>
          <w:rFonts w:ascii="Times New Roman" w:hAnsi="Times New Roman" w:cs="Times New Roman"/>
          <w:sz w:val="24"/>
          <w:szCs w:val="24"/>
        </w:rPr>
        <w:t xml:space="preserve">do os modelos a serem estimados. A base de dados é descrita na seção III, seguida pelos resultados das estimações dos dois modelos na seção IV. Por fim, na seção V, </w:t>
      </w:r>
      <w:r w:rsidR="00953AE2" w:rsidRPr="00944E88">
        <w:rPr>
          <w:rFonts w:ascii="Times New Roman" w:hAnsi="Times New Roman" w:cs="Times New Roman"/>
          <w:sz w:val="24"/>
          <w:szCs w:val="24"/>
        </w:rPr>
        <w:t>são apresentadas as conclusões do trabalho.</w:t>
      </w:r>
    </w:p>
    <w:p w:rsidR="00953AE2" w:rsidRDefault="00953AE2" w:rsidP="00944E88">
      <w:pPr>
        <w:spacing w:after="0" w:line="240" w:lineRule="auto"/>
        <w:rPr>
          <w:rFonts w:ascii="Times New Roman" w:hAnsi="Times New Roman" w:cs="Times New Roman"/>
          <w:sz w:val="24"/>
          <w:szCs w:val="24"/>
        </w:rPr>
      </w:pPr>
    </w:p>
    <w:p w:rsidR="0045524C" w:rsidRPr="00944E88" w:rsidRDefault="0045524C" w:rsidP="00944E88">
      <w:pPr>
        <w:pStyle w:val="PargrafodaLista"/>
        <w:numPr>
          <w:ilvl w:val="0"/>
          <w:numId w:val="1"/>
        </w:numPr>
        <w:spacing w:after="0" w:line="240" w:lineRule="auto"/>
        <w:ind w:left="709" w:hanging="709"/>
        <w:rPr>
          <w:rFonts w:ascii="Times New Roman" w:hAnsi="Times New Roman" w:cs="Times New Roman"/>
          <w:b/>
          <w:sz w:val="24"/>
          <w:szCs w:val="24"/>
        </w:rPr>
      </w:pPr>
      <w:r w:rsidRPr="00944E88">
        <w:rPr>
          <w:rFonts w:ascii="Times New Roman" w:hAnsi="Times New Roman" w:cs="Times New Roman"/>
          <w:b/>
          <w:sz w:val="24"/>
          <w:szCs w:val="24"/>
        </w:rPr>
        <w:t>METODOLOGIA</w:t>
      </w:r>
    </w:p>
    <w:p w:rsidR="00D3229A" w:rsidRPr="00944E88" w:rsidRDefault="00D3229A" w:rsidP="00944E88">
      <w:pPr>
        <w:pStyle w:val="PargrafodaLista"/>
        <w:spacing w:after="0" w:line="240" w:lineRule="auto"/>
        <w:ind w:left="709"/>
        <w:rPr>
          <w:rFonts w:ascii="Times New Roman" w:hAnsi="Times New Roman" w:cs="Times New Roman"/>
          <w:b/>
          <w:color w:val="FF0000"/>
          <w:sz w:val="24"/>
          <w:szCs w:val="24"/>
        </w:rPr>
      </w:pPr>
    </w:p>
    <w:p w:rsidR="007A3CBD" w:rsidRPr="00944E88" w:rsidRDefault="007A3CBD" w:rsidP="00944E88">
      <w:pPr>
        <w:autoSpaceDE w:val="0"/>
        <w:autoSpaceDN w:val="0"/>
        <w:adjustRightInd w:val="0"/>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O artigo propõe a aplicação dos modelos CAPM e CCAPM modificado para os dados do mercado imobiliário das cidades de São Paulo e Rio de Janeiro. O primeiro modelo, CAPM, </w:t>
      </w:r>
      <w:r w:rsidR="00D3229A" w:rsidRPr="00944E88">
        <w:rPr>
          <w:rFonts w:ascii="Times New Roman" w:hAnsi="Times New Roman" w:cs="Times New Roman"/>
          <w:sz w:val="24"/>
          <w:szCs w:val="24"/>
        </w:rPr>
        <w:t xml:space="preserve">conforme proposto por Sharpe (1964), </w:t>
      </w:r>
      <w:proofErr w:type="spellStart"/>
      <w:r w:rsidR="00D3229A" w:rsidRPr="00944E88">
        <w:rPr>
          <w:rFonts w:ascii="Times New Roman" w:hAnsi="Times New Roman" w:cs="Times New Roman"/>
          <w:sz w:val="24"/>
          <w:szCs w:val="24"/>
        </w:rPr>
        <w:t>Litner</w:t>
      </w:r>
      <w:proofErr w:type="spellEnd"/>
      <w:r w:rsidR="00D3229A" w:rsidRPr="00944E88">
        <w:rPr>
          <w:rFonts w:ascii="Times New Roman" w:hAnsi="Times New Roman" w:cs="Times New Roman"/>
          <w:sz w:val="24"/>
          <w:szCs w:val="24"/>
        </w:rPr>
        <w:t xml:space="preserve"> (1965) e </w:t>
      </w:r>
      <w:proofErr w:type="spellStart"/>
      <w:r w:rsidR="00D3229A" w:rsidRPr="00944E88">
        <w:rPr>
          <w:rFonts w:ascii="Times New Roman" w:hAnsi="Times New Roman" w:cs="Times New Roman"/>
          <w:sz w:val="24"/>
          <w:szCs w:val="24"/>
        </w:rPr>
        <w:t>Mossin</w:t>
      </w:r>
      <w:proofErr w:type="spellEnd"/>
      <w:r w:rsidR="00D3229A" w:rsidRPr="00944E88">
        <w:rPr>
          <w:rFonts w:ascii="Times New Roman" w:hAnsi="Times New Roman" w:cs="Times New Roman"/>
          <w:sz w:val="24"/>
          <w:szCs w:val="24"/>
        </w:rPr>
        <w:t xml:space="preserve"> (1966), </w:t>
      </w:r>
      <w:r w:rsidRPr="00944E88">
        <w:rPr>
          <w:rFonts w:ascii="Times New Roman" w:hAnsi="Times New Roman" w:cs="Times New Roman"/>
          <w:sz w:val="24"/>
          <w:szCs w:val="24"/>
        </w:rPr>
        <w:t xml:space="preserve">estabelece uma </w:t>
      </w:r>
      <w:r w:rsidRPr="00944E88">
        <w:rPr>
          <w:rFonts w:ascii="Times New Roman" w:hAnsi="Times New Roman" w:cs="Times New Roman"/>
          <w:sz w:val="24"/>
          <w:szCs w:val="24"/>
        </w:rPr>
        <w:lastRenderedPageBreak/>
        <w:t>relação linear entre</w:t>
      </w:r>
      <w:r w:rsidR="007D6C21" w:rsidRPr="00944E88">
        <w:rPr>
          <w:rFonts w:ascii="Times New Roman" w:hAnsi="Times New Roman" w:cs="Times New Roman"/>
          <w:sz w:val="24"/>
          <w:szCs w:val="24"/>
        </w:rPr>
        <w:t xml:space="preserve"> retornos de investimentos. Aplicando ao mercado imobiliário, tem-se que</w:t>
      </w:r>
      <w:r w:rsidRPr="00944E88">
        <w:rPr>
          <w:rFonts w:ascii="Times New Roman" w:hAnsi="Times New Roman" w:cs="Times New Roman"/>
          <w:sz w:val="24"/>
          <w:szCs w:val="24"/>
        </w:rPr>
        <w:t xml:space="preserve"> o retorno do investimento imobiliário</w:t>
      </w:r>
      <w:r w:rsidR="007D6C21" w:rsidRPr="00944E88">
        <w:rPr>
          <w:rFonts w:ascii="Times New Roman" w:hAnsi="Times New Roman" w:cs="Times New Roman"/>
          <w:sz w:val="24"/>
          <w:szCs w:val="24"/>
        </w:rPr>
        <w:t xml:space="preserve"> da região R</w:t>
      </w:r>
      <w:r w:rsidRPr="00944E88">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R</m:t>
            </m:r>
          </m:sup>
        </m:sSup>
      </m:oMath>
      <w:r w:rsidRPr="00944E88">
        <w:rPr>
          <w:rFonts w:ascii="Times New Roman" w:hAnsi="Times New Roman" w:cs="Times New Roman"/>
          <w:sz w:val="24"/>
          <w:szCs w:val="24"/>
        </w:rPr>
        <w:t xml:space="preserve">, </w:t>
      </w:r>
      <w:r w:rsidR="007D6C21" w:rsidRPr="00944E88">
        <w:rPr>
          <w:rFonts w:ascii="Times New Roman" w:hAnsi="Times New Roman" w:cs="Times New Roman"/>
          <w:sz w:val="24"/>
          <w:szCs w:val="24"/>
        </w:rPr>
        <w:t xml:space="preserve">tem uma relação linear com </w:t>
      </w:r>
      <w:r w:rsidRPr="00944E88">
        <w:rPr>
          <w:rFonts w:ascii="Times New Roman" w:hAnsi="Times New Roman" w:cs="Times New Roman"/>
          <w:sz w:val="24"/>
          <w:szCs w:val="24"/>
        </w:rPr>
        <w:t xml:space="preserve">o retorno do investimento no mercado (Ibovespa),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ibov</m:t>
            </m:r>
          </m:sup>
        </m:sSup>
      </m:oMath>
      <w:r w:rsidRPr="00944E88">
        <w:rPr>
          <w:rFonts w:ascii="Times New Roman" w:hAnsi="Times New Roman" w:cs="Times New Roman"/>
          <w:sz w:val="24"/>
          <w:szCs w:val="24"/>
        </w:rPr>
        <w:t xml:space="preserve">. Esta relação é dada pela seguinte equação: </w:t>
      </w:r>
    </w:p>
    <w:p w:rsidR="00944E88" w:rsidRPr="00944E88" w:rsidRDefault="00944E88" w:rsidP="00944E88">
      <w:pPr>
        <w:autoSpaceDE w:val="0"/>
        <w:autoSpaceDN w:val="0"/>
        <w:adjustRightInd w:val="0"/>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R</m:t>
              </m:r>
            </m:sup>
          </m:sSup>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f</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ibov</m:t>
              </m:r>
            </m:sup>
          </m:sSup>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ϵ</m:t>
              </m:r>
            </m:e>
          </m:acc>
        </m:oMath>
      </m:oMathPara>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Portanto, regredindo o retorno de cada localidade R e estimando os parâmetros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 xml:space="preserve">0 </m:t>
            </m:r>
          </m:sub>
        </m:sSub>
      </m:oMath>
      <w:r w:rsidRPr="00944E88">
        <w:rPr>
          <w:rFonts w:ascii="Times New Roman" w:hAnsi="Times New Roman" w:cs="Times New Roman"/>
          <w:sz w:val="24"/>
          <w:szCs w:val="24"/>
        </w:rPr>
        <w:t xml:space="preserve"> e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oMath>
      <w:r w:rsidRPr="00944E88">
        <w:rPr>
          <w:rFonts w:ascii="Times New Roman" w:hAnsi="Times New Roman" w:cs="Times New Roman"/>
          <w:sz w:val="24"/>
          <w:szCs w:val="24"/>
        </w:rPr>
        <w:t xml:space="preserve"> utilizando o Método dos Mínimos Quadrados (MQO), temos:</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R</m:t>
              </m:r>
            </m:sup>
          </m:sSub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ibov</m:t>
              </m:r>
            </m:sup>
          </m:sSubSup>
          <m:r>
            <w:rPr>
              <w:rFonts w:ascii="Cambria Math" w:hAnsi="Times New Roman" w:cs="Times New Roman"/>
              <w:sz w:val="24"/>
              <w:szCs w:val="24"/>
            </w:rPr>
            <m:t>+</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ϵ</m:t>
                  </m:r>
                </m:e>
              </m:acc>
            </m:e>
            <m:sub>
              <m:r>
                <w:rPr>
                  <w:rFonts w:ascii="Cambria Math" w:hAnsi="Cambria Math" w:cs="Times New Roman"/>
                  <w:sz w:val="24"/>
                  <w:szCs w:val="24"/>
                </w:rPr>
                <m:t>t</m:t>
              </m:r>
            </m:sub>
          </m:sSub>
        </m:oMath>
      </m:oMathPara>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Foram estimados dois modelos, um para cada localidade, sendo que como as séries de retornos imobiliários são I(1) e a série de retorno do Ibovespa é I(0), é necessária a utilização dos modelos em primeira diferença:</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center"/>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R</m:t>
              </m:r>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Times New Roman" w:cs="Times New Roman"/>
                  <w:sz w:val="24"/>
                  <w:szCs w:val="24"/>
                </w:rPr>
                <m:t>β</m:t>
              </m:r>
            </m:e>
            <m:sub>
              <m:r>
                <w:rPr>
                  <w:rFonts w:ascii="Cambria Math" w:hAnsi="Times New Roman" w:cs="Times New Roman"/>
                  <w:sz w:val="24"/>
                  <w:szCs w:val="24"/>
                </w:rPr>
                <m:t>0</m:t>
              </m:r>
            </m:sub>
            <m:sup>
              <m:r>
                <w:rPr>
                  <w:rFonts w:ascii="Times New Roman" w:hAnsi="Times New Roman" w:cs="Times New Roman"/>
                  <w:sz w:val="24"/>
                  <w:szCs w:val="24"/>
                </w:rPr>
                <m:t>´</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β</m:t>
              </m:r>
            </m:e>
            <m:sub>
              <m:r>
                <w:rPr>
                  <w:rFonts w:ascii="Cambria Math" w:hAnsi="Times New Roman" w:cs="Times New Roman"/>
                  <w:sz w:val="24"/>
                  <w:szCs w:val="24"/>
                </w:rPr>
                <m:t>1</m:t>
              </m:r>
            </m:sub>
            <m:sup>
              <m:r>
                <w:rPr>
                  <w:rFonts w:ascii="Cambria Math" w:hAnsi="Times New Roman" w:cs="Times New Roman"/>
                  <w:sz w:val="24"/>
                  <w:szCs w:val="24"/>
                </w:rPr>
                <m:t>´</m:t>
              </m:r>
            </m:sup>
          </m:sSubSup>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ibov</m:t>
              </m:r>
            </m:sup>
          </m:sSubSup>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rsidR="00944E88" w:rsidRPr="00944E88" w:rsidRDefault="00944E88" w:rsidP="00944E88">
      <w:pPr>
        <w:spacing w:after="0" w:line="240" w:lineRule="auto"/>
        <w:jc w:val="center"/>
        <w:rPr>
          <w:rFonts w:ascii="Times New Roman" w:hAnsi="Times New Roman" w:cs="Times New Roman"/>
          <w:sz w:val="24"/>
          <w:szCs w:val="24"/>
        </w:rPr>
      </w:pPr>
    </w:p>
    <w:p w:rsidR="007A3CBD" w:rsidRPr="00944E88" w:rsidRDefault="00121430" w:rsidP="00944E88">
      <w:pPr>
        <w:spacing w:after="0" w:line="240" w:lineRule="auto"/>
        <w:jc w:val="center"/>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R</m:t>
              </m:r>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Times New Roman" w:cs="Times New Roman"/>
                  <w:sz w:val="24"/>
                  <w:szCs w:val="24"/>
                </w:rPr>
                <m:t>β</m:t>
              </m:r>
            </m:e>
            <m:sub>
              <m:r>
                <w:rPr>
                  <w:rFonts w:ascii="Cambria Math" w:hAnsi="Times New Roman" w:cs="Times New Roman"/>
                  <w:sz w:val="24"/>
                  <w:szCs w:val="24"/>
                </w:rPr>
                <m:t>0</m:t>
              </m:r>
            </m:sub>
            <m:sup>
              <m:r>
                <w:rPr>
                  <w:rFonts w:ascii="Times New Roman" w:hAnsi="Times New Roman" w:cs="Times New Roman"/>
                  <w:sz w:val="24"/>
                  <w:szCs w:val="24"/>
                </w:rPr>
                <m:t>´</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β</m:t>
              </m:r>
            </m:e>
            <m:sub>
              <m:r>
                <w:rPr>
                  <w:rFonts w:ascii="Cambria Math" w:hAnsi="Times New Roman" w:cs="Times New Roman"/>
                  <w:sz w:val="24"/>
                  <w:szCs w:val="24"/>
                </w:rPr>
                <m:t>1</m:t>
              </m:r>
            </m:sub>
            <m:sup>
              <m:r>
                <w:rPr>
                  <w:rFonts w:ascii="Cambria Math" w:hAnsi="Times New Roman" w:cs="Times New Roman"/>
                  <w:sz w:val="24"/>
                  <w:szCs w:val="24"/>
                </w:rPr>
                <m:t>´</m:t>
              </m:r>
            </m:sup>
          </m:sSubSup>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ibov</m:t>
              </m:r>
            </m:sup>
          </m:sSubSup>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m:oMathPara>
    </w:p>
    <w:p w:rsidR="00944E88" w:rsidRPr="00944E88" w:rsidRDefault="00944E88" w:rsidP="00944E88">
      <w:pPr>
        <w:spacing w:after="0" w:line="240" w:lineRule="auto"/>
        <w:jc w:val="center"/>
        <w:rPr>
          <w:rFonts w:ascii="Times New Roman" w:hAnsi="Times New Roman" w:cs="Times New Roman"/>
          <w:sz w:val="24"/>
          <w:szCs w:val="24"/>
        </w:rPr>
      </w:pPr>
    </w:p>
    <w:p w:rsidR="007A3CBD" w:rsidRPr="00944E88" w:rsidRDefault="00121430" w:rsidP="00944E88">
      <w:pPr>
        <w:spacing w:after="0" w:line="240" w:lineRule="auto"/>
        <w:jc w:val="center"/>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R</m:t>
              </m:r>
            </m:sup>
          </m:sSubSup>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R</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β</m:t>
              </m:r>
            </m:e>
            <m:sub>
              <m:r>
                <w:rPr>
                  <w:rFonts w:ascii="Cambria Math" w:hAnsi="Times New Roman" w:cs="Times New Roman"/>
                  <w:sz w:val="24"/>
                  <w:szCs w:val="24"/>
                </w:rPr>
                <m:t>1</m:t>
              </m:r>
            </m:sub>
            <m:sup>
              <m:r>
                <w:rPr>
                  <w:rFonts w:ascii="Cambria Math" w:hAnsi="Times New Roman" w:cs="Times New Roman"/>
                  <w:sz w:val="24"/>
                  <w:szCs w:val="24"/>
                </w:rPr>
                <m:t>´</m:t>
              </m:r>
            </m:sup>
          </m:sSubSup>
          <m:d>
            <m:dPr>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ibov</m:t>
                  </m:r>
                </m:sup>
              </m:sSubSup>
              <m:r>
                <w:rPr>
                  <w:rFonts w:ascii="Times New Roman" w:hAnsi="Times New Roman" w:cs="Times New Roman"/>
                  <w:sz w:val="24"/>
                  <w:szCs w:val="24"/>
                </w:rPr>
                <m:t>-</m:t>
              </m:r>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ibov</m:t>
                  </m:r>
                </m:sup>
              </m:sSubSup>
            </m:e>
          </m: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w:rPr>
                  <w:rFonts w:ascii="Cambria Math" w:hAnsi="Times New Roman" w:cs="Times New Roman"/>
                  <w:sz w:val="24"/>
                  <w:szCs w:val="24"/>
                </w:rPr>
                <m:t xml:space="preserve"> </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oMath>
      </m:oMathPara>
    </w:p>
    <w:p w:rsidR="00944E88" w:rsidRPr="00944E88" w:rsidRDefault="00944E88" w:rsidP="00944E88">
      <w:pPr>
        <w:spacing w:after="0" w:line="240" w:lineRule="auto"/>
        <w:jc w:val="center"/>
        <w:rPr>
          <w:rFonts w:ascii="Times New Roman" w:hAnsi="Times New Roman" w:cs="Times New Roman"/>
          <w:sz w:val="24"/>
          <w:szCs w:val="24"/>
        </w:rPr>
      </w:pPr>
    </w:p>
    <w:p w:rsidR="007A3CBD" w:rsidRPr="00944E88" w:rsidRDefault="00121430" w:rsidP="00944E88">
      <w:pPr>
        <w:spacing w:after="0" w:line="240" w:lineRule="auto"/>
        <w:jc w:val="center"/>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m:rPr>
                  <m:sty m:val="p"/>
                </m:rPr>
                <w:rPr>
                  <w:rFonts w:ascii="Cambria Math" w:hAnsi="Times New Roman"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R</m:t>
              </m:r>
            </m:sup>
          </m:sSubSup>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β</m:t>
              </m:r>
              <m:r>
                <w:rPr>
                  <w:rFonts w:ascii="Times New Roman" w:hAnsi="Times New Roman" w:cs="Times New Roman"/>
                  <w:sz w:val="24"/>
                  <w:szCs w:val="24"/>
                </w:rPr>
                <m:t>´</m:t>
              </m:r>
            </m:e>
            <m:sub>
              <m:r>
                <w:rPr>
                  <w:rFonts w:ascii="Cambria Math" w:hAnsi="Times New Roman" w:cs="Times New Roman"/>
                  <w:sz w:val="24"/>
                  <w:szCs w:val="24"/>
                </w:rPr>
                <m:t>1</m:t>
              </m:r>
            </m:sub>
          </m:sSub>
          <m:r>
            <m:rPr>
              <m:sty m:val="p"/>
            </m:rPr>
            <w:rPr>
              <w:rFonts w:ascii="Times New Roman" w:hAnsi="Times New Roman" w:cs="Times New Roman"/>
              <w:sz w:val="24"/>
              <w:szCs w:val="24"/>
            </w:rPr>
            <m:t>Δ</m:t>
          </m:r>
          <m:sSubSup>
            <m:sSubSupPr>
              <m:ctrlPr>
                <w:rPr>
                  <w:rFonts w:ascii="Cambria Math" w:hAnsi="Times New Roman" w:cs="Times New Roman"/>
                  <w:i/>
                  <w:sz w:val="24"/>
                  <w:szCs w:val="24"/>
                </w:rPr>
              </m:ctrlPr>
            </m:sSubSupPr>
            <m:e>
              <m:r>
                <w:rPr>
                  <w:rFonts w:ascii="Cambria Math" w:hAnsi="Times New Roman" w:cs="Times New Roman"/>
                  <w:sz w:val="24"/>
                  <w:szCs w:val="24"/>
                </w:rPr>
                <m:t>R</m:t>
              </m:r>
            </m:e>
            <m:sub>
              <m:r>
                <w:rPr>
                  <w:rFonts w:ascii="Cambria Math" w:hAnsi="Times New Roman" w:cs="Times New Roman"/>
                  <w:sz w:val="24"/>
                  <w:szCs w:val="24"/>
                </w:rPr>
                <m:t>t</m:t>
              </m:r>
            </m:sub>
            <m:sup>
              <m:r>
                <w:rPr>
                  <w:rFonts w:ascii="Cambria Math" w:hAnsi="Times New Roman" w:cs="Times New Roman"/>
                  <w:sz w:val="24"/>
                  <w:szCs w:val="24"/>
                </w:rPr>
                <m:t>ibov</m:t>
              </m:r>
            </m:sup>
          </m:sSubSup>
          <m:r>
            <w:rPr>
              <w:rFonts w:ascii="Cambria Math" w:hAnsi="Times New Roman" w:cs="Times New Roman"/>
              <w:sz w:val="24"/>
              <w:szCs w:val="24"/>
            </w:rPr>
            <m:t xml:space="preserve">+ </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Times New Roman" w:cs="Times New Roman"/>
                      <w:sz w:val="24"/>
                      <w:szCs w:val="24"/>
                    </w:rPr>
                    <m:t>e</m:t>
                  </m:r>
                </m:e>
                <m:sub>
                  <m:r>
                    <w:rPr>
                      <w:rFonts w:ascii="Cambria Math" w:hAnsi="Times New Roman" w:cs="Times New Roman"/>
                      <w:sz w:val="24"/>
                      <w:szCs w:val="24"/>
                    </w:rPr>
                    <m:t>t</m:t>
                  </m:r>
                </m:sub>
              </m:sSub>
            </m:e>
          </m:acc>
        </m:oMath>
      </m:oMathPara>
    </w:p>
    <w:p w:rsidR="00944E88" w:rsidRPr="00944E88" w:rsidRDefault="00944E88" w:rsidP="00944E88">
      <w:pPr>
        <w:spacing w:after="0" w:line="240" w:lineRule="auto"/>
        <w:jc w:val="center"/>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r>
          <m:rPr>
            <m:sty m:val="p"/>
          </m:rPr>
          <w:rPr>
            <w:rFonts w:ascii="Cambria Math" w:hAnsi="Times New Roman" w:cs="Times New Roman"/>
            <w:sz w:val="24"/>
            <w:szCs w:val="24"/>
          </w:rPr>
          <m:t>Δ</m:t>
        </m:r>
      </m:oMath>
      <w:r w:rsidRPr="00944E88">
        <w:rPr>
          <w:rFonts w:ascii="Times New Roman" w:hAnsi="Times New Roman" w:cs="Times New Roman"/>
          <w:sz w:val="24"/>
          <w:szCs w:val="24"/>
        </w:rPr>
        <w:t xml:space="preserve"> é a primeira diferença da série de retornos e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os resíduos das regressões.</w:t>
      </w:r>
    </w:p>
    <w:p w:rsidR="007A3CBD" w:rsidRPr="00944E88" w:rsidRDefault="007A3CBD"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O segundo modelo analisado é o CCAPM modificado para existência de uma agregação de valor da utilidade do agente dada pela propriedade do imóvel</w:t>
      </w:r>
      <w:r w:rsidR="00D3229A" w:rsidRPr="00944E88">
        <w:rPr>
          <w:rFonts w:ascii="Times New Roman" w:hAnsi="Times New Roman" w:cs="Times New Roman"/>
          <w:sz w:val="24"/>
          <w:szCs w:val="24"/>
        </w:rPr>
        <w:t xml:space="preserve">, Lucas (1978), seguido por </w:t>
      </w:r>
      <w:proofErr w:type="spellStart"/>
      <w:r w:rsidR="00D3229A" w:rsidRPr="00944E88">
        <w:rPr>
          <w:rFonts w:ascii="Times New Roman" w:hAnsi="Times New Roman" w:cs="Times New Roman"/>
          <w:sz w:val="24"/>
          <w:szCs w:val="24"/>
        </w:rPr>
        <w:t>Breeden</w:t>
      </w:r>
      <w:proofErr w:type="spellEnd"/>
      <w:r w:rsidR="00D3229A" w:rsidRPr="00944E88">
        <w:rPr>
          <w:rFonts w:ascii="Times New Roman" w:hAnsi="Times New Roman" w:cs="Times New Roman"/>
          <w:sz w:val="24"/>
          <w:szCs w:val="24"/>
        </w:rPr>
        <w:t xml:space="preserve"> (1979) e </w:t>
      </w:r>
      <w:proofErr w:type="spellStart"/>
      <w:r w:rsidR="00D3229A" w:rsidRPr="00944E88">
        <w:rPr>
          <w:rFonts w:ascii="Times New Roman" w:hAnsi="Times New Roman" w:cs="Times New Roman"/>
          <w:sz w:val="24"/>
          <w:szCs w:val="24"/>
        </w:rPr>
        <w:t>Mehra</w:t>
      </w:r>
      <w:proofErr w:type="spellEnd"/>
      <w:r w:rsidR="00D3229A" w:rsidRPr="00944E88">
        <w:rPr>
          <w:rFonts w:ascii="Times New Roman" w:hAnsi="Times New Roman" w:cs="Times New Roman"/>
          <w:sz w:val="24"/>
          <w:szCs w:val="24"/>
        </w:rPr>
        <w:t xml:space="preserve"> e Prescott (1985) desenvolveram o CCAPM clássico</w:t>
      </w:r>
      <w:r w:rsidRPr="00944E88">
        <w:rPr>
          <w:rFonts w:ascii="Times New Roman" w:hAnsi="Times New Roman" w:cs="Times New Roman"/>
          <w:sz w:val="24"/>
          <w:szCs w:val="24"/>
        </w:rPr>
        <w:t xml:space="preserve">. Assim, o consumidor representativo tem que decidir como alocará sua riqueza (salário, </w:t>
      </w:r>
      <m:oMath>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mais sua renda devido ao investimento imobiliário,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em consumo,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e investimento imobiliário,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944E88">
        <w:rPr>
          <w:rFonts w:ascii="Times New Roman" w:hAnsi="Times New Roman" w:cs="Times New Roman"/>
          <w:sz w:val="24"/>
          <w:szCs w:val="24"/>
        </w:rPr>
        <w:t>, de maneira a resolver o seguinte problema:</w:t>
      </w:r>
    </w:p>
    <w:p w:rsidR="00944E88" w:rsidRPr="00944E88" w:rsidRDefault="00944E88" w:rsidP="00944E88">
      <w:pPr>
        <w:pStyle w:val="PargrafodaLista"/>
        <w:spacing w:after="0" w:line="240" w:lineRule="auto"/>
        <w:ind w:left="0"/>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 xml:space="preserve">max </m:t>
              </m:r>
              <m:sSub>
                <m:sSubPr>
                  <m:ctrlPr>
                    <w:rPr>
                      <w:rFonts w:ascii="Cambria Math" w:hAnsi="Times New Roman" w:cs="Times New Roman"/>
                      <w:sz w:val="24"/>
                      <w:szCs w:val="24"/>
                    </w:rPr>
                  </m:ctrlPr>
                </m:sSubPr>
                <m:e>
                  <m:r>
                    <m:rPr>
                      <m:sty m:val="p"/>
                    </m:rPr>
                    <w:rPr>
                      <w:rFonts w:ascii="Cambria Math" w:hAnsi="Times New Roman" w:cs="Times New Roman"/>
                      <w:sz w:val="24"/>
                      <w:szCs w:val="24"/>
                    </w:rPr>
                    <m:t>E</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m:t>
              </m:r>
            </m:fName>
            <m:e>
              <m:nary>
                <m:naryPr>
                  <m:chr m:val="∑"/>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=0</m:t>
                  </m:r>
                </m:sub>
                <m:sup>
                  <m:r>
                    <w:rPr>
                      <w:rFonts w:ascii="Cambria Math"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u</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nary>
              <m:r>
                <w:rPr>
                  <w:rFonts w:ascii="Cambria Math" w:hAnsi="Times New Roman" w:cs="Times New Roman"/>
                  <w:sz w:val="24"/>
                  <w:szCs w:val="24"/>
                </w:rPr>
                <m:t>]</m:t>
              </m:r>
            </m:e>
          </m:func>
        </m:oMath>
      </m:oMathPara>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eastAsiaTheme="minorEastAsia" w:hAnsi="Times New Roman" w:cs="Times New Roman"/>
          <w:sz w:val="24"/>
          <w:szCs w:val="24"/>
        </w:rPr>
      </w:pPr>
      <w:r w:rsidRPr="00944E88">
        <w:rPr>
          <w:rFonts w:ascii="Times New Roman" w:hAnsi="Times New Roman" w:cs="Times New Roman"/>
          <w:sz w:val="24"/>
          <w:szCs w:val="24"/>
        </w:rPr>
        <w:t xml:space="preserve">Sujeito a: </w:t>
      </w:r>
      <w:r w:rsidRPr="00944E88">
        <w:rPr>
          <w:rFonts w:ascii="Times New Roman" w:hAnsi="Times New Roman" w:cs="Times New Roman"/>
          <w:sz w:val="24"/>
          <w:szCs w:val="24"/>
        </w:rPr>
        <w:tab/>
      </w:r>
      <w:r w:rsidRPr="00944E88">
        <w:rPr>
          <w:rFonts w:ascii="Times New Roman" w:hAnsi="Times New Roman" w:cs="Times New Roman"/>
          <w:sz w:val="24"/>
          <w:szCs w:val="24"/>
        </w:rPr>
        <w:tab/>
      </w:r>
      <w:r w:rsidRPr="00944E88">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r>
            <w:rPr>
              <w:rFonts w:ascii="Cambria Math" w:hAnsi="Times New Roman" w:cs="Times New Roman"/>
              <w:sz w:val="24"/>
              <w:szCs w:val="24"/>
            </w:rPr>
            <m:t>≥</m:t>
          </m:r>
          <m:r>
            <w:rPr>
              <w:rFonts w:ascii="Cambria Math" w:hAnsi="Times New Roman" w:cs="Times New Roman"/>
              <w:sz w:val="24"/>
              <w:szCs w:val="24"/>
            </w:rPr>
            <m:t xml:space="preserve">0,   </m:t>
          </m:r>
          <m:r>
            <w:rPr>
              <w:rFonts w:ascii="Cambria Math" w:hAnsi="Cambria Math" w:cs="Times New Roman"/>
              <w:sz w:val="24"/>
              <w:szCs w:val="24"/>
            </w:rPr>
            <m:t>dado</m:t>
          </m:r>
        </m:oMath>
      </m:oMathPara>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é o preço de venda do m² do imóvel e </w:t>
      </w:r>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é o aluguel correspondente</w:t>
      </w:r>
      <w:r w:rsidR="00AB04EA" w:rsidRPr="00944E8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B04EA" w:rsidRPr="00944E88">
        <w:rPr>
          <w:rFonts w:ascii="Times New Roman" w:eastAsiaTheme="minorEastAsia" w:hAnsi="Times New Roman" w:cs="Times New Roman"/>
          <w:sz w:val="24"/>
          <w:szCs w:val="24"/>
        </w:rPr>
        <w:t xml:space="preserve"> é o consumo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AB04EA" w:rsidRPr="00944E88">
        <w:rPr>
          <w:rFonts w:ascii="Times New Roman" w:eastAsiaTheme="minorEastAsia" w:hAnsi="Times New Roman" w:cs="Times New Roman"/>
          <w:sz w:val="24"/>
          <w:szCs w:val="24"/>
        </w:rPr>
        <w:t xml:space="preserve"> é o estoque de imóveis em m²</w:t>
      </w:r>
      <w:r w:rsidRPr="00944E88">
        <w:rPr>
          <w:rFonts w:ascii="Times New Roman" w:hAnsi="Times New Roman" w:cs="Times New Roman"/>
          <w:sz w:val="24"/>
          <w:szCs w:val="24"/>
        </w:rPr>
        <w:t xml:space="preserve">. </w:t>
      </w: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A Condição de Primeira Ordem (CPO) do problema de maximização resulta em: </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Times New Roman" w:cs="Times New Roman"/>
                  <w:i/>
                  <w:sz w:val="24"/>
                  <w:szCs w:val="24"/>
                </w:rPr>
              </m:ctrlPr>
            </m:dPr>
            <m:e>
              <m:r>
                <w:rPr>
                  <w:rFonts w:ascii="Cambria Math" w:hAnsi="Cambria Math" w:cs="Times New Roman"/>
                  <w:sz w:val="24"/>
                  <w:szCs w:val="24"/>
                </w:rPr>
                <m:t>β</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den>
              </m:f>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r>
                        <w:rPr>
                          <w:rFonts w:ascii="Cambria Math" w:hAnsi="Times New Roman" w:cs="Times New Roman"/>
                          <w:sz w:val="24"/>
                          <w:szCs w:val="24"/>
                        </w:rPr>
                        <m:t>+1</m:t>
                      </m:r>
                    </m:sub>
                  </m:sSub>
                </m:e>
              </m:d>
              <m:r>
                <w:rPr>
                  <w:rFonts w:ascii="Cambria Math" w:hAnsi="Times New Roman" w:cs="Times New Roman"/>
                  <w:sz w:val="24"/>
                  <w:szCs w:val="24"/>
                </w:rPr>
                <m:t>+</m:t>
              </m:r>
              <m:r>
                <w:rPr>
                  <w:rFonts w:ascii="Cambria Math" w:hAnsi="Cambria Math" w:cs="Times New Roman"/>
                  <w:sz w:val="24"/>
                  <w:szCs w:val="24"/>
                </w:rPr>
                <m:t>β</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den>
              </m:f>
            </m:e>
          </m:d>
        </m:oMath>
      </m:oMathPara>
    </w:p>
    <w:p w:rsidR="00944E88" w:rsidRPr="00944E88" w:rsidRDefault="00944E88" w:rsidP="00944E88">
      <w:pPr>
        <w:spacing w:after="0" w:line="240" w:lineRule="auto"/>
        <w:jc w:val="both"/>
        <w:rPr>
          <w:rFonts w:ascii="Times New Roman" w:hAnsi="Times New Roman" w:cs="Times New Roman"/>
          <w:sz w:val="24"/>
          <w:szCs w:val="24"/>
        </w:rPr>
      </w:pPr>
    </w:p>
    <w:p w:rsidR="0069422B"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r>
    </w:p>
    <w:p w:rsidR="0069422B" w:rsidRDefault="0069422B" w:rsidP="00944E88">
      <w:pPr>
        <w:spacing w:after="0" w:line="240" w:lineRule="auto"/>
        <w:jc w:val="both"/>
        <w:rPr>
          <w:rFonts w:ascii="Times New Roman" w:hAnsi="Times New Roman" w:cs="Times New Roman"/>
          <w:sz w:val="24"/>
          <w:szCs w:val="24"/>
        </w:rPr>
      </w:pPr>
    </w:p>
    <w:p w:rsidR="0069422B" w:rsidRDefault="0069422B" w:rsidP="00944E88">
      <w:pPr>
        <w:spacing w:after="0" w:line="240" w:lineRule="auto"/>
        <w:jc w:val="both"/>
        <w:rPr>
          <w:rFonts w:ascii="Times New Roman" w:hAnsi="Times New Roman" w:cs="Times New Roman"/>
          <w:sz w:val="24"/>
          <w:szCs w:val="24"/>
        </w:rPr>
      </w:pPr>
    </w:p>
    <w:p w:rsidR="007A3CBD" w:rsidRDefault="007A3CBD" w:rsidP="0069422B">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lastRenderedPageBreak/>
        <w:t>Pode-se definir:</w:t>
      </w:r>
    </w:p>
    <w:p w:rsidR="0073171A" w:rsidRPr="00944E88" w:rsidRDefault="0073171A" w:rsidP="00944E88">
      <w:pPr>
        <w:spacing w:after="0" w:line="240" w:lineRule="auto"/>
        <w:jc w:val="both"/>
        <w:rPr>
          <w:rFonts w:ascii="Times New Roman" w:hAnsi="Times New Roman" w:cs="Times New Roman"/>
          <w:sz w:val="24"/>
          <w:szCs w:val="24"/>
        </w:rPr>
      </w:pPr>
    </w:p>
    <w:p w:rsidR="007A3CBD" w:rsidRPr="0073171A" w:rsidRDefault="00121430" w:rsidP="00944E88">
      <w:pPr>
        <w:spacing w:after="0" w:line="240" w:lineRule="auto"/>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β</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den>
          </m:f>
          <m:r>
            <m:rPr>
              <m:sty m:val="p"/>
            </m:rPr>
            <w:rPr>
              <w:rFonts w:ascii="Cambria Math" w:hAnsi="Times New Roman" w:cs="Times New Roman"/>
              <w:sz w:val="24"/>
              <w:szCs w:val="24"/>
            </w:rPr>
            <m:t xml:space="preserve">   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β</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x</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den>
          </m:f>
        </m:oMath>
      </m:oMathPara>
    </w:p>
    <w:p w:rsidR="0073171A" w:rsidRPr="00944E88" w:rsidRDefault="0073171A"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Logo, a equação de precificação de imóveis com gostos pela propriedade é dada por:</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r>
                        <w:rPr>
                          <w:rFonts w:ascii="Cambria Math" w:hAnsi="Times New Roman" w:cs="Times New Roman"/>
                          <w:sz w:val="24"/>
                          <w:szCs w:val="24"/>
                        </w:rPr>
                        <m:t>+1</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r>
                    <w:rPr>
                      <w:rFonts w:ascii="Cambria Math" w:hAnsi="Times New Roman" w:cs="Times New Roman"/>
                      <w:sz w:val="24"/>
                      <w:szCs w:val="24"/>
                    </w:rPr>
                    <m:t>+1</m:t>
                  </m:r>
                </m:sub>
              </m:sSub>
            </m:e>
          </m:d>
        </m:oMath>
      </m:oMathPara>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A comparação entre as equações de precificação dos imóveis do CCAPM clássico com o CCAPM modificado deixa claro que quando um indivíduo coloca algum peso na propriedade de imóveis, ele tem uma agregação no valor presente do imóvel, o que é medido pelo termo adicional,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r>
              <w:rPr>
                <w:rFonts w:ascii="Cambria Math" w:hAnsi="Times New Roman" w:cs="Times New Roman"/>
                <w:sz w:val="24"/>
                <w:szCs w:val="24"/>
              </w:rPr>
              <m:t>+1</m:t>
            </m:r>
          </m:sub>
        </m:sSub>
      </m:oMath>
      <w:r w:rsidRPr="00944E88">
        <w:rPr>
          <w:rFonts w:ascii="Times New Roman" w:hAnsi="Times New Roman" w:cs="Times New Roman"/>
          <w:sz w:val="24"/>
          <w:szCs w:val="24"/>
        </w:rPr>
        <w:t>.</w:t>
      </w: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Para que seja possível a estimação dos parâmetros do CCAPM modificado, utiliza-se a função de utilidade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-Douglas. A função de utilidade escolhida</w:t>
      </w:r>
      <w:proofErr w:type="gramStart"/>
      <w:r w:rsidRPr="00944E88">
        <w:rPr>
          <w:rFonts w:ascii="Times New Roman" w:hAnsi="Times New Roman" w:cs="Times New Roman"/>
          <w:sz w:val="24"/>
          <w:szCs w:val="24"/>
        </w:rPr>
        <w:t xml:space="preserve">  </w:t>
      </w:r>
      <w:proofErr w:type="gramEnd"/>
      <w:r w:rsidRPr="00944E88">
        <w:rPr>
          <w:rFonts w:ascii="Times New Roman" w:hAnsi="Times New Roman" w:cs="Times New Roman"/>
          <w:sz w:val="24"/>
          <w:szCs w:val="24"/>
        </w:rPr>
        <w:t>possui como propriedade a existência de uma parcela constante da riqueza destinada ao gasto para cada um dos componentes da função (HAMILTON, 1994).</w:t>
      </w: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Realizando a alteração da função de utilidade para uma no formato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 xml:space="preserve">-Douglas, </w:t>
      </w:r>
      <m:oMath>
        <m:r>
          <w:rPr>
            <w:rFonts w:ascii="Cambria Math" w:hAnsi="Cambria Math" w:cs="Times New Roman"/>
            <w:sz w:val="24"/>
            <w:szCs w:val="24"/>
          </w:rPr>
          <m:t>u</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θ</m:t>
            </m:r>
          </m:sup>
        </m:sSubSup>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θ</m:t>
            </m:r>
          </m:sup>
        </m:sSubSup>
      </m:oMath>
      <w:r w:rsidRPr="00944E88">
        <w:rPr>
          <w:rFonts w:ascii="Times New Roman" w:hAnsi="Times New Roman" w:cs="Times New Roman"/>
          <w:sz w:val="24"/>
          <w:szCs w:val="24"/>
        </w:rPr>
        <w:t>, a equação de precificação de imóveis se altera para:</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Times New Roman" w:cs="Times New Roman"/>
                  <w:i/>
                  <w:sz w:val="24"/>
                  <w:szCs w:val="24"/>
                </w:rPr>
              </m:ctrlPr>
            </m:dPr>
            <m:e>
              <m:r>
                <w:rPr>
                  <w:rFonts w:ascii="Cambria Math" w:hAnsi="Cambria Math" w:cs="Times New Roman"/>
                  <w:sz w:val="24"/>
                  <w:szCs w:val="24"/>
                </w:rPr>
                <m:t>β</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r>
                            <w:rPr>
                              <w:rFonts w:ascii="Cambria Math" w:hAnsi="Times New Roman" w:cs="Times New Roman"/>
                              <w:sz w:val="24"/>
                              <w:szCs w:val="24"/>
                            </w:rPr>
                            <m:t>)</m:t>
                          </m:r>
                        </m:num>
                        <m:den>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den>
                          </m:f>
                          <m:r>
                            <w:rPr>
                              <w:rFonts w:ascii="Cambria Math" w:hAnsi="Times New Roman" w:cs="Times New Roman"/>
                              <w:sz w:val="24"/>
                              <w:szCs w:val="24"/>
                            </w:rPr>
                            <m:t>)</m:t>
                          </m:r>
                        </m:den>
                      </m:f>
                    </m:e>
                  </m:d>
                </m:e>
                <m:sup>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θ</m:t>
                  </m:r>
                </m:sup>
              </m:sSup>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r>
                        <w:rPr>
                          <w:rFonts w:ascii="Cambria Math" w:hAnsi="Times New Roman" w:cs="Times New Roman"/>
                          <w:sz w:val="24"/>
                          <w:szCs w:val="24"/>
                        </w:rPr>
                        <m:t>+1</m:t>
                      </m:r>
                    </m:sub>
                  </m:sSub>
                </m:e>
              </m:d>
              <m:r>
                <w:rPr>
                  <w:rFonts w:ascii="Cambria Math" w:hAnsi="Times New Roman" w:cs="Times New Roman"/>
                  <w:sz w:val="24"/>
                  <w:szCs w:val="24"/>
                </w:rPr>
                <m:t xml:space="preserve">+ </m:t>
              </m:r>
              <m:r>
                <w:rPr>
                  <w:rFonts w:ascii="Cambria Math" w:hAnsi="Cambria Math" w:cs="Times New Roman"/>
                  <w:sz w:val="24"/>
                  <w:szCs w:val="24"/>
                </w:rPr>
                <m:t>β</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θ</m:t>
                      </m:r>
                    </m:num>
                    <m:den>
                      <m:r>
                        <w:rPr>
                          <w:rFonts w:ascii="Cambria Math" w:hAnsi="Cambria Math" w:cs="Times New Roman"/>
                          <w:sz w:val="24"/>
                          <w:szCs w:val="24"/>
                        </w:rPr>
                        <m:t>θ</m:t>
                      </m:r>
                    </m:den>
                  </m:f>
                </m:e>
              </m:d>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den>
                      </m:f>
                    </m:e>
                  </m:d>
                </m:e>
                <m:sup>
                  <m:r>
                    <w:rPr>
                      <w:rFonts w:ascii="Cambria Math" w:hAnsi="Cambria Math" w:cs="Times New Roman"/>
                      <w:sz w:val="24"/>
                      <w:szCs w:val="24"/>
                    </w:rPr>
                    <m:t>θ</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e>
                  </m:d>
                </m:e>
                <m:sup>
                  <m:r>
                    <w:rPr>
                      <w:rFonts w:ascii="Times New Roman" w:hAnsi="Times New Roman" w:cs="Times New Roman"/>
                      <w:sz w:val="24"/>
                      <w:szCs w:val="24"/>
                    </w:rPr>
                    <m:t>-</m:t>
                  </m:r>
                  <m:r>
                    <w:rPr>
                      <w:rFonts w:ascii="Cambria Math" w:hAnsi="Cambria Math" w:cs="Times New Roman"/>
                      <w:sz w:val="24"/>
                      <w:szCs w:val="24"/>
                    </w:rPr>
                    <m:t>θ</m:t>
                  </m:r>
                </m:sup>
              </m:sSup>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e>
              </m:d>
            </m:e>
          </m:d>
        </m:oMath>
      </m:oMathPara>
    </w:p>
    <w:p w:rsidR="00944E88" w:rsidRPr="00944E88" w:rsidRDefault="00944E88" w:rsidP="00944E88">
      <w:pPr>
        <w:spacing w:after="0" w:line="240" w:lineRule="auto"/>
        <w:jc w:val="both"/>
        <w:rPr>
          <w:rFonts w:ascii="Times New Roman" w:eastAsiaTheme="minorEastAsia" w:hAnsi="Times New Roman" w:cs="Times New Roman"/>
          <w:sz w:val="24"/>
          <w:szCs w:val="24"/>
        </w:rPr>
      </w:pPr>
    </w:p>
    <w:p w:rsidR="007A3CBD" w:rsidRPr="00944E88" w:rsidRDefault="007A3CBD"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representa o crescimento da propriedade de imóveis e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o crescimento do consumo. </w:t>
      </w:r>
    </w:p>
    <w:p w:rsidR="007A3CBD" w:rsidRPr="00944E88" w:rsidRDefault="007A3CB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Utilizando o Método dos Momentos Generalizados (GMM) é possível estimar os parâmetros </w:t>
      </w:r>
      <m:oMath>
        <m:r>
          <w:rPr>
            <w:rFonts w:ascii="Cambria Math" w:hAnsi="Cambria Math" w:cs="Times New Roman"/>
            <w:sz w:val="24"/>
            <w:szCs w:val="24"/>
          </w:rPr>
          <m:t>β</m:t>
        </m:r>
      </m:oMath>
      <w:r w:rsidRPr="00944E88">
        <w:rPr>
          <w:rFonts w:ascii="Times New Roman" w:hAnsi="Times New Roman" w:cs="Times New Roman"/>
          <w:sz w:val="24"/>
          <w:szCs w:val="24"/>
        </w:rPr>
        <w:t xml:space="preserve"> e </w:t>
      </w:r>
      <m:oMath>
        <m:r>
          <w:rPr>
            <w:rFonts w:ascii="Cambria Math" w:hAnsi="Cambria Math" w:cs="Times New Roman"/>
            <w:sz w:val="24"/>
            <w:szCs w:val="24"/>
          </w:rPr>
          <m:t>θ</m:t>
        </m:r>
      </m:oMath>
      <w:r w:rsidRPr="00944E88">
        <w:rPr>
          <w:rFonts w:ascii="Times New Roman" w:hAnsi="Times New Roman" w:cs="Times New Roman"/>
          <w:sz w:val="24"/>
          <w:szCs w:val="24"/>
        </w:rPr>
        <w:t xml:space="preserve"> pela seguinte equação: </w:t>
      </w:r>
    </w:p>
    <w:p w:rsidR="00944E88" w:rsidRPr="00944E88" w:rsidRDefault="00944E88" w:rsidP="00944E88">
      <w:pPr>
        <w:spacing w:after="0" w:line="240" w:lineRule="auto"/>
        <w:jc w:val="both"/>
        <w:rPr>
          <w:rFonts w:ascii="Times New Roman" w:hAnsi="Times New Roman" w:cs="Times New Roman"/>
          <w:sz w:val="24"/>
          <w:szCs w:val="24"/>
        </w:rPr>
      </w:pPr>
    </w:p>
    <w:p w:rsidR="007A3CBD" w:rsidRPr="00944E88" w:rsidRDefault="00121430" w:rsidP="00944E88">
      <w:pPr>
        <w:spacing w:after="0" w:line="240" w:lineRule="auto"/>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Times New Roman" w:cs="Times New Roman"/>
                  <w:i/>
                  <w:sz w:val="24"/>
                  <w:szCs w:val="24"/>
                </w:rPr>
              </m:ctrlPr>
            </m:dPr>
            <m:e>
              <m:r>
                <w:rPr>
                  <w:rFonts w:ascii="Cambria Math" w:hAnsi="Cambria Math" w:cs="Times New Roman"/>
                  <w:sz w:val="24"/>
                  <w:szCs w:val="24"/>
                </w:rPr>
                <m:t>β</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e>
                  </m:d>
                </m:e>
                <m:sup>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θ</m:t>
                  </m:r>
                  <m:r>
                    <w:rPr>
                      <w:rFonts w:ascii="Cambria Math" w:hAnsi="Times New Roman" w:cs="Times New Roman"/>
                      <w:sz w:val="24"/>
                      <w:szCs w:val="24"/>
                    </w:rPr>
                    <m:t>)</m:t>
                  </m:r>
                </m:sup>
              </m:sSup>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den>
                      </m:f>
                    </m:e>
                  </m:d>
                </m:e>
                <m:sup>
                  <m:r>
                    <w:rPr>
                      <w:rFonts w:ascii="Cambria Math" w:hAnsi="Times New Roman" w:cs="Times New Roman"/>
                      <w:sz w:val="24"/>
                      <w:szCs w:val="24"/>
                    </w:rPr>
                    <m:t>(</m:t>
                  </m:r>
                  <m:r>
                    <w:rPr>
                      <w:rFonts w:ascii="Cambria Math" w:hAnsi="Cambria Math" w:cs="Times New Roman"/>
                      <w:sz w:val="24"/>
                      <w:szCs w:val="24"/>
                    </w:rPr>
                    <m:t>θ</m:t>
                  </m:r>
                  <m:r>
                    <w:rPr>
                      <w:rFonts w:ascii="Times New Roman" w:hAnsi="Times New Roman"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e>
              </m:d>
              <m:r>
                <w:rPr>
                  <w:rFonts w:ascii="Cambria Math" w:hAnsi="Times New Roman" w:cs="Times New Roman"/>
                  <w:sz w:val="24"/>
                  <w:szCs w:val="24"/>
                </w:rPr>
                <m:t xml:space="preserve">+ </m:t>
              </m:r>
              <m:r>
                <w:rPr>
                  <w:rFonts w:ascii="Cambria Math" w:hAnsi="Cambria Math" w:cs="Times New Roman"/>
                  <w:sz w:val="24"/>
                  <w:szCs w:val="24"/>
                </w:rPr>
                <m:t>β</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θ</m:t>
                      </m:r>
                    </m:num>
                    <m:den>
                      <m:r>
                        <w:rPr>
                          <w:rFonts w:ascii="Cambria Math" w:hAnsi="Cambria Math" w:cs="Times New Roman"/>
                          <w:sz w:val="24"/>
                          <w:szCs w:val="24"/>
                        </w:rPr>
                        <m:t>θ</m:t>
                      </m:r>
                    </m:den>
                  </m:f>
                </m:e>
              </m:d>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den>
                      </m:f>
                    </m:e>
                  </m:d>
                </m:e>
                <m:sup>
                  <m:r>
                    <w:rPr>
                      <w:rFonts w:ascii="Cambria Math" w:hAnsi="Cambria Math" w:cs="Times New Roman"/>
                      <w:sz w:val="24"/>
                      <w:szCs w:val="24"/>
                    </w:rPr>
                    <m:t>θ</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e>
                  </m:d>
                </m:e>
                <m:sup>
                  <m:r>
                    <w:rPr>
                      <w:rFonts w:ascii="Times New Roman" w:hAnsi="Times New Roman" w:cs="Times New Roman"/>
                      <w:sz w:val="24"/>
                      <w:szCs w:val="24"/>
                    </w:rPr>
                    <m:t>-</m:t>
                  </m:r>
                  <m:r>
                    <w:rPr>
                      <w:rFonts w:ascii="Cambria Math" w:hAnsi="Cambria Math" w:cs="Times New Roman"/>
                      <w:sz w:val="24"/>
                      <w:szCs w:val="24"/>
                    </w:rPr>
                    <m:t>θ</m:t>
                  </m:r>
                </m:sup>
              </m:sSup>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 xml:space="preserve"> </m:t>
                          </m:r>
                        </m:sub>
                      </m:sSub>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e>
              </m:d>
              <m:r>
                <w:rPr>
                  <w:rFonts w:ascii="Times New Roman"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=0</m:t>
          </m:r>
        </m:oMath>
      </m:oMathPara>
    </w:p>
    <w:p w:rsidR="0073171A" w:rsidRPr="00944E88" w:rsidRDefault="0073171A" w:rsidP="00944E88">
      <w:pPr>
        <w:pStyle w:val="PargrafodaLista"/>
        <w:spacing w:after="0" w:line="240" w:lineRule="auto"/>
        <w:ind w:left="1080"/>
        <w:rPr>
          <w:rFonts w:ascii="Times New Roman" w:hAnsi="Times New Roman" w:cs="Times New Roman"/>
          <w:b/>
          <w:sz w:val="24"/>
          <w:szCs w:val="24"/>
        </w:rPr>
      </w:pPr>
    </w:p>
    <w:p w:rsidR="000F4BD3" w:rsidRPr="00944E88" w:rsidRDefault="0045524C" w:rsidP="00944E88">
      <w:pPr>
        <w:pStyle w:val="PargrafodaLista"/>
        <w:numPr>
          <w:ilvl w:val="0"/>
          <w:numId w:val="1"/>
        </w:numPr>
        <w:spacing w:after="0" w:line="240" w:lineRule="auto"/>
        <w:ind w:left="709"/>
        <w:rPr>
          <w:rFonts w:ascii="Times New Roman" w:hAnsi="Times New Roman" w:cs="Times New Roman"/>
          <w:b/>
          <w:sz w:val="24"/>
          <w:szCs w:val="24"/>
        </w:rPr>
      </w:pPr>
      <w:r w:rsidRPr="00944E88">
        <w:rPr>
          <w:rFonts w:ascii="Times New Roman" w:hAnsi="Times New Roman" w:cs="Times New Roman"/>
          <w:b/>
          <w:sz w:val="24"/>
          <w:szCs w:val="24"/>
        </w:rPr>
        <w:t>BASE DE DADOS</w:t>
      </w:r>
    </w:p>
    <w:p w:rsidR="00D3229A" w:rsidRPr="00944E88" w:rsidRDefault="00D3229A" w:rsidP="00944E88">
      <w:pPr>
        <w:pStyle w:val="PargrafodaLista"/>
        <w:spacing w:after="0" w:line="240" w:lineRule="auto"/>
        <w:ind w:left="709"/>
        <w:rPr>
          <w:rFonts w:ascii="Times New Roman" w:hAnsi="Times New Roman" w:cs="Times New Roman"/>
          <w:b/>
          <w:color w:val="FF0000"/>
          <w:sz w:val="24"/>
          <w:szCs w:val="24"/>
        </w:rPr>
      </w:pP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As estimações dos modelos CAPM e CCAPM modificado englobam um</w:t>
      </w:r>
      <w:r w:rsidR="007D6C21" w:rsidRPr="00944E88">
        <w:rPr>
          <w:rFonts w:ascii="Times New Roman" w:hAnsi="Times New Roman" w:cs="Times New Roman"/>
          <w:sz w:val="24"/>
          <w:szCs w:val="24"/>
        </w:rPr>
        <w:t>a</w:t>
      </w:r>
      <w:r w:rsidRPr="00944E88">
        <w:rPr>
          <w:rFonts w:ascii="Times New Roman" w:hAnsi="Times New Roman" w:cs="Times New Roman"/>
          <w:sz w:val="24"/>
          <w:szCs w:val="24"/>
        </w:rPr>
        <w:t xml:space="preserve"> variedade de dados. A série mais importante refere-se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evolução dos preços dos imóveis nas duas cidades analisadas, esta série foi construída com base na evolução do Índice </w:t>
      </w:r>
      <w:proofErr w:type="spellStart"/>
      <w:r w:rsidRPr="00944E88">
        <w:rPr>
          <w:rFonts w:ascii="Times New Roman" w:hAnsi="Times New Roman" w:cs="Times New Roman"/>
          <w:sz w:val="24"/>
          <w:szCs w:val="24"/>
        </w:rPr>
        <w:t>FipeZap</w:t>
      </w:r>
      <w:proofErr w:type="spellEnd"/>
      <w:r w:rsidRPr="00944E88">
        <w:rPr>
          <w:rFonts w:ascii="Times New Roman" w:hAnsi="Times New Roman" w:cs="Times New Roman"/>
          <w:sz w:val="24"/>
          <w:szCs w:val="24"/>
        </w:rPr>
        <w:t xml:space="preserve"> que é calculado com base no preços de anúncio diários de imóveis no sítio do </w:t>
      </w:r>
      <w:proofErr w:type="spellStart"/>
      <w:r w:rsidRPr="00944E88">
        <w:rPr>
          <w:rFonts w:ascii="Times New Roman" w:hAnsi="Times New Roman" w:cs="Times New Roman"/>
          <w:sz w:val="24"/>
          <w:szCs w:val="24"/>
        </w:rPr>
        <w:t>Zap</w:t>
      </w:r>
      <w:proofErr w:type="spellEnd"/>
      <w:r w:rsidRPr="00944E88">
        <w:rPr>
          <w:rFonts w:ascii="Times New Roman" w:hAnsi="Times New Roman" w:cs="Times New Roman"/>
          <w:sz w:val="24"/>
          <w:szCs w:val="24"/>
        </w:rPr>
        <w:t xml:space="preserve"> Imóveis (desde 1º de dezembro de 2007) bem como anúncios de outros treze portais de classificados (desde junho de 2012). Deve-se ressaltar que o preço dado no anúncio não é uma medida exata da evolução dos preços efetivamente transacionados, já que este mercado é caracterizado pela constante presença de </w:t>
      </w:r>
      <w:proofErr w:type="spellStart"/>
      <w:proofErr w:type="gramStart"/>
      <w:r w:rsidRPr="00944E88">
        <w:rPr>
          <w:rFonts w:ascii="Times New Roman" w:hAnsi="Times New Roman" w:cs="Times New Roman"/>
          <w:sz w:val="24"/>
          <w:szCs w:val="24"/>
        </w:rPr>
        <w:t>contra-propostas</w:t>
      </w:r>
      <w:proofErr w:type="spellEnd"/>
      <w:proofErr w:type="gramEnd"/>
      <w:r w:rsidRPr="00944E88">
        <w:rPr>
          <w:rFonts w:ascii="Times New Roman" w:hAnsi="Times New Roman" w:cs="Times New Roman"/>
          <w:sz w:val="24"/>
          <w:szCs w:val="24"/>
        </w:rPr>
        <w:t xml:space="preserve"> antes da concretização da transação. Entretanto, se existir uma constância no percentual médio de desconto realizado durante a negociação, isto tornará possível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utilização destes dados quando consideram-se taxas, já que o percentual será anulado. Além disso, esses dados são utilizados por vários países por possuir respaldo de que os dois preços (anúncio e concretização) apresentam, no médio e longo prazo, tendências semelhantes.</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O Índice </w:t>
      </w:r>
      <w:proofErr w:type="spellStart"/>
      <w:proofErr w:type="gramStart"/>
      <w:r w:rsidRPr="00944E88">
        <w:rPr>
          <w:rFonts w:ascii="Times New Roman" w:hAnsi="Times New Roman" w:cs="Times New Roman"/>
          <w:sz w:val="24"/>
          <w:szCs w:val="24"/>
        </w:rPr>
        <w:t>FipeZap</w:t>
      </w:r>
      <w:proofErr w:type="spellEnd"/>
      <w:proofErr w:type="gramEnd"/>
      <w:r w:rsidRPr="00944E88">
        <w:rPr>
          <w:rFonts w:ascii="Times New Roman" w:hAnsi="Times New Roman" w:cs="Times New Roman"/>
          <w:sz w:val="24"/>
          <w:szCs w:val="24"/>
        </w:rPr>
        <w:t xml:space="preserve"> atualmente mostra a evolução do preço do metro quadrado (m²) de venda e locação de apartamentos prontos em dezesseis localidades brasileiras: Belo </w:t>
      </w:r>
      <w:r w:rsidRPr="00944E88">
        <w:rPr>
          <w:rFonts w:ascii="Times New Roman" w:hAnsi="Times New Roman" w:cs="Times New Roman"/>
          <w:sz w:val="24"/>
          <w:szCs w:val="24"/>
        </w:rPr>
        <w:lastRenderedPageBreak/>
        <w:t>Horizonte, Fortaleza, Recife, Rio de Janeiro, São Paulo, Salvador, Distrito Federal, Porto Alegre, Curitiba, Florianópolis, Vitória, Vila Velha, Santo André, São Bernardo, São Caetano e Niterói (FIPE, 2014), sendo que cada Índice regional é dividido em quatro categorias, de acordo com os números de dormitórios.</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t xml:space="preserve">Após o procedimento de filtragem, que exclui anúncios repetidos e dados </w:t>
      </w:r>
      <w:proofErr w:type="spellStart"/>
      <w:r w:rsidRPr="00944E88">
        <w:rPr>
          <w:rFonts w:ascii="Times New Roman" w:hAnsi="Times New Roman" w:cs="Times New Roman"/>
          <w:i/>
          <w:sz w:val="24"/>
          <w:szCs w:val="24"/>
        </w:rPr>
        <w:t>outliers</w:t>
      </w:r>
      <w:proofErr w:type="spellEnd"/>
      <w:r w:rsidRPr="00944E88">
        <w:rPr>
          <w:rFonts w:ascii="Times New Roman" w:hAnsi="Times New Roman" w:cs="Times New Roman"/>
          <w:sz w:val="24"/>
          <w:szCs w:val="24"/>
        </w:rPr>
        <w:t xml:space="preserve">, tem-se os preços médios de aluguel e venda por bairros de cada cidade e por números de dormitórios. Para determinar o preço médio dos imóveis na cidade, </w:t>
      </w:r>
      <w:proofErr w:type="gramStart"/>
      <w:r w:rsidRPr="00944E88">
        <w:rPr>
          <w:rFonts w:ascii="Times New Roman" w:hAnsi="Times New Roman" w:cs="Times New Roman"/>
          <w:sz w:val="24"/>
          <w:szCs w:val="24"/>
        </w:rPr>
        <w:t>utiliza-se</w:t>
      </w:r>
      <w:proofErr w:type="gramEnd"/>
      <w:r w:rsidRPr="00944E88">
        <w:rPr>
          <w:rFonts w:ascii="Times New Roman" w:hAnsi="Times New Roman" w:cs="Times New Roman"/>
          <w:sz w:val="24"/>
          <w:szCs w:val="24"/>
        </w:rPr>
        <w:t xml:space="preserve"> ponderações para cada bairro (ponderação do IBGE). O Índice </w:t>
      </w:r>
      <w:proofErr w:type="spellStart"/>
      <w:proofErr w:type="gramStart"/>
      <w:r w:rsidRPr="00944E88">
        <w:rPr>
          <w:rFonts w:ascii="Times New Roman" w:hAnsi="Times New Roman" w:cs="Times New Roman"/>
          <w:sz w:val="24"/>
          <w:szCs w:val="24"/>
        </w:rPr>
        <w:t>FipeZap</w:t>
      </w:r>
      <w:proofErr w:type="spellEnd"/>
      <w:proofErr w:type="gramEnd"/>
      <w:r w:rsidRPr="00944E88">
        <w:rPr>
          <w:rFonts w:ascii="Times New Roman" w:hAnsi="Times New Roman" w:cs="Times New Roman"/>
          <w:sz w:val="24"/>
          <w:szCs w:val="24"/>
        </w:rPr>
        <w:t xml:space="preserve"> é um Índice de </w:t>
      </w:r>
      <w:proofErr w:type="spellStart"/>
      <w:r w:rsidRPr="00944E88">
        <w:rPr>
          <w:rFonts w:ascii="Times New Roman" w:hAnsi="Times New Roman" w:cs="Times New Roman"/>
          <w:sz w:val="24"/>
          <w:szCs w:val="24"/>
        </w:rPr>
        <w:t>Laspeyres</w:t>
      </w:r>
      <w:proofErr w:type="spellEnd"/>
      <w:r w:rsidRPr="00944E88">
        <w:rPr>
          <w:rFonts w:ascii="Times New Roman" w:hAnsi="Times New Roman" w:cs="Times New Roman"/>
          <w:sz w:val="24"/>
          <w:szCs w:val="24"/>
        </w:rPr>
        <w:t xml:space="preserve"> com média móvel de três meses com base na mediana dos preços </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t xml:space="preserve">No Brasil existem outros indicadores de preços para o mercado imobiliário, é o caso do </w:t>
      </w:r>
      <w:r w:rsidRPr="00944E88">
        <w:rPr>
          <w:rFonts w:ascii="Times New Roman" w:hAnsi="Times New Roman" w:cs="Times New Roman"/>
          <w:sz w:val="24"/>
          <w:szCs w:val="24"/>
          <w:shd w:val="clear" w:color="auto" w:fill="FFFFFF"/>
        </w:rPr>
        <w:t xml:space="preserve">Índice de Valores de Garantia de Imóveis Residenciais Financiados (IVG-R) do Banco Central do Brasil que mensura a tendência de longo prazo dos valores de imóveis residenciais com base nos financiamentos imobiliários. Porém, a base de dados mais completa acerca da </w:t>
      </w:r>
      <w:r w:rsidRPr="00944E88">
        <w:rPr>
          <w:rFonts w:ascii="Times New Roman" w:hAnsi="Times New Roman" w:cs="Times New Roman"/>
          <w:sz w:val="24"/>
          <w:szCs w:val="24"/>
        </w:rPr>
        <w:t xml:space="preserve">evolução dos preços dos imóveis é o Índice </w:t>
      </w:r>
      <w:proofErr w:type="spellStart"/>
      <w:proofErr w:type="gramStart"/>
      <w:r w:rsidRPr="00944E88">
        <w:rPr>
          <w:rFonts w:ascii="Times New Roman" w:hAnsi="Times New Roman" w:cs="Times New Roman"/>
          <w:sz w:val="24"/>
          <w:szCs w:val="24"/>
        </w:rPr>
        <w:t>FipeZap</w:t>
      </w:r>
      <w:proofErr w:type="spellEnd"/>
      <w:proofErr w:type="gramEnd"/>
      <w:r w:rsidRPr="00944E88">
        <w:rPr>
          <w:rFonts w:ascii="Times New Roman" w:hAnsi="Times New Roman" w:cs="Times New Roman"/>
          <w:sz w:val="24"/>
          <w:szCs w:val="24"/>
        </w:rPr>
        <w:t xml:space="preserve"> e para construir uma taxa de retorno do investimento imobiliário é necessária a manipulação da série histórica dos índices para retornar os preços médios do m² de cada região. Apesar de o Índice ter início em </w:t>
      </w:r>
      <w:proofErr w:type="spellStart"/>
      <w:r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 xml:space="preserve">/2008, cada município </w:t>
      </w:r>
      <w:proofErr w:type="gramStart"/>
      <w:r w:rsidRPr="00944E88">
        <w:rPr>
          <w:rFonts w:ascii="Times New Roman" w:hAnsi="Times New Roman" w:cs="Times New Roman"/>
          <w:sz w:val="24"/>
          <w:szCs w:val="24"/>
        </w:rPr>
        <w:t>apresenta dados</w:t>
      </w:r>
      <w:proofErr w:type="gramEnd"/>
      <w:r w:rsidRPr="00944E88">
        <w:rPr>
          <w:rFonts w:ascii="Times New Roman" w:hAnsi="Times New Roman" w:cs="Times New Roman"/>
          <w:sz w:val="24"/>
          <w:szCs w:val="24"/>
        </w:rPr>
        <w:t xml:space="preserve"> a partir de períodos diferentes. Para a análise neste trabalho, escolheu-se São Paulo e Rio de Janeiro, ambos com início em </w:t>
      </w:r>
      <w:proofErr w:type="spellStart"/>
      <w:r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 xml:space="preserve">/2008. Essas cidades foram escolhidas por possuírem a maior quantidade de dados de venda e de aluguel entre a amostra de cidades e pelo fato de possuírem os maiores pesos na composição dos índices agregados, </w:t>
      </w:r>
      <w:proofErr w:type="gramStart"/>
      <w:r w:rsidRPr="00944E88">
        <w:rPr>
          <w:rFonts w:ascii="Times New Roman" w:hAnsi="Times New Roman" w:cs="Times New Roman"/>
          <w:sz w:val="24"/>
          <w:szCs w:val="24"/>
        </w:rPr>
        <w:t>cerca de 66,1</w:t>
      </w:r>
      <w:proofErr w:type="gramEnd"/>
      <w:r w:rsidRPr="00944E88">
        <w:rPr>
          <w:rFonts w:ascii="Times New Roman" w:hAnsi="Times New Roman" w:cs="Times New Roman"/>
          <w:sz w:val="24"/>
          <w:szCs w:val="24"/>
        </w:rPr>
        <w:t xml:space="preserve">% do Índice </w:t>
      </w:r>
      <w:proofErr w:type="spellStart"/>
      <w:r w:rsidRPr="00944E88">
        <w:rPr>
          <w:rFonts w:ascii="Times New Roman" w:hAnsi="Times New Roman" w:cs="Times New Roman"/>
          <w:sz w:val="24"/>
          <w:szCs w:val="24"/>
        </w:rPr>
        <w:t>FipeZap</w:t>
      </w:r>
      <w:proofErr w:type="spellEnd"/>
      <w:r w:rsidRPr="00944E88">
        <w:rPr>
          <w:rFonts w:ascii="Times New Roman" w:hAnsi="Times New Roman" w:cs="Times New Roman"/>
          <w:sz w:val="24"/>
          <w:szCs w:val="24"/>
        </w:rPr>
        <w:t xml:space="preserve"> Composto e 53,6% do </w:t>
      </w:r>
      <w:proofErr w:type="spellStart"/>
      <w:r w:rsidRPr="00944E88">
        <w:rPr>
          <w:rFonts w:ascii="Times New Roman" w:hAnsi="Times New Roman" w:cs="Times New Roman"/>
          <w:sz w:val="24"/>
          <w:szCs w:val="24"/>
        </w:rPr>
        <w:t>FipeZap</w:t>
      </w:r>
      <w:proofErr w:type="spellEnd"/>
      <w:r w:rsidRPr="00944E88">
        <w:rPr>
          <w:rFonts w:ascii="Times New Roman" w:hAnsi="Times New Roman" w:cs="Times New Roman"/>
          <w:sz w:val="24"/>
          <w:szCs w:val="24"/>
        </w:rPr>
        <w:t xml:space="preserve"> Ampliado, ambos considerando o período a partir de 2012.</w:t>
      </w:r>
    </w:p>
    <w:p w:rsidR="00A30B13"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A </w:t>
      </w:r>
      <w:proofErr w:type="gramStart"/>
      <w:r w:rsidRPr="00944E88">
        <w:rPr>
          <w:rFonts w:ascii="Times New Roman" w:hAnsi="Times New Roman" w:cs="Times New Roman"/>
          <w:sz w:val="24"/>
          <w:szCs w:val="24"/>
        </w:rPr>
        <w:t>Fipe</w:t>
      </w:r>
      <w:proofErr w:type="gramEnd"/>
      <w:r w:rsidRPr="00944E88">
        <w:rPr>
          <w:rFonts w:ascii="Times New Roman" w:hAnsi="Times New Roman" w:cs="Times New Roman"/>
          <w:sz w:val="24"/>
          <w:szCs w:val="24"/>
        </w:rPr>
        <w:t xml:space="preserve"> disponibiliza os últimos relatórios mensais de venda e aluguel, nestes relatórios tem-se o preço médio do m² de cada cidade, tomando como dado o preço médio do m² em maio de 2016, pode-se calcular a série histórica aplicando a seguinte equação recursivamente:</w:t>
      </w:r>
    </w:p>
    <w:p w:rsidR="00944E88" w:rsidRPr="00944E88" w:rsidRDefault="00944E88" w:rsidP="00944E88">
      <w:pPr>
        <w:pStyle w:val="PargrafodaLista"/>
        <w:spacing w:after="0" w:line="240" w:lineRule="auto"/>
        <w:ind w:left="0"/>
        <w:jc w:val="both"/>
        <w:rPr>
          <w:rFonts w:ascii="Times New Roman" w:hAnsi="Times New Roman" w:cs="Times New Roman"/>
          <w:sz w:val="24"/>
          <w:szCs w:val="24"/>
        </w:rPr>
      </w:pPr>
    </w:p>
    <w:p w:rsidR="00A30B13" w:rsidRPr="00944E88" w:rsidRDefault="00121430" w:rsidP="00944E88">
      <w:pPr>
        <w:pStyle w:val="PargrafodaLista"/>
        <w:spacing w:after="0" w:line="240" w:lineRule="auto"/>
        <w:ind w:left="0"/>
        <w:jc w:val="center"/>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R</m:t>
              </m:r>
            </m:sup>
          </m:sSubSup>
          <m:r>
            <w:rPr>
              <w:rFonts w:ascii="Cambria Math" w:hAnsi="Times New Roman" w:cs="Times New Roman"/>
              <w:sz w:val="24"/>
              <w:szCs w:val="24"/>
            </w:rPr>
            <m:t>=</m:t>
          </m:r>
          <m:f>
            <m:fPr>
              <m:ctrlPr>
                <w:rPr>
                  <w:rFonts w:ascii="Cambria Math" w:hAnsi="Times New Roman" w:cs="Times New Roman"/>
                  <w:i/>
                  <w:sz w:val="24"/>
                  <w:szCs w:val="24"/>
                </w:rPr>
              </m:ctrlPr>
            </m:fPr>
            <m:num>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R</m:t>
                  </m:r>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R</m:t>
                  </m:r>
                </m:sup>
              </m:sSubSup>
            </m:num>
            <m:den>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R</m:t>
                  </m:r>
                </m:sup>
              </m:sSubSup>
            </m:den>
          </m:f>
        </m:oMath>
      </m:oMathPara>
    </w:p>
    <w:p w:rsidR="00944E88" w:rsidRPr="00944E88" w:rsidRDefault="00944E88" w:rsidP="00944E88">
      <w:pPr>
        <w:pStyle w:val="PargrafodaLista"/>
        <w:spacing w:after="0" w:line="240" w:lineRule="auto"/>
        <w:ind w:left="0"/>
        <w:jc w:val="center"/>
        <w:rPr>
          <w:rFonts w:ascii="Times New Roman" w:hAnsi="Times New Roman" w:cs="Times New Roman"/>
          <w:sz w:val="24"/>
          <w:szCs w:val="24"/>
        </w:rPr>
      </w:pP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é o Índice FipeZap de Preços Anunciados na região R no tempo t e </w:t>
      </w:r>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 é o preço do m² na região R no tempo t. </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t xml:space="preserve">Esta série histórica construída é de preço nominal do m² de venda e de aluguel. Para que a análise da evolução dos preços do mercado imobiliário seja crível é de extrema importância que se construa uma nova série descontando o peso da inflação do período para que se obtenha uma evolução real dos preços. Desta forma, aplica-se o método para deflacionar a série de preços do m² pelo Índice Nacional de Preços ao Consumidor Amplo (IPCA). Os dados foram manipulados definindo como base dos índices </w:t>
      </w:r>
      <w:proofErr w:type="spellStart"/>
      <w:r w:rsidRPr="00944E88">
        <w:rPr>
          <w:rFonts w:ascii="Times New Roman" w:hAnsi="Times New Roman" w:cs="Times New Roman"/>
          <w:sz w:val="24"/>
          <w:szCs w:val="24"/>
        </w:rPr>
        <w:t>ago</w:t>
      </w:r>
      <w:proofErr w:type="spellEnd"/>
      <w:r w:rsidRPr="00944E88">
        <w:rPr>
          <w:rFonts w:ascii="Times New Roman" w:hAnsi="Times New Roman" w:cs="Times New Roman"/>
          <w:sz w:val="24"/>
          <w:szCs w:val="24"/>
        </w:rPr>
        <w:t xml:space="preserve">/2010 (Índices = 100), assim, os valores encontrados dos preços médios estão padronizados a preços constantes de </w:t>
      </w:r>
      <w:proofErr w:type="spellStart"/>
      <w:r w:rsidRPr="00944E88">
        <w:rPr>
          <w:rFonts w:ascii="Times New Roman" w:hAnsi="Times New Roman" w:cs="Times New Roman"/>
          <w:sz w:val="24"/>
          <w:szCs w:val="24"/>
        </w:rPr>
        <w:t>ago</w:t>
      </w:r>
      <w:proofErr w:type="spellEnd"/>
      <w:r w:rsidRPr="00944E88">
        <w:rPr>
          <w:rFonts w:ascii="Times New Roman" w:hAnsi="Times New Roman" w:cs="Times New Roman"/>
          <w:sz w:val="24"/>
          <w:szCs w:val="24"/>
        </w:rPr>
        <w:t>/2010. As Figuras 1 e 2 mostram a evolução das séries de preços de venda e alugueis das duas cidades.</w:t>
      </w:r>
    </w:p>
    <w:p w:rsidR="0069422B" w:rsidRPr="00944E88" w:rsidRDefault="0069422B" w:rsidP="0069422B">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Pela Figura 1, observa-se que historicamente os imóveis no Rio de Janeiro possuem um valor acima do que os imóveis em São Paulo. Destaca-se a predominância de uma tendência de crescimento do preço do m² de venda em São Paulo e no Rio de Janeiro até início de 2014 e uma tendência de queda a partir do segundo semestre do mesmo ano. </w:t>
      </w: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69422B" w:rsidRDefault="0069422B" w:rsidP="00944E88">
      <w:pPr>
        <w:pStyle w:val="PargrafodaLista"/>
        <w:spacing w:after="0" w:line="240" w:lineRule="auto"/>
        <w:ind w:left="0"/>
        <w:jc w:val="both"/>
        <w:rPr>
          <w:rFonts w:ascii="Times New Roman" w:hAnsi="Times New Roman" w:cs="Times New Roman"/>
          <w:sz w:val="24"/>
          <w:szCs w:val="24"/>
        </w:rPr>
      </w:pP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lastRenderedPageBreak/>
        <w:t>Figura 1 - Evolução do preço médio do m² de venda em São Paulo e Rio de Janeiro</w:t>
      </w:r>
    </w:p>
    <w:p w:rsidR="00A26D20" w:rsidRPr="00944E88" w:rsidRDefault="00704A7A" w:rsidP="00944E88">
      <w:pPr>
        <w:pStyle w:val="PargrafodaLista"/>
        <w:spacing w:after="0" w:line="240" w:lineRule="auto"/>
        <w:ind w:left="0"/>
        <w:jc w:val="center"/>
        <w:rPr>
          <w:rFonts w:ascii="Times New Roman" w:hAnsi="Times New Roman" w:cs="Times New Roman"/>
          <w:sz w:val="24"/>
          <w:szCs w:val="24"/>
        </w:rPr>
      </w:pPr>
      <w:r w:rsidRPr="00944E88">
        <w:rPr>
          <w:rFonts w:ascii="Times New Roman" w:hAnsi="Times New Roman" w:cs="Times New Roman"/>
          <w:noProof/>
          <w:sz w:val="24"/>
          <w:szCs w:val="24"/>
          <w:lang w:eastAsia="pt-BR"/>
        </w:rPr>
        <w:drawing>
          <wp:inline distT="0" distB="0" distL="0" distR="0" wp14:anchorId="4483B9E3" wp14:editId="0C7F06A5">
            <wp:extent cx="3525715" cy="18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o de venda.png"/>
                    <pic:cNvPicPr/>
                  </pic:nvPicPr>
                  <pic:blipFill rotWithShape="1">
                    <a:blip r:embed="rId8">
                      <a:extLst>
                        <a:ext uri="{28A0092B-C50C-407E-A947-70E740481C1C}">
                          <a14:useLocalDpi xmlns:a14="http://schemas.microsoft.com/office/drawing/2010/main" val="0"/>
                        </a:ext>
                      </a:extLst>
                    </a:blip>
                    <a:srcRect l="-1" t="14402" r="-864"/>
                    <a:stretch/>
                  </pic:blipFill>
                  <pic:spPr bwMode="auto">
                    <a:xfrm>
                      <a:off x="0" y="0"/>
                      <a:ext cx="3525715" cy="1800000"/>
                    </a:xfrm>
                    <a:prstGeom prst="rect">
                      <a:avLst/>
                    </a:prstGeom>
                    <a:ln>
                      <a:noFill/>
                    </a:ln>
                    <a:extLst>
                      <a:ext uri="{53640926-AAD7-44D8-BBD7-CCE9431645EC}">
                        <a14:shadowObscured xmlns:a14="http://schemas.microsoft.com/office/drawing/2010/main"/>
                      </a:ext>
                    </a:extLst>
                  </pic:spPr>
                </pic:pic>
              </a:graphicData>
            </a:graphic>
          </wp:inline>
        </w:drawing>
      </w:r>
    </w:p>
    <w:p w:rsidR="00A30B13" w:rsidRPr="00944E88" w:rsidRDefault="00A30B13" w:rsidP="00944E88">
      <w:pPr>
        <w:pStyle w:val="PargrafodaLista"/>
        <w:spacing w:after="0" w:line="240" w:lineRule="auto"/>
        <w:ind w:left="0"/>
        <w:rPr>
          <w:rFonts w:ascii="Times New Roman" w:hAnsi="Times New Roman" w:cs="Times New Roman"/>
          <w:sz w:val="20"/>
          <w:szCs w:val="20"/>
        </w:rPr>
      </w:pPr>
      <w:r w:rsidRPr="00944E88">
        <w:rPr>
          <w:rFonts w:ascii="Times New Roman" w:hAnsi="Times New Roman" w:cs="Times New Roman"/>
          <w:sz w:val="20"/>
          <w:szCs w:val="20"/>
        </w:rPr>
        <w:t xml:space="preserve">Fonte: Elaborado pela autora. Software utilizado: </w:t>
      </w:r>
      <w:proofErr w:type="spellStart"/>
      <w:proofErr w:type="gramStart"/>
      <w:r w:rsidRPr="00944E88">
        <w:rPr>
          <w:rFonts w:ascii="Times New Roman" w:hAnsi="Times New Roman" w:cs="Times New Roman"/>
          <w:sz w:val="20"/>
          <w:szCs w:val="20"/>
        </w:rPr>
        <w:t>RStudio</w:t>
      </w:r>
      <w:proofErr w:type="spellEnd"/>
      <w:proofErr w:type="gramEnd"/>
      <w:r w:rsidR="00944E88">
        <w:rPr>
          <w:rFonts w:ascii="Times New Roman" w:hAnsi="Times New Roman" w:cs="Times New Roman"/>
          <w:sz w:val="20"/>
          <w:szCs w:val="20"/>
        </w:rPr>
        <w:t xml:space="preserve"> (2017).</w:t>
      </w:r>
    </w:p>
    <w:p w:rsidR="00A30B13" w:rsidRDefault="00A30B13" w:rsidP="00944E88">
      <w:pPr>
        <w:pStyle w:val="PargrafodaLista"/>
        <w:spacing w:after="0" w:line="240" w:lineRule="auto"/>
        <w:ind w:left="0"/>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p>
    <w:p w:rsidR="0069422B" w:rsidRPr="00944E88" w:rsidRDefault="0069422B" w:rsidP="0069422B">
      <w:pPr>
        <w:pStyle w:val="PargrafodaLista"/>
        <w:spacing w:after="0" w:line="240" w:lineRule="auto"/>
        <w:ind w:left="0"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No que se refere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evolução dos preços médios do m² de aluguel nestas localidades, observa-se um comportamento diferente do preço de venda de São Paulo e Rio de Janeiro (Figura 2), pois houve uma reversão nos seus preços do m² do aluguel em </w:t>
      </w:r>
      <w:proofErr w:type="spellStart"/>
      <w:r w:rsidRPr="00944E88">
        <w:rPr>
          <w:rFonts w:ascii="Times New Roman" w:hAnsi="Times New Roman" w:cs="Times New Roman"/>
          <w:sz w:val="24"/>
          <w:szCs w:val="24"/>
        </w:rPr>
        <w:t>nov</w:t>
      </w:r>
      <w:proofErr w:type="spellEnd"/>
      <w:r w:rsidRPr="00944E88">
        <w:rPr>
          <w:rFonts w:ascii="Times New Roman" w:hAnsi="Times New Roman" w:cs="Times New Roman"/>
          <w:sz w:val="24"/>
          <w:szCs w:val="24"/>
        </w:rPr>
        <w:t xml:space="preserve">/2010, antes deste marco, São Paulo possuía um aluguel por m² mais caro que o Rio de Janeiro, o que não ocorreu a partir de então até reverter novamente em </w:t>
      </w:r>
      <w:proofErr w:type="spellStart"/>
      <w:r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 xml:space="preserve">/2017. Destaca-se que apesar desta peculiaridade, os preços do aluguel no Rio de Janeiro e São Paulo tiveram uma tendência de crescimento, com alguns momentos de oscilação, de </w:t>
      </w:r>
      <w:proofErr w:type="spellStart"/>
      <w:r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 xml:space="preserve">/2008 a </w:t>
      </w:r>
      <w:proofErr w:type="spellStart"/>
      <w:r w:rsidRPr="00944E88">
        <w:rPr>
          <w:rFonts w:ascii="Times New Roman" w:hAnsi="Times New Roman" w:cs="Times New Roman"/>
          <w:sz w:val="24"/>
          <w:szCs w:val="24"/>
        </w:rPr>
        <w:t>jul</w:t>
      </w:r>
      <w:proofErr w:type="spellEnd"/>
      <w:r w:rsidRPr="00944E88">
        <w:rPr>
          <w:rFonts w:ascii="Times New Roman" w:hAnsi="Times New Roman" w:cs="Times New Roman"/>
          <w:sz w:val="24"/>
          <w:szCs w:val="24"/>
        </w:rPr>
        <w:t>/2014, a partir deste mês o movimento é predominantemente de redução até final de 2016, momento em começa certa recuperação dos preços de São Paulo.</w:t>
      </w:r>
    </w:p>
    <w:p w:rsidR="0069422B" w:rsidRPr="00944E88" w:rsidRDefault="0069422B" w:rsidP="00944E88">
      <w:pPr>
        <w:pStyle w:val="PargrafodaLista"/>
        <w:spacing w:after="0" w:line="240" w:lineRule="auto"/>
        <w:ind w:left="0"/>
        <w:jc w:val="both"/>
        <w:rPr>
          <w:rFonts w:ascii="Times New Roman" w:hAnsi="Times New Roman" w:cs="Times New Roman"/>
          <w:color w:val="FF0000"/>
          <w:sz w:val="24"/>
          <w:szCs w:val="24"/>
        </w:rPr>
      </w:pP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Figura 2 - Evolução do preço deflacionado médio do m² de aluguel em São Paulo e Rio de Janeiro</w:t>
      </w:r>
    </w:p>
    <w:p w:rsidR="00A30B13" w:rsidRPr="00944E88" w:rsidRDefault="00704A7A" w:rsidP="00944E88">
      <w:pPr>
        <w:pStyle w:val="PargrafodaLista"/>
        <w:spacing w:after="0" w:line="240" w:lineRule="auto"/>
        <w:ind w:left="0"/>
        <w:jc w:val="center"/>
        <w:rPr>
          <w:rFonts w:ascii="Times New Roman" w:hAnsi="Times New Roman" w:cs="Times New Roman"/>
          <w:sz w:val="24"/>
          <w:szCs w:val="24"/>
        </w:rPr>
      </w:pPr>
      <w:r w:rsidRPr="00944E88">
        <w:rPr>
          <w:rFonts w:ascii="Times New Roman" w:hAnsi="Times New Roman" w:cs="Times New Roman"/>
          <w:noProof/>
          <w:sz w:val="24"/>
          <w:szCs w:val="24"/>
          <w:lang w:eastAsia="pt-BR"/>
        </w:rPr>
        <w:drawing>
          <wp:inline distT="0" distB="0" distL="0" distR="0" wp14:anchorId="002E9EDE" wp14:editId="17916399">
            <wp:extent cx="3480113" cy="18000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o do aluguel.png"/>
                    <pic:cNvPicPr/>
                  </pic:nvPicPr>
                  <pic:blipFill rotWithShape="1">
                    <a:blip r:embed="rId9">
                      <a:extLst>
                        <a:ext uri="{28A0092B-C50C-407E-A947-70E740481C1C}">
                          <a14:useLocalDpi xmlns:a14="http://schemas.microsoft.com/office/drawing/2010/main" val="0"/>
                        </a:ext>
                      </a:extLst>
                    </a:blip>
                    <a:srcRect t="14534" r="594"/>
                    <a:stretch/>
                  </pic:blipFill>
                  <pic:spPr bwMode="auto">
                    <a:xfrm>
                      <a:off x="0" y="0"/>
                      <a:ext cx="3480113" cy="1800000"/>
                    </a:xfrm>
                    <a:prstGeom prst="rect">
                      <a:avLst/>
                    </a:prstGeom>
                    <a:ln>
                      <a:noFill/>
                    </a:ln>
                    <a:extLst>
                      <a:ext uri="{53640926-AAD7-44D8-BBD7-CCE9431645EC}">
                        <a14:shadowObscured xmlns:a14="http://schemas.microsoft.com/office/drawing/2010/main"/>
                      </a:ext>
                    </a:extLst>
                  </pic:spPr>
                </pic:pic>
              </a:graphicData>
            </a:graphic>
          </wp:inline>
        </w:drawing>
      </w:r>
    </w:p>
    <w:p w:rsidR="00A30B13" w:rsidRPr="00944E88" w:rsidRDefault="00A30B13" w:rsidP="00944E88">
      <w:pPr>
        <w:pStyle w:val="PargrafodaLista"/>
        <w:spacing w:after="0" w:line="240" w:lineRule="auto"/>
        <w:ind w:left="0"/>
        <w:jc w:val="both"/>
        <w:rPr>
          <w:rFonts w:ascii="Times New Roman" w:hAnsi="Times New Roman" w:cs="Times New Roman"/>
          <w:sz w:val="20"/>
          <w:szCs w:val="20"/>
        </w:rPr>
      </w:pPr>
      <w:r w:rsidRPr="00944E88">
        <w:rPr>
          <w:rFonts w:ascii="Times New Roman" w:hAnsi="Times New Roman" w:cs="Times New Roman"/>
          <w:sz w:val="20"/>
          <w:szCs w:val="20"/>
        </w:rPr>
        <w:t xml:space="preserve">Fonte: Elaborado pela autora. Software utilizado: </w:t>
      </w:r>
      <w:proofErr w:type="spellStart"/>
      <w:proofErr w:type="gramStart"/>
      <w:r w:rsidRPr="00944E88">
        <w:rPr>
          <w:rFonts w:ascii="Times New Roman" w:hAnsi="Times New Roman" w:cs="Times New Roman"/>
          <w:sz w:val="20"/>
          <w:szCs w:val="20"/>
        </w:rPr>
        <w:t>RStudio</w:t>
      </w:r>
      <w:proofErr w:type="spellEnd"/>
      <w:proofErr w:type="gramEnd"/>
      <w:r w:rsidR="00121430">
        <w:rPr>
          <w:rFonts w:ascii="Times New Roman" w:hAnsi="Times New Roman" w:cs="Times New Roman"/>
          <w:sz w:val="20"/>
          <w:szCs w:val="20"/>
        </w:rPr>
        <w:t xml:space="preserve"> (2017)</w:t>
      </w:r>
      <w:r w:rsidRPr="00944E88">
        <w:rPr>
          <w:rFonts w:ascii="Times New Roman" w:hAnsi="Times New Roman" w:cs="Times New Roman"/>
          <w:sz w:val="20"/>
          <w:szCs w:val="20"/>
        </w:rPr>
        <w:t>.</w:t>
      </w:r>
    </w:p>
    <w:p w:rsidR="007C782E" w:rsidRPr="00944E88" w:rsidRDefault="00575291" w:rsidP="00944E88">
      <w:pPr>
        <w:pStyle w:val="PargrafodaLista"/>
        <w:spacing w:after="0" w:line="240" w:lineRule="auto"/>
        <w:ind w:left="0"/>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p>
    <w:p w:rsidR="00A30B13" w:rsidRPr="00944E88" w:rsidRDefault="007C782E"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00A30B13" w:rsidRPr="00944E88">
        <w:rPr>
          <w:rFonts w:ascii="Times New Roman" w:hAnsi="Times New Roman" w:cs="Times New Roman"/>
          <w:sz w:val="24"/>
          <w:szCs w:val="24"/>
        </w:rPr>
        <w:t xml:space="preserve">A segunda série </w:t>
      </w:r>
      <w:r w:rsidRPr="00944E88">
        <w:rPr>
          <w:rFonts w:ascii="Times New Roman" w:hAnsi="Times New Roman" w:cs="Times New Roman"/>
          <w:sz w:val="24"/>
          <w:szCs w:val="24"/>
        </w:rPr>
        <w:t>de dados é basead</w:t>
      </w:r>
      <w:r w:rsidR="00A30B13" w:rsidRPr="00944E88">
        <w:rPr>
          <w:rFonts w:ascii="Times New Roman" w:hAnsi="Times New Roman" w:cs="Times New Roman"/>
          <w:sz w:val="24"/>
          <w:szCs w:val="24"/>
        </w:rPr>
        <w:t xml:space="preserve">a </w:t>
      </w:r>
      <w:r w:rsidRPr="00944E88">
        <w:rPr>
          <w:rFonts w:ascii="Times New Roman" w:hAnsi="Times New Roman" w:cs="Times New Roman"/>
          <w:sz w:val="24"/>
          <w:szCs w:val="24"/>
        </w:rPr>
        <w:t>n</w:t>
      </w:r>
      <w:r w:rsidR="00A30B13" w:rsidRPr="00944E88">
        <w:rPr>
          <w:rFonts w:ascii="Times New Roman" w:hAnsi="Times New Roman" w:cs="Times New Roman"/>
          <w:sz w:val="24"/>
          <w:szCs w:val="24"/>
        </w:rPr>
        <w:t>a evolução diária do Índice Bovespa (IBOVESPA), disponibilizada pela BM&amp;FBOVESPA desde 1968. O IBOVESPA é um índice que mede o retorno total de uma carteira teórica de ativos negociados na BM&amp;FBOVESPA. Na aplicação deste estudo serão utilizados os dados mensais do IBOVESPA.</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t xml:space="preserve">Este índice poder ser utilizado como </w:t>
      </w:r>
      <w:proofErr w:type="gramStart"/>
      <w:r w:rsidRPr="00944E88">
        <w:rPr>
          <w:rFonts w:ascii="Times New Roman" w:hAnsi="Times New Roman" w:cs="Times New Roman"/>
          <w:i/>
          <w:sz w:val="24"/>
          <w:szCs w:val="24"/>
        </w:rPr>
        <w:t>proxy</w:t>
      </w:r>
      <w:proofErr w:type="gramEnd"/>
      <w:r w:rsidRPr="00944E88">
        <w:rPr>
          <w:rFonts w:ascii="Times New Roman" w:hAnsi="Times New Roman" w:cs="Times New Roman"/>
          <w:i/>
          <w:sz w:val="24"/>
          <w:szCs w:val="24"/>
        </w:rPr>
        <w:t xml:space="preserve"> </w:t>
      </w:r>
      <w:r w:rsidRPr="00944E88">
        <w:rPr>
          <w:rFonts w:ascii="Times New Roman" w:hAnsi="Times New Roman" w:cs="Times New Roman"/>
          <w:sz w:val="24"/>
          <w:szCs w:val="24"/>
        </w:rPr>
        <w:t>do retorno médio de mercado pois sua carteira engloba os ativos que possuem a maior negociabilidade e representatividade nas transações da bolsa brasileira.</w:t>
      </w:r>
    </w:p>
    <w:p w:rsidR="00A30B13" w:rsidRPr="00944E88" w:rsidRDefault="00A30B13"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t>Por ser um índice de retorno total, o cálculo do IBOVESPA leva em consideração não só as variações nos preços dos ativos, bem como a distribuição de proventos das companhias: dividendos, juros sobre capital próprio e rendimentos, entre outros (BM&amp;FBOVESPA, 2014).</w:t>
      </w:r>
    </w:p>
    <w:p w:rsidR="00A30B13" w:rsidRPr="00944E88" w:rsidRDefault="00A30B13" w:rsidP="00944E88">
      <w:pPr>
        <w:pStyle w:val="Ttulo3"/>
        <w:numPr>
          <w:ilvl w:val="2"/>
          <w:numId w:val="0"/>
        </w:numPr>
        <w:spacing w:before="0" w:line="240" w:lineRule="auto"/>
        <w:jc w:val="both"/>
        <w:rPr>
          <w:rFonts w:ascii="Times New Roman" w:hAnsi="Times New Roman" w:cs="Times New Roman"/>
          <w:b w:val="0"/>
          <w:sz w:val="24"/>
          <w:szCs w:val="24"/>
          <w:lang w:val="pt-BR"/>
        </w:rPr>
      </w:pPr>
      <w:r w:rsidRPr="00944E88">
        <w:rPr>
          <w:rFonts w:ascii="Times New Roman" w:hAnsi="Times New Roman" w:cs="Times New Roman"/>
          <w:b w:val="0"/>
          <w:sz w:val="24"/>
          <w:szCs w:val="24"/>
          <w:lang w:val="pt-BR"/>
        </w:rPr>
        <w:tab/>
        <w:t xml:space="preserve">A estimação do modelo CCAPM necessita da evolução do consumo das famílias, </w:t>
      </w:r>
      <w:r w:rsidR="003769C5" w:rsidRPr="00944E88">
        <w:rPr>
          <w:rFonts w:ascii="Times New Roman" w:hAnsi="Times New Roman" w:cs="Times New Roman"/>
          <w:b w:val="0"/>
          <w:sz w:val="24"/>
          <w:szCs w:val="24"/>
          <w:lang w:val="pt-BR"/>
        </w:rPr>
        <w:t xml:space="preserve">a </w:t>
      </w:r>
      <w:proofErr w:type="gramStart"/>
      <w:r w:rsidR="003769C5" w:rsidRPr="00944E88">
        <w:rPr>
          <w:rFonts w:ascii="Times New Roman" w:hAnsi="Times New Roman" w:cs="Times New Roman"/>
          <w:b w:val="0"/>
          <w:i/>
          <w:sz w:val="24"/>
          <w:szCs w:val="24"/>
          <w:lang w:val="pt-BR"/>
        </w:rPr>
        <w:t>proxy</w:t>
      </w:r>
      <w:proofErr w:type="gramEnd"/>
      <w:r w:rsidR="003769C5" w:rsidRPr="00944E88">
        <w:rPr>
          <w:rFonts w:ascii="Times New Roman" w:hAnsi="Times New Roman" w:cs="Times New Roman"/>
          <w:b w:val="0"/>
          <w:i/>
          <w:sz w:val="24"/>
          <w:szCs w:val="24"/>
          <w:lang w:val="pt-BR"/>
        </w:rPr>
        <w:t xml:space="preserve"> </w:t>
      </w:r>
      <w:r w:rsidR="003769C5" w:rsidRPr="00944E88">
        <w:rPr>
          <w:rFonts w:ascii="Times New Roman" w:hAnsi="Times New Roman" w:cs="Times New Roman"/>
          <w:b w:val="0"/>
          <w:sz w:val="24"/>
          <w:szCs w:val="24"/>
          <w:lang w:val="pt-BR"/>
        </w:rPr>
        <w:t xml:space="preserve">utilizada é </w:t>
      </w:r>
      <w:r w:rsidRPr="00944E88">
        <w:rPr>
          <w:rFonts w:ascii="Times New Roman" w:hAnsi="Times New Roman" w:cs="Times New Roman"/>
          <w:b w:val="0"/>
          <w:sz w:val="24"/>
          <w:szCs w:val="24"/>
          <w:lang w:val="pt-BR"/>
        </w:rPr>
        <w:t xml:space="preserve">o Consumo Aparente (CA) de bens não duráveis e </w:t>
      </w:r>
      <w:proofErr w:type="spellStart"/>
      <w:r w:rsidRPr="00944E88">
        <w:rPr>
          <w:rFonts w:ascii="Times New Roman" w:hAnsi="Times New Roman" w:cs="Times New Roman"/>
          <w:b w:val="0"/>
          <w:sz w:val="24"/>
          <w:szCs w:val="24"/>
          <w:lang w:val="pt-BR"/>
        </w:rPr>
        <w:t>semi</w:t>
      </w:r>
      <w:proofErr w:type="spellEnd"/>
      <w:r w:rsidRPr="00944E88">
        <w:rPr>
          <w:rFonts w:ascii="Times New Roman" w:hAnsi="Times New Roman" w:cs="Times New Roman"/>
          <w:b w:val="0"/>
          <w:sz w:val="24"/>
          <w:szCs w:val="24"/>
          <w:lang w:val="pt-BR"/>
        </w:rPr>
        <w:t xml:space="preserve"> duráveis, série </w:t>
      </w:r>
      <w:r w:rsidRPr="00944E88">
        <w:rPr>
          <w:rFonts w:ascii="Times New Roman" w:hAnsi="Times New Roman" w:cs="Times New Roman"/>
          <w:b w:val="0"/>
          <w:sz w:val="24"/>
          <w:szCs w:val="24"/>
          <w:lang w:val="pt-BR"/>
        </w:rPr>
        <w:lastRenderedPageBreak/>
        <w:t xml:space="preserve">mensal disponibilizada pelo Instituto de Pesquisa Econômica Aplicada (IPEA). Esta série leva em consideração dados da produção industrial doméstica, das importações e das exportações. Todas as bases de dados são fornecidas pelo Sistema de Contas Nacionais e pela Pesquisa Industrial Mensal (PIM-PF), calculadas pelo IBGE. A série de Consumo Aparente apresenta característica de presença de sazonalidade, optou-se por aplicar o filtro </w:t>
      </w:r>
      <w:proofErr w:type="spellStart"/>
      <w:r w:rsidRPr="00944E88">
        <w:rPr>
          <w:rFonts w:ascii="Times New Roman" w:hAnsi="Times New Roman" w:cs="Times New Roman"/>
          <w:b w:val="0"/>
          <w:sz w:val="24"/>
          <w:szCs w:val="24"/>
          <w:lang w:val="pt-BR"/>
        </w:rPr>
        <w:t>Census</w:t>
      </w:r>
      <w:proofErr w:type="spellEnd"/>
      <w:r w:rsidRPr="00944E88">
        <w:rPr>
          <w:rFonts w:ascii="Times New Roman" w:hAnsi="Times New Roman" w:cs="Times New Roman"/>
          <w:b w:val="0"/>
          <w:sz w:val="24"/>
          <w:szCs w:val="24"/>
          <w:lang w:val="pt-BR"/>
        </w:rPr>
        <w:t xml:space="preserve"> X-12 para realizar a correção do problema de sazonalidade. Desta forma, a nova série de consumo aparente dessazonalizada que será utilizada como </w:t>
      </w:r>
      <w:proofErr w:type="gramStart"/>
      <w:r w:rsidRPr="00944E88">
        <w:rPr>
          <w:rFonts w:ascii="Times New Roman" w:hAnsi="Times New Roman" w:cs="Times New Roman"/>
          <w:b w:val="0"/>
          <w:i/>
          <w:sz w:val="24"/>
          <w:szCs w:val="24"/>
          <w:lang w:val="pt-BR"/>
        </w:rPr>
        <w:t>proxy</w:t>
      </w:r>
      <w:proofErr w:type="gramEnd"/>
      <w:r w:rsidRPr="00944E88">
        <w:rPr>
          <w:rFonts w:ascii="Times New Roman" w:hAnsi="Times New Roman" w:cs="Times New Roman"/>
          <w:b w:val="0"/>
          <w:i/>
          <w:sz w:val="24"/>
          <w:szCs w:val="24"/>
          <w:lang w:val="pt-BR"/>
        </w:rPr>
        <w:t xml:space="preserve"> </w:t>
      </w:r>
      <w:r w:rsidRPr="00944E88">
        <w:rPr>
          <w:rFonts w:ascii="Times New Roman" w:hAnsi="Times New Roman" w:cs="Times New Roman"/>
          <w:b w:val="0"/>
          <w:sz w:val="24"/>
          <w:szCs w:val="24"/>
          <w:lang w:val="pt-BR"/>
        </w:rPr>
        <w:t>do consumo das famílias para aplicação do modelo CCAPM, ambas estão expostas na Figura 3.</w:t>
      </w:r>
    </w:p>
    <w:p w:rsidR="003328A3" w:rsidRPr="00944E88" w:rsidRDefault="003328A3" w:rsidP="00944E88">
      <w:pPr>
        <w:spacing w:after="0" w:line="240" w:lineRule="auto"/>
        <w:jc w:val="both"/>
        <w:rPr>
          <w:rFonts w:ascii="Times New Roman" w:hAnsi="Times New Roman" w:cs="Times New Roman"/>
          <w:sz w:val="24"/>
          <w:szCs w:val="24"/>
        </w:rPr>
      </w:pPr>
    </w:p>
    <w:p w:rsidR="00A30B13" w:rsidRPr="00944E88"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Figura 3 - Evolução do Índice de Consumo Aparente</w:t>
      </w:r>
    </w:p>
    <w:p w:rsidR="00A30B13" w:rsidRPr="00944E88" w:rsidRDefault="000D0ED0" w:rsidP="00944E88">
      <w:pPr>
        <w:spacing w:after="0" w:line="240" w:lineRule="auto"/>
        <w:jc w:val="center"/>
        <w:rPr>
          <w:rFonts w:ascii="Times New Roman" w:hAnsi="Times New Roman" w:cs="Times New Roman"/>
          <w:sz w:val="24"/>
          <w:szCs w:val="24"/>
        </w:rPr>
      </w:pPr>
      <w:r w:rsidRPr="00944E88">
        <w:rPr>
          <w:rFonts w:ascii="Times New Roman" w:hAnsi="Times New Roman" w:cs="Times New Roman"/>
          <w:noProof/>
          <w:sz w:val="24"/>
          <w:szCs w:val="24"/>
          <w:lang w:eastAsia="pt-BR"/>
        </w:rPr>
        <w:drawing>
          <wp:inline distT="0" distB="0" distL="0" distR="0" wp14:anchorId="3FA699DC" wp14:editId="75695462">
            <wp:extent cx="3438467" cy="180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png"/>
                    <pic:cNvPicPr/>
                  </pic:nvPicPr>
                  <pic:blipFill rotWithShape="1">
                    <a:blip r:embed="rId10">
                      <a:extLst>
                        <a:ext uri="{28A0092B-C50C-407E-A947-70E740481C1C}">
                          <a14:useLocalDpi xmlns:a14="http://schemas.microsoft.com/office/drawing/2010/main" val="0"/>
                        </a:ext>
                      </a:extLst>
                    </a:blip>
                    <a:srcRect t="12982"/>
                    <a:stretch/>
                  </pic:blipFill>
                  <pic:spPr bwMode="auto">
                    <a:xfrm>
                      <a:off x="0" y="0"/>
                      <a:ext cx="3438467" cy="1800000"/>
                    </a:xfrm>
                    <a:prstGeom prst="rect">
                      <a:avLst/>
                    </a:prstGeom>
                    <a:ln>
                      <a:noFill/>
                    </a:ln>
                    <a:extLst>
                      <a:ext uri="{53640926-AAD7-44D8-BBD7-CCE9431645EC}">
                        <a14:shadowObscured xmlns:a14="http://schemas.microsoft.com/office/drawing/2010/main"/>
                      </a:ext>
                    </a:extLst>
                  </pic:spPr>
                </pic:pic>
              </a:graphicData>
            </a:graphic>
          </wp:inline>
        </w:drawing>
      </w:r>
    </w:p>
    <w:p w:rsidR="00A30B13" w:rsidRPr="00121430" w:rsidRDefault="00A30B13" w:rsidP="00944E88">
      <w:pPr>
        <w:spacing w:after="0" w:line="240" w:lineRule="auto"/>
        <w:jc w:val="both"/>
        <w:rPr>
          <w:rFonts w:ascii="Times New Roman" w:hAnsi="Times New Roman" w:cs="Times New Roman"/>
          <w:sz w:val="20"/>
          <w:szCs w:val="20"/>
        </w:rPr>
      </w:pPr>
      <w:r w:rsidRPr="00121430">
        <w:rPr>
          <w:rFonts w:ascii="Times New Roman" w:hAnsi="Times New Roman" w:cs="Times New Roman"/>
          <w:sz w:val="20"/>
          <w:szCs w:val="20"/>
        </w:rPr>
        <w:t xml:space="preserve">Fonte: Elaborado pela autora. Software utilizado: </w:t>
      </w:r>
      <w:proofErr w:type="spellStart"/>
      <w:proofErr w:type="gramStart"/>
      <w:r w:rsidRPr="00121430">
        <w:rPr>
          <w:rFonts w:ascii="Times New Roman" w:hAnsi="Times New Roman" w:cs="Times New Roman"/>
          <w:sz w:val="20"/>
          <w:szCs w:val="20"/>
        </w:rPr>
        <w:t>RStudio</w:t>
      </w:r>
      <w:proofErr w:type="spellEnd"/>
      <w:proofErr w:type="gramEnd"/>
      <w:r w:rsidR="00121430">
        <w:rPr>
          <w:rFonts w:ascii="Times New Roman" w:hAnsi="Times New Roman" w:cs="Times New Roman"/>
          <w:sz w:val="20"/>
          <w:szCs w:val="20"/>
        </w:rPr>
        <w:t xml:space="preserve"> (2017)</w:t>
      </w:r>
      <w:r w:rsidRPr="00121430">
        <w:rPr>
          <w:rFonts w:ascii="Times New Roman" w:hAnsi="Times New Roman" w:cs="Times New Roman"/>
          <w:sz w:val="20"/>
          <w:szCs w:val="20"/>
        </w:rPr>
        <w:t>.</w:t>
      </w:r>
    </w:p>
    <w:p w:rsidR="003769C5" w:rsidRPr="00944E88" w:rsidRDefault="00A30B13"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p>
    <w:p w:rsidR="000D1CB5" w:rsidRPr="00944E88" w:rsidRDefault="000D1CB5"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Apesar da evolução do Índice de Consumo Aparente ser uma boa </w:t>
      </w:r>
      <w:proofErr w:type="gramStart"/>
      <w:r w:rsidRPr="00944E88">
        <w:rPr>
          <w:rFonts w:ascii="Times New Roman" w:hAnsi="Times New Roman" w:cs="Times New Roman"/>
          <w:i/>
          <w:sz w:val="24"/>
          <w:szCs w:val="24"/>
        </w:rPr>
        <w:t>proxy</w:t>
      </w:r>
      <w:proofErr w:type="gramEnd"/>
      <w:r w:rsidRPr="00944E88">
        <w:rPr>
          <w:rFonts w:ascii="Times New Roman" w:hAnsi="Times New Roman" w:cs="Times New Roman"/>
          <w:i/>
          <w:sz w:val="24"/>
          <w:szCs w:val="24"/>
        </w:rPr>
        <w:t xml:space="preserve"> </w:t>
      </w:r>
      <w:r w:rsidRPr="00944E88">
        <w:rPr>
          <w:rFonts w:ascii="Times New Roman" w:hAnsi="Times New Roman" w:cs="Times New Roman"/>
          <w:sz w:val="24"/>
          <w:szCs w:val="24"/>
        </w:rPr>
        <w:t>para evolução do consumo do agente representativo, o problema de maximização do modelo CCAPM resulta em uma relação entre consumo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sidRPr="00944E88">
        <w:rPr>
          <w:rFonts w:ascii="Times New Roman" w:hAnsi="Times New Roman" w:cs="Times New Roman"/>
          <w:sz w:val="24"/>
          <w:szCs w:val="24"/>
        </w:rPr>
        <w:t xml:space="preserve"> e gasto total com o investimento em imóveis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944E88">
        <w:rPr>
          <w:rFonts w:ascii="Times New Roman" w:hAnsi="Times New Roman" w:cs="Times New Roman"/>
          <w:sz w:val="24"/>
          <w:szCs w:val="24"/>
        </w:rPr>
        <w:t xml:space="preserve"> Esta relação não pode ser estimada com o Índice de Consumo Aparente, assim, optou-se por coleta dos dados da Despesa de Consumo das Famílias em R$, disponibilizado pelo IBGE. </w:t>
      </w:r>
    </w:p>
    <w:p w:rsidR="000D1CB5" w:rsidRPr="00944E88" w:rsidRDefault="000D1CB5"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A série de Despesa de Consumo das Famílias engloba a despesa nacional, para calcular a despesa de cada cidade utilizou-se a participação média delas no PIB nacional </w:t>
      </w:r>
      <w:proofErr w:type="gramStart"/>
      <w:r w:rsidRPr="00944E88">
        <w:rPr>
          <w:rFonts w:ascii="Times New Roman" w:hAnsi="Times New Roman" w:cs="Times New Roman"/>
          <w:sz w:val="24"/>
          <w:szCs w:val="24"/>
        </w:rPr>
        <w:t>nos ,</w:t>
      </w:r>
      <w:proofErr w:type="gramEnd"/>
      <w:r w:rsidRPr="00944E88">
        <w:rPr>
          <w:rFonts w:ascii="Times New Roman" w:hAnsi="Times New Roman" w:cs="Times New Roman"/>
          <w:sz w:val="24"/>
          <w:szCs w:val="24"/>
        </w:rPr>
        <w:t xml:space="preserve">anos 2008, 2009 e 2010. Assim, o valor da Despesa de Consumo das Famílias em </w:t>
      </w:r>
      <w:proofErr w:type="spellStart"/>
      <w:r w:rsidRPr="00944E88">
        <w:rPr>
          <w:rFonts w:ascii="Times New Roman" w:hAnsi="Times New Roman" w:cs="Times New Roman"/>
          <w:sz w:val="24"/>
          <w:szCs w:val="24"/>
        </w:rPr>
        <w:t>ago</w:t>
      </w:r>
      <w:proofErr w:type="spellEnd"/>
      <w:r w:rsidRPr="00944E88">
        <w:rPr>
          <w:rFonts w:ascii="Times New Roman" w:hAnsi="Times New Roman" w:cs="Times New Roman"/>
          <w:sz w:val="24"/>
          <w:szCs w:val="24"/>
        </w:rPr>
        <w:t xml:space="preserve">/2010. </w:t>
      </w:r>
      <w:proofErr w:type="gramStart"/>
      <w:r w:rsidRPr="00944E88">
        <w:rPr>
          <w:rFonts w:ascii="Times New Roman" w:hAnsi="Times New Roman" w:cs="Times New Roman"/>
          <w:sz w:val="24"/>
          <w:szCs w:val="24"/>
        </w:rPr>
        <w:t>aplicado</w:t>
      </w:r>
      <w:proofErr w:type="gramEnd"/>
      <w:r w:rsidRPr="00944E88">
        <w:rPr>
          <w:rFonts w:ascii="Times New Roman" w:hAnsi="Times New Roman" w:cs="Times New Roman"/>
          <w:sz w:val="24"/>
          <w:szCs w:val="24"/>
        </w:rPr>
        <w:t xml:space="preserve"> proporcionalmente para São Paulo (12%) e Rio de Janeiro (5%), foi manipulado pelo Índice de Consumo Aparente dessazonalizado para obter a série histórica do consumo de cada uma das cidades.  </w:t>
      </w:r>
    </w:p>
    <w:p w:rsidR="00A30B13" w:rsidRPr="00944E88" w:rsidRDefault="00A30B13"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Por último, a última série diz respeito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evolução do estoque de imóveis nas duas cidades analisadas. A série foi construída, primeiramente, para a cidade de São Paulo, já que esta é a única que possui uma base </w:t>
      </w:r>
      <w:proofErr w:type="gramStart"/>
      <w:r w:rsidRPr="00944E88">
        <w:rPr>
          <w:rFonts w:ascii="Times New Roman" w:hAnsi="Times New Roman" w:cs="Times New Roman"/>
          <w:sz w:val="24"/>
          <w:szCs w:val="24"/>
        </w:rPr>
        <w:t>de dados confiável e detalhada sobre as vendas de imóveis</w:t>
      </w:r>
      <w:proofErr w:type="gramEnd"/>
      <w:r w:rsidRPr="00944E88">
        <w:rPr>
          <w:rFonts w:ascii="Times New Roman" w:hAnsi="Times New Roman" w:cs="Times New Roman"/>
          <w:sz w:val="24"/>
          <w:szCs w:val="24"/>
        </w:rPr>
        <w:t xml:space="preserve">. Esta variável será utilizada na aplicação do CCAPM com alteração para existência de gosto pela propriedade de imóveis na função de utilidade dos agentes. </w:t>
      </w:r>
    </w:p>
    <w:p w:rsidR="00121430"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A construção da série de estoque é baseada na seguinte equação:</w:t>
      </w:r>
      <w:r w:rsidRPr="00944E88">
        <w:rPr>
          <w:rFonts w:ascii="Times New Roman" w:hAnsi="Times New Roman" w:cs="Times New Roman"/>
          <w:sz w:val="24"/>
          <w:szCs w:val="24"/>
        </w:rPr>
        <w:tab/>
      </w:r>
    </w:p>
    <w:p w:rsidR="00A30B13" w:rsidRPr="00121430" w:rsidRDefault="00A30B13" w:rsidP="00944E88">
      <w:pPr>
        <w:spacing w:after="0" w:line="240" w:lineRule="auto"/>
        <w:jc w:val="both"/>
        <w:rPr>
          <w:rFonts w:ascii="Times New Roman" w:eastAsiaTheme="minorEastAsia" w:hAnsi="Times New Roman" w:cs="Times New Roman"/>
          <w:sz w:val="24"/>
          <w:szCs w:val="24"/>
        </w:rPr>
      </w:pPr>
      <w:r w:rsidRPr="00944E88">
        <w:rPr>
          <w:rFonts w:ascii="Times New Roman" w:hAnsi="Times New Roman" w:cs="Times New Roman"/>
          <w:sz w:val="24"/>
          <w:szCs w:val="24"/>
        </w:rPr>
        <w:br/>
      </w:r>
      <m:oMathPara>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rsidR="00121430" w:rsidRPr="00944E88" w:rsidRDefault="00121430" w:rsidP="00944E88">
      <w:pPr>
        <w:spacing w:after="0" w:line="240" w:lineRule="auto"/>
        <w:jc w:val="both"/>
        <w:rPr>
          <w:rFonts w:ascii="Times New Roman" w:hAnsi="Times New Roman" w:cs="Times New Roman"/>
          <w:sz w:val="24"/>
          <w:szCs w:val="24"/>
        </w:rPr>
      </w:pPr>
    </w:p>
    <w:p w:rsidR="00A30B13" w:rsidRPr="00944E88" w:rsidRDefault="00A30B13"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Cambria Math" w:hAnsi="Times New Roman" w:cs="Times New Roman"/>
                <w:sz w:val="24"/>
                <w:szCs w:val="24"/>
              </w:rPr>
              <m:t>+1</m:t>
            </m:r>
          </m:sub>
        </m:sSub>
      </m:oMath>
      <w:r w:rsidRPr="00944E88">
        <w:rPr>
          <w:rFonts w:ascii="Times New Roman" w:hAnsi="Times New Roman" w:cs="Times New Roman"/>
          <w:sz w:val="24"/>
          <w:szCs w:val="24"/>
        </w:rPr>
        <w:t xml:space="preserve"> e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44E88">
        <w:rPr>
          <w:rFonts w:ascii="Times New Roman" w:hAnsi="Times New Roman" w:cs="Times New Roman"/>
          <w:sz w:val="24"/>
          <w:szCs w:val="24"/>
        </w:rPr>
        <w:t xml:space="preserve"> representam o estoque de imóveis nos tempos t+1 e t e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r>
              <w:rPr>
                <w:rFonts w:ascii="Cambria Math" w:hAnsi="Times New Roman" w:cs="Times New Roman"/>
                <w:sz w:val="24"/>
                <w:szCs w:val="24"/>
              </w:rPr>
              <m:t>+1</m:t>
            </m:r>
          </m:sub>
        </m:sSub>
      </m:oMath>
      <w:r w:rsidRPr="00944E88">
        <w:rPr>
          <w:rFonts w:ascii="Times New Roman" w:hAnsi="Times New Roman" w:cs="Times New Roman"/>
          <w:sz w:val="24"/>
          <w:szCs w:val="24"/>
        </w:rPr>
        <w:t xml:space="preserve"> corresponde ao número de imóveis vendidos em t+1.</w:t>
      </w:r>
    </w:p>
    <w:p w:rsidR="00A30B13" w:rsidRPr="00944E88" w:rsidRDefault="00A30B13"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Para isto, obteve-se a série de dados das vendas de imóveis residenciais novos na cidade de São Paulo, este dado é disponibilizado pelo Sindicato da Habitação de São Paulo (SECOVI-SP) e está separado por número de dormitórios do imóvel (</w:t>
      </w:r>
      <w:proofErr w:type="gramStart"/>
      <w:r w:rsidRPr="00944E88">
        <w:rPr>
          <w:rFonts w:ascii="Times New Roman" w:hAnsi="Times New Roman" w:cs="Times New Roman"/>
          <w:sz w:val="24"/>
          <w:szCs w:val="24"/>
        </w:rPr>
        <w:t>1</w:t>
      </w:r>
      <w:proofErr w:type="gramEnd"/>
      <w:r w:rsidRPr="00944E88">
        <w:rPr>
          <w:rFonts w:ascii="Times New Roman" w:hAnsi="Times New Roman" w:cs="Times New Roman"/>
          <w:sz w:val="24"/>
          <w:szCs w:val="24"/>
        </w:rPr>
        <w:t xml:space="preserve"> dormitório, 2 dormitórios, 3 dormitó</w:t>
      </w:r>
      <w:r w:rsidR="00CE79DB" w:rsidRPr="00944E88">
        <w:rPr>
          <w:rFonts w:ascii="Times New Roman" w:hAnsi="Times New Roman" w:cs="Times New Roman"/>
          <w:sz w:val="24"/>
          <w:szCs w:val="24"/>
        </w:rPr>
        <w:t>rios e 4 dormitórios). Considerando</w:t>
      </w:r>
      <w:r w:rsidRPr="00944E88">
        <w:rPr>
          <w:rFonts w:ascii="Times New Roman" w:hAnsi="Times New Roman" w:cs="Times New Roman"/>
          <w:sz w:val="24"/>
          <w:szCs w:val="24"/>
        </w:rPr>
        <w:t xml:space="preserve"> como estoque existente o número de domicílios particulares da cidade estimado pelo Censo 2010, este dado é aplicado como </w:t>
      </w:r>
      <w:r w:rsidRPr="00944E88">
        <w:rPr>
          <w:rFonts w:ascii="Times New Roman" w:hAnsi="Times New Roman" w:cs="Times New Roman"/>
          <w:sz w:val="24"/>
          <w:szCs w:val="24"/>
        </w:rPr>
        <w:lastRenderedPageBreak/>
        <w:t>sendo o estoque de imóveis em dez/2010. A partir daí, constrói-se a série completa, manipulando os dados para frente e para trás.</w:t>
      </w:r>
    </w:p>
    <w:p w:rsidR="00A30B13"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Como esta série está em unidades de imóveis, para que estes dados possam ser relacionados com a evolução dos preços, ela deve ser transformada para estoque de imóveis em m². Para fazer esta alteração, observou-se o peso de cada tipo de imóveis vendidos no número total de vendas em todos os meses e foi calculado o peso médio em todo o período. Além disso, estipulou-se uma área útil média (em m²) para cada tipo de imóvel com base em pesquisa nos anúncios do </w:t>
      </w:r>
      <w:proofErr w:type="spellStart"/>
      <w:r w:rsidRPr="00944E88">
        <w:rPr>
          <w:rFonts w:ascii="Times New Roman" w:hAnsi="Times New Roman" w:cs="Times New Roman"/>
          <w:sz w:val="24"/>
          <w:szCs w:val="24"/>
        </w:rPr>
        <w:t>Zap</w:t>
      </w:r>
      <w:proofErr w:type="spellEnd"/>
      <w:r w:rsidRPr="00944E88">
        <w:rPr>
          <w:rFonts w:ascii="Times New Roman" w:hAnsi="Times New Roman" w:cs="Times New Roman"/>
          <w:sz w:val="24"/>
          <w:szCs w:val="24"/>
        </w:rPr>
        <w:t xml:space="preserve"> Imóveis. A partir destes dados, calculou-se que o tamanho médio ponderado de um imóvel em São Paulo é de 72,20 m². Por fim, para obter o estoque de imóveis em m², multiplicou o estoque em unidades pela área útil média calculada:</w:t>
      </w:r>
    </w:p>
    <w:p w:rsidR="00121430" w:rsidRPr="00944E88" w:rsidRDefault="00121430" w:rsidP="00944E88">
      <w:pPr>
        <w:spacing w:after="0" w:line="240" w:lineRule="auto"/>
        <w:jc w:val="both"/>
        <w:rPr>
          <w:rFonts w:ascii="Times New Roman" w:hAnsi="Times New Roman" w:cs="Times New Roman"/>
          <w:sz w:val="24"/>
          <w:szCs w:val="24"/>
        </w:rPr>
      </w:pPr>
    </w:p>
    <w:p w:rsidR="00A30B13" w:rsidRPr="00121430" w:rsidRDefault="00121430" w:rsidP="00944E88">
      <w:pPr>
        <w:spacing w:after="0" w:line="240" w:lineRule="auto"/>
        <w:jc w:val="both"/>
        <w:rPr>
          <w:rFonts w:ascii="Times New Roman" w:eastAsiaTheme="minorEastAsia" w:hAnsi="Times New Roman" w:cs="Times New Roman"/>
          <w:sz w:val="24"/>
          <w:szCs w:val="24"/>
          <w:vertAlign w:val="subscript"/>
        </w:rPr>
      </w:pPr>
      <m:oMathPara>
        <m:oMath>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t</m:t>
              </m:r>
            </m:sub>
          </m:sSub>
          <m:r>
            <w:rPr>
              <w:rFonts w:ascii="Cambria Math" w:hAnsi="Times New Roman" w:cs="Times New Roman"/>
              <w:sz w:val="24"/>
              <w:szCs w:val="24"/>
              <w:vertAlign w:val="subscript"/>
            </w:rPr>
            <m:t>=72,20</m:t>
          </m:r>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i</m:t>
              </m:r>
            </m:e>
            <m:sub>
              <m:r>
                <w:rPr>
                  <w:rFonts w:ascii="Cambria Math" w:hAnsi="Cambria Math" w:cs="Times New Roman"/>
                  <w:sz w:val="24"/>
                  <w:szCs w:val="24"/>
                  <w:vertAlign w:val="subscript"/>
                </w:rPr>
                <m:t>t</m:t>
              </m:r>
            </m:sub>
          </m:sSub>
        </m:oMath>
      </m:oMathPara>
    </w:p>
    <w:p w:rsidR="00121430" w:rsidRPr="00944E88" w:rsidRDefault="00121430" w:rsidP="00944E88">
      <w:pPr>
        <w:spacing w:after="0" w:line="240" w:lineRule="auto"/>
        <w:jc w:val="both"/>
        <w:rPr>
          <w:rFonts w:ascii="Times New Roman" w:hAnsi="Times New Roman" w:cs="Times New Roman"/>
          <w:sz w:val="24"/>
          <w:szCs w:val="24"/>
          <w:vertAlign w:val="subscript"/>
        </w:rPr>
      </w:pPr>
    </w:p>
    <w:p w:rsidR="00CA5F01" w:rsidRPr="00944E88"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A mesma análise é realizada para a cidade do Rio de Janeiro com algumas ressalvas, destaca-se que assim como para SP, o estoque existente foi calculado com base no número de domicílios particulares da cidade estimado pelo Censo 2010</w:t>
      </w:r>
      <w:r w:rsidR="00CE79DB" w:rsidRPr="00944E88">
        <w:rPr>
          <w:rFonts w:ascii="Times New Roman" w:hAnsi="Times New Roman" w:cs="Times New Roman"/>
          <w:sz w:val="24"/>
          <w:szCs w:val="24"/>
        </w:rPr>
        <w:t>.</w:t>
      </w:r>
    </w:p>
    <w:p w:rsidR="00A30B13" w:rsidRPr="00944E88"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A base de dados do Rio de Janeiro tem como fonte a ADEMI-RJ</w:t>
      </w:r>
      <w:r w:rsidRPr="00944E88">
        <w:rPr>
          <w:rStyle w:val="Refdenotaderodap"/>
          <w:rFonts w:ascii="Times New Roman" w:hAnsi="Times New Roman" w:cs="Times New Roman"/>
          <w:sz w:val="24"/>
          <w:szCs w:val="24"/>
        </w:rPr>
        <w:footnoteReference w:id="1"/>
      </w:r>
      <w:r w:rsidRPr="00944E88">
        <w:rPr>
          <w:rFonts w:ascii="Times New Roman" w:hAnsi="Times New Roman" w:cs="Times New Roman"/>
          <w:sz w:val="24"/>
          <w:szCs w:val="24"/>
        </w:rPr>
        <w:t xml:space="preserve"> e, diferente de São Paulo, agrega as vendas de imóveis residenciais e comerciais, o que impossibilita a aplicação direta da fórmula. Porém, ao analisar os dados referentes à emissão de Habite-se desta cidade nos anos 2015, 2014 e 2013, observou-se que a quantidade de Habite-se de unidades residenciais correspondeu a uma parcela praticamente constante, em torno de 75% do total. Como o que será utilizado na aplicação do CCAPM é a relação entre o estoque presente com o estoque passado, considerando que a parcela é constante em todo período, pode-se utilizar a base de dados original tranquilamente, visto que ao realizar a divisão esta parcela se anulará. </w:t>
      </w:r>
    </w:p>
    <w:p w:rsidR="00A30B13" w:rsidRPr="00944E88" w:rsidRDefault="00A30B13"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Como os dados do Rio de Janeiro também não apresentam separação por tamanho dos imóveis, optou-se por padronizar o tamanho de cada unidade conforme calculado para a cidade de São Paulo, 72,20 m², e desta forma, transforma-se a série final de estoque de imóveis residenciais por m². A Figura 4 mostra a evolução do estoque de imóveis nas duas cidades analisadas. </w:t>
      </w:r>
    </w:p>
    <w:p w:rsidR="00A30B13" w:rsidRPr="00944E88" w:rsidRDefault="00A30B13" w:rsidP="00944E88">
      <w:pPr>
        <w:pStyle w:val="PargrafodaLista"/>
        <w:spacing w:after="0" w:line="240" w:lineRule="auto"/>
        <w:ind w:left="0"/>
        <w:jc w:val="both"/>
        <w:rPr>
          <w:rFonts w:ascii="Times New Roman" w:hAnsi="Times New Roman" w:cs="Times New Roman"/>
          <w:color w:val="FF0000"/>
          <w:sz w:val="24"/>
          <w:szCs w:val="24"/>
        </w:rPr>
      </w:pPr>
    </w:p>
    <w:p w:rsidR="00A30B13" w:rsidRPr="00944E88" w:rsidRDefault="00A30B13" w:rsidP="00944E88">
      <w:pPr>
        <w:spacing w:after="0" w:line="240" w:lineRule="auto"/>
        <w:rPr>
          <w:rFonts w:ascii="Times New Roman" w:hAnsi="Times New Roman" w:cs="Times New Roman"/>
          <w:noProof/>
          <w:sz w:val="24"/>
          <w:szCs w:val="24"/>
          <w:lang w:eastAsia="pt-BR"/>
        </w:rPr>
      </w:pPr>
      <w:r w:rsidRPr="00944E88">
        <w:rPr>
          <w:rFonts w:ascii="Times New Roman" w:hAnsi="Times New Roman" w:cs="Times New Roman"/>
          <w:sz w:val="24"/>
          <w:szCs w:val="24"/>
        </w:rPr>
        <w:t xml:space="preserve">Figura 4 - Evolução do estoque de imóveis, em </w:t>
      </w:r>
      <w:proofErr w:type="gramStart"/>
      <w:r w:rsidRPr="00944E88">
        <w:rPr>
          <w:rFonts w:ascii="Times New Roman" w:hAnsi="Times New Roman" w:cs="Times New Roman"/>
          <w:sz w:val="24"/>
          <w:szCs w:val="24"/>
        </w:rPr>
        <w:t>m²</w:t>
      </w:r>
      <w:proofErr w:type="gramEnd"/>
    </w:p>
    <w:p w:rsidR="00A30B13" w:rsidRPr="00944E88" w:rsidRDefault="00CC720D" w:rsidP="00944E88">
      <w:pPr>
        <w:spacing w:after="0" w:line="240" w:lineRule="auto"/>
        <w:rPr>
          <w:rFonts w:ascii="Times New Roman" w:hAnsi="Times New Roman" w:cs="Times New Roman"/>
          <w:sz w:val="24"/>
          <w:szCs w:val="24"/>
        </w:rPr>
      </w:pPr>
      <w:r w:rsidRPr="00944E88">
        <w:rPr>
          <w:rFonts w:ascii="Times New Roman" w:hAnsi="Times New Roman" w:cs="Times New Roman"/>
          <w:noProof/>
          <w:sz w:val="24"/>
          <w:szCs w:val="24"/>
          <w:lang w:eastAsia="pt-BR"/>
        </w:rPr>
        <w:drawing>
          <wp:inline distT="0" distB="0" distL="0" distR="0" wp14:anchorId="64D7203F" wp14:editId="2BFCF96A">
            <wp:extent cx="2692877" cy="162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j.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2877" cy="1620000"/>
                    </a:xfrm>
                    <a:prstGeom prst="rect">
                      <a:avLst/>
                    </a:prstGeom>
                  </pic:spPr>
                </pic:pic>
              </a:graphicData>
            </a:graphic>
          </wp:inline>
        </w:drawing>
      </w:r>
      <w:r w:rsidRPr="00944E88">
        <w:rPr>
          <w:rFonts w:ascii="Times New Roman" w:hAnsi="Times New Roman" w:cs="Times New Roman"/>
          <w:noProof/>
          <w:sz w:val="24"/>
          <w:szCs w:val="24"/>
          <w:lang w:eastAsia="pt-BR"/>
        </w:rPr>
        <w:drawing>
          <wp:inline distT="0" distB="0" distL="0" distR="0" wp14:anchorId="22F919E5" wp14:editId="49633D7C">
            <wp:extent cx="2692877" cy="162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s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2877" cy="1620000"/>
                    </a:xfrm>
                    <a:prstGeom prst="rect">
                      <a:avLst/>
                    </a:prstGeom>
                  </pic:spPr>
                </pic:pic>
              </a:graphicData>
            </a:graphic>
          </wp:inline>
        </w:drawing>
      </w:r>
    </w:p>
    <w:p w:rsidR="00A30B13" w:rsidRPr="00121430" w:rsidRDefault="00A30B13" w:rsidP="00944E88">
      <w:pPr>
        <w:spacing w:after="0" w:line="240" w:lineRule="auto"/>
        <w:jc w:val="both"/>
        <w:rPr>
          <w:rFonts w:ascii="Times New Roman" w:hAnsi="Times New Roman" w:cs="Times New Roman"/>
          <w:sz w:val="20"/>
          <w:szCs w:val="20"/>
        </w:rPr>
      </w:pPr>
      <w:r w:rsidRPr="00121430">
        <w:rPr>
          <w:rFonts w:ascii="Times New Roman" w:hAnsi="Times New Roman" w:cs="Times New Roman"/>
          <w:sz w:val="20"/>
          <w:szCs w:val="20"/>
        </w:rPr>
        <w:t>Fonte: Elaborado pela autora.</w:t>
      </w:r>
      <w:r w:rsidR="00575291" w:rsidRPr="00121430">
        <w:rPr>
          <w:rFonts w:ascii="Times New Roman" w:hAnsi="Times New Roman" w:cs="Times New Roman"/>
          <w:sz w:val="20"/>
          <w:szCs w:val="20"/>
        </w:rPr>
        <w:t xml:space="preserve"> Software utilizado: </w:t>
      </w:r>
      <w:proofErr w:type="spellStart"/>
      <w:proofErr w:type="gramStart"/>
      <w:r w:rsidR="00575291" w:rsidRPr="00121430">
        <w:rPr>
          <w:rFonts w:ascii="Times New Roman" w:hAnsi="Times New Roman" w:cs="Times New Roman"/>
          <w:sz w:val="20"/>
          <w:szCs w:val="20"/>
        </w:rPr>
        <w:t>RStudio</w:t>
      </w:r>
      <w:proofErr w:type="spellEnd"/>
      <w:proofErr w:type="gramEnd"/>
      <w:r w:rsidR="00121430" w:rsidRPr="00121430">
        <w:rPr>
          <w:rFonts w:ascii="Times New Roman" w:hAnsi="Times New Roman" w:cs="Times New Roman"/>
          <w:sz w:val="20"/>
          <w:szCs w:val="20"/>
        </w:rPr>
        <w:t xml:space="preserve"> (2017)</w:t>
      </w:r>
      <w:r w:rsidR="00575291" w:rsidRPr="00121430">
        <w:rPr>
          <w:rFonts w:ascii="Times New Roman" w:hAnsi="Times New Roman" w:cs="Times New Roman"/>
          <w:sz w:val="20"/>
          <w:szCs w:val="20"/>
        </w:rPr>
        <w:t>.</w:t>
      </w:r>
    </w:p>
    <w:p w:rsidR="00A30B13" w:rsidRPr="00944E88" w:rsidRDefault="000F4BD3" w:rsidP="00944E88">
      <w:pPr>
        <w:pStyle w:val="PargrafodaLista"/>
        <w:spacing w:after="0" w:line="240" w:lineRule="auto"/>
        <w:ind w:left="0"/>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p>
    <w:p w:rsidR="00BC16BC" w:rsidRPr="00944E88" w:rsidRDefault="0045524C" w:rsidP="00944E88">
      <w:pPr>
        <w:pStyle w:val="PargrafodaLista"/>
        <w:numPr>
          <w:ilvl w:val="0"/>
          <w:numId w:val="1"/>
        </w:numPr>
        <w:spacing w:after="0" w:line="240" w:lineRule="auto"/>
        <w:ind w:left="0" w:firstLine="0"/>
        <w:rPr>
          <w:rFonts w:ascii="Times New Roman" w:hAnsi="Times New Roman" w:cs="Times New Roman"/>
          <w:b/>
          <w:sz w:val="24"/>
          <w:szCs w:val="24"/>
        </w:rPr>
      </w:pPr>
      <w:r w:rsidRPr="00944E88">
        <w:rPr>
          <w:rFonts w:ascii="Times New Roman" w:hAnsi="Times New Roman" w:cs="Times New Roman"/>
          <w:b/>
          <w:sz w:val="24"/>
          <w:szCs w:val="24"/>
        </w:rPr>
        <w:t>ESTIMAÇÃO E RESULTADOS</w:t>
      </w:r>
    </w:p>
    <w:p w:rsidR="00511E0F" w:rsidRPr="00944E88" w:rsidRDefault="00511E0F" w:rsidP="00944E88">
      <w:pPr>
        <w:pStyle w:val="PargrafodaLista"/>
        <w:spacing w:after="0" w:line="240" w:lineRule="auto"/>
        <w:ind w:left="0"/>
        <w:rPr>
          <w:rFonts w:ascii="Times New Roman" w:hAnsi="Times New Roman" w:cs="Times New Roman"/>
          <w:b/>
          <w:sz w:val="24"/>
          <w:szCs w:val="24"/>
        </w:rPr>
      </w:pPr>
    </w:p>
    <w:p w:rsidR="00BC16BC" w:rsidRPr="00944E88" w:rsidRDefault="00BC16BC"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Para a aplicação do Modelo CAPM é necessário que se tenha uma série de retorno dos investimentos analisados, neste caso, do mercado imobiliário e do retorno de mercado. Os dados utilizados para a estimação dos modelos correspondem a dados mensais de </w:t>
      </w:r>
      <w:proofErr w:type="spellStart"/>
      <w:r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 xml:space="preserve">/2008 a </w:t>
      </w:r>
      <w:proofErr w:type="spellStart"/>
      <w:r w:rsidR="00EE32D6" w:rsidRPr="00944E88">
        <w:rPr>
          <w:rFonts w:ascii="Times New Roman" w:hAnsi="Times New Roman" w:cs="Times New Roman"/>
          <w:sz w:val="24"/>
          <w:szCs w:val="24"/>
        </w:rPr>
        <w:t>abr</w:t>
      </w:r>
      <w:proofErr w:type="spellEnd"/>
      <w:r w:rsidRPr="00944E88">
        <w:rPr>
          <w:rFonts w:ascii="Times New Roman" w:hAnsi="Times New Roman" w:cs="Times New Roman"/>
          <w:sz w:val="24"/>
          <w:szCs w:val="24"/>
        </w:rPr>
        <w:t>/201</w:t>
      </w:r>
      <w:r w:rsidR="00EE32D6" w:rsidRPr="00944E88">
        <w:rPr>
          <w:rFonts w:ascii="Times New Roman" w:hAnsi="Times New Roman" w:cs="Times New Roman"/>
          <w:sz w:val="24"/>
          <w:szCs w:val="24"/>
        </w:rPr>
        <w:t>7</w:t>
      </w:r>
      <w:r w:rsidRPr="00944E88">
        <w:rPr>
          <w:rFonts w:ascii="Times New Roman" w:hAnsi="Times New Roman" w:cs="Times New Roman"/>
          <w:sz w:val="24"/>
          <w:szCs w:val="24"/>
        </w:rPr>
        <w:t xml:space="preserve">. </w:t>
      </w:r>
    </w:p>
    <w:p w:rsidR="00BC16BC" w:rsidRDefault="00BC16BC"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lastRenderedPageBreak/>
        <w:tab/>
        <w:t>Com a série de preços mensal real de venda e aluguel por m², determina-se o retorno real do investimento imobiliário, no qual se leva em consideração o preço real do imóvel, atual e no período seguinte, e o aluguel real que este imóvel rende hoje, o que é representado na fórmula a seguir:</w:t>
      </w:r>
    </w:p>
    <w:p w:rsidR="00121430" w:rsidRPr="00944E88" w:rsidRDefault="00121430" w:rsidP="00944E88">
      <w:pPr>
        <w:spacing w:after="0" w:line="240" w:lineRule="auto"/>
        <w:jc w:val="both"/>
        <w:rPr>
          <w:rFonts w:ascii="Times New Roman" w:hAnsi="Times New Roman" w:cs="Times New Roman"/>
          <w:sz w:val="24"/>
          <w:szCs w:val="24"/>
        </w:rPr>
      </w:pPr>
    </w:p>
    <w:p w:rsidR="00BC16BC" w:rsidRPr="00944E88" w:rsidRDefault="00121430" w:rsidP="00944E88">
      <w:pPr>
        <w:spacing w:after="0" w:line="240" w:lineRule="auto"/>
        <w:jc w:val="both"/>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R</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r>
            <w:rPr>
              <w:rFonts w:ascii="Cambria Math" w:hAnsi="Times New Roman" w:cs="Times New Roman"/>
              <w:sz w:val="24"/>
              <w:szCs w:val="24"/>
              <w:vertAlign w:val="subscript"/>
            </w:rPr>
            <m:t>=</m:t>
          </m:r>
          <m:f>
            <m:fPr>
              <m:ctrlPr>
                <w:rPr>
                  <w:rFonts w:ascii="Cambria Math" w:hAnsi="Times New Roman" w:cs="Times New Roman"/>
                  <w:i/>
                  <w:sz w:val="24"/>
                  <w:szCs w:val="24"/>
                  <w:vertAlign w:val="subscript"/>
                </w:rPr>
              </m:ctrlPr>
            </m:fPr>
            <m:num>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P</m:t>
                  </m:r>
                </m:e>
                <m:sub>
                  <m:r>
                    <w:rPr>
                      <w:rFonts w:ascii="Cambria Math" w:hAnsi="Cambria Math" w:cs="Times New Roman"/>
                      <w:sz w:val="24"/>
                      <w:szCs w:val="24"/>
                      <w:vertAlign w:val="subscript"/>
                    </w:rPr>
                    <m:t>t</m:t>
                  </m:r>
                  <m:r>
                    <w:rPr>
                      <w:rFonts w:ascii="Cambria Math" w:hAnsi="Times New Roman" w:cs="Times New Roman"/>
                      <w:sz w:val="24"/>
                      <w:szCs w:val="24"/>
                      <w:vertAlign w:val="subscript"/>
                    </w:rPr>
                    <m:t>+1</m:t>
                  </m:r>
                </m:sub>
                <m:sup>
                  <m:r>
                    <w:rPr>
                      <w:rFonts w:ascii="Cambria Math" w:hAnsi="Cambria Math" w:cs="Times New Roman"/>
                      <w:sz w:val="24"/>
                      <w:szCs w:val="24"/>
                      <w:vertAlign w:val="subscript"/>
                    </w:rPr>
                    <m:t>R</m:t>
                  </m:r>
                </m:sup>
              </m:sSubSup>
              <m:r>
                <w:rPr>
                  <w:rFonts w:ascii="Cambria Math" w:hAnsi="Times New Roman" w:cs="Times New Roman"/>
                  <w:sz w:val="24"/>
                  <w:szCs w:val="24"/>
                  <w:vertAlign w:val="subscript"/>
                </w:rPr>
                <m:t xml:space="preserve">+ </m:t>
              </m:r>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r</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r>
                <w:rPr>
                  <w:rFonts w:ascii="Times New Roman" w:hAnsi="Times New Roman" w:cs="Times New Roman"/>
                  <w:sz w:val="24"/>
                  <w:szCs w:val="24"/>
                  <w:vertAlign w:val="subscript"/>
                </w:rPr>
                <m:t>-</m:t>
              </m:r>
              <m:r>
                <w:rPr>
                  <w:rFonts w:ascii="Cambria Math" w:hAnsi="Times New Roman" w:cs="Times New Roman"/>
                  <w:sz w:val="24"/>
                  <w:szCs w:val="24"/>
                  <w:vertAlign w:val="subscript"/>
                </w:rPr>
                <m:t xml:space="preserve"> </m:t>
              </m:r>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P</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num>
            <m:den>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P</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den>
          </m:f>
        </m:oMath>
      </m:oMathPara>
    </w:p>
    <w:p w:rsidR="00BC16BC" w:rsidRPr="00944E88" w:rsidRDefault="00BC16BC"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rPr>
              <m:t>R</m:t>
            </m:r>
            <m:ctrlPr>
              <w:rPr>
                <w:rFonts w:ascii="Cambria Math" w:hAnsi="Times New Roman" w:cs="Times New Roman"/>
                <w:i/>
                <w:sz w:val="24"/>
                <w:szCs w:val="24"/>
              </w:rPr>
            </m:ctrlPr>
          </m:e>
          <m:sub>
            <m:r>
              <w:rPr>
                <w:rFonts w:ascii="Cambria Math" w:hAnsi="Cambria Math" w:cs="Times New Roman"/>
                <w:sz w:val="24"/>
                <w:szCs w:val="24"/>
              </w:rPr>
              <m:t>t</m:t>
            </m:r>
            <m:ctrlPr>
              <w:rPr>
                <w:rFonts w:ascii="Cambria Math" w:hAnsi="Times New Roman" w:cs="Times New Roman"/>
                <w:i/>
                <w:sz w:val="24"/>
                <w:szCs w:val="24"/>
              </w:rPr>
            </m:ctrlPr>
          </m:sub>
          <m:sup>
            <m:r>
              <w:rPr>
                <w:rFonts w:ascii="Cambria Math" w:hAnsi="Cambria Math" w:cs="Times New Roman"/>
                <w:sz w:val="24"/>
                <w:szCs w:val="24"/>
                <w:vertAlign w:val="subscript"/>
              </w:rPr>
              <m:t>R</m:t>
            </m:r>
          </m:sup>
        </m:sSubSup>
      </m:oMath>
      <w:r w:rsidRPr="00944E88">
        <w:rPr>
          <w:rFonts w:ascii="Times New Roman" w:hAnsi="Times New Roman" w:cs="Times New Roman"/>
          <w:sz w:val="24"/>
          <w:szCs w:val="24"/>
        </w:rPr>
        <w:t xml:space="preserve">é o retorno real do imóvel, </w:t>
      </w:r>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 é preço real do m² de venda do e </w:t>
      </w:r>
      <m:oMath>
        <m:sSubSup>
          <m:sSubSupPr>
            <m:ctrlPr>
              <w:rPr>
                <w:rFonts w:ascii="Cambria Math" w:hAnsi="Times New Roman"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 é o preço real do m² do aluguel do imóvel, ambos na região R no período t.</w:t>
      </w:r>
    </w:p>
    <w:p w:rsidR="00BC16BC" w:rsidRDefault="00BC16BC"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Para determinação da taxa de retorno de mercado utiliza-se como </w:t>
      </w:r>
      <w:proofErr w:type="gramStart"/>
      <w:r w:rsidRPr="00944E88">
        <w:rPr>
          <w:rFonts w:ascii="Times New Roman" w:hAnsi="Times New Roman" w:cs="Times New Roman"/>
          <w:i/>
          <w:sz w:val="24"/>
          <w:szCs w:val="24"/>
        </w:rPr>
        <w:t>proxy</w:t>
      </w:r>
      <w:proofErr w:type="gramEnd"/>
      <w:r w:rsidRPr="00944E88">
        <w:rPr>
          <w:rFonts w:ascii="Times New Roman" w:hAnsi="Times New Roman" w:cs="Times New Roman"/>
          <w:sz w:val="24"/>
          <w:szCs w:val="24"/>
        </w:rPr>
        <w:t xml:space="preserve"> a série história mensal do IBOVESPA, manipulado para valores constantes de </w:t>
      </w:r>
      <w:proofErr w:type="spellStart"/>
      <w:r w:rsidRPr="00944E88">
        <w:rPr>
          <w:rFonts w:ascii="Times New Roman" w:hAnsi="Times New Roman" w:cs="Times New Roman"/>
          <w:sz w:val="24"/>
          <w:szCs w:val="24"/>
        </w:rPr>
        <w:t>ago</w:t>
      </w:r>
      <w:proofErr w:type="spellEnd"/>
      <w:r w:rsidRPr="00944E88">
        <w:rPr>
          <w:rFonts w:ascii="Times New Roman" w:hAnsi="Times New Roman" w:cs="Times New Roman"/>
          <w:sz w:val="24"/>
          <w:szCs w:val="24"/>
        </w:rPr>
        <w:t>/2010 utilizando como índice de preços o IPCA. A taxa de retorno é dada pelo seguinte cálculo:</w:t>
      </w:r>
    </w:p>
    <w:p w:rsidR="00121430" w:rsidRPr="00944E88" w:rsidRDefault="00121430" w:rsidP="00944E88">
      <w:pPr>
        <w:spacing w:after="0" w:line="240" w:lineRule="auto"/>
        <w:jc w:val="both"/>
        <w:rPr>
          <w:rFonts w:ascii="Times New Roman" w:hAnsi="Times New Roman" w:cs="Times New Roman"/>
          <w:sz w:val="24"/>
          <w:szCs w:val="24"/>
        </w:rPr>
      </w:pPr>
    </w:p>
    <w:p w:rsidR="00BC16BC" w:rsidRPr="00121430" w:rsidRDefault="00121430" w:rsidP="00944E88">
      <w:pPr>
        <w:spacing w:after="0" w:line="240" w:lineRule="auto"/>
        <w:jc w:val="both"/>
        <w:rPr>
          <w:rFonts w:ascii="Times New Roman" w:eastAsiaTheme="minorEastAsia"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R</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Ibov</m:t>
              </m:r>
            </m:sup>
          </m:sSubSup>
          <m:r>
            <w:rPr>
              <w:rFonts w:ascii="Cambria Math" w:hAnsi="Times New Roman" w:cs="Times New Roman"/>
              <w:sz w:val="24"/>
              <w:szCs w:val="24"/>
              <w:vertAlign w:val="subscript"/>
            </w:rPr>
            <m:t>=</m:t>
          </m:r>
          <m:f>
            <m:fPr>
              <m:ctrlPr>
                <w:rPr>
                  <w:rFonts w:ascii="Cambria Math" w:hAnsi="Times New Roman" w:cs="Times New Roman"/>
                  <w:i/>
                  <w:sz w:val="24"/>
                  <w:szCs w:val="24"/>
                  <w:vertAlign w:val="subscript"/>
                </w:rPr>
              </m:ctrlPr>
            </m:fPr>
            <m:num>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Ibov</m:t>
                  </m:r>
                </m:e>
                <m:sub>
                  <m:r>
                    <w:rPr>
                      <w:rFonts w:ascii="Cambria Math" w:hAnsi="Cambria Math" w:cs="Times New Roman"/>
                      <w:sz w:val="24"/>
                      <w:szCs w:val="24"/>
                      <w:vertAlign w:val="subscript"/>
                    </w:rPr>
                    <m:t>t</m:t>
                  </m:r>
                  <m:r>
                    <w:rPr>
                      <w:rFonts w:ascii="Cambria Math" w:hAnsi="Times New Roman" w:cs="Times New Roman"/>
                      <w:sz w:val="24"/>
                      <w:szCs w:val="24"/>
                      <w:vertAlign w:val="subscript"/>
                    </w:rPr>
                    <m:t>+1</m:t>
                  </m:r>
                </m:sub>
                <m:sup>
                  <m:r>
                    <w:rPr>
                      <w:rFonts w:ascii="Cambria Math" w:hAnsi="Cambria Math" w:cs="Times New Roman"/>
                      <w:sz w:val="24"/>
                      <w:szCs w:val="24"/>
                      <w:vertAlign w:val="subscript"/>
                    </w:rPr>
                    <m:t>r</m:t>
                  </m:r>
                </m:sup>
              </m:sSubSup>
              <m:r>
                <w:rPr>
                  <w:rFonts w:ascii="Times New Roman" w:hAnsi="Times New Roman" w:cs="Times New Roman"/>
                  <w:sz w:val="24"/>
                  <w:szCs w:val="24"/>
                  <w:vertAlign w:val="subscript"/>
                </w:rPr>
                <m:t>-</m:t>
              </m:r>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Ibo</m:t>
              </m:r>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v</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num>
            <m:den>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Ibov</m:t>
                  </m:r>
                </m:e>
                <m:sub>
                  <m:r>
                    <w:rPr>
                      <w:rFonts w:ascii="Cambria Math" w:hAnsi="Cambria Math" w:cs="Times New Roman"/>
                      <w:sz w:val="24"/>
                      <w:szCs w:val="24"/>
                      <w:vertAlign w:val="subscript"/>
                    </w:rPr>
                    <m:t>t</m:t>
                  </m:r>
                </m:sub>
                <m:sup>
                  <m:r>
                    <w:rPr>
                      <w:rFonts w:ascii="Cambria Math" w:hAnsi="Cambria Math" w:cs="Times New Roman"/>
                      <w:sz w:val="24"/>
                      <w:szCs w:val="24"/>
                      <w:vertAlign w:val="subscript"/>
                    </w:rPr>
                    <m:t>r</m:t>
                  </m:r>
                </m:sup>
              </m:sSubSup>
            </m:den>
          </m:f>
        </m:oMath>
      </m:oMathPara>
    </w:p>
    <w:p w:rsidR="00121430" w:rsidRPr="00944E88" w:rsidRDefault="00121430" w:rsidP="00944E88">
      <w:pPr>
        <w:spacing w:after="0" w:line="240" w:lineRule="auto"/>
        <w:jc w:val="both"/>
        <w:rPr>
          <w:rFonts w:ascii="Times New Roman" w:hAnsi="Times New Roman" w:cs="Times New Roman"/>
          <w:sz w:val="24"/>
          <w:szCs w:val="24"/>
          <w:vertAlign w:val="subscript"/>
        </w:rPr>
      </w:pPr>
    </w:p>
    <w:p w:rsidR="00BC16BC" w:rsidRPr="00944E88" w:rsidRDefault="00BC16BC" w:rsidP="00944E88">
      <w:pPr>
        <w:spacing w:after="0" w:line="240" w:lineRule="auto"/>
        <w:jc w:val="both"/>
        <w:rPr>
          <w:rFonts w:ascii="Times New Roman" w:hAnsi="Times New Roman" w:cs="Times New Roman"/>
          <w:sz w:val="24"/>
          <w:szCs w:val="24"/>
        </w:rPr>
      </w:pPr>
      <w:proofErr w:type="gramStart"/>
      <w:r w:rsidRPr="00944E88">
        <w:rPr>
          <w:rFonts w:ascii="Times New Roman" w:hAnsi="Times New Roman" w:cs="Times New Roman"/>
          <w:sz w:val="24"/>
          <w:szCs w:val="24"/>
        </w:rPr>
        <w:t>onde</w:t>
      </w:r>
      <w:proofErr w:type="gramEnd"/>
      <w:r w:rsidRPr="00944E88">
        <w:rPr>
          <w:rFonts w:ascii="Times New Roman" w:hAnsi="Times New Roman" w:cs="Times New Roman"/>
          <w:sz w:val="24"/>
          <w:szCs w:val="24"/>
        </w:rPr>
        <w:t xml:space="preserve"> </w:t>
      </w: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rPr>
              <m:t>R</m:t>
            </m:r>
            <m:ctrlPr>
              <w:rPr>
                <w:rFonts w:ascii="Cambria Math" w:hAnsi="Times New Roman" w:cs="Times New Roman"/>
                <w:i/>
                <w:sz w:val="24"/>
                <w:szCs w:val="24"/>
              </w:rPr>
            </m:ctrlPr>
          </m:e>
          <m:sub>
            <m:r>
              <w:rPr>
                <w:rFonts w:ascii="Cambria Math" w:hAnsi="Cambria Math" w:cs="Times New Roman"/>
                <w:sz w:val="24"/>
                <w:szCs w:val="24"/>
              </w:rPr>
              <m:t>t</m:t>
            </m:r>
            <m:ctrlPr>
              <w:rPr>
                <w:rFonts w:ascii="Cambria Math" w:hAnsi="Times New Roman" w:cs="Times New Roman"/>
                <w:i/>
                <w:sz w:val="24"/>
                <w:szCs w:val="24"/>
              </w:rPr>
            </m:ctrlPr>
          </m:sub>
          <m:sup>
            <m:r>
              <w:rPr>
                <w:rFonts w:ascii="Cambria Math" w:hAnsi="Cambria Math" w:cs="Times New Roman"/>
                <w:sz w:val="24"/>
                <w:szCs w:val="24"/>
                <w:vertAlign w:val="subscript"/>
              </w:rPr>
              <m:t>Ibov</m:t>
            </m:r>
          </m:sup>
        </m:sSubSup>
      </m:oMath>
      <w:r w:rsidR="007E05EA" w:rsidRPr="00944E88">
        <w:rPr>
          <w:rFonts w:ascii="Times New Roman" w:eastAsiaTheme="minorEastAsia" w:hAnsi="Times New Roman" w:cs="Times New Roman"/>
          <w:sz w:val="24"/>
          <w:szCs w:val="24"/>
          <w:vertAlign w:val="subscript"/>
        </w:rPr>
        <w:t xml:space="preserve"> </w:t>
      </w:r>
      <w:r w:rsidRPr="00944E88">
        <w:rPr>
          <w:rFonts w:ascii="Times New Roman" w:hAnsi="Times New Roman" w:cs="Times New Roman"/>
          <w:sz w:val="24"/>
          <w:szCs w:val="24"/>
        </w:rPr>
        <w:t xml:space="preserve">é o retorno real do imóvel, </w:t>
      </w:r>
      <m:oMath>
        <m:sSubSup>
          <m:sSubSupPr>
            <m:ctrlPr>
              <w:rPr>
                <w:rFonts w:ascii="Cambria Math" w:hAnsi="Times New Roman" w:cs="Times New Roman"/>
                <w:i/>
                <w:sz w:val="24"/>
                <w:szCs w:val="24"/>
              </w:rPr>
            </m:ctrlPr>
          </m:sSubSupPr>
          <m:e>
            <m:r>
              <w:rPr>
                <w:rFonts w:ascii="Cambria Math" w:hAnsi="Cambria Math" w:cs="Times New Roman"/>
                <w:sz w:val="24"/>
                <w:szCs w:val="24"/>
              </w:rPr>
              <m:t>Ibov</m:t>
            </m:r>
          </m:e>
          <m:sub>
            <m:r>
              <w:rPr>
                <w:rFonts w:ascii="Cambria Math" w:hAnsi="Cambria Math" w:cs="Times New Roman"/>
                <w:sz w:val="24"/>
                <w:szCs w:val="24"/>
              </w:rPr>
              <m:t>t</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 e </w:t>
      </w:r>
      <m:oMath>
        <m:r>
          <w:rPr>
            <w:rFonts w:ascii="Cambria Math" w:hAnsi="Cambria Math" w:cs="Times New Roman"/>
            <w:sz w:val="24"/>
            <w:szCs w:val="24"/>
          </w:rPr>
          <m:t>Ibo</m:t>
        </m:r>
        <m:sSubSup>
          <m:sSubSupPr>
            <m:ctrlPr>
              <w:rPr>
                <w:rFonts w:ascii="Cambria Math" w:hAnsi="Times New Roman"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r</m:t>
            </m:r>
          </m:sup>
        </m:sSubSup>
      </m:oMath>
      <w:r w:rsidRPr="00944E88">
        <w:rPr>
          <w:rFonts w:ascii="Times New Roman" w:hAnsi="Times New Roman" w:cs="Times New Roman"/>
          <w:sz w:val="24"/>
          <w:szCs w:val="24"/>
        </w:rPr>
        <w:t xml:space="preserve"> são os IBOVESPA a preços constantes de ago/2010 nos períodos t e t+1.</w:t>
      </w:r>
    </w:p>
    <w:p w:rsidR="00BC16BC" w:rsidRPr="00944E88" w:rsidRDefault="00BC16BC" w:rsidP="00944E88">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tab/>
      </w:r>
      <w:r w:rsidR="007E05EA" w:rsidRPr="00944E88">
        <w:rPr>
          <w:rFonts w:ascii="Times New Roman" w:hAnsi="Times New Roman" w:cs="Times New Roman"/>
          <w:sz w:val="24"/>
          <w:szCs w:val="24"/>
        </w:rPr>
        <w:t xml:space="preserve">Antes das estimações do CAPM e do CCAPM modificado é necessária a </w:t>
      </w:r>
      <w:r w:rsidRPr="00944E88">
        <w:rPr>
          <w:rFonts w:ascii="Times New Roman" w:hAnsi="Times New Roman" w:cs="Times New Roman"/>
          <w:sz w:val="24"/>
          <w:szCs w:val="24"/>
        </w:rPr>
        <w:t>aplicação de testes para identificar a presença de raiz unitária</w:t>
      </w:r>
      <w:r w:rsidR="007E05EA" w:rsidRPr="00944E88">
        <w:rPr>
          <w:rFonts w:ascii="Times New Roman" w:hAnsi="Times New Roman" w:cs="Times New Roman"/>
          <w:sz w:val="24"/>
          <w:szCs w:val="24"/>
        </w:rPr>
        <w:t xml:space="preserve"> nas séries de dados</w:t>
      </w:r>
      <w:r w:rsidRPr="00944E88">
        <w:rPr>
          <w:rFonts w:ascii="Times New Roman" w:hAnsi="Times New Roman" w:cs="Times New Roman"/>
          <w:sz w:val="24"/>
          <w:szCs w:val="24"/>
        </w:rPr>
        <w:t xml:space="preserve">. Foram escolhidos três testes: Testes ADF e PP, que possuem como hipótese nula (H0) a existência de raiz unitária e o Teste KPSS, que testa as séries partindo da hipótese de estacionariedade. Os resultados dos testes realizados são apresentados na </w:t>
      </w:r>
      <w:r w:rsidR="0073171A">
        <w:rPr>
          <w:rFonts w:ascii="Times New Roman" w:hAnsi="Times New Roman" w:cs="Times New Roman"/>
          <w:sz w:val="24"/>
          <w:szCs w:val="24"/>
        </w:rPr>
        <w:t>T</w:t>
      </w:r>
      <w:r w:rsidRPr="00944E88">
        <w:rPr>
          <w:rFonts w:ascii="Times New Roman" w:hAnsi="Times New Roman" w:cs="Times New Roman"/>
          <w:sz w:val="24"/>
          <w:szCs w:val="24"/>
        </w:rPr>
        <w:t>abela</w:t>
      </w:r>
      <w:r w:rsidR="0073171A">
        <w:rPr>
          <w:rFonts w:ascii="Times New Roman" w:hAnsi="Times New Roman" w:cs="Times New Roman"/>
          <w:sz w:val="24"/>
          <w:szCs w:val="24"/>
        </w:rPr>
        <w:t xml:space="preserve"> 1</w:t>
      </w:r>
      <w:r w:rsidRPr="00944E88">
        <w:rPr>
          <w:rFonts w:ascii="Times New Roman" w:hAnsi="Times New Roman" w:cs="Times New Roman"/>
          <w:sz w:val="24"/>
          <w:szCs w:val="24"/>
        </w:rPr>
        <w:t>.</w:t>
      </w:r>
    </w:p>
    <w:p w:rsidR="00BC16BC" w:rsidRPr="00944E88" w:rsidRDefault="00BC16BC"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Seguindo o nível de significância de 5%, a série de retorno do investimento imobiliário em São Paulo mostra que nos três </w:t>
      </w:r>
      <w:proofErr w:type="gramStart"/>
      <w:r w:rsidRPr="00944E88">
        <w:rPr>
          <w:rFonts w:ascii="Times New Roman" w:hAnsi="Times New Roman" w:cs="Times New Roman"/>
          <w:sz w:val="24"/>
          <w:szCs w:val="24"/>
        </w:rPr>
        <w:t>testes,</w:t>
      </w:r>
      <w:proofErr w:type="gramEnd"/>
      <w:r w:rsidRPr="00944E88">
        <w:rPr>
          <w:rFonts w:ascii="Times New Roman" w:hAnsi="Times New Roman" w:cs="Times New Roman"/>
          <w:sz w:val="24"/>
          <w:szCs w:val="24"/>
        </w:rPr>
        <w:t xml:space="preserve"> o modelo com constante possui raiz unitária, sendo assim I(1). Já a série de retorno do investimento imobiliário no Rio de Janeiro é I(1) em todos os modelos e nos três testes. O retorno do IBOVESPA só possui consenso nos resultados dos testes do modelo com constante e tendência, podendo ser considerado que a série não possui raiz unitária ao nível de 5% de significância, ou seja, é integrada de ordem </w:t>
      </w:r>
      <w:proofErr w:type="gramStart"/>
      <w:r w:rsidRPr="00944E88">
        <w:rPr>
          <w:rFonts w:ascii="Times New Roman" w:hAnsi="Times New Roman" w:cs="Times New Roman"/>
          <w:sz w:val="24"/>
          <w:szCs w:val="24"/>
        </w:rPr>
        <w:t>0</w:t>
      </w:r>
      <w:proofErr w:type="gramEnd"/>
      <w:r w:rsidRPr="00944E88">
        <w:rPr>
          <w:rFonts w:ascii="Times New Roman" w:hAnsi="Times New Roman" w:cs="Times New Roman"/>
          <w:sz w:val="24"/>
          <w:szCs w:val="24"/>
        </w:rPr>
        <w:t>, I(0). Estes resultados mostram a necessidade de utilizar a primeira diferença na estimação do modelo CAPM.</w:t>
      </w:r>
    </w:p>
    <w:p w:rsidR="00BC16BC" w:rsidRDefault="00BC16BC"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007E05EA" w:rsidRPr="00944E88">
        <w:rPr>
          <w:rFonts w:ascii="Times New Roman" w:hAnsi="Times New Roman" w:cs="Times New Roman"/>
          <w:color w:val="000000" w:themeColor="text1"/>
          <w:sz w:val="24"/>
          <w:szCs w:val="24"/>
        </w:rPr>
        <w:t xml:space="preserve">Já a análise das taxas que fazem parte da estimação do CCPAM modificado pelo </w:t>
      </w:r>
      <w:r w:rsidRPr="00944E88">
        <w:rPr>
          <w:rFonts w:ascii="Times New Roman" w:hAnsi="Times New Roman" w:cs="Times New Roman"/>
          <w:color w:val="000000" w:themeColor="text1"/>
          <w:sz w:val="24"/>
          <w:szCs w:val="24"/>
        </w:rPr>
        <w:t>Método do</w:t>
      </w:r>
      <w:r w:rsidR="007E05EA" w:rsidRPr="00944E88">
        <w:rPr>
          <w:rFonts w:ascii="Times New Roman" w:hAnsi="Times New Roman" w:cs="Times New Roman"/>
          <w:color w:val="000000" w:themeColor="text1"/>
          <w:sz w:val="24"/>
          <w:szCs w:val="24"/>
        </w:rPr>
        <w:t xml:space="preserve">s Momentos Generalizados (GMM) mostra que </w:t>
      </w:r>
      <w:r w:rsidRPr="00944E88">
        <w:rPr>
          <w:rFonts w:ascii="Times New Roman" w:hAnsi="Times New Roman" w:cs="Times New Roman"/>
          <w:color w:val="000000" w:themeColor="text1"/>
          <w:sz w:val="24"/>
          <w:szCs w:val="24"/>
        </w:rPr>
        <w:t>todas as relações envolvidas no modelo de São Paulo são estacionárias ao nível de signific</w:t>
      </w:r>
      <w:r w:rsidR="003A7D65" w:rsidRPr="00944E88">
        <w:rPr>
          <w:rFonts w:ascii="Times New Roman" w:hAnsi="Times New Roman" w:cs="Times New Roman"/>
          <w:color w:val="000000" w:themeColor="text1"/>
          <w:sz w:val="24"/>
          <w:szCs w:val="24"/>
        </w:rPr>
        <w:t>ância de 5% em determinados modelos em algum dos testes ADF e PP</w:t>
      </w:r>
      <w:r w:rsidRPr="00944E88">
        <w:rPr>
          <w:rFonts w:ascii="Times New Roman" w:hAnsi="Times New Roman" w:cs="Times New Roman"/>
          <w:color w:val="000000" w:themeColor="text1"/>
          <w:sz w:val="24"/>
          <w:szCs w:val="24"/>
        </w:rPr>
        <w:t xml:space="preserve">. Apesar de </w:t>
      </w:r>
      <w:proofErr w:type="gramStart"/>
      <w:r w:rsidR="003A7D65" w:rsidRPr="00944E88">
        <w:rPr>
          <w:rFonts w:ascii="Times New Roman" w:hAnsi="Times New Roman" w:cs="Times New Roman"/>
          <w:color w:val="000000" w:themeColor="text1"/>
          <w:sz w:val="24"/>
          <w:szCs w:val="24"/>
        </w:rPr>
        <w:t>a</w:t>
      </w:r>
      <w:r w:rsidRPr="00944E88">
        <w:rPr>
          <w:rFonts w:ascii="Times New Roman" w:hAnsi="Times New Roman" w:cs="Times New Roman"/>
          <w:color w:val="000000" w:themeColor="text1"/>
          <w:sz w:val="24"/>
          <w:szCs w:val="24"/>
        </w:rPr>
        <w:t xml:space="preserve"> séries</w:t>
      </w:r>
      <w:proofErr w:type="gramEnd"/>
      <w:r w:rsidRPr="00944E88">
        <w:rPr>
          <w:rFonts w:ascii="Times New Roman" w:hAnsi="Times New Roman" w:cs="Times New Roman"/>
          <w:color w:val="000000" w:themeColor="text1"/>
          <w:sz w:val="24"/>
          <w:szCs w:val="24"/>
        </w:rPr>
        <w:t xml:space="preserve"> de taxa de crescimento do preço dos imóveis </w:t>
      </w:r>
      <w:r w:rsidR="003A7D65" w:rsidRPr="00944E88">
        <w:rPr>
          <w:rFonts w:ascii="Times New Roman" w:hAnsi="Times New Roman" w:cs="Times New Roman"/>
          <w:color w:val="000000" w:themeColor="text1"/>
          <w:sz w:val="24"/>
          <w:szCs w:val="24"/>
        </w:rPr>
        <w:t>do Rio de Janeiro não passar nos testes de estacionariedade ADF e PP, se mudar para o nível de significância de 1%, a série é estacionária para o teste KPSS no modelo com constante e tendência.</w:t>
      </w:r>
      <w:r w:rsidR="007E05EA" w:rsidRPr="00944E88">
        <w:rPr>
          <w:rFonts w:ascii="Times New Roman" w:hAnsi="Times New Roman" w:cs="Times New Roman"/>
          <w:color w:val="000000" w:themeColor="text1"/>
          <w:sz w:val="24"/>
          <w:szCs w:val="24"/>
        </w:rPr>
        <w:t xml:space="preserve"> </w:t>
      </w:r>
      <w:r w:rsidRPr="00944E88">
        <w:rPr>
          <w:rFonts w:ascii="Times New Roman" w:hAnsi="Times New Roman" w:cs="Times New Roman"/>
          <w:color w:val="000000" w:themeColor="text1"/>
          <w:sz w:val="24"/>
          <w:szCs w:val="24"/>
        </w:rPr>
        <w:t xml:space="preserve">Tendo como base que a literatura utiliza como variáveis instrumentais as próprias variáveis envolvidas </w:t>
      </w:r>
      <w:r w:rsidRPr="00944E88">
        <w:rPr>
          <w:rFonts w:ascii="Times New Roman" w:hAnsi="Times New Roman" w:cs="Times New Roman"/>
          <w:sz w:val="24"/>
          <w:szCs w:val="24"/>
        </w:rPr>
        <w:t xml:space="preserve">na equação considerando seus valores em um e dois períodos anteriores, foram realizadas várias estimações combinando variáveis explicativas defasadas, porém, observou-se que apesar de muitas vezes os coeficientes estimados para as variáveis </w:t>
      </w:r>
      <m:oMath>
        <m:r>
          <w:rPr>
            <w:rFonts w:ascii="Cambria Math" w:hAnsi="Cambria Math" w:cs="Times New Roman"/>
            <w:sz w:val="24"/>
            <w:szCs w:val="24"/>
          </w:rPr>
          <m:t>β</m:t>
        </m:r>
      </m:oMath>
      <w:r w:rsidRPr="00944E88">
        <w:rPr>
          <w:rFonts w:ascii="Times New Roman" w:hAnsi="Times New Roman" w:cs="Times New Roman"/>
          <w:sz w:val="24"/>
          <w:szCs w:val="24"/>
        </w:rPr>
        <w:t xml:space="preserve"> e </w:t>
      </w:r>
      <m:oMath>
        <m:r>
          <w:rPr>
            <w:rFonts w:ascii="Cambria Math" w:hAnsi="Cambria Math" w:cs="Times New Roman"/>
            <w:sz w:val="24"/>
            <w:szCs w:val="24"/>
          </w:rPr>
          <m:t>θ</m:t>
        </m:r>
      </m:oMath>
      <w:r w:rsidRPr="00944E88">
        <w:rPr>
          <w:rFonts w:ascii="Times New Roman" w:hAnsi="Times New Roman" w:cs="Times New Roman"/>
          <w:sz w:val="24"/>
          <w:szCs w:val="24"/>
        </w:rPr>
        <w:t xml:space="preserve"> serem significantes, o teste de </w:t>
      </w:r>
      <w:proofErr w:type="spellStart"/>
      <w:proofErr w:type="gramStart"/>
      <w:r w:rsidRPr="00944E88">
        <w:rPr>
          <w:rFonts w:ascii="Times New Roman" w:hAnsi="Times New Roman" w:cs="Times New Roman"/>
          <w:sz w:val="24"/>
          <w:szCs w:val="24"/>
        </w:rPr>
        <w:t>sobre-identificação</w:t>
      </w:r>
      <w:proofErr w:type="spellEnd"/>
      <w:proofErr w:type="gramEnd"/>
      <w:r w:rsidRPr="00944E88">
        <w:rPr>
          <w:rFonts w:ascii="Times New Roman" w:hAnsi="Times New Roman" w:cs="Times New Roman"/>
          <w:sz w:val="24"/>
          <w:szCs w:val="24"/>
        </w:rPr>
        <w:t xml:space="preserve"> (J-Teste) mostrava que o modelo não era válido. </w:t>
      </w: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Default="0073171A" w:rsidP="00944E88">
      <w:pPr>
        <w:spacing w:after="0" w:line="240" w:lineRule="auto"/>
        <w:jc w:val="both"/>
        <w:rPr>
          <w:rFonts w:ascii="Times New Roman" w:hAnsi="Times New Roman" w:cs="Times New Roman"/>
          <w:sz w:val="24"/>
          <w:szCs w:val="24"/>
        </w:rPr>
      </w:pPr>
    </w:p>
    <w:p w:rsidR="0073171A" w:rsidRPr="00944E88" w:rsidRDefault="0073171A" w:rsidP="0073171A">
      <w:pPr>
        <w:pStyle w:val="PargrafodaLista"/>
        <w:spacing w:after="0" w:line="240" w:lineRule="auto"/>
        <w:ind w:left="0"/>
        <w:jc w:val="both"/>
        <w:rPr>
          <w:rFonts w:ascii="Times New Roman" w:hAnsi="Times New Roman" w:cs="Times New Roman"/>
          <w:sz w:val="24"/>
          <w:szCs w:val="24"/>
        </w:rPr>
      </w:pPr>
      <w:r w:rsidRPr="00944E88">
        <w:rPr>
          <w:rFonts w:ascii="Times New Roman" w:hAnsi="Times New Roman" w:cs="Times New Roman"/>
          <w:sz w:val="24"/>
          <w:szCs w:val="24"/>
        </w:rPr>
        <w:lastRenderedPageBreak/>
        <w:t xml:space="preserve">Tabela 1 - Testes de </w:t>
      </w:r>
      <w:proofErr w:type="spellStart"/>
      <w:r w:rsidRPr="00944E88">
        <w:rPr>
          <w:rFonts w:ascii="Times New Roman" w:hAnsi="Times New Roman" w:cs="Times New Roman"/>
          <w:sz w:val="24"/>
          <w:szCs w:val="24"/>
        </w:rPr>
        <w:t>estacionariedade</w:t>
      </w:r>
      <w:proofErr w:type="spellEnd"/>
      <w:r w:rsidRPr="00944E88">
        <w:rPr>
          <w:rFonts w:ascii="Times New Roman" w:hAnsi="Times New Roman" w:cs="Times New Roman"/>
          <w:sz w:val="24"/>
          <w:szCs w:val="24"/>
        </w:rPr>
        <w:t xml:space="preserve"> das séries envolvidas nos modelos CAPM e CCAPM modificado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411"/>
        <w:gridCol w:w="992"/>
        <w:gridCol w:w="994"/>
        <w:gridCol w:w="851"/>
        <w:gridCol w:w="992"/>
        <w:gridCol w:w="958"/>
        <w:gridCol w:w="847"/>
      </w:tblGrid>
      <w:tr w:rsidR="0073171A" w:rsidRPr="00944E88" w:rsidTr="005E5429">
        <w:tc>
          <w:tcPr>
            <w:tcW w:w="669" w:type="pct"/>
            <w:vMerge w:val="restart"/>
            <w:tcBorders>
              <w:top w:val="single" w:sz="4" w:space="0" w:color="auto"/>
            </w:tcBorders>
            <w:vAlign w:val="center"/>
          </w:tcPr>
          <w:p w:rsidR="0073171A" w:rsidRPr="0073171A" w:rsidRDefault="0073171A" w:rsidP="005E5429">
            <w:pPr>
              <w:jc w:val="center"/>
              <w:rPr>
                <w:rFonts w:ascii="Times New Roman" w:hAnsi="Times New Roman" w:cs="Times New Roman"/>
                <w:b/>
                <w:sz w:val="24"/>
                <w:szCs w:val="24"/>
              </w:rPr>
            </w:pPr>
            <w:proofErr w:type="spellStart"/>
            <w:r w:rsidRPr="0073171A">
              <w:rPr>
                <w:rFonts w:ascii="Times New Roman" w:hAnsi="Times New Roman" w:cs="Times New Roman"/>
                <w:b/>
                <w:sz w:val="24"/>
                <w:szCs w:val="24"/>
              </w:rPr>
              <w:t>Série</w:t>
            </w:r>
            <w:proofErr w:type="spellEnd"/>
          </w:p>
        </w:tc>
        <w:tc>
          <w:tcPr>
            <w:tcW w:w="1298" w:type="pct"/>
            <w:vMerge w:val="restart"/>
            <w:tcBorders>
              <w:top w:val="single" w:sz="4" w:space="0" w:color="auto"/>
            </w:tcBorders>
            <w:vAlign w:val="center"/>
          </w:tcPr>
          <w:p w:rsidR="0073171A" w:rsidRPr="0073171A" w:rsidRDefault="0073171A" w:rsidP="005E5429">
            <w:pPr>
              <w:jc w:val="center"/>
              <w:rPr>
                <w:rFonts w:ascii="Times New Roman" w:hAnsi="Times New Roman" w:cs="Times New Roman"/>
                <w:b/>
                <w:sz w:val="24"/>
                <w:szCs w:val="24"/>
              </w:rPr>
            </w:pPr>
            <w:proofErr w:type="spellStart"/>
            <w:r w:rsidRPr="0073171A">
              <w:rPr>
                <w:rFonts w:ascii="Times New Roman" w:hAnsi="Times New Roman" w:cs="Times New Roman"/>
                <w:b/>
                <w:sz w:val="24"/>
                <w:szCs w:val="24"/>
              </w:rPr>
              <w:t>Modelos</w:t>
            </w:r>
            <w:proofErr w:type="spellEnd"/>
          </w:p>
        </w:tc>
        <w:tc>
          <w:tcPr>
            <w:tcW w:w="1069" w:type="pct"/>
            <w:gridSpan w:val="2"/>
            <w:tcBorders>
              <w:top w:val="single" w:sz="4" w:space="0" w:color="auto"/>
            </w:tcBorders>
            <w:vAlign w:val="center"/>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Teste ADF*</w:t>
            </w:r>
          </w:p>
        </w:tc>
        <w:tc>
          <w:tcPr>
            <w:tcW w:w="992" w:type="pct"/>
            <w:gridSpan w:val="2"/>
            <w:tcBorders>
              <w:top w:val="single" w:sz="4" w:space="0" w:color="auto"/>
            </w:tcBorders>
            <w:vAlign w:val="center"/>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Teste PP*</w:t>
            </w:r>
          </w:p>
        </w:tc>
        <w:tc>
          <w:tcPr>
            <w:tcW w:w="972" w:type="pct"/>
            <w:gridSpan w:val="2"/>
            <w:tcBorders>
              <w:top w:val="single" w:sz="4" w:space="0" w:color="auto"/>
            </w:tcBorders>
            <w:vAlign w:val="center"/>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KPSS**</w:t>
            </w:r>
          </w:p>
        </w:tc>
      </w:tr>
      <w:tr w:rsidR="0073171A" w:rsidRPr="00944E88" w:rsidTr="005E5429">
        <w:tc>
          <w:tcPr>
            <w:tcW w:w="669" w:type="pct"/>
            <w:vMerge/>
            <w:tcBorders>
              <w:bottom w:val="single" w:sz="4" w:space="0" w:color="auto"/>
            </w:tcBorders>
          </w:tcPr>
          <w:p w:rsidR="0073171A" w:rsidRPr="0073171A" w:rsidRDefault="0073171A" w:rsidP="005E5429">
            <w:pPr>
              <w:jc w:val="center"/>
              <w:rPr>
                <w:rFonts w:ascii="Times New Roman" w:hAnsi="Times New Roman" w:cs="Times New Roman"/>
                <w:b/>
                <w:sz w:val="24"/>
                <w:szCs w:val="24"/>
              </w:rPr>
            </w:pPr>
          </w:p>
        </w:tc>
        <w:tc>
          <w:tcPr>
            <w:tcW w:w="1298" w:type="pct"/>
            <w:vMerge/>
            <w:tcBorders>
              <w:bottom w:val="single" w:sz="4" w:space="0" w:color="auto"/>
            </w:tcBorders>
          </w:tcPr>
          <w:p w:rsidR="0073171A" w:rsidRPr="0073171A" w:rsidRDefault="0073171A" w:rsidP="005E5429">
            <w:pPr>
              <w:jc w:val="center"/>
              <w:rPr>
                <w:rFonts w:ascii="Times New Roman" w:hAnsi="Times New Roman" w:cs="Times New Roman"/>
                <w:b/>
                <w:sz w:val="24"/>
                <w:szCs w:val="24"/>
              </w:rPr>
            </w:pPr>
          </w:p>
        </w:tc>
        <w:tc>
          <w:tcPr>
            <w:tcW w:w="534" w:type="pct"/>
            <w:tcBorders>
              <w:bottom w:val="single" w:sz="4" w:space="0" w:color="auto"/>
            </w:tcBorders>
          </w:tcPr>
          <w:p w:rsidR="0073171A" w:rsidRPr="0073171A" w:rsidRDefault="0073171A" w:rsidP="005E5429">
            <w:pPr>
              <w:rPr>
                <w:rFonts w:ascii="Times New Roman" w:hAnsi="Times New Roman" w:cs="Times New Roman"/>
                <w:b/>
                <w:sz w:val="24"/>
                <w:szCs w:val="24"/>
              </w:rPr>
            </w:pPr>
            <w:r w:rsidRPr="0073171A">
              <w:rPr>
                <w:rFonts w:ascii="Times New Roman" w:hAnsi="Times New Roman" w:cs="Times New Roman"/>
                <w:b/>
                <w:sz w:val="24"/>
                <w:szCs w:val="24"/>
              </w:rPr>
              <w:t>SP</w:t>
            </w:r>
          </w:p>
        </w:tc>
        <w:tc>
          <w:tcPr>
            <w:tcW w:w="535" w:type="pct"/>
            <w:tcBorders>
              <w:bottom w:val="single" w:sz="4" w:space="0" w:color="auto"/>
            </w:tcBorders>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RJ</w:t>
            </w:r>
          </w:p>
        </w:tc>
        <w:tc>
          <w:tcPr>
            <w:tcW w:w="458" w:type="pct"/>
            <w:tcBorders>
              <w:bottom w:val="single" w:sz="4" w:space="0" w:color="auto"/>
            </w:tcBorders>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SP</w:t>
            </w:r>
          </w:p>
        </w:tc>
        <w:tc>
          <w:tcPr>
            <w:tcW w:w="534" w:type="pct"/>
            <w:tcBorders>
              <w:bottom w:val="single" w:sz="4" w:space="0" w:color="auto"/>
            </w:tcBorders>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RJ</w:t>
            </w:r>
          </w:p>
        </w:tc>
        <w:tc>
          <w:tcPr>
            <w:tcW w:w="516" w:type="pct"/>
            <w:tcBorders>
              <w:bottom w:val="single" w:sz="4" w:space="0" w:color="auto"/>
            </w:tcBorders>
          </w:tcPr>
          <w:p w:rsidR="0073171A" w:rsidRPr="0073171A" w:rsidRDefault="0073171A" w:rsidP="005E5429">
            <w:pPr>
              <w:rPr>
                <w:rFonts w:ascii="Times New Roman" w:hAnsi="Times New Roman" w:cs="Times New Roman"/>
                <w:b/>
                <w:sz w:val="24"/>
                <w:szCs w:val="24"/>
              </w:rPr>
            </w:pPr>
            <w:r w:rsidRPr="0073171A">
              <w:rPr>
                <w:rFonts w:ascii="Times New Roman" w:hAnsi="Times New Roman" w:cs="Times New Roman"/>
                <w:b/>
                <w:sz w:val="24"/>
                <w:szCs w:val="24"/>
              </w:rPr>
              <w:t>SP</w:t>
            </w:r>
          </w:p>
        </w:tc>
        <w:tc>
          <w:tcPr>
            <w:tcW w:w="456" w:type="pct"/>
            <w:tcBorders>
              <w:bottom w:val="single" w:sz="4" w:space="0" w:color="auto"/>
            </w:tcBorders>
          </w:tcPr>
          <w:p w:rsidR="0073171A" w:rsidRPr="0073171A" w:rsidRDefault="0073171A" w:rsidP="005E5429">
            <w:pPr>
              <w:jc w:val="center"/>
              <w:rPr>
                <w:rFonts w:ascii="Times New Roman" w:hAnsi="Times New Roman" w:cs="Times New Roman"/>
                <w:b/>
                <w:sz w:val="24"/>
                <w:szCs w:val="24"/>
              </w:rPr>
            </w:pPr>
            <w:r w:rsidRPr="0073171A">
              <w:rPr>
                <w:rFonts w:ascii="Times New Roman" w:hAnsi="Times New Roman" w:cs="Times New Roman"/>
                <w:b/>
                <w:sz w:val="24"/>
                <w:szCs w:val="24"/>
              </w:rPr>
              <w:t>RJ</w:t>
            </w:r>
          </w:p>
        </w:tc>
      </w:tr>
      <w:tr w:rsidR="0073171A" w:rsidRPr="00944E88" w:rsidTr="005E5429">
        <w:tc>
          <w:tcPr>
            <w:tcW w:w="669" w:type="pct"/>
            <w:vMerge w:val="restart"/>
            <w:tcBorders>
              <w:top w:val="single" w:sz="4" w:space="0" w:color="auto"/>
            </w:tcBorders>
            <w:vAlign w:val="center"/>
          </w:tcPr>
          <w:p w:rsidR="0073171A" w:rsidRPr="0073171A" w:rsidRDefault="0073171A" w:rsidP="005E5429">
            <w:pPr>
              <w:jc w:val="center"/>
              <w:rPr>
                <w:rFonts w:ascii="Times New Roman" w:hAnsi="Times New Roman" w:cs="Times New Roman"/>
                <w:b/>
                <w:color w:val="000000" w:themeColor="text1"/>
                <w:sz w:val="24"/>
                <w:szCs w:val="24"/>
                <w:vertAlign w:val="subscript"/>
              </w:rPr>
            </w:pPr>
            <m:oMathPara>
              <m:oMath>
                <m:sSup>
                  <m:sSupPr>
                    <m:ctrlPr>
                      <w:rPr>
                        <w:rFonts w:ascii="Cambria Math" w:hAnsi="Cambria Math" w:cs="Times New Roman"/>
                        <w:b/>
                        <w:i/>
                        <w:color w:val="000000" w:themeColor="text1"/>
                        <w:sz w:val="24"/>
                        <w:szCs w:val="24"/>
                        <w:vertAlign w:val="subscript"/>
                      </w:rPr>
                    </m:ctrlPr>
                  </m:sSupPr>
                  <m:e>
                    <m:r>
                      <m:rPr>
                        <m:sty m:val="bi"/>
                      </m:rPr>
                      <w:rPr>
                        <w:rFonts w:ascii="Cambria Math" w:hAnsi="Cambria Math" w:cs="Times New Roman"/>
                        <w:color w:val="000000" w:themeColor="text1"/>
                        <w:sz w:val="24"/>
                        <w:szCs w:val="24"/>
                        <w:vertAlign w:val="subscript"/>
                      </w:rPr>
                      <m:t>R</m:t>
                    </m:r>
                  </m:e>
                  <m:sup>
                    <m:r>
                      <m:rPr>
                        <m:sty m:val="bi"/>
                      </m:rPr>
                      <w:rPr>
                        <w:rFonts w:ascii="Cambria Math" w:hAnsi="Cambria Math" w:cs="Times New Roman"/>
                        <w:color w:val="000000" w:themeColor="text1"/>
                        <w:sz w:val="24"/>
                        <w:szCs w:val="24"/>
                        <w:vertAlign w:val="subscript"/>
                      </w:rPr>
                      <m:t>Inv imob</m:t>
                    </m:r>
                  </m:sup>
                </m:sSup>
              </m:oMath>
            </m:oMathPara>
          </w:p>
        </w:tc>
        <w:tc>
          <w:tcPr>
            <w:tcW w:w="1298" w:type="pct"/>
            <w:tcBorders>
              <w:top w:val="single" w:sz="4" w:space="0" w:color="auto"/>
            </w:tcBorders>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-3,93</w:t>
            </w:r>
          </w:p>
        </w:tc>
        <w:tc>
          <w:tcPr>
            <w:tcW w:w="535"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-2,85</w:t>
            </w:r>
          </w:p>
        </w:tc>
        <w:tc>
          <w:tcPr>
            <w:tcW w:w="458"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-4,00</w:t>
            </w:r>
          </w:p>
        </w:tc>
        <w:tc>
          <w:tcPr>
            <w:tcW w:w="534"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-2,87</w:t>
            </w:r>
          </w:p>
        </w:tc>
        <w:tc>
          <w:tcPr>
            <w:tcW w:w="516"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0,18</w:t>
            </w:r>
          </w:p>
        </w:tc>
        <w:tc>
          <w:tcPr>
            <w:tcW w:w="456" w:type="pct"/>
            <w:tcBorders>
              <w:top w:val="single" w:sz="4" w:space="0" w:color="auto"/>
            </w:tcBorders>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0,20</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b/>
                <w:color w:val="000000" w:themeColor="text1"/>
                <w:sz w:val="24"/>
                <w:szCs w:val="24"/>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-1,79</w:t>
            </w:r>
          </w:p>
        </w:tc>
        <w:tc>
          <w:tcPr>
            <w:tcW w:w="535"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-1,29</w:t>
            </w:r>
          </w:p>
        </w:tc>
        <w:tc>
          <w:tcPr>
            <w:tcW w:w="458"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-1,79</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-1,30</w:t>
            </w:r>
          </w:p>
        </w:tc>
        <w:tc>
          <w:tcPr>
            <w:tcW w:w="51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1,01</w:t>
            </w:r>
          </w:p>
        </w:tc>
        <w:tc>
          <w:tcPr>
            <w:tcW w:w="45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0,80</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b/>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-1,23</w:t>
            </w:r>
          </w:p>
        </w:tc>
        <w:tc>
          <w:tcPr>
            <w:tcW w:w="535"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-1,08</w:t>
            </w:r>
          </w:p>
        </w:tc>
        <w:tc>
          <w:tcPr>
            <w:tcW w:w="458"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-1,13</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-1,09</w:t>
            </w:r>
          </w:p>
        </w:tc>
        <w:tc>
          <w:tcPr>
            <w:tcW w:w="51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w:t>
            </w:r>
          </w:p>
        </w:tc>
        <w:tc>
          <w:tcPr>
            <w:tcW w:w="45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w:t>
            </w:r>
          </w:p>
        </w:tc>
      </w:tr>
      <w:tr w:rsidR="0073171A" w:rsidRPr="00944E88" w:rsidTr="005E5429">
        <w:tc>
          <w:tcPr>
            <w:tcW w:w="669" w:type="pct"/>
            <w:vMerge w:val="restart"/>
            <w:vAlign w:val="center"/>
          </w:tcPr>
          <w:p w:rsidR="0073171A" w:rsidRPr="0073171A" w:rsidRDefault="0073171A" w:rsidP="005E5429">
            <w:pPr>
              <w:jc w:val="center"/>
              <w:rPr>
                <w:b/>
                <w:color w:val="000000" w:themeColor="text1"/>
                <w:sz w:val="24"/>
                <w:szCs w:val="24"/>
                <w:lang w:val="pt-BR"/>
              </w:rPr>
            </w:pPr>
            <m:oMathPara>
              <m:oMath>
                <m:sSup>
                  <m:sSupPr>
                    <m:ctrlPr>
                      <w:rPr>
                        <w:rFonts w:ascii="Cambria Math" w:hAnsi="Cambria Math" w:cs="Times New Roman"/>
                        <w:b/>
                        <w:i/>
                        <w:color w:val="000000" w:themeColor="text1"/>
                        <w:sz w:val="24"/>
                        <w:szCs w:val="24"/>
                        <w:lang w:val="pt-BR"/>
                      </w:rPr>
                    </m:ctrlPr>
                  </m:sSupPr>
                  <m:e>
                    <m:r>
                      <m:rPr>
                        <m:sty m:val="bi"/>
                      </m:rPr>
                      <w:rPr>
                        <w:rFonts w:ascii="Cambria Math" w:hAnsi="Cambria Math" w:cs="Times New Roman"/>
                        <w:color w:val="000000" w:themeColor="text1"/>
                        <w:sz w:val="24"/>
                        <w:szCs w:val="24"/>
                        <w:lang w:val="pt-BR"/>
                      </w:rPr>
                      <m:t>R</m:t>
                    </m:r>
                  </m:e>
                  <m:sup>
                    <m:r>
                      <m:rPr>
                        <m:sty m:val="bi"/>
                      </m:rPr>
                      <w:rPr>
                        <w:rFonts w:ascii="Cambria Math" w:hAnsi="Cambria Math" w:cs="Times New Roman"/>
                        <w:color w:val="000000" w:themeColor="text1"/>
                        <w:sz w:val="24"/>
                        <w:szCs w:val="24"/>
                        <w:lang w:val="pt-BR"/>
                      </w:rPr>
                      <m:t>Ibov</m:t>
                    </m:r>
                  </m:sup>
                </m:sSup>
              </m:oMath>
            </m:oMathPara>
          </w:p>
          <w:p w:rsidR="0073171A" w:rsidRPr="0073171A" w:rsidRDefault="0073171A" w:rsidP="005E5429">
            <w:pPr>
              <w:jc w:val="center"/>
              <w:rPr>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-4,45</w:t>
            </w:r>
          </w:p>
        </w:tc>
        <w:tc>
          <w:tcPr>
            <w:tcW w:w="535"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-4,45</w:t>
            </w:r>
          </w:p>
        </w:tc>
        <w:tc>
          <w:tcPr>
            <w:tcW w:w="458"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-4,45</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-4,45</w:t>
            </w:r>
          </w:p>
        </w:tc>
        <w:tc>
          <w:tcPr>
            <w:tcW w:w="51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0,21</w:t>
            </w:r>
          </w:p>
        </w:tc>
        <w:tc>
          <w:tcPr>
            <w:tcW w:w="45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0,21</w:t>
            </w:r>
          </w:p>
        </w:tc>
      </w:tr>
      <w:tr w:rsidR="0073171A" w:rsidRPr="00944E88" w:rsidTr="005E5429">
        <w:tc>
          <w:tcPr>
            <w:tcW w:w="669" w:type="pct"/>
            <w:vMerge/>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-4,44</w:t>
            </w:r>
          </w:p>
        </w:tc>
        <w:tc>
          <w:tcPr>
            <w:tcW w:w="535"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-4,44</w:t>
            </w:r>
          </w:p>
        </w:tc>
        <w:tc>
          <w:tcPr>
            <w:tcW w:w="458"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-4,44</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-4,44</w:t>
            </w:r>
          </w:p>
        </w:tc>
        <w:tc>
          <w:tcPr>
            <w:tcW w:w="51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0,07</w:t>
            </w:r>
          </w:p>
        </w:tc>
        <w:tc>
          <w:tcPr>
            <w:tcW w:w="45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0,07</w:t>
            </w:r>
          </w:p>
        </w:tc>
      </w:tr>
      <w:tr w:rsidR="0073171A" w:rsidRPr="00944E88" w:rsidTr="005E5429">
        <w:tc>
          <w:tcPr>
            <w:tcW w:w="669" w:type="pct"/>
            <w:vMerge/>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-2,10</w:t>
            </w:r>
          </w:p>
        </w:tc>
        <w:tc>
          <w:tcPr>
            <w:tcW w:w="535"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-2,10</w:t>
            </w:r>
          </w:p>
        </w:tc>
        <w:tc>
          <w:tcPr>
            <w:tcW w:w="458"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-1,99</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-1,99</w:t>
            </w:r>
          </w:p>
        </w:tc>
        <w:tc>
          <w:tcPr>
            <w:tcW w:w="51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w:t>
            </w:r>
          </w:p>
        </w:tc>
        <w:tc>
          <w:tcPr>
            <w:tcW w:w="456"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w:t>
            </w:r>
          </w:p>
        </w:tc>
      </w:tr>
      <w:tr w:rsidR="0073171A" w:rsidRPr="00944E88" w:rsidTr="005E5429">
        <w:tc>
          <w:tcPr>
            <w:tcW w:w="669" w:type="pct"/>
            <w:vMerge w:val="restart"/>
            <w:vAlign w:val="center"/>
          </w:tcPr>
          <w:p w:rsidR="0073171A" w:rsidRPr="0073171A" w:rsidRDefault="0073171A" w:rsidP="005E5429">
            <w:pPr>
              <w:jc w:val="center"/>
              <w:rPr>
                <w:rFonts w:ascii="Cambria Math" w:hAnsi="Cambria Math" w:cs="Times New Roman"/>
                <w:color w:val="000000" w:themeColor="text1"/>
                <w:sz w:val="24"/>
                <w:szCs w:val="24"/>
                <w:lang w:val="pt-BR"/>
                <w:oMath/>
              </w:rPr>
            </w:pPr>
            <m:oMathPara>
              <m:oMath>
                <m:d>
                  <m:dPr>
                    <m:ctrlPr>
                      <w:rPr>
                        <w:rFonts w:ascii="Cambria Math" w:hAnsi="Times New Roman" w:cs="Times New Roman"/>
                        <w:b/>
                        <w:i/>
                        <w:color w:val="000000" w:themeColor="text1"/>
                        <w:sz w:val="24"/>
                        <w:szCs w:val="24"/>
                      </w:rPr>
                    </m:ctrlPr>
                  </m:dPr>
                  <m:e>
                    <m:f>
                      <m:fPr>
                        <m:ctrlPr>
                          <w:rPr>
                            <w:rFonts w:ascii="Cambria Math" w:hAnsi="Times New Roman" w:cs="Times New Roman"/>
                            <w:b/>
                            <w:i/>
                            <w:color w:val="000000" w:themeColor="text1"/>
                            <w:sz w:val="24"/>
                            <w:szCs w:val="24"/>
                          </w:rPr>
                        </m:ctrlPr>
                      </m:fPr>
                      <m:num>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c</m:t>
                            </m:r>
                          </m:e>
                          <m:sub>
                            <m:r>
                              <m:rPr>
                                <m:sty m:val="bi"/>
                              </m:rPr>
                              <w:rPr>
                                <w:rFonts w:ascii="Cambria Math" w:hAnsi="Cambria Math" w:cs="Times New Roman"/>
                                <w:color w:val="000000" w:themeColor="text1"/>
                                <w:sz w:val="24"/>
                                <w:szCs w:val="24"/>
                              </w:rPr>
                              <m:t>t</m:t>
                            </m:r>
                            <m:r>
                              <m:rPr>
                                <m:sty m:val="bi"/>
                              </m:rPr>
                              <w:rPr>
                                <w:rFonts w:ascii="Cambria Math" w:hAnsi="Times New Roman" w:cs="Times New Roman"/>
                                <w:color w:val="000000" w:themeColor="text1"/>
                                <w:sz w:val="24"/>
                                <w:szCs w:val="24"/>
                                <w:lang w:val="pt-BR"/>
                              </w:rPr>
                              <m:t>+</m:t>
                            </m:r>
                            <m:r>
                              <m:rPr>
                                <m:sty m:val="bi"/>
                              </m:rPr>
                              <w:rPr>
                                <w:rFonts w:ascii="Cambria Math" w:hAnsi="Cambria Math" w:cs="Times New Roman"/>
                                <w:color w:val="000000" w:themeColor="text1"/>
                                <w:sz w:val="24"/>
                                <w:szCs w:val="24"/>
                              </w:rPr>
                              <m:t>1</m:t>
                            </m:r>
                          </m:sub>
                        </m:sSub>
                      </m:num>
                      <m:den>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c</m:t>
                            </m:r>
                          </m:e>
                          <m:sub>
                            <m:r>
                              <m:rPr>
                                <m:sty m:val="bi"/>
                              </m:rPr>
                              <w:rPr>
                                <w:rFonts w:ascii="Cambria Math" w:hAnsi="Cambria Math" w:cs="Times New Roman"/>
                                <w:color w:val="000000" w:themeColor="text1"/>
                                <w:sz w:val="24"/>
                                <w:szCs w:val="24"/>
                              </w:rPr>
                              <m:t>t</m:t>
                            </m:r>
                          </m:sub>
                        </m:sSub>
                      </m:den>
                    </m:f>
                  </m:e>
                </m:d>
              </m:oMath>
            </m:oMathPara>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Constante e tendência</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-15,38</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-15,36</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-25,00</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-25,68</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0,22</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0,30</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-6,34</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-6,40</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-22,91</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-22,39</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0,50</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0,50</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sz w:val="24"/>
                <w:szCs w:val="24"/>
              </w:rPr>
            </w:pPr>
            <w:r w:rsidRPr="0073171A">
              <w:rPr>
                <w:rFonts w:ascii="Times New Roman" w:hAnsi="Times New Roman" w:cs="Times New Roman"/>
                <w:sz w:val="24"/>
                <w:szCs w:val="24"/>
              </w:rPr>
              <w:t>0,13</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0,11</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0,02</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0,19</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r>
      <w:tr w:rsidR="0073171A" w:rsidRPr="00944E88" w:rsidTr="005E5429">
        <w:tc>
          <w:tcPr>
            <w:tcW w:w="669" w:type="pct"/>
            <w:vMerge w:val="restart"/>
            <w:vAlign w:val="center"/>
          </w:tcPr>
          <w:p w:rsidR="0073171A" w:rsidRPr="0073171A" w:rsidRDefault="0073171A" w:rsidP="005E5429">
            <w:pPr>
              <w:jc w:val="center"/>
              <w:rPr>
                <w:rFonts w:ascii="Times New Roman" w:hAnsi="Times New Roman" w:cs="Times New Roman"/>
                <w:color w:val="000000" w:themeColor="text1"/>
                <w:sz w:val="24"/>
                <w:szCs w:val="24"/>
                <w:vertAlign w:val="subscript"/>
              </w:rPr>
            </w:pPr>
            <m:oMathPara>
              <m:oMath>
                <m:d>
                  <m:dPr>
                    <m:ctrlPr>
                      <w:rPr>
                        <w:rFonts w:ascii="Cambria Math" w:hAnsi="Times New Roman" w:cs="Times New Roman"/>
                        <w:b/>
                        <w:i/>
                        <w:color w:val="000000" w:themeColor="text1"/>
                        <w:sz w:val="24"/>
                        <w:szCs w:val="24"/>
                      </w:rPr>
                    </m:ctrlPr>
                  </m:dPr>
                  <m:e>
                    <m:f>
                      <m:fPr>
                        <m:ctrlPr>
                          <w:rPr>
                            <w:rFonts w:ascii="Cambria Math" w:hAnsi="Times New Roman" w:cs="Times New Roman"/>
                            <w:b/>
                            <w:i/>
                            <w:color w:val="000000" w:themeColor="text1"/>
                            <w:sz w:val="24"/>
                            <w:szCs w:val="24"/>
                          </w:rPr>
                        </m:ctrlPr>
                      </m:fPr>
                      <m:num>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t</m:t>
                            </m:r>
                            <m:r>
                              <m:rPr>
                                <m:sty m:val="bi"/>
                              </m:rPr>
                              <w:rPr>
                                <w:rFonts w:ascii="Cambria Math" w:hAnsi="Times New Roman" w:cs="Times New Roman"/>
                                <w:color w:val="000000" w:themeColor="text1"/>
                                <w:sz w:val="24"/>
                                <w:szCs w:val="24"/>
                                <w:lang w:val="pt-BR"/>
                              </w:rPr>
                              <m:t>+</m:t>
                            </m:r>
                            <m:r>
                              <m:rPr>
                                <m:sty m:val="bi"/>
                              </m:rPr>
                              <w:rPr>
                                <w:rFonts w:ascii="Cambria Math" w:hAnsi="Cambria Math" w:cs="Times New Roman"/>
                                <w:color w:val="000000" w:themeColor="text1"/>
                                <w:sz w:val="24"/>
                                <w:szCs w:val="24"/>
                              </w:rPr>
                              <m:t>1</m:t>
                            </m:r>
                          </m:sub>
                        </m:sSub>
                      </m:num>
                      <m:den>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t</m:t>
                            </m:r>
                          </m:sub>
                        </m:sSub>
                      </m:den>
                    </m:f>
                  </m:e>
                </m:d>
              </m:oMath>
            </m:oMathPara>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-9,29</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-6,84</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-9,40</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-7,26</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0,07</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0,25</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-3,04</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-6,87</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-7,93</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-7,29</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0,96</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0,25</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-0,74</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0,14</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-0,77</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0,40</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r>
      <w:tr w:rsidR="0073171A" w:rsidRPr="00944E88" w:rsidTr="005E5429">
        <w:tc>
          <w:tcPr>
            <w:tcW w:w="669" w:type="pct"/>
            <w:vMerge w:val="restart"/>
            <w:vAlign w:val="center"/>
          </w:tcPr>
          <w:p w:rsidR="0073171A" w:rsidRPr="0073171A" w:rsidRDefault="0073171A" w:rsidP="005E5429">
            <w:pPr>
              <w:jc w:val="center"/>
              <w:rPr>
                <w:rFonts w:ascii="Times New Roman" w:hAnsi="Times New Roman" w:cs="Times New Roman"/>
                <w:color w:val="000000" w:themeColor="text1"/>
                <w:sz w:val="24"/>
                <w:szCs w:val="24"/>
                <w:lang w:val="pt-BR"/>
              </w:rPr>
            </w:pPr>
            <m:oMathPara>
              <m:oMath>
                <m:d>
                  <m:dPr>
                    <m:ctrlPr>
                      <w:rPr>
                        <w:rFonts w:ascii="Cambria Math" w:hAnsi="Cambria Math" w:cs="Times New Roman"/>
                        <w:i/>
                        <w:color w:val="000000" w:themeColor="text1"/>
                        <w:sz w:val="24"/>
                        <w:szCs w:val="24"/>
                        <w:lang w:val="pt-BR"/>
                      </w:rPr>
                    </m:ctrlPr>
                  </m:dPr>
                  <m:e>
                    <m:f>
                      <m:fPr>
                        <m:ctrlPr>
                          <w:rPr>
                            <w:rFonts w:ascii="Cambria Math" w:hAnsi="Cambria Math" w:cs="Times New Roman"/>
                            <w:b/>
                            <w:i/>
                            <w:color w:val="000000" w:themeColor="text1"/>
                            <w:sz w:val="24"/>
                            <w:szCs w:val="24"/>
                          </w:rPr>
                        </m:ctrlPr>
                      </m:fPr>
                      <m:num>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q</m:t>
                            </m:r>
                          </m:e>
                          <m:sub>
                            <m:r>
                              <m:rPr>
                                <m:sty m:val="bi"/>
                              </m:rPr>
                              <w:rPr>
                                <w:rFonts w:ascii="Cambria Math" w:hAnsi="Cambria Math" w:cs="Times New Roman"/>
                                <w:color w:val="000000" w:themeColor="text1"/>
                                <w:sz w:val="24"/>
                                <w:szCs w:val="24"/>
                              </w:rPr>
                              <m:t>t</m:t>
                            </m:r>
                            <m:r>
                              <m:rPr>
                                <m:sty m:val="bi"/>
                              </m:rPr>
                              <w:rPr>
                                <w:rFonts w:ascii="Cambria Math" w:hAnsi="Cambria Math" w:cs="Times New Roman"/>
                                <w:color w:val="000000" w:themeColor="text1"/>
                                <w:sz w:val="24"/>
                                <w:szCs w:val="24"/>
                                <w:lang w:val="pt-BR"/>
                              </w:rPr>
                              <m:t>+</m:t>
                            </m:r>
                            <m:r>
                              <m:rPr>
                                <m:sty m:val="bi"/>
                              </m:rPr>
                              <w:rPr>
                                <w:rFonts w:ascii="Cambria Math" w:hAnsi="Cambria Math" w:cs="Times New Roman"/>
                                <w:color w:val="000000" w:themeColor="text1"/>
                                <w:sz w:val="24"/>
                                <w:szCs w:val="24"/>
                              </w:rPr>
                              <m:t>1</m:t>
                            </m:r>
                          </m:sub>
                        </m:sSub>
                      </m:num>
                      <m:den>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q</m:t>
                            </m:r>
                          </m:e>
                          <m:sub>
                            <m:r>
                              <m:rPr>
                                <m:sty m:val="bi"/>
                              </m:rPr>
                              <w:rPr>
                                <w:rFonts w:ascii="Cambria Math" w:hAnsi="Cambria Math" w:cs="Times New Roman"/>
                                <w:color w:val="000000" w:themeColor="text1"/>
                                <w:sz w:val="24"/>
                                <w:szCs w:val="24"/>
                              </w:rPr>
                              <m:t>t</m:t>
                            </m:r>
                          </m:sub>
                        </m:sSub>
                      </m:den>
                    </m:f>
                    <m:ctrlPr>
                      <w:rPr>
                        <w:rFonts w:ascii="Cambria Math" w:hAnsi="Cambria Math" w:cs="Times New Roman"/>
                        <w:b/>
                        <w:i/>
                        <w:color w:val="000000" w:themeColor="text1"/>
                        <w:sz w:val="24"/>
                        <w:szCs w:val="24"/>
                      </w:rPr>
                    </m:ctrlPr>
                  </m:e>
                </m:d>
              </m:oMath>
            </m:oMathPara>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-3,99</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-2,79</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-4,03</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-2,81</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0,22</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0,21</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-1,85</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-1,44</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-1,85</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-1,46</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1,02</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0,70</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-0,22</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-0,08</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-0,27</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-0,08</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r>
      <w:tr w:rsidR="0073171A" w:rsidRPr="00944E88" w:rsidTr="005E5429">
        <w:tc>
          <w:tcPr>
            <w:tcW w:w="669" w:type="pct"/>
            <w:vMerge w:val="restart"/>
            <w:vAlign w:val="center"/>
          </w:tcPr>
          <w:p w:rsidR="0073171A" w:rsidRPr="0073171A" w:rsidRDefault="0073171A" w:rsidP="005E5429">
            <w:pPr>
              <w:jc w:val="center"/>
              <w:rPr>
                <w:rFonts w:ascii="Times New Roman" w:hAnsi="Times New Roman" w:cs="Times New Roman"/>
                <w:color w:val="000000" w:themeColor="text1"/>
                <w:sz w:val="24"/>
                <w:szCs w:val="24"/>
                <w:lang w:val="pt-BR"/>
              </w:rPr>
            </w:pPr>
            <m:oMathPara>
              <m:oMath>
                <m:d>
                  <m:dPr>
                    <m:ctrlPr>
                      <w:rPr>
                        <w:rFonts w:ascii="Cambria Math" w:hAnsi="Times New Roman" w:cs="Times New Roman"/>
                        <w:b/>
                        <w:i/>
                        <w:color w:val="000000" w:themeColor="text1"/>
                        <w:sz w:val="24"/>
                        <w:szCs w:val="24"/>
                      </w:rPr>
                    </m:ctrlPr>
                  </m:dPr>
                  <m:e>
                    <m:f>
                      <m:fPr>
                        <m:ctrlPr>
                          <w:rPr>
                            <w:rFonts w:ascii="Cambria Math" w:hAnsi="Times New Roman" w:cs="Times New Roman"/>
                            <w:b/>
                            <w:i/>
                            <w:color w:val="000000" w:themeColor="text1"/>
                            <w:sz w:val="24"/>
                            <w:szCs w:val="24"/>
                          </w:rPr>
                        </m:ctrlPr>
                      </m:fPr>
                      <m:num>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r</m:t>
                            </m:r>
                          </m:e>
                          <m:sub>
                            <m:r>
                              <m:rPr>
                                <m:sty m:val="bi"/>
                              </m:rPr>
                              <w:rPr>
                                <w:rFonts w:ascii="Cambria Math" w:hAnsi="Cambria Math" w:cs="Times New Roman"/>
                                <w:color w:val="000000" w:themeColor="text1"/>
                                <w:sz w:val="24"/>
                                <w:szCs w:val="24"/>
                              </w:rPr>
                              <m:t>t</m:t>
                            </m:r>
                            <m:r>
                              <m:rPr>
                                <m:sty m:val="bi"/>
                              </m:rPr>
                              <w:rPr>
                                <w:rFonts w:ascii="Cambria Math" w:hAnsi="Times New Roman" w:cs="Times New Roman"/>
                                <w:color w:val="000000" w:themeColor="text1"/>
                                <w:sz w:val="24"/>
                                <w:szCs w:val="24"/>
                                <w:lang w:val="pt-BR"/>
                              </w:rPr>
                              <m:t>+</m:t>
                            </m:r>
                            <m:r>
                              <m:rPr>
                                <m:sty m:val="bi"/>
                              </m:rPr>
                              <w:rPr>
                                <w:rFonts w:ascii="Cambria Math" w:hAnsi="Cambria Math" w:cs="Times New Roman"/>
                                <w:color w:val="000000" w:themeColor="text1"/>
                                <w:sz w:val="24"/>
                                <w:szCs w:val="24"/>
                              </w:rPr>
                              <m:t>1</m:t>
                            </m:r>
                          </m:sub>
                        </m:sSub>
                      </m:num>
                      <m:den>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q</m:t>
                            </m:r>
                          </m:e>
                          <m:sub>
                            <m:r>
                              <m:rPr>
                                <m:sty m:val="bi"/>
                              </m:rPr>
                              <w:rPr>
                                <w:rFonts w:ascii="Cambria Math" w:hAnsi="Cambria Math" w:cs="Times New Roman"/>
                                <w:color w:val="000000" w:themeColor="text1"/>
                                <w:sz w:val="24"/>
                                <w:szCs w:val="24"/>
                              </w:rPr>
                              <m:t>t</m:t>
                            </m:r>
                          </m:sub>
                        </m:sSub>
                      </m:den>
                    </m:f>
                  </m:e>
                </m:d>
              </m:oMath>
            </m:oMathPara>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-1,24</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-3,08</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-1,11</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-2,11</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0,30</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0,18</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-3,56</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-0,62</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-1,07</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-0,47</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1,13</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1,14</w:t>
            </w:r>
          </w:p>
        </w:tc>
      </w:tr>
      <w:tr w:rsidR="0073171A" w:rsidRPr="00944E88" w:rsidTr="005E5429">
        <w:tc>
          <w:tcPr>
            <w:tcW w:w="669" w:type="pct"/>
            <w:vMerge/>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-4,77</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-2,33</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-3,63</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-4,03</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r>
      <w:tr w:rsidR="0073171A" w:rsidRPr="00944E88" w:rsidTr="005E5429">
        <w:tc>
          <w:tcPr>
            <w:tcW w:w="669" w:type="pct"/>
            <w:vMerge w:val="restart"/>
            <w:tcBorders>
              <w:bottom w:val="single" w:sz="4" w:space="0" w:color="auto"/>
            </w:tcBorders>
            <w:vAlign w:val="center"/>
          </w:tcPr>
          <w:p w:rsidR="0073171A" w:rsidRPr="0073171A" w:rsidRDefault="0073171A" w:rsidP="005E5429">
            <w:pPr>
              <w:jc w:val="center"/>
              <w:rPr>
                <w:rFonts w:ascii="Times New Roman" w:hAnsi="Times New Roman" w:cs="Times New Roman"/>
                <w:color w:val="000000" w:themeColor="text1"/>
                <w:sz w:val="24"/>
                <w:szCs w:val="24"/>
                <w:lang w:val="pt-BR"/>
              </w:rPr>
            </w:pPr>
            <m:oMathPara>
              <m:oMath>
                <m:d>
                  <m:dPr>
                    <m:ctrlPr>
                      <w:rPr>
                        <w:rFonts w:ascii="Cambria Math" w:hAnsi="Cambria Math" w:cs="Times New Roman"/>
                        <w:i/>
                        <w:color w:val="000000" w:themeColor="text1"/>
                        <w:sz w:val="24"/>
                        <w:szCs w:val="24"/>
                        <w:lang w:val="pt-BR"/>
                      </w:rPr>
                    </m:ctrlPr>
                  </m:dPr>
                  <m:e>
                    <m:f>
                      <m:fPr>
                        <m:ctrlPr>
                          <w:rPr>
                            <w:rFonts w:ascii="Cambria Math" w:hAnsi="Times New Roman" w:cs="Times New Roman"/>
                            <w:b/>
                            <w:i/>
                            <w:color w:val="000000" w:themeColor="text1"/>
                            <w:sz w:val="24"/>
                            <w:szCs w:val="24"/>
                          </w:rPr>
                        </m:ctrlPr>
                      </m:fPr>
                      <m:num>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c</m:t>
                            </m:r>
                          </m:e>
                          <m:sub>
                            <m:r>
                              <m:rPr>
                                <m:sty m:val="bi"/>
                              </m:rPr>
                              <w:rPr>
                                <w:rFonts w:ascii="Cambria Math" w:hAnsi="Cambria Math" w:cs="Times New Roman"/>
                                <w:color w:val="000000" w:themeColor="text1"/>
                                <w:sz w:val="24"/>
                                <w:szCs w:val="24"/>
                              </w:rPr>
                              <m:t>t</m:t>
                            </m:r>
                          </m:sub>
                        </m:sSub>
                      </m:num>
                      <m:den>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t</m:t>
                            </m:r>
                          </m:sub>
                        </m:sSub>
                        <m:sSub>
                          <m:sSubPr>
                            <m:ctrlPr>
                              <w:rPr>
                                <w:rFonts w:ascii="Cambria Math" w:hAnsi="Times New Roman" w:cs="Times New Roman"/>
                                <w:b/>
                                <w:i/>
                                <w:color w:val="000000" w:themeColor="text1"/>
                                <w:sz w:val="24"/>
                                <w:szCs w:val="24"/>
                              </w:rPr>
                            </m:ctrlPr>
                          </m:sSubPr>
                          <m:e>
                            <m:r>
                              <m:rPr>
                                <m:sty m:val="bi"/>
                              </m:rPr>
                              <w:rPr>
                                <w:rFonts w:ascii="Cambria Math" w:hAnsi="Cambria Math" w:cs="Times New Roman"/>
                                <w:color w:val="000000" w:themeColor="text1"/>
                                <w:sz w:val="24"/>
                                <w:szCs w:val="24"/>
                              </w:rPr>
                              <m:t>q</m:t>
                            </m:r>
                          </m:e>
                          <m:sub>
                            <m:r>
                              <m:rPr>
                                <m:sty m:val="bi"/>
                              </m:rPr>
                              <w:rPr>
                                <w:rFonts w:ascii="Cambria Math" w:hAnsi="Cambria Math" w:cs="Times New Roman"/>
                                <w:color w:val="000000" w:themeColor="text1"/>
                                <w:sz w:val="24"/>
                                <w:szCs w:val="24"/>
                              </w:rPr>
                              <m:t>t</m:t>
                            </m:r>
                          </m:sub>
                        </m:sSub>
                      </m:den>
                    </m:f>
                    <m:ctrlPr>
                      <w:rPr>
                        <w:rFonts w:ascii="Cambria Math" w:hAnsi="Times New Roman" w:cs="Times New Roman"/>
                        <w:b/>
                        <w:i/>
                        <w:color w:val="000000" w:themeColor="text1"/>
                        <w:sz w:val="24"/>
                        <w:szCs w:val="24"/>
                      </w:rPr>
                    </m:ctrlPr>
                  </m:e>
                </m:d>
              </m:oMath>
            </m:oMathPara>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r w:rsidRPr="0073171A">
              <w:rPr>
                <w:rFonts w:ascii="Times New Roman" w:hAnsi="Times New Roman" w:cs="Times New Roman"/>
                <w:color w:val="000000" w:themeColor="text1"/>
                <w:sz w:val="24"/>
                <w:szCs w:val="24"/>
              </w:rPr>
              <w:t xml:space="preserve"> e </w:t>
            </w:r>
            <w:proofErr w:type="spellStart"/>
            <w:r w:rsidRPr="0073171A">
              <w:rPr>
                <w:rFonts w:ascii="Times New Roman" w:hAnsi="Times New Roman" w:cs="Times New Roman"/>
                <w:color w:val="000000" w:themeColor="text1"/>
                <w:sz w:val="24"/>
                <w:szCs w:val="24"/>
              </w:rPr>
              <w:t>tendência</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-0,79</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-0,30</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-3,02</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-1,41</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0,33</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0,29</w:t>
            </w:r>
          </w:p>
        </w:tc>
      </w:tr>
      <w:tr w:rsidR="0073171A" w:rsidRPr="00944E88" w:rsidTr="005E5429">
        <w:tc>
          <w:tcPr>
            <w:tcW w:w="669" w:type="pct"/>
            <w:vMerge/>
            <w:tcBorders>
              <w:bottom w:val="single" w:sz="4" w:space="0" w:color="auto"/>
            </w:tcBorders>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vAlign w:val="center"/>
          </w:tcPr>
          <w:p w:rsidR="0073171A" w:rsidRPr="0073171A" w:rsidRDefault="0073171A" w:rsidP="005E5429">
            <w:pPr>
              <w:rPr>
                <w:rFonts w:ascii="Times New Roman" w:hAnsi="Times New Roman" w:cs="Times New Roman"/>
                <w:color w:val="000000" w:themeColor="text1"/>
                <w:sz w:val="24"/>
                <w:szCs w:val="24"/>
              </w:rPr>
            </w:pPr>
            <w:proofErr w:type="spellStart"/>
            <w:r w:rsidRPr="0073171A">
              <w:rPr>
                <w:rFonts w:ascii="Times New Roman" w:hAnsi="Times New Roman" w:cs="Times New Roman"/>
                <w:color w:val="000000" w:themeColor="text1"/>
                <w:sz w:val="24"/>
                <w:szCs w:val="24"/>
              </w:rPr>
              <w:t>Constante</w:t>
            </w:r>
            <w:proofErr w:type="spellEnd"/>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-3,81</w:t>
            </w:r>
          </w:p>
        </w:tc>
        <w:tc>
          <w:tcPr>
            <w:tcW w:w="535"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-2,40</w:t>
            </w:r>
          </w:p>
        </w:tc>
        <w:tc>
          <w:tcPr>
            <w:tcW w:w="458"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-5,14</w:t>
            </w:r>
          </w:p>
        </w:tc>
        <w:tc>
          <w:tcPr>
            <w:tcW w:w="534"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-3,59</w:t>
            </w:r>
          </w:p>
        </w:tc>
        <w:tc>
          <w:tcPr>
            <w:tcW w:w="51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1,13</w:t>
            </w:r>
          </w:p>
        </w:tc>
        <w:tc>
          <w:tcPr>
            <w:tcW w:w="456" w:type="pct"/>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1,07</w:t>
            </w:r>
          </w:p>
        </w:tc>
      </w:tr>
      <w:tr w:rsidR="0073171A" w:rsidRPr="00944E88" w:rsidTr="005E5429">
        <w:tc>
          <w:tcPr>
            <w:tcW w:w="669" w:type="pct"/>
            <w:vMerge/>
            <w:tcBorders>
              <w:bottom w:val="single" w:sz="4" w:space="0" w:color="auto"/>
            </w:tcBorders>
            <w:vAlign w:val="center"/>
          </w:tcPr>
          <w:p w:rsidR="0073171A" w:rsidRPr="0073171A" w:rsidRDefault="0073171A" w:rsidP="005E5429">
            <w:pPr>
              <w:jc w:val="center"/>
              <w:rPr>
                <w:rFonts w:ascii="Times New Roman" w:hAnsi="Times New Roman" w:cs="Times New Roman"/>
                <w:color w:val="000000" w:themeColor="text1"/>
                <w:sz w:val="24"/>
                <w:szCs w:val="24"/>
                <w:lang w:val="pt-BR"/>
              </w:rPr>
            </w:pPr>
          </w:p>
        </w:tc>
        <w:tc>
          <w:tcPr>
            <w:tcW w:w="1298" w:type="pct"/>
            <w:tcBorders>
              <w:bottom w:val="single" w:sz="4" w:space="0" w:color="auto"/>
            </w:tcBorders>
            <w:vAlign w:val="center"/>
          </w:tcPr>
          <w:p w:rsidR="0073171A" w:rsidRPr="0073171A" w:rsidRDefault="0073171A" w:rsidP="005E5429">
            <w:pPr>
              <w:rPr>
                <w:rFonts w:ascii="Times New Roman" w:hAnsi="Times New Roman" w:cs="Times New Roman"/>
                <w:color w:val="000000" w:themeColor="text1"/>
                <w:sz w:val="24"/>
                <w:szCs w:val="24"/>
                <w:lang w:val="pt-BR"/>
              </w:rPr>
            </w:pPr>
            <w:r w:rsidRPr="0073171A">
              <w:rPr>
                <w:rFonts w:ascii="Times New Roman" w:hAnsi="Times New Roman" w:cs="Times New Roman"/>
                <w:color w:val="000000" w:themeColor="text1"/>
                <w:sz w:val="24"/>
                <w:szCs w:val="24"/>
                <w:lang w:val="pt-BR"/>
              </w:rPr>
              <w:t>Sem constante e sem tendência</w:t>
            </w:r>
          </w:p>
        </w:tc>
        <w:tc>
          <w:tcPr>
            <w:tcW w:w="534"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-7,24</w:t>
            </w:r>
          </w:p>
        </w:tc>
        <w:tc>
          <w:tcPr>
            <w:tcW w:w="535"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-3,98</w:t>
            </w:r>
          </w:p>
        </w:tc>
        <w:tc>
          <w:tcPr>
            <w:tcW w:w="458"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-5,92</w:t>
            </w:r>
          </w:p>
        </w:tc>
        <w:tc>
          <w:tcPr>
            <w:tcW w:w="534"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-6,11</w:t>
            </w:r>
          </w:p>
        </w:tc>
        <w:tc>
          <w:tcPr>
            <w:tcW w:w="516"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c>
          <w:tcPr>
            <w:tcW w:w="456" w:type="pct"/>
            <w:tcBorders>
              <w:bottom w:val="single" w:sz="4" w:space="0" w:color="auto"/>
            </w:tcBorders>
          </w:tcPr>
          <w:p w:rsidR="0073171A" w:rsidRPr="0073171A" w:rsidRDefault="0073171A" w:rsidP="005E5429">
            <w:pPr>
              <w:jc w:val="right"/>
              <w:rPr>
                <w:rFonts w:ascii="Times New Roman" w:hAnsi="Times New Roman" w:cs="Times New Roman"/>
                <w:color w:val="000000" w:themeColor="text1"/>
                <w:sz w:val="24"/>
                <w:szCs w:val="24"/>
              </w:rPr>
            </w:pPr>
            <w:r w:rsidRPr="0073171A">
              <w:rPr>
                <w:rFonts w:ascii="Times New Roman" w:hAnsi="Times New Roman" w:cs="Times New Roman"/>
                <w:color w:val="000000" w:themeColor="text1"/>
                <w:sz w:val="24"/>
                <w:szCs w:val="24"/>
              </w:rPr>
              <w:t>-</w:t>
            </w:r>
          </w:p>
        </w:tc>
      </w:tr>
    </w:tbl>
    <w:p w:rsidR="0073171A" w:rsidRPr="0073171A" w:rsidRDefault="0073171A" w:rsidP="0073171A">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xml:space="preserve">Fonte: Elaborado pela autora. Software utilizado: </w:t>
      </w:r>
      <w:proofErr w:type="spellStart"/>
      <w:r w:rsidRPr="0073171A">
        <w:rPr>
          <w:rFonts w:ascii="Times New Roman" w:hAnsi="Times New Roman" w:cs="Times New Roman"/>
          <w:sz w:val="20"/>
          <w:szCs w:val="20"/>
          <w:lang w:val="pt-BR"/>
        </w:rPr>
        <w:t>Eviews</w:t>
      </w:r>
      <w:proofErr w:type="spellEnd"/>
      <w:r w:rsidRPr="0073171A">
        <w:rPr>
          <w:rFonts w:ascii="Times New Roman" w:hAnsi="Times New Roman" w:cs="Times New Roman"/>
          <w:sz w:val="20"/>
          <w:szCs w:val="20"/>
          <w:lang w:val="pt-BR"/>
        </w:rPr>
        <w:t xml:space="preserve"> (2017). </w:t>
      </w:r>
    </w:p>
    <w:p w:rsidR="0073171A" w:rsidRPr="0073171A" w:rsidRDefault="0073171A" w:rsidP="0073171A">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Valores críticos: 1% de significância: -4,06 (Constante e tendência), -3,50 (Constante) e -2,59 (Sem constante e sem tendência).</w:t>
      </w:r>
      <w:r w:rsidRPr="0073171A">
        <w:rPr>
          <w:rFonts w:ascii="Times New Roman" w:hAnsi="Times New Roman" w:cs="Times New Roman"/>
          <w:sz w:val="20"/>
          <w:szCs w:val="20"/>
          <w:lang w:val="pt-BR"/>
        </w:rPr>
        <w:tab/>
        <w:t xml:space="preserve"> 5% de significância: -3,46 (Constante e tendência), -2,89 (Constante) e -1,94 (Sem constante e sem tendência). 10% de significância: -3,15 (Constante e tendência), -2,58 (Constante) e -1,61 (Sem constante e sem tendência).</w:t>
      </w:r>
    </w:p>
    <w:p w:rsidR="0073171A" w:rsidRPr="0073171A" w:rsidRDefault="0073171A" w:rsidP="0073171A">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Valores críticos: 1% de significância: 0,22 (Constante e tendência) e 0,74 (Constante). 5% de significância: 0,15 (Constante e tendência) e 0,46 (Constante). 10% de significância: 0,12 (Constante e tendência) e 0,35 (Constante).</w:t>
      </w:r>
    </w:p>
    <w:p w:rsidR="0073171A" w:rsidRPr="00944E88" w:rsidRDefault="0073171A" w:rsidP="00944E88">
      <w:pPr>
        <w:spacing w:after="0" w:line="240" w:lineRule="auto"/>
        <w:jc w:val="both"/>
        <w:rPr>
          <w:rFonts w:ascii="Times New Roman" w:hAnsi="Times New Roman" w:cs="Times New Roman"/>
          <w:sz w:val="24"/>
          <w:szCs w:val="24"/>
        </w:rPr>
      </w:pPr>
    </w:p>
    <w:p w:rsidR="00482A1D" w:rsidRPr="00944E88" w:rsidRDefault="00482A1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Os resultados das estimações do CAPM por MQO e do modelo CCAPM modificado por GMM são apresentados na Tabela 2</w:t>
      </w:r>
      <w:r w:rsidR="0073171A">
        <w:rPr>
          <w:rFonts w:ascii="Times New Roman" w:hAnsi="Times New Roman" w:cs="Times New Roman"/>
          <w:sz w:val="24"/>
          <w:szCs w:val="24"/>
        </w:rPr>
        <w:t xml:space="preserve"> a seguir</w:t>
      </w:r>
      <w:r w:rsidRPr="00944E88">
        <w:rPr>
          <w:rFonts w:ascii="Times New Roman" w:hAnsi="Times New Roman" w:cs="Times New Roman"/>
          <w:sz w:val="24"/>
          <w:szCs w:val="24"/>
        </w:rPr>
        <w:t xml:space="preserve">. </w:t>
      </w:r>
    </w:p>
    <w:p w:rsidR="00482A1D" w:rsidRDefault="00482A1D"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Default="0073171A" w:rsidP="00944E88">
      <w:pPr>
        <w:spacing w:after="0" w:line="240" w:lineRule="auto"/>
        <w:jc w:val="center"/>
        <w:rPr>
          <w:rFonts w:ascii="Times New Roman" w:hAnsi="Times New Roman" w:cs="Times New Roman"/>
          <w:sz w:val="24"/>
          <w:szCs w:val="24"/>
        </w:rPr>
      </w:pPr>
    </w:p>
    <w:p w:rsidR="0073171A" w:rsidRPr="00944E88" w:rsidRDefault="0073171A" w:rsidP="00944E88">
      <w:pPr>
        <w:spacing w:after="0" w:line="240" w:lineRule="auto"/>
        <w:jc w:val="center"/>
        <w:rPr>
          <w:rFonts w:ascii="Times New Roman" w:hAnsi="Times New Roman" w:cs="Times New Roman"/>
          <w:sz w:val="24"/>
          <w:szCs w:val="24"/>
        </w:rPr>
      </w:pPr>
    </w:p>
    <w:p w:rsidR="00482A1D" w:rsidRPr="00944E88" w:rsidRDefault="00482A1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lastRenderedPageBreak/>
        <w:t>Tabela 2 - Resultados das Regressões do CAPM e CCAPM modificado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1939"/>
        <w:gridCol w:w="1857"/>
        <w:gridCol w:w="1857"/>
        <w:gridCol w:w="1856"/>
      </w:tblGrid>
      <w:tr w:rsidR="00FC3DDD" w:rsidRPr="00944E88" w:rsidTr="00801238">
        <w:tc>
          <w:tcPr>
            <w:tcW w:w="957" w:type="pct"/>
            <w:tcBorders>
              <w:top w:val="single" w:sz="4" w:space="0" w:color="auto"/>
              <w:bottom w:val="single" w:sz="4" w:space="0" w:color="auto"/>
            </w:tcBorders>
          </w:tcPr>
          <w:p w:rsidR="00482A1D" w:rsidRPr="00944E88" w:rsidRDefault="00482A1D" w:rsidP="00944E88">
            <w:pPr>
              <w:jc w:val="center"/>
              <w:rPr>
                <w:rFonts w:ascii="Times New Roman" w:hAnsi="Times New Roman" w:cs="Times New Roman"/>
                <w:b/>
                <w:sz w:val="24"/>
                <w:szCs w:val="24"/>
                <w:lang w:val="pt-BR"/>
              </w:rPr>
            </w:pPr>
          </w:p>
        </w:tc>
        <w:tc>
          <w:tcPr>
            <w:tcW w:w="1044" w:type="pct"/>
            <w:tcBorders>
              <w:top w:val="single" w:sz="4" w:space="0" w:color="auto"/>
              <w:bottom w:val="single" w:sz="4" w:space="0" w:color="auto"/>
            </w:tcBorders>
            <w:vAlign w:val="center"/>
          </w:tcPr>
          <w:p w:rsidR="00482A1D" w:rsidRPr="00944E88" w:rsidRDefault="00482A1D" w:rsidP="00944E88">
            <w:pPr>
              <w:jc w:val="center"/>
              <w:rPr>
                <w:rFonts w:ascii="Times New Roman" w:hAnsi="Times New Roman" w:cs="Times New Roman"/>
                <w:b/>
                <w:sz w:val="24"/>
                <w:szCs w:val="24"/>
              </w:rPr>
            </w:pPr>
            <w:r w:rsidRPr="00944E88">
              <w:rPr>
                <w:rFonts w:ascii="Times New Roman" w:hAnsi="Times New Roman" w:cs="Times New Roman"/>
                <w:b/>
                <w:sz w:val="24"/>
                <w:szCs w:val="24"/>
              </w:rPr>
              <w:t>CAPM - São Paulo</w:t>
            </w:r>
          </w:p>
        </w:tc>
        <w:tc>
          <w:tcPr>
            <w:tcW w:w="1000" w:type="pct"/>
            <w:tcBorders>
              <w:top w:val="single" w:sz="4" w:space="0" w:color="auto"/>
              <w:bottom w:val="single" w:sz="4" w:space="0" w:color="auto"/>
            </w:tcBorders>
            <w:vAlign w:val="center"/>
          </w:tcPr>
          <w:p w:rsidR="00482A1D" w:rsidRPr="00944E88" w:rsidRDefault="00482A1D" w:rsidP="00944E88">
            <w:pPr>
              <w:jc w:val="center"/>
              <w:rPr>
                <w:rFonts w:ascii="Times New Roman" w:hAnsi="Times New Roman" w:cs="Times New Roman"/>
                <w:b/>
                <w:sz w:val="24"/>
                <w:szCs w:val="24"/>
              </w:rPr>
            </w:pPr>
            <w:r w:rsidRPr="00944E88">
              <w:rPr>
                <w:rFonts w:ascii="Times New Roman" w:hAnsi="Times New Roman" w:cs="Times New Roman"/>
                <w:b/>
                <w:sz w:val="24"/>
                <w:szCs w:val="24"/>
              </w:rPr>
              <w:t>CAPM - Rio de Janeiro</w:t>
            </w:r>
          </w:p>
        </w:tc>
        <w:tc>
          <w:tcPr>
            <w:tcW w:w="1000" w:type="pct"/>
            <w:tcBorders>
              <w:top w:val="single" w:sz="4" w:space="0" w:color="auto"/>
              <w:bottom w:val="single" w:sz="4" w:space="0" w:color="auto"/>
            </w:tcBorders>
          </w:tcPr>
          <w:p w:rsidR="00482A1D" w:rsidRPr="00944E88" w:rsidRDefault="00482A1D" w:rsidP="00944E88">
            <w:pPr>
              <w:jc w:val="center"/>
              <w:rPr>
                <w:rFonts w:ascii="Times New Roman" w:hAnsi="Times New Roman" w:cs="Times New Roman"/>
                <w:b/>
                <w:sz w:val="24"/>
                <w:szCs w:val="24"/>
              </w:rPr>
            </w:pPr>
            <w:r w:rsidRPr="00944E88">
              <w:rPr>
                <w:rFonts w:ascii="Times New Roman" w:hAnsi="Times New Roman" w:cs="Times New Roman"/>
                <w:b/>
                <w:sz w:val="24"/>
                <w:szCs w:val="24"/>
              </w:rPr>
              <w:t>CCAPM modificado - São Paulo</w:t>
            </w:r>
          </w:p>
        </w:tc>
        <w:tc>
          <w:tcPr>
            <w:tcW w:w="1000" w:type="pct"/>
            <w:tcBorders>
              <w:top w:val="single" w:sz="4" w:space="0" w:color="auto"/>
              <w:bottom w:val="single" w:sz="4" w:space="0" w:color="auto"/>
            </w:tcBorders>
          </w:tcPr>
          <w:p w:rsidR="00482A1D" w:rsidRPr="00944E88" w:rsidRDefault="00482A1D" w:rsidP="00944E88">
            <w:pPr>
              <w:jc w:val="center"/>
              <w:rPr>
                <w:rFonts w:ascii="Times New Roman" w:hAnsi="Times New Roman" w:cs="Times New Roman"/>
                <w:b/>
                <w:sz w:val="24"/>
                <w:szCs w:val="24"/>
                <w:lang w:val="pt-BR"/>
              </w:rPr>
            </w:pPr>
            <w:r w:rsidRPr="00944E88">
              <w:rPr>
                <w:rFonts w:ascii="Times New Roman" w:hAnsi="Times New Roman" w:cs="Times New Roman"/>
                <w:b/>
                <w:sz w:val="24"/>
                <w:szCs w:val="24"/>
                <w:lang w:val="pt-BR"/>
              </w:rPr>
              <w:t>CCAPM modificado - Rio de Janeiro</w:t>
            </w:r>
          </w:p>
        </w:tc>
      </w:tr>
      <w:tr w:rsidR="00FC3DDD" w:rsidRPr="00944E88" w:rsidTr="00801238">
        <w:tc>
          <w:tcPr>
            <w:tcW w:w="957" w:type="pct"/>
            <w:tcBorders>
              <w:top w:val="single" w:sz="4" w:space="0" w:color="auto"/>
            </w:tcBorders>
          </w:tcPr>
          <w:p w:rsidR="00482A1D" w:rsidRPr="00944E88" w:rsidRDefault="00482A1D" w:rsidP="00944E88">
            <w:pPr>
              <w:jc w:val="center"/>
              <w:rPr>
                <w:rFonts w:ascii="Times New Roman" w:hAnsi="Times New Roman" w:cs="Times New Roman"/>
                <w:b/>
                <w:sz w:val="24"/>
                <w:szCs w:val="24"/>
                <w:lang w:val="pt-BR"/>
              </w:rPr>
            </w:pPr>
          </w:p>
        </w:tc>
        <w:tc>
          <w:tcPr>
            <w:tcW w:w="4043" w:type="pct"/>
            <w:gridSpan w:val="4"/>
            <w:tcBorders>
              <w:top w:val="single" w:sz="4" w:space="0" w:color="auto"/>
            </w:tcBorders>
            <w:vAlign w:val="center"/>
          </w:tcPr>
          <w:p w:rsidR="00482A1D" w:rsidRPr="00944E88" w:rsidRDefault="00482A1D" w:rsidP="00944E88">
            <w:pPr>
              <w:jc w:val="center"/>
              <w:rPr>
                <w:rFonts w:ascii="Times New Roman" w:hAnsi="Times New Roman" w:cs="Times New Roman"/>
                <w:b/>
                <w:sz w:val="24"/>
                <w:szCs w:val="24"/>
              </w:rPr>
            </w:pPr>
            <w:proofErr w:type="spellStart"/>
            <w:r w:rsidRPr="00944E88">
              <w:rPr>
                <w:rFonts w:ascii="Times New Roman" w:hAnsi="Times New Roman" w:cs="Times New Roman"/>
                <w:b/>
                <w:sz w:val="24"/>
                <w:szCs w:val="24"/>
              </w:rPr>
              <w:t>Coeficientes</w:t>
            </w:r>
            <w:proofErr w:type="spellEnd"/>
          </w:p>
        </w:tc>
      </w:tr>
      <w:tr w:rsidR="00FC3DDD" w:rsidRPr="00944E88" w:rsidTr="00801238">
        <w:tc>
          <w:tcPr>
            <w:tcW w:w="957" w:type="pct"/>
            <w:vAlign w:val="center"/>
          </w:tcPr>
          <w:p w:rsidR="00482A1D" w:rsidRPr="00944E88" w:rsidRDefault="00801238" w:rsidP="00944E88">
            <w:pPr>
              <w:jc w:val="both"/>
              <w:rPr>
                <w:rFonts w:ascii="Times New Roman" w:hAnsi="Times New Roman" w:cs="Times New Roman"/>
                <w:sz w:val="24"/>
                <w:szCs w:val="24"/>
              </w:rPr>
            </w:pPr>
            <w:proofErr w:type="spellStart"/>
            <w:r w:rsidRPr="00944E88">
              <w:rPr>
                <w:rFonts w:ascii="Times New Roman" w:hAnsi="Times New Roman" w:cs="Times New Roman"/>
                <w:sz w:val="24"/>
                <w:szCs w:val="24"/>
              </w:rPr>
              <w:t>Constante</w:t>
            </w:r>
            <w:proofErr w:type="spellEnd"/>
          </w:p>
        </w:tc>
        <w:tc>
          <w:tcPr>
            <w:tcW w:w="1044" w:type="pct"/>
            <w:vAlign w:val="center"/>
          </w:tcPr>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w:t>
            </w:r>
            <w:r w:rsidR="004A5D2F" w:rsidRPr="00944E88">
              <w:rPr>
                <w:rFonts w:ascii="Times New Roman" w:hAnsi="Times New Roman" w:cs="Times New Roman"/>
                <w:sz w:val="24"/>
                <w:szCs w:val="24"/>
              </w:rPr>
              <w:t>7</w:t>
            </w:r>
            <w:r w:rsidRPr="00944E88">
              <w:rPr>
                <w:rFonts w:ascii="Times New Roman" w:hAnsi="Times New Roman" w:cs="Times New Roman"/>
                <w:sz w:val="24"/>
                <w:szCs w:val="24"/>
              </w:rPr>
              <w:t>,</w:t>
            </w:r>
            <w:r w:rsidR="004A5D2F" w:rsidRPr="00944E88">
              <w:rPr>
                <w:rFonts w:ascii="Times New Roman" w:hAnsi="Times New Roman" w:cs="Times New Roman"/>
                <w:sz w:val="24"/>
                <w:szCs w:val="24"/>
              </w:rPr>
              <w:t>55</w:t>
            </w:r>
            <w:r w:rsidRPr="00944E88">
              <w:rPr>
                <w:rFonts w:ascii="Times New Roman" w:hAnsi="Times New Roman" w:cs="Times New Roman"/>
                <w:sz w:val="24"/>
                <w:szCs w:val="24"/>
              </w:rPr>
              <w:t>E-05</w:t>
            </w:r>
          </w:p>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(0,0002</w:t>
            </w:r>
            <w:r w:rsidR="004A5D2F" w:rsidRPr="00944E88">
              <w:rPr>
                <w:rFonts w:ascii="Times New Roman" w:hAnsi="Times New Roman" w:cs="Times New Roman"/>
                <w:sz w:val="24"/>
                <w:szCs w:val="24"/>
              </w:rPr>
              <w:t>1</w:t>
            </w:r>
            <w:r w:rsidRPr="00944E88">
              <w:rPr>
                <w:rFonts w:ascii="Times New Roman" w:hAnsi="Times New Roman" w:cs="Times New Roman"/>
                <w:sz w:val="24"/>
                <w:szCs w:val="24"/>
              </w:rPr>
              <w:t>0)</w:t>
            </w:r>
          </w:p>
        </w:tc>
        <w:tc>
          <w:tcPr>
            <w:tcW w:w="1000" w:type="pct"/>
            <w:vAlign w:val="center"/>
          </w:tcPr>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w:t>
            </w:r>
            <w:r w:rsidR="004A5D2F" w:rsidRPr="00944E88">
              <w:rPr>
                <w:rFonts w:ascii="Times New Roman" w:hAnsi="Times New Roman" w:cs="Times New Roman"/>
                <w:sz w:val="24"/>
                <w:szCs w:val="24"/>
              </w:rPr>
              <w:t>9,18E-05</w:t>
            </w:r>
          </w:p>
          <w:p w:rsidR="00482A1D" w:rsidRPr="00944E88" w:rsidRDefault="004A5D2F" w:rsidP="00944E88">
            <w:pPr>
              <w:jc w:val="right"/>
              <w:rPr>
                <w:rFonts w:ascii="Times New Roman" w:hAnsi="Times New Roman" w:cs="Times New Roman"/>
                <w:sz w:val="24"/>
                <w:szCs w:val="24"/>
              </w:rPr>
            </w:pPr>
            <w:r w:rsidRPr="00944E88">
              <w:rPr>
                <w:rFonts w:ascii="Times New Roman" w:hAnsi="Times New Roman" w:cs="Times New Roman"/>
                <w:sz w:val="24"/>
                <w:szCs w:val="24"/>
              </w:rPr>
              <w:t>(0,000225</w:t>
            </w:r>
            <w:r w:rsidR="00482A1D" w:rsidRPr="00944E88">
              <w:rPr>
                <w:rFonts w:ascii="Times New Roman" w:hAnsi="Times New Roman" w:cs="Times New Roman"/>
                <w:sz w:val="24"/>
                <w:szCs w:val="24"/>
              </w:rPr>
              <w:t>)</w:t>
            </w:r>
          </w:p>
        </w:tc>
        <w:tc>
          <w:tcPr>
            <w:tcW w:w="1000" w:type="pct"/>
            <w:vAlign w:val="center"/>
          </w:tcPr>
          <w:p w:rsidR="00482A1D"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tcPr>
          <w:p w:rsidR="00482A1D"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r w:rsidR="00FC3DDD" w:rsidRPr="00944E88" w:rsidTr="00801238">
        <w:tc>
          <w:tcPr>
            <w:tcW w:w="957" w:type="pct"/>
            <w:vAlign w:val="center"/>
          </w:tcPr>
          <w:p w:rsidR="00482A1D" w:rsidRPr="00944E88" w:rsidRDefault="00482A1D" w:rsidP="00944E88">
            <w:pPr>
              <w:jc w:val="both"/>
              <w:rPr>
                <w:rFonts w:ascii="Times New Roman" w:hAnsi="Times New Roman" w:cs="Times New Roman"/>
                <w:sz w:val="24"/>
                <w:szCs w:val="24"/>
              </w:rPr>
            </w:pPr>
            <m:oMathPara>
              <m:oMathParaPr>
                <m:jc m:val="center"/>
              </m:oMathParaPr>
              <m:oMath>
                <m:r>
                  <m:rPr>
                    <m:sty m:val="p"/>
                  </m:rPr>
                  <w:rPr>
                    <w:rFonts w:ascii="Cambria Math" w:hAnsi="Times New Roman" w:cs="Times New Roman"/>
                    <w:sz w:val="24"/>
                    <w:szCs w:val="24"/>
                  </w:rPr>
                  <m:t>Δ</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ibov</m:t>
                    </m:r>
                  </m:sup>
                </m:sSup>
              </m:oMath>
            </m:oMathPara>
          </w:p>
        </w:tc>
        <w:tc>
          <w:tcPr>
            <w:tcW w:w="1044" w:type="pct"/>
            <w:vAlign w:val="center"/>
          </w:tcPr>
          <w:p w:rsidR="00482A1D" w:rsidRPr="00944E88" w:rsidRDefault="004A5D2F" w:rsidP="00944E88">
            <w:pPr>
              <w:jc w:val="right"/>
              <w:rPr>
                <w:rFonts w:ascii="Times New Roman" w:hAnsi="Times New Roman" w:cs="Times New Roman"/>
                <w:sz w:val="24"/>
                <w:szCs w:val="24"/>
              </w:rPr>
            </w:pPr>
            <w:r w:rsidRPr="00944E88">
              <w:rPr>
                <w:rFonts w:ascii="Times New Roman" w:hAnsi="Times New Roman" w:cs="Times New Roman"/>
                <w:sz w:val="24"/>
                <w:szCs w:val="24"/>
              </w:rPr>
              <w:t>-1,0164292</w:t>
            </w:r>
            <w:r w:rsidR="00482A1D" w:rsidRPr="00944E88">
              <w:rPr>
                <w:rFonts w:ascii="Times New Roman" w:hAnsi="Times New Roman" w:cs="Times New Roman"/>
                <w:sz w:val="24"/>
                <w:szCs w:val="24"/>
              </w:rPr>
              <w:t>***</w:t>
            </w:r>
          </w:p>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(0,</w:t>
            </w:r>
            <w:r w:rsidR="004A5D2F" w:rsidRPr="00944E88">
              <w:rPr>
                <w:rFonts w:ascii="Times New Roman" w:hAnsi="Times New Roman" w:cs="Times New Roman"/>
                <w:sz w:val="24"/>
                <w:szCs w:val="24"/>
              </w:rPr>
              <w:t>095661</w:t>
            </w:r>
            <w:r w:rsidRPr="00944E88">
              <w:rPr>
                <w:rFonts w:ascii="Times New Roman" w:hAnsi="Times New Roman" w:cs="Times New Roman"/>
                <w:sz w:val="24"/>
                <w:szCs w:val="24"/>
              </w:rPr>
              <w:t>)</w:t>
            </w:r>
          </w:p>
        </w:tc>
        <w:tc>
          <w:tcPr>
            <w:tcW w:w="1000" w:type="pct"/>
            <w:vAlign w:val="center"/>
          </w:tcPr>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-1,0</w:t>
            </w:r>
            <w:r w:rsidR="004A5D2F" w:rsidRPr="00944E88">
              <w:rPr>
                <w:rFonts w:ascii="Times New Roman" w:hAnsi="Times New Roman" w:cs="Times New Roman"/>
                <w:sz w:val="24"/>
                <w:szCs w:val="24"/>
              </w:rPr>
              <w:t>36815</w:t>
            </w:r>
            <w:r w:rsidRPr="00944E88">
              <w:rPr>
                <w:rFonts w:ascii="Times New Roman" w:hAnsi="Times New Roman" w:cs="Times New Roman"/>
                <w:sz w:val="24"/>
                <w:szCs w:val="24"/>
              </w:rPr>
              <w:t>***</w:t>
            </w:r>
          </w:p>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(0,10</w:t>
            </w:r>
            <w:r w:rsidR="004A5D2F" w:rsidRPr="00944E88">
              <w:rPr>
                <w:rFonts w:ascii="Times New Roman" w:hAnsi="Times New Roman" w:cs="Times New Roman"/>
                <w:sz w:val="24"/>
                <w:szCs w:val="24"/>
              </w:rPr>
              <w:t>2224</w:t>
            </w:r>
            <w:r w:rsidRPr="00944E88">
              <w:rPr>
                <w:rFonts w:ascii="Times New Roman" w:hAnsi="Times New Roman" w:cs="Times New Roman"/>
                <w:sz w:val="24"/>
                <w:szCs w:val="24"/>
              </w:rPr>
              <w:t>)</w:t>
            </w:r>
          </w:p>
        </w:tc>
        <w:tc>
          <w:tcPr>
            <w:tcW w:w="1000" w:type="pct"/>
            <w:vAlign w:val="center"/>
          </w:tcPr>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tcPr>
          <w:p w:rsidR="00482A1D" w:rsidRPr="00944E88" w:rsidRDefault="00482A1D"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r w:rsidR="00FC3DDD" w:rsidRPr="00944E88" w:rsidTr="00801238">
        <w:tc>
          <w:tcPr>
            <w:tcW w:w="957" w:type="pct"/>
            <w:vAlign w:val="center"/>
          </w:tcPr>
          <w:p w:rsidR="00801238" w:rsidRPr="0073171A" w:rsidRDefault="0073171A" w:rsidP="00944E88">
            <w:pPr>
              <w:jc w:val="center"/>
              <w:rPr>
                <w:rFonts w:ascii="Times New Roman" w:hAnsi="Times New Roman" w:cs="Times New Roman"/>
                <w:sz w:val="24"/>
                <w:szCs w:val="24"/>
                <w:lang w:val="pt-BR"/>
              </w:rPr>
            </w:pPr>
            <m:oMathPara>
              <m:oMath>
                <m:r>
                  <m:rPr>
                    <m:sty m:val="p"/>
                  </m:rPr>
                  <w:rPr>
                    <w:rFonts w:ascii="Cambria Math" w:hAnsi="Cambria Math" w:cs="Times New Roman"/>
                    <w:sz w:val="24"/>
                    <w:szCs w:val="24"/>
                    <w:lang w:val="pt-BR"/>
                  </w:rPr>
                  <m:t>β</m:t>
                </m:r>
              </m:oMath>
            </m:oMathPara>
          </w:p>
        </w:tc>
        <w:tc>
          <w:tcPr>
            <w:tcW w:w="1044" w:type="pct"/>
            <w:vAlign w:val="center"/>
          </w:tcPr>
          <w:p w:rsidR="00801238" w:rsidRPr="00944E88" w:rsidRDefault="00801238" w:rsidP="00944E88">
            <w:pPr>
              <w:jc w:val="center"/>
              <w:rPr>
                <w:rFonts w:ascii="Times New Roman" w:hAnsi="Times New Roman" w:cs="Times New Roman"/>
                <w:b/>
                <w:sz w:val="24"/>
                <w:szCs w:val="24"/>
                <w:lang w:val="pt-BR"/>
              </w:rPr>
            </w:pPr>
            <w:r w:rsidRPr="00944E88">
              <w:rPr>
                <w:rFonts w:ascii="Times New Roman" w:hAnsi="Times New Roman" w:cs="Times New Roman"/>
                <w:b/>
                <w:sz w:val="24"/>
                <w:szCs w:val="24"/>
                <w:lang w:val="pt-BR"/>
              </w:rPr>
              <w:t>-</w:t>
            </w:r>
          </w:p>
        </w:tc>
        <w:tc>
          <w:tcPr>
            <w:tcW w:w="1000" w:type="pct"/>
            <w:vAlign w:val="center"/>
          </w:tcPr>
          <w:p w:rsidR="00801238" w:rsidRPr="00944E88" w:rsidRDefault="00801238" w:rsidP="00944E88">
            <w:pPr>
              <w:jc w:val="center"/>
              <w:rPr>
                <w:rFonts w:ascii="Times New Roman" w:hAnsi="Times New Roman" w:cs="Times New Roman"/>
                <w:b/>
                <w:sz w:val="24"/>
                <w:szCs w:val="24"/>
                <w:lang w:val="pt-BR"/>
              </w:rPr>
            </w:pPr>
            <w:r w:rsidRPr="00944E88">
              <w:rPr>
                <w:rFonts w:ascii="Times New Roman" w:hAnsi="Times New Roman" w:cs="Times New Roman"/>
                <w:b/>
                <w:sz w:val="24"/>
                <w:szCs w:val="24"/>
                <w:lang w:val="pt-BR"/>
              </w:rPr>
              <w:t>-</w:t>
            </w:r>
          </w:p>
        </w:tc>
        <w:tc>
          <w:tcPr>
            <w:tcW w:w="1000" w:type="pct"/>
            <w:vAlign w:val="center"/>
          </w:tcPr>
          <w:p w:rsidR="00801238" w:rsidRPr="00944E88" w:rsidRDefault="00E71054" w:rsidP="00944E88">
            <w:pPr>
              <w:jc w:val="right"/>
              <w:rPr>
                <w:rFonts w:ascii="Times New Roman" w:hAnsi="Times New Roman" w:cs="Times New Roman"/>
                <w:sz w:val="24"/>
                <w:szCs w:val="24"/>
                <w:lang w:val="pt-BR"/>
              </w:rPr>
            </w:pPr>
            <w:r w:rsidRPr="00944E88">
              <w:rPr>
                <w:rFonts w:ascii="Times New Roman" w:hAnsi="Times New Roman" w:cs="Times New Roman"/>
                <w:sz w:val="24"/>
                <w:szCs w:val="24"/>
                <w:lang w:val="pt-BR"/>
              </w:rPr>
              <w:t>0,984</w:t>
            </w:r>
            <w:r w:rsidR="002B2C9B" w:rsidRPr="00944E88">
              <w:rPr>
                <w:rFonts w:ascii="Times New Roman" w:hAnsi="Times New Roman" w:cs="Times New Roman"/>
                <w:sz w:val="24"/>
                <w:szCs w:val="24"/>
                <w:lang w:val="pt-BR"/>
              </w:rPr>
              <w:t>2</w:t>
            </w:r>
            <w:r w:rsidRPr="00944E88">
              <w:rPr>
                <w:rFonts w:ascii="Times New Roman" w:hAnsi="Times New Roman" w:cs="Times New Roman"/>
                <w:sz w:val="24"/>
                <w:szCs w:val="24"/>
                <w:lang w:val="pt-BR"/>
              </w:rPr>
              <w:t>90</w:t>
            </w:r>
            <w:r w:rsidR="00801238" w:rsidRPr="00944E88">
              <w:rPr>
                <w:rFonts w:ascii="Times New Roman" w:hAnsi="Times New Roman" w:cs="Times New Roman"/>
                <w:sz w:val="24"/>
                <w:szCs w:val="24"/>
                <w:lang w:val="pt-BR"/>
              </w:rPr>
              <w:t>***</w:t>
            </w:r>
          </w:p>
          <w:p w:rsidR="00801238" w:rsidRPr="00944E88" w:rsidRDefault="00801238" w:rsidP="00944E88">
            <w:pPr>
              <w:jc w:val="right"/>
              <w:rPr>
                <w:rFonts w:ascii="Times New Roman" w:hAnsi="Times New Roman" w:cs="Times New Roman"/>
                <w:sz w:val="24"/>
                <w:szCs w:val="24"/>
                <w:lang w:val="pt-BR"/>
              </w:rPr>
            </w:pPr>
            <w:r w:rsidRPr="00944E88">
              <w:rPr>
                <w:rFonts w:ascii="Times New Roman" w:hAnsi="Times New Roman" w:cs="Times New Roman"/>
                <w:sz w:val="24"/>
                <w:szCs w:val="24"/>
                <w:lang w:val="pt-BR"/>
              </w:rPr>
              <w:t>(0,00</w:t>
            </w:r>
            <w:r w:rsidR="00E71054" w:rsidRPr="00944E88">
              <w:rPr>
                <w:rFonts w:ascii="Times New Roman" w:hAnsi="Times New Roman" w:cs="Times New Roman"/>
                <w:sz w:val="24"/>
                <w:szCs w:val="24"/>
                <w:lang w:val="pt-BR"/>
              </w:rPr>
              <w:t>308</w:t>
            </w:r>
            <w:r w:rsidR="002B2C9B" w:rsidRPr="00944E88">
              <w:rPr>
                <w:rFonts w:ascii="Times New Roman" w:hAnsi="Times New Roman" w:cs="Times New Roman"/>
                <w:sz w:val="24"/>
                <w:szCs w:val="24"/>
                <w:lang w:val="pt-BR"/>
              </w:rPr>
              <w:t>0</w:t>
            </w:r>
            <w:r w:rsidRPr="00944E88">
              <w:rPr>
                <w:rFonts w:ascii="Times New Roman" w:hAnsi="Times New Roman" w:cs="Times New Roman"/>
                <w:sz w:val="24"/>
                <w:szCs w:val="24"/>
                <w:lang w:val="pt-BR"/>
              </w:rPr>
              <w:t>)</w:t>
            </w:r>
          </w:p>
        </w:tc>
        <w:tc>
          <w:tcPr>
            <w:tcW w:w="1000" w:type="pct"/>
          </w:tcPr>
          <w:p w:rsidR="00801238" w:rsidRPr="00944E88" w:rsidRDefault="00801238" w:rsidP="00944E88">
            <w:pPr>
              <w:jc w:val="right"/>
              <w:rPr>
                <w:rFonts w:ascii="Times New Roman" w:hAnsi="Times New Roman" w:cs="Times New Roman"/>
                <w:sz w:val="24"/>
                <w:szCs w:val="24"/>
                <w:lang w:val="pt-BR"/>
              </w:rPr>
            </w:pPr>
            <w:r w:rsidRPr="00944E88">
              <w:rPr>
                <w:rFonts w:ascii="Times New Roman" w:hAnsi="Times New Roman" w:cs="Times New Roman"/>
                <w:sz w:val="24"/>
                <w:szCs w:val="24"/>
                <w:lang w:val="pt-BR"/>
              </w:rPr>
              <w:t>0,98</w:t>
            </w:r>
            <w:r w:rsidR="00022E19" w:rsidRPr="00944E88">
              <w:rPr>
                <w:rFonts w:ascii="Times New Roman" w:hAnsi="Times New Roman" w:cs="Times New Roman"/>
                <w:sz w:val="24"/>
                <w:szCs w:val="24"/>
                <w:lang w:val="pt-BR"/>
              </w:rPr>
              <w:t>6452</w:t>
            </w:r>
            <w:r w:rsidRPr="00944E88">
              <w:rPr>
                <w:rFonts w:ascii="Times New Roman" w:hAnsi="Times New Roman" w:cs="Times New Roman"/>
                <w:sz w:val="24"/>
                <w:szCs w:val="24"/>
                <w:lang w:val="pt-BR"/>
              </w:rPr>
              <w:t>***</w:t>
            </w:r>
          </w:p>
          <w:p w:rsidR="00801238" w:rsidRPr="00944E88" w:rsidRDefault="00801238" w:rsidP="00944E88">
            <w:pPr>
              <w:jc w:val="right"/>
              <w:rPr>
                <w:rFonts w:ascii="Times New Roman" w:hAnsi="Times New Roman" w:cs="Times New Roman"/>
                <w:sz w:val="24"/>
                <w:szCs w:val="24"/>
                <w:lang w:val="pt-BR"/>
              </w:rPr>
            </w:pPr>
            <w:r w:rsidRPr="00944E88">
              <w:rPr>
                <w:rFonts w:ascii="Times New Roman" w:hAnsi="Times New Roman" w:cs="Times New Roman"/>
                <w:sz w:val="24"/>
                <w:szCs w:val="24"/>
                <w:lang w:val="pt-BR"/>
              </w:rPr>
              <w:t>(0,00</w:t>
            </w:r>
            <w:r w:rsidR="00022E19" w:rsidRPr="00944E88">
              <w:rPr>
                <w:rFonts w:ascii="Times New Roman" w:hAnsi="Times New Roman" w:cs="Times New Roman"/>
                <w:sz w:val="24"/>
                <w:szCs w:val="24"/>
                <w:lang w:val="pt-BR"/>
              </w:rPr>
              <w:t>4359</w:t>
            </w:r>
            <w:r w:rsidRPr="00944E88">
              <w:rPr>
                <w:rFonts w:ascii="Times New Roman" w:hAnsi="Times New Roman" w:cs="Times New Roman"/>
                <w:sz w:val="24"/>
                <w:szCs w:val="24"/>
                <w:lang w:val="pt-BR"/>
              </w:rPr>
              <w:t>)</w:t>
            </w:r>
          </w:p>
        </w:tc>
      </w:tr>
      <w:tr w:rsidR="00FC3DDD" w:rsidRPr="00944E88" w:rsidTr="00801238">
        <w:tc>
          <w:tcPr>
            <w:tcW w:w="957" w:type="pct"/>
            <w:vAlign w:val="center"/>
          </w:tcPr>
          <w:p w:rsidR="00801238" w:rsidRPr="00944E88" w:rsidRDefault="00801238" w:rsidP="00944E88">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θ</m:t>
                </m:r>
              </m:oMath>
            </m:oMathPara>
          </w:p>
        </w:tc>
        <w:tc>
          <w:tcPr>
            <w:tcW w:w="1044"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vAlign w:val="center"/>
          </w:tcPr>
          <w:p w:rsidR="00801238" w:rsidRPr="00944E88" w:rsidRDefault="00E71054" w:rsidP="00944E88">
            <w:pPr>
              <w:jc w:val="right"/>
              <w:rPr>
                <w:rFonts w:ascii="Times New Roman" w:hAnsi="Times New Roman" w:cs="Times New Roman"/>
                <w:sz w:val="24"/>
                <w:szCs w:val="24"/>
              </w:rPr>
            </w:pPr>
            <w:r w:rsidRPr="00944E88">
              <w:rPr>
                <w:rFonts w:ascii="Times New Roman" w:hAnsi="Times New Roman" w:cs="Times New Roman"/>
                <w:sz w:val="24"/>
                <w:szCs w:val="24"/>
              </w:rPr>
              <w:t>0,821092</w:t>
            </w:r>
            <w:r w:rsidR="00801238" w:rsidRPr="00944E88">
              <w:rPr>
                <w:rFonts w:ascii="Times New Roman" w:hAnsi="Times New Roman" w:cs="Times New Roman"/>
                <w:sz w:val="24"/>
                <w:szCs w:val="24"/>
              </w:rPr>
              <w:t>***</w:t>
            </w:r>
          </w:p>
          <w:p w:rsidR="00801238" w:rsidRPr="00944E88" w:rsidRDefault="00E71054" w:rsidP="00944E88">
            <w:pPr>
              <w:jc w:val="right"/>
              <w:rPr>
                <w:rFonts w:ascii="Times New Roman" w:hAnsi="Times New Roman" w:cs="Times New Roman"/>
                <w:sz w:val="24"/>
                <w:szCs w:val="24"/>
              </w:rPr>
            </w:pPr>
            <w:r w:rsidRPr="00944E88">
              <w:rPr>
                <w:rFonts w:ascii="Times New Roman" w:hAnsi="Times New Roman" w:cs="Times New Roman"/>
                <w:sz w:val="24"/>
                <w:szCs w:val="24"/>
              </w:rPr>
              <w:t>(0,154484</w:t>
            </w:r>
            <w:r w:rsidR="00801238" w:rsidRPr="00944E88">
              <w:rPr>
                <w:rFonts w:ascii="Times New Roman" w:hAnsi="Times New Roman" w:cs="Times New Roman"/>
                <w:sz w:val="24"/>
                <w:szCs w:val="24"/>
              </w:rPr>
              <w:t>)</w:t>
            </w:r>
          </w:p>
        </w:tc>
        <w:tc>
          <w:tcPr>
            <w:tcW w:w="1000" w:type="pct"/>
          </w:tcPr>
          <w:p w:rsidR="00801238" w:rsidRPr="00944E88" w:rsidRDefault="00022E19" w:rsidP="00944E88">
            <w:pPr>
              <w:jc w:val="right"/>
              <w:rPr>
                <w:rFonts w:ascii="Times New Roman" w:hAnsi="Times New Roman" w:cs="Times New Roman"/>
                <w:sz w:val="24"/>
                <w:szCs w:val="24"/>
              </w:rPr>
            </w:pPr>
            <w:r w:rsidRPr="00944E88">
              <w:rPr>
                <w:rFonts w:ascii="Times New Roman" w:hAnsi="Times New Roman" w:cs="Times New Roman"/>
                <w:sz w:val="24"/>
                <w:szCs w:val="24"/>
              </w:rPr>
              <w:t>0,765183*</w:t>
            </w:r>
            <w:r w:rsidR="00801238" w:rsidRPr="00944E88">
              <w:rPr>
                <w:rFonts w:ascii="Times New Roman" w:hAnsi="Times New Roman" w:cs="Times New Roman"/>
                <w:sz w:val="24"/>
                <w:szCs w:val="24"/>
              </w:rPr>
              <w:t>**</w:t>
            </w:r>
          </w:p>
          <w:p w:rsidR="00801238" w:rsidRPr="00944E88" w:rsidRDefault="00022E19" w:rsidP="00944E88">
            <w:pPr>
              <w:jc w:val="right"/>
              <w:rPr>
                <w:rFonts w:ascii="Times New Roman" w:hAnsi="Times New Roman" w:cs="Times New Roman"/>
                <w:sz w:val="24"/>
                <w:szCs w:val="24"/>
              </w:rPr>
            </w:pPr>
            <w:r w:rsidRPr="00944E88">
              <w:rPr>
                <w:rFonts w:ascii="Times New Roman" w:hAnsi="Times New Roman" w:cs="Times New Roman"/>
                <w:sz w:val="24"/>
                <w:szCs w:val="24"/>
              </w:rPr>
              <w:t>(0,2</w:t>
            </w:r>
            <w:r w:rsidR="00E65BFF" w:rsidRPr="00944E88">
              <w:rPr>
                <w:rFonts w:ascii="Times New Roman" w:hAnsi="Times New Roman" w:cs="Times New Roman"/>
                <w:sz w:val="24"/>
                <w:szCs w:val="24"/>
              </w:rPr>
              <w:t>7</w:t>
            </w:r>
            <w:r w:rsidRPr="00944E88">
              <w:rPr>
                <w:rFonts w:ascii="Times New Roman" w:hAnsi="Times New Roman" w:cs="Times New Roman"/>
                <w:sz w:val="24"/>
                <w:szCs w:val="24"/>
              </w:rPr>
              <w:t>4547</w:t>
            </w:r>
            <w:r w:rsidR="00801238" w:rsidRPr="00944E88">
              <w:rPr>
                <w:rFonts w:ascii="Times New Roman" w:hAnsi="Times New Roman" w:cs="Times New Roman"/>
                <w:sz w:val="24"/>
                <w:szCs w:val="24"/>
              </w:rPr>
              <w:t>)</w:t>
            </w:r>
          </w:p>
        </w:tc>
      </w:tr>
      <w:tr w:rsidR="00FC3DDD" w:rsidRPr="00944E88" w:rsidTr="00801238">
        <w:tc>
          <w:tcPr>
            <w:tcW w:w="957" w:type="pct"/>
            <w:vAlign w:val="center"/>
          </w:tcPr>
          <w:p w:rsidR="00801238" w:rsidRPr="00944E88" w:rsidRDefault="00801238" w:rsidP="00944E88">
            <w:pPr>
              <w:jc w:val="both"/>
              <w:rPr>
                <w:rFonts w:ascii="Times New Roman" w:hAnsi="Times New Roman" w:cs="Times New Roman"/>
                <w:sz w:val="24"/>
                <w:szCs w:val="24"/>
              </w:rPr>
            </w:pPr>
          </w:p>
        </w:tc>
        <w:tc>
          <w:tcPr>
            <w:tcW w:w="4043" w:type="pct"/>
            <w:gridSpan w:val="4"/>
            <w:vAlign w:val="center"/>
          </w:tcPr>
          <w:p w:rsidR="00801238" w:rsidRPr="00944E88" w:rsidRDefault="00801238" w:rsidP="00944E88">
            <w:pPr>
              <w:jc w:val="center"/>
              <w:rPr>
                <w:rFonts w:ascii="Times New Roman" w:hAnsi="Times New Roman" w:cs="Times New Roman"/>
                <w:b/>
                <w:sz w:val="24"/>
                <w:szCs w:val="24"/>
              </w:rPr>
            </w:pPr>
            <w:proofErr w:type="spellStart"/>
            <w:r w:rsidRPr="00944E88">
              <w:rPr>
                <w:rFonts w:ascii="Times New Roman" w:hAnsi="Times New Roman" w:cs="Times New Roman"/>
                <w:b/>
                <w:sz w:val="24"/>
                <w:szCs w:val="24"/>
              </w:rPr>
              <w:t>Estatísticas</w:t>
            </w:r>
            <w:proofErr w:type="spellEnd"/>
          </w:p>
        </w:tc>
      </w:tr>
      <w:tr w:rsidR="00FC3DDD" w:rsidRPr="00944E88" w:rsidTr="00801238">
        <w:tc>
          <w:tcPr>
            <w:tcW w:w="957" w:type="pct"/>
            <w:vAlign w:val="center"/>
          </w:tcPr>
          <w:p w:rsidR="00801238" w:rsidRPr="00944E88" w:rsidRDefault="00801238" w:rsidP="00944E88">
            <w:pPr>
              <w:jc w:val="both"/>
              <w:rPr>
                <w:rFonts w:ascii="Times New Roman" w:hAnsi="Times New Roman" w:cs="Times New Roman"/>
                <w:sz w:val="24"/>
                <w:szCs w:val="24"/>
              </w:rPr>
            </w:pPr>
            <w:r w:rsidRPr="00944E88">
              <w:rPr>
                <w:rFonts w:ascii="Times New Roman" w:hAnsi="Times New Roman" w:cs="Times New Roman"/>
                <w:sz w:val="24"/>
                <w:szCs w:val="24"/>
              </w:rPr>
              <w:t>R²</w:t>
            </w:r>
          </w:p>
        </w:tc>
        <w:tc>
          <w:tcPr>
            <w:tcW w:w="1044"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0,5</w:t>
            </w:r>
            <w:r w:rsidR="004A5D2F" w:rsidRPr="00944E88">
              <w:rPr>
                <w:rFonts w:ascii="Times New Roman" w:hAnsi="Times New Roman" w:cs="Times New Roman"/>
                <w:sz w:val="24"/>
                <w:szCs w:val="24"/>
              </w:rPr>
              <w:t>11117</w:t>
            </w:r>
          </w:p>
        </w:tc>
        <w:tc>
          <w:tcPr>
            <w:tcW w:w="1000"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0,4</w:t>
            </w:r>
            <w:r w:rsidR="00C43126" w:rsidRPr="00944E88">
              <w:rPr>
                <w:rFonts w:ascii="Times New Roman" w:hAnsi="Times New Roman" w:cs="Times New Roman"/>
                <w:sz w:val="24"/>
                <w:szCs w:val="24"/>
              </w:rPr>
              <w:t>87842</w:t>
            </w:r>
          </w:p>
        </w:tc>
        <w:tc>
          <w:tcPr>
            <w:tcW w:w="1000" w:type="pct"/>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r w:rsidR="00FC3DDD" w:rsidRPr="00944E88" w:rsidTr="00801238">
        <w:tc>
          <w:tcPr>
            <w:tcW w:w="957" w:type="pct"/>
            <w:vAlign w:val="center"/>
          </w:tcPr>
          <w:p w:rsidR="00801238" w:rsidRPr="00944E88" w:rsidRDefault="00801238" w:rsidP="00944E88">
            <w:pPr>
              <w:jc w:val="both"/>
              <w:rPr>
                <w:rFonts w:ascii="Times New Roman" w:hAnsi="Times New Roman" w:cs="Times New Roman"/>
                <w:sz w:val="24"/>
                <w:szCs w:val="24"/>
              </w:rPr>
            </w:pPr>
            <w:proofErr w:type="spellStart"/>
            <w:r w:rsidRPr="00944E88">
              <w:rPr>
                <w:rFonts w:ascii="Times New Roman" w:hAnsi="Times New Roman" w:cs="Times New Roman"/>
                <w:sz w:val="24"/>
                <w:szCs w:val="24"/>
              </w:rPr>
              <w:t>Prob</w:t>
            </w:r>
            <w:proofErr w:type="spellEnd"/>
          </w:p>
          <w:p w:rsidR="00801238" w:rsidRPr="00944E88" w:rsidRDefault="00801238" w:rsidP="00944E88">
            <w:pPr>
              <w:jc w:val="both"/>
              <w:rPr>
                <w:rFonts w:ascii="Times New Roman" w:hAnsi="Times New Roman" w:cs="Times New Roman"/>
                <w:sz w:val="24"/>
                <w:szCs w:val="24"/>
              </w:rPr>
            </w:pPr>
            <w:r w:rsidRPr="00944E88">
              <w:rPr>
                <w:rFonts w:ascii="Times New Roman" w:hAnsi="Times New Roman" w:cs="Times New Roman"/>
                <w:sz w:val="24"/>
                <w:szCs w:val="24"/>
              </w:rPr>
              <w:t>(F-</w:t>
            </w:r>
            <w:proofErr w:type="spellStart"/>
            <w:r w:rsidRPr="00944E88">
              <w:rPr>
                <w:rFonts w:ascii="Times New Roman" w:hAnsi="Times New Roman" w:cs="Times New Roman"/>
                <w:sz w:val="24"/>
                <w:szCs w:val="24"/>
              </w:rPr>
              <w:t>estatístico</w:t>
            </w:r>
            <w:proofErr w:type="spellEnd"/>
            <w:r w:rsidRPr="00944E88">
              <w:rPr>
                <w:rFonts w:ascii="Times New Roman" w:hAnsi="Times New Roman" w:cs="Times New Roman"/>
                <w:sz w:val="24"/>
                <w:szCs w:val="24"/>
              </w:rPr>
              <w:t>)</w:t>
            </w:r>
          </w:p>
        </w:tc>
        <w:tc>
          <w:tcPr>
            <w:tcW w:w="1044"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0,000000</w:t>
            </w:r>
          </w:p>
        </w:tc>
        <w:tc>
          <w:tcPr>
            <w:tcW w:w="1000" w:type="pct"/>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0,000000</w:t>
            </w:r>
          </w:p>
        </w:tc>
        <w:tc>
          <w:tcPr>
            <w:tcW w:w="1000" w:type="pct"/>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r w:rsidR="00FC3DDD" w:rsidRPr="00944E88" w:rsidTr="00801238">
        <w:tc>
          <w:tcPr>
            <w:tcW w:w="957" w:type="pct"/>
            <w:tcBorders>
              <w:bottom w:val="single" w:sz="4" w:space="0" w:color="auto"/>
            </w:tcBorders>
            <w:vAlign w:val="center"/>
          </w:tcPr>
          <w:p w:rsidR="00801238" w:rsidRPr="00944E88" w:rsidRDefault="0069682A" w:rsidP="00944E88">
            <w:pPr>
              <w:jc w:val="both"/>
              <w:rPr>
                <w:rFonts w:ascii="Times New Roman" w:hAnsi="Times New Roman" w:cs="Times New Roman"/>
                <w:sz w:val="24"/>
                <w:szCs w:val="24"/>
              </w:rPr>
            </w:pPr>
            <w:proofErr w:type="spellStart"/>
            <w:r w:rsidRPr="00944E88">
              <w:rPr>
                <w:rFonts w:ascii="Times New Roman" w:hAnsi="Times New Roman" w:cs="Times New Roman"/>
                <w:sz w:val="24"/>
                <w:szCs w:val="24"/>
              </w:rPr>
              <w:t>Prob</w:t>
            </w:r>
            <w:proofErr w:type="spellEnd"/>
            <w:r w:rsidRPr="00944E88">
              <w:rPr>
                <w:rFonts w:ascii="Times New Roman" w:hAnsi="Times New Roman" w:cs="Times New Roman"/>
                <w:sz w:val="24"/>
                <w:szCs w:val="24"/>
              </w:rPr>
              <w:t xml:space="preserve"> </w:t>
            </w:r>
            <w:r w:rsidR="00801238" w:rsidRPr="00944E88">
              <w:rPr>
                <w:rFonts w:ascii="Times New Roman" w:hAnsi="Times New Roman" w:cs="Times New Roman"/>
                <w:sz w:val="24"/>
                <w:szCs w:val="24"/>
              </w:rPr>
              <w:t>J-</w:t>
            </w:r>
            <w:proofErr w:type="spellStart"/>
            <w:r w:rsidR="00801238" w:rsidRPr="00944E88">
              <w:rPr>
                <w:rFonts w:ascii="Times New Roman" w:hAnsi="Times New Roman" w:cs="Times New Roman"/>
                <w:sz w:val="24"/>
                <w:szCs w:val="24"/>
              </w:rPr>
              <w:t>Estatístico</w:t>
            </w:r>
            <w:proofErr w:type="spellEnd"/>
          </w:p>
        </w:tc>
        <w:tc>
          <w:tcPr>
            <w:tcW w:w="1044" w:type="pct"/>
            <w:tcBorders>
              <w:bottom w:val="single" w:sz="4" w:space="0" w:color="auto"/>
            </w:tcBorders>
            <w:vAlign w:val="center"/>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1000" w:type="pct"/>
            <w:tcBorders>
              <w:bottom w:val="single" w:sz="4" w:space="0" w:color="auto"/>
            </w:tcBorders>
            <w:vAlign w:val="center"/>
          </w:tcPr>
          <w:p w:rsidR="00801238" w:rsidRPr="00944E88" w:rsidRDefault="00801238" w:rsidP="00944E88">
            <w:pPr>
              <w:jc w:val="right"/>
              <w:rPr>
                <w:rFonts w:ascii="Times New Roman" w:hAnsi="Times New Roman" w:cs="Times New Roman"/>
                <w:sz w:val="24"/>
                <w:szCs w:val="24"/>
              </w:rPr>
            </w:pPr>
          </w:p>
        </w:tc>
        <w:tc>
          <w:tcPr>
            <w:tcW w:w="1000" w:type="pct"/>
            <w:tcBorders>
              <w:bottom w:val="single" w:sz="4" w:space="0" w:color="auto"/>
            </w:tcBorders>
            <w:vAlign w:val="center"/>
          </w:tcPr>
          <w:p w:rsidR="00801238" w:rsidRPr="00944E88" w:rsidRDefault="00DF27D9" w:rsidP="00944E88">
            <w:pPr>
              <w:jc w:val="right"/>
              <w:rPr>
                <w:rFonts w:ascii="Times New Roman" w:hAnsi="Times New Roman" w:cs="Times New Roman"/>
                <w:sz w:val="24"/>
                <w:szCs w:val="24"/>
              </w:rPr>
            </w:pPr>
            <w:r w:rsidRPr="00944E88">
              <w:rPr>
                <w:rFonts w:ascii="Times New Roman" w:hAnsi="Times New Roman" w:cs="Times New Roman"/>
                <w:sz w:val="24"/>
                <w:szCs w:val="24"/>
              </w:rPr>
              <w:t>0,017213</w:t>
            </w:r>
            <w:r w:rsidR="0069682A" w:rsidRPr="00944E88">
              <w:rPr>
                <w:rFonts w:ascii="Times New Roman" w:hAnsi="Times New Roman" w:cs="Times New Roman"/>
                <w:sz w:val="24"/>
                <w:szCs w:val="24"/>
              </w:rPr>
              <w:t>**</w:t>
            </w:r>
          </w:p>
        </w:tc>
        <w:tc>
          <w:tcPr>
            <w:tcW w:w="1000" w:type="pct"/>
            <w:tcBorders>
              <w:bottom w:val="single" w:sz="4" w:space="0" w:color="auto"/>
            </w:tcBorders>
          </w:tcPr>
          <w:p w:rsidR="00801238" w:rsidRPr="00944E88" w:rsidRDefault="00801238" w:rsidP="00944E88">
            <w:pPr>
              <w:jc w:val="right"/>
              <w:rPr>
                <w:rFonts w:ascii="Times New Roman" w:hAnsi="Times New Roman" w:cs="Times New Roman"/>
                <w:sz w:val="24"/>
                <w:szCs w:val="24"/>
              </w:rPr>
            </w:pPr>
            <w:r w:rsidRPr="00944E88">
              <w:rPr>
                <w:rFonts w:ascii="Times New Roman" w:hAnsi="Times New Roman" w:cs="Times New Roman"/>
                <w:sz w:val="24"/>
                <w:szCs w:val="24"/>
              </w:rPr>
              <w:t>0,0</w:t>
            </w:r>
            <w:r w:rsidR="00022E19" w:rsidRPr="00944E88">
              <w:rPr>
                <w:rFonts w:ascii="Times New Roman" w:hAnsi="Times New Roman" w:cs="Times New Roman"/>
                <w:sz w:val="24"/>
                <w:szCs w:val="24"/>
              </w:rPr>
              <w:t>19637</w:t>
            </w:r>
            <w:r w:rsidR="0069682A" w:rsidRPr="00944E88">
              <w:rPr>
                <w:rFonts w:ascii="Times New Roman" w:hAnsi="Times New Roman" w:cs="Times New Roman"/>
                <w:sz w:val="24"/>
                <w:szCs w:val="24"/>
              </w:rPr>
              <w:t>**</w:t>
            </w:r>
          </w:p>
        </w:tc>
      </w:tr>
    </w:tbl>
    <w:p w:rsidR="00482A1D" w:rsidRPr="0073171A" w:rsidRDefault="00482A1D" w:rsidP="00944E88">
      <w:pPr>
        <w:spacing w:after="0" w:line="240" w:lineRule="auto"/>
        <w:jc w:val="both"/>
        <w:rPr>
          <w:rFonts w:ascii="Times New Roman" w:hAnsi="Times New Roman" w:cs="Times New Roman"/>
          <w:sz w:val="20"/>
          <w:szCs w:val="20"/>
        </w:rPr>
      </w:pPr>
      <w:r w:rsidRPr="0073171A">
        <w:rPr>
          <w:rFonts w:ascii="Times New Roman" w:hAnsi="Times New Roman" w:cs="Times New Roman"/>
          <w:sz w:val="20"/>
          <w:szCs w:val="20"/>
        </w:rPr>
        <w:t xml:space="preserve">Fonte: Elaborado pela autora. Software utilizado: </w:t>
      </w:r>
      <w:proofErr w:type="spellStart"/>
      <w:r w:rsidRPr="0073171A">
        <w:rPr>
          <w:rFonts w:ascii="Times New Roman" w:hAnsi="Times New Roman" w:cs="Times New Roman"/>
          <w:sz w:val="20"/>
          <w:szCs w:val="20"/>
        </w:rPr>
        <w:t>Eviews</w:t>
      </w:r>
      <w:proofErr w:type="spellEnd"/>
      <w:r w:rsidR="0073171A" w:rsidRPr="0073171A">
        <w:rPr>
          <w:rFonts w:ascii="Times New Roman" w:hAnsi="Times New Roman" w:cs="Times New Roman"/>
          <w:sz w:val="20"/>
          <w:szCs w:val="20"/>
        </w:rPr>
        <w:t xml:space="preserve"> (2017)</w:t>
      </w:r>
      <w:r w:rsidRPr="0073171A">
        <w:rPr>
          <w:rFonts w:ascii="Times New Roman" w:hAnsi="Times New Roman" w:cs="Times New Roman"/>
          <w:sz w:val="20"/>
          <w:szCs w:val="20"/>
        </w:rPr>
        <w:t>.</w:t>
      </w:r>
    </w:p>
    <w:p w:rsidR="00482A1D" w:rsidRPr="0073171A" w:rsidRDefault="00482A1D" w:rsidP="00944E88">
      <w:pPr>
        <w:spacing w:after="0" w:line="240" w:lineRule="auto"/>
        <w:jc w:val="both"/>
        <w:rPr>
          <w:rFonts w:ascii="Times New Roman" w:hAnsi="Times New Roman" w:cs="Times New Roman"/>
          <w:sz w:val="20"/>
          <w:szCs w:val="20"/>
        </w:rPr>
      </w:pPr>
      <w:r w:rsidRPr="0073171A">
        <w:rPr>
          <w:rFonts w:ascii="Times New Roman" w:hAnsi="Times New Roman" w:cs="Times New Roman"/>
          <w:sz w:val="20"/>
          <w:szCs w:val="20"/>
        </w:rPr>
        <w:t>Sendo que * p &lt; 0,1; ** p &lt; 0,05; *** p &lt; 0,01.</w:t>
      </w:r>
    </w:p>
    <w:p w:rsidR="00F63988" w:rsidRPr="00944E88" w:rsidRDefault="00482A1D"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sz w:val="24"/>
          <w:szCs w:val="24"/>
        </w:rPr>
        <w:tab/>
      </w:r>
    </w:p>
    <w:p w:rsidR="00482A1D" w:rsidRPr="00944E88" w:rsidRDefault="007E05EA"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Destaca-se que no CAPM, </w:t>
      </w:r>
      <w:r w:rsidR="00482A1D" w:rsidRPr="00944E88">
        <w:rPr>
          <w:rFonts w:ascii="Times New Roman" w:hAnsi="Times New Roman" w:cs="Times New Roman"/>
          <w:sz w:val="24"/>
          <w:szCs w:val="24"/>
        </w:rPr>
        <w:t>ao realizar a regressão das primeiras diferenças</w:t>
      </w:r>
      <w:r w:rsidRPr="00944E88">
        <w:rPr>
          <w:rFonts w:ascii="Times New Roman" w:hAnsi="Times New Roman" w:cs="Times New Roman"/>
          <w:sz w:val="24"/>
          <w:szCs w:val="24"/>
        </w:rPr>
        <w:t>,</w:t>
      </w:r>
      <w:r w:rsidR="00482A1D" w:rsidRPr="00944E88">
        <w:rPr>
          <w:rFonts w:ascii="Times New Roman" w:hAnsi="Times New Roman" w:cs="Times New Roman"/>
          <w:sz w:val="24"/>
          <w:szCs w:val="24"/>
        </w:rPr>
        <w:t xml:space="preserve"> a constante tem que ser estatisticamente não significante, ou seja, igual </w:t>
      </w:r>
      <w:proofErr w:type="gramStart"/>
      <w:r w:rsidR="00482A1D" w:rsidRPr="00944E88">
        <w:rPr>
          <w:rFonts w:ascii="Times New Roman" w:hAnsi="Times New Roman" w:cs="Times New Roman"/>
          <w:sz w:val="24"/>
          <w:szCs w:val="24"/>
        </w:rPr>
        <w:t>a</w:t>
      </w:r>
      <w:proofErr w:type="gramEnd"/>
      <w:r w:rsidR="00482A1D" w:rsidRPr="00944E88">
        <w:rPr>
          <w:rFonts w:ascii="Times New Roman" w:hAnsi="Times New Roman" w:cs="Times New Roman"/>
          <w:sz w:val="24"/>
          <w:szCs w:val="24"/>
        </w:rPr>
        <w:t xml:space="preserve"> zero, o que foi confirmado nos resultados encontrados para os parâmetros estimados para os modelos (Tabela 2). Observa-se que os coeficientes estimados para </w:t>
      </w:r>
      <m:oMath>
        <m:r>
          <m:rPr>
            <m:sty m:val="p"/>
          </m:rPr>
          <w:rPr>
            <w:rFonts w:ascii="Cambria Math" w:hAnsi="Cambria Math" w:cs="Times New Roman"/>
            <w:sz w:val="24"/>
            <w:szCs w:val="24"/>
          </w:rPr>
          <m:t>Δ</m:t>
        </m:r>
        <m:r>
          <w:rPr>
            <w:rFonts w:ascii="Cambria Math" w:hAnsi="Cambria Math" w:cs="Times New Roman"/>
            <w:sz w:val="24"/>
            <w:szCs w:val="24"/>
          </w:rPr>
          <m:t>RIbov</m:t>
        </m:r>
      </m:oMath>
      <w:r w:rsidR="00482A1D" w:rsidRPr="00944E88">
        <w:rPr>
          <w:rFonts w:ascii="Times New Roman" w:hAnsi="Times New Roman" w:cs="Times New Roman"/>
          <w:sz w:val="24"/>
          <w:szCs w:val="24"/>
        </w:rPr>
        <w:t xml:space="preserve"> nas regressões da primeira diferença dos retornos no investimento imobiliário em São Paulo e no Rio de Janeiro contra a primeira diferença do retorno de mercado (Ibovespa) são estatisticamente significativos pelos testes T e F ao nível de 5%. Em relação ao quanto estas variáveis são capazes de determinar o comportamento do retorno do mercado imobiliário, tem-se um R² considerável, em torno de 50% para todos os modelos, o que ressalta a importância da diferença do retorno do Ibovespa, bem como de outras variáveis na determinação do retorno do investimento no mercado imobiliário brasileiro. </w:t>
      </w:r>
    </w:p>
    <w:p w:rsidR="00482A1D" w:rsidRPr="00944E88" w:rsidRDefault="00482A1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A diferença do retorno de mercado afeta o comportamento da diferença do retorno do investimento imobiliário de forma negativa para as duas localidades. Desta forma, se o retorno do mercado cai no período t em relação ao período t-1, observa-se um aumento na primeira diferença do retorno do investimento no mercado imobiliário.</w:t>
      </w:r>
    </w:p>
    <w:p w:rsidR="00482A1D" w:rsidRPr="00944E88" w:rsidRDefault="00482A1D" w:rsidP="00944E88">
      <w:pPr>
        <w:autoSpaceDE w:val="0"/>
        <w:autoSpaceDN w:val="0"/>
        <w:adjustRightInd w:val="0"/>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Seguindo os resultados encontrados por Case, </w:t>
      </w:r>
      <w:proofErr w:type="spellStart"/>
      <w:r w:rsidRPr="00944E88">
        <w:rPr>
          <w:rFonts w:ascii="Times New Roman" w:hAnsi="Times New Roman" w:cs="Times New Roman"/>
          <w:sz w:val="24"/>
          <w:szCs w:val="24"/>
        </w:rPr>
        <w:t>Cotter</w:t>
      </w:r>
      <w:proofErr w:type="spellEnd"/>
      <w:r w:rsidRPr="00944E88">
        <w:rPr>
          <w:rFonts w:ascii="Times New Roman" w:hAnsi="Times New Roman" w:cs="Times New Roman"/>
          <w:sz w:val="24"/>
          <w:szCs w:val="24"/>
        </w:rPr>
        <w:t xml:space="preserve"> e Gabriel (2010), a taxa de retorno média de 1985-2007 foi de 1% a.a. para as regiões metropolitanas dos EUA. No caso brasileiro, apesar de os dados corresponderem a um período diferente, 2008-201</w:t>
      </w:r>
      <w:r w:rsidR="00DC0043" w:rsidRPr="00944E88">
        <w:rPr>
          <w:rFonts w:ascii="Times New Roman" w:hAnsi="Times New Roman" w:cs="Times New Roman"/>
          <w:sz w:val="24"/>
          <w:szCs w:val="24"/>
        </w:rPr>
        <w:t>6</w:t>
      </w:r>
      <w:r w:rsidRPr="00944E88">
        <w:rPr>
          <w:rFonts w:ascii="Times New Roman" w:hAnsi="Times New Roman" w:cs="Times New Roman"/>
          <w:sz w:val="24"/>
          <w:szCs w:val="24"/>
        </w:rPr>
        <w:t>, observa-se um comportamento bastante diferente, o retorno médio de S</w:t>
      </w:r>
      <w:r w:rsidR="00DC0043" w:rsidRPr="00944E88">
        <w:rPr>
          <w:rFonts w:ascii="Times New Roman" w:hAnsi="Times New Roman" w:cs="Times New Roman"/>
          <w:sz w:val="24"/>
          <w:szCs w:val="24"/>
        </w:rPr>
        <w:t>ão Paulo neste período foi de 14,11</w:t>
      </w:r>
      <w:r w:rsidRPr="00944E88">
        <w:rPr>
          <w:rFonts w:ascii="Times New Roman" w:hAnsi="Times New Roman" w:cs="Times New Roman"/>
          <w:sz w:val="24"/>
          <w:szCs w:val="24"/>
        </w:rPr>
        <w:t>% a.a. e para o Rio de Janeiro, 1</w:t>
      </w:r>
      <w:r w:rsidR="00DC0043" w:rsidRPr="00944E88">
        <w:rPr>
          <w:rFonts w:ascii="Times New Roman" w:hAnsi="Times New Roman" w:cs="Times New Roman"/>
          <w:sz w:val="24"/>
          <w:szCs w:val="24"/>
        </w:rPr>
        <w:t>4,18</w:t>
      </w:r>
      <w:r w:rsidRPr="00944E88">
        <w:rPr>
          <w:rFonts w:ascii="Times New Roman" w:hAnsi="Times New Roman" w:cs="Times New Roman"/>
          <w:sz w:val="24"/>
          <w:szCs w:val="24"/>
        </w:rPr>
        <w:t>% a.a. Quanto aos betas do modelo CAPM, o estudo citado acima encontrou betas negativos ao analisar o retorno do investimento imobiliário das regiões com o retorno da S&amp;P500, porém com baixo poder de explicação, destaca-se que os modelos estimados no trabalho citado possuem mais variáveis explicativas do que neste estudo. Os betas encontrados para o mercado brasileiro também são bem menores e possuem um R² considerável, pode-se concluir que as divergências entre os resultados se devem à grande presença de forças especulativas no mercado imobiliário dos EUA o que não é comum na determinação dos preços de imóveis no Brasil.</w:t>
      </w:r>
    </w:p>
    <w:p w:rsidR="00482A1D" w:rsidRPr="00944E88" w:rsidRDefault="00482A1D" w:rsidP="00944E88">
      <w:pPr>
        <w:autoSpaceDE w:val="0"/>
        <w:autoSpaceDN w:val="0"/>
        <w:adjustRightInd w:val="0"/>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lastRenderedPageBreak/>
        <w:tab/>
        <w:t>Este resultado vai de acordo com a evolução das taxas básicas de juros destes dois países. No Brasil, a taxa básica de juros da economia é denominada SELIC e está em 1</w:t>
      </w:r>
      <w:r w:rsidR="00DC0043" w:rsidRPr="00944E88">
        <w:rPr>
          <w:rFonts w:ascii="Times New Roman" w:hAnsi="Times New Roman" w:cs="Times New Roman"/>
          <w:sz w:val="24"/>
          <w:szCs w:val="24"/>
        </w:rPr>
        <w:t>0,25</w:t>
      </w:r>
      <w:r w:rsidRPr="00944E88">
        <w:rPr>
          <w:rFonts w:ascii="Times New Roman" w:hAnsi="Times New Roman" w:cs="Times New Roman"/>
          <w:sz w:val="24"/>
          <w:szCs w:val="24"/>
        </w:rPr>
        <w:t>% a.a. (</w:t>
      </w:r>
      <w:r w:rsidR="00DC0043" w:rsidRPr="00944E88">
        <w:rPr>
          <w:rFonts w:ascii="Times New Roman" w:hAnsi="Times New Roman" w:cs="Times New Roman"/>
          <w:sz w:val="24"/>
          <w:szCs w:val="24"/>
        </w:rPr>
        <w:t xml:space="preserve">junho de </w:t>
      </w:r>
      <w:r w:rsidRPr="00944E88">
        <w:rPr>
          <w:rFonts w:ascii="Times New Roman" w:hAnsi="Times New Roman" w:cs="Times New Roman"/>
          <w:sz w:val="24"/>
          <w:szCs w:val="24"/>
        </w:rPr>
        <w:t>201</w:t>
      </w:r>
      <w:r w:rsidR="00DC0043" w:rsidRPr="00944E88">
        <w:rPr>
          <w:rFonts w:ascii="Times New Roman" w:hAnsi="Times New Roman" w:cs="Times New Roman"/>
          <w:sz w:val="24"/>
          <w:szCs w:val="24"/>
        </w:rPr>
        <w:t>7</w:t>
      </w:r>
      <w:r w:rsidRPr="00944E88">
        <w:rPr>
          <w:rFonts w:ascii="Times New Roman" w:hAnsi="Times New Roman" w:cs="Times New Roman"/>
          <w:sz w:val="24"/>
          <w:szCs w:val="24"/>
        </w:rPr>
        <w:t xml:space="preserve">) enquanto que nos EUA a taxa correspondente a essa variável é 0,5% </w:t>
      </w:r>
      <w:proofErr w:type="spellStart"/>
      <w:r w:rsidRPr="00944E88">
        <w:rPr>
          <w:rFonts w:ascii="Times New Roman" w:hAnsi="Times New Roman" w:cs="Times New Roman"/>
          <w:sz w:val="24"/>
          <w:szCs w:val="24"/>
        </w:rPr>
        <w:t>a.a</w:t>
      </w:r>
      <w:proofErr w:type="spellEnd"/>
      <w:r w:rsidRPr="00944E88">
        <w:rPr>
          <w:rFonts w:ascii="Times New Roman" w:hAnsi="Times New Roman" w:cs="Times New Roman"/>
          <w:sz w:val="24"/>
          <w:szCs w:val="24"/>
        </w:rPr>
        <w:t>, o que ressalta a grande diferença nos retornos obtidos em investimentos nesses países, podendo ser aplicado também ao se analisar o retorno do mercado imobiliário.</w:t>
      </w:r>
    </w:p>
    <w:p w:rsidR="00482A1D" w:rsidRPr="00944E88" w:rsidRDefault="004A0EBB"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Os dados utilizados para a estimação dos modelos do CCAPM modificado cor</w:t>
      </w:r>
      <w:r w:rsidR="002B2C9B" w:rsidRPr="00944E88">
        <w:rPr>
          <w:rFonts w:ascii="Times New Roman" w:hAnsi="Times New Roman" w:cs="Times New Roman"/>
          <w:sz w:val="24"/>
          <w:szCs w:val="24"/>
        </w:rPr>
        <w:t xml:space="preserve">respondem a dados mensais de </w:t>
      </w:r>
      <w:proofErr w:type="spellStart"/>
      <w:r w:rsidR="002B2C9B" w:rsidRPr="00944E88">
        <w:rPr>
          <w:rFonts w:ascii="Times New Roman" w:hAnsi="Times New Roman" w:cs="Times New Roman"/>
          <w:sz w:val="24"/>
          <w:szCs w:val="24"/>
        </w:rPr>
        <w:t>fev</w:t>
      </w:r>
      <w:proofErr w:type="spellEnd"/>
      <w:r w:rsidRPr="00944E88">
        <w:rPr>
          <w:rFonts w:ascii="Times New Roman" w:hAnsi="Times New Roman" w:cs="Times New Roman"/>
          <w:sz w:val="24"/>
          <w:szCs w:val="24"/>
        </w:rPr>
        <w:t xml:space="preserve">/2008 a </w:t>
      </w:r>
      <w:proofErr w:type="spellStart"/>
      <w:r w:rsidR="002B2C9B" w:rsidRPr="00944E88">
        <w:rPr>
          <w:rFonts w:ascii="Times New Roman" w:hAnsi="Times New Roman" w:cs="Times New Roman"/>
          <w:sz w:val="24"/>
          <w:szCs w:val="24"/>
        </w:rPr>
        <w:t>jan</w:t>
      </w:r>
      <w:proofErr w:type="spellEnd"/>
      <w:r w:rsidRPr="00944E88">
        <w:rPr>
          <w:rFonts w:ascii="Times New Roman" w:hAnsi="Times New Roman" w:cs="Times New Roman"/>
          <w:sz w:val="24"/>
          <w:szCs w:val="24"/>
        </w:rPr>
        <w:t>/201</w:t>
      </w:r>
      <w:r w:rsidR="002B2C9B" w:rsidRPr="00944E88">
        <w:rPr>
          <w:rFonts w:ascii="Times New Roman" w:hAnsi="Times New Roman" w:cs="Times New Roman"/>
          <w:sz w:val="24"/>
          <w:szCs w:val="24"/>
        </w:rPr>
        <w:t>7</w:t>
      </w:r>
      <w:r w:rsidR="000F7D6F" w:rsidRPr="00944E88">
        <w:rPr>
          <w:rFonts w:ascii="Times New Roman" w:hAnsi="Times New Roman" w:cs="Times New Roman"/>
          <w:sz w:val="24"/>
          <w:szCs w:val="24"/>
        </w:rPr>
        <w:t xml:space="preserve"> para São Paulo e de </w:t>
      </w:r>
      <w:proofErr w:type="spellStart"/>
      <w:r w:rsidR="000F7D6F" w:rsidRPr="00944E88">
        <w:rPr>
          <w:rFonts w:ascii="Times New Roman" w:hAnsi="Times New Roman" w:cs="Times New Roman"/>
          <w:sz w:val="24"/>
          <w:szCs w:val="24"/>
        </w:rPr>
        <w:t>fev</w:t>
      </w:r>
      <w:proofErr w:type="spellEnd"/>
      <w:r w:rsidR="000F7D6F" w:rsidRPr="00944E88">
        <w:rPr>
          <w:rFonts w:ascii="Times New Roman" w:hAnsi="Times New Roman" w:cs="Times New Roman"/>
          <w:sz w:val="24"/>
          <w:szCs w:val="24"/>
        </w:rPr>
        <w:t>/2008 a dez/2016 para o Rio de Janeiro</w:t>
      </w:r>
      <w:r w:rsidRPr="00944E88">
        <w:rPr>
          <w:rFonts w:ascii="Times New Roman" w:hAnsi="Times New Roman" w:cs="Times New Roman"/>
          <w:sz w:val="24"/>
          <w:szCs w:val="24"/>
        </w:rPr>
        <w:t xml:space="preserve">. </w:t>
      </w:r>
      <w:r w:rsidR="00482A1D" w:rsidRPr="00944E88">
        <w:rPr>
          <w:rFonts w:ascii="Times New Roman" w:hAnsi="Times New Roman" w:cs="Times New Roman"/>
          <w:sz w:val="24"/>
          <w:szCs w:val="24"/>
        </w:rPr>
        <w:tab/>
        <w:t>Para a estimação do CCAPM modificado por GMM é necessário que se definam as variáveis instrumentais de cada modelo.</w:t>
      </w:r>
      <w:r w:rsidR="007E05EA" w:rsidRPr="00944E88">
        <w:rPr>
          <w:rFonts w:ascii="Times New Roman" w:hAnsi="Times New Roman" w:cs="Times New Roman"/>
          <w:sz w:val="24"/>
          <w:szCs w:val="24"/>
        </w:rPr>
        <w:t xml:space="preserve"> </w:t>
      </w:r>
      <w:r w:rsidR="00482A1D" w:rsidRPr="00944E88">
        <w:rPr>
          <w:rFonts w:ascii="Times New Roman" w:hAnsi="Times New Roman" w:cs="Times New Roman"/>
          <w:sz w:val="24"/>
          <w:szCs w:val="24"/>
        </w:rPr>
        <w:tab/>
        <w:t xml:space="preserve">Para o modelo de São Paulo, </w:t>
      </w:r>
      <w:proofErr w:type="gramStart"/>
      <w:r w:rsidR="00482A1D" w:rsidRPr="00944E88">
        <w:rPr>
          <w:rFonts w:ascii="Times New Roman" w:hAnsi="Times New Roman" w:cs="Times New Roman"/>
          <w:sz w:val="24"/>
          <w:szCs w:val="24"/>
        </w:rPr>
        <w:t>encontrou-se</w:t>
      </w:r>
      <w:proofErr w:type="gramEnd"/>
      <w:r w:rsidR="00482A1D" w:rsidRPr="00944E88">
        <w:rPr>
          <w:rFonts w:ascii="Times New Roman" w:hAnsi="Times New Roman" w:cs="Times New Roman"/>
          <w:sz w:val="24"/>
          <w:szCs w:val="24"/>
        </w:rPr>
        <w:t xml:space="preserve"> resultados mais adequados ao utilizar como variáveis instrumentais: uma constante, a taxa de cresciment</w:t>
      </w:r>
      <w:r w:rsidR="002B2C9B" w:rsidRPr="00944E88">
        <w:rPr>
          <w:rFonts w:ascii="Times New Roman" w:hAnsi="Times New Roman" w:cs="Times New Roman"/>
          <w:sz w:val="24"/>
          <w:szCs w:val="24"/>
        </w:rPr>
        <w:t xml:space="preserve">o do estoque de imóveis, a taxa de crescimento do consumo, a relação entre aluguel hoje e preço de venda passado e a taxa de crescimento do preço dos imóveis, todas com duas </w:t>
      </w:r>
      <w:r w:rsidR="00482A1D" w:rsidRPr="00944E88">
        <w:rPr>
          <w:rFonts w:ascii="Times New Roman" w:hAnsi="Times New Roman" w:cs="Times New Roman"/>
          <w:sz w:val="24"/>
          <w:szCs w:val="24"/>
        </w:rPr>
        <w:t>defasage</w:t>
      </w:r>
      <w:r w:rsidR="002B2C9B" w:rsidRPr="00944E88">
        <w:rPr>
          <w:rFonts w:ascii="Times New Roman" w:hAnsi="Times New Roman" w:cs="Times New Roman"/>
          <w:sz w:val="24"/>
          <w:szCs w:val="24"/>
        </w:rPr>
        <w:t>ns</w:t>
      </w:r>
      <w:r w:rsidR="00482A1D" w:rsidRPr="00944E88">
        <w:rPr>
          <w:rFonts w:ascii="Times New Roman" w:hAnsi="Times New Roman" w:cs="Times New Roman"/>
          <w:sz w:val="24"/>
          <w:szCs w:val="24"/>
        </w:rPr>
        <w:t xml:space="preserve">. Os resultados do modelo mostram que os coeficientes estimados para os parâmetros são significativos </w:t>
      </w:r>
      <w:proofErr w:type="gramStart"/>
      <w:r w:rsidR="00482A1D" w:rsidRPr="00944E88">
        <w:rPr>
          <w:rFonts w:ascii="Times New Roman" w:hAnsi="Times New Roman" w:cs="Times New Roman"/>
          <w:sz w:val="24"/>
          <w:szCs w:val="24"/>
        </w:rPr>
        <w:t>à</w:t>
      </w:r>
      <w:proofErr w:type="gramEnd"/>
      <w:r w:rsidR="00482A1D" w:rsidRPr="00944E88">
        <w:rPr>
          <w:rFonts w:ascii="Times New Roman" w:hAnsi="Times New Roman" w:cs="Times New Roman"/>
          <w:sz w:val="24"/>
          <w:szCs w:val="24"/>
        </w:rPr>
        <w:t xml:space="preserve"> qualquer nível de significância. As variáveis utilizadas como instrumentos são válidas para explicar o mode</w:t>
      </w:r>
      <w:r w:rsidR="002B2C9B" w:rsidRPr="00944E88">
        <w:rPr>
          <w:rFonts w:ascii="Times New Roman" w:hAnsi="Times New Roman" w:cs="Times New Roman"/>
          <w:sz w:val="24"/>
          <w:szCs w:val="24"/>
        </w:rPr>
        <w:t>lo, ao nível de 1</w:t>
      </w:r>
      <w:r w:rsidR="00482A1D" w:rsidRPr="00944E88">
        <w:rPr>
          <w:rFonts w:ascii="Times New Roman" w:hAnsi="Times New Roman" w:cs="Times New Roman"/>
          <w:sz w:val="24"/>
          <w:szCs w:val="24"/>
        </w:rPr>
        <w:t xml:space="preserve">% de significância, já que não rejeita a hipótese nula do teste de que o modelo é válido. </w:t>
      </w:r>
    </w:p>
    <w:p w:rsidR="00801238" w:rsidRPr="00944E88" w:rsidRDefault="00482A1D"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Já o modelo CCAPM, para o Rio de Janeiro, utilizou como variáveis instrumentais: uma constante, </w:t>
      </w:r>
      <w:r w:rsidR="00E65BFF" w:rsidRPr="00944E88">
        <w:rPr>
          <w:rFonts w:ascii="Times New Roman" w:hAnsi="Times New Roman" w:cs="Times New Roman"/>
          <w:sz w:val="24"/>
          <w:szCs w:val="24"/>
        </w:rPr>
        <w:t>a segunda defasagem da taxa de crescimento do consumo</w:t>
      </w:r>
      <w:r w:rsidR="00DF27D9" w:rsidRPr="00944E88">
        <w:rPr>
          <w:rFonts w:ascii="Times New Roman" w:hAnsi="Times New Roman" w:cs="Times New Roman"/>
          <w:sz w:val="24"/>
          <w:szCs w:val="24"/>
        </w:rPr>
        <w:t>, da</w:t>
      </w:r>
      <w:r w:rsidRPr="00944E88">
        <w:rPr>
          <w:rFonts w:ascii="Times New Roman" w:hAnsi="Times New Roman" w:cs="Times New Roman"/>
          <w:sz w:val="24"/>
          <w:szCs w:val="24"/>
        </w:rPr>
        <w:t xml:space="preserve"> taxa de crescimento do estoque de imóveis</w:t>
      </w:r>
      <w:r w:rsidR="00DF27D9" w:rsidRPr="00944E88">
        <w:rPr>
          <w:rFonts w:ascii="Times New Roman" w:hAnsi="Times New Roman" w:cs="Times New Roman"/>
          <w:sz w:val="24"/>
          <w:szCs w:val="24"/>
        </w:rPr>
        <w:t xml:space="preserve"> e d</w:t>
      </w:r>
      <w:r w:rsidR="00E65BFF" w:rsidRPr="00944E88">
        <w:rPr>
          <w:rFonts w:ascii="Times New Roman" w:hAnsi="Times New Roman" w:cs="Times New Roman"/>
          <w:sz w:val="24"/>
          <w:szCs w:val="24"/>
        </w:rPr>
        <w:t>a taxa do crescimento do preço de venda do m² e</w:t>
      </w:r>
      <w:r w:rsidR="00DF27D9" w:rsidRPr="00944E88">
        <w:rPr>
          <w:rFonts w:ascii="Times New Roman" w:hAnsi="Times New Roman" w:cs="Times New Roman"/>
          <w:sz w:val="24"/>
          <w:szCs w:val="24"/>
        </w:rPr>
        <w:t xml:space="preserve"> a primeira e segunda defasagem da </w:t>
      </w:r>
      <w:r w:rsidR="00E65BFF" w:rsidRPr="00944E88">
        <w:rPr>
          <w:rFonts w:ascii="Times New Roman" w:hAnsi="Times New Roman" w:cs="Times New Roman"/>
          <w:sz w:val="24"/>
          <w:szCs w:val="24"/>
        </w:rPr>
        <w:t>relação entre consumo e preço de venda</w:t>
      </w:r>
      <w:r w:rsidR="00DF27D9" w:rsidRPr="00944E88">
        <w:rPr>
          <w:rFonts w:ascii="Times New Roman" w:hAnsi="Times New Roman" w:cs="Times New Roman"/>
          <w:sz w:val="24"/>
          <w:szCs w:val="24"/>
        </w:rPr>
        <w:t xml:space="preserve">. </w:t>
      </w:r>
      <w:r w:rsidR="00801238" w:rsidRPr="00944E88">
        <w:rPr>
          <w:rFonts w:ascii="Times New Roman" w:hAnsi="Times New Roman" w:cs="Times New Roman"/>
          <w:sz w:val="24"/>
          <w:szCs w:val="24"/>
        </w:rPr>
        <w:t>Os parâmetros</w:t>
      </w:r>
      <w:r w:rsidR="00801238" w:rsidRPr="00944E88">
        <w:rPr>
          <w:rFonts w:ascii="Cambria Math" w:hAnsi="Cambria Math" w:cs="Times New Roman"/>
          <w:sz w:val="24"/>
          <w:szCs w:val="24"/>
        </w:rPr>
        <w:br/>
      </w:r>
      <w:r w:rsidR="00801238" w:rsidRPr="00944E88">
        <w:rPr>
          <w:rFonts w:ascii="Cambria Math" w:hAnsi="Cambria Math" w:cs="Times New Roman"/>
          <w:i/>
          <w:sz w:val="24"/>
          <w:szCs w:val="24"/>
        </w:rPr>
        <w:t>𝛽</w:t>
      </w:r>
      <w:r w:rsidR="00801238" w:rsidRPr="00944E88">
        <w:rPr>
          <w:rFonts w:ascii="Times New Roman" w:hAnsi="Times New Roman" w:cs="Times New Roman"/>
          <w:sz w:val="24"/>
          <w:szCs w:val="24"/>
        </w:rPr>
        <w:t xml:space="preserve"> e </w:t>
      </w:r>
      <m:oMath>
        <m:r>
          <w:rPr>
            <w:rFonts w:ascii="Cambria Math" w:hAnsi="Cambria Math" w:cs="Times New Roman"/>
            <w:sz w:val="24"/>
            <w:szCs w:val="24"/>
          </w:rPr>
          <m:t>θ</m:t>
        </m:r>
      </m:oMath>
      <w:r w:rsidR="00801238" w:rsidRPr="00944E88">
        <w:rPr>
          <w:rFonts w:ascii="Times New Roman" w:hAnsi="Times New Roman" w:cs="Times New Roman"/>
          <w:sz w:val="24"/>
          <w:szCs w:val="24"/>
        </w:rPr>
        <w:t xml:space="preserve"> também são estatisticamente significantes </w:t>
      </w:r>
      <w:r w:rsidR="00E65BFF" w:rsidRPr="00944E88">
        <w:rPr>
          <w:rFonts w:ascii="Times New Roman" w:hAnsi="Times New Roman" w:cs="Times New Roman"/>
          <w:sz w:val="24"/>
          <w:szCs w:val="24"/>
        </w:rPr>
        <w:t>a qualquer n</w:t>
      </w:r>
      <w:r w:rsidR="00801238" w:rsidRPr="00944E88">
        <w:rPr>
          <w:rFonts w:ascii="Times New Roman" w:hAnsi="Times New Roman" w:cs="Times New Roman"/>
          <w:sz w:val="24"/>
          <w:szCs w:val="24"/>
        </w:rPr>
        <w:t xml:space="preserve">ível </w:t>
      </w:r>
      <w:r w:rsidR="00E65BFF" w:rsidRPr="00944E88">
        <w:rPr>
          <w:rFonts w:ascii="Times New Roman" w:hAnsi="Times New Roman" w:cs="Times New Roman"/>
          <w:sz w:val="24"/>
          <w:szCs w:val="24"/>
        </w:rPr>
        <w:t xml:space="preserve">de significância </w:t>
      </w:r>
      <w:r w:rsidR="00801238" w:rsidRPr="00944E88">
        <w:rPr>
          <w:rFonts w:ascii="Times New Roman" w:hAnsi="Times New Roman" w:cs="Times New Roman"/>
          <w:sz w:val="24"/>
          <w:szCs w:val="24"/>
        </w:rPr>
        <w:t xml:space="preserve">e as variáveis instrumentais são consideradas </w:t>
      </w:r>
      <w:r w:rsidR="00E65BFF" w:rsidRPr="00944E88">
        <w:rPr>
          <w:rFonts w:ascii="Times New Roman" w:hAnsi="Times New Roman" w:cs="Times New Roman"/>
          <w:sz w:val="24"/>
          <w:szCs w:val="24"/>
        </w:rPr>
        <w:t xml:space="preserve">válidas para explicar o modelo ao nível de significância de </w:t>
      </w:r>
      <w:r w:rsidR="00DF27D9" w:rsidRPr="00944E88">
        <w:rPr>
          <w:rFonts w:ascii="Times New Roman" w:hAnsi="Times New Roman" w:cs="Times New Roman"/>
          <w:sz w:val="24"/>
          <w:szCs w:val="24"/>
        </w:rPr>
        <w:t>1</w:t>
      </w:r>
      <w:r w:rsidR="00801238" w:rsidRPr="00944E88">
        <w:rPr>
          <w:rFonts w:ascii="Times New Roman" w:hAnsi="Times New Roman" w:cs="Times New Roman"/>
          <w:sz w:val="24"/>
          <w:szCs w:val="24"/>
        </w:rPr>
        <w:t>%.</w:t>
      </w:r>
    </w:p>
    <w:p w:rsidR="00801238" w:rsidRPr="00944E88" w:rsidRDefault="0080123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O fator de desconto intertemporal do consumo, </w:t>
      </w:r>
      <m:oMath>
        <m:r>
          <w:rPr>
            <w:rFonts w:ascii="Cambria Math" w:hAnsi="Cambria Math" w:cs="Times New Roman"/>
            <w:sz w:val="24"/>
            <w:szCs w:val="24"/>
          </w:rPr>
          <m:t>β</m:t>
        </m:r>
      </m:oMath>
      <w:r w:rsidRPr="00944E88">
        <w:rPr>
          <w:rFonts w:ascii="Times New Roman" w:hAnsi="Times New Roman" w:cs="Times New Roman"/>
          <w:sz w:val="24"/>
          <w:szCs w:val="24"/>
        </w:rPr>
        <w:t xml:space="preserve">, estimado para as duas cidades são muito próximos, em torno de 0,98 ao mês para São Paulo e 0,99 para o Rio de Janeiro, o que transformando em desconto anual resulta em betas menores ainda, 0,79 para São Paulo e 0,89 para Rio de Janeiro. A teoria mostra que betas pequenos são compatíveis com maior impaciência do consumidor. Estudos realizados para estimação do beta na economia brasileira sem considerar o mercado imobiliário, como de </w:t>
      </w:r>
      <w:proofErr w:type="spellStart"/>
      <w:r w:rsidRPr="00944E88">
        <w:rPr>
          <w:rFonts w:ascii="Times New Roman" w:hAnsi="Times New Roman" w:cs="Times New Roman"/>
          <w:sz w:val="24"/>
          <w:szCs w:val="24"/>
        </w:rPr>
        <w:t>Issler</w:t>
      </w:r>
      <w:proofErr w:type="spellEnd"/>
      <w:r w:rsidRPr="00944E88">
        <w:rPr>
          <w:rFonts w:ascii="Times New Roman" w:hAnsi="Times New Roman" w:cs="Times New Roman"/>
          <w:sz w:val="24"/>
          <w:szCs w:val="24"/>
        </w:rPr>
        <w:t xml:space="preserve"> e </w:t>
      </w:r>
      <w:proofErr w:type="spellStart"/>
      <w:r w:rsidRPr="00944E88">
        <w:rPr>
          <w:rFonts w:ascii="Times New Roman" w:hAnsi="Times New Roman" w:cs="Times New Roman"/>
          <w:sz w:val="24"/>
          <w:szCs w:val="24"/>
        </w:rPr>
        <w:t>Piqueira</w:t>
      </w:r>
      <w:proofErr w:type="spellEnd"/>
      <w:r w:rsidRPr="00944E88">
        <w:rPr>
          <w:rFonts w:ascii="Times New Roman" w:hAnsi="Times New Roman" w:cs="Times New Roman"/>
          <w:sz w:val="24"/>
          <w:szCs w:val="24"/>
        </w:rPr>
        <w:t xml:space="preserve"> (1999), que analisou dados de 1975-1998 </w:t>
      </w:r>
      <w:proofErr w:type="gramStart"/>
      <w:r w:rsidRPr="00944E88">
        <w:rPr>
          <w:rFonts w:ascii="Times New Roman" w:hAnsi="Times New Roman" w:cs="Times New Roman"/>
          <w:sz w:val="24"/>
          <w:szCs w:val="24"/>
        </w:rPr>
        <w:t>encontrou</w:t>
      </w:r>
      <w:proofErr w:type="gramEnd"/>
      <w:r w:rsidRPr="00944E88">
        <w:rPr>
          <w:rFonts w:ascii="Times New Roman" w:hAnsi="Times New Roman" w:cs="Times New Roman"/>
          <w:sz w:val="24"/>
          <w:szCs w:val="24"/>
        </w:rPr>
        <w:t xml:space="preserve"> fatores de desconto que variavam de 0,85 a 0,96 em termos anuais. </w:t>
      </w:r>
      <w:r w:rsidRPr="00944E88">
        <w:rPr>
          <w:rFonts w:ascii="Times New Roman" w:hAnsi="Times New Roman" w:cs="Times New Roman"/>
          <w:sz w:val="24"/>
          <w:szCs w:val="24"/>
        </w:rPr>
        <w:tab/>
        <w:t>Desta forma, os resultados encontrados neste estudo vão de encontro ao que estudiosos da área afirmam: "Comparando-se brasileiros e americanos fica claro que o consumidor brasileiro é mais impaciente que o americano, que tem um fator de desconto próximo à unidade" (ISSLER E PIQUEIRA, 1999, p. 18).</w:t>
      </w:r>
    </w:p>
    <w:p w:rsidR="00801238" w:rsidRPr="00944E88" w:rsidRDefault="0080123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Segundo Mas-</w:t>
      </w:r>
      <w:proofErr w:type="spellStart"/>
      <w:r w:rsidRPr="00944E88">
        <w:rPr>
          <w:rFonts w:ascii="Times New Roman" w:hAnsi="Times New Roman" w:cs="Times New Roman"/>
          <w:sz w:val="24"/>
          <w:szCs w:val="24"/>
        </w:rPr>
        <w:t>Collel</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Whinston</w:t>
      </w:r>
      <w:proofErr w:type="spellEnd"/>
      <w:r w:rsidRPr="00944E88">
        <w:rPr>
          <w:rFonts w:ascii="Times New Roman" w:hAnsi="Times New Roman" w:cs="Times New Roman"/>
          <w:sz w:val="24"/>
          <w:szCs w:val="24"/>
        </w:rPr>
        <w:t xml:space="preserve"> e Green (1995, p. 56), a função de utilidade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 xml:space="preserve">-Douglas possui como propriedade que o gasto em cada um dos componentes da função corresponde a uma parcela constante da sua riqueza. Seguindo esta ideia, pode-se dizer que pelos parâmetros encontrados para a função de utilidade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-Douglas aplicada aos dados de São Paulo, observa-se que o agente representativo de</w:t>
      </w:r>
      <w:r w:rsidR="009C7AAC" w:rsidRPr="00944E88">
        <w:rPr>
          <w:rFonts w:ascii="Times New Roman" w:hAnsi="Times New Roman" w:cs="Times New Roman"/>
          <w:sz w:val="24"/>
          <w:szCs w:val="24"/>
        </w:rPr>
        <w:t xml:space="preserve">sta localidade aloca em média </w:t>
      </w:r>
      <w:r w:rsidR="00E71054" w:rsidRPr="00944E88">
        <w:rPr>
          <w:rFonts w:ascii="Times New Roman" w:hAnsi="Times New Roman" w:cs="Times New Roman"/>
          <w:sz w:val="24"/>
          <w:szCs w:val="24"/>
        </w:rPr>
        <w:t>82</w:t>
      </w:r>
      <w:r w:rsidRPr="00944E88">
        <w:rPr>
          <w:rFonts w:ascii="Times New Roman" w:hAnsi="Times New Roman" w:cs="Times New Roman"/>
          <w:sz w:val="24"/>
          <w:szCs w:val="24"/>
        </w:rPr>
        <w:t>% da sua riqueza em consumo de bens duráveis</w:t>
      </w:r>
      <w:r w:rsidR="009C7AAC" w:rsidRPr="00944E88">
        <w:rPr>
          <w:rFonts w:ascii="Times New Roman" w:hAnsi="Times New Roman" w:cs="Times New Roman"/>
          <w:sz w:val="24"/>
          <w:szCs w:val="24"/>
        </w:rPr>
        <w:t xml:space="preserve"> e não duráveis e o restante, </w:t>
      </w:r>
      <w:r w:rsidR="00E71054" w:rsidRPr="00944E88">
        <w:rPr>
          <w:rFonts w:ascii="Times New Roman" w:hAnsi="Times New Roman" w:cs="Times New Roman"/>
          <w:sz w:val="24"/>
          <w:szCs w:val="24"/>
        </w:rPr>
        <w:t>18</w:t>
      </w:r>
      <w:r w:rsidRPr="00944E88">
        <w:rPr>
          <w:rFonts w:ascii="Times New Roman" w:hAnsi="Times New Roman" w:cs="Times New Roman"/>
          <w:sz w:val="24"/>
          <w:szCs w:val="24"/>
        </w:rPr>
        <w:t>%, em investimento imobiliário. Já o agente do Rio de Janeiro caracteriza-se por alocar uma maior parcela em inves</w:t>
      </w:r>
      <w:r w:rsidR="007075D6" w:rsidRPr="00944E88">
        <w:rPr>
          <w:rFonts w:ascii="Times New Roman" w:hAnsi="Times New Roman" w:cs="Times New Roman"/>
          <w:sz w:val="24"/>
          <w:szCs w:val="24"/>
        </w:rPr>
        <w:t xml:space="preserve">timento imobiliário, </w:t>
      </w:r>
      <w:proofErr w:type="gramStart"/>
      <w:r w:rsidR="007075D6" w:rsidRPr="00944E88">
        <w:rPr>
          <w:rFonts w:ascii="Times New Roman" w:hAnsi="Times New Roman" w:cs="Times New Roman"/>
          <w:sz w:val="24"/>
          <w:szCs w:val="24"/>
        </w:rPr>
        <w:t>cerca de 23</w:t>
      </w:r>
      <w:proofErr w:type="gramEnd"/>
      <w:r w:rsidR="007075D6" w:rsidRPr="00944E88">
        <w:rPr>
          <w:rFonts w:ascii="Times New Roman" w:hAnsi="Times New Roman" w:cs="Times New Roman"/>
          <w:sz w:val="24"/>
          <w:szCs w:val="24"/>
        </w:rPr>
        <w:t>%, e o restante, 77</w:t>
      </w:r>
      <w:r w:rsidRPr="00944E88">
        <w:rPr>
          <w:rFonts w:ascii="Times New Roman" w:hAnsi="Times New Roman" w:cs="Times New Roman"/>
          <w:sz w:val="24"/>
          <w:szCs w:val="24"/>
        </w:rPr>
        <w:t xml:space="preserve">%, em consumo. Estes valores para o parâmetro são coerentes com as parcelas de riqueza utilizadas para </w:t>
      </w:r>
      <w:proofErr w:type="gramStart"/>
      <w:r w:rsidRPr="00944E88">
        <w:rPr>
          <w:rFonts w:ascii="Times New Roman" w:hAnsi="Times New Roman" w:cs="Times New Roman"/>
          <w:sz w:val="24"/>
          <w:szCs w:val="24"/>
        </w:rPr>
        <w:t>moradia (aluguel ou pagamento de financiamento) recomendados</w:t>
      </w:r>
      <w:proofErr w:type="gramEnd"/>
      <w:r w:rsidRPr="00944E88">
        <w:rPr>
          <w:rFonts w:ascii="Times New Roman" w:hAnsi="Times New Roman" w:cs="Times New Roman"/>
          <w:sz w:val="24"/>
          <w:szCs w:val="24"/>
        </w:rPr>
        <w:t xml:space="preserve"> pelas instituições que financiam compra de imóvel.</w:t>
      </w:r>
    </w:p>
    <w:p w:rsidR="00801238" w:rsidRPr="00944E88" w:rsidRDefault="0080123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O fato de o agente representativo do R</w:t>
      </w:r>
      <w:r w:rsidR="007E05EA" w:rsidRPr="00944E88">
        <w:rPr>
          <w:rFonts w:ascii="Times New Roman" w:hAnsi="Times New Roman" w:cs="Times New Roman"/>
          <w:sz w:val="24"/>
          <w:szCs w:val="24"/>
        </w:rPr>
        <w:t>io de Janeiro</w:t>
      </w:r>
      <w:r w:rsidRPr="00944E88">
        <w:rPr>
          <w:rFonts w:ascii="Times New Roman" w:hAnsi="Times New Roman" w:cs="Times New Roman"/>
          <w:sz w:val="24"/>
          <w:szCs w:val="24"/>
        </w:rPr>
        <w:t xml:space="preserve"> alocar uma maior parcela no investimento imobiliário pode estar relacionado à cidade ser turística, o que pode tornar atrativo a compra de imóveis para aluguel de temporada ou férias, o que não acontece em S</w:t>
      </w:r>
      <w:r w:rsidR="007E05EA" w:rsidRPr="00944E88">
        <w:rPr>
          <w:rFonts w:ascii="Times New Roman" w:hAnsi="Times New Roman" w:cs="Times New Roman"/>
          <w:sz w:val="24"/>
          <w:szCs w:val="24"/>
        </w:rPr>
        <w:t>ão Paulo</w:t>
      </w:r>
      <w:r w:rsidRPr="00944E88">
        <w:rPr>
          <w:rFonts w:ascii="Times New Roman" w:hAnsi="Times New Roman" w:cs="Times New Roman"/>
          <w:sz w:val="24"/>
          <w:szCs w:val="24"/>
        </w:rPr>
        <w:t xml:space="preserve">, por a cidade se tratar de um local historicamente marcado pelas atividades empresariais. </w:t>
      </w:r>
    </w:p>
    <w:p w:rsidR="00801238" w:rsidRPr="00944E88" w:rsidRDefault="0080123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lastRenderedPageBreak/>
        <w:tab/>
      </w:r>
      <w:r w:rsidRPr="00944E88">
        <w:rPr>
          <w:rFonts w:ascii="Times New Roman" w:hAnsi="Times New Roman" w:cs="Times New Roman"/>
          <w:sz w:val="24"/>
          <w:szCs w:val="24"/>
        </w:rPr>
        <w:t>Após a estimação, analisou-se o comportamento dos resíduos das es</w:t>
      </w:r>
      <w:r w:rsidR="006768C8" w:rsidRPr="00944E88">
        <w:rPr>
          <w:rFonts w:ascii="Times New Roman" w:hAnsi="Times New Roman" w:cs="Times New Roman"/>
          <w:sz w:val="24"/>
          <w:szCs w:val="24"/>
        </w:rPr>
        <w:t>timações. Foram aplicados teste</w:t>
      </w:r>
      <w:r w:rsidRPr="00944E88">
        <w:rPr>
          <w:rFonts w:ascii="Times New Roman" w:hAnsi="Times New Roman" w:cs="Times New Roman"/>
          <w:sz w:val="24"/>
          <w:szCs w:val="24"/>
        </w:rPr>
        <w:t xml:space="preserve"> de normalidade, Teste </w:t>
      </w:r>
      <w:proofErr w:type="spellStart"/>
      <w:r w:rsidRPr="00944E88">
        <w:rPr>
          <w:rFonts w:ascii="Times New Roman" w:hAnsi="Times New Roman" w:cs="Times New Roman"/>
          <w:sz w:val="24"/>
          <w:szCs w:val="24"/>
        </w:rPr>
        <w:t>Jarque-Bera</w:t>
      </w:r>
      <w:proofErr w:type="spellEnd"/>
      <w:r w:rsidRPr="00944E88">
        <w:rPr>
          <w:rFonts w:ascii="Times New Roman" w:hAnsi="Times New Roman" w:cs="Times New Roman"/>
          <w:sz w:val="24"/>
          <w:szCs w:val="24"/>
        </w:rPr>
        <w:t xml:space="preserve">, teste de </w:t>
      </w:r>
      <w:proofErr w:type="spellStart"/>
      <w:r w:rsidRPr="00944E88">
        <w:rPr>
          <w:rFonts w:ascii="Times New Roman" w:hAnsi="Times New Roman" w:cs="Times New Roman"/>
          <w:sz w:val="24"/>
          <w:szCs w:val="24"/>
        </w:rPr>
        <w:t>autocorrelação</w:t>
      </w:r>
      <w:proofErr w:type="spellEnd"/>
      <w:r w:rsidRPr="00944E88">
        <w:rPr>
          <w:rFonts w:ascii="Times New Roman" w:hAnsi="Times New Roman" w:cs="Times New Roman"/>
          <w:sz w:val="24"/>
          <w:szCs w:val="24"/>
        </w:rPr>
        <w:t xml:space="preserve">, Teste de </w:t>
      </w:r>
      <w:proofErr w:type="spellStart"/>
      <w:r w:rsidRPr="00944E88">
        <w:rPr>
          <w:rFonts w:ascii="Times New Roman" w:hAnsi="Times New Roman" w:cs="Times New Roman"/>
          <w:sz w:val="24"/>
          <w:szCs w:val="24"/>
        </w:rPr>
        <w:t>Ljung</w:t>
      </w:r>
      <w:proofErr w:type="spellEnd"/>
      <w:r w:rsidRPr="00944E88">
        <w:rPr>
          <w:rFonts w:ascii="Times New Roman" w:hAnsi="Times New Roman" w:cs="Times New Roman"/>
          <w:sz w:val="24"/>
          <w:szCs w:val="24"/>
        </w:rPr>
        <w:t xml:space="preserve">-Box, e teste de </w:t>
      </w:r>
      <w:proofErr w:type="spellStart"/>
      <w:r w:rsidRPr="00944E88">
        <w:rPr>
          <w:rFonts w:ascii="Times New Roman" w:hAnsi="Times New Roman" w:cs="Times New Roman"/>
          <w:sz w:val="24"/>
          <w:szCs w:val="24"/>
        </w:rPr>
        <w:t>heterocedasticidade</w:t>
      </w:r>
      <w:proofErr w:type="spellEnd"/>
      <w:r w:rsidRPr="00944E88">
        <w:rPr>
          <w:rFonts w:ascii="Times New Roman" w:hAnsi="Times New Roman" w:cs="Times New Roman"/>
          <w:sz w:val="24"/>
          <w:szCs w:val="24"/>
        </w:rPr>
        <w:t xml:space="preserve">, ARCH. Os resultados dos testes são apresentados na Tabela 3. </w:t>
      </w:r>
    </w:p>
    <w:p w:rsidR="00E71054" w:rsidRPr="00944E88" w:rsidRDefault="00E71054" w:rsidP="00944E88">
      <w:pPr>
        <w:spacing w:after="0" w:line="240" w:lineRule="auto"/>
        <w:jc w:val="both"/>
        <w:rPr>
          <w:rFonts w:ascii="Times New Roman" w:hAnsi="Times New Roman" w:cs="Times New Roman"/>
          <w:color w:val="FF0000"/>
          <w:sz w:val="24"/>
          <w:szCs w:val="24"/>
        </w:rPr>
      </w:pPr>
    </w:p>
    <w:p w:rsidR="000A79D8" w:rsidRPr="00944E88" w:rsidRDefault="000A79D8" w:rsidP="00944E88">
      <w:pPr>
        <w:spacing w:after="0" w:line="240" w:lineRule="auto"/>
        <w:jc w:val="both"/>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Tabela 3 - Testes dos resíduos do CAPM e CCAPM modificado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9"/>
        <w:gridCol w:w="1811"/>
        <w:gridCol w:w="1661"/>
        <w:gridCol w:w="1661"/>
        <w:gridCol w:w="1625"/>
      </w:tblGrid>
      <w:tr w:rsidR="004959D0" w:rsidRPr="00944E88" w:rsidTr="00DF27D9">
        <w:tc>
          <w:tcPr>
            <w:tcW w:w="1362" w:type="pct"/>
            <w:vMerge w:val="restart"/>
            <w:tcBorders>
              <w:top w:val="single" w:sz="4" w:space="0" w:color="auto"/>
            </w:tcBorders>
            <w:vAlign w:val="center"/>
          </w:tcPr>
          <w:p w:rsidR="000A79D8"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 xml:space="preserve">Testes de </w:t>
            </w:r>
            <w:proofErr w:type="spellStart"/>
            <w:r w:rsidRPr="00944E88">
              <w:rPr>
                <w:rFonts w:ascii="Times New Roman" w:hAnsi="Times New Roman" w:cs="Times New Roman"/>
                <w:b/>
                <w:color w:val="000000" w:themeColor="text1"/>
                <w:sz w:val="24"/>
                <w:szCs w:val="24"/>
              </w:rPr>
              <w:t>resíduos</w:t>
            </w:r>
            <w:proofErr w:type="spellEnd"/>
          </w:p>
        </w:tc>
        <w:tc>
          <w:tcPr>
            <w:tcW w:w="3638" w:type="pct"/>
            <w:gridSpan w:val="4"/>
            <w:tcBorders>
              <w:top w:val="single" w:sz="4" w:space="0" w:color="auto"/>
            </w:tcBorders>
            <w:vAlign w:val="center"/>
          </w:tcPr>
          <w:p w:rsidR="000A79D8"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p-valor</w:t>
            </w:r>
          </w:p>
        </w:tc>
      </w:tr>
      <w:tr w:rsidR="004959D0" w:rsidRPr="00944E88" w:rsidTr="00DF27D9">
        <w:tc>
          <w:tcPr>
            <w:tcW w:w="1362" w:type="pct"/>
            <w:vMerge/>
            <w:tcBorders>
              <w:bottom w:val="single" w:sz="4" w:space="0" w:color="auto"/>
            </w:tcBorders>
            <w:vAlign w:val="center"/>
          </w:tcPr>
          <w:p w:rsidR="000A79D8" w:rsidRPr="00944E88" w:rsidRDefault="000A79D8" w:rsidP="00944E88">
            <w:pPr>
              <w:jc w:val="center"/>
              <w:rPr>
                <w:rFonts w:ascii="Times New Roman" w:hAnsi="Times New Roman" w:cs="Times New Roman"/>
                <w:b/>
                <w:color w:val="000000" w:themeColor="text1"/>
                <w:sz w:val="24"/>
                <w:szCs w:val="24"/>
              </w:rPr>
            </w:pPr>
          </w:p>
        </w:tc>
        <w:tc>
          <w:tcPr>
            <w:tcW w:w="975" w:type="pct"/>
            <w:tcBorders>
              <w:bottom w:val="single" w:sz="4" w:space="0" w:color="auto"/>
            </w:tcBorders>
            <w:vAlign w:val="center"/>
          </w:tcPr>
          <w:p w:rsidR="00627547"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 xml:space="preserve">CAPM - </w:t>
            </w:r>
          </w:p>
          <w:p w:rsidR="000A79D8"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São Paulo</w:t>
            </w:r>
          </w:p>
        </w:tc>
        <w:tc>
          <w:tcPr>
            <w:tcW w:w="894" w:type="pct"/>
            <w:tcBorders>
              <w:bottom w:val="single" w:sz="4" w:space="0" w:color="auto"/>
            </w:tcBorders>
            <w:vAlign w:val="center"/>
          </w:tcPr>
          <w:p w:rsidR="00627547"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 xml:space="preserve">CAPM - </w:t>
            </w:r>
          </w:p>
          <w:p w:rsidR="000A79D8"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Rio de Janeiro</w:t>
            </w:r>
          </w:p>
        </w:tc>
        <w:tc>
          <w:tcPr>
            <w:tcW w:w="894" w:type="pct"/>
            <w:tcBorders>
              <w:bottom w:val="single" w:sz="4" w:space="0" w:color="auto"/>
            </w:tcBorders>
          </w:tcPr>
          <w:p w:rsidR="00627547"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 xml:space="preserve">CCAPM modificado - </w:t>
            </w:r>
          </w:p>
          <w:p w:rsidR="000A79D8" w:rsidRPr="00944E88" w:rsidRDefault="000A79D8" w:rsidP="00944E88">
            <w:pPr>
              <w:jc w:val="center"/>
              <w:rPr>
                <w:rFonts w:ascii="Times New Roman" w:hAnsi="Times New Roman" w:cs="Times New Roman"/>
                <w:b/>
                <w:color w:val="000000" w:themeColor="text1"/>
                <w:sz w:val="24"/>
                <w:szCs w:val="24"/>
              </w:rPr>
            </w:pPr>
            <w:r w:rsidRPr="00944E88">
              <w:rPr>
                <w:rFonts w:ascii="Times New Roman" w:hAnsi="Times New Roman" w:cs="Times New Roman"/>
                <w:b/>
                <w:color w:val="000000" w:themeColor="text1"/>
                <w:sz w:val="24"/>
                <w:szCs w:val="24"/>
              </w:rPr>
              <w:t>São Paulo</w:t>
            </w:r>
          </w:p>
        </w:tc>
        <w:tc>
          <w:tcPr>
            <w:tcW w:w="875" w:type="pct"/>
            <w:tcBorders>
              <w:bottom w:val="single" w:sz="4" w:space="0" w:color="auto"/>
            </w:tcBorders>
          </w:tcPr>
          <w:p w:rsidR="000A79D8" w:rsidRPr="00944E88" w:rsidRDefault="000A79D8" w:rsidP="00944E88">
            <w:pPr>
              <w:jc w:val="center"/>
              <w:rPr>
                <w:rFonts w:ascii="Times New Roman" w:hAnsi="Times New Roman" w:cs="Times New Roman"/>
                <w:b/>
                <w:color w:val="000000" w:themeColor="text1"/>
                <w:sz w:val="24"/>
                <w:szCs w:val="24"/>
                <w:lang w:val="pt-BR"/>
              </w:rPr>
            </w:pPr>
            <w:r w:rsidRPr="00944E88">
              <w:rPr>
                <w:rFonts w:ascii="Times New Roman" w:hAnsi="Times New Roman" w:cs="Times New Roman"/>
                <w:b/>
                <w:color w:val="000000" w:themeColor="text1"/>
                <w:sz w:val="24"/>
                <w:szCs w:val="24"/>
                <w:lang w:val="pt-BR"/>
              </w:rPr>
              <w:t>CCAPM modificado - Rio de Janeiro</w:t>
            </w:r>
          </w:p>
        </w:tc>
      </w:tr>
      <w:tr w:rsidR="004959D0" w:rsidRPr="00944E88" w:rsidTr="00DF27D9">
        <w:tc>
          <w:tcPr>
            <w:tcW w:w="1362" w:type="pct"/>
            <w:tcBorders>
              <w:top w:val="single" w:sz="4" w:space="0" w:color="auto"/>
            </w:tcBorders>
          </w:tcPr>
          <w:p w:rsidR="000A79D8" w:rsidRPr="00944E88" w:rsidRDefault="000A79D8" w:rsidP="00944E88">
            <w:pPr>
              <w:jc w:val="both"/>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 xml:space="preserve">Teste </w:t>
            </w:r>
            <w:proofErr w:type="spellStart"/>
            <w:r w:rsidRPr="00944E88">
              <w:rPr>
                <w:rFonts w:ascii="Times New Roman" w:hAnsi="Times New Roman" w:cs="Times New Roman"/>
                <w:color w:val="000000" w:themeColor="text1"/>
                <w:sz w:val="24"/>
                <w:szCs w:val="24"/>
              </w:rPr>
              <w:t>Jarque-Bera</w:t>
            </w:r>
            <w:proofErr w:type="spellEnd"/>
          </w:p>
        </w:tc>
        <w:tc>
          <w:tcPr>
            <w:tcW w:w="975" w:type="pct"/>
            <w:tcBorders>
              <w:top w:val="single" w:sz="4" w:space="0" w:color="auto"/>
            </w:tcBorders>
            <w:vAlign w:val="center"/>
          </w:tcPr>
          <w:p w:rsidR="000A79D8" w:rsidRPr="00944E88" w:rsidRDefault="000A79D8" w:rsidP="00944E88">
            <w:pPr>
              <w:jc w:val="right"/>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0,1</w:t>
            </w:r>
            <w:r w:rsidR="00DE4F22" w:rsidRPr="00944E88">
              <w:rPr>
                <w:rFonts w:ascii="Times New Roman" w:hAnsi="Times New Roman" w:cs="Times New Roman"/>
                <w:color w:val="000000" w:themeColor="text1"/>
                <w:sz w:val="24"/>
                <w:szCs w:val="24"/>
              </w:rPr>
              <w:t>02</w:t>
            </w:r>
          </w:p>
        </w:tc>
        <w:tc>
          <w:tcPr>
            <w:tcW w:w="894" w:type="pct"/>
            <w:tcBorders>
              <w:top w:val="single" w:sz="4" w:space="0" w:color="auto"/>
            </w:tcBorders>
            <w:vAlign w:val="center"/>
          </w:tcPr>
          <w:p w:rsidR="000A79D8" w:rsidRPr="00944E88" w:rsidRDefault="00DE4F22" w:rsidP="00944E88">
            <w:pPr>
              <w:jc w:val="right"/>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0,796</w:t>
            </w:r>
          </w:p>
        </w:tc>
        <w:tc>
          <w:tcPr>
            <w:tcW w:w="894" w:type="pct"/>
            <w:tcBorders>
              <w:top w:val="single" w:sz="4" w:space="0" w:color="auto"/>
            </w:tcBorders>
            <w:vAlign w:val="center"/>
          </w:tcPr>
          <w:p w:rsidR="000A79D8" w:rsidRPr="00944E88" w:rsidRDefault="009675E5" w:rsidP="00944E88">
            <w:pPr>
              <w:pStyle w:val="SemEspaamento"/>
              <w:jc w:val="right"/>
              <w:rPr>
                <w:rFonts w:ascii="Times New Roman" w:hAnsi="Times New Roman" w:cs="Times New Roman"/>
                <w:color w:val="000000" w:themeColor="text1"/>
                <w:sz w:val="24"/>
                <w:szCs w:val="24"/>
                <w:lang w:val="pt-BR"/>
              </w:rPr>
            </w:pPr>
            <w:r w:rsidRPr="00944E88">
              <w:rPr>
                <w:rFonts w:ascii="Times New Roman" w:hAnsi="Times New Roman" w:cs="Times New Roman"/>
                <w:color w:val="000000" w:themeColor="text1"/>
                <w:sz w:val="24"/>
                <w:szCs w:val="24"/>
                <w:lang w:val="pt-BR"/>
              </w:rPr>
              <w:t>0,</w:t>
            </w:r>
            <w:r w:rsidR="00E71054" w:rsidRPr="00944E88">
              <w:rPr>
                <w:rFonts w:ascii="Times New Roman" w:hAnsi="Times New Roman" w:cs="Times New Roman"/>
                <w:color w:val="000000" w:themeColor="text1"/>
                <w:sz w:val="24"/>
                <w:szCs w:val="24"/>
                <w:lang w:val="pt-BR"/>
              </w:rPr>
              <w:t>423</w:t>
            </w:r>
          </w:p>
        </w:tc>
        <w:tc>
          <w:tcPr>
            <w:tcW w:w="875" w:type="pct"/>
            <w:tcBorders>
              <w:top w:val="single" w:sz="4" w:space="0" w:color="auto"/>
            </w:tcBorders>
            <w:vAlign w:val="center"/>
          </w:tcPr>
          <w:p w:rsidR="000A79D8" w:rsidRPr="00944E88" w:rsidRDefault="00160552" w:rsidP="00944E88">
            <w:pPr>
              <w:pStyle w:val="SemEspaamento"/>
              <w:jc w:val="right"/>
              <w:rPr>
                <w:rFonts w:ascii="Times New Roman" w:hAnsi="Times New Roman" w:cs="Times New Roman"/>
                <w:color w:val="000000" w:themeColor="text1"/>
                <w:sz w:val="24"/>
                <w:szCs w:val="24"/>
                <w:lang w:val="pt-BR"/>
              </w:rPr>
            </w:pPr>
            <w:r w:rsidRPr="00944E88">
              <w:rPr>
                <w:rFonts w:ascii="Times New Roman" w:hAnsi="Times New Roman" w:cs="Times New Roman"/>
                <w:color w:val="000000" w:themeColor="text1"/>
                <w:sz w:val="24"/>
                <w:szCs w:val="24"/>
                <w:lang w:val="pt-BR"/>
              </w:rPr>
              <w:t>0,974</w:t>
            </w:r>
          </w:p>
        </w:tc>
      </w:tr>
      <w:tr w:rsidR="004959D0" w:rsidRPr="00944E88" w:rsidTr="00DF27D9">
        <w:tc>
          <w:tcPr>
            <w:tcW w:w="1362" w:type="pct"/>
            <w:tcBorders>
              <w:bottom w:val="single" w:sz="4" w:space="0" w:color="auto"/>
            </w:tcBorders>
          </w:tcPr>
          <w:p w:rsidR="00DF27D9" w:rsidRPr="00944E88" w:rsidRDefault="00DF27D9" w:rsidP="00944E88">
            <w:pPr>
              <w:jc w:val="both"/>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 xml:space="preserve">Teste de </w:t>
            </w:r>
            <w:proofErr w:type="spellStart"/>
            <w:r w:rsidRPr="00944E88">
              <w:rPr>
                <w:rFonts w:ascii="Times New Roman" w:hAnsi="Times New Roman" w:cs="Times New Roman"/>
                <w:color w:val="000000" w:themeColor="text1"/>
                <w:sz w:val="24"/>
                <w:szCs w:val="24"/>
              </w:rPr>
              <w:t>Ljung</w:t>
            </w:r>
            <w:proofErr w:type="spellEnd"/>
            <w:r w:rsidRPr="00944E88">
              <w:rPr>
                <w:rFonts w:ascii="Times New Roman" w:hAnsi="Times New Roman" w:cs="Times New Roman"/>
                <w:color w:val="000000" w:themeColor="text1"/>
                <w:sz w:val="24"/>
                <w:szCs w:val="24"/>
              </w:rPr>
              <w:t xml:space="preserve">-Box </w:t>
            </w:r>
          </w:p>
        </w:tc>
        <w:tc>
          <w:tcPr>
            <w:tcW w:w="975" w:type="pct"/>
            <w:tcBorders>
              <w:bottom w:val="single" w:sz="4" w:space="0" w:color="auto"/>
            </w:tcBorders>
            <w:vAlign w:val="center"/>
          </w:tcPr>
          <w:p w:rsidR="00DF27D9" w:rsidRPr="00944E88" w:rsidRDefault="00E8514F" w:rsidP="00944E88">
            <w:pPr>
              <w:jc w:val="right"/>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0,384</w:t>
            </w:r>
          </w:p>
        </w:tc>
        <w:tc>
          <w:tcPr>
            <w:tcW w:w="894" w:type="pct"/>
            <w:tcBorders>
              <w:bottom w:val="single" w:sz="4" w:space="0" w:color="auto"/>
            </w:tcBorders>
            <w:vAlign w:val="center"/>
          </w:tcPr>
          <w:p w:rsidR="00DF27D9" w:rsidRPr="00944E88" w:rsidRDefault="00E8514F" w:rsidP="00944E88">
            <w:pPr>
              <w:jc w:val="right"/>
              <w:rPr>
                <w:rFonts w:ascii="Times New Roman" w:hAnsi="Times New Roman" w:cs="Times New Roman"/>
                <w:color w:val="000000" w:themeColor="text1"/>
                <w:sz w:val="24"/>
                <w:szCs w:val="24"/>
              </w:rPr>
            </w:pPr>
            <w:r w:rsidRPr="00944E88">
              <w:rPr>
                <w:rFonts w:ascii="Times New Roman" w:hAnsi="Times New Roman" w:cs="Times New Roman"/>
                <w:color w:val="000000" w:themeColor="text1"/>
                <w:sz w:val="24"/>
                <w:szCs w:val="24"/>
              </w:rPr>
              <w:t>0,242</w:t>
            </w:r>
          </w:p>
        </w:tc>
        <w:tc>
          <w:tcPr>
            <w:tcW w:w="894" w:type="pct"/>
            <w:tcBorders>
              <w:bottom w:val="single" w:sz="4" w:space="0" w:color="auto"/>
            </w:tcBorders>
            <w:vAlign w:val="center"/>
          </w:tcPr>
          <w:p w:rsidR="00DF27D9" w:rsidRPr="00944E88" w:rsidRDefault="007075D6" w:rsidP="00944E88">
            <w:pPr>
              <w:pStyle w:val="SemEspaamento"/>
              <w:jc w:val="right"/>
              <w:rPr>
                <w:rFonts w:ascii="Times New Roman" w:hAnsi="Times New Roman" w:cs="Times New Roman"/>
                <w:color w:val="000000" w:themeColor="text1"/>
                <w:sz w:val="24"/>
                <w:szCs w:val="24"/>
                <w:lang w:val="pt-BR"/>
              </w:rPr>
            </w:pPr>
            <w:r w:rsidRPr="00944E88">
              <w:rPr>
                <w:rFonts w:ascii="Times New Roman" w:hAnsi="Times New Roman" w:cs="Times New Roman"/>
                <w:color w:val="000000" w:themeColor="text1"/>
                <w:sz w:val="24"/>
                <w:szCs w:val="24"/>
                <w:lang w:val="pt-BR"/>
              </w:rPr>
              <w:t>0,003</w:t>
            </w:r>
            <w:r w:rsidR="00185C5C" w:rsidRPr="00944E88">
              <w:rPr>
                <w:rFonts w:ascii="Times New Roman" w:hAnsi="Times New Roman" w:cs="Times New Roman"/>
                <w:color w:val="000000" w:themeColor="text1"/>
                <w:sz w:val="24"/>
                <w:szCs w:val="24"/>
                <w:lang w:val="pt-BR"/>
              </w:rPr>
              <w:t>***</w:t>
            </w:r>
          </w:p>
        </w:tc>
        <w:tc>
          <w:tcPr>
            <w:tcW w:w="875" w:type="pct"/>
            <w:tcBorders>
              <w:bottom w:val="single" w:sz="4" w:space="0" w:color="auto"/>
            </w:tcBorders>
            <w:vAlign w:val="center"/>
          </w:tcPr>
          <w:p w:rsidR="00DF27D9" w:rsidRPr="00944E88" w:rsidRDefault="007075D6" w:rsidP="00944E88">
            <w:pPr>
              <w:pStyle w:val="SemEspaamento"/>
              <w:jc w:val="right"/>
              <w:rPr>
                <w:rFonts w:ascii="Times New Roman" w:hAnsi="Times New Roman" w:cs="Times New Roman"/>
                <w:color w:val="000000" w:themeColor="text1"/>
                <w:sz w:val="24"/>
                <w:szCs w:val="24"/>
                <w:lang w:val="pt-BR"/>
              </w:rPr>
            </w:pPr>
            <w:r w:rsidRPr="00944E88">
              <w:rPr>
                <w:rFonts w:ascii="Times New Roman" w:hAnsi="Times New Roman" w:cs="Times New Roman"/>
                <w:color w:val="000000" w:themeColor="text1"/>
                <w:sz w:val="24"/>
                <w:szCs w:val="24"/>
                <w:lang w:val="pt-BR"/>
              </w:rPr>
              <w:t>0,005</w:t>
            </w:r>
            <w:r w:rsidR="00185C5C" w:rsidRPr="00944E88">
              <w:rPr>
                <w:rFonts w:ascii="Times New Roman" w:hAnsi="Times New Roman" w:cs="Times New Roman"/>
                <w:color w:val="000000" w:themeColor="text1"/>
                <w:sz w:val="24"/>
                <w:szCs w:val="24"/>
                <w:lang w:val="pt-BR"/>
              </w:rPr>
              <w:t>***</w:t>
            </w:r>
          </w:p>
        </w:tc>
      </w:tr>
    </w:tbl>
    <w:p w:rsidR="000A79D8" w:rsidRPr="0073171A" w:rsidRDefault="000A79D8" w:rsidP="00944E88">
      <w:pPr>
        <w:spacing w:after="0" w:line="240" w:lineRule="auto"/>
        <w:jc w:val="both"/>
        <w:rPr>
          <w:rFonts w:ascii="Times New Roman" w:hAnsi="Times New Roman" w:cs="Times New Roman"/>
          <w:color w:val="000000" w:themeColor="text1"/>
          <w:sz w:val="20"/>
          <w:szCs w:val="20"/>
        </w:rPr>
      </w:pPr>
      <w:r w:rsidRPr="0073171A">
        <w:rPr>
          <w:rFonts w:ascii="Times New Roman" w:hAnsi="Times New Roman" w:cs="Times New Roman"/>
          <w:color w:val="000000" w:themeColor="text1"/>
          <w:sz w:val="20"/>
          <w:szCs w:val="20"/>
        </w:rPr>
        <w:t xml:space="preserve">Fonte: Elaborado pela autora. Softwares utilizados: </w:t>
      </w:r>
      <w:proofErr w:type="spellStart"/>
      <w:r w:rsidRPr="0073171A">
        <w:rPr>
          <w:rFonts w:ascii="Times New Roman" w:hAnsi="Times New Roman" w:cs="Times New Roman"/>
          <w:color w:val="000000" w:themeColor="text1"/>
          <w:sz w:val="20"/>
          <w:szCs w:val="20"/>
        </w:rPr>
        <w:t>Eviews</w:t>
      </w:r>
      <w:proofErr w:type="spellEnd"/>
      <w:r w:rsidRPr="0073171A">
        <w:rPr>
          <w:rFonts w:ascii="Times New Roman" w:hAnsi="Times New Roman" w:cs="Times New Roman"/>
          <w:color w:val="000000" w:themeColor="text1"/>
          <w:sz w:val="20"/>
          <w:szCs w:val="20"/>
        </w:rPr>
        <w:t xml:space="preserve"> e </w:t>
      </w:r>
      <w:proofErr w:type="spellStart"/>
      <w:proofErr w:type="gramStart"/>
      <w:r w:rsidRPr="0073171A">
        <w:rPr>
          <w:rFonts w:ascii="Times New Roman" w:hAnsi="Times New Roman" w:cs="Times New Roman"/>
          <w:color w:val="000000" w:themeColor="text1"/>
          <w:sz w:val="20"/>
          <w:szCs w:val="20"/>
        </w:rPr>
        <w:t>RStudio</w:t>
      </w:r>
      <w:proofErr w:type="spellEnd"/>
      <w:proofErr w:type="gramEnd"/>
      <w:r w:rsidR="0073171A">
        <w:rPr>
          <w:rFonts w:ascii="Times New Roman" w:hAnsi="Times New Roman" w:cs="Times New Roman"/>
          <w:color w:val="000000" w:themeColor="text1"/>
          <w:sz w:val="20"/>
          <w:szCs w:val="20"/>
        </w:rPr>
        <w:t xml:space="preserve"> (2017)</w:t>
      </w:r>
      <w:r w:rsidRPr="0073171A">
        <w:rPr>
          <w:rFonts w:ascii="Times New Roman" w:hAnsi="Times New Roman" w:cs="Times New Roman"/>
          <w:color w:val="000000" w:themeColor="text1"/>
          <w:sz w:val="20"/>
          <w:szCs w:val="20"/>
        </w:rPr>
        <w:t>.</w:t>
      </w:r>
    </w:p>
    <w:p w:rsidR="00DF27D9" w:rsidRPr="0073171A" w:rsidRDefault="00DF27D9" w:rsidP="00944E88">
      <w:pPr>
        <w:spacing w:after="0" w:line="240" w:lineRule="auto"/>
        <w:jc w:val="both"/>
        <w:rPr>
          <w:rFonts w:ascii="Times New Roman" w:hAnsi="Times New Roman" w:cs="Times New Roman"/>
          <w:color w:val="000000" w:themeColor="text1"/>
          <w:sz w:val="20"/>
          <w:szCs w:val="20"/>
        </w:rPr>
      </w:pPr>
      <w:r w:rsidRPr="0073171A">
        <w:rPr>
          <w:rFonts w:ascii="Times New Roman" w:hAnsi="Times New Roman" w:cs="Times New Roman"/>
          <w:color w:val="000000" w:themeColor="text1"/>
          <w:sz w:val="20"/>
          <w:szCs w:val="20"/>
        </w:rPr>
        <w:t xml:space="preserve">Teste de </w:t>
      </w:r>
      <w:proofErr w:type="spellStart"/>
      <w:r w:rsidRPr="0073171A">
        <w:rPr>
          <w:rFonts w:ascii="Times New Roman" w:hAnsi="Times New Roman" w:cs="Times New Roman"/>
          <w:color w:val="000000" w:themeColor="text1"/>
          <w:sz w:val="20"/>
          <w:szCs w:val="20"/>
        </w:rPr>
        <w:t>Ljung</w:t>
      </w:r>
      <w:proofErr w:type="spellEnd"/>
      <w:r w:rsidRPr="0073171A">
        <w:rPr>
          <w:rFonts w:ascii="Times New Roman" w:hAnsi="Times New Roman" w:cs="Times New Roman"/>
          <w:color w:val="000000" w:themeColor="text1"/>
          <w:sz w:val="20"/>
          <w:szCs w:val="20"/>
        </w:rPr>
        <w:t xml:space="preserve">-Box: H0 = não há </w:t>
      </w:r>
      <w:proofErr w:type="spellStart"/>
      <w:r w:rsidRPr="0073171A">
        <w:rPr>
          <w:rFonts w:ascii="Times New Roman" w:hAnsi="Times New Roman" w:cs="Times New Roman"/>
          <w:color w:val="000000" w:themeColor="text1"/>
          <w:sz w:val="20"/>
          <w:szCs w:val="20"/>
        </w:rPr>
        <w:t>autocorrelação</w:t>
      </w:r>
      <w:proofErr w:type="spellEnd"/>
      <w:r w:rsidRPr="0073171A">
        <w:rPr>
          <w:rFonts w:ascii="Times New Roman" w:hAnsi="Times New Roman" w:cs="Times New Roman"/>
          <w:color w:val="000000" w:themeColor="text1"/>
          <w:sz w:val="20"/>
          <w:szCs w:val="20"/>
        </w:rPr>
        <w:t xml:space="preserve"> entre os resíduos até a defasagem </w:t>
      </w:r>
      <w:proofErr w:type="gramStart"/>
      <w:r w:rsidRPr="0073171A">
        <w:rPr>
          <w:rFonts w:ascii="Times New Roman" w:hAnsi="Times New Roman" w:cs="Times New Roman"/>
          <w:color w:val="000000" w:themeColor="text1"/>
          <w:sz w:val="20"/>
          <w:szCs w:val="20"/>
        </w:rPr>
        <w:t>1</w:t>
      </w:r>
      <w:proofErr w:type="gramEnd"/>
      <w:r w:rsidRPr="0073171A">
        <w:rPr>
          <w:rFonts w:ascii="Times New Roman" w:hAnsi="Times New Roman" w:cs="Times New Roman"/>
          <w:color w:val="000000" w:themeColor="text1"/>
          <w:sz w:val="20"/>
          <w:szCs w:val="20"/>
        </w:rPr>
        <w:t>.</w:t>
      </w:r>
    </w:p>
    <w:p w:rsidR="00DF27D9" w:rsidRPr="0073171A" w:rsidRDefault="00DF27D9" w:rsidP="00944E88">
      <w:pPr>
        <w:spacing w:after="0" w:line="240" w:lineRule="auto"/>
        <w:jc w:val="both"/>
        <w:rPr>
          <w:rFonts w:ascii="Times New Roman" w:hAnsi="Times New Roman" w:cs="Times New Roman"/>
          <w:color w:val="000000" w:themeColor="text1"/>
          <w:sz w:val="20"/>
          <w:szCs w:val="20"/>
        </w:rPr>
      </w:pPr>
      <w:r w:rsidRPr="0073171A">
        <w:rPr>
          <w:rFonts w:ascii="Times New Roman" w:hAnsi="Times New Roman" w:cs="Times New Roman"/>
          <w:color w:val="000000" w:themeColor="text1"/>
          <w:sz w:val="20"/>
          <w:szCs w:val="20"/>
        </w:rPr>
        <w:t>Sendo que * p &lt; 0,1; ** p &lt; 0,05; *** p &lt; 0,01.</w:t>
      </w:r>
    </w:p>
    <w:p w:rsidR="00E8514F" w:rsidRPr="00944E88" w:rsidRDefault="004A0EBB"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000000" w:themeColor="text1"/>
          <w:sz w:val="24"/>
          <w:szCs w:val="24"/>
        </w:rPr>
        <w:tab/>
      </w:r>
    </w:p>
    <w:p w:rsidR="00AF01FA" w:rsidRPr="00944E88" w:rsidRDefault="00E8514F"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O teste de normalidade </w:t>
      </w:r>
      <w:proofErr w:type="spellStart"/>
      <w:r w:rsidRPr="00944E88">
        <w:rPr>
          <w:rFonts w:ascii="Times New Roman" w:hAnsi="Times New Roman" w:cs="Times New Roman"/>
          <w:sz w:val="24"/>
          <w:szCs w:val="24"/>
        </w:rPr>
        <w:t>Jarque-Bera</w:t>
      </w:r>
      <w:proofErr w:type="spellEnd"/>
      <w:r w:rsidRPr="00944E88">
        <w:rPr>
          <w:rFonts w:ascii="Times New Roman" w:hAnsi="Times New Roman" w:cs="Times New Roman"/>
          <w:sz w:val="24"/>
          <w:szCs w:val="24"/>
        </w:rPr>
        <w:t xml:space="preserve"> indica que os resíduos dos dois modelos analisados não rejeitam a hipótese de distribuição normal. O teste de </w:t>
      </w:r>
      <w:proofErr w:type="spellStart"/>
      <w:r w:rsidRPr="00944E88">
        <w:rPr>
          <w:rFonts w:ascii="Times New Roman" w:hAnsi="Times New Roman" w:cs="Times New Roman"/>
          <w:sz w:val="24"/>
          <w:szCs w:val="24"/>
        </w:rPr>
        <w:t>Ljung</w:t>
      </w:r>
      <w:proofErr w:type="spellEnd"/>
      <w:r w:rsidRPr="00944E88">
        <w:rPr>
          <w:rFonts w:ascii="Times New Roman" w:hAnsi="Times New Roman" w:cs="Times New Roman"/>
          <w:sz w:val="24"/>
          <w:szCs w:val="24"/>
        </w:rPr>
        <w:t xml:space="preserve">-Box mostra que nos modelos CAPM não possuem </w:t>
      </w:r>
      <w:proofErr w:type="spellStart"/>
      <w:r w:rsidRPr="00944E88">
        <w:rPr>
          <w:rFonts w:ascii="Times New Roman" w:hAnsi="Times New Roman" w:cs="Times New Roman"/>
          <w:sz w:val="24"/>
          <w:szCs w:val="24"/>
        </w:rPr>
        <w:t>autocorrelação</w:t>
      </w:r>
      <w:proofErr w:type="spellEnd"/>
      <w:r w:rsidRPr="00944E88">
        <w:rPr>
          <w:rFonts w:ascii="Times New Roman" w:hAnsi="Times New Roman" w:cs="Times New Roman"/>
          <w:sz w:val="24"/>
          <w:szCs w:val="24"/>
        </w:rPr>
        <w:t xml:space="preserve"> entre os resíduos a qualquer nível de significância. Enquanto para os modelos do CCAPM modificado, existem problemas de </w:t>
      </w:r>
      <w:proofErr w:type="spellStart"/>
      <w:r w:rsidRPr="00944E88">
        <w:rPr>
          <w:rFonts w:ascii="Times New Roman" w:hAnsi="Times New Roman" w:cs="Times New Roman"/>
          <w:sz w:val="24"/>
          <w:szCs w:val="24"/>
        </w:rPr>
        <w:t>autocorrelação</w:t>
      </w:r>
      <w:proofErr w:type="spellEnd"/>
      <w:r w:rsidRPr="00944E88">
        <w:rPr>
          <w:rFonts w:ascii="Times New Roman" w:hAnsi="Times New Roman" w:cs="Times New Roman"/>
          <w:sz w:val="24"/>
          <w:szCs w:val="24"/>
        </w:rPr>
        <w:t xml:space="preserve">. Uma explicação para este resultado pode ser o fato de as séries de estoque de imóveis terem sido construídas com base em generalizações. Ressalta-se a possibilidade de que existam outras variáveis que podem influenciar o comportamento do consumo de bens não duráveis e </w:t>
      </w:r>
      <w:proofErr w:type="spellStart"/>
      <w:proofErr w:type="gramStart"/>
      <w:r w:rsidRPr="00944E88">
        <w:rPr>
          <w:rFonts w:ascii="Times New Roman" w:hAnsi="Times New Roman" w:cs="Times New Roman"/>
          <w:sz w:val="24"/>
          <w:szCs w:val="24"/>
        </w:rPr>
        <w:t>semi</w:t>
      </w:r>
      <w:proofErr w:type="spellEnd"/>
      <w:r w:rsidRPr="00944E88">
        <w:rPr>
          <w:rFonts w:ascii="Times New Roman" w:hAnsi="Times New Roman" w:cs="Times New Roman"/>
          <w:sz w:val="24"/>
          <w:szCs w:val="24"/>
        </w:rPr>
        <w:t xml:space="preserve"> duráveis</w:t>
      </w:r>
      <w:proofErr w:type="gramEnd"/>
      <w:r w:rsidRPr="00944E88">
        <w:rPr>
          <w:rFonts w:ascii="Times New Roman" w:hAnsi="Times New Roman" w:cs="Times New Roman"/>
          <w:sz w:val="24"/>
          <w:szCs w:val="24"/>
        </w:rPr>
        <w:t xml:space="preserve"> e investimento imobiliário além das variáveis analisadas neste trabalho. </w:t>
      </w:r>
      <w:r w:rsidR="00627547" w:rsidRPr="00944E88">
        <w:rPr>
          <w:rFonts w:ascii="Times New Roman" w:hAnsi="Times New Roman" w:cs="Times New Roman"/>
          <w:sz w:val="24"/>
          <w:szCs w:val="24"/>
        </w:rPr>
        <w:t xml:space="preserve">Para não deixar dúvidas a respeito da adequação dos modelos, </w:t>
      </w:r>
      <w:proofErr w:type="gramStart"/>
      <w:r w:rsidR="00627547" w:rsidRPr="00944E88">
        <w:rPr>
          <w:rFonts w:ascii="Times New Roman" w:hAnsi="Times New Roman" w:cs="Times New Roman"/>
          <w:sz w:val="24"/>
          <w:szCs w:val="24"/>
        </w:rPr>
        <w:t>realizou-se</w:t>
      </w:r>
      <w:proofErr w:type="gramEnd"/>
      <w:r w:rsidR="00627547" w:rsidRPr="00944E88">
        <w:rPr>
          <w:rFonts w:ascii="Times New Roman" w:hAnsi="Times New Roman" w:cs="Times New Roman"/>
          <w:sz w:val="24"/>
          <w:szCs w:val="24"/>
        </w:rPr>
        <w:t xml:space="preserve">, também, testes de raiz unitária para os resíduos das estimações, os resultados estão expostos na Tabela 4. </w:t>
      </w:r>
    </w:p>
    <w:p w:rsidR="00627547" w:rsidRPr="00944E88" w:rsidRDefault="00AF01FA"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p>
    <w:p w:rsidR="000A79D8" w:rsidRPr="00944E88" w:rsidRDefault="000A79D8"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 xml:space="preserve">Tabela </w:t>
      </w:r>
      <w:r w:rsidR="00627547" w:rsidRPr="00944E88">
        <w:rPr>
          <w:rFonts w:ascii="Times New Roman" w:hAnsi="Times New Roman" w:cs="Times New Roman"/>
          <w:sz w:val="24"/>
          <w:szCs w:val="24"/>
        </w:rPr>
        <w:t>4</w:t>
      </w:r>
      <w:r w:rsidRPr="00944E88">
        <w:rPr>
          <w:rFonts w:ascii="Times New Roman" w:hAnsi="Times New Roman" w:cs="Times New Roman"/>
          <w:sz w:val="24"/>
          <w:szCs w:val="24"/>
        </w:rPr>
        <w:t xml:space="preserve"> - Testes de estacionariedade dos resíduos do CAPM e CCAPM modificado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688"/>
        <w:gridCol w:w="1055"/>
        <w:gridCol w:w="828"/>
        <w:gridCol w:w="891"/>
        <w:gridCol w:w="874"/>
        <w:gridCol w:w="846"/>
        <w:gridCol w:w="742"/>
      </w:tblGrid>
      <w:tr w:rsidR="00FC3DDD" w:rsidRPr="00944E88" w:rsidTr="00627547">
        <w:tc>
          <w:tcPr>
            <w:tcW w:w="728" w:type="pct"/>
            <w:vMerge w:val="restart"/>
            <w:tcBorders>
              <w:top w:val="single" w:sz="4" w:space="0" w:color="auto"/>
            </w:tcBorders>
            <w:vAlign w:val="center"/>
          </w:tcPr>
          <w:p w:rsidR="00627547" w:rsidRPr="00944E88" w:rsidRDefault="00627547" w:rsidP="00944E88">
            <w:pPr>
              <w:jc w:val="center"/>
              <w:rPr>
                <w:rFonts w:ascii="Times New Roman" w:hAnsi="Times New Roman" w:cs="Times New Roman"/>
                <w:b/>
                <w:sz w:val="24"/>
                <w:szCs w:val="24"/>
              </w:rPr>
            </w:pPr>
            <w:proofErr w:type="spellStart"/>
            <w:r w:rsidRPr="00944E88">
              <w:rPr>
                <w:rFonts w:ascii="Times New Roman" w:hAnsi="Times New Roman" w:cs="Times New Roman"/>
                <w:b/>
                <w:sz w:val="24"/>
                <w:szCs w:val="24"/>
              </w:rPr>
              <w:t>Estimação</w:t>
            </w:r>
            <w:proofErr w:type="spellEnd"/>
          </w:p>
        </w:tc>
        <w:tc>
          <w:tcPr>
            <w:tcW w:w="1448" w:type="pct"/>
            <w:vMerge w:val="restart"/>
            <w:tcBorders>
              <w:top w:val="single" w:sz="4" w:space="0" w:color="auto"/>
            </w:tcBorders>
            <w:vAlign w:val="center"/>
          </w:tcPr>
          <w:p w:rsidR="00627547" w:rsidRPr="00944E88" w:rsidRDefault="00627547" w:rsidP="00944E88">
            <w:pPr>
              <w:jc w:val="center"/>
              <w:rPr>
                <w:rFonts w:ascii="Times New Roman" w:hAnsi="Times New Roman" w:cs="Times New Roman"/>
                <w:b/>
                <w:sz w:val="24"/>
                <w:szCs w:val="24"/>
              </w:rPr>
            </w:pPr>
            <w:proofErr w:type="spellStart"/>
            <w:r w:rsidRPr="00944E88">
              <w:rPr>
                <w:rFonts w:ascii="Times New Roman" w:hAnsi="Times New Roman" w:cs="Times New Roman"/>
                <w:b/>
                <w:sz w:val="24"/>
                <w:szCs w:val="24"/>
              </w:rPr>
              <w:t>Modelos</w:t>
            </w:r>
            <w:proofErr w:type="spellEnd"/>
          </w:p>
        </w:tc>
        <w:tc>
          <w:tcPr>
            <w:tcW w:w="1016" w:type="pct"/>
            <w:gridSpan w:val="2"/>
            <w:tcBorders>
              <w:top w:val="single" w:sz="4" w:space="0" w:color="auto"/>
            </w:tcBorders>
            <w:vAlign w:val="center"/>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Teste ADF*</w:t>
            </w:r>
          </w:p>
        </w:tc>
        <w:tc>
          <w:tcPr>
            <w:tcW w:w="952" w:type="pct"/>
            <w:gridSpan w:val="2"/>
            <w:tcBorders>
              <w:top w:val="single" w:sz="4" w:space="0" w:color="auto"/>
            </w:tcBorders>
            <w:vAlign w:val="center"/>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Teste PP*</w:t>
            </w:r>
          </w:p>
        </w:tc>
        <w:tc>
          <w:tcPr>
            <w:tcW w:w="856" w:type="pct"/>
            <w:gridSpan w:val="2"/>
            <w:tcBorders>
              <w:top w:val="single" w:sz="4" w:space="0" w:color="auto"/>
            </w:tcBorders>
            <w:vAlign w:val="center"/>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KPSS**</w:t>
            </w:r>
          </w:p>
        </w:tc>
      </w:tr>
      <w:tr w:rsidR="00FC3DDD" w:rsidRPr="00944E88" w:rsidTr="00627547">
        <w:tc>
          <w:tcPr>
            <w:tcW w:w="728" w:type="pct"/>
            <w:vMerge/>
            <w:tcBorders>
              <w:bottom w:val="single" w:sz="4" w:space="0" w:color="auto"/>
            </w:tcBorders>
          </w:tcPr>
          <w:p w:rsidR="00627547" w:rsidRPr="00944E88" w:rsidRDefault="00627547" w:rsidP="00944E88">
            <w:pPr>
              <w:jc w:val="center"/>
              <w:rPr>
                <w:rFonts w:ascii="Times New Roman" w:hAnsi="Times New Roman" w:cs="Times New Roman"/>
                <w:b/>
                <w:sz w:val="24"/>
                <w:szCs w:val="24"/>
              </w:rPr>
            </w:pPr>
          </w:p>
        </w:tc>
        <w:tc>
          <w:tcPr>
            <w:tcW w:w="1448" w:type="pct"/>
            <w:vMerge/>
            <w:tcBorders>
              <w:bottom w:val="single" w:sz="4" w:space="0" w:color="auto"/>
            </w:tcBorders>
          </w:tcPr>
          <w:p w:rsidR="00627547" w:rsidRPr="00944E88" w:rsidRDefault="00627547" w:rsidP="00944E88">
            <w:pPr>
              <w:jc w:val="center"/>
              <w:rPr>
                <w:rFonts w:ascii="Times New Roman" w:hAnsi="Times New Roman" w:cs="Times New Roman"/>
                <w:b/>
                <w:sz w:val="24"/>
                <w:szCs w:val="24"/>
              </w:rPr>
            </w:pPr>
          </w:p>
        </w:tc>
        <w:tc>
          <w:tcPr>
            <w:tcW w:w="569" w:type="pct"/>
            <w:tcBorders>
              <w:bottom w:val="single" w:sz="4" w:space="0" w:color="auto"/>
            </w:tcBorders>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SP</w:t>
            </w:r>
          </w:p>
        </w:tc>
        <w:tc>
          <w:tcPr>
            <w:tcW w:w="447" w:type="pct"/>
            <w:tcBorders>
              <w:bottom w:val="single" w:sz="4" w:space="0" w:color="auto"/>
            </w:tcBorders>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RJ</w:t>
            </w:r>
          </w:p>
        </w:tc>
        <w:tc>
          <w:tcPr>
            <w:tcW w:w="481" w:type="pct"/>
            <w:tcBorders>
              <w:bottom w:val="single" w:sz="4" w:space="0" w:color="auto"/>
            </w:tcBorders>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SP</w:t>
            </w:r>
          </w:p>
        </w:tc>
        <w:tc>
          <w:tcPr>
            <w:tcW w:w="471" w:type="pct"/>
            <w:tcBorders>
              <w:bottom w:val="single" w:sz="4" w:space="0" w:color="auto"/>
            </w:tcBorders>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RJ</w:t>
            </w:r>
          </w:p>
        </w:tc>
        <w:tc>
          <w:tcPr>
            <w:tcW w:w="456" w:type="pct"/>
            <w:tcBorders>
              <w:bottom w:val="single" w:sz="4" w:space="0" w:color="auto"/>
            </w:tcBorders>
            <w:vAlign w:val="center"/>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SP</w:t>
            </w:r>
          </w:p>
        </w:tc>
        <w:tc>
          <w:tcPr>
            <w:tcW w:w="400" w:type="pct"/>
            <w:tcBorders>
              <w:bottom w:val="single" w:sz="4" w:space="0" w:color="auto"/>
            </w:tcBorders>
            <w:vAlign w:val="center"/>
          </w:tcPr>
          <w:p w:rsidR="00627547" w:rsidRPr="00944E88" w:rsidRDefault="00627547" w:rsidP="00944E88">
            <w:pPr>
              <w:jc w:val="center"/>
              <w:rPr>
                <w:rFonts w:ascii="Times New Roman" w:hAnsi="Times New Roman" w:cs="Times New Roman"/>
                <w:b/>
                <w:sz w:val="24"/>
                <w:szCs w:val="24"/>
              </w:rPr>
            </w:pPr>
            <w:r w:rsidRPr="00944E88">
              <w:rPr>
                <w:rFonts w:ascii="Times New Roman" w:hAnsi="Times New Roman" w:cs="Times New Roman"/>
                <w:b/>
                <w:sz w:val="24"/>
                <w:szCs w:val="24"/>
              </w:rPr>
              <w:t>RJ</w:t>
            </w:r>
          </w:p>
        </w:tc>
      </w:tr>
      <w:tr w:rsidR="00FC3DDD" w:rsidRPr="00944E88" w:rsidTr="00627547">
        <w:tc>
          <w:tcPr>
            <w:tcW w:w="728" w:type="pct"/>
            <w:vMerge w:val="restart"/>
            <w:tcBorders>
              <w:top w:val="single" w:sz="4" w:space="0" w:color="auto"/>
            </w:tcBorders>
            <w:vAlign w:val="center"/>
          </w:tcPr>
          <w:p w:rsidR="000A79D8" w:rsidRPr="00944E88" w:rsidRDefault="000A79D8" w:rsidP="00944E88">
            <w:pPr>
              <w:jc w:val="center"/>
              <w:rPr>
                <w:rFonts w:ascii="Times New Roman" w:hAnsi="Times New Roman" w:cs="Times New Roman"/>
                <w:b/>
                <w:sz w:val="24"/>
                <w:szCs w:val="24"/>
              </w:rPr>
            </w:pPr>
            <w:r w:rsidRPr="00944E88">
              <w:rPr>
                <w:rFonts w:ascii="Times New Roman" w:hAnsi="Times New Roman" w:cs="Times New Roman"/>
                <w:b/>
                <w:sz w:val="24"/>
                <w:szCs w:val="24"/>
              </w:rPr>
              <w:t>CAPM</w:t>
            </w:r>
          </w:p>
        </w:tc>
        <w:tc>
          <w:tcPr>
            <w:tcW w:w="1448" w:type="pct"/>
            <w:tcBorders>
              <w:top w:val="single" w:sz="4" w:space="0" w:color="auto"/>
            </w:tcBorders>
            <w:vAlign w:val="center"/>
          </w:tcPr>
          <w:p w:rsidR="000A79D8" w:rsidRPr="00944E88" w:rsidRDefault="000A79D8" w:rsidP="00944E88">
            <w:pPr>
              <w:rPr>
                <w:rFonts w:ascii="Times New Roman" w:hAnsi="Times New Roman" w:cs="Times New Roman"/>
                <w:sz w:val="24"/>
                <w:szCs w:val="24"/>
              </w:rPr>
            </w:pPr>
            <w:proofErr w:type="spellStart"/>
            <w:r w:rsidRPr="00944E88">
              <w:rPr>
                <w:rFonts w:ascii="Times New Roman" w:hAnsi="Times New Roman" w:cs="Times New Roman"/>
                <w:sz w:val="24"/>
                <w:szCs w:val="24"/>
              </w:rPr>
              <w:t>Constante</w:t>
            </w:r>
            <w:proofErr w:type="spellEnd"/>
            <w:r w:rsidRPr="00944E88">
              <w:rPr>
                <w:rFonts w:ascii="Times New Roman" w:hAnsi="Times New Roman" w:cs="Times New Roman"/>
                <w:sz w:val="24"/>
                <w:szCs w:val="24"/>
              </w:rPr>
              <w:t xml:space="preserve"> e </w:t>
            </w:r>
            <w:proofErr w:type="spellStart"/>
            <w:r w:rsidRPr="00944E88">
              <w:rPr>
                <w:rFonts w:ascii="Times New Roman" w:hAnsi="Times New Roman" w:cs="Times New Roman"/>
                <w:sz w:val="24"/>
                <w:szCs w:val="24"/>
              </w:rPr>
              <w:t>tendência</w:t>
            </w:r>
            <w:proofErr w:type="spellEnd"/>
          </w:p>
        </w:tc>
        <w:tc>
          <w:tcPr>
            <w:tcW w:w="569" w:type="pct"/>
            <w:tcBorders>
              <w:top w:val="single" w:sz="4" w:space="0" w:color="auto"/>
            </w:tcBorders>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-8,91</w:t>
            </w:r>
          </w:p>
        </w:tc>
        <w:tc>
          <w:tcPr>
            <w:tcW w:w="447" w:type="pct"/>
            <w:tcBorders>
              <w:top w:val="single" w:sz="4" w:space="0" w:color="auto"/>
            </w:tcBorders>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-9,44</w:t>
            </w:r>
          </w:p>
        </w:tc>
        <w:tc>
          <w:tcPr>
            <w:tcW w:w="481" w:type="pct"/>
            <w:tcBorders>
              <w:top w:val="single" w:sz="4" w:space="0" w:color="auto"/>
            </w:tcBorders>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-12,50</w:t>
            </w:r>
          </w:p>
        </w:tc>
        <w:tc>
          <w:tcPr>
            <w:tcW w:w="471" w:type="pct"/>
            <w:tcBorders>
              <w:top w:val="single" w:sz="4" w:space="0" w:color="auto"/>
            </w:tcBorders>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-9,41</w:t>
            </w:r>
          </w:p>
        </w:tc>
        <w:tc>
          <w:tcPr>
            <w:tcW w:w="456" w:type="pct"/>
            <w:tcBorders>
              <w:top w:val="single" w:sz="4" w:space="0" w:color="auto"/>
            </w:tcBorders>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0,16</w:t>
            </w:r>
          </w:p>
        </w:tc>
        <w:tc>
          <w:tcPr>
            <w:tcW w:w="400" w:type="pct"/>
            <w:tcBorders>
              <w:top w:val="single" w:sz="4" w:space="0" w:color="auto"/>
            </w:tcBorders>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0,12</w:t>
            </w:r>
          </w:p>
        </w:tc>
      </w:tr>
      <w:tr w:rsidR="00FC3DDD" w:rsidRPr="00944E88" w:rsidTr="00627547">
        <w:tc>
          <w:tcPr>
            <w:tcW w:w="728" w:type="pct"/>
            <w:vMerge/>
            <w:vAlign w:val="center"/>
          </w:tcPr>
          <w:p w:rsidR="000A79D8" w:rsidRPr="00944E88" w:rsidRDefault="000A79D8" w:rsidP="00944E88">
            <w:pPr>
              <w:jc w:val="center"/>
              <w:rPr>
                <w:rFonts w:ascii="Times New Roman" w:hAnsi="Times New Roman" w:cs="Times New Roman"/>
                <w:b/>
                <w:sz w:val="24"/>
                <w:szCs w:val="24"/>
              </w:rPr>
            </w:pPr>
          </w:p>
        </w:tc>
        <w:tc>
          <w:tcPr>
            <w:tcW w:w="1448" w:type="pct"/>
            <w:vAlign w:val="center"/>
          </w:tcPr>
          <w:p w:rsidR="000A79D8" w:rsidRPr="00944E88" w:rsidRDefault="000A79D8" w:rsidP="00944E88">
            <w:pPr>
              <w:rPr>
                <w:rFonts w:ascii="Times New Roman" w:hAnsi="Times New Roman" w:cs="Times New Roman"/>
                <w:sz w:val="24"/>
                <w:szCs w:val="24"/>
              </w:rPr>
            </w:pPr>
            <w:proofErr w:type="spellStart"/>
            <w:r w:rsidRPr="00944E88">
              <w:rPr>
                <w:rFonts w:ascii="Times New Roman" w:hAnsi="Times New Roman" w:cs="Times New Roman"/>
                <w:sz w:val="24"/>
                <w:szCs w:val="24"/>
              </w:rPr>
              <w:t>Constante</w:t>
            </w:r>
            <w:proofErr w:type="spellEnd"/>
          </w:p>
        </w:tc>
        <w:tc>
          <w:tcPr>
            <w:tcW w:w="569" w:type="pct"/>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-8,93</w:t>
            </w:r>
          </w:p>
        </w:tc>
        <w:tc>
          <w:tcPr>
            <w:tcW w:w="447" w:type="pct"/>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-9,32</w:t>
            </w:r>
          </w:p>
        </w:tc>
        <w:tc>
          <w:tcPr>
            <w:tcW w:w="481" w:type="pct"/>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-12,04</w:t>
            </w:r>
          </w:p>
        </w:tc>
        <w:tc>
          <w:tcPr>
            <w:tcW w:w="471" w:type="pct"/>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-9,27</w:t>
            </w:r>
          </w:p>
        </w:tc>
        <w:tc>
          <w:tcPr>
            <w:tcW w:w="456" w:type="pct"/>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0,26</w:t>
            </w:r>
          </w:p>
        </w:tc>
        <w:tc>
          <w:tcPr>
            <w:tcW w:w="400" w:type="pct"/>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0,36</w:t>
            </w:r>
          </w:p>
        </w:tc>
      </w:tr>
      <w:tr w:rsidR="00FC3DDD" w:rsidRPr="00944E88" w:rsidTr="00627547">
        <w:tc>
          <w:tcPr>
            <w:tcW w:w="728" w:type="pct"/>
            <w:vMerge/>
            <w:vAlign w:val="center"/>
          </w:tcPr>
          <w:p w:rsidR="000A79D8" w:rsidRPr="00944E88" w:rsidRDefault="000A79D8" w:rsidP="00944E88">
            <w:pPr>
              <w:jc w:val="center"/>
              <w:rPr>
                <w:rFonts w:ascii="Times New Roman" w:hAnsi="Times New Roman" w:cs="Times New Roman"/>
                <w:b/>
                <w:sz w:val="24"/>
                <w:szCs w:val="24"/>
                <w:lang w:val="pt-BR"/>
              </w:rPr>
            </w:pPr>
          </w:p>
        </w:tc>
        <w:tc>
          <w:tcPr>
            <w:tcW w:w="1448" w:type="pct"/>
            <w:vAlign w:val="center"/>
          </w:tcPr>
          <w:p w:rsidR="000A79D8" w:rsidRPr="00944E88" w:rsidRDefault="000A79D8" w:rsidP="00944E88">
            <w:pPr>
              <w:rPr>
                <w:rFonts w:ascii="Times New Roman" w:hAnsi="Times New Roman" w:cs="Times New Roman"/>
                <w:sz w:val="24"/>
                <w:szCs w:val="24"/>
                <w:lang w:val="pt-BR"/>
              </w:rPr>
            </w:pPr>
            <w:r w:rsidRPr="00944E88">
              <w:rPr>
                <w:rFonts w:ascii="Times New Roman" w:hAnsi="Times New Roman" w:cs="Times New Roman"/>
                <w:sz w:val="24"/>
                <w:szCs w:val="24"/>
                <w:lang w:val="pt-BR"/>
              </w:rPr>
              <w:t>Sem constante e sem tendência</w:t>
            </w:r>
          </w:p>
        </w:tc>
        <w:tc>
          <w:tcPr>
            <w:tcW w:w="569" w:type="pct"/>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-8,95</w:t>
            </w:r>
          </w:p>
        </w:tc>
        <w:tc>
          <w:tcPr>
            <w:tcW w:w="447" w:type="pct"/>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-9,37</w:t>
            </w:r>
          </w:p>
        </w:tc>
        <w:tc>
          <w:tcPr>
            <w:tcW w:w="481" w:type="pct"/>
          </w:tcPr>
          <w:p w:rsidR="000A79D8" w:rsidRPr="00944E88" w:rsidRDefault="00FB727A" w:rsidP="00944E88">
            <w:pPr>
              <w:jc w:val="right"/>
              <w:rPr>
                <w:rFonts w:ascii="Times New Roman" w:hAnsi="Times New Roman" w:cs="Times New Roman"/>
                <w:sz w:val="24"/>
                <w:szCs w:val="24"/>
              </w:rPr>
            </w:pPr>
            <w:r w:rsidRPr="00944E88">
              <w:rPr>
                <w:rFonts w:ascii="Times New Roman" w:hAnsi="Times New Roman" w:cs="Times New Roman"/>
                <w:sz w:val="24"/>
                <w:szCs w:val="24"/>
              </w:rPr>
              <w:t>-11,62</w:t>
            </w:r>
          </w:p>
        </w:tc>
        <w:tc>
          <w:tcPr>
            <w:tcW w:w="471" w:type="pct"/>
          </w:tcPr>
          <w:p w:rsidR="000A79D8" w:rsidRPr="00944E88" w:rsidRDefault="00A97AF1" w:rsidP="00944E88">
            <w:pPr>
              <w:jc w:val="right"/>
              <w:rPr>
                <w:rFonts w:ascii="Times New Roman" w:hAnsi="Times New Roman" w:cs="Times New Roman"/>
                <w:sz w:val="24"/>
                <w:szCs w:val="24"/>
              </w:rPr>
            </w:pPr>
            <w:r w:rsidRPr="00944E88">
              <w:rPr>
                <w:rFonts w:ascii="Times New Roman" w:hAnsi="Times New Roman" w:cs="Times New Roman"/>
                <w:sz w:val="24"/>
                <w:szCs w:val="24"/>
              </w:rPr>
              <w:t>-9,32</w:t>
            </w:r>
          </w:p>
        </w:tc>
        <w:tc>
          <w:tcPr>
            <w:tcW w:w="456" w:type="pct"/>
          </w:tcPr>
          <w:p w:rsidR="000A79D8" w:rsidRPr="00944E88" w:rsidRDefault="000A79D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400" w:type="pct"/>
          </w:tcPr>
          <w:p w:rsidR="000A79D8" w:rsidRPr="00944E88" w:rsidRDefault="000A79D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r w:rsidR="00FC3DDD" w:rsidRPr="00944E88" w:rsidTr="00627547">
        <w:tc>
          <w:tcPr>
            <w:tcW w:w="728" w:type="pct"/>
            <w:vMerge w:val="restart"/>
            <w:vAlign w:val="center"/>
          </w:tcPr>
          <w:p w:rsidR="000A79D8" w:rsidRPr="00944E88" w:rsidRDefault="000A79D8" w:rsidP="00944E88">
            <w:pPr>
              <w:jc w:val="center"/>
              <w:rPr>
                <w:rFonts w:ascii="Times New Roman" w:hAnsi="Times New Roman" w:cs="Times New Roman"/>
                <w:b/>
                <w:sz w:val="24"/>
                <w:szCs w:val="24"/>
              </w:rPr>
            </w:pPr>
            <w:r w:rsidRPr="00944E88">
              <w:rPr>
                <w:rFonts w:ascii="Times New Roman" w:hAnsi="Times New Roman" w:cs="Times New Roman"/>
                <w:b/>
                <w:sz w:val="24"/>
                <w:szCs w:val="24"/>
              </w:rPr>
              <w:t>CCAPM modificado</w:t>
            </w:r>
          </w:p>
        </w:tc>
        <w:tc>
          <w:tcPr>
            <w:tcW w:w="1448" w:type="pct"/>
            <w:vAlign w:val="center"/>
          </w:tcPr>
          <w:p w:rsidR="000A79D8" w:rsidRPr="00944E88" w:rsidRDefault="000A79D8" w:rsidP="00944E88">
            <w:pPr>
              <w:rPr>
                <w:rFonts w:ascii="Times New Roman" w:hAnsi="Times New Roman" w:cs="Times New Roman"/>
                <w:sz w:val="24"/>
                <w:szCs w:val="24"/>
              </w:rPr>
            </w:pPr>
            <w:proofErr w:type="spellStart"/>
            <w:r w:rsidRPr="00944E88">
              <w:rPr>
                <w:rFonts w:ascii="Times New Roman" w:hAnsi="Times New Roman" w:cs="Times New Roman"/>
                <w:sz w:val="24"/>
                <w:szCs w:val="24"/>
              </w:rPr>
              <w:t>Constante</w:t>
            </w:r>
            <w:proofErr w:type="spellEnd"/>
            <w:r w:rsidRPr="00944E88">
              <w:rPr>
                <w:rFonts w:ascii="Times New Roman" w:hAnsi="Times New Roman" w:cs="Times New Roman"/>
                <w:sz w:val="24"/>
                <w:szCs w:val="24"/>
              </w:rPr>
              <w:t xml:space="preserve"> e </w:t>
            </w:r>
            <w:proofErr w:type="spellStart"/>
            <w:r w:rsidRPr="00944E88">
              <w:rPr>
                <w:rFonts w:ascii="Times New Roman" w:hAnsi="Times New Roman" w:cs="Times New Roman"/>
                <w:sz w:val="24"/>
                <w:szCs w:val="24"/>
              </w:rPr>
              <w:t>tendência</w:t>
            </w:r>
            <w:proofErr w:type="spellEnd"/>
          </w:p>
        </w:tc>
        <w:tc>
          <w:tcPr>
            <w:tcW w:w="569"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-4,63</w:t>
            </w:r>
          </w:p>
        </w:tc>
        <w:tc>
          <w:tcPr>
            <w:tcW w:w="447"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-3,51</w:t>
            </w:r>
          </w:p>
        </w:tc>
        <w:tc>
          <w:tcPr>
            <w:tcW w:w="481"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-13,41</w:t>
            </w:r>
          </w:p>
        </w:tc>
        <w:tc>
          <w:tcPr>
            <w:tcW w:w="471"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-11,35</w:t>
            </w:r>
          </w:p>
        </w:tc>
        <w:tc>
          <w:tcPr>
            <w:tcW w:w="456"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0,26</w:t>
            </w:r>
          </w:p>
        </w:tc>
        <w:tc>
          <w:tcPr>
            <w:tcW w:w="400"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0,21</w:t>
            </w:r>
          </w:p>
        </w:tc>
      </w:tr>
      <w:tr w:rsidR="00FC3DDD" w:rsidRPr="00944E88" w:rsidTr="00627547">
        <w:tc>
          <w:tcPr>
            <w:tcW w:w="728" w:type="pct"/>
            <w:vMerge/>
          </w:tcPr>
          <w:p w:rsidR="000A79D8" w:rsidRPr="00944E88" w:rsidRDefault="000A79D8" w:rsidP="00944E88">
            <w:pPr>
              <w:rPr>
                <w:rFonts w:ascii="Times New Roman" w:hAnsi="Times New Roman" w:cs="Times New Roman"/>
                <w:sz w:val="24"/>
                <w:szCs w:val="24"/>
              </w:rPr>
            </w:pPr>
          </w:p>
        </w:tc>
        <w:tc>
          <w:tcPr>
            <w:tcW w:w="1448" w:type="pct"/>
            <w:vAlign w:val="center"/>
          </w:tcPr>
          <w:p w:rsidR="000A79D8" w:rsidRPr="00944E88" w:rsidRDefault="000A79D8" w:rsidP="00944E88">
            <w:pPr>
              <w:rPr>
                <w:rFonts w:ascii="Times New Roman" w:hAnsi="Times New Roman" w:cs="Times New Roman"/>
                <w:sz w:val="24"/>
                <w:szCs w:val="24"/>
              </w:rPr>
            </w:pPr>
            <w:proofErr w:type="spellStart"/>
            <w:r w:rsidRPr="00944E88">
              <w:rPr>
                <w:rFonts w:ascii="Times New Roman" w:hAnsi="Times New Roman" w:cs="Times New Roman"/>
                <w:sz w:val="24"/>
                <w:szCs w:val="24"/>
              </w:rPr>
              <w:t>Constante</w:t>
            </w:r>
            <w:proofErr w:type="spellEnd"/>
          </w:p>
        </w:tc>
        <w:tc>
          <w:tcPr>
            <w:tcW w:w="569"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-1,04</w:t>
            </w:r>
          </w:p>
        </w:tc>
        <w:tc>
          <w:tcPr>
            <w:tcW w:w="447"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-1,43</w:t>
            </w:r>
          </w:p>
        </w:tc>
        <w:tc>
          <w:tcPr>
            <w:tcW w:w="481"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-9,24</w:t>
            </w:r>
          </w:p>
        </w:tc>
        <w:tc>
          <w:tcPr>
            <w:tcW w:w="471"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-9,31</w:t>
            </w:r>
          </w:p>
        </w:tc>
        <w:tc>
          <w:tcPr>
            <w:tcW w:w="456" w:type="pct"/>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1,12</w:t>
            </w:r>
          </w:p>
        </w:tc>
        <w:tc>
          <w:tcPr>
            <w:tcW w:w="400" w:type="pct"/>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0,85</w:t>
            </w:r>
          </w:p>
        </w:tc>
      </w:tr>
      <w:tr w:rsidR="00FC3DDD" w:rsidRPr="00944E88" w:rsidTr="00627547">
        <w:tc>
          <w:tcPr>
            <w:tcW w:w="728" w:type="pct"/>
            <w:vMerge/>
            <w:tcBorders>
              <w:bottom w:val="single" w:sz="4" w:space="0" w:color="auto"/>
            </w:tcBorders>
          </w:tcPr>
          <w:p w:rsidR="000A79D8" w:rsidRPr="00944E88" w:rsidRDefault="000A79D8" w:rsidP="00944E88">
            <w:pPr>
              <w:rPr>
                <w:rFonts w:ascii="Times New Roman" w:hAnsi="Times New Roman" w:cs="Times New Roman"/>
                <w:sz w:val="24"/>
                <w:szCs w:val="24"/>
                <w:lang w:val="pt-BR"/>
              </w:rPr>
            </w:pPr>
          </w:p>
        </w:tc>
        <w:tc>
          <w:tcPr>
            <w:tcW w:w="1448" w:type="pct"/>
            <w:tcBorders>
              <w:bottom w:val="single" w:sz="4" w:space="0" w:color="auto"/>
            </w:tcBorders>
            <w:vAlign w:val="center"/>
          </w:tcPr>
          <w:p w:rsidR="000A79D8" w:rsidRPr="00944E88" w:rsidRDefault="000A79D8" w:rsidP="00944E88">
            <w:pPr>
              <w:rPr>
                <w:rFonts w:ascii="Times New Roman" w:hAnsi="Times New Roman" w:cs="Times New Roman"/>
                <w:sz w:val="24"/>
                <w:szCs w:val="24"/>
                <w:lang w:val="pt-BR"/>
              </w:rPr>
            </w:pPr>
            <w:r w:rsidRPr="00944E88">
              <w:rPr>
                <w:rFonts w:ascii="Times New Roman" w:hAnsi="Times New Roman" w:cs="Times New Roman"/>
                <w:sz w:val="24"/>
                <w:szCs w:val="24"/>
                <w:lang w:val="pt-BR"/>
              </w:rPr>
              <w:t>Sem constante e sem tendência</w:t>
            </w:r>
          </w:p>
        </w:tc>
        <w:tc>
          <w:tcPr>
            <w:tcW w:w="569" w:type="pct"/>
            <w:tcBorders>
              <w:bottom w:val="single" w:sz="4" w:space="0" w:color="auto"/>
            </w:tcBorders>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-0,95</w:t>
            </w:r>
          </w:p>
        </w:tc>
        <w:tc>
          <w:tcPr>
            <w:tcW w:w="447" w:type="pct"/>
            <w:tcBorders>
              <w:bottom w:val="single" w:sz="4" w:space="0" w:color="auto"/>
            </w:tcBorders>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-1,45</w:t>
            </w:r>
          </w:p>
        </w:tc>
        <w:tc>
          <w:tcPr>
            <w:tcW w:w="481" w:type="pct"/>
            <w:tcBorders>
              <w:bottom w:val="single" w:sz="4" w:space="0" w:color="auto"/>
            </w:tcBorders>
          </w:tcPr>
          <w:p w:rsidR="000A79D8" w:rsidRPr="00944E88" w:rsidRDefault="0091657F" w:rsidP="00944E88">
            <w:pPr>
              <w:jc w:val="right"/>
              <w:rPr>
                <w:rFonts w:ascii="Times New Roman" w:hAnsi="Times New Roman" w:cs="Times New Roman"/>
                <w:sz w:val="24"/>
                <w:szCs w:val="24"/>
              </w:rPr>
            </w:pPr>
            <w:r w:rsidRPr="00944E88">
              <w:rPr>
                <w:rFonts w:ascii="Times New Roman" w:hAnsi="Times New Roman" w:cs="Times New Roman"/>
                <w:sz w:val="24"/>
                <w:szCs w:val="24"/>
              </w:rPr>
              <w:t>-9,19</w:t>
            </w:r>
          </w:p>
        </w:tc>
        <w:tc>
          <w:tcPr>
            <w:tcW w:w="471" w:type="pct"/>
            <w:tcBorders>
              <w:bottom w:val="single" w:sz="4" w:space="0" w:color="auto"/>
            </w:tcBorders>
          </w:tcPr>
          <w:p w:rsidR="000A79D8" w:rsidRPr="00944E88" w:rsidRDefault="0040594E" w:rsidP="00944E88">
            <w:pPr>
              <w:jc w:val="right"/>
              <w:rPr>
                <w:rFonts w:ascii="Times New Roman" w:hAnsi="Times New Roman" w:cs="Times New Roman"/>
                <w:sz w:val="24"/>
                <w:szCs w:val="24"/>
              </w:rPr>
            </w:pPr>
            <w:r w:rsidRPr="00944E88">
              <w:rPr>
                <w:rFonts w:ascii="Times New Roman" w:hAnsi="Times New Roman" w:cs="Times New Roman"/>
                <w:sz w:val="24"/>
                <w:szCs w:val="24"/>
              </w:rPr>
              <w:t>-9,32</w:t>
            </w:r>
          </w:p>
        </w:tc>
        <w:tc>
          <w:tcPr>
            <w:tcW w:w="456" w:type="pct"/>
            <w:tcBorders>
              <w:bottom w:val="single" w:sz="4" w:space="0" w:color="auto"/>
            </w:tcBorders>
          </w:tcPr>
          <w:p w:rsidR="000A79D8" w:rsidRPr="00944E88" w:rsidRDefault="000A79D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c>
          <w:tcPr>
            <w:tcW w:w="400" w:type="pct"/>
            <w:tcBorders>
              <w:bottom w:val="single" w:sz="4" w:space="0" w:color="auto"/>
            </w:tcBorders>
          </w:tcPr>
          <w:p w:rsidR="000A79D8" w:rsidRPr="00944E88" w:rsidRDefault="000A79D8" w:rsidP="00944E88">
            <w:pPr>
              <w:jc w:val="right"/>
              <w:rPr>
                <w:rFonts w:ascii="Times New Roman" w:hAnsi="Times New Roman" w:cs="Times New Roman"/>
                <w:sz w:val="24"/>
                <w:szCs w:val="24"/>
              </w:rPr>
            </w:pPr>
            <w:r w:rsidRPr="00944E88">
              <w:rPr>
                <w:rFonts w:ascii="Times New Roman" w:hAnsi="Times New Roman" w:cs="Times New Roman"/>
                <w:sz w:val="24"/>
                <w:szCs w:val="24"/>
              </w:rPr>
              <w:t>-</w:t>
            </w:r>
          </w:p>
        </w:tc>
      </w:tr>
    </w:tbl>
    <w:p w:rsidR="000A79D8" w:rsidRPr="0073171A" w:rsidRDefault="000A79D8" w:rsidP="00944E88">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xml:space="preserve">Fonte: Elaborado pela autora. Software utilizado: </w:t>
      </w:r>
      <w:proofErr w:type="spellStart"/>
      <w:r w:rsidRPr="0073171A">
        <w:rPr>
          <w:rFonts w:ascii="Times New Roman" w:hAnsi="Times New Roman" w:cs="Times New Roman"/>
          <w:sz w:val="20"/>
          <w:szCs w:val="20"/>
          <w:lang w:val="pt-BR"/>
        </w:rPr>
        <w:t>Eviews</w:t>
      </w:r>
      <w:proofErr w:type="spellEnd"/>
      <w:r w:rsidR="0073171A">
        <w:rPr>
          <w:rFonts w:ascii="Times New Roman" w:hAnsi="Times New Roman" w:cs="Times New Roman"/>
          <w:sz w:val="20"/>
          <w:szCs w:val="20"/>
          <w:lang w:val="pt-BR"/>
        </w:rPr>
        <w:t xml:space="preserve"> (2017)</w:t>
      </w:r>
      <w:r w:rsidRPr="0073171A">
        <w:rPr>
          <w:rFonts w:ascii="Times New Roman" w:hAnsi="Times New Roman" w:cs="Times New Roman"/>
          <w:sz w:val="20"/>
          <w:szCs w:val="20"/>
          <w:lang w:val="pt-BR"/>
        </w:rPr>
        <w:t xml:space="preserve">. </w:t>
      </w:r>
    </w:p>
    <w:p w:rsidR="000A79D8" w:rsidRPr="0073171A" w:rsidRDefault="000A79D8" w:rsidP="00944E88">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Valores críticos: 1% de significância: -4,06 (Constante e tendência), -3,50 (Constante) e -2,59 (Sem constante e sem tendência).</w:t>
      </w:r>
      <w:r w:rsidRPr="0073171A">
        <w:rPr>
          <w:rFonts w:ascii="Times New Roman" w:hAnsi="Times New Roman" w:cs="Times New Roman"/>
          <w:sz w:val="20"/>
          <w:szCs w:val="20"/>
          <w:lang w:val="pt-BR"/>
        </w:rPr>
        <w:tab/>
        <w:t xml:space="preserve"> 5% de significância: -3,46 (Constante e tendência), -2,89 (Constante) e -1,94 (Sem constante e sem tendência). 10% de significância: -3,15 (Constante e tendência), -2,58 (Constante) e -1,61 (Sem constante e sem tendência).</w:t>
      </w:r>
    </w:p>
    <w:p w:rsidR="000A79D8" w:rsidRPr="0073171A" w:rsidRDefault="000A79D8" w:rsidP="00944E88">
      <w:pPr>
        <w:pStyle w:val="SemEspaamento"/>
        <w:rPr>
          <w:rFonts w:ascii="Times New Roman" w:hAnsi="Times New Roman" w:cs="Times New Roman"/>
          <w:sz w:val="20"/>
          <w:szCs w:val="20"/>
          <w:lang w:val="pt-BR"/>
        </w:rPr>
      </w:pPr>
      <w:r w:rsidRPr="0073171A">
        <w:rPr>
          <w:rFonts w:ascii="Times New Roman" w:hAnsi="Times New Roman" w:cs="Times New Roman"/>
          <w:sz w:val="20"/>
          <w:szCs w:val="20"/>
          <w:lang w:val="pt-BR"/>
        </w:rPr>
        <w:t>** Valores críticos: 1% de significância: 0,22 (Constante e tendência) e 0,74 (Constante). 5% de significância: 0,15 (Constante e tendência) e 0,46 (Constante). 10% de significância: 0,12 (Constante e tendência) e 0,35 (Constante).</w:t>
      </w:r>
    </w:p>
    <w:p w:rsidR="000A79D8" w:rsidRPr="00944E88" w:rsidRDefault="000A79D8" w:rsidP="00944E88">
      <w:pPr>
        <w:spacing w:after="0" w:line="240" w:lineRule="auto"/>
        <w:ind w:left="709"/>
        <w:jc w:val="both"/>
        <w:rPr>
          <w:rFonts w:ascii="Times New Roman" w:hAnsi="Times New Roman" w:cs="Times New Roman"/>
          <w:color w:val="FF0000"/>
          <w:sz w:val="24"/>
          <w:szCs w:val="24"/>
        </w:rPr>
      </w:pPr>
    </w:p>
    <w:p w:rsidR="0040594E" w:rsidRPr="00944E88" w:rsidRDefault="00461C54" w:rsidP="00944E88">
      <w:pPr>
        <w:spacing w:after="0" w:line="240" w:lineRule="auto"/>
        <w:ind w:firstLine="708"/>
        <w:jc w:val="both"/>
        <w:rPr>
          <w:rFonts w:ascii="Times New Roman" w:hAnsi="Times New Roman" w:cs="Times New Roman"/>
          <w:sz w:val="24"/>
          <w:szCs w:val="24"/>
        </w:rPr>
      </w:pPr>
      <w:r w:rsidRPr="00944E88">
        <w:rPr>
          <w:rFonts w:ascii="Times New Roman" w:hAnsi="Times New Roman" w:cs="Times New Roman"/>
          <w:sz w:val="24"/>
          <w:szCs w:val="24"/>
        </w:rPr>
        <w:t xml:space="preserve">Observa-se que os resíduos das estimações do CAPM para as duas cidades são estacionários, já que a H0 que supõe presença de raiz unitária é rejeitada em todos os modelos nos testes ADF e PP. </w:t>
      </w:r>
      <w:r w:rsidR="0040594E" w:rsidRPr="00944E88">
        <w:rPr>
          <w:rFonts w:ascii="Times New Roman" w:hAnsi="Times New Roman" w:cs="Times New Roman"/>
          <w:sz w:val="24"/>
          <w:szCs w:val="24"/>
        </w:rPr>
        <w:t xml:space="preserve">O resíduo da estimação de São Paulo é estacionário para os testes ADF </w:t>
      </w:r>
      <w:r w:rsidR="0040594E" w:rsidRPr="00944E88">
        <w:rPr>
          <w:rFonts w:ascii="Times New Roman" w:hAnsi="Times New Roman" w:cs="Times New Roman"/>
          <w:sz w:val="24"/>
          <w:szCs w:val="24"/>
        </w:rPr>
        <w:lastRenderedPageBreak/>
        <w:t xml:space="preserve">e PP no modelo com constante e tendência ao nível de 5% de significância. Já os resíduos da estimação do Rio de Janeiro são estacionários para os testes ADF e PP para o modelo com constante e tendência </w:t>
      </w:r>
      <w:r w:rsidR="00CA5F01" w:rsidRPr="00944E88">
        <w:rPr>
          <w:rFonts w:ascii="Times New Roman" w:hAnsi="Times New Roman" w:cs="Times New Roman"/>
          <w:sz w:val="24"/>
          <w:szCs w:val="24"/>
        </w:rPr>
        <w:t>também ao nível de 5</w:t>
      </w:r>
      <w:r w:rsidR="0040594E" w:rsidRPr="00944E88">
        <w:rPr>
          <w:rFonts w:ascii="Times New Roman" w:hAnsi="Times New Roman" w:cs="Times New Roman"/>
          <w:sz w:val="24"/>
          <w:szCs w:val="24"/>
        </w:rPr>
        <w:t xml:space="preserve">% de significância e o resultado do teste KPSS não rejeita a H0 de estacionariedade para o modelo com constante e tendência, ao nível de significância de 1%. </w:t>
      </w:r>
    </w:p>
    <w:p w:rsidR="00D3229A" w:rsidRPr="00944E88" w:rsidRDefault="00D3229A" w:rsidP="00944E88">
      <w:pPr>
        <w:spacing w:after="0" w:line="240" w:lineRule="auto"/>
        <w:jc w:val="both"/>
        <w:rPr>
          <w:rFonts w:ascii="Times New Roman" w:hAnsi="Times New Roman" w:cs="Times New Roman"/>
          <w:color w:val="FF0000"/>
          <w:sz w:val="24"/>
          <w:szCs w:val="24"/>
        </w:rPr>
      </w:pPr>
    </w:p>
    <w:p w:rsidR="0045524C" w:rsidRPr="00944E88" w:rsidRDefault="0045524C" w:rsidP="00944E88">
      <w:pPr>
        <w:pStyle w:val="PargrafodaLista"/>
        <w:numPr>
          <w:ilvl w:val="0"/>
          <w:numId w:val="1"/>
        </w:numPr>
        <w:spacing w:after="0" w:line="240" w:lineRule="auto"/>
        <w:ind w:left="709"/>
        <w:rPr>
          <w:rFonts w:ascii="Times New Roman" w:hAnsi="Times New Roman" w:cs="Times New Roman"/>
          <w:b/>
          <w:sz w:val="24"/>
          <w:szCs w:val="24"/>
        </w:rPr>
      </w:pPr>
      <w:r w:rsidRPr="00944E88">
        <w:rPr>
          <w:rFonts w:ascii="Times New Roman" w:hAnsi="Times New Roman" w:cs="Times New Roman"/>
          <w:b/>
          <w:sz w:val="24"/>
          <w:szCs w:val="24"/>
        </w:rPr>
        <w:t>CONCLUSÕES</w:t>
      </w:r>
    </w:p>
    <w:p w:rsidR="00511E0F" w:rsidRPr="00944E88" w:rsidRDefault="00511E0F" w:rsidP="00944E88">
      <w:pPr>
        <w:pStyle w:val="PargrafodaLista"/>
        <w:spacing w:after="0" w:line="240" w:lineRule="auto"/>
        <w:ind w:left="709"/>
        <w:rPr>
          <w:rFonts w:ascii="Times New Roman" w:hAnsi="Times New Roman" w:cs="Times New Roman"/>
          <w:b/>
          <w:sz w:val="24"/>
          <w:szCs w:val="24"/>
        </w:rPr>
      </w:pPr>
    </w:p>
    <w:p w:rsidR="00627547" w:rsidRPr="00944E88" w:rsidRDefault="00627547"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O comportamento do mercado imobiliário é de extrema importância para a evolução das atividades econômicas, fato este comprovado pelas grandes consequências que o estouro da bolha no mercado imobiliário dos Estados Unidos (EUA) em 2007 trouxe para a economia internacional, ao desencadear a Crise Financeira Internacional em 2008. </w:t>
      </w:r>
    </w:p>
    <w:p w:rsidR="00627547" w:rsidRPr="00944E88" w:rsidRDefault="00627547"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 xml:space="preserve">O fato </w:t>
      </w:r>
      <w:proofErr w:type="gramStart"/>
      <w:r w:rsidRPr="00944E88">
        <w:rPr>
          <w:rFonts w:ascii="Times New Roman" w:hAnsi="Times New Roman" w:cs="Times New Roman"/>
          <w:sz w:val="24"/>
          <w:szCs w:val="24"/>
        </w:rPr>
        <w:t>do investimento imobiliário ter</w:t>
      </w:r>
      <w:proofErr w:type="gramEnd"/>
      <w:r w:rsidRPr="00944E88">
        <w:rPr>
          <w:rFonts w:ascii="Times New Roman" w:hAnsi="Times New Roman" w:cs="Times New Roman"/>
          <w:sz w:val="24"/>
          <w:szCs w:val="24"/>
        </w:rPr>
        <w:t xml:space="preserve"> duas finalidades – investimento financeiro e usufruto próprio ou dos descendentes – faz com que estes dois aspectos tenham que ser inseridos na análise da formação de preços dos imóveis.</w:t>
      </w:r>
    </w:p>
    <w:p w:rsidR="00627547" w:rsidRPr="00944E88" w:rsidRDefault="00627547"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sz w:val="24"/>
          <w:szCs w:val="24"/>
        </w:rPr>
        <w:tab/>
        <w:t>Est</w:t>
      </w:r>
      <w:r w:rsidR="00AF01FA" w:rsidRPr="00944E88">
        <w:rPr>
          <w:rFonts w:ascii="Times New Roman" w:hAnsi="Times New Roman" w:cs="Times New Roman"/>
          <w:sz w:val="24"/>
          <w:szCs w:val="24"/>
        </w:rPr>
        <w:t>e artigo analisou</w:t>
      </w:r>
      <w:r w:rsidRPr="00944E88">
        <w:rPr>
          <w:rFonts w:ascii="Times New Roman" w:hAnsi="Times New Roman" w:cs="Times New Roman"/>
          <w:sz w:val="24"/>
          <w:szCs w:val="24"/>
        </w:rPr>
        <w:t xml:space="preserve"> o comportamento das taxas de retorno deste tipo de investimento e dos preços dos imóveis em duas grandes cidades brasileiras, São Paulo e Rio de Janeiro. Uma das fragilidades desta pesquisa está no fato de o período analisado, 2008 a 201</w:t>
      </w:r>
      <w:r w:rsidR="00C43126" w:rsidRPr="00944E88">
        <w:rPr>
          <w:rFonts w:ascii="Times New Roman" w:hAnsi="Times New Roman" w:cs="Times New Roman"/>
          <w:sz w:val="24"/>
          <w:szCs w:val="24"/>
        </w:rPr>
        <w:t>7</w:t>
      </w:r>
      <w:r w:rsidRPr="00944E88">
        <w:rPr>
          <w:rFonts w:ascii="Times New Roman" w:hAnsi="Times New Roman" w:cs="Times New Roman"/>
          <w:sz w:val="24"/>
          <w:szCs w:val="24"/>
        </w:rPr>
        <w:t xml:space="preserve">, ser considerado pequeno, porém a série de dados disponibilizada pela FIPE </w:t>
      </w:r>
      <w:r w:rsidR="00C43126" w:rsidRPr="00944E88">
        <w:rPr>
          <w:rFonts w:ascii="Times New Roman" w:hAnsi="Times New Roman" w:cs="Times New Roman"/>
          <w:sz w:val="24"/>
          <w:szCs w:val="24"/>
        </w:rPr>
        <w:t xml:space="preserve">é mensal e conta com </w:t>
      </w:r>
      <w:proofErr w:type="gramStart"/>
      <w:r w:rsidR="00C43126" w:rsidRPr="00944E88">
        <w:rPr>
          <w:rFonts w:ascii="Times New Roman" w:hAnsi="Times New Roman" w:cs="Times New Roman"/>
          <w:sz w:val="24"/>
          <w:szCs w:val="24"/>
        </w:rPr>
        <w:t>cerca de 112</w:t>
      </w:r>
      <w:proofErr w:type="gramEnd"/>
      <w:r w:rsidRPr="00944E88">
        <w:rPr>
          <w:rFonts w:ascii="Times New Roman" w:hAnsi="Times New Roman" w:cs="Times New Roman"/>
          <w:sz w:val="24"/>
          <w:szCs w:val="24"/>
        </w:rPr>
        <w:t xml:space="preserve"> observações, sendo a melhor </w:t>
      </w:r>
      <w:r w:rsidRPr="00944E88">
        <w:rPr>
          <w:rFonts w:ascii="Times New Roman" w:hAnsi="Times New Roman" w:cs="Times New Roman"/>
          <w:i/>
          <w:sz w:val="24"/>
          <w:szCs w:val="24"/>
        </w:rPr>
        <w:t>proxy</w:t>
      </w:r>
      <w:r w:rsidRPr="00944E88">
        <w:rPr>
          <w:rFonts w:ascii="Times New Roman" w:hAnsi="Times New Roman" w:cs="Times New Roman"/>
          <w:sz w:val="24"/>
          <w:szCs w:val="24"/>
        </w:rPr>
        <w:t xml:space="preserve"> para acompanhar a evolução dos preços deste mercado no Brasil, já que não existe uma base de dados oficial para o país.  </w:t>
      </w:r>
    </w:p>
    <w:p w:rsidR="00627547" w:rsidRPr="00944E88" w:rsidRDefault="00627547" w:rsidP="00944E88">
      <w:pPr>
        <w:autoSpaceDE w:val="0"/>
        <w:autoSpaceDN w:val="0"/>
        <w:adjustRightInd w:val="0"/>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As estimações realizadas com base nos modelos</w:t>
      </w:r>
      <w:r w:rsidR="0073171A">
        <w:rPr>
          <w:rFonts w:ascii="Times New Roman" w:hAnsi="Times New Roman" w:cs="Times New Roman"/>
          <w:sz w:val="24"/>
          <w:szCs w:val="24"/>
        </w:rPr>
        <w:t xml:space="preserve"> de finanças </w:t>
      </w:r>
      <w:r w:rsidRPr="00944E88">
        <w:rPr>
          <w:rFonts w:ascii="Times New Roman" w:hAnsi="Times New Roman" w:cs="Times New Roman"/>
          <w:sz w:val="24"/>
          <w:szCs w:val="24"/>
        </w:rPr>
        <w:t xml:space="preserve">Capital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Pricing</w:t>
      </w:r>
      <w:proofErr w:type="spellEnd"/>
      <w:r w:rsidRPr="00944E88">
        <w:rPr>
          <w:rFonts w:ascii="Times New Roman" w:hAnsi="Times New Roman" w:cs="Times New Roman"/>
          <w:sz w:val="24"/>
          <w:szCs w:val="24"/>
        </w:rPr>
        <w:t xml:space="preserve"> (CAPM) e </w:t>
      </w:r>
      <w:proofErr w:type="spellStart"/>
      <w:r w:rsidRPr="00944E88">
        <w:rPr>
          <w:rFonts w:ascii="Times New Roman" w:hAnsi="Times New Roman" w:cs="Times New Roman"/>
          <w:sz w:val="24"/>
          <w:szCs w:val="24"/>
        </w:rPr>
        <w:t>Consumption</w:t>
      </w:r>
      <w:proofErr w:type="spellEnd"/>
      <w:r w:rsidR="00AF01FA" w:rsidRPr="00944E88">
        <w:rPr>
          <w:rFonts w:ascii="Times New Roman" w:hAnsi="Times New Roman" w:cs="Times New Roman"/>
          <w:sz w:val="24"/>
          <w:szCs w:val="24"/>
        </w:rPr>
        <w:t xml:space="preserve"> </w:t>
      </w:r>
      <w:proofErr w:type="spellStart"/>
      <w:r w:rsidR="00AF01FA" w:rsidRPr="00944E88">
        <w:rPr>
          <w:rFonts w:ascii="Times New Roman" w:hAnsi="Times New Roman" w:cs="Times New Roman"/>
          <w:sz w:val="24"/>
          <w:szCs w:val="24"/>
        </w:rPr>
        <w:t>Based</w:t>
      </w:r>
      <w:proofErr w:type="spellEnd"/>
      <w:r w:rsidR="00AF01FA" w:rsidRPr="00944E88">
        <w:rPr>
          <w:rFonts w:ascii="Times New Roman" w:hAnsi="Times New Roman" w:cs="Times New Roman"/>
          <w:sz w:val="24"/>
          <w:szCs w:val="24"/>
        </w:rPr>
        <w:t xml:space="preserve"> </w:t>
      </w:r>
      <w:r w:rsidRPr="00944E88">
        <w:rPr>
          <w:rFonts w:ascii="Times New Roman" w:hAnsi="Times New Roman" w:cs="Times New Roman"/>
          <w:sz w:val="24"/>
          <w:szCs w:val="24"/>
        </w:rPr>
        <w:t xml:space="preserve">Capital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Pricing</w:t>
      </w:r>
      <w:proofErr w:type="spellEnd"/>
      <w:r w:rsidRPr="00944E88">
        <w:rPr>
          <w:rFonts w:ascii="Times New Roman" w:hAnsi="Times New Roman" w:cs="Times New Roman"/>
          <w:sz w:val="24"/>
          <w:szCs w:val="24"/>
        </w:rPr>
        <w:t xml:space="preserve"> (CCAPM) mostraram que o comportamento do mercado imobiliário brasileiro é divergente dos resultados encontrados por estudos empíricos realizados para os EUA. A</w:t>
      </w:r>
      <w:r w:rsidR="00217029" w:rsidRPr="00944E88">
        <w:rPr>
          <w:rFonts w:ascii="Times New Roman" w:hAnsi="Times New Roman" w:cs="Times New Roman"/>
          <w:sz w:val="24"/>
          <w:szCs w:val="24"/>
        </w:rPr>
        <w:t>s</w:t>
      </w:r>
      <w:r w:rsidRPr="00944E88">
        <w:rPr>
          <w:rFonts w:ascii="Times New Roman" w:hAnsi="Times New Roman" w:cs="Times New Roman"/>
          <w:sz w:val="24"/>
          <w:szCs w:val="24"/>
        </w:rPr>
        <w:t xml:space="preserve"> taxa</w:t>
      </w:r>
      <w:r w:rsidR="00217029" w:rsidRPr="00944E88">
        <w:rPr>
          <w:rFonts w:ascii="Times New Roman" w:hAnsi="Times New Roman" w:cs="Times New Roman"/>
          <w:sz w:val="24"/>
          <w:szCs w:val="24"/>
        </w:rPr>
        <w:t>s</w:t>
      </w:r>
      <w:r w:rsidRPr="00944E88">
        <w:rPr>
          <w:rFonts w:ascii="Times New Roman" w:hAnsi="Times New Roman" w:cs="Times New Roman"/>
          <w:sz w:val="24"/>
          <w:szCs w:val="24"/>
        </w:rPr>
        <w:t xml:space="preserve"> de retorno do investimento imobiliário nas duas grandes cidades brasileiras são muito acima das taxas de retorno média encontradas para as regiões metropolitanas dos EUA de 1985-2007 de 1% a.a. (</w:t>
      </w:r>
      <w:proofErr w:type="gramStart"/>
      <w:r w:rsidRPr="00944E88">
        <w:rPr>
          <w:rFonts w:ascii="Times New Roman" w:hAnsi="Times New Roman" w:cs="Times New Roman"/>
          <w:sz w:val="24"/>
          <w:szCs w:val="24"/>
        </w:rPr>
        <w:t>CASE,</w:t>
      </w:r>
      <w:proofErr w:type="gramEnd"/>
      <w:r w:rsidRPr="00944E88">
        <w:rPr>
          <w:rFonts w:ascii="Times New Roman" w:hAnsi="Times New Roman" w:cs="Times New Roman"/>
          <w:sz w:val="24"/>
          <w:szCs w:val="24"/>
        </w:rPr>
        <w:t xml:space="preserve"> COTTER E GABRIEL, 2010). No período analisado, 2008-201</w:t>
      </w:r>
      <w:r w:rsidR="00C43126" w:rsidRPr="00944E88">
        <w:rPr>
          <w:rFonts w:ascii="Times New Roman" w:hAnsi="Times New Roman" w:cs="Times New Roman"/>
          <w:sz w:val="24"/>
          <w:szCs w:val="24"/>
        </w:rPr>
        <w:t>7</w:t>
      </w:r>
      <w:r w:rsidRPr="00944E88">
        <w:rPr>
          <w:rFonts w:ascii="Times New Roman" w:hAnsi="Times New Roman" w:cs="Times New Roman"/>
          <w:sz w:val="24"/>
          <w:szCs w:val="24"/>
        </w:rPr>
        <w:t>, o retorno médio de São Paulo foi de 1</w:t>
      </w:r>
      <w:r w:rsidR="002C1F9C" w:rsidRPr="00944E88">
        <w:rPr>
          <w:rFonts w:ascii="Times New Roman" w:hAnsi="Times New Roman" w:cs="Times New Roman"/>
          <w:sz w:val="24"/>
          <w:szCs w:val="24"/>
        </w:rPr>
        <w:t>4,11</w:t>
      </w:r>
      <w:r w:rsidRPr="00944E88">
        <w:rPr>
          <w:rFonts w:ascii="Times New Roman" w:hAnsi="Times New Roman" w:cs="Times New Roman"/>
          <w:sz w:val="24"/>
          <w:szCs w:val="24"/>
        </w:rPr>
        <w:t>% a.a. e para o Rio de Janeiro, 1</w:t>
      </w:r>
      <w:r w:rsidR="002C1F9C" w:rsidRPr="00944E88">
        <w:rPr>
          <w:rFonts w:ascii="Times New Roman" w:hAnsi="Times New Roman" w:cs="Times New Roman"/>
          <w:sz w:val="24"/>
          <w:szCs w:val="24"/>
        </w:rPr>
        <w:t>4</w:t>
      </w:r>
      <w:r w:rsidRPr="00944E88">
        <w:rPr>
          <w:rFonts w:ascii="Times New Roman" w:hAnsi="Times New Roman" w:cs="Times New Roman"/>
          <w:sz w:val="24"/>
          <w:szCs w:val="24"/>
        </w:rPr>
        <w:t>,</w:t>
      </w:r>
      <w:r w:rsidR="002C1F9C" w:rsidRPr="00944E88">
        <w:rPr>
          <w:rFonts w:ascii="Times New Roman" w:hAnsi="Times New Roman" w:cs="Times New Roman"/>
          <w:sz w:val="24"/>
          <w:szCs w:val="24"/>
        </w:rPr>
        <w:t>18</w:t>
      </w:r>
      <w:r w:rsidRPr="00944E88">
        <w:rPr>
          <w:rFonts w:ascii="Times New Roman" w:hAnsi="Times New Roman" w:cs="Times New Roman"/>
          <w:sz w:val="24"/>
          <w:szCs w:val="24"/>
        </w:rPr>
        <w:t>% a.a. Este resultado ressalta a grande diferença nos retornos obtidos em investimentos nesses países, inclusive investimentos realizados no mercado imobiliário. Entre as diferenças pode-se destacar o elevado déficit habitacional existente no Brasil, que torna o investimento imobiliário promissor, o que não ocorre nos EUA, o estouro da bolha imobiliária em 2007 alertou para uma valorização irreal dos preços dos imóveis.</w:t>
      </w:r>
    </w:p>
    <w:p w:rsidR="00627547" w:rsidRPr="00944E88" w:rsidRDefault="00627547" w:rsidP="00944E88">
      <w:pPr>
        <w:spacing w:after="0" w:line="240" w:lineRule="auto"/>
        <w:jc w:val="both"/>
        <w:rPr>
          <w:rFonts w:ascii="Times New Roman" w:hAnsi="Times New Roman" w:cs="Times New Roman"/>
          <w:color w:val="FF0000"/>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No caso do modelo CCAPM modificado para a existência de gosto pela propriedade do imóvel, o fator de desconto intertemporal do consumo, </w:t>
      </w:r>
      <m:oMath>
        <m:r>
          <w:rPr>
            <w:rFonts w:ascii="Cambria Math" w:hAnsi="Cambria Math" w:cs="Times New Roman"/>
            <w:sz w:val="24"/>
            <w:szCs w:val="24"/>
          </w:rPr>
          <m:t>β</m:t>
        </m:r>
      </m:oMath>
      <w:r w:rsidRPr="00944E88">
        <w:rPr>
          <w:rFonts w:ascii="Times New Roman" w:hAnsi="Times New Roman" w:cs="Times New Roman"/>
          <w:sz w:val="24"/>
          <w:szCs w:val="24"/>
        </w:rPr>
        <w:t>, estimado</w:t>
      </w:r>
      <w:r w:rsidR="00340CCF" w:rsidRPr="00944E88">
        <w:rPr>
          <w:rFonts w:ascii="Times New Roman" w:hAnsi="Times New Roman" w:cs="Times New Roman"/>
          <w:sz w:val="24"/>
          <w:szCs w:val="24"/>
        </w:rPr>
        <w:t xml:space="preserve"> para os dois modelos foi de 0,83 para São Paulo e 0,85</w:t>
      </w:r>
      <w:r w:rsidRPr="00944E88">
        <w:rPr>
          <w:rFonts w:ascii="Times New Roman" w:hAnsi="Times New Roman" w:cs="Times New Roman"/>
          <w:sz w:val="24"/>
          <w:szCs w:val="24"/>
        </w:rPr>
        <w:t xml:space="preserve"> para Rio de Janeiro, ambos na base anual. Assim, observa-se um desconto intertemporal menor daquele encontrado por estudos empíricos realizados para a economia brasileira sem considerar o mercado imobiliário, de 0,85 a 0,96 em termos anuais (ISSLER E PIQUEIRA, 1999). Além disso, os parâmetros encontrados para a função de utilidade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 xml:space="preserve">-Douglas mostram que o agente representativo do Rio de Janeiro gasta uma maior parcela da sua renda no investimento imobiliário, </w:t>
      </w:r>
      <w:r w:rsidR="00340CCF" w:rsidRPr="00944E88">
        <w:rPr>
          <w:rFonts w:ascii="Times New Roman" w:hAnsi="Times New Roman" w:cs="Times New Roman"/>
          <w:sz w:val="24"/>
          <w:szCs w:val="24"/>
        </w:rPr>
        <w:t>2</w:t>
      </w:r>
      <w:r w:rsidRPr="00944E88">
        <w:rPr>
          <w:rFonts w:ascii="Times New Roman" w:hAnsi="Times New Roman" w:cs="Times New Roman"/>
          <w:sz w:val="24"/>
          <w:szCs w:val="24"/>
        </w:rPr>
        <w:t>3%, do que o agente</w:t>
      </w:r>
      <w:r w:rsidR="00340CCF" w:rsidRPr="00944E88">
        <w:rPr>
          <w:rFonts w:ascii="Times New Roman" w:hAnsi="Times New Roman" w:cs="Times New Roman"/>
          <w:sz w:val="24"/>
          <w:szCs w:val="24"/>
        </w:rPr>
        <w:t xml:space="preserve"> de São Paulo, aproximadamente 18</w:t>
      </w:r>
      <w:r w:rsidRPr="00944E88">
        <w:rPr>
          <w:rFonts w:ascii="Times New Roman" w:hAnsi="Times New Roman" w:cs="Times New Roman"/>
          <w:sz w:val="24"/>
          <w:szCs w:val="24"/>
        </w:rPr>
        <w:t xml:space="preserve">%. </w:t>
      </w:r>
    </w:p>
    <w:p w:rsidR="00627547" w:rsidRPr="00944E88" w:rsidRDefault="00627547" w:rsidP="00944E88">
      <w:pPr>
        <w:spacing w:after="0" w:line="240" w:lineRule="auto"/>
        <w:jc w:val="both"/>
        <w:rPr>
          <w:rFonts w:ascii="Times New Roman" w:hAnsi="Times New Roman" w:cs="Times New Roman"/>
          <w:sz w:val="24"/>
          <w:szCs w:val="24"/>
        </w:rPr>
      </w:pPr>
      <w:r w:rsidRPr="00944E88">
        <w:rPr>
          <w:rFonts w:ascii="Times New Roman" w:hAnsi="Times New Roman" w:cs="Times New Roman"/>
          <w:color w:val="FF0000"/>
          <w:sz w:val="24"/>
          <w:szCs w:val="24"/>
        </w:rPr>
        <w:tab/>
      </w:r>
      <w:r w:rsidRPr="00944E88">
        <w:rPr>
          <w:rFonts w:ascii="Times New Roman" w:hAnsi="Times New Roman" w:cs="Times New Roman"/>
          <w:sz w:val="24"/>
          <w:szCs w:val="24"/>
        </w:rPr>
        <w:t xml:space="preserve">Por fim, já que este trabalho determinou que o agente representativo para cada uma dessas duas localidades segue uma função de utilidade </w:t>
      </w:r>
      <w:proofErr w:type="spellStart"/>
      <w:proofErr w:type="gramStart"/>
      <w:r w:rsidRPr="00944E88">
        <w:rPr>
          <w:rFonts w:ascii="Times New Roman" w:hAnsi="Times New Roman" w:cs="Times New Roman"/>
          <w:sz w:val="24"/>
          <w:szCs w:val="24"/>
        </w:rPr>
        <w:t>Cobb</w:t>
      </w:r>
      <w:proofErr w:type="spellEnd"/>
      <w:proofErr w:type="gramEnd"/>
      <w:r w:rsidRPr="00944E88">
        <w:rPr>
          <w:rFonts w:ascii="Times New Roman" w:hAnsi="Times New Roman" w:cs="Times New Roman"/>
          <w:sz w:val="24"/>
          <w:szCs w:val="24"/>
        </w:rPr>
        <w:t xml:space="preserve">-Douglas, sugere-se o desenvolvimento de estudos futuros utilizando outras formas de função de utilidade para os agentes representativos, por exemplo, a função de utilidade CES (Constant </w:t>
      </w:r>
      <w:proofErr w:type="spellStart"/>
      <w:r w:rsidRPr="00944E88">
        <w:rPr>
          <w:rFonts w:ascii="Times New Roman" w:hAnsi="Times New Roman" w:cs="Times New Roman"/>
          <w:sz w:val="24"/>
          <w:szCs w:val="24"/>
        </w:rPr>
        <w:t>Elasticity</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Substitution</w:t>
      </w:r>
      <w:proofErr w:type="spellEnd"/>
      <w:r w:rsidRPr="00944E88">
        <w:rPr>
          <w:rFonts w:ascii="Times New Roman" w:hAnsi="Times New Roman" w:cs="Times New Roman"/>
          <w:sz w:val="24"/>
          <w:szCs w:val="24"/>
        </w:rPr>
        <w:t xml:space="preserve">), que estende a do presente trabalho, por permitir uma elasticidade substituição entre as variáveis constante e diferente de 1, assim, seria possível estimar o grau de substituição entre consumo de bens não duráveis e </w:t>
      </w:r>
      <w:proofErr w:type="spellStart"/>
      <w:r w:rsidRPr="00944E88">
        <w:rPr>
          <w:rFonts w:ascii="Times New Roman" w:hAnsi="Times New Roman" w:cs="Times New Roman"/>
          <w:sz w:val="24"/>
          <w:szCs w:val="24"/>
        </w:rPr>
        <w:t>semi</w:t>
      </w:r>
      <w:proofErr w:type="spellEnd"/>
      <w:r w:rsidRPr="00944E88">
        <w:rPr>
          <w:rFonts w:ascii="Times New Roman" w:hAnsi="Times New Roman" w:cs="Times New Roman"/>
          <w:sz w:val="24"/>
          <w:szCs w:val="24"/>
        </w:rPr>
        <w:t xml:space="preserve"> duráveis com o investimento </w:t>
      </w:r>
      <w:r w:rsidRPr="00944E88">
        <w:rPr>
          <w:rFonts w:ascii="Times New Roman" w:hAnsi="Times New Roman" w:cs="Times New Roman"/>
          <w:sz w:val="24"/>
          <w:szCs w:val="24"/>
        </w:rPr>
        <w:lastRenderedPageBreak/>
        <w:t xml:space="preserve">imobiliário. Além disso, pode-se tentar calcular o valor fundamental dos imóveis para analisar a presença de bolhas no mercado imobiliário utilizando uma função de utilidade que leve em consideração o gosto pela propriedade de imóveis. </w:t>
      </w:r>
    </w:p>
    <w:p w:rsidR="00627547" w:rsidRPr="00944E88" w:rsidRDefault="00627547" w:rsidP="00944E88">
      <w:pPr>
        <w:spacing w:after="0" w:line="240" w:lineRule="auto"/>
        <w:jc w:val="both"/>
        <w:rPr>
          <w:rFonts w:ascii="Times New Roman" w:hAnsi="Times New Roman" w:cs="Times New Roman"/>
          <w:b/>
          <w:sz w:val="24"/>
          <w:szCs w:val="24"/>
        </w:rPr>
      </w:pPr>
    </w:p>
    <w:p w:rsidR="00627547" w:rsidRPr="00944E88" w:rsidRDefault="00627547" w:rsidP="00944E88">
      <w:pPr>
        <w:spacing w:line="240" w:lineRule="auto"/>
        <w:rPr>
          <w:rFonts w:ascii="Times New Roman" w:hAnsi="Times New Roman" w:cs="Times New Roman"/>
          <w:b/>
          <w:sz w:val="24"/>
          <w:szCs w:val="24"/>
        </w:rPr>
      </w:pPr>
      <w:r w:rsidRPr="00944E88">
        <w:rPr>
          <w:rFonts w:ascii="Times New Roman" w:hAnsi="Times New Roman" w:cs="Times New Roman"/>
          <w:b/>
          <w:sz w:val="24"/>
          <w:szCs w:val="24"/>
        </w:rPr>
        <w:t>REFERÊNCIAS BIBLIOGRÁFICAS</w:t>
      </w:r>
    </w:p>
    <w:p w:rsidR="00627547" w:rsidRPr="00944E88" w:rsidRDefault="00627547" w:rsidP="00944E88">
      <w:pPr>
        <w:spacing w:after="0" w:line="240" w:lineRule="auto"/>
        <w:jc w:val="both"/>
        <w:rPr>
          <w:rFonts w:ascii="Times New Roman" w:hAnsi="Times New Roman" w:cs="Times New Roman"/>
          <w:b/>
          <w:sz w:val="24"/>
          <w:szCs w:val="24"/>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rPr>
        <w:t>BRASIL. Prefeitura do Rio de Janeiro. Dados Estatísticos, Mapas e Relatórios: Licenças e habite-se concedidos por ano. Disponível em: &lt;</w:t>
      </w:r>
      <w:hyperlink r:id="rId13" w:history="1">
        <w:r w:rsidRPr="00944E88">
          <w:rPr>
            <w:rStyle w:val="Hyperlink"/>
            <w:rFonts w:ascii="Times New Roman" w:hAnsi="Times New Roman" w:cs="Times New Roman"/>
            <w:sz w:val="24"/>
            <w:szCs w:val="24"/>
          </w:rPr>
          <w:t>http://www.rio.rj.gov.br/web/smu/exibeconteudo?id=4257827</w:t>
        </w:r>
      </w:hyperlink>
      <w:r w:rsidRPr="00944E88">
        <w:rPr>
          <w:rFonts w:ascii="Times New Roman" w:hAnsi="Times New Roman" w:cs="Times New Roman"/>
          <w:sz w:val="24"/>
          <w:szCs w:val="24"/>
        </w:rPr>
        <w:t xml:space="preserve">&gt;. </w:t>
      </w:r>
      <w:proofErr w:type="spellStart"/>
      <w:r w:rsidRPr="00944E88">
        <w:rPr>
          <w:rFonts w:ascii="Times New Roman" w:hAnsi="Times New Roman" w:cs="Times New Roman"/>
          <w:sz w:val="24"/>
          <w:szCs w:val="24"/>
          <w:lang w:val="en-GB"/>
        </w:rPr>
        <w:t>Acesso</w:t>
      </w:r>
      <w:proofErr w:type="spellEnd"/>
      <w:r w:rsidRPr="00944E88">
        <w:rPr>
          <w:rFonts w:ascii="Times New Roman" w:hAnsi="Times New Roman" w:cs="Times New Roman"/>
          <w:sz w:val="24"/>
          <w:szCs w:val="24"/>
          <w:lang w:val="en-GB"/>
        </w:rPr>
        <w:t xml:space="preserve"> </w:t>
      </w:r>
      <w:proofErr w:type="spellStart"/>
      <w:r w:rsidRPr="00944E88">
        <w:rPr>
          <w:rFonts w:ascii="Times New Roman" w:hAnsi="Times New Roman" w:cs="Times New Roman"/>
          <w:sz w:val="24"/>
          <w:szCs w:val="24"/>
          <w:lang w:val="en-GB"/>
        </w:rPr>
        <w:t>em</w:t>
      </w:r>
      <w:proofErr w:type="spellEnd"/>
      <w:r w:rsidRPr="00944E88">
        <w:rPr>
          <w:rFonts w:ascii="Times New Roman" w:hAnsi="Times New Roman" w:cs="Times New Roman"/>
          <w:sz w:val="24"/>
          <w:szCs w:val="24"/>
          <w:lang w:val="en-GB"/>
        </w:rPr>
        <w:t>: 06 set. 2016.</w:t>
      </w:r>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lang w:val="en-GB"/>
        </w:rPr>
        <w:t xml:space="preserve">BREEDEN, Douglas T. </w:t>
      </w:r>
      <w:proofErr w:type="gramStart"/>
      <w:r w:rsidRPr="00944E88">
        <w:rPr>
          <w:rFonts w:ascii="Times New Roman" w:hAnsi="Times New Roman" w:cs="Times New Roman"/>
          <w:sz w:val="24"/>
          <w:szCs w:val="24"/>
          <w:lang w:val="en-GB"/>
        </w:rPr>
        <w:t>An intertemporal asset pricing model with stochastic consumption and investment opportunities.</w:t>
      </w:r>
      <w:proofErr w:type="gramEnd"/>
      <w:r w:rsidRPr="00944E88">
        <w:rPr>
          <w:rFonts w:ascii="Times New Roman" w:hAnsi="Times New Roman" w:cs="Times New Roman"/>
          <w:sz w:val="24"/>
          <w:szCs w:val="24"/>
          <w:lang w:val="en-GB"/>
        </w:rPr>
        <w:t xml:space="preserve"> </w:t>
      </w:r>
      <w:proofErr w:type="spellStart"/>
      <w:r w:rsidRPr="00944E88">
        <w:rPr>
          <w:rFonts w:ascii="Times New Roman" w:hAnsi="Times New Roman" w:cs="Times New Roman"/>
          <w:sz w:val="24"/>
          <w:szCs w:val="24"/>
        </w:rPr>
        <w:t>Journal</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of</w:t>
      </w:r>
      <w:proofErr w:type="spellEnd"/>
      <w:r w:rsidRPr="00944E88">
        <w:rPr>
          <w:rFonts w:ascii="Times New Roman" w:hAnsi="Times New Roman" w:cs="Times New Roman"/>
          <w:sz w:val="24"/>
          <w:szCs w:val="24"/>
        </w:rPr>
        <w:t xml:space="preserve"> Financial </w:t>
      </w:r>
      <w:proofErr w:type="spellStart"/>
      <w:r w:rsidRPr="00944E88">
        <w:rPr>
          <w:rFonts w:ascii="Times New Roman" w:hAnsi="Times New Roman" w:cs="Times New Roman"/>
          <w:sz w:val="24"/>
          <w:szCs w:val="24"/>
        </w:rPr>
        <w:t>Economics</w:t>
      </w:r>
      <w:proofErr w:type="spellEnd"/>
      <w:r w:rsidRPr="00944E88">
        <w:rPr>
          <w:rFonts w:ascii="Times New Roman" w:hAnsi="Times New Roman" w:cs="Times New Roman"/>
          <w:sz w:val="24"/>
          <w:szCs w:val="24"/>
        </w:rPr>
        <w:t xml:space="preserve"> </w:t>
      </w:r>
      <w:proofErr w:type="gramStart"/>
      <w:r w:rsidRPr="00944E88">
        <w:rPr>
          <w:rFonts w:ascii="Times New Roman" w:hAnsi="Times New Roman" w:cs="Times New Roman"/>
          <w:sz w:val="24"/>
          <w:szCs w:val="24"/>
        </w:rPr>
        <w:t>7</w:t>
      </w:r>
      <w:proofErr w:type="gramEnd"/>
      <w:r w:rsidRPr="00944E88">
        <w:rPr>
          <w:rFonts w:ascii="Times New Roman" w:hAnsi="Times New Roman" w:cs="Times New Roman"/>
          <w:sz w:val="24"/>
          <w:szCs w:val="24"/>
        </w:rPr>
        <w:t>. Stanford, 1979.</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rPr>
        <w:t>BM&amp;FBOVESPA. Manual de definições e procedimentos dos índices da BM&amp;FBOVESPA. São Paulo, junho de 2014. Disponível em: &lt; </w:t>
      </w:r>
      <w:hyperlink r:id="rId14" w:history="1">
        <w:r w:rsidRPr="00944E88">
          <w:rPr>
            <w:rStyle w:val="Hyperlink"/>
            <w:rFonts w:ascii="Times New Roman" w:hAnsi="Times New Roman" w:cs="Times New Roman"/>
            <w:sz w:val="24"/>
            <w:szCs w:val="24"/>
          </w:rPr>
          <w:t>http://www.bmfbovespa.com.br/lumis/portal/file/fileDownload.jsp?fileId=8A828D295048C0EF01514544116A26AB</w:t>
        </w:r>
      </w:hyperlink>
      <w:r w:rsidRPr="00944E88">
        <w:rPr>
          <w:rFonts w:ascii="Times New Roman" w:hAnsi="Times New Roman" w:cs="Times New Roman"/>
          <w:sz w:val="24"/>
          <w:szCs w:val="24"/>
        </w:rPr>
        <w:t>&gt;. Acesso em: 05 ago. 2016.</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rPr>
        <w:t>BM&amp;FBOVESPA. Metodologia do Índice IBOVESPA. São Paulo, abril de 2015. Disponível em: &lt;</w:t>
      </w:r>
      <w:hyperlink r:id="rId15" w:history="1">
        <w:r w:rsidRPr="00944E88">
          <w:rPr>
            <w:rStyle w:val="Hyperlink"/>
            <w:rFonts w:ascii="Times New Roman" w:hAnsi="Times New Roman" w:cs="Times New Roman"/>
            <w:sz w:val="24"/>
            <w:szCs w:val="24"/>
          </w:rPr>
          <w:t>http://www.bmfbovespa.com.br/lumis/portal/file/fileDownload.jsp?fileId=8A828D29514A326701516E695D7F65C0</w:t>
        </w:r>
      </w:hyperlink>
      <w:r w:rsidRPr="00944E88">
        <w:rPr>
          <w:rFonts w:ascii="Times New Roman" w:hAnsi="Times New Roman" w:cs="Times New Roman"/>
          <w:sz w:val="24"/>
          <w:szCs w:val="24"/>
        </w:rPr>
        <w:t xml:space="preserve">&gt;. </w:t>
      </w:r>
      <w:proofErr w:type="spellStart"/>
      <w:r w:rsidRPr="00944E88">
        <w:rPr>
          <w:rFonts w:ascii="Times New Roman" w:hAnsi="Times New Roman" w:cs="Times New Roman"/>
          <w:sz w:val="24"/>
          <w:szCs w:val="24"/>
          <w:lang w:val="en-GB"/>
        </w:rPr>
        <w:t>Acesso</w:t>
      </w:r>
      <w:proofErr w:type="spellEnd"/>
      <w:r w:rsidRPr="00944E88">
        <w:rPr>
          <w:rFonts w:ascii="Times New Roman" w:hAnsi="Times New Roman" w:cs="Times New Roman"/>
          <w:sz w:val="24"/>
          <w:szCs w:val="24"/>
          <w:lang w:val="en-GB"/>
        </w:rPr>
        <w:t xml:space="preserve"> </w:t>
      </w:r>
      <w:proofErr w:type="spellStart"/>
      <w:r w:rsidRPr="00944E88">
        <w:rPr>
          <w:rFonts w:ascii="Times New Roman" w:hAnsi="Times New Roman" w:cs="Times New Roman"/>
          <w:sz w:val="24"/>
          <w:szCs w:val="24"/>
          <w:lang w:val="en-GB"/>
        </w:rPr>
        <w:t>em</w:t>
      </w:r>
      <w:proofErr w:type="spellEnd"/>
      <w:r w:rsidRPr="00944E88">
        <w:rPr>
          <w:rFonts w:ascii="Times New Roman" w:hAnsi="Times New Roman" w:cs="Times New Roman"/>
          <w:sz w:val="24"/>
          <w:szCs w:val="24"/>
          <w:lang w:val="en-GB"/>
        </w:rPr>
        <w:t>: 05 ago. 2016.</w:t>
      </w:r>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rPr>
      </w:pPr>
      <w:proofErr w:type="gramStart"/>
      <w:r w:rsidRPr="00944E88">
        <w:rPr>
          <w:rFonts w:ascii="Times New Roman" w:hAnsi="Times New Roman" w:cs="Times New Roman"/>
          <w:sz w:val="24"/>
          <w:szCs w:val="24"/>
          <w:lang w:val="en-GB"/>
        </w:rPr>
        <w:t>CASE, Karl; COTTER, John; GABRIEL, Stuart.</w:t>
      </w:r>
      <w:proofErr w:type="gramEnd"/>
      <w:r w:rsidRPr="00944E88">
        <w:rPr>
          <w:rFonts w:ascii="Times New Roman" w:hAnsi="Times New Roman" w:cs="Times New Roman"/>
          <w:sz w:val="24"/>
          <w:szCs w:val="24"/>
          <w:lang w:val="en-GB"/>
        </w:rPr>
        <w:t xml:space="preserve"> Housing risks and returns: Evidence from a housing asset-pricing model. </w:t>
      </w:r>
      <w:r w:rsidRPr="00944E88">
        <w:rPr>
          <w:rFonts w:ascii="Times New Roman" w:hAnsi="Times New Roman" w:cs="Times New Roman"/>
          <w:sz w:val="24"/>
          <w:szCs w:val="24"/>
        </w:rPr>
        <w:t xml:space="preserve">UCD </w:t>
      </w:r>
      <w:proofErr w:type="spellStart"/>
      <w:r w:rsidRPr="00944E88">
        <w:rPr>
          <w:rFonts w:ascii="Times New Roman" w:hAnsi="Times New Roman" w:cs="Times New Roman"/>
          <w:sz w:val="24"/>
          <w:szCs w:val="24"/>
        </w:rPr>
        <w:t>Geary</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Institute</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Discussion</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Paper</w:t>
      </w:r>
      <w:proofErr w:type="spellEnd"/>
      <w:r w:rsidRPr="00944E88">
        <w:rPr>
          <w:rFonts w:ascii="Times New Roman" w:hAnsi="Times New Roman" w:cs="Times New Roman"/>
          <w:sz w:val="24"/>
          <w:szCs w:val="24"/>
        </w:rPr>
        <w:t xml:space="preserve"> Series, 2010.</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rPr>
        <w:t>FIPE, Fundação Instituto de Pesquisas Econômicas. FIPEZAP histórico. Disponível em: &lt;</w:t>
      </w:r>
      <w:hyperlink r:id="rId16" w:history="1">
        <w:r w:rsidRPr="00944E88">
          <w:rPr>
            <w:rStyle w:val="Hyperlink"/>
            <w:rFonts w:ascii="Times New Roman" w:hAnsi="Times New Roman" w:cs="Times New Roman"/>
            <w:sz w:val="24"/>
            <w:szCs w:val="24"/>
          </w:rPr>
          <w:t>http://www.fipe.org.br/pt-br/indices/fipezap/#fipezap-historico</w:t>
        </w:r>
      </w:hyperlink>
      <w:r w:rsidRPr="00944E88">
        <w:rPr>
          <w:rFonts w:ascii="Times New Roman" w:hAnsi="Times New Roman" w:cs="Times New Roman"/>
          <w:sz w:val="24"/>
          <w:szCs w:val="24"/>
        </w:rPr>
        <w:t>&gt;. Acesso em: 10 ago. 2016.</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rPr>
        <w:t>FIPE, Fundação Instituto de Pesquisas Econômicas. Índice FIPEZAP de preços de imóveis anunciados: Notas metodológicas. São Paulo, fevereiro de 2011. Disponível em: &lt;</w:t>
      </w:r>
      <w:hyperlink r:id="rId17" w:history="1">
        <w:r w:rsidRPr="00944E88">
          <w:rPr>
            <w:rStyle w:val="Hyperlink"/>
            <w:rFonts w:ascii="Times New Roman" w:hAnsi="Times New Roman" w:cs="Times New Roman"/>
            <w:sz w:val="24"/>
            <w:szCs w:val="24"/>
          </w:rPr>
          <w:t>http://downloads.fipe.org.br/content/downloads/indices/fipezap/metodologia/FipeZAP_Metodologia_v20110216.pdf</w:t>
        </w:r>
      </w:hyperlink>
      <w:r w:rsidRPr="00944E88">
        <w:rPr>
          <w:rFonts w:ascii="Times New Roman" w:hAnsi="Times New Roman" w:cs="Times New Roman"/>
          <w:sz w:val="24"/>
          <w:szCs w:val="24"/>
        </w:rPr>
        <w:t>&gt;. Acesso em: 10 ago. 2016.</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rPr>
        <w:t>FIPE. Fundação Instituto de Pesquisas Econômicas. FIPEZAP: Notas metodológicas (Atualização). São Paulo, fevereiro de 2014. Disponível em: &lt;</w:t>
      </w:r>
      <w:hyperlink r:id="rId18" w:history="1">
        <w:r w:rsidRPr="00944E88">
          <w:rPr>
            <w:rStyle w:val="Hyperlink"/>
            <w:rFonts w:ascii="Times New Roman" w:hAnsi="Times New Roman" w:cs="Times New Roman"/>
            <w:sz w:val="24"/>
            <w:szCs w:val="24"/>
          </w:rPr>
          <w:t>http://downloads.fipe.org.br/content/downloads/indices/fipezap/metodologia/FipeZAP_RevMetodologia_v20140218.pdf</w:t>
        </w:r>
      </w:hyperlink>
      <w:r w:rsidRPr="00944E88">
        <w:rPr>
          <w:rFonts w:ascii="Times New Roman" w:hAnsi="Times New Roman" w:cs="Times New Roman"/>
          <w:sz w:val="24"/>
          <w:szCs w:val="24"/>
        </w:rPr>
        <w:t xml:space="preserve">&gt;. </w:t>
      </w:r>
      <w:proofErr w:type="spellStart"/>
      <w:r w:rsidRPr="00944E88">
        <w:rPr>
          <w:rFonts w:ascii="Times New Roman" w:hAnsi="Times New Roman" w:cs="Times New Roman"/>
          <w:sz w:val="24"/>
          <w:szCs w:val="24"/>
          <w:lang w:val="en-GB"/>
        </w:rPr>
        <w:t>Acesso</w:t>
      </w:r>
      <w:proofErr w:type="spellEnd"/>
      <w:r w:rsidRPr="00944E88">
        <w:rPr>
          <w:rFonts w:ascii="Times New Roman" w:hAnsi="Times New Roman" w:cs="Times New Roman"/>
          <w:sz w:val="24"/>
          <w:szCs w:val="24"/>
          <w:lang w:val="en-GB"/>
        </w:rPr>
        <w:t xml:space="preserve"> </w:t>
      </w:r>
      <w:proofErr w:type="spellStart"/>
      <w:r w:rsidRPr="00944E88">
        <w:rPr>
          <w:rFonts w:ascii="Times New Roman" w:hAnsi="Times New Roman" w:cs="Times New Roman"/>
          <w:sz w:val="24"/>
          <w:szCs w:val="24"/>
          <w:lang w:val="en-GB"/>
        </w:rPr>
        <w:t>em</w:t>
      </w:r>
      <w:proofErr w:type="spellEnd"/>
      <w:r w:rsidRPr="00944E88">
        <w:rPr>
          <w:rFonts w:ascii="Times New Roman" w:hAnsi="Times New Roman" w:cs="Times New Roman"/>
          <w:sz w:val="24"/>
          <w:szCs w:val="24"/>
          <w:lang w:val="en-GB"/>
        </w:rPr>
        <w:t>: 10 ago. 2016.</w:t>
      </w:r>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rPr>
      </w:pPr>
      <w:proofErr w:type="gramStart"/>
      <w:r w:rsidRPr="00944E88">
        <w:rPr>
          <w:rFonts w:ascii="Times New Roman" w:hAnsi="Times New Roman" w:cs="Times New Roman"/>
          <w:sz w:val="24"/>
          <w:szCs w:val="24"/>
          <w:lang w:val="en-GB"/>
        </w:rPr>
        <w:t>HAMILTON, James D. Time series analysis.</w:t>
      </w:r>
      <w:proofErr w:type="gramEnd"/>
      <w:r w:rsidRPr="00944E88">
        <w:rPr>
          <w:rFonts w:ascii="Times New Roman" w:hAnsi="Times New Roman" w:cs="Times New Roman"/>
          <w:sz w:val="24"/>
          <w:szCs w:val="24"/>
          <w:lang w:val="en-GB"/>
        </w:rPr>
        <w:t xml:space="preserve"> </w:t>
      </w:r>
      <w:proofErr w:type="gramStart"/>
      <w:r w:rsidRPr="00944E88">
        <w:rPr>
          <w:rFonts w:ascii="Times New Roman" w:hAnsi="Times New Roman" w:cs="Times New Roman"/>
          <w:sz w:val="24"/>
          <w:szCs w:val="24"/>
          <w:lang w:val="en-GB"/>
        </w:rPr>
        <w:t>Princeton University Press.</w:t>
      </w:r>
      <w:proofErr w:type="gramEnd"/>
      <w:r w:rsidRPr="00944E88">
        <w:rPr>
          <w:rFonts w:ascii="Times New Roman" w:hAnsi="Times New Roman" w:cs="Times New Roman"/>
          <w:sz w:val="24"/>
          <w:szCs w:val="24"/>
          <w:lang w:val="en-GB"/>
        </w:rPr>
        <w:t xml:space="preserve"> </w:t>
      </w:r>
      <w:r w:rsidRPr="00944E88">
        <w:rPr>
          <w:rFonts w:ascii="Times New Roman" w:hAnsi="Times New Roman" w:cs="Times New Roman"/>
          <w:sz w:val="24"/>
          <w:szCs w:val="24"/>
        </w:rPr>
        <w:t>New Jersey, 1994.</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rPr>
        <w:t xml:space="preserve">ISSLER, João Vitor; PIQUEIRA, Natalia </w:t>
      </w:r>
      <w:proofErr w:type="spellStart"/>
      <w:r w:rsidRPr="00944E88">
        <w:rPr>
          <w:rFonts w:ascii="Times New Roman" w:hAnsi="Times New Roman" w:cs="Times New Roman"/>
          <w:sz w:val="24"/>
          <w:szCs w:val="24"/>
        </w:rPr>
        <w:t>Scotto</w:t>
      </w:r>
      <w:proofErr w:type="spellEnd"/>
      <w:r w:rsidRPr="00944E88">
        <w:rPr>
          <w:rFonts w:ascii="Times New Roman" w:hAnsi="Times New Roman" w:cs="Times New Roman"/>
          <w:sz w:val="24"/>
          <w:szCs w:val="24"/>
        </w:rPr>
        <w:t xml:space="preserve">. Estimando a aversão ao risco, </w:t>
      </w:r>
      <w:proofErr w:type="gramStart"/>
      <w:r w:rsidRPr="00944E88">
        <w:rPr>
          <w:rFonts w:ascii="Times New Roman" w:hAnsi="Times New Roman" w:cs="Times New Roman"/>
          <w:sz w:val="24"/>
          <w:szCs w:val="24"/>
        </w:rPr>
        <w:t>a</w:t>
      </w:r>
      <w:proofErr w:type="gramEnd"/>
      <w:r w:rsidRPr="00944E88">
        <w:rPr>
          <w:rFonts w:ascii="Times New Roman" w:hAnsi="Times New Roman" w:cs="Times New Roman"/>
          <w:sz w:val="24"/>
          <w:szCs w:val="24"/>
        </w:rPr>
        <w:t xml:space="preserve"> taxa de desconto intertemporal, e a </w:t>
      </w:r>
      <w:proofErr w:type="spellStart"/>
      <w:r w:rsidRPr="00944E88">
        <w:rPr>
          <w:rFonts w:ascii="Times New Roman" w:hAnsi="Times New Roman" w:cs="Times New Roman"/>
          <w:sz w:val="24"/>
          <w:szCs w:val="24"/>
        </w:rPr>
        <w:t>substitubilidade</w:t>
      </w:r>
      <w:proofErr w:type="spellEnd"/>
      <w:r w:rsidRPr="00944E88">
        <w:rPr>
          <w:rFonts w:ascii="Times New Roman" w:hAnsi="Times New Roman" w:cs="Times New Roman"/>
          <w:sz w:val="24"/>
          <w:szCs w:val="24"/>
        </w:rPr>
        <w:t xml:space="preserve"> intertemporal do consumo no Brasil usando três tipos de função utilidade. Escola de Pós-Graduação em Economia - EPGE. Fundação Getúlio Vargas. </w:t>
      </w:r>
      <w:proofErr w:type="gramStart"/>
      <w:r w:rsidRPr="00944E88">
        <w:rPr>
          <w:rFonts w:ascii="Times New Roman" w:hAnsi="Times New Roman" w:cs="Times New Roman"/>
          <w:sz w:val="24"/>
          <w:szCs w:val="24"/>
          <w:lang w:val="en-GB"/>
        </w:rPr>
        <w:t>Rio de Janeiro, 2001.</w:t>
      </w:r>
      <w:proofErr w:type="gramEnd"/>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lang w:val="en-GB"/>
        </w:rPr>
        <w:t xml:space="preserve">LINTNER, J. </w:t>
      </w:r>
      <w:proofErr w:type="gramStart"/>
      <w:r w:rsidRPr="00944E88">
        <w:rPr>
          <w:rFonts w:ascii="Times New Roman" w:hAnsi="Times New Roman" w:cs="Times New Roman"/>
          <w:sz w:val="24"/>
          <w:szCs w:val="24"/>
          <w:lang w:val="en-GB"/>
        </w:rPr>
        <w:t>The valuation of risk assets and the selection of risky investments in stocks portfolios and capital budgets.</w:t>
      </w:r>
      <w:proofErr w:type="gramEnd"/>
      <w:r w:rsidRPr="00944E88">
        <w:rPr>
          <w:rFonts w:ascii="Times New Roman" w:hAnsi="Times New Roman" w:cs="Times New Roman"/>
          <w:sz w:val="24"/>
          <w:szCs w:val="24"/>
          <w:lang w:val="en-GB"/>
        </w:rPr>
        <w:t xml:space="preserve"> </w:t>
      </w:r>
      <w:proofErr w:type="gramStart"/>
      <w:r w:rsidRPr="00944E88">
        <w:rPr>
          <w:rFonts w:ascii="Times New Roman" w:hAnsi="Times New Roman" w:cs="Times New Roman"/>
          <w:sz w:val="24"/>
          <w:szCs w:val="24"/>
          <w:lang w:val="en-GB"/>
        </w:rPr>
        <w:t>Review of Economics and Statistics, v. 47, p. 13-37, 1965.</w:t>
      </w:r>
      <w:proofErr w:type="gramEnd"/>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lang w:val="en-GB"/>
        </w:rPr>
      </w:pPr>
      <w:proofErr w:type="gramStart"/>
      <w:r w:rsidRPr="00944E88">
        <w:rPr>
          <w:rFonts w:ascii="Times New Roman" w:hAnsi="Times New Roman" w:cs="Times New Roman"/>
          <w:sz w:val="24"/>
          <w:szCs w:val="24"/>
          <w:lang w:val="en-GB"/>
        </w:rPr>
        <w:lastRenderedPageBreak/>
        <w:t>LIU, Yin; XU Yuan.</w:t>
      </w:r>
      <w:proofErr w:type="gramEnd"/>
      <w:r w:rsidRPr="00944E88">
        <w:rPr>
          <w:rFonts w:ascii="Times New Roman" w:hAnsi="Times New Roman" w:cs="Times New Roman"/>
          <w:sz w:val="24"/>
          <w:szCs w:val="24"/>
          <w:lang w:val="en-GB"/>
        </w:rPr>
        <w:t xml:space="preserve"> </w:t>
      </w:r>
      <w:proofErr w:type="gramStart"/>
      <w:r w:rsidRPr="00944E88">
        <w:rPr>
          <w:rFonts w:ascii="Times New Roman" w:hAnsi="Times New Roman" w:cs="Times New Roman"/>
          <w:sz w:val="24"/>
          <w:szCs w:val="24"/>
          <w:lang w:val="en-GB"/>
        </w:rPr>
        <w:t>Housing Consumption CAPM and the term structure of interest rates.</w:t>
      </w:r>
      <w:proofErr w:type="gramEnd"/>
      <w:r w:rsidRPr="00944E88">
        <w:rPr>
          <w:rFonts w:ascii="Times New Roman" w:hAnsi="Times New Roman" w:cs="Times New Roman"/>
          <w:sz w:val="24"/>
          <w:szCs w:val="24"/>
          <w:lang w:val="en-GB"/>
        </w:rPr>
        <w:t xml:space="preserve"> </w:t>
      </w:r>
      <w:proofErr w:type="gramStart"/>
      <w:r w:rsidR="00A20CAE" w:rsidRPr="00944E88">
        <w:rPr>
          <w:rFonts w:ascii="Times New Roman" w:hAnsi="Times New Roman" w:cs="Times New Roman"/>
          <w:sz w:val="24"/>
          <w:szCs w:val="24"/>
          <w:lang w:val="en-GB"/>
        </w:rPr>
        <w:t xml:space="preserve">Beijing, </w:t>
      </w:r>
      <w:proofErr w:type="spellStart"/>
      <w:r w:rsidR="00A20CAE" w:rsidRPr="00944E88">
        <w:rPr>
          <w:rFonts w:ascii="Times New Roman" w:hAnsi="Times New Roman" w:cs="Times New Roman"/>
          <w:sz w:val="24"/>
          <w:szCs w:val="24"/>
          <w:lang w:val="en-GB"/>
        </w:rPr>
        <w:t>junho</w:t>
      </w:r>
      <w:proofErr w:type="spellEnd"/>
      <w:r w:rsidR="00A20CAE" w:rsidRPr="00944E88">
        <w:rPr>
          <w:rFonts w:ascii="Times New Roman" w:hAnsi="Times New Roman" w:cs="Times New Roman"/>
          <w:sz w:val="24"/>
          <w:szCs w:val="24"/>
          <w:lang w:val="en-GB"/>
        </w:rPr>
        <w:t xml:space="preserve"> de 2012.</w:t>
      </w:r>
      <w:proofErr w:type="gramEnd"/>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A20CAE"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lang w:val="en-GB"/>
        </w:rPr>
        <w:t xml:space="preserve">LUCAS, Robert E. Jr. Asset prices in </w:t>
      </w:r>
      <w:proofErr w:type="spellStart"/>
      <w:proofErr w:type="gramStart"/>
      <w:r w:rsidRPr="00944E88">
        <w:rPr>
          <w:rFonts w:ascii="Times New Roman" w:hAnsi="Times New Roman" w:cs="Times New Roman"/>
          <w:sz w:val="24"/>
          <w:szCs w:val="24"/>
          <w:lang w:val="en-GB"/>
        </w:rPr>
        <w:t>a</w:t>
      </w:r>
      <w:proofErr w:type="spellEnd"/>
      <w:proofErr w:type="gramEnd"/>
      <w:r w:rsidRPr="00944E88">
        <w:rPr>
          <w:rFonts w:ascii="Times New Roman" w:hAnsi="Times New Roman" w:cs="Times New Roman"/>
          <w:sz w:val="24"/>
          <w:szCs w:val="24"/>
          <w:lang w:val="en-GB"/>
        </w:rPr>
        <w:t xml:space="preserve"> exchange economy. </w:t>
      </w:r>
      <w:proofErr w:type="spellStart"/>
      <w:r w:rsidR="00627547" w:rsidRPr="00944E88">
        <w:rPr>
          <w:rFonts w:ascii="Times New Roman" w:hAnsi="Times New Roman" w:cs="Times New Roman"/>
          <w:sz w:val="24"/>
          <w:szCs w:val="24"/>
        </w:rPr>
        <w:t>Econometrica</w:t>
      </w:r>
      <w:proofErr w:type="spellEnd"/>
      <w:r w:rsidR="00627547" w:rsidRPr="00944E88">
        <w:rPr>
          <w:rFonts w:ascii="Times New Roman" w:hAnsi="Times New Roman" w:cs="Times New Roman"/>
          <w:sz w:val="24"/>
          <w:szCs w:val="24"/>
        </w:rPr>
        <w:t>, Vol. 46, No. 6. (Nov., 1978), pp. 1429-1445.</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lang w:val="en-GB"/>
        </w:rPr>
      </w:pPr>
      <w:r w:rsidRPr="00944E88">
        <w:rPr>
          <w:rFonts w:ascii="Times New Roman" w:hAnsi="Times New Roman" w:cs="Times New Roman"/>
          <w:sz w:val="24"/>
          <w:szCs w:val="24"/>
          <w:lang w:val="en-GB"/>
        </w:rPr>
        <w:t xml:space="preserve">MEHRA, </w:t>
      </w:r>
      <w:proofErr w:type="spellStart"/>
      <w:r w:rsidRPr="00944E88">
        <w:rPr>
          <w:rFonts w:ascii="Times New Roman" w:hAnsi="Times New Roman" w:cs="Times New Roman"/>
          <w:sz w:val="24"/>
          <w:szCs w:val="24"/>
          <w:lang w:val="en-GB"/>
        </w:rPr>
        <w:t>Rajnish</w:t>
      </w:r>
      <w:proofErr w:type="spellEnd"/>
      <w:r w:rsidRPr="00944E88">
        <w:rPr>
          <w:rFonts w:ascii="Times New Roman" w:hAnsi="Times New Roman" w:cs="Times New Roman"/>
          <w:sz w:val="24"/>
          <w:szCs w:val="24"/>
          <w:lang w:val="en-GB"/>
        </w:rPr>
        <w:t xml:space="preserve">; PRESCOTT, Edward </w:t>
      </w:r>
      <w:proofErr w:type="spellStart"/>
      <w:r w:rsidRPr="00944E88">
        <w:rPr>
          <w:rFonts w:ascii="Times New Roman" w:hAnsi="Times New Roman" w:cs="Times New Roman"/>
          <w:sz w:val="24"/>
          <w:szCs w:val="24"/>
          <w:lang w:val="en-GB"/>
        </w:rPr>
        <w:t>C.Journal</w:t>
      </w:r>
      <w:proofErr w:type="spellEnd"/>
      <w:r w:rsidRPr="00944E88">
        <w:rPr>
          <w:rFonts w:ascii="Times New Roman" w:hAnsi="Times New Roman" w:cs="Times New Roman"/>
          <w:sz w:val="24"/>
          <w:szCs w:val="24"/>
          <w:lang w:val="en-GB"/>
        </w:rPr>
        <w:t xml:space="preserve"> of Monetary Economics 15 (1985) 145-161. </w:t>
      </w:r>
      <w:proofErr w:type="gramStart"/>
      <w:r w:rsidRPr="00944E88">
        <w:rPr>
          <w:rFonts w:ascii="Times New Roman" w:hAnsi="Times New Roman" w:cs="Times New Roman"/>
          <w:sz w:val="24"/>
          <w:szCs w:val="24"/>
          <w:lang w:val="en-GB"/>
        </w:rPr>
        <w:t>North-Holland, 1985.</w:t>
      </w:r>
      <w:proofErr w:type="gramEnd"/>
    </w:p>
    <w:p w:rsidR="00627547" w:rsidRPr="00944E88" w:rsidRDefault="00627547" w:rsidP="00944E88">
      <w:pPr>
        <w:spacing w:after="0" w:line="240" w:lineRule="auto"/>
        <w:rPr>
          <w:rFonts w:ascii="Times New Roman" w:hAnsi="Times New Roman" w:cs="Times New Roman"/>
          <w:sz w:val="24"/>
          <w:szCs w:val="24"/>
          <w:lang w:val="en-GB"/>
        </w:rPr>
      </w:pPr>
    </w:p>
    <w:p w:rsidR="00627547" w:rsidRPr="00944E88" w:rsidRDefault="00627547" w:rsidP="00944E88">
      <w:pPr>
        <w:spacing w:after="0" w:line="240" w:lineRule="auto"/>
        <w:rPr>
          <w:rFonts w:ascii="Times New Roman" w:hAnsi="Times New Roman" w:cs="Times New Roman"/>
          <w:sz w:val="24"/>
          <w:szCs w:val="24"/>
        </w:rPr>
      </w:pPr>
      <w:proofErr w:type="gramStart"/>
      <w:r w:rsidRPr="00944E88">
        <w:rPr>
          <w:rFonts w:ascii="Times New Roman" w:hAnsi="Times New Roman" w:cs="Times New Roman"/>
          <w:sz w:val="24"/>
          <w:szCs w:val="24"/>
          <w:lang w:val="en-GB"/>
        </w:rPr>
        <w:t>MOSSIN, J. Equilibrium in a capital asset market.</w:t>
      </w:r>
      <w:proofErr w:type="gramEnd"/>
      <w:r w:rsidRPr="00944E88">
        <w:rPr>
          <w:rFonts w:ascii="Times New Roman" w:hAnsi="Times New Roman" w:cs="Times New Roman"/>
          <w:sz w:val="24"/>
          <w:szCs w:val="24"/>
          <w:lang w:val="en-GB"/>
        </w:rPr>
        <w:t xml:space="preserve"> </w:t>
      </w:r>
      <w:proofErr w:type="spellStart"/>
      <w:r w:rsidRPr="00944E88">
        <w:rPr>
          <w:rFonts w:ascii="Times New Roman" w:hAnsi="Times New Roman" w:cs="Times New Roman"/>
          <w:sz w:val="24"/>
          <w:szCs w:val="24"/>
        </w:rPr>
        <w:t>Econometrica</w:t>
      </w:r>
      <w:proofErr w:type="spellEnd"/>
      <w:r w:rsidRPr="00944E88">
        <w:rPr>
          <w:rFonts w:ascii="Times New Roman" w:hAnsi="Times New Roman" w:cs="Times New Roman"/>
          <w:sz w:val="24"/>
          <w:szCs w:val="24"/>
        </w:rPr>
        <w:t xml:space="preserve">. </w:t>
      </w:r>
      <w:proofErr w:type="gramStart"/>
      <w:r w:rsidRPr="00944E88">
        <w:rPr>
          <w:rFonts w:ascii="Times New Roman" w:hAnsi="Times New Roman" w:cs="Times New Roman"/>
          <w:sz w:val="24"/>
          <w:szCs w:val="24"/>
        </w:rPr>
        <w:t>n34</w:t>
      </w:r>
      <w:proofErr w:type="gramEnd"/>
      <w:r w:rsidRPr="00944E88">
        <w:rPr>
          <w:rFonts w:ascii="Times New Roman" w:hAnsi="Times New Roman" w:cs="Times New Roman"/>
          <w:sz w:val="24"/>
          <w:szCs w:val="24"/>
        </w:rPr>
        <w:t>: p.768-783, 1966.</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rPr>
        <w:t>PESSOA, Marcelo de Sales. Ensaios sobre Precificação de Ativos e Previdência no Brasil. Tese de Doutorado em Economia, 2006, Fundação Getúlio Vargas, 2006.</w:t>
      </w:r>
    </w:p>
    <w:p w:rsidR="00627547" w:rsidRPr="00944E88" w:rsidRDefault="00627547" w:rsidP="00944E88">
      <w:pPr>
        <w:spacing w:after="0" w:line="240" w:lineRule="auto"/>
        <w:rPr>
          <w:rFonts w:ascii="Times New Roman" w:hAnsi="Times New Roman" w:cs="Times New Roman"/>
          <w:sz w:val="24"/>
          <w:szCs w:val="24"/>
        </w:rPr>
      </w:pPr>
    </w:p>
    <w:p w:rsidR="00627547" w:rsidRPr="00944E88" w:rsidRDefault="00627547" w:rsidP="00944E88">
      <w:pPr>
        <w:spacing w:after="0" w:line="240" w:lineRule="auto"/>
        <w:rPr>
          <w:rFonts w:ascii="Times New Roman" w:hAnsi="Times New Roman" w:cs="Times New Roman"/>
          <w:sz w:val="24"/>
          <w:szCs w:val="24"/>
        </w:rPr>
      </w:pPr>
      <w:r w:rsidRPr="00944E88">
        <w:rPr>
          <w:rFonts w:ascii="Times New Roman" w:hAnsi="Times New Roman" w:cs="Times New Roman"/>
          <w:sz w:val="24"/>
          <w:szCs w:val="24"/>
        </w:rPr>
        <w:t xml:space="preserve">SHARPE, W. F. Capital </w:t>
      </w:r>
      <w:proofErr w:type="spellStart"/>
      <w:r w:rsidRPr="00944E88">
        <w:rPr>
          <w:rFonts w:ascii="Times New Roman" w:hAnsi="Times New Roman" w:cs="Times New Roman"/>
          <w:sz w:val="24"/>
          <w:szCs w:val="24"/>
        </w:rPr>
        <w:t>Asset</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Prices</w:t>
      </w:r>
      <w:proofErr w:type="spellEnd"/>
      <w:r w:rsidRPr="00944E88">
        <w:rPr>
          <w:rFonts w:ascii="Times New Roman" w:hAnsi="Times New Roman" w:cs="Times New Roman"/>
          <w:sz w:val="24"/>
          <w:szCs w:val="24"/>
        </w:rPr>
        <w:t xml:space="preserve">: A </w:t>
      </w:r>
      <w:proofErr w:type="spellStart"/>
      <w:r w:rsidRPr="00944E88">
        <w:rPr>
          <w:rFonts w:ascii="Times New Roman" w:hAnsi="Times New Roman" w:cs="Times New Roman"/>
          <w:sz w:val="24"/>
          <w:szCs w:val="24"/>
        </w:rPr>
        <w:t>Theory</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of</w:t>
      </w:r>
      <w:proofErr w:type="spellEnd"/>
      <w:r w:rsidRPr="00944E88">
        <w:rPr>
          <w:rFonts w:ascii="Times New Roman" w:hAnsi="Times New Roman" w:cs="Times New Roman"/>
          <w:sz w:val="24"/>
          <w:szCs w:val="24"/>
        </w:rPr>
        <w:t xml:space="preserve"> Market </w:t>
      </w:r>
      <w:proofErr w:type="spellStart"/>
      <w:r w:rsidRPr="00944E88">
        <w:rPr>
          <w:rFonts w:ascii="Times New Roman" w:hAnsi="Times New Roman" w:cs="Times New Roman"/>
          <w:sz w:val="24"/>
          <w:szCs w:val="24"/>
        </w:rPr>
        <w:t>Equilibrium</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Under</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Conditions</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of</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Risk</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Journal</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of</w:t>
      </w:r>
      <w:proofErr w:type="spellEnd"/>
      <w:r w:rsidRPr="00944E88">
        <w:rPr>
          <w:rFonts w:ascii="Times New Roman" w:hAnsi="Times New Roman" w:cs="Times New Roman"/>
          <w:sz w:val="24"/>
          <w:szCs w:val="24"/>
        </w:rPr>
        <w:t xml:space="preserve"> </w:t>
      </w:r>
      <w:proofErr w:type="spellStart"/>
      <w:r w:rsidRPr="00944E88">
        <w:rPr>
          <w:rFonts w:ascii="Times New Roman" w:hAnsi="Times New Roman" w:cs="Times New Roman"/>
          <w:sz w:val="24"/>
          <w:szCs w:val="24"/>
        </w:rPr>
        <w:t>Finance</w:t>
      </w:r>
      <w:proofErr w:type="spellEnd"/>
      <w:r w:rsidRPr="00944E88">
        <w:rPr>
          <w:rFonts w:ascii="Times New Roman" w:hAnsi="Times New Roman" w:cs="Times New Roman"/>
          <w:sz w:val="24"/>
          <w:szCs w:val="24"/>
        </w:rPr>
        <w:t>, v.19, p. 425-442, 1964.</w:t>
      </w:r>
    </w:p>
    <w:p w:rsidR="0045524C" w:rsidRPr="00627547" w:rsidRDefault="0045524C" w:rsidP="00944E88">
      <w:pPr>
        <w:pStyle w:val="PargrafodaLista"/>
        <w:spacing w:after="0" w:line="240" w:lineRule="auto"/>
        <w:ind w:left="1080"/>
        <w:rPr>
          <w:rFonts w:ascii="Times New Roman" w:hAnsi="Times New Roman" w:cs="Times New Roman"/>
          <w:color w:val="FF0000"/>
          <w:sz w:val="24"/>
          <w:szCs w:val="24"/>
        </w:rPr>
      </w:pPr>
    </w:p>
    <w:sectPr w:rsidR="0045524C" w:rsidRPr="00627547" w:rsidSect="007A3CBD">
      <w:pgSz w:w="11906" w:h="16838"/>
      <w:pgMar w:top="1701" w:right="1134"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E570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15" w:rsidRDefault="00972C15" w:rsidP="007E4CA8">
      <w:pPr>
        <w:spacing w:after="0" w:line="240" w:lineRule="auto"/>
      </w:pPr>
      <w:r>
        <w:separator/>
      </w:r>
    </w:p>
  </w:endnote>
  <w:endnote w:type="continuationSeparator" w:id="0">
    <w:p w:rsidR="00972C15" w:rsidRDefault="00972C15" w:rsidP="007E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15" w:rsidRDefault="00972C15" w:rsidP="007E4CA8">
      <w:pPr>
        <w:spacing w:after="0" w:line="240" w:lineRule="auto"/>
      </w:pPr>
      <w:r>
        <w:separator/>
      </w:r>
    </w:p>
  </w:footnote>
  <w:footnote w:type="continuationSeparator" w:id="0">
    <w:p w:rsidR="00972C15" w:rsidRDefault="00972C15" w:rsidP="007E4CA8">
      <w:pPr>
        <w:spacing w:after="0" w:line="240" w:lineRule="auto"/>
      </w:pPr>
      <w:r>
        <w:continuationSeparator/>
      </w:r>
    </w:p>
  </w:footnote>
  <w:footnote w:id="1">
    <w:p w:rsidR="00121430" w:rsidRPr="00627547" w:rsidRDefault="00121430" w:rsidP="00A30B13">
      <w:pPr>
        <w:pStyle w:val="Textodenotaderodap"/>
        <w:rPr>
          <w:rFonts w:ascii="Times New Roman" w:hAnsi="Times New Roman" w:cs="Times New Roman"/>
          <w:sz w:val="16"/>
          <w:szCs w:val="16"/>
          <w:lang w:val="pt-BR"/>
        </w:rPr>
      </w:pPr>
      <w:r w:rsidRPr="00627547">
        <w:rPr>
          <w:rStyle w:val="Refdenotaderodap"/>
          <w:rFonts w:ascii="Times New Roman" w:hAnsi="Times New Roman" w:cs="Times New Roman"/>
          <w:sz w:val="16"/>
          <w:szCs w:val="16"/>
        </w:rPr>
        <w:footnoteRef/>
      </w:r>
      <w:r w:rsidRPr="00627547">
        <w:rPr>
          <w:rFonts w:ascii="Times New Roman" w:hAnsi="Times New Roman" w:cs="Times New Roman"/>
          <w:sz w:val="16"/>
          <w:szCs w:val="16"/>
          <w:lang w:val="pt-BR"/>
        </w:rPr>
        <w:t xml:space="preserve"> A partir de abril de 2012, o número de empreendimentos participantes da Pesquisa ADEMI e o número de unidades disponíveis passaram por um ajuste técnico.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4F5"/>
    <w:multiLevelType w:val="multilevel"/>
    <w:tmpl w:val="10644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F702F5"/>
    <w:multiLevelType w:val="multilevel"/>
    <w:tmpl w:val="E5AEC1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AC85EE0"/>
    <w:multiLevelType w:val="multilevel"/>
    <w:tmpl w:val="CD2001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A336B0"/>
    <w:multiLevelType w:val="multilevel"/>
    <w:tmpl w:val="0114A7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77E7292"/>
    <w:multiLevelType w:val="multilevel"/>
    <w:tmpl w:val="CA40A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1D063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2141BC"/>
    <w:multiLevelType w:val="multilevel"/>
    <w:tmpl w:val="AB4E3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E024A0"/>
    <w:multiLevelType w:val="multilevel"/>
    <w:tmpl w:val="2468F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EDB24FE"/>
    <w:multiLevelType w:val="multilevel"/>
    <w:tmpl w:val="0AC2F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576154D"/>
    <w:multiLevelType w:val="multilevel"/>
    <w:tmpl w:val="C67630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599311E"/>
    <w:multiLevelType w:val="multilevel"/>
    <w:tmpl w:val="2ECEE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5AB7722"/>
    <w:multiLevelType w:val="multilevel"/>
    <w:tmpl w:val="F00244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C55222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55D50D81"/>
    <w:multiLevelType w:val="multilevel"/>
    <w:tmpl w:val="593850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D1C3546"/>
    <w:multiLevelType w:val="multilevel"/>
    <w:tmpl w:val="46D4C8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E6F170A"/>
    <w:multiLevelType w:val="multilevel"/>
    <w:tmpl w:val="8CE46C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0137CCE"/>
    <w:multiLevelType w:val="multilevel"/>
    <w:tmpl w:val="AB02F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7643486"/>
    <w:multiLevelType w:val="multilevel"/>
    <w:tmpl w:val="63EA7B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77826D2"/>
    <w:multiLevelType w:val="multilevel"/>
    <w:tmpl w:val="44F000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7881353"/>
    <w:multiLevelType w:val="hybridMultilevel"/>
    <w:tmpl w:val="2820BB2A"/>
    <w:lvl w:ilvl="0" w:tplc="526A04B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AC67BAB"/>
    <w:multiLevelType w:val="multilevel"/>
    <w:tmpl w:val="125C99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BC0669E"/>
    <w:multiLevelType w:val="multilevel"/>
    <w:tmpl w:val="E474DB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4ED7ACB"/>
    <w:multiLevelType w:val="multilevel"/>
    <w:tmpl w:val="B8AE9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AFE4042"/>
    <w:multiLevelType w:val="multilevel"/>
    <w:tmpl w:val="3F286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9"/>
  </w:num>
  <w:num w:numId="2">
    <w:abstractNumId w:val="5"/>
  </w:num>
  <w:num w:numId="3">
    <w:abstractNumId w:val="7"/>
  </w:num>
  <w:num w:numId="4">
    <w:abstractNumId w:val="9"/>
  </w:num>
  <w:num w:numId="5">
    <w:abstractNumId w:val="6"/>
  </w:num>
  <w:num w:numId="6">
    <w:abstractNumId w:val="3"/>
  </w:num>
  <w:num w:numId="7">
    <w:abstractNumId w:val="17"/>
  </w:num>
  <w:num w:numId="8">
    <w:abstractNumId w:val="16"/>
  </w:num>
  <w:num w:numId="9">
    <w:abstractNumId w:val="4"/>
  </w:num>
  <w:num w:numId="10">
    <w:abstractNumId w:val="15"/>
  </w:num>
  <w:num w:numId="11">
    <w:abstractNumId w:val="21"/>
  </w:num>
  <w:num w:numId="12">
    <w:abstractNumId w:val="13"/>
  </w:num>
  <w:num w:numId="13">
    <w:abstractNumId w:val="22"/>
  </w:num>
  <w:num w:numId="14">
    <w:abstractNumId w:val="14"/>
  </w:num>
  <w:num w:numId="15">
    <w:abstractNumId w:val="2"/>
  </w:num>
  <w:num w:numId="16">
    <w:abstractNumId w:val="20"/>
  </w:num>
  <w:num w:numId="17">
    <w:abstractNumId w:val="8"/>
  </w:num>
  <w:num w:numId="18">
    <w:abstractNumId w:val="11"/>
  </w:num>
  <w:num w:numId="19">
    <w:abstractNumId w:val="10"/>
  </w:num>
  <w:num w:numId="20">
    <w:abstractNumId w:val="23"/>
  </w:num>
  <w:num w:numId="21">
    <w:abstractNumId w:val="18"/>
  </w:num>
  <w:num w:numId="22">
    <w:abstractNumId w:val="0"/>
  </w:num>
  <w:num w:numId="23">
    <w:abstractNumId w:val="1"/>
  </w:num>
  <w:num w:numId="2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fredo Maldonado">
    <w15:presenceInfo w15:providerId="Windows Live" w15:userId="407e4e010333e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7D"/>
    <w:rsid w:val="00011AE0"/>
    <w:rsid w:val="00022E19"/>
    <w:rsid w:val="00071002"/>
    <w:rsid w:val="000A79D8"/>
    <w:rsid w:val="000B1020"/>
    <w:rsid w:val="000B3C85"/>
    <w:rsid w:val="000D0ED0"/>
    <w:rsid w:val="000D1CB5"/>
    <w:rsid w:val="000E4F08"/>
    <w:rsid w:val="000F4BD3"/>
    <w:rsid w:val="000F7D6F"/>
    <w:rsid w:val="00121430"/>
    <w:rsid w:val="0013317D"/>
    <w:rsid w:val="00160552"/>
    <w:rsid w:val="00164473"/>
    <w:rsid w:val="0016508E"/>
    <w:rsid w:val="00180903"/>
    <w:rsid w:val="00185C5C"/>
    <w:rsid w:val="001A711F"/>
    <w:rsid w:val="001C64BB"/>
    <w:rsid w:val="001D4740"/>
    <w:rsid w:val="001E0A0E"/>
    <w:rsid w:val="002020E0"/>
    <w:rsid w:val="00217029"/>
    <w:rsid w:val="0024756D"/>
    <w:rsid w:val="0025014A"/>
    <w:rsid w:val="002B262A"/>
    <w:rsid w:val="002B2C9B"/>
    <w:rsid w:val="002C1F9C"/>
    <w:rsid w:val="002C496E"/>
    <w:rsid w:val="003328A3"/>
    <w:rsid w:val="00340CCF"/>
    <w:rsid w:val="00371377"/>
    <w:rsid w:val="00375566"/>
    <w:rsid w:val="003769C5"/>
    <w:rsid w:val="00382C57"/>
    <w:rsid w:val="003A7D65"/>
    <w:rsid w:val="003B1D5A"/>
    <w:rsid w:val="003B3903"/>
    <w:rsid w:val="003D4C29"/>
    <w:rsid w:val="003D6D63"/>
    <w:rsid w:val="003E2B19"/>
    <w:rsid w:val="00403BA6"/>
    <w:rsid w:val="004054FE"/>
    <w:rsid w:val="0040594E"/>
    <w:rsid w:val="00422B7B"/>
    <w:rsid w:val="004471A8"/>
    <w:rsid w:val="0045524C"/>
    <w:rsid w:val="00461C54"/>
    <w:rsid w:val="004645BC"/>
    <w:rsid w:val="00482A1D"/>
    <w:rsid w:val="00493771"/>
    <w:rsid w:val="004959D0"/>
    <w:rsid w:val="004A0EBB"/>
    <w:rsid w:val="004A5D2F"/>
    <w:rsid w:val="004D277D"/>
    <w:rsid w:val="004F01BB"/>
    <w:rsid w:val="00511E0F"/>
    <w:rsid w:val="005154E9"/>
    <w:rsid w:val="00524C48"/>
    <w:rsid w:val="00527430"/>
    <w:rsid w:val="005477F5"/>
    <w:rsid w:val="00575291"/>
    <w:rsid w:val="005B2F02"/>
    <w:rsid w:val="005E20ED"/>
    <w:rsid w:val="005E3ABD"/>
    <w:rsid w:val="00627547"/>
    <w:rsid w:val="006768C8"/>
    <w:rsid w:val="0069422B"/>
    <w:rsid w:val="0069682A"/>
    <w:rsid w:val="006C63A2"/>
    <w:rsid w:val="00704A7A"/>
    <w:rsid w:val="007075D6"/>
    <w:rsid w:val="0073171A"/>
    <w:rsid w:val="00742C4D"/>
    <w:rsid w:val="00756673"/>
    <w:rsid w:val="00763E06"/>
    <w:rsid w:val="00770BCF"/>
    <w:rsid w:val="007A3CBD"/>
    <w:rsid w:val="007B3EAE"/>
    <w:rsid w:val="007B4634"/>
    <w:rsid w:val="007C782E"/>
    <w:rsid w:val="007D6C21"/>
    <w:rsid w:val="007D720A"/>
    <w:rsid w:val="007E05EA"/>
    <w:rsid w:val="007E4CA8"/>
    <w:rsid w:val="007F56D3"/>
    <w:rsid w:val="00801238"/>
    <w:rsid w:val="00816816"/>
    <w:rsid w:val="00816D41"/>
    <w:rsid w:val="00881305"/>
    <w:rsid w:val="008B2D97"/>
    <w:rsid w:val="008B62F8"/>
    <w:rsid w:val="008F4976"/>
    <w:rsid w:val="00902EED"/>
    <w:rsid w:val="0091657F"/>
    <w:rsid w:val="009415C6"/>
    <w:rsid w:val="00944E88"/>
    <w:rsid w:val="00953AE2"/>
    <w:rsid w:val="00964346"/>
    <w:rsid w:val="009675E5"/>
    <w:rsid w:val="00972C15"/>
    <w:rsid w:val="009C6D2E"/>
    <w:rsid w:val="009C7AAC"/>
    <w:rsid w:val="00A20CAE"/>
    <w:rsid w:val="00A22BA3"/>
    <w:rsid w:val="00A23A16"/>
    <w:rsid w:val="00A26D20"/>
    <w:rsid w:val="00A30B13"/>
    <w:rsid w:val="00A336D3"/>
    <w:rsid w:val="00A87A3D"/>
    <w:rsid w:val="00A97AF1"/>
    <w:rsid w:val="00AB04EA"/>
    <w:rsid w:val="00AD4160"/>
    <w:rsid w:val="00AF01FA"/>
    <w:rsid w:val="00B025FC"/>
    <w:rsid w:val="00B035E9"/>
    <w:rsid w:val="00B20CDA"/>
    <w:rsid w:val="00B43837"/>
    <w:rsid w:val="00BC16BC"/>
    <w:rsid w:val="00BC696A"/>
    <w:rsid w:val="00BD321B"/>
    <w:rsid w:val="00C1060B"/>
    <w:rsid w:val="00C2415B"/>
    <w:rsid w:val="00C43126"/>
    <w:rsid w:val="00C55C92"/>
    <w:rsid w:val="00CA1AB9"/>
    <w:rsid w:val="00CA5F01"/>
    <w:rsid w:val="00CB6E29"/>
    <w:rsid w:val="00CC6AEA"/>
    <w:rsid w:val="00CC720D"/>
    <w:rsid w:val="00CD0DD7"/>
    <w:rsid w:val="00CE79DB"/>
    <w:rsid w:val="00D3229A"/>
    <w:rsid w:val="00D72970"/>
    <w:rsid w:val="00D83A2F"/>
    <w:rsid w:val="00DC0043"/>
    <w:rsid w:val="00DD4A93"/>
    <w:rsid w:val="00DE4F22"/>
    <w:rsid w:val="00DF27D9"/>
    <w:rsid w:val="00E2219A"/>
    <w:rsid w:val="00E643F2"/>
    <w:rsid w:val="00E65BFF"/>
    <w:rsid w:val="00E71054"/>
    <w:rsid w:val="00E8514F"/>
    <w:rsid w:val="00EA007F"/>
    <w:rsid w:val="00EE25D8"/>
    <w:rsid w:val="00EE32D6"/>
    <w:rsid w:val="00EF1DB1"/>
    <w:rsid w:val="00EF3DD1"/>
    <w:rsid w:val="00F63988"/>
    <w:rsid w:val="00F745EF"/>
    <w:rsid w:val="00F957A3"/>
    <w:rsid w:val="00FB727A"/>
    <w:rsid w:val="00FC3DDD"/>
    <w:rsid w:val="00FE61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A3"/>
  </w:style>
  <w:style w:type="paragraph" w:styleId="Ttulo1">
    <w:name w:val="heading 1"/>
    <w:basedOn w:val="Normal"/>
    <w:next w:val="Normal"/>
    <w:link w:val="Ttulo1Char"/>
    <w:uiPriority w:val="9"/>
    <w:qFormat/>
    <w:rsid w:val="007A3CBD"/>
    <w:pPr>
      <w:numPr>
        <w:numId w:val="24"/>
      </w:numPr>
      <w:spacing w:before="480" w:after="0" w:line="276" w:lineRule="auto"/>
      <w:contextualSpacing/>
      <w:outlineLvl w:val="0"/>
    </w:pPr>
    <w:rPr>
      <w:rFonts w:asciiTheme="majorHAnsi" w:eastAsiaTheme="majorEastAsia" w:hAnsiTheme="majorHAnsi" w:cstheme="majorBidi"/>
      <w:b/>
      <w:bCs/>
      <w:sz w:val="28"/>
      <w:szCs w:val="28"/>
      <w:lang w:val="en-US" w:bidi="en-US"/>
    </w:rPr>
  </w:style>
  <w:style w:type="paragraph" w:styleId="Ttulo2">
    <w:name w:val="heading 2"/>
    <w:basedOn w:val="Normal"/>
    <w:next w:val="Normal"/>
    <w:link w:val="Ttulo2Char"/>
    <w:uiPriority w:val="9"/>
    <w:unhideWhenUsed/>
    <w:qFormat/>
    <w:rsid w:val="007A3CBD"/>
    <w:pPr>
      <w:numPr>
        <w:ilvl w:val="1"/>
        <w:numId w:val="24"/>
      </w:numPr>
      <w:spacing w:before="200" w:after="0" w:line="276" w:lineRule="auto"/>
      <w:outlineLvl w:val="1"/>
    </w:pPr>
    <w:rPr>
      <w:rFonts w:asciiTheme="majorHAnsi" w:eastAsiaTheme="majorEastAsia" w:hAnsiTheme="majorHAnsi" w:cstheme="majorBidi"/>
      <w:b/>
      <w:bCs/>
      <w:sz w:val="26"/>
      <w:szCs w:val="26"/>
      <w:lang w:val="en-US" w:bidi="en-US"/>
    </w:rPr>
  </w:style>
  <w:style w:type="paragraph" w:styleId="Ttulo3">
    <w:name w:val="heading 3"/>
    <w:basedOn w:val="Normal"/>
    <w:next w:val="Normal"/>
    <w:link w:val="Ttulo3Char"/>
    <w:uiPriority w:val="9"/>
    <w:unhideWhenUsed/>
    <w:qFormat/>
    <w:rsid w:val="007A3CBD"/>
    <w:pPr>
      <w:numPr>
        <w:ilvl w:val="2"/>
        <w:numId w:val="24"/>
      </w:numPr>
      <w:spacing w:before="200" w:after="0" w:line="271" w:lineRule="auto"/>
      <w:outlineLvl w:val="2"/>
    </w:pPr>
    <w:rPr>
      <w:rFonts w:asciiTheme="majorHAnsi" w:eastAsiaTheme="majorEastAsia" w:hAnsiTheme="majorHAnsi" w:cstheme="majorBidi"/>
      <w:b/>
      <w:bCs/>
      <w:lang w:val="en-US" w:bidi="en-US"/>
    </w:rPr>
  </w:style>
  <w:style w:type="paragraph" w:styleId="Ttulo4">
    <w:name w:val="heading 4"/>
    <w:basedOn w:val="Normal"/>
    <w:next w:val="Normal"/>
    <w:link w:val="Ttulo4Char"/>
    <w:uiPriority w:val="9"/>
    <w:semiHidden/>
    <w:unhideWhenUsed/>
    <w:qFormat/>
    <w:rsid w:val="007A3CBD"/>
    <w:pPr>
      <w:numPr>
        <w:ilvl w:val="3"/>
        <w:numId w:val="24"/>
      </w:numPr>
      <w:spacing w:before="200" w:after="0" w:line="276" w:lineRule="auto"/>
      <w:outlineLvl w:val="3"/>
    </w:pPr>
    <w:rPr>
      <w:rFonts w:asciiTheme="majorHAnsi" w:eastAsiaTheme="majorEastAsia" w:hAnsiTheme="majorHAnsi" w:cstheme="majorBidi"/>
      <w:b/>
      <w:bCs/>
      <w:i/>
      <w:iCs/>
      <w:lang w:val="en-US" w:bidi="en-US"/>
    </w:rPr>
  </w:style>
  <w:style w:type="paragraph" w:styleId="Ttulo5">
    <w:name w:val="heading 5"/>
    <w:basedOn w:val="Normal"/>
    <w:next w:val="Normal"/>
    <w:link w:val="Ttulo5Char"/>
    <w:uiPriority w:val="9"/>
    <w:semiHidden/>
    <w:unhideWhenUsed/>
    <w:qFormat/>
    <w:rsid w:val="007A3CBD"/>
    <w:pPr>
      <w:numPr>
        <w:ilvl w:val="4"/>
        <w:numId w:val="24"/>
      </w:numPr>
      <w:spacing w:before="200" w:after="0" w:line="276" w:lineRule="auto"/>
      <w:outlineLvl w:val="4"/>
    </w:pPr>
    <w:rPr>
      <w:rFonts w:asciiTheme="majorHAnsi" w:eastAsiaTheme="majorEastAsia" w:hAnsiTheme="majorHAnsi" w:cstheme="majorBidi"/>
      <w:b/>
      <w:bCs/>
      <w:color w:val="7F7F7F" w:themeColor="text1" w:themeTint="80"/>
      <w:lang w:val="en-US" w:bidi="en-US"/>
    </w:rPr>
  </w:style>
  <w:style w:type="paragraph" w:styleId="Ttulo6">
    <w:name w:val="heading 6"/>
    <w:basedOn w:val="Normal"/>
    <w:next w:val="Normal"/>
    <w:link w:val="Ttulo6Char"/>
    <w:uiPriority w:val="9"/>
    <w:semiHidden/>
    <w:unhideWhenUsed/>
    <w:qFormat/>
    <w:rsid w:val="007A3CBD"/>
    <w:pPr>
      <w:numPr>
        <w:ilvl w:val="5"/>
        <w:numId w:val="24"/>
      </w:numPr>
      <w:spacing w:after="0" w:line="271" w:lineRule="auto"/>
      <w:outlineLvl w:val="5"/>
    </w:pPr>
    <w:rPr>
      <w:rFonts w:asciiTheme="majorHAnsi" w:eastAsiaTheme="majorEastAsia" w:hAnsiTheme="majorHAnsi" w:cstheme="majorBidi"/>
      <w:b/>
      <w:bCs/>
      <w:i/>
      <w:iCs/>
      <w:color w:val="7F7F7F" w:themeColor="text1" w:themeTint="80"/>
      <w:lang w:val="en-US" w:bidi="en-US"/>
    </w:rPr>
  </w:style>
  <w:style w:type="paragraph" w:styleId="Ttulo7">
    <w:name w:val="heading 7"/>
    <w:basedOn w:val="Normal"/>
    <w:next w:val="Normal"/>
    <w:link w:val="Ttulo7Char"/>
    <w:uiPriority w:val="9"/>
    <w:semiHidden/>
    <w:unhideWhenUsed/>
    <w:qFormat/>
    <w:rsid w:val="007A3CBD"/>
    <w:pPr>
      <w:numPr>
        <w:ilvl w:val="6"/>
        <w:numId w:val="24"/>
      </w:numPr>
      <w:spacing w:after="0" w:line="276" w:lineRule="auto"/>
      <w:outlineLvl w:val="6"/>
    </w:pPr>
    <w:rPr>
      <w:rFonts w:asciiTheme="majorHAnsi" w:eastAsiaTheme="majorEastAsia" w:hAnsiTheme="majorHAnsi" w:cstheme="majorBidi"/>
      <w:i/>
      <w:iCs/>
      <w:lang w:val="en-US" w:bidi="en-US"/>
    </w:rPr>
  </w:style>
  <w:style w:type="paragraph" w:styleId="Ttulo8">
    <w:name w:val="heading 8"/>
    <w:basedOn w:val="Normal"/>
    <w:next w:val="Normal"/>
    <w:link w:val="Ttulo8Char"/>
    <w:uiPriority w:val="9"/>
    <w:semiHidden/>
    <w:unhideWhenUsed/>
    <w:qFormat/>
    <w:rsid w:val="007A3CBD"/>
    <w:pPr>
      <w:numPr>
        <w:ilvl w:val="7"/>
        <w:numId w:val="24"/>
      </w:numPr>
      <w:spacing w:after="0" w:line="276" w:lineRule="auto"/>
      <w:outlineLvl w:val="7"/>
    </w:pPr>
    <w:rPr>
      <w:rFonts w:asciiTheme="majorHAnsi" w:eastAsiaTheme="majorEastAsia" w:hAnsiTheme="majorHAnsi" w:cstheme="majorBidi"/>
      <w:sz w:val="20"/>
      <w:szCs w:val="20"/>
      <w:lang w:val="en-US" w:bidi="en-US"/>
    </w:rPr>
  </w:style>
  <w:style w:type="paragraph" w:styleId="Ttulo9">
    <w:name w:val="heading 9"/>
    <w:basedOn w:val="Normal"/>
    <w:next w:val="Normal"/>
    <w:link w:val="Ttulo9Char"/>
    <w:uiPriority w:val="9"/>
    <w:semiHidden/>
    <w:unhideWhenUsed/>
    <w:qFormat/>
    <w:rsid w:val="007A3CBD"/>
    <w:pPr>
      <w:numPr>
        <w:ilvl w:val="8"/>
        <w:numId w:val="24"/>
      </w:numPr>
      <w:spacing w:after="0" w:line="276" w:lineRule="auto"/>
      <w:outlineLvl w:val="8"/>
    </w:pPr>
    <w:rPr>
      <w:rFonts w:asciiTheme="majorHAnsi" w:eastAsiaTheme="majorEastAsia" w:hAnsiTheme="majorHAnsi" w:cstheme="majorBidi"/>
      <w:i/>
      <w:iCs/>
      <w:spacing w:val="5"/>
      <w:sz w:val="20"/>
      <w:szCs w:val="20"/>
      <w:lang w:val="en-US"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CBD"/>
    <w:rPr>
      <w:rFonts w:asciiTheme="majorHAnsi" w:eastAsiaTheme="majorEastAsia" w:hAnsiTheme="majorHAnsi" w:cstheme="majorBidi"/>
      <w:b/>
      <w:bCs/>
      <w:sz w:val="28"/>
      <w:szCs w:val="28"/>
      <w:lang w:val="en-US" w:bidi="en-US"/>
    </w:rPr>
  </w:style>
  <w:style w:type="character" w:customStyle="1" w:styleId="Ttulo2Char">
    <w:name w:val="Título 2 Char"/>
    <w:basedOn w:val="Fontepargpadro"/>
    <w:link w:val="Ttulo2"/>
    <w:uiPriority w:val="9"/>
    <w:rsid w:val="007A3CBD"/>
    <w:rPr>
      <w:rFonts w:asciiTheme="majorHAnsi" w:eastAsiaTheme="majorEastAsia" w:hAnsiTheme="majorHAnsi" w:cstheme="majorBidi"/>
      <w:b/>
      <w:bCs/>
      <w:sz w:val="26"/>
      <w:szCs w:val="26"/>
      <w:lang w:val="en-US" w:bidi="en-US"/>
    </w:rPr>
  </w:style>
  <w:style w:type="character" w:customStyle="1" w:styleId="Ttulo3Char">
    <w:name w:val="Título 3 Char"/>
    <w:basedOn w:val="Fontepargpadro"/>
    <w:link w:val="Ttulo3"/>
    <w:uiPriority w:val="9"/>
    <w:rsid w:val="007A3CBD"/>
    <w:rPr>
      <w:rFonts w:asciiTheme="majorHAnsi" w:eastAsiaTheme="majorEastAsia" w:hAnsiTheme="majorHAnsi" w:cstheme="majorBidi"/>
      <w:b/>
      <w:bCs/>
      <w:lang w:val="en-US" w:bidi="en-US"/>
    </w:rPr>
  </w:style>
  <w:style w:type="character" w:customStyle="1" w:styleId="Ttulo4Char">
    <w:name w:val="Título 4 Char"/>
    <w:basedOn w:val="Fontepargpadro"/>
    <w:link w:val="Ttulo4"/>
    <w:uiPriority w:val="9"/>
    <w:semiHidden/>
    <w:rsid w:val="007A3CBD"/>
    <w:rPr>
      <w:rFonts w:asciiTheme="majorHAnsi" w:eastAsiaTheme="majorEastAsia" w:hAnsiTheme="majorHAnsi" w:cstheme="majorBidi"/>
      <w:b/>
      <w:bCs/>
      <w:i/>
      <w:iCs/>
      <w:lang w:val="en-US" w:bidi="en-US"/>
    </w:rPr>
  </w:style>
  <w:style w:type="character" w:customStyle="1" w:styleId="Ttulo5Char">
    <w:name w:val="Título 5 Char"/>
    <w:basedOn w:val="Fontepargpadro"/>
    <w:link w:val="Ttulo5"/>
    <w:uiPriority w:val="9"/>
    <w:semiHidden/>
    <w:rsid w:val="007A3CBD"/>
    <w:rPr>
      <w:rFonts w:asciiTheme="majorHAnsi" w:eastAsiaTheme="majorEastAsia" w:hAnsiTheme="majorHAnsi" w:cstheme="majorBidi"/>
      <w:b/>
      <w:bCs/>
      <w:color w:val="7F7F7F" w:themeColor="text1" w:themeTint="80"/>
      <w:lang w:val="en-US" w:bidi="en-US"/>
    </w:rPr>
  </w:style>
  <w:style w:type="character" w:customStyle="1" w:styleId="Ttulo6Char">
    <w:name w:val="Título 6 Char"/>
    <w:basedOn w:val="Fontepargpadro"/>
    <w:link w:val="Ttulo6"/>
    <w:uiPriority w:val="9"/>
    <w:semiHidden/>
    <w:rsid w:val="007A3CBD"/>
    <w:rPr>
      <w:rFonts w:asciiTheme="majorHAnsi" w:eastAsiaTheme="majorEastAsia" w:hAnsiTheme="majorHAnsi" w:cstheme="majorBidi"/>
      <w:b/>
      <w:bCs/>
      <w:i/>
      <w:iCs/>
      <w:color w:val="7F7F7F" w:themeColor="text1" w:themeTint="80"/>
      <w:lang w:val="en-US" w:bidi="en-US"/>
    </w:rPr>
  </w:style>
  <w:style w:type="character" w:customStyle="1" w:styleId="Ttulo7Char">
    <w:name w:val="Título 7 Char"/>
    <w:basedOn w:val="Fontepargpadro"/>
    <w:link w:val="Ttulo7"/>
    <w:uiPriority w:val="9"/>
    <w:semiHidden/>
    <w:rsid w:val="007A3CBD"/>
    <w:rPr>
      <w:rFonts w:asciiTheme="majorHAnsi" w:eastAsiaTheme="majorEastAsia" w:hAnsiTheme="majorHAnsi" w:cstheme="majorBidi"/>
      <w:i/>
      <w:iCs/>
      <w:lang w:val="en-US" w:bidi="en-US"/>
    </w:rPr>
  </w:style>
  <w:style w:type="character" w:customStyle="1" w:styleId="Ttulo8Char">
    <w:name w:val="Título 8 Char"/>
    <w:basedOn w:val="Fontepargpadro"/>
    <w:link w:val="Ttulo8"/>
    <w:uiPriority w:val="9"/>
    <w:semiHidden/>
    <w:rsid w:val="007A3CBD"/>
    <w:rPr>
      <w:rFonts w:asciiTheme="majorHAnsi" w:eastAsiaTheme="majorEastAsia" w:hAnsiTheme="majorHAnsi" w:cstheme="majorBidi"/>
      <w:sz w:val="20"/>
      <w:szCs w:val="20"/>
      <w:lang w:val="en-US" w:bidi="en-US"/>
    </w:rPr>
  </w:style>
  <w:style w:type="character" w:customStyle="1" w:styleId="Ttulo9Char">
    <w:name w:val="Título 9 Char"/>
    <w:basedOn w:val="Fontepargpadro"/>
    <w:link w:val="Ttulo9"/>
    <w:uiPriority w:val="9"/>
    <w:semiHidden/>
    <w:rsid w:val="007A3CBD"/>
    <w:rPr>
      <w:rFonts w:asciiTheme="majorHAnsi" w:eastAsiaTheme="majorEastAsia" w:hAnsiTheme="majorHAnsi" w:cstheme="majorBidi"/>
      <w:i/>
      <w:iCs/>
      <w:spacing w:val="5"/>
      <w:sz w:val="20"/>
      <w:szCs w:val="20"/>
      <w:lang w:val="en-US" w:bidi="en-US"/>
    </w:rPr>
  </w:style>
  <w:style w:type="paragraph" w:styleId="PargrafodaLista">
    <w:name w:val="List Paragraph"/>
    <w:basedOn w:val="Normal"/>
    <w:uiPriority w:val="34"/>
    <w:qFormat/>
    <w:rsid w:val="0045524C"/>
    <w:pPr>
      <w:ind w:left="720"/>
      <w:contextualSpacing/>
    </w:pPr>
  </w:style>
  <w:style w:type="paragraph" w:styleId="Textodenotaderodap">
    <w:name w:val="footnote text"/>
    <w:basedOn w:val="Normal"/>
    <w:link w:val="TextodenotaderodapChar"/>
    <w:uiPriority w:val="99"/>
    <w:semiHidden/>
    <w:unhideWhenUsed/>
    <w:rsid w:val="007E4CA8"/>
    <w:pPr>
      <w:spacing w:after="0" w:line="240" w:lineRule="auto"/>
    </w:pPr>
    <w:rPr>
      <w:rFonts w:eastAsiaTheme="minorEastAsia"/>
      <w:sz w:val="20"/>
      <w:szCs w:val="20"/>
      <w:lang w:val="en-US" w:bidi="en-US"/>
    </w:rPr>
  </w:style>
  <w:style w:type="character" w:customStyle="1" w:styleId="TextodenotaderodapChar">
    <w:name w:val="Texto de nota de rodapé Char"/>
    <w:basedOn w:val="Fontepargpadro"/>
    <w:link w:val="Textodenotaderodap"/>
    <w:uiPriority w:val="99"/>
    <w:semiHidden/>
    <w:rsid w:val="007E4CA8"/>
    <w:rPr>
      <w:rFonts w:eastAsiaTheme="minorEastAsia"/>
      <w:sz w:val="20"/>
      <w:szCs w:val="20"/>
      <w:lang w:val="en-US" w:bidi="en-US"/>
    </w:rPr>
  </w:style>
  <w:style w:type="character" w:styleId="Refdenotaderodap">
    <w:name w:val="footnote reference"/>
    <w:basedOn w:val="Fontepargpadro"/>
    <w:uiPriority w:val="99"/>
    <w:semiHidden/>
    <w:unhideWhenUsed/>
    <w:rsid w:val="007E4CA8"/>
    <w:rPr>
      <w:vertAlign w:val="superscript"/>
    </w:rPr>
  </w:style>
  <w:style w:type="paragraph" w:customStyle="1" w:styleId="Default">
    <w:name w:val="Default"/>
    <w:rsid w:val="007A3CBD"/>
    <w:pPr>
      <w:autoSpaceDE w:val="0"/>
      <w:autoSpaceDN w:val="0"/>
      <w:adjustRightInd w:val="0"/>
      <w:spacing w:after="0" w:line="240" w:lineRule="auto"/>
    </w:pPr>
    <w:rPr>
      <w:rFonts w:ascii="Times New Roman" w:eastAsiaTheme="minorEastAsia" w:hAnsi="Times New Roman" w:cs="Times New Roman"/>
      <w:color w:val="000000"/>
      <w:sz w:val="24"/>
      <w:szCs w:val="24"/>
      <w:lang w:val="en-US" w:bidi="en-US"/>
    </w:rPr>
  </w:style>
  <w:style w:type="character" w:styleId="TextodoEspaoReservado">
    <w:name w:val="Placeholder Text"/>
    <w:basedOn w:val="Fontepargpadro"/>
    <w:uiPriority w:val="99"/>
    <w:semiHidden/>
    <w:rsid w:val="007A3CBD"/>
    <w:rPr>
      <w:color w:val="808080"/>
    </w:rPr>
  </w:style>
  <w:style w:type="paragraph" w:styleId="Textodebalo">
    <w:name w:val="Balloon Text"/>
    <w:basedOn w:val="Normal"/>
    <w:link w:val="TextodebaloChar"/>
    <w:uiPriority w:val="99"/>
    <w:semiHidden/>
    <w:unhideWhenUsed/>
    <w:rsid w:val="007A3CBD"/>
    <w:pPr>
      <w:spacing w:after="0" w:line="240" w:lineRule="auto"/>
    </w:pPr>
    <w:rPr>
      <w:rFonts w:ascii="Tahoma" w:eastAsiaTheme="minorEastAsia" w:hAnsi="Tahoma" w:cs="Tahoma"/>
      <w:sz w:val="16"/>
      <w:szCs w:val="16"/>
      <w:lang w:val="en-US" w:bidi="en-US"/>
    </w:rPr>
  </w:style>
  <w:style w:type="character" w:customStyle="1" w:styleId="TextodebaloChar">
    <w:name w:val="Texto de balão Char"/>
    <w:basedOn w:val="Fontepargpadro"/>
    <w:link w:val="Textodebalo"/>
    <w:uiPriority w:val="99"/>
    <w:semiHidden/>
    <w:rsid w:val="007A3CBD"/>
    <w:rPr>
      <w:rFonts w:ascii="Tahoma" w:eastAsiaTheme="minorEastAsia" w:hAnsi="Tahoma" w:cs="Tahoma"/>
      <w:sz w:val="16"/>
      <w:szCs w:val="16"/>
      <w:lang w:val="en-US" w:bidi="en-US"/>
    </w:rPr>
  </w:style>
  <w:style w:type="character" w:customStyle="1" w:styleId="apple-converted-space">
    <w:name w:val="apple-converted-space"/>
    <w:basedOn w:val="Fontepargpadro"/>
    <w:rsid w:val="007A3CBD"/>
  </w:style>
  <w:style w:type="character" w:styleId="Hyperlink">
    <w:name w:val="Hyperlink"/>
    <w:basedOn w:val="Fontepargpadro"/>
    <w:uiPriority w:val="99"/>
    <w:unhideWhenUsed/>
    <w:rsid w:val="007A3CBD"/>
    <w:rPr>
      <w:color w:val="0000FF"/>
      <w:u w:val="single"/>
    </w:rPr>
  </w:style>
  <w:style w:type="character" w:customStyle="1" w:styleId="Pr-formataoHTMLChar">
    <w:name w:val="Pré-formatação HTML Char"/>
    <w:basedOn w:val="Fontepargpadro"/>
    <w:link w:val="Pr-formataoHTML"/>
    <w:uiPriority w:val="99"/>
    <w:semiHidden/>
    <w:rsid w:val="007A3CBD"/>
    <w:rPr>
      <w:rFonts w:ascii="Courier New" w:eastAsia="Times New Roman" w:hAnsi="Courier New" w:cs="Courier New"/>
      <w:sz w:val="20"/>
      <w:szCs w:val="20"/>
      <w:lang w:val="en-US" w:eastAsia="pt-BR" w:bidi="en-US"/>
    </w:rPr>
  </w:style>
  <w:style w:type="paragraph" w:styleId="Pr-formataoHTML">
    <w:name w:val="HTML Preformatted"/>
    <w:basedOn w:val="Normal"/>
    <w:link w:val="Pr-formataoHTMLChar"/>
    <w:uiPriority w:val="99"/>
    <w:semiHidden/>
    <w:unhideWhenUsed/>
    <w:rsid w:val="007A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pt-BR" w:bidi="en-US"/>
    </w:rPr>
  </w:style>
  <w:style w:type="character" w:customStyle="1" w:styleId="gcwxi2kcpkb">
    <w:name w:val="gcwxi2kcpkb"/>
    <w:basedOn w:val="Fontepargpadro"/>
    <w:rsid w:val="007A3CBD"/>
  </w:style>
  <w:style w:type="character" w:customStyle="1" w:styleId="gcwxi2kcpjb">
    <w:name w:val="gcwxi2kcpjb"/>
    <w:basedOn w:val="Fontepargpadro"/>
    <w:rsid w:val="007A3CBD"/>
  </w:style>
  <w:style w:type="paragraph" w:styleId="SemEspaamento">
    <w:name w:val="No Spacing"/>
    <w:basedOn w:val="Normal"/>
    <w:uiPriority w:val="1"/>
    <w:qFormat/>
    <w:rsid w:val="007A3CBD"/>
    <w:pPr>
      <w:spacing w:after="0" w:line="240" w:lineRule="auto"/>
    </w:pPr>
    <w:rPr>
      <w:rFonts w:eastAsiaTheme="minorEastAsia"/>
      <w:lang w:val="en-US" w:bidi="en-US"/>
    </w:rPr>
  </w:style>
  <w:style w:type="paragraph" w:styleId="Ttulo">
    <w:name w:val="Title"/>
    <w:basedOn w:val="Normal"/>
    <w:next w:val="Normal"/>
    <w:link w:val="TtuloChar"/>
    <w:uiPriority w:val="10"/>
    <w:qFormat/>
    <w:rsid w:val="007A3CBD"/>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US" w:bidi="en-US"/>
    </w:rPr>
  </w:style>
  <w:style w:type="character" w:customStyle="1" w:styleId="TtuloChar">
    <w:name w:val="Título Char"/>
    <w:basedOn w:val="Fontepargpadro"/>
    <w:link w:val="Ttulo"/>
    <w:uiPriority w:val="10"/>
    <w:rsid w:val="007A3CBD"/>
    <w:rPr>
      <w:rFonts w:asciiTheme="majorHAnsi" w:eastAsiaTheme="majorEastAsia" w:hAnsiTheme="majorHAnsi" w:cstheme="majorBidi"/>
      <w:spacing w:val="5"/>
      <w:sz w:val="52"/>
      <w:szCs w:val="52"/>
      <w:lang w:val="en-US" w:bidi="en-US"/>
    </w:rPr>
  </w:style>
  <w:style w:type="paragraph" w:styleId="Subttulo">
    <w:name w:val="Subtitle"/>
    <w:basedOn w:val="Normal"/>
    <w:next w:val="Normal"/>
    <w:link w:val="SubttuloChar"/>
    <w:uiPriority w:val="11"/>
    <w:qFormat/>
    <w:rsid w:val="007A3CBD"/>
    <w:pPr>
      <w:spacing w:after="600" w:line="276" w:lineRule="auto"/>
    </w:pPr>
    <w:rPr>
      <w:rFonts w:asciiTheme="majorHAnsi" w:eastAsiaTheme="majorEastAsia" w:hAnsiTheme="majorHAnsi" w:cstheme="majorBidi"/>
      <w:i/>
      <w:iCs/>
      <w:spacing w:val="13"/>
      <w:sz w:val="24"/>
      <w:szCs w:val="24"/>
      <w:lang w:val="en-US" w:bidi="en-US"/>
    </w:rPr>
  </w:style>
  <w:style w:type="character" w:customStyle="1" w:styleId="SubttuloChar">
    <w:name w:val="Subtítulo Char"/>
    <w:basedOn w:val="Fontepargpadro"/>
    <w:link w:val="Subttulo"/>
    <w:uiPriority w:val="11"/>
    <w:rsid w:val="007A3CBD"/>
    <w:rPr>
      <w:rFonts w:asciiTheme="majorHAnsi" w:eastAsiaTheme="majorEastAsia" w:hAnsiTheme="majorHAnsi" w:cstheme="majorBidi"/>
      <w:i/>
      <w:iCs/>
      <w:spacing w:val="13"/>
      <w:sz w:val="24"/>
      <w:szCs w:val="24"/>
      <w:lang w:val="en-US" w:bidi="en-US"/>
    </w:rPr>
  </w:style>
  <w:style w:type="character" w:styleId="Forte">
    <w:name w:val="Strong"/>
    <w:uiPriority w:val="22"/>
    <w:qFormat/>
    <w:rsid w:val="007A3CBD"/>
    <w:rPr>
      <w:b/>
      <w:bCs/>
    </w:rPr>
  </w:style>
  <w:style w:type="character" w:styleId="nfase">
    <w:name w:val="Emphasis"/>
    <w:uiPriority w:val="20"/>
    <w:qFormat/>
    <w:rsid w:val="007A3CBD"/>
    <w:rPr>
      <w:b/>
      <w:bCs/>
      <w:i/>
      <w:iCs/>
      <w:spacing w:val="10"/>
      <w:bdr w:val="none" w:sz="0" w:space="0" w:color="auto"/>
      <w:shd w:val="clear" w:color="auto" w:fill="auto"/>
    </w:rPr>
  </w:style>
  <w:style w:type="paragraph" w:styleId="Citao">
    <w:name w:val="Quote"/>
    <w:basedOn w:val="Normal"/>
    <w:next w:val="Normal"/>
    <w:link w:val="CitaoChar"/>
    <w:uiPriority w:val="29"/>
    <w:qFormat/>
    <w:rsid w:val="007A3CBD"/>
    <w:pPr>
      <w:spacing w:before="200" w:after="0" w:line="276" w:lineRule="auto"/>
      <w:ind w:left="360" w:right="360"/>
    </w:pPr>
    <w:rPr>
      <w:rFonts w:eastAsiaTheme="minorEastAsia"/>
      <w:i/>
      <w:iCs/>
      <w:lang w:val="en-US" w:bidi="en-US"/>
    </w:rPr>
  </w:style>
  <w:style w:type="character" w:customStyle="1" w:styleId="CitaoChar">
    <w:name w:val="Citação Char"/>
    <w:basedOn w:val="Fontepargpadro"/>
    <w:link w:val="Citao"/>
    <w:uiPriority w:val="29"/>
    <w:rsid w:val="007A3CBD"/>
    <w:rPr>
      <w:rFonts w:eastAsiaTheme="minorEastAsia"/>
      <w:i/>
      <w:iCs/>
      <w:lang w:val="en-US" w:bidi="en-US"/>
    </w:rPr>
  </w:style>
  <w:style w:type="paragraph" w:styleId="CitaoIntensa">
    <w:name w:val="Intense Quote"/>
    <w:basedOn w:val="Normal"/>
    <w:next w:val="Normal"/>
    <w:link w:val="CitaoIntensaChar"/>
    <w:uiPriority w:val="30"/>
    <w:qFormat/>
    <w:rsid w:val="007A3CBD"/>
    <w:pPr>
      <w:pBdr>
        <w:bottom w:val="single" w:sz="4" w:space="1" w:color="auto"/>
      </w:pBdr>
      <w:spacing w:before="200" w:after="280" w:line="276" w:lineRule="auto"/>
      <w:ind w:left="1008" w:right="1152"/>
      <w:jc w:val="both"/>
    </w:pPr>
    <w:rPr>
      <w:rFonts w:eastAsiaTheme="minorEastAsia"/>
      <w:b/>
      <w:bCs/>
      <w:i/>
      <w:iCs/>
      <w:lang w:val="en-US" w:bidi="en-US"/>
    </w:rPr>
  </w:style>
  <w:style w:type="character" w:customStyle="1" w:styleId="CitaoIntensaChar">
    <w:name w:val="Citação Intensa Char"/>
    <w:basedOn w:val="Fontepargpadro"/>
    <w:link w:val="CitaoIntensa"/>
    <w:uiPriority w:val="30"/>
    <w:rsid w:val="007A3CBD"/>
    <w:rPr>
      <w:rFonts w:eastAsiaTheme="minorEastAsia"/>
      <w:b/>
      <w:bCs/>
      <w:i/>
      <w:iCs/>
      <w:lang w:val="en-US" w:bidi="en-US"/>
    </w:rPr>
  </w:style>
  <w:style w:type="character" w:styleId="nfaseSutil">
    <w:name w:val="Subtle Emphasis"/>
    <w:uiPriority w:val="19"/>
    <w:qFormat/>
    <w:rsid w:val="007A3CBD"/>
    <w:rPr>
      <w:i/>
      <w:iCs/>
    </w:rPr>
  </w:style>
  <w:style w:type="character" w:styleId="nfaseIntensa">
    <w:name w:val="Intense Emphasis"/>
    <w:uiPriority w:val="21"/>
    <w:qFormat/>
    <w:rsid w:val="007A3CBD"/>
    <w:rPr>
      <w:b/>
      <w:bCs/>
    </w:rPr>
  </w:style>
  <w:style w:type="character" w:styleId="RefernciaSutil">
    <w:name w:val="Subtle Reference"/>
    <w:uiPriority w:val="31"/>
    <w:qFormat/>
    <w:rsid w:val="007A3CBD"/>
    <w:rPr>
      <w:smallCaps/>
    </w:rPr>
  </w:style>
  <w:style w:type="character" w:styleId="RefernciaIntensa">
    <w:name w:val="Intense Reference"/>
    <w:uiPriority w:val="32"/>
    <w:qFormat/>
    <w:rsid w:val="007A3CBD"/>
    <w:rPr>
      <w:smallCaps/>
      <w:spacing w:val="5"/>
      <w:u w:val="single"/>
    </w:rPr>
  </w:style>
  <w:style w:type="character" w:styleId="TtulodoLivro">
    <w:name w:val="Book Title"/>
    <w:uiPriority w:val="33"/>
    <w:qFormat/>
    <w:rsid w:val="007A3CBD"/>
    <w:rPr>
      <w:i/>
      <w:iCs/>
      <w:smallCaps/>
      <w:spacing w:val="5"/>
    </w:rPr>
  </w:style>
  <w:style w:type="paragraph" w:styleId="Sumrio1">
    <w:name w:val="toc 1"/>
    <w:basedOn w:val="Normal"/>
    <w:next w:val="Normal"/>
    <w:autoRedefine/>
    <w:uiPriority w:val="39"/>
    <w:unhideWhenUsed/>
    <w:rsid w:val="007A3CBD"/>
    <w:pPr>
      <w:spacing w:before="120" w:after="120" w:line="276" w:lineRule="auto"/>
    </w:pPr>
    <w:rPr>
      <w:rFonts w:eastAsiaTheme="minorEastAsia"/>
      <w:b/>
      <w:bCs/>
      <w:caps/>
      <w:sz w:val="20"/>
      <w:szCs w:val="20"/>
      <w:lang w:val="en-US" w:bidi="en-US"/>
    </w:rPr>
  </w:style>
  <w:style w:type="paragraph" w:styleId="Sumrio2">
    <w:name w:val="toc 2"/>
    <w:basedOn w:val="Normal"/>
    <w:next w:val="Normal"/>
    <w:autoRedefine/>
    <w:uiPriority w:val="39"/>
    <w:unhideWhenUsed/>
    <w:rsid w:val="007A3CBD"/>
    <w:pPr>
      <w:spacing w:after="0" w:line="276" w:lineRule="auto"/>
      <w:ind w:left="220"/>
    </w:pPr>
    <w:rPr>
      <w:rFonts w:eastAsiaTheme="minorEastAsia"/>
      <w:smallCaps/>
      <w:sz w:val="20"/>
      <w:szCs w:val="20"/>
      <w:lang w:val="en-US" w:bidi="en-US"/>
    </w:rPr>
  </w:style>
  <w:style w:type="paragraph" w:styleId="Sumrio3">
    <w:name w:val="toc 3"/>
    <w:basedOn w:val="Normal"/>
    <w:next w:val="Normal"/>
    <w:autoRedefine/>
    <w:uiPriority w:val="39"/>
    <w:unhideWhenUsed/>
    <w:rsid w:val="007A3CBD"/>
    <w:pPr>
      <w:spacing w:after="0" w:line="276" w:lineRule="auto"/>
      <w:ind w:left="440"/>
    </w:pPr>
    <w:rPr>
      <w:rFonts w:eastAsiaTheme="minorEastAsia"/>
      <w:i/>
      <w:iCs/>
      <w:sz w:val="20"/>
      <w:szCs w:val="20"/>
      <w:lang w:val="en-US" w:bidi="en-US"/>
    </w:rPr>
  </w:style>
  <w:style w:type="paragraph" w:styleId="Sumrio4">
    <w:name w:val="toc 4"/>
    <w:basedOn w:val="Normal"/>
    <w:next w:val="Normal"/>
    <w:autoRedefine/>
    <w:uiPriority w:val="39"/>
    <w:unhideWhenUsed/>
    <w:rsid w:val="007A3CBD"/>
    <w:pPr>
      <w:spacing w:after="0" w:line="276" w:lineRule="auto"/>
      <w:ind w:left="660"/>
    </w:pPr>
    <w:rPr>
      <w:rFonts w:eastAsiaTheme="minorEastAsia"/>
      <w:sz w:val="18"/>
      <w:szCs w:val="18"/>
      <w:lang w:val="en-US" w:bidi="en-US"/>
    </w:rPr>
  </w:style>
  <w:style w:type="paragraph" w:styleId="Sumrio5">
    <w:name w:val="toc 5"/>
    <w:basedOn w:val="Normal"/>
    <w:next w:val="Normal"/>
    <w:autoRedefine/>
    <w:uiPriority w:val="39"/>
    <w:unhideWhenUsed/>
    <w:rsid w:val="007A3CBD"/>
    <w:pPr>
      <w:spacing w:after="0" w:line="276" w:lineRule="auto"/>
      <w:ind w:left="880"/>
    </w:pPr>
    <w:rPr>
      <w:rFonts w:eastAsiaTheme="minorEastAsia"/>
      <w:sz w:val="18"/>
      <w:szCs w:val="18"/>
      <w:lang w:val="en-US" w:bidi="en-US"/>
    </w:rPr>
  </w:style>
  <w:style w:type="paragraph" w:styleId="Sumrio6">
    <w:name w:val="toc 6"/>
    <w:basedOn w:val="Normal"/>
    <w:next w:val="Normal"/>
    <w:autoRedefine/>
    <w:uiPriority w:val="39"/>
    <w:unhideWhenUsed/>
    <w:rsid w:val="007A3CBD"/>
    <w:pPr>
      <w:spacing w:after="0" w:line="276" w:lineRule="auto"/>
      <w:ind w:left="1100"/>
    </w:pPr>
    <w:rPr>
      <w:rFonts w:eastAsiaTheme="minorEastAsia"/>
      <w:sz w:val="18"/>
      <w:szCs w:val="18"/>
      <w:lang w:val="en-US" w:bidi="en-US"/>
    </w:rPr>
  </w:style>
  <w:style w:type="paragraph" w:styleId="Sumrio7">
    <w:name w:val="toc 7"/>
    <w:basedOn w:val="Normal"/>
    <w:next w:val="Normal"/>
    <w:autoRedefine/>
    <w:uiPriority w:val="39"/>
    <w:unhideWhenUsed/>
    <w:rsid w:val="007A3CBD"/>
    <w:pPr>
      <w:spacing w:after="0" w:line="276" w:lineRule="auto"/>
      <w:ind w:left="1320"/>
    </w:pPr>
    <w:rPr>
      <w:rFonts w:eastAsiaTheme="minorEastAsia"/>
      <w:sz w:val="18"/>
      <w:szCs w:val="18"/>
      <w:lang w:val="en-US" w:bidi="en-US"/>
    </w:rPr>
  </w:style>
  <w:style w:type="paragraph" w:styleId="Sumrio8">
    <w:name w:val="toc 8"/>
    <w:basedOn w:val="Normal"/>
    <w:next w:val="Normal"/>
    <w:autoRedefine/>
    <w:uiPriority w:val="39"/>
    <w:unhideWhenUsed/>
    <w:rsid w:val="007A3CBD"/>
    <w:pPr>
      <w:spacing w:after="0" w:line="276" w:lineRule="auto"/>
      <w:ind w:left="1540"/>
    </w:pPr>
    <w:rPr>
      <w:rFonts w:eastAsiaTheme="minorEastAsia"/>
      <w:sz w:val="18"/>
      <w:szCs w:val="18"/>
      <w:lang w:val="en-US" w:bidi="en-US"/>
    </w:rPr>
  </w:style>
  <w:style w:type="paragraph" w:styleId="Sumrio9">
    <w:name w:val="toc 9"/>
    <w:basedOn w:val="Normal"/>
    <w:next w:val="Normal"/>
    <w:autoRedefine/>
    <w:uiPriority w:val="39"/>
    <w:unhideWhenUsed/>
    <w:rsid w:val="007A3CBD"/>
    <w:pPr>
      <w:spacing w:after="0" w:line="276" w:lineRule="auto"/>
      <w:ind w:left="1760"/>
    </w:pPr>
    <w:rPr>
      <w:rFonts w:eastAsiaTheme="minorEastAsia"/>
      <w:sz w:val="18"/>
      <w:szCs w:val="18"/>
      <w:lang w:val="en-US" w:bidi="en-US"/>
    </w:rPr>
  </w:style>
  <w:style w:type="paragraph" w:customStyle="1" w:styleId="Estilo1">
    <w:name w:val="Estilo1"/>
    <w:basedOn w:val="Ttulo1"/>
    <w:qFormat/>
    <w:rsid w:val="007A3CBD"/>
    <w:rPr>
      <w:rFonts w:ascii="Times New Roman" w:hAnsi="Times New Roman"/>
    </w:rPr>
  </w:style>
  <w:style w:type="paragraph" w:customStyle="1" w:styleId="Llian">
    <w:name w:val="Lílian"/>
    <w:basedOn w:val="Normal"/>
    <w:next w:val="Default"/>
    <w:link w:val="LlianChar"/>
    <w:qFormat/>
    <w:rsid w:val="007A3CBD"/>
    <w:pPr>
      <w:spacing w:after="200" w:line="360" w:lineRule="auto"/>
      <w:jc w:val="both"/>
    </w:pPr>
    <w:rPr>
      <w:rFonts w:ascii="Times New Roman" w:eastAsiaTheme="minorEastAsia" w:hAnsi="Times New Roman" w:cs="Times New Roman"/>
      <w:b/>
      <w:sz w:val="24"/>
      <w:szCs w:val="24"/>
      <w:lang w:val="en-US" w:bidi="en-US"/>
    </w:rPr>
  </w:style>
  <w:style w:type="character" w:customStyle="1" w:styleId="LlianChar">
    <w:name w:val="Lílian Char"/>
    <w:basedOn w:val="Fontepargpadro"/>
    <w:link w:val="Llian"/>
    <w:rsid w:val="007A3CBD"/>
    <w:rPr>
      <w:rFonts w:ascii="Times New Roman" w:eastAsiaTheme="minorEastAsia" w:hAnsi="Times New Roman" w:cs="Times New Roman"/>
      <w:b/>
      <w:sz w:val="24"/>
      <w:szCs w:val="24"/>
      <w:lang w:val="en-US" w:bidi="en-US"/>
    </w:rPr>
  </w:style>
  <w:style w:type="paragraph" w:customStyle="1" w:styleId="Agradecdedicatepgrafe">
    <w:name w:val="Agradec_dedicat_epígrafe"/>
    <w:basedOn w:val="Normal"/>
    <w:autoRedefine/>
    <w:rsid w:val="007A3CBD"/>
    <w:pPr>
      <w:spacing w:after="0" w:line="360" w:lineRule="auto"/>
      <w:ind w:left="4536"/>
      <w:jc w:val="both"/>
    </w:pPr>
    <w:rPr>
      <w:rFonts w:ascii="Times New Roman" w:eastAsia="Times New Roman" w:hAnsi="Times New Roman" w:cs="Times New Roman"/>
      <w:color w:val="000000"/>
      <w:sz w:val="24"/>
      <w:szCs w:val="20"/>
      <w:lang w:eastAsia="pt-BR"/>
    </w:rPr>
  </w:style>
  <w:style w:type="paragraph" w:styleId="Cabealho">
    <w:name w:val="header"/>
    <w:basedOn w:val="Normal"/>
    <w:link w:val="CabealhoChar"/>
    <w:uiPriority w:val="99"/>
    <w:unhideWhenUsed/>
    <w:rsid w:val="007A3CBD"/>
    <w:pPr>
      <w:tabs>
        <w:tab w:val="center" w:pos="4252"/>
        <w:tab w:val="right" w:pos="8504"/>
      </w:tabs>
      <w:spacing w:after="0" w:line="240" w:lineRule="auto"/>
    </w:pPr>
    <w:rPr>
      <w:rFonts w:eastAsiaTheme="minorEastAsia"/>
      <w:lang w:val="en-US" w:bidi="en-US"/>
    </w:rPr>
  </w:style>
  <w:style w:type="character" w:customStyle="1" w:styleId="CabealhoChar">
    <w:name w:val="Cabeçalho Char"/>
    <w:basedOn w:val="Fontepargpadro"/>
    <w:link w:val="Cabealho"/>
    <w:uiPriority w:val="99"/>
    <w:rsid w:val="007A3CBD"/>
    <w:rPr>
      <w:rFonts w:eastAsiaTheme="minorEastAsia"/>
      <w:lang w:val="en-US" w:bidi="en-US"/>
    </w:rPr>
  </w:style>
  <w:style w:type="paragraph" w:styleId="Rodap">
    <w:name w:val="footer"/>
    <w:basedOn w:val="Normal"/>
    <w:link w:val="RodapChar"/>
    <w:uiPriority w:val="99"/>
    <w:unhideWhenUsed/>
    <w:rsid w:val="007A3CBD"/>
    <w:pPr>
      <w:tabs>
        <w:tab w:val="center" w:pos="4252"/>
        <w:tab w:val="right" w:pos="8504"/>
      </w:tabs>
      <w:spacing w:after="0" w:line="240" w:lineRule="auto"/>
    </w:pPr>
    <w:rPr>
      <w:rFonts w:eastAsiaTheme="minorEastAsia"/>
      <w:lang w:val="en-US" w:bidi="en-US"/>
    </w:rPr>
  </w:style>
  <w:style w:type="character" w:customStyle="1" w:styleId="RodapChar">
    <w:name w:val="Rodapé Char"/>
    <w:basedOn w:val="Fontepargpadro"/>
    <w:link w:val="Rodap"/>
    <w:uiPriority w:val="99"/>
    <w:rsid w:val="007A3CBD"/>
    <w:rPr>
      <w:rFonts w:eastAsiaTheme="minorEastAsia"/>
      <w:lang w:val="en-US" w:bidi="en-US"/>
    </w:rPr>
  </w:style>
  <w:style w:type="character" w:customStyle="1" w:styleId="TextodecomentrioChar">
    <w:name w:val="Texto de comentário Char"/>
    <w:basedOn w:val="Fontepargpadro"/>
    <w:link w:val="Textodecomentrio"/>
    <w:uiPriority w:val="99"/>
    <w:semiHidden/>
    <w:rsid w:val="007A3CBD"/>
    <w:rPr>
      <w:rFonts w:eastAsiaTheme="minorEastAsia"/>
      <w:sz w:val="20"/>
      <w:szCs w:val="20"/>
      <w:lang w:val="en-US" w:bidi="en-US"/>
    </w:rPr>
  </w:style>
  <w:style w:type="paragraph" w:styleId="Textodecomentrio">
    <w:name w:val="annotation text"/>
    <w:basedOn w:val="Normal"/>
    <w:link w:val="TextodecomentrioChar"/>
    <w:uiPriority w:val="99"/>
    <w:semiHidden/>
    <w:unhideWhenUsed/>
    <w:rsid w:val="007A3CBD"/>
    <w:pPr>
      <w:spacing w:after="200" w:line="240" w:lineRule="auto"/>
    </w:pPr>
    <w:rPr>
      <w:rFonts w:eastAsiaTheme="minorEastAsia"/>
      <w:sz w:val="20"/>
      <w:szCs w:val="20"/>
      <w:lang w:val="en-US" w:bidi="en-US"/>
    </w:rPr>
  </w:style>
  <w:style w:type="character" w:customStyle="1" w:styleId="AssuntodocomentrioChar">
    <w:name w:val="Assunto do comentário Char"/>
    <w:basedOn w:val="TextodecomentrioChar"/>
    <w:link w:val="Assuntodocomentrio"/>
    <w:uiPriority w:val="99"/>
    <w:semiHidden/>
    <w:rsid w:val="007A3CBD"/>
    <w:rPr>
      <w:rFonts w:eastAsiaTheme="minorEastAsia"/>
      <w:b/>
      <w:bCs/>
      <w:sz w:val="20"/>
      <w:szCs w:val="20"/>
      <w:lang w:val="en-US" w:bidi="en-US"/>
    </w:rPr>
  </w:style>
  <w:style w:type="paragraph" w:styleId="Assuntodocomentrio">
    <w:name w:val="annotation subject"/>
    <w:basedOn w:val="Textodecomentrio"/>
    <w:next w:val="Textodecomentrio"/>
    <w:link w:val="AssuntodocomentrioChar"/>
    <w:uiPriority w:val="99"/>
    <w:semiHidden/>
    <w:unhideWhenUsed/>
    <w:rsid w:val="007A3CBD"/>
    <w:rPr>
      <w:b/>
      <w:bCs/>
    </w:rPr>
  </w:style>
  <w:style w:type="table" w:styleId="Tabelacomgrade">
    <w:name w:val="Table Grid"/>
    <w:basedOn w:val="Tabelanormal"/>
    <w:uiPriority w:val="59"/>
    <w:rsid w:val="000F4BD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4F01BB"/>
    <w:rPr>
      <w:sz w:val="16"/>
      <w:szCs w:val="16"/>
    </w:rPr>
  </w:style>
  <w:style w:type="paragraph" w:styleId="Reviso">
    <w:name w:val="Revision"/>
    <w:hidden/>
    <w:uiPriority w:val="99"/>
    <w:semiHidden/>
    <w:rsid w:val="004F01BB"/>
    <w:pPr>
      <w:spacing w:after="0" w:line="240" w:lineRule="auto"/>
    </w:pPr>
  </w:style>
  <w:style w:type="character" w:customStyle="1" w:styleId="defaultparagraphfont">
    <w:name w:val="default_paragraph_font"/>
    <w:basedOn w:val="Fontepargpadro"/>
    <w:rsid w:val="00160552"/>
  </w:style>
  <w:style w:type="character" w:customStyle="1" w:styleId="link">
    <w:name w:val="link"/>
    <w:basedOn w:val="Fontepargpadro"/>
    <w:rsid w:val="00160552"/>
  </w:style>
  <w:style w:type="character" w:customStyle="1" w:styleId="in-linemath">
    <w:name w:val="in-line_math"/>
    <w:basedOn w:val="Fontepargpadro"/>
    <w:rsid w:val="00160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A3"/>
  </w:style>
  <w:style w:type="paragraph" w:styleId="Ttulo1">
    <w:name w:val="heading 1"/>
    <w:basedOn w:val="Normal"/>
    <w:next w:val="Normal"/>
    <w:link w:val="Ttulo1Char"/>
    <w:uiPriority w:val="9"/>
    <w:qFormat/>
    <w:rsid w:val="007A3CBD"/>
    <w:pPr>
      <w:numPr>
        <w:numId w:val="24"/>
      </w:numPr>
      <w:spacing w:before="480" w:after="0" w:line="276" w:lineRule="auto"/>
      <w:contextualSpacing/>
      <w:outlineLvl w:val="0"/>
    </w:pPr>
    <w:rPr>
      <w:rFonts w:asciiTheme="majorHAnsi" w:eastAsiaTheme="majorEastAsia" w:hAnsiTheme="majorHAnsi" w:cstheme="majorBidi"/>
      <w:b/>
      <w:bCs/>
      <w:sz w:val="28"/>
      <w:szCs w:val="28"/>
      <w:lang w:val="en-US" w:bidi="en-US"/>
    </w:rPr>
  </w:style>
  <w:style w:type="paragraph" w:styleId="Ttulo2">
    <w:name w:val="heading 2"/>
    <w:basedOn w:val="Normal"/>
    <w:next w:val="Normal"/>
    <w:link w:val="Ttulo2Char"/>
    <w:uiPriority w:val="9"/>
    <w:unhideWhenUsed/>
    <w:qFormat/>
    <w:rsid w:val="007A3CBD"/>
    <w:pPr>
      <w:numPr>
        <w:ilvl w:val="1"/>
        <w:numId w:val="24"/>
      </w:numPr>
      <w:spacing w:before="200" w:after="0" w:line="276" w:lineRule="auto"/>
      <w:outlineLvl w:val="1"/>
    </w:pPr>
    <w:rPr>
      <w:rFonts w:asciiTheme="majorHAnsi" w:eastAsiaTheme="majorEastAsia" w:hAnsiTheme="majorHAnsi" w:cstheme="majorBidi"/>
      <w:b/>
      <w:bCs/>
      <w:sz w:val="26"/>
      <w:szCs w:val="26"/>
      <w:lang w:val="en-US" w:bidi="en-US"/>
    </w:rPr>
  </w:style>
  <w:style w:type="paragraph" w:styleId="Ttulo3">
    <w:name w:val="heading 3"/>
    <w:basedOn w:val="Normal"/>
    <w:next w:val="Normal"/>
    <w:link w:val="Ttulo3Char"/>
    <w:uiPriority w:val="9"/>
    <w:unhideWhenUsed/>
    <w:qFormat/>
    <w:rsid w:val="007A3CBD"/>
    <w:pPr>
      <w:numPr>
        <w:ilvl w:val="2"/>
        <w:numId w:val="24"/>
      </w:numPr>
      <w:spacing w:before="200" w:after="0" w:line="271" w:lineRule="auto"/>
      <w:outlineLvl w:val="2"/>
    </w:pPr>
    <w:rPr>
      <w:rFonts w:asciiTheme="majorHAnsi" w:eastAsiaTheme="majorEastAsia" w:hAnsiTheme="majorHAnsi" w:cstheme="majorBidi"/>
      <w:b/>
      <w:bCs/>
      <w:lang w:val="en-US" w:bidi="en-US"/>
    </w:rPr>
  </w:style>
  <w:style w:type="paragraph" w:styleId="Ttulo4">
    <w:name w:val="heading 4"/>
    <w:basedOn w:val="Normal"/>
    <w:next w:val="Normal"/>
    <w:link w:val="Ttulo4Char"/>
    <w:uiPriority w:val="9"/>
    <w:semiHidden/>
    <w:unhideWhenUsed/>
    <w:qFormat/>
    <w:rsid w:val="007A3CBD"/>
    <w:pPr>
      <w:numPr>
        <w:ilvl w:val="3"/>
        <w:numId w:val="24"/>
      </w:numPr>
      <w:spacing w:before="200" w:after="0" w:line="276" w:lineRule="auto"/>
      <w:outlineLvl w:val="3"/>
    </w:pPr>
    <w:rPr>
      <w:rFonts w:asciiTheme="majorHAnsi" w:eastAsiaTheme="majorEastAsia" w:hAnsiTheme="majorHAnsi" w:cstheme="majorBidi"/>
      <w:b/>
      <w:bCs/>
      <w:i/>
      <w:iCs/>
      <w:lang w:val="en-US" w:bidi="en-US"/>
    </w:rPr>
  </w:style>
  <w:style w:type="paragraph" w:styleId="Ttulo5">
    <w:name w:val="heading 5"/>
    <w:basedOn w:val="Normal"/>
    <w:next w:val="Normal"/>
    <w:link w:val="Ttulo5Char"/>
    <w:uiPriority w:val="9"/>
    <w:semiHidden/>
    <w:unhideWhenUsed/>
    <w:qFormat/>
    <w:rsid w:val="007A3CBD"/>
    <w:pPr>
      <w:numPr>
        <w:ilvl w:val="4"/>
        <w:numId w:val="24"/>
      </w:numPr>
      <w:spacing w:before="200" w:after="0" w:line="276" w:lineRule="auto"/>
      <w:outlineLvl w:val="4"/>
    </w:pPr>
    <w:rPr>
      <w:rFonts w:asciiTheme="majorHAnsi" w:eastAsiaTheme="majorEastAsia" w:hAnsiTheme="majorHAnsi" w:cstheme="majorBidi"/>
      <w:b/>
      <w:bCs/>
      <w:color w:val="7F7F7F" w:themeColor="text1" w:themeTint="80"/>
      <w:lang w:val="en-US" w:bidi="en-US"/>
    </w:rPr>
  </w:style>
  <w:style w:type="paragraph" w:styleId="Ttulo6">
    <w:name w:val="heading 6"/>
    <w:basedOn w:val="Normal"/>
    <w:next w:val="Normal"/>
    <w:link w:val="Ttulo6Char"/>
    <w:uiPriority w:val="9"/>
    <w:semiHidden/>
    <w:unhideWhenUsed/>
    <w:qFormat/>
    <w:rsid w:val="007A3CBD"/>
    <w:pPr>
      <w:numPr>
        <w:ilvl w:val="5"/>
        <w:numId w:val="24"/>
      </w:numPr>
      <w:spacing w:after="0" w:line="271" w:lineRule="auto"/>
      <w:outlineLvl w:val="5"/>
    </w:pPr>
    <w:rPr>
      <w:rFonts w:asciiTheme="majorHAnsi" w:eastAsiaTheme="majorEastAsia" w:hAnsiTheme="majorHAnsi" w:cstheme="majorBidi"/>
      <w:b/>
      <w:bCs/>
      <w:i/>
      <w:iCs/>
      <w:color w:val="7F7F7F" w:themeColor="text1" w:themeTint="80"/>
      <w:lang w:val="en-US" w:bidi="en-US"/>
    </w:rPr>
  </w:style>
  <w:style w:type="paragraph" w:styleId="Ttulo7">
    <w:name w:val="heading 7"/>
    <w:basedOn w:val="Normal"/>
    <w:next w:val="Normal"/>
    <w:link w:val="Ttulo7Char"/>
    <w:uiPriority w:val="9"/>
    <w:semiHidden/>
    <w:unhideWhenUsed/>
    <w:qFormat/>
    <w:rsid w:val="007A3CBD"/>
    <w:pPr>
      <w:numPr>
        <w:ilvl w:val="6"/>
        <w:numId w:val="24"/>
      </w:numPr>
      <w:spacing w:after="0" w:line="276" w:lineRule="auto"/>
      <w:outlineLvl w:val="6"/>
    </w:pPr>
    <w:rPr>
      <w:rFonts w:asciiTheme="majorHAnsi" w:eastAsiaTheme="majorEastAsia" w:hAnsiTheme="majorHAnsi" w:cstheme="majorBidi"/>
      <w:i/>
      <w:iCs/>
      <w:lang w:val="en-US" w:bidi="en-US"/>
    </w:rPr>
  </w:style>
  <w:style w:type="paragraph" w:styleId="Ttulo8">
    <w:name w:val="heading 8"/>
    <w:basedOn w:val="Normal"/>
    <w:next w:val="Normal"/>
    <w:link w:val="Ttulo8Char"/>
    <w:uiPriority w:val="9"/>
    <w:semiHidden/>
    <w:unhideWhenUsed/>
    <w:qFormat/>
    <w:rsid w:val="007A3CBD"/>
    <w:pPr>
      <w:numPr>
        <w:ilvl w:val="7"/>
        <w:numId w:val="24"/>
      </w:numPr>
      <w:spacing w:after="0" w:line="276" w:lineRule="auto"/>
      <w:outlineLvl w:val="7"/>
    </w:pPr>
    <w:rPr>
      <w:rFonts w:asciiTheme="majorHAnsi" w:eastAsiaTheme="majorEastAsia" w:hAnsiTheme="majorHAnsi" w:cstheme="majorBidi"/>
      <w:sz w:val="20"/>
      <w:szCs w:val="20"/>
      <w:lang w:val="en-US" w:bidi="en-US"/>
    </w:rPr>
  </w:style>
  <w:style w:type="paragraph" w:styleId="Ttulo9">
    <w:name w:val="heading 9"/>
    <w:basedOn w:val="Normal"/>
    <w:next w:val="Normal"/>
    <w:link w:val="Ttulo9Char"/>
    <w:uiPriority w:val="9"/>
    <w:semiHidden/>
    <w:unhideWhenUsed/>
    <w:qFormat/>
    <w:rsid w:val="007A3CBD"/>
    <w:pPr>
      <w:numPr>
        <w:ilvl w:val="8"/>
        <w:numId w:val="24"/>
      </w:numPr>
      <w:spacing w:after="0" w:line="276" w:lineRule="auto"/>
      <w:outlineLvl w:val="8"/>
    </w:pPr>
    <w:rPr>
      <w:rFonts w:asciiTheme="majorHAnsi" w:eastAsiaTheme="majorEastAsia" w:hAnsiTheme="majorHAnsi" w:cstheme="majorBidi"/>
      <w:i/>
      <w:iCs/>
      <w:spacing w:val="5"/>
      <w:sz w:val="20"/>
      <w:szCs w:val="20"/>
      <w:lang w:val="en-US"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CBD"/>
    <w:rPr>
      <w:rFonts w:asciiTheme="majorHAnsi" w:eastAsiaTheme="majorEastAsia" w:hAnsiTheme="majorHAnsi" w:cstheme="majorBidi"/>
      <w:b/>
      <w:bCs/>
      <w:sz w:val="28"/>
      <w:szCs w:val="28"/>
      <w:lang w:val="en-US" w:bidi="en-US"/>
    </w:rPr>
  </w:style>
  <w:style w:type="character" w:customStyle="1" w:styleId="Ttulo2Char">
    <w:name w:val="Título 2 Char"/>
    <w:basedOn w:val="Fontepargpadro"/>
    <w:link w:val="Ttulo2"/>
    <w:uiPriority w:val="9"/>
    <w:rsid w:val="007A3CBD"/>
    <w:rPr>
      <w:rFonts w:asciiTheme="majorHAnsi" w:eastAsiaTheme="majorEastAsia" w:hAnsiTheme="majorHAnsi" w:cstheme="majorBidi"/>
      <w:b/>
      <w:bCs/>
      <w:sz w:val="26"/>
      <w:szCs w:val="26"/>
      <w:lang w:val="en-US" w:bidi="en-US"/>
    </w:rPr>
  </w:style>
  <w:style w:type="character" w:customStyle="1" w:styleId="Ttulo3Char">
    <w:name w:val="Título 3 Char"/>
    <w:basedOn w:val="Fontepargpadro"/>
    <w:link w:val="Ttulo3"/>
    <w:uiPriority w:val="9"/>
    <w:rsid w:val="007A3CBD"/>
    <w:rPr>
      <w:rFonts w:asciiTheme="majorHAnsi" w:eastAsiaTheme="majorEastAsia" w:hAnsiTheme="majorHAnsi" w:cstheme="majorBidi"/>
      <w:b/>
      <w:bCs/>
      <w:lang w:val="en-US" w:bidi="en-US"/>
    </w:rPr>
  </w:style>
  <w:style w:type="character" w:customStyle="1" w:styleId="Ttulo4Char">
    <w:name w:val="Título 4 Char"/>
    <w:basedOn w:val="Fontepargpadro"/>
    <w:link w:val="Ttulo4"/>
    <w:uiPriority w:val="9"/>
    <w:semiHidden/>
    <w:rsid w:val="007A3CBD"/>
    <w:rPr>
      <w:rFonts w:asciiTheme="majorHAnsi" w:eastAsiaTheme="majorEastAsia" w:hAnsiTheme="majorHAnsi" w:cstheme="majorBidi"/>
      <w:b/>
      <w:bCs/>
      <w:i/>
      <w:iCs/>
      <w:lang w:val="en-US" w:bidi="en-US"/>
    </w:rPr>
  </w:style>
  <w:style w:type="character" w:customStyle="1" w:styleId="Ttulo5Char">
    <w:name w:val="Título 5 Char"/>
    <w:basedOn w:val="Fontepargpadro"/>
    <w:link w:val="Ttulo5"/>
    <w:uiPriority w:val="9"/>
    <w:semiHidden/>
    <w:rsid w:val="007A3CBD"/>
    <w:rPr>
      <w:rFonts w:asciiTheme="majorHAnsi" w:eastAsiaTheme="majorEastAsia" w:hAnsiTheme="majorHAnsi" w:cstheme="majorBidi"/>
      <w:b/>
      <w:bCs/>
      <w:color w:val="7F7F7F" w:themeColor="text1" w:themeTint="80"/>
      <w:lang w:val="en-US" w:bidi="en-US"/>
    </w:rPr>
  </w:style>
  <w:style w:type="character" w:customStyle="1" w:styleId="Ttulo6Char">
    <w:name w:val="Título 6 Char"/>
    <w:basedOn w:val="Fontepargpadro"/>
    <w:link w:val="Ttulo6"/>
    <w:uiPriority w:val="9"/>
    <w:semiHidden/>
    <w:rsid w:val="007A3CBD"/>
    <w:rPr>
      <w:rFonts w:asciiTheme="majorHAnsi" w:eastAsiaTheme="majorEastAsia" w:hAnsiTheme="majorHAnsi" w:cstheme="majorBidi"/>
      <w:b/>
      <w:bCs/>
      <w:i/>
      <w:iCs/>
      <w:color w:val="7F7F7F" w:themeColor="text1" w:themeTint="80"/>
      <w:lang w:val="en-US" w:bidi="en-US"/>
    </w:rPr>
  </w:style>
  <w:style w:type="character" w:customStyle="1" w:styleId="Ttulo7Char">
    <w:name w:val="Título 7 Char"/>
    <w:basedOn w:val="Fontepargpadro"/>
    <w:link w:val="Ttulo7"/>
    <w:uiPriority w:val="9"/>
    <w:semiHidden/>
    <w:rsid w:val="007A3CBD"/>
    <w:rPr>
      <w:rFonts w:asciiTheme="majorHAnsi" w:eastAsiaTheme="majorEastAsia" w:hAnsiTheme="majorHAnsi" w:cstheme="majorBidi"/>
      <w:i/>
      <w:iCs/>
      <w:lang w:val="en-US" w:bidi="en-US"/>
    </w:rPr>
  </w:style>
  <w:style w:type="character" w:customStyle="1" w:styleId="Ttulo8Char">
    <w:name w:val="Título 8 Char"/>
    <w:basedOn w:val="Fontepargpadro"/>
    <w:link w:val="Ttulo8"/>
    <w:uiPriority w:val="9"/>
    <w:semiHidden/>
    <w:rsid w:val="007A3CBD"/>
    <w:rPr>
      <w:rFonts w:asciiTheme="majorHAnsi" w:eastAsiaTheme="majorEastAsia" w:hAnsiTheme="majorHAnsi" w:cstheme="majorBidi"/>
      <w:sz w:val="20"/>
      <w:szCs w:val="20"/>
      <w:lang w:val="en-US" w:bidi="en-US"/>
    </w:rPr>
  </w:style>
  <w:style w:type="character" w:customStyle="1" w:styleId="Ttulo9Char">
    <w:name w:val="Título 9 Char"/>
    <w:basedOn w:val="Fontepargpadro"/>
    <w:link w:val="Ttulo9"/>
    <w:uiPriority w:val="9"/>
    <w:semiHidden/>
    <w:rsid w:val="007A3CBD"/>
    <w:rPr>
      <w:rFonts w:asciiTheme="majorHAnsi" w:eastAsiaTheme="majorEastAsia" w:hAnsiTheme="majorHAnsi" w:cstheme="majorBidi"/>
      <w:i/>
      <w:iCs/>
      <w:spacing w:val="5"/>
      <w:sz w:val="20"/>
      <w:szCs w:val="20"/>
      <w:lang w:val="en-US" w:bidi="en-US"/>
    </w:rPr>
  </w:style>
  <w:style w:type="paragraph" w:styleId="PargrafodaLista">
    <w:name w:val="List Paragraph"/>
    <w:basedOn w:val="Normal"/>
    <w:uiPriority w:val="34"/>
    <w:qFormat/>
    <w:rsid w:val="0045524C"/>
    <w:pPr>
      <w:ind w:left="720"/>
      <w:contextualSpacing/>
    </w:pPr>
  </w:style>
  <w:style w:type="paragraph" w:styleId="Textodenotaderodap">
    <w:name w:val="footnote text"/>
    <w:basedOn w:val="Normal"/>
    <w:link w:val="TextodenotaderodapChar"/>
    <w:uiPriority w:val="99"/>
    <w:semiHidden/>
    <w:unhideWhenUsed/>
    <w:rsid w:val="007E4CA8"/>
    <w:pPr>
      <w:spacing w:after="0" w:line="240" w:lineRule="auto"/>
    </w:pPr>
    <w:rPr>
      <w:rFonts w:eastAsiaTheme="minorEastAsia"/>
      <w:sz w:val="20"/>
      <w:szCs w:val="20"/>
      <w:lang w:val="en-US" w:bidi="en-US"/>
    </w:rPr>
  </w:style>
  <w:style w:type="character" w:customStyle="1" w:styleId="TextodenotaderodapChar">
    <w:name w:val="Texto de nota de rodapé Char"/>
    <w:basedOn w:val="Fontepargpadro"/>
    <w:link w:val="Textodenotaderodap"/>
    <w:uiPriority w:val="99"/>
    <w:semiHidden/>
    <w:rsid w:val="007E4CA8"/>
    <w:rPr>
      <w:rFonts w:eastAsiaTheme="minorEastAsia"/>
      <w:sz w:val="20"/>
      <w:szCs w:val="20"/>
      <w:lang w:val="en-US" w:bidi="en-US"/>
    </w:rPr>
  </w:style>
  <w:style w:type="character" w:styleId="Refdenotaderodap">
    <w:name w:val="footnote reference"/>
    <w:basedOn w:val="Fontepargpadro"/>
    <w:uiPriority w:val="99"/>
    <w:semiHidden/>
    <w:unhideWhenUsed/>
    <w:rsid w:val="007E4CA8"/>
    <w:rPr>
      <w:vertAlign w:val="superscript"/>
    </w:rPr>
  </w:style>
  <w:style w:type="paragraph" w:customStyle="1" w:styleId="Default">
    <w:name w:val="Default"/>
    <w:rsid w:val="007A3CBD"/>
    <w:pPr>
      <w:autoSpaceDE w:val="0"/>
      <w:autoSpaceDN w:val="0"/>
      <w:adjustRightInd w:val="0"/>
      <w:spacing w:after="0" w:line="240" w:lineRule="auto"/>
    </w:pPr>
    <w:rPr>
      <w:rFonts w:ascii="Times New Roman" w:eastAsiaTheme="minorEastAsia" w:hAnsi="Times New Roman" w:cs="Times New Roman"/>
      <w:color w:val="000000"/>
      <w:sz w:val="24"/>
      <w:szCs w:val="24"/>
      <w:lang w:val="en-US" w:bidi="en-US"/>
    </w:rPr>
  </w:style>
  <w:style w:type="character" w:styleId="TextodoEspaoReservado">
    <w:name w:val="Placeholder Text"/>
    <w:basedOn w:val="Fontepargpadro"/>
    <w:uiPriority w:val="99"/>
    <w:semiHidden/>
    <w:rsid w:val="007A3CBD"/>
    <w:rPr>
      <w:color w:val="808080"/>
    </w:rPr>
  </w:style>
  <w:style w:type="paragraph" w:styleId="Textodebalo">
    <w:name w:val="Balloon Text"/>
    <w:basedOn w:val="Normal"/>
    <w:link w:val="TextodebaloChar"/>
    <w:uiPriority w:val="99"/>
    <w:semiHidden/>
    <w:unhideWhenUsed/>
    <w:rsid w:val="007A3CBD"/>
    <w:pPr>
      <w:spacing w:after="0" w:line="240" w:lineRule="auto"/>
    </w:pPr>
    <w:rPr>
      <w:rFonts w:ascii="Tahoma" w:eastAsiaTheme="minorEastAsia" w:hAnsi="Tahoma" w:cs="Tahoma"/>
      <w:sz w:val="16"/>
      <w:szCs w:val="16"/>
      <w:lang w:val="en-US" w:bidi="en-US"/>
    </w:rPr>
  </w:style>
  <w:style w:type="character" w:customStyle="1" w:styleId="TextodebaloChar">
    <w:name w:val="Texto de balão Char"/>
    <w:basedOn w:val="Fontepargpadro"/>
    <w:link w:val="Textodebalo"/>
    <w:uiPriority w:val="99"/>
    <w:semiHidden/>
    <w:rsid w:val="007A3CBD"/>
    <w:rPr>
      <w:rFonts w:ascii="Tahoma" w:eastAsiaTheme="minorEastAsia" w:hAnsi="Tahoma" w:cs="Tahoma"/>
      <w:sz w:val="16"/>
      <w:szCs w:val="16"/>
      <w:lang w:val="en-US" w:bidi="en-US"/>
    </w:rPr>
  </w:style>
  <w:style w:type="character" w:customStyle="1" w:styleId="apple-converted-space">
    <w:name w:val="apple-converted-space"/>
    <w:basedOn w:val="Fontepargpadro"/>
    <w:rsid w:val="007A3CBD"/>
  </w:style>
  <w:style w:type="character" w:styleId="Hyperlink">
    <w:name w:val="Hyperlink"/>
    <w:basedOn w:val="Fontepargpadro"/>
    <w:uiPriority w:val="99"/>
    <w:unhideWhenUsed/>
    <w:rsid w:val="007A3CBD"/>
    <w:rPr>
      <w:color w:val="0000FF"/>
      <w:u w:val="single"/>
    </w:rPr>
  </w:style>
  <w:style w:type="character" w:customStyle="1" w:styleId="Pr-formataoHTMLChar">
    <w:name w:val="Pré-formatação HTML Char"/>
    <w:basedOn w:val="Fontepargpadro"/>
    <w:link w:val="Pr-formataoHTML"/>
    <w:uiPriority w:val="99"/>
    <w:semiHidden/>
    <w:rsid w:val="007A3CBD"/>
    <w:rPr>
      <w:rFonts w:ascii="Courier New" w:eastAsia="Times New Roman" w:hAnsi="Courier New" w:cs="Courier New"/>
      <w:sz w:val="20"/>
      <w:szCs w:val="20"/>
      <w:lang w:val="en-US" w:eastAsia="pt-BR" w:bidi="en-US"/>
    </w:rPr>
  </w:style>
  <w:style w:type="paragraph" w:styleId="Pr-formataoHTML">
    <w:name w:val="HTML Preformatted"/>
    <w:basedOn w:val="Normal"/>
    <w:link w:val="Pr-formataoHTMLChar"/>
    <w:uiPriority w:val="99"/>
    <w:semiHidden/>
    <w:unhideWhenUsed/>
    <w:rsid w:val="007A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pt-BR" w:bidi="en-US"/>
    </w:rPr>
  </w:style>
  <w:style w:type="character" w:customStyle="1" w:styleId="gcwxi2kcpkb">
    <w:name w:val="gcwxi2kcpkb"/>
    <w:basedOn w:val="Fontepargpadro"/>
    <w:rsid w:val="007A3CBD"/>
  </w:style>
  <w:style w:type="character" w:customStyle="1" w:styleId="gcwxi2kcpjb">
    <w:name w:val="gcwxi2kcpjb"/>
    <w:basedOn w:val="Fontepargpadro"/>
    <w:rsid w:val="007A3CBD"/>
  </w:style>
  <w:style w:type="paragraph" w:styleId="SemEspaamento">
    <w:name w:val="No Spacing"/>
    <w:basedOn w:val="Normal"/>
    <w:uiPriority w:val="1"/>
    <w:qFormat/>
    <w:rsid w:val="007A3CBD"/>
    <w:pPr>
      <w:spacing w:after="0" w:line="240" w:lineRule="auto"/>
    </w:pPr>
    <w:rPr>
      <w:rFonts w:eastAsiaTheme="minorEastAsia"/>
      <w:lang w:val="en-US" w:bidi="en-US"/>
    </w:rPr>
  </w:style>
  <w:style w:type="paragraph" w:styleId="Ttulo">
    <w:name w:val="Title"/>
    <w:basedOn w:val="Normal"/>
    <w:next w:val="Normal"/>
    <w:link w:val="TtuloChar"/>
    <w:uiPriority w:val="10"/>
    <w:qFormat/>
    <w:rsid w:val="007A3CBD"/>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US" w:bidi="en-US"/>
    </w:rPr>
  </w:style>
  <w:style w:type="character" w:customStyle="1" w:styleId="TtuloChar">
    <w:name w:val="Título Char"/>
    <w:basedOn w:val="Fontepargpadro"/>
    <w:link w:val="Ttulo"/>
    <w:uiPriority w:val="10"/>
    <w:rsid w:val="007A3CBD"/>
    <w:rPr>
      <w:rFonts w:asciiTheme="majorHAnsi" w:eastAsiaTheme="majorEastAsia" w:hAnsiTheme="majorHAnsi" w:cstheme="majorBidi"/>
      <w:spacing w:val="5"/>
      <w:sz w:val="52"/>
      <w:szCs w:val="52"/>
      <w:lang w:val="en-US" w:bidi="en-US"/>
    </w:rPr>
  </w:style>
  <w:style w:type="paragraph" w:styleId="Subttulo">
    <w:name w:val="Subtitle"/>
    <w:basedOn w:val="Normal"/>
    <w:next w:val="Normal"/>
    <w:link w:val="SubttuloChar"/>
    <w:uiPriority w:val="11"/>
    <w:qFormat/>
    <w:rsid w:val="007A3CBD"/>
    <w:pPr>
      <w:spacing w:after="600" w:line="276" w:lineRule="auto"/>
    </w:pPr>
    <w:rPr>
      <w:rFonts w:asciiTheme="majorHAnsi" w:eastAsiaTheme="majorEastAsia" w:hAnsiTheme="majorHAnsi" w:cstheme="majorBidi"/>
      <w:i/>
      <w:iCs/>
      <w:spacing w:val="13"/>
      <w:sz w:val="24"/>
      <w:szCs w:val="24"/>
      <w:lang w:val="en-US" w:bidi="en-US"/>
    </w:rPr>
  </w:style>
  <w:style w:type="character" w:customStyle="1" w:styleId="SubttuloChar">
    <w:name w:val="Subtítulo Char"/>
    <w:basedOn w:val="Fontepargpadro"/>
    <w:link w:val="Subttulo"/>
    <w:uiPriority w:val="11"/>
    <w:rsid w:val="007A3CBD"/>
    <w:rPr>
      <w:rFonts w:asciiTheme="majorHAnsi" w:eastAsiaTheme="majorEastAsia" w:hAnsiTheme="majorHAnsi" w:cstheme="majorBidi"/>
      <w:i/>
      <w:iCs/>
      <w:spacing w:val="13"/>
      <w:sz w:val="24"/>
      <w:szCs w:val="24"/>
      <w:lang w:val="en-US" w:bidi="en-US"/>
    </w:rPr>
  </w:style>
  <w:style w:type="character" w:styleId="Forte">
    <w:name w:val="Strong"/>
    <w:uiPriority w:val="22"/>
    <w:qFormat/>
    <w:rsid w:val="007A3CBD"/>
    <w:rPr>
      <w:b/>
      <w:bCs/>
    </w:rPr>
  </w:style>
  <w:style w:type="character" w:styleId="nfase">
    <w:name w:val="Emphasis"/>
    <w:uiPriority w:val="20"/>
    <w:qFormat/>
    <w:rsid w:val="007A3CBD"/>
    <w:rPr>
      <w:b/>
      <w:bCs/>
      <w:i/>
      <w:iCs/>
      <w:spacing w:val="10"/>
      <w:bdr w:val="none" w:sz="0" w:space="0" w:color="auto"/>
      <w:shd w:val="clear" w:color="auto" w:fill="auto"/>
    </w:rPr>
  </w:style>
  <w:style w:type="paragraph" w:styleId="Citao">
    <w:name w:val="Quote"/>
    <w:basedOn w:val="Normal"/>
    <w:next w:val="Normal"/>
    <w:link w:val="CitaoChar"/>
    <w:uiPriority w:val="29"/>
    <w:qFormat/>
    <w:rsid w:val="007A3CBD"/>
    <w:pPr>
      <w:spacing w:before="200" w:after="0" w:line="276" w:lineRule="auto"/>
      <w:ind w:left="360" w:right="360"/>
    </w:pPr>
    <w:rPr>
      <w:rFonts w:eastAsiaTheme="minorEastAsia"/>
      <w:i/>
      <w:iCs/>
      <w:lang w:val="en-US" w:bidi="en-US"/>
    </w:rPr>
  </w:style>
  <w:style w:type="character" w:customStyle="1" w:styleId="CitaoChar">
    <w:name w:val="Citação Char"/>
    <w:basedOn w:val="Fontepargpadro"/>
    <w:link w:val="Citao"/>
    <w:uiPriority w:val="29"/>
    <w:rsid w:val="007A3CBD"/>
    <w:rPr>
      <w:rFonts w:eastAsiaTheme="minorEastAsia"/>
      <w:i/>
      <w:iCs/>
      <w:lang w:val="en-US" w:bidi="en-US"/>
    </w:rPr>
  </w:style>
  <w:style w:type="paragraph" w:styleId="CitaoIntensa">
    <w:name w:val="Intense Quote"/>
    <w:basedOn w:val="Normal"/>
    <w:next w:val="Normal"/>
    <w:link w:val="CitaoIntensaChar"/>
    <w:uiPriority w:val="30"/>
    <w:qFormat/>
    <w:rsid w:val="007A3CBD"/>
    <w:pPr>
      <w:pBdr>
        <w:bottom w:val="single" w:sz="4" w:space="1" w:color="auto"/>
      </w:pBdr>
      <w:spacing w:before="200" w:after="280" w:line="276" w:lineRule="auto"/>
      <w:ind w:left="1008" w:right="1152"/>
      <w:jc w:val="both"/>
    </w:pPr>
    <w:rPr>
      <w:rFonts w:eastAsiaTheme="minorEastAsia"/>
      <w:b/>
      <w:bCs/>
      <w:i/>
      <w:iCs/>
      <w:lang w:val="en-US" w:bidi="en-US"/>
    </w:rPr>
  </w:style>
  <w:style w:type="character" w:customStyle="1" w:styleId="CitaoIntensaChar">
    <w:name w:val="Citação Intensa Char"/>
    <w:basedOn w:val="Fontepargpadro"/>
    <w:link w:val="CitaoIntensa"/>
    <w:uiPriority w:val="30"/>
    <w:rsid w:val="007A3CBD"/>
    <w:rPr>
      <w:rFonts w:eastAsiaTheme="minorEastAsia"/>
      <w:b/>
      <w:bCs/>
      <w:i/>
      <w:iCs/>
      <w:lang w:val="en-US" w:bidi="en-US"/>
    </w:rPr>
  </w:style>
  <w:style w:type="character" w:styleId="nfaseSutil">
    <w:name w:val="Subtle Emphasis"/>
    <w:uiPriority w:val="19"/>
    <w:qFormat/>
    <w:rsid w:val="007A3CBD"/>
    <w:rPr>
      <w:i/>
      <w:iCs/>
    </w:rPr>
  </w:style>
  <w:style w:type="character" w:styleId="nfaseIntensa">
    <w:name w:val="Intense Emphasis"/>
    <w:uiPriority w:val="21"/>
    <w:qFormat/>
    <w:rsid w:val="007A3CBD"/>
    <w:rPr>
      <w:b/>
      <w:bCs/>
    </w:rPr>
  </w:style>
  <w:style w:type="character" w:styleId="RefernciaSutil">
    <w:name w:val="Subtle Reference"/>
    <w:uiPriority w:val="31"/>
    <w:qFormat/>
    <w:rsid w:val="007A3CBD"/>
    <w:rPr>
      <w:smallCaps/>
    </w:rPr>
  </w:style>
  <w:style w:type="character" w:styleId="RefernciaIntensa">
    <w:name w:val="Intense Reference"/>
    <w:uiPriority w:val="32"/>
    <w:qFormat/>
    <w:rsid w:val="007A3CBD"/>
    <w:rPr>
      <w:smallCaps/>
      <w:spacing w:val="5"/>
      <w:u w:val="single"/>
    </w:rPr>
  </w:style>
  <w:style w:type="character" w:styleId="TtulodoLivro">
    <w:name w:val="Book Title"/>
    <w:uiPriority w:val="33"/>
    <w:qFormat/>
    <w:rsid w:val="007A3CBD"/>
    <w:rPr>
      <w:i/>
      <w:iCs/>
      <w:smallCaps/>
      <w:spacing w:val="5"/>
    </w:rPr>
  </w:style>
  <w:style w:type="paragraph" w:styleId="Sumrio1">
    <w:name w:val="toc 1"/>
    <w:basedOn w:val="Normal"/>
    <w:next w:val="Normal"/>
    <w:autoRedefine/>
    <w:uiPriority w:val="39"/>
    <w:unhideWhenUsed/>
    <w:rsid w:val="007A3CBD"/>
    <w:pPr>
      <w:spacing w:before="120" w:after="120" w:line="276" w:lineRule="auto"/>
    </w:pPr>
    <w:rPr>
      <w:rFonts w:eastAsiaTheme="minorEastAsia"/>
      <w:b/>
      <w:bCs/>
      <w:caps/>
      <w:sz w:val="20"/>
      <w:szCs w:val="20"/>
      <w:lang w:val="en-US" w:bidi="en-US"/>
    </w:rPr>
  </w:style>
  <w:style w:type="paragraph" w:styleId="Sumrio2">
    <w:name w:val="toc 2"/>
    <w:basedOn w:val="Normal"/>
    <w:next w:val="Normal"/>
    <w:autoRedefine/>
    <w:uiPriority w:val="39"/>
    <w:unhideWhenUsed/>
    <w:rsid w:val="007A3CBD"/>
    <w:pPr>
      <w:spacing w:after="0" w:line="276" w:lineRule="auto"/>
      <w:ind w:left="220"/>
    </w:pPr>
    <w:rPr>
      <w:rFonts w:eastAsiaTheme="minorEastAsia"/>
      <w:smallCaps/>
      <w:sz w:val="20"/>
      <w:szCs w:val="20"/>
      <w:lang w:val="en-US" w:bidi="en-US"/>
    </w:rPr>
  </w:style>
  <w:style w:type="paragraph" w:styleId="Sumrio3">
    <w:name w:val="toc 3"/>
    <w:basedOn w:val="Normal"/>
    <w:next w:val="Normal"/>
    <w:autoRedefine/>
    <w:uiPriority w:val="39"/>
    <w:unhideWhenUsed/>
    <w:rsid w:val="007A3CBD"/>
    <w:pPr>
      <w:spacing w:after="0" w:line="276" w:lineRule="auto"/>
      <w:ind w:left="440"/>
    </w:pPr>
    <w:rPr>
      <w:rFonts w:eastAsiaTheme="minorEastAsia"/>
      <w:i/>
      <w:iCs/>
      <w:sz w:val="20"/>
      <w:szCs w:val="20"/>
      <w:lang w:val="en-US" w:bidi="en-US"/>
    </w:rPr>
  </w:style>
  <w:style w:type="paragraph" w:styleId="Sumrio4">
    <w:name w:val="toc 4"/>
    <w:basedOn w:val="Normal"/>
    <w:next w:val="Normal"/>
    <w:autoRedefine/>
    <w:uiPriority w:val="39"/>
    <w:unhideWhenUsed/>
    <w:rsid w:val="007A3CBD"/>
    <w:pPr>
      <w:spacing w:after="0" w:line="276" w:lineRule="auto"/>
      <w:ind w:left="660"/>
    </w:pPr>
    <w:rPr>
      <w:rFonts w:eastAsiaTheme="minorEastAsia"/>
      <w:sz w:val="18"/>
      <w:szCs w:val="18"/>
      <w:lang w:val="en-US" w:bidi="en-US"/>
    </w:rPr>
  </w:style>
  <w:style w:type="paragraph" w:styleId="Sumrio5">
    <w:name w:val="toc 5"/>
    <w:basedOn w:val="Normal"/>
    <w:next w:val="Normal"/>
    <w:autoRedefine/>
    <w:uiPriority w:val="39"/>
    <w:unhideWhenUsed/>
    <w:rsid w:val="007A3CBD"/>
    <w:pPr>
      <w:spacing w:after="0" w:line="276" w:lineRule="auto"/>
      <w:ind w:left="880"/>
    </w:pPr>
    <w:rPr>
      <w:rFonts w:eastAsiaTheme="minorEastAsia"/>
      <w:sz w:val="18"/>
      <w:szCs w:val="18"/>
      <w:lang w:val="en-US" w:bidi="en-US"/>
    </w:rPr>
  </w:style>
  <w:style w:type="paragraph" w:styleId="Sumrio6">
    <w:name w:val="toc 6"/>
    <w:basedOn w:val="Normal"/>
    <w:next w:val="Normal"/>
    <w:autoRedefine/>
    <w:uiPriority w:val="39"/>
    <w:unhideWhenUsed/>
    <w:rsid w:val="007A3CBD"/>
    <w:pPr>
      <w:spacing w:after="0" w:line="276" w:lineRule="auto"/>
      <w:ind w:left="1100"/>
    </w:pPr>
    <w:rPr>
      <w:rFonts w:eastAsiaTheme="minorEastAsia"/>
      <w:sz w:val="18"/>
      <w:szCs w:val="18"/>
      <w:lang w:val="en-US" w:bidi="en-US"/>
    </w:rPr>
  </w:style>
  <w:style w:type="paragraph" w:styleId="Sumrio7">
    <w:name w:val="toc 7"/>
    <w:basedOn w:val="Normal"/>
    <w:next w:val="Normal"/>
    <w:autoRedefine/>
    <w:uiPriority w:val="39"/>
    <w:unhideWhenUsed/>
    <w:rsid w:val="007A3CBD"/>
    <w:pPr>
      <w:spacing w:after="0" w:line="276" w:lineRule="auto"/>
      <w:ind w:left="1320"/>
    </w:pPr>
    <w:rPr>
      <w:rFonts w:eastAsiaTheme="minorEastAsia"/>
      <w:sz w:val="18"/>
      <w:szCs w:val="18"/>
      <w:lang w:val="en-US" w:bidi="en-US"/>
    </w:rPr>
  </w:style>
  <w:style w:type="paragraph" w:styleId="Sumrio8">
    <w:name w:val="toc 8"/>
    <w:basedOn w:val="Normal"/>
    <w:next w:val="Normal"/>
    <w:autoRedefine/>
    <w:uiPriority w:val="39"/>
    <w:unhideWhenUsed/>
    <w:rsid w:val="007A3CBD"/>
    <w:pPr>
      <w:spacing w:after="0" w:line="276" w:lineRule="auto"/>
      <w:ind w:left="1540"/>
    </w:pPr>
    <w:rPr>
      <w:rFonts w:eastAsiaTheme="minorEastAsia"/>
      <w:sz w:val="18"/>
      <w:szCs w:val="18"/>
      <w:lang w:val="en-US" w:bidi="en-US"/>
    </w:rPr>
  </w:style>
  <w:style w:type="paragraph" w:styleId="Sumrio9">
    <w:name w:val="toc 9"/>
    <w:basedOn w:val="Normal"/>
    <w:next w:val="Normal"/>
    <w:autoRedefine/>
    <w:uiPriority w:val="39"/>
    <w:unhideWhenUsed/>
    <w:rsid w:val="007A3CBD"/>
    <w:pPr>
      <w:spacing w:after="0" w:line="276" w:lineRule="auto"/>
      <w:ind w:left="1760"/>
    </w:pPr>
    <w:rPr>
      <w:rFonts w:eastAsiaTheme="minorEastAsia"/>
      <w:sz w:val="18"/>
      <w:szCs w:val="18"/>
      <w:lang w:val="en-US" w:bidi="en-US"/>
    </w:rPr>
  </w:style>
  <w:style w:type="paragraph" w:customStyle="1" w:styleId="Estilo1">
    <w:name w:val="Estilo1"/>
    <w:basedOn w:val="Ttulo1"/>
    <w:qFormat/>
    <w:rsid w:val="007A3CBD"/>
    <w:rPr>
      <w:rFonts w:ascii="Times New Roman" w:hAnsi="Times New Roman"/>
    </w:rPr>
  </w:style>
  <w:style w:type="paragraph" w:customStyle="1" w:styleId="Llian">
    <w:name w:val="Lílian"/>
    <w:basedOn w:val="Normal"/>
    <w:next w:val="Default"/>
    <w:link w:val="LlianChar"/>
    <w:qFormat/>
    <w:rsid w:val="007A3CBD"/>
    <w:pPr>
      <w:spacing w:after="200" w:line="360" w:lineRule="auto"/>
      <w:jc w:val="both"/>
    </w:pPr>
    <w:rPr>
      <w:rFonts w:ascii="Times New Roman" w:eastAsiaTheme="minorEastAsia" w:hAnsi="Times New Roman" w:cs="Times New Roman"/>
      <w:b/>
      <w:sz w:val="24"/>
      <w:szCs w:val="24"/>
      <w:lang w:val="en-US" w:bidi="en-US"/>
    </w:rPr>
  </w:style>
  <w:style w:type="character" w:customStyle="1" w:styleId="LlianChar">
    <w:name w:val="Lílian Char"/>
    <w:basedOn w:val="Fontepargpadro"/>
    <w:link w:val="Llian"/>
    <w:rsid w:val="007A3CBD"/>
    <w:rPr>
      <w:rFonts w:ascii="Times New Roman" w:eastAsiaTheme="minorEastAsia" w:hAnsi="Times New Roman" w:cs="Times New Roman"/>
      <w:b/>
      <w:sz w:val="24"/>
      <w:szCs w:val="24"/>
      <w:lang w:val="en-US" w:bidi="en-US"/>
    </w:rPr>
  </w:style>
  <w:style w:type="paragraph" w:customStyle="1" w:styleId="Agradecdedicatepgrafe">
    <w:name w:val="Agradec_dedicat_epígrafe"/>
    <w:basedOn w:val="Normal"/>
    <w:autoRedefine/>
    <w:rsid w:val="007A3CBD"/>
    <w:pPr>
      <w:spacing w:after="0" w:line="360" w:lineRule="auto"/>
      <w:ind w:left="4536"/>
      <w:jc w:val="both"/>
    </w:pPr>
    <w:rPr>
      <w:rFonts w:ascii="Times New Roman" w:eastAsia="Times New Roman" w:hAnsi="Times New Roman" w:cs="Times New Roman"/>
      <w:color w:val="000000"/>
      <w:sz w:val="24"/>
      <w:szCs w:val="20"/>
      <w:lang w:eastAsia="pt-BR"/>
    </w:rPr>
  </w:style>
  <w:style w:type="paragraph" w:styleId="Cabealho">
    <w:name w:val="header"/>
    <w:basedOn w:val="Normal"/>
    <w:link w:val="CabealhoChar"/>
    <w:uiPriority w:val="99"/>
    <w:unhideWhenUsed/>
    <w:rsid w:val="007A3CBD"/>
    <w:pPr>
      <w:tabs>
        <w:tab w:val="center" w:pos="4252"/>
        <w:tab w:val="right" w:pos="8504"/>
      </w:tabs>
      <w:spacing w:after="0" w:line="240" w:lineRule="auto"/>
    </w:pPr>
    <w:rPr>
      <w:rFonts w:eastAsiaTheme="minorEastAsia"/>
      <w:lang w:val="en-US" w:bidi="en-US"/>
    </w:rPr>
  </w:style>
  <w:style w:type="character" w:customStyle="1" w:styleId="CabealhoChar">
    <w:name w:val="Cabeçalho Char"/>
    <w:basedOn w:val="Fontepargpadro"/>
    <w:link w:val="Cabealho"/>
    <w:uiPriority w:val="99"/>
    <w:rsid w:val="007A3CBD"/>
    <w:rPr>
      <w:rFonts w:eastAsiaTheme="minorEastAsia"/>
      <w:lang w:val="en-US" w:bidi="en-US"/>
    </w:rPr>
  </w:style>
  <w:style w:type="paragraph" w:styleId="Rodap">
    <w:name w:val="footer"/>
    <w:basedOn w:val="Normal"/>
    <w:link w:val="RodapChar"/>
    <w:uiPriority w:val="99"/>
    <w:unhideWhenUsed/>
    <w:rsid w:val="007A3CBD"/>
    <w:pPr>
      <w:tabs>
        <w:tab w:val="center" w:pos="4252"/>
        <w:tab w:val="right" w:pos="8504"/>
      </w:tabs>
      <w:spacing w:after="0" w:line="240" w:lineRule="auto"/>
    </w:pPr>
    <w:rPr>
      <w:rFonts w:eastAsiaTheme="minorEastAsia"/>
      <w:lang w:val="en-US" w:bidi="en-US"/>
    </w:rPr>
  </w:style>
  <w:style w:type="character" w:customStyle="1" w:styleId="RodapChar">
    <w:name w:val="Rodapé Char"/>
    <w:basedOn w:val="Fontepargpadro"/>
    <w:link w:val="Rodap"/>
    <w:uiPriority w:val="99"/>
    <w:rsid w:val="007A3CBD"/>
    <w:rPr>
      <w:rFonts w:eastAsiaTheme="minorEastAsia"/>
      <w:lang w:val="en-US" w:bidi="en-US"/>
    </w:rPr>
  </w:style>
  <w:style w:type="character" w:customStyle="1" w:styleId="TextodecomentrioChar">
    <w:name w:val="Texto de comentário Char"/>
    <w:basedOn w:val="Fontepargpadro"/>
    <w:link w:val="Textodecomentrio"/>
    <w:uiPriority w:val="99"/>
    <w:semiHidden/>
    <w:rsid w:val="007A3CBD"/>
    <w:rPr>
      <w:rFonts w:eastAsiaTheme="minorEastAsia"/>
      <w:sz w:val="20"/>
      <w:szCs w:val="20"/>
      <w:lang w:val="en-US" w:bidi="en-US"/>
    </w:rPr>
  </w:style>
  <w:style w:type="paragraph" w:styleId="Textodecomentrio">
    <w:name w:val="annotation text"/>
    <w:basedOn w:val="Normal"/>
    <w:link w:val="TextodecomentrioChar"/>
    <w:uiPriority w:val="99"/>
    <w:semiHidden/>
    <w:unhideWhenUsed/>
    <w:rsid w:val="007A3CBD"/>
    <w:pPr>
      <w:spacing w:after="200" w:line="240" w:lineRule="auto"/>
    </w:pPr>
    <w:rPr>
      <w:rFonts w:eastAsiaTheme="minorEastAsia"/>
      <w:sz w:val="20"/>
      <w:szCs w:val="20"/>
      <w:lang w:val="en-US" w:bidi="en-US"/>
    </w:rPr>
  </w:style>
  <w:style w:type="character" w:customStyle="1" w:styleId="AssuntodocomentrioChar">
    <w:name w:val="Assunto do comentário Char"/>
    <w:basedOn w:val="TextodecomentrioChar"/>
    <w:link w:val="Assuntodocomentrio"/>
    <w:uiPriority w:val="99"/>
    <w:semiHidden/>
    <w:rsid w:val="007A3CBD"/>
    <w:rPr>
      <w:rFonts w:eastAsiaTheme="minorEastAsia"/>
      <w:b/>
      <w:bCs/>
      <w:sz w:val="20"/>
      <w:szCs w:val="20"/>
      <w:lang w:val="en-US" w:bidi="en-US"/>
    </w:rPr>
  </w:style>
  <w:style w:type="paragraph" w:styleId="Assuntodocomentrio">
    <w:name w:val="annotation subject"/>
    <w:basedOn w:val="Textodecomentrio"/>
    <w:next w:val="Textodecomentrio"/>
    <w:link w:val="AssuntodocomentrioChar"/>
    <w:uiPriority w:val="99"/>
    <w:semiHidden/>
    <w:unhideWhenUsed/>
    <w:rsid w:val="007A3CBD"/>
    <w:rPr>
      <w:b/>
      <w:bCs/>
    </w:rPr>
  </w:style>
  <w:style w:type="table" w:styleId="Tabelacomgrade">
    <w:name w:val="Table Grid"/>
    <w:basedOn w:val="Tabelanormal"/>
    <w:uiPriority w:val="59"/>
    <w:rsid w:val="000F4BD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4F01BB"/>
    <w:rPr>
      <w:sz w:val="16"/>
      <w:szCs w:val="16"/>
    </w:rPr>
  </w:style>
  <w:style w:type="paragraph" w:styleId="Reviso">
    <w:name w:val="Revision"/>
    <w:hidden/>
    <w:uiPriority w:val="99"/>
    <w:semiHidden/>
    <w:rsid w:val="004F01BB"/>
    <w:pPr>
      <w:spacing w:after="0" w:line="240" w:lineRule="auto"/>
    </w:pPr>
  </w:style>
  <w:style w:type="character" w:customStyle="1" w:styleId="defaultparagraphfont">
    <w:name w:val="default_paragraph_font"/>
    <w:basedOn w:val="Fontepargpadro"/>
    <w:rsid w:val="00160552"/>
  </w:style>
  <w:style w:type="character" w:customStyle="1" w:styleId="link">
    <w:name w:val="link"/>
    <w:basedOn w:val="Fontepargpadro"/>
    <w:rsid w:val="00160552"/>
  </w:style>
  <w:style w:type="character" w:customStyle="1" w:styleId="in-linemath">
    <w:name w:val="in-line_math"/>
    <w:basedOn w:val="Fontepargpadro"/>
    <w:rsid w:val="00160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026669">
      <w:bodyDiv w:val="1"/>
      <w:marLeft w:val="0"/>
      <w:marRight w:val="0"/>
      <w:marTop w:val="0"/>
      <w:marBottom w:val="0"/>
      <w:divBdr>
        <w:top w:val="none" w:sz="0" w:space="0" w:color="auto"/>
        <w:left w:val="none" w:sz="0" w:space="0" w:color="auto"/>
        <w:bottom w:val="none" w:sz="0" w:space="0" w:color="auto"/>
        <w:right w:val="none" w:sz="0" w:space="0" w:color="auto"/>
      </w:divBdr>
      <w:divsChild>
        <w:div w:id="1204366535">
          <w:marLeft w:val="576"/>
          <w:marRight w:val="0"/>
          <w:marTop w:val="150"/>
          <w:marBottom w:val="180"/>
          <w:divBdr>
            <w:top w:val="none" w:sz="0" w:space="0" w:color="auto"/>
            <w:left w:val="none" w:sz="0" w:space="0" w:color="auto"/>
            <w:bottom w:val="none" w:sz="0" w:space="0" w:color="auto"/>
            <w:right w:val="none" w:sz="0" w:space="0" w:color="auto"/>
          </w:divBdr>
        </w:div>
        <w:div w:id="1531649060">
          <w:marLeft w:val="576"/>
          <w:marRight w:val="0"/>
          <w:marTop w:val="15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io.rj.gov.br/web/smu/exibeconteudo?id=4257827" TargetMode="External"/><Relationship Id="rId18" Type="http://schemas.openxmlformats.org/officeDocument/2006/relationships/hyperlink" Target="http://downloads.fipe.org.br/content/downloads/indices/fipezap/metodologia/FipeZAP_RevMetodologia_v20140218.pdf" TargetMode="External"/><Relationship Id="rId3" Type="http://schemas.microsoft.com/office/2007/relationships/stylesWithEffects" Target="stylesWithEffect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wnloads.fipe.org.br/content/downloads/indices/fipezap/metodologia/FipeZAP_Metodologia_v20110216.pdf" TargetMode="External"/><Relationship Id="rId2" Type="http://schemas.openxmlformats.org/officeDocument/2006/relationships/styles" Target="styles.xml"/><Relationship Id="rId16" Type="http://schemas.openxmlformats.org/officeDocument/2006/relationships/hyperlink" Target="http://www.fipe.org.br/pt-br/indices/fipezap/%23fipezap-histori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mfbovespa.com.br/lumis/portal/file/fileDownload.jsp?fileId=8A828D29514A326701516E695D7F65C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mfbovespa.com.br/lumis/portal/file/fileDownload.jsp?fileId=8A828D295048C0EF01514544116A26AB" TargetMode="Externa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7136</Words>
  <Characters>38537</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Wilfredo Maldonado</dc:creator>
  <cp:lastModifiedBy>Lílian Marques</cp:lastModifiedBy>
  <cp:revision>5</cp:revision>
  <dcterms:created xsi:type="dcterms:W3CDTF">2017-07-21T11:45:00Z</dcterms:created>
  <dcterms:modified xsi:type="dcterms:W3CDTF">2017-07-21T11:54:00Z</dcterms:modified>
</cp:coreProperties>
</file>