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E9C7" w14:textId="7E28A9D9" w:rsidR="00E7384A" w:rsidRDefault="00E7384A" w:rsidP="00E7384A">
      <w:pPr>
        <w:shd w:val="clear" w:color="auto" w:fill="FFFFFF"/>
        <w:spacing w:before="100" w:beforeAutospacing="1" w:after="100" w:afterAutospacing="1" w:line="240" w:lineRule="auto"/>
        <w:ind w:left="360"/>
        <w:jc w:val="center"/>
        <w:rPr>
          <w:rStyle w:val="Forte"/>
          <w:color w:val="2B2B2B"/>
        </w:rPr>
      </w:pPr>
      <w:bookmarkStart w:id="0" w:name="_GoBack"/>
      <w:r w:rsidRPr="00BC23BD">
        <w:rPr>
          <w:rStyle w:val="Forte"/>
          <w:color w:val="2B2B2B"/>
        </w:rPr>
        <w:t>ANPEC</w:t>
      </w:r>
      <w:r w:rsidR="00533A85" w:rsidRPr="00BC23BD">
        <w:rPr>
          <w:rStyle w:val="Forte"/>
          <w:color w:val="2B2B2B"/>
        </w:rPr>
        <w:t xml:space="preserve"> 2017</w:t>
      </w:r>
    </w:p>
    <w:p w14:paraId="6B439C59" w14:textId="0599F22A" w:rsidR="00E7384A" w:rsidRPr="001A4001" w:rsidRDefault="00E7384A" w:rsidP="00E7384A">
      <w:pPr>
        <w:shd w:val="clear" w:color="auto" w:fill="FFFFFF"/>
        <w:spacing w:before="100" w:beforeAutospacing="1" w:after="100" w:afterAutospacing="1" w:line="240" w:lineRule="auto"/>
        <w:ind w:left="360"/>
        <w:jc w:val="center"/>
        <w:rPr>
          <w:rFonts w:eastAsia="Times New Roman"/>
          <w:color w:val="2B2B2B"/>
          <w:lang w:eastAsia="pt-BR"/>
        </w:rPr>
      </w:pPr>
      <w:r w:rsidRPr="001A4001">
        <w:rPr>
          <w:rStyle w:val="Forte"/>
          <w:color w:val="2B2B2B"/>
        </w:rPr>
        <w:t>Área 9 -</w:t>
      </w:r>
      <w:r w:rsidRPr="001A4001">
        <w:rPr>
          <w:color w:val="2B2B2B"/>
        </w:rPr>
        <w:t xml:space="preserve"> Economia Industrial e da Tecnologia</w:t>
      </w:r>
    </w:p>
    <w:p w14:paraId="3480FC75" w14:textId="2DA1F0A6" w:rsidR="008E08B8" w:rsidRPr="008E08B8" w:rsidRDefault="008E08B8" w:rsidP="005341B9">
      <w:pPr>
        <w:spacing w:line="240" w:lineRule="auto"/>
        <w:jc w:val="center"/>
        <w:rPr>
          <w:b/>
          <w:bCs/>
          <w:iCs/>
        </w:rPr>
      </w:pPr>
      <w:r w:rsidRPr="008E08B8">
        <w:rPr>
          <w:b/>
          <w:bCs/>
          <w:iCs/>
        </w:rPr>
        <w:t>A CONTRIBUIÇÃO DAS UNIVERSIDADE</w:t>
      </w:r>
      <w:r w:rsidR="00533A85">
        <w:rPr>
          <w:b/>
          <w:bCs/>
          <w:iCs/>
        </w:rPr>
        <w:t>S</w:t>
      </w:r>
      <w:r w:rsidRPr="008E08B8">
        <w:rPr>
          <w:b/>
          <w:bCs/>
          <w:iCs/>
        </w:rPr>
        <w:t xml:space="preserve"> PARA A INOVAÇÃO EM SERVIÇOS INTENSIVOS EM CONHECIMENTO</w:t>
      </w:r>
    </w:p>
    <w:p w14:paraId="6DFE9A7A" w14:textId="5C0D1EC4" w:rsidR="009176E9" w:rsidRPr="005341B9" w:rsidRDefault="009176E9" w:rsidP="005341B9">
      <w:pPr>
        <w:spacing w:line="240" w:lineRule="auto"/>
        <w:jc w:val="center"/>
        <w:rPr>
          <w:b/>
          <w:bCs/>
          <w:i/>
          <w:iCs/>
        </w:rPr>
      </w:pPr>
    </w:p>
    <w:p w14:paraId="6B9DB171" w14:textId="1454456A" w:rsidR="008B6A6B" w:rsidRPr="005341B9" w:rsidRDefault="008B6A6B" w:rsidP="005341B9">
      <w:pPr>
        <w:spacing w:line="240" w:lineRule="auto"/>
        <w:jc w:val="right"/>
        <w:rPr>
          <w:bCs/>
          <w:iCs/>
        </w:rPr>
      </w:pPr>
    </w:p>
    <w:p w14:paraId="02E06671" w14:textId="05609B37" w:rsidR="009539BA" w:rsidRDefault="009539BA" w:rsidP="009539BA">
      <w:pPr>
        <w:spacing w:line="240" w:lineRule="auto"/>
        <w:jc w:val="right"/>
        <w:rPr>
          <w:bCs/>
          <w:iCs/>
        </w:rPr>
      </w:pPr>
      <w:r w:rsidRPr="005341B9">
        <w:rPr>
          <w:bCs/>
          <w:iCs/>
        </w:rPr>
        <w:t>Vanessa Parreiras de Oliveira (IE/UNICAMP e CEDEPLAR/UFMG)</w:t>
      </w:r>
    </w:p>
    <w:p w14:paraId="1B88A7CA" w14:textId="7B5BE040" w:rsidR="009539BA" w:rsidRPr="009539BA" w:rsidRDefault="009539BA" w:rsidP="009539BA">
      <w:pPr>
        <w:spacing w:line="240" w:lineRule="auto"/>
        <w:jc w:val="right"/>
        <w:rPr>
          <w:bCs/>
          <w:i/>
          <w:iCs/>
        </w:rPr>
      </w:pPr>
      <w:r w:rsidRPr="005341B9">
        <w:rPr>
          <w:bCs/>
          <w:iCs/>
        </w:rPr>
        <w:t>Márcia Siqueira Rapini (CEDEPLAR/UFMG</w:t>
      </w:r>
      <w:r w:rsidRPr="005341B9">
        <w:rPr>
          <w:bCs/>
          <w:i/>
          <w:iCs/>
        </w:rPr>
        <w:t>)</w:t>
      </w:r>
    </w:p>
    <w:p w14:paraId="1BAD324A" w14:textId="78E8F194" w:rsidR="0084553B" w:rsidRPr="005341B9" w:rsidRDefault="0084553B" w:rsidP="005341B9">
      <w:pPr>
        <w:spacing w:line="240" w:lineRule="auto"/>
        <w:jc w:val="right"/>
        <w:rPr>
          <w:bCs/>
          <w:iCs/>
        </w:rPr>
      </w:pPr>
      <w:r w:rsidRPr="005341B9">
        <w:rPr>
          <w:bCs/>
          <w:iCs/>
        </w:rPr>
        <w:t>Bertha Rohenkohl (Universidade de Warwick)</w:t>
      </w:r>
    </w:p>
    <w:p w14:paraId="5CCF80A3" w14:textId="1F86D5BE" w:rsidR="00533A85" w:rsidRPr="005341B9" w:rsidRDefault="00533A85" w:rsidP="005341B9">
      <w:pPr>
        <w:spacing w:line="240" w:lineRule="auto"/>
        <w:jc w:val="right"/>
        <w:rPr>
          <w:bCs/>
          <w:iCs/>
        </w:rPr>
      </w:pPr>
      <w:r w:rsidRPr="005341B9">
        <w:rPr>
          <w:bCs/>
          <w:iCs/>
        </w:rPr>
        <w:t>André Luiz da Silva Teixeira (CEDEPLAR/UFMG)</w:t>
      </w:r>
    </w:p>
    <w:p w14:paraId="14E9DAA2" w14:textId="3768AE5C" w:rsidR="003018E3" w:rsidRPr="00046697" w:rsidRDefault="002E2C0A" w:rsidP="001A4001">
      <w:pPr>
        <w:shd w:val="clear" w:color="auto" w:fill="FFFFFF"/>
        <w:spacing w:before="100" w:beforeAutospacing="1" w:after="100" w:afterAutospacing="1" w:line="240" w:lineRule="auto"/>
        <w:jc w:val="left"/>
        <w:rPr>
          <w:rFonts w:eastAsia="Times New Roman"/>
          <w:lang w:eastAsia="pt-BR"/>
        </w:rPr>
      </w:pPr>
      <w:r w:rsidRPr="00046697">
        <w:rPr>
          <w:rFonts w:eastAsia="Times New Roman"/>
          <w:b/>
          <w:lang w:eastAsia="pt-BR"/>
        </w:rPr>
        <w:t>RESUMO</w:t>
      </w:r>
      <w:r w:rsidRPr="00046697">
        <w:rPr>
          <w:rFonts w:eastAsia="Times New Roman"/>
          <w:lang w:eastAsia="pt-BR"/>
        </w:rPr>
        <w:t xml:space="preserve"> </w:t>
      </w:r>
    </w:p>
    <w:p w14:paraId="42E7B6EA" w14:textId="4D7761A7" w:rsidR="001A4001" w:rsidRPr="00046697" w:rsidRDefault="00A45206" w:rsidP="001A4001">
      <w:pPr>
        <w:spacing w:line="240" w:lineRule="auto"/>
      </w:pPr>
      <w:r w:rsidRPr="00046697">
        <w:t xml:space="preserve">Este artigo tem como objetivo caracterizar, a partir das motivações para interagir com as universidades, os esforços inovativos (gastos e pessoal alocado em P&amp;D e tipo de inovação realizada) das empresas dos </w:t>
      </w:r>
      <w:r w:rsidR="001A7B5F" w:rsidRPr="00046697">
        <w:t>serviços intensivos em conhecimento (</w:t>
      </w:r>
      <w:r w:rsidRPr="00046697">
        <w:t>SICs</w:t>
      </w:r>
      <w:r w:rsidR="001A7B5F" w:rsidRPr="00046697">
        <w:t>)</w:t>
      </w:r>
      <w:r w:rsidRPr="00046697">
        <w:t xml:space="preserve"> e o acesso às informações e conhecimento das universidades.</w:t>
      </w:r>
      <w:r w:rsidR="001A4001" w:rsidRPr="00046697">
        <w:t xml:space="preserve"> </w:t>
      </w:r>
      <w:r w:rsidR="002E2C0A" w:rsidRPr="00046697">
        <w:t>Para isto f</w:t>
      </w:r>
      <w:r w:rsidR="00E7384A" w:rsidRPr="00046697">
        <w:t xml:space="preserve">oram </w:t>
      </w:r>
      <w:r w:rsidR="002E2C0A" w:rsidRPr="00046697">
        <w:t>analisadas as respostas de 48 empresas do</w:t>
      </w:r>
      <w:r w:rsidR="00286CC7" w:rsidRPr="00046697">
        <w:t xml:space="preserve"> setor de serviços, com foco nos SICs, </w:t>
      </w:r>
      <w:r w:rsidR="002E2C0A" w:rsidRPr="00046697">
        <w:t>que responde</w:t>
      </w:r>
      <w:r w:rsidR="00F53E47" w:rsidRPr="00046697">
        <w:t>r</w:t>
      </w:r>
      <w:r w:rsidR="002E2C0A" w:rsidRPr="00046697">
        <w:t xml:space="preserve">am a uma pesquisa realizada em 2009. Os resultados </w:t>
      </w:r>
      <w:r w:rsidR="00286CC7" w:rsidRPr="00046697">
        <w:t>evidencia</w:t>
      </w:r>
      <w:r w:rsidR="002E2C0A" w:rsidRPr="00046697">
        <w:t>m</w:t>
      </w:r>
      <w:r w:rsidR="00286CC7" w:rsidRPr="00046697">
        <w:t xml:space="preserve"> a heterogeneidade das empresas de serviços, bem como os seus esforços inovadores. Ademais, não foi possível a identificação de padrões setoriais e/ou de interação com universidades, uma vez que os </w:t>
      </w:r>
      <w:r w:rsidR="00286CC7" w:rsidRPr="00046697">
        <w:rPr>
          <w:i/>
        </w:rPr>
        <w:t>clusters</w:t>
      </w:r>
      <w:r w:rsidR="00286CC7" w:rsidRPr="00046697">
        <w:t xml:space="preserve"> apresentaram internamente grande diversidade setorial</w:t>
      </w:r>
      <w:r w:rsidR="001A7B5F" w:rsidRPr="00046697">
        <w:t>.</w:t>
      </w:r>
    </w:p>
    <w:p w14:paraId="5A1E04BF" w14:textId="005C63DC" w:rsidR="00A45206" w:rsidRPr="00046697" w:rsidRDefault="002E2C0A" w:rsidP="00E7384A">
      <w:pPr>
        <w:shd w:val="clear" w:color="auto" w:fill="FFFFFF"/>
        <w:spacing w:before="100" w:beforeAutospacing="1" w:after="100" w:afterAutospacing="1" w:line="240" w:lineRule="auto"/>
        <w:jc w:val="left"/>
        <w:rPr>
          <w:rFonts w:eastAsia="Times New Roman"/>
          <w:lang w:eastAsia="pt-BR"/>
        </w:rPr>
      </w:pPr>
      <w:r w:rsidRPr="00046697">
        <w:rPr>
          <w:rFonts w:eastAsia="Times New Roman"/>
          <w:b/>
          <w:lang w:eastAsia="pt-BR"/>
        </w:rPr>
        <w:t>PALAVRAS-CHAVES</w:t>
      </w:r>
      <w:r w:rsidR="00E7384A" w:rsidRPr="00046697">
        <w:rPr>
          <w:rFonts w:eastAsia="Times New Roman"/>
          <w:lang w:eastAsia="pt-BR"/>
        </w:rPr>
        <w:t>: Setores intensivos em conhecimento, interação com universidades, fonte de informação, esforço inovativo</w:t>
      </w:r>
      <w:r w:rsidR="00974432">
        <w:rPr>
          <w:rFonts w:eastAsia="Times New Roman"/>
          <w:lang w:eastAsia="pt-BR"/>
        </w:rPr>
        <w:t>, BR Survey</w:t>
      </w:r>
      <w:r w:rsidR="00E7384A" w:rsidRPr="00046697">
        <w:rPr>
          <w:rFonts w:eastAsia="Times New Roman"/>
          <w:lang w:eastAsia="pt-BR"/>
        </w:rPr>
        <w:t>.</w:t>
      </w:r>
    </w:p>
    <w:p w14:paraId="15CBE1CF" w14:textId="639491C4" w:rsidR="003018E3" w:rsidRPr="00046697" w:rsidRDefault="009539BA" w:rsidP="00E7384A">
      <w:pPr>
        <w:shd w:val="clear" w:color="auto" w:fill="FFFFFF"/>
        <w:spacing w:before="100" w:beforeAutospacing="1" w:after="100" w:afterAutospacing="1" w:line="240" w:lineRule="auto"/>
        <w:jc w:val="left"/>
        <w:rPr>
          <w:rFonts w:eastAsia="Times New Roman"/>
          <w:b/>
          <w:lang w:val="en-US" w:eastAsia="pt-BR"/>
        </w:rPr>
      </w:pPr>
      <w:r w:rsidRPr="00046697">
        <w:rPr>
          <w:rFonts w:eastAsia="Times New Roman"/>
          <w:b/>
          <w:lang w:val="en-US" w:eastAsia="pt-BR"/>
        </w:rPr>
        <w:t>ABSTRACT</w:t>
      </w:r>
    </w:p>
    <w:p w14:paraId="55A8FAA5" w14:textId="5C85BD32" w:rsidR="009539BA" w:rsidRPr="00046697" w:rsidRDefault="009539BA" w:rsidP="009539BA">
      <w:pPr>
        <w:shd w:val="clear" w:color="auto" w:fill="FFFFFF"/>
        <w:spacing w:before="100" w:beforeAutospacing="1" w:after="100" w:afterAutospacing="1" w:line="240" w:lineRule="auto"/>
        <w:rPr>
          <w:rFonts w:eastAsia="Times New Roman"/>
          <w:lang w:val="en-US" w:eastAsia="pt-BR"/>
        </w:rPr>
      </w:pPr>
      <w:r w:rsidRPr="00046697">
        <w:rPr>
          <w:rFonts w:eastAsia="Times New Roman"/>
          <w:lang w:val="en-US" w:eastAsia="pt-BR"/>
        </w:rPr>
        <w:t xml:space="preserve">This article aims to characterize, from the motivations to interact with the universities, the innovative efforts (expenses and personnel allocated in R &amp; D and the type of innovation carried out) of the firms from </w:t>
      </w:r>
      <w:r w:rsidRPr="00046697">
        <w:rPr>
          <w:rFonts w:eastAsia="Times New Roman"/>
          <w:i/>
          <w:lang w:val="en-US" w:eastAsia="pt-BR"/>
        </w:rPr>
        <w:t>Knowledge Intensive Services</w:t>
      </w:r>
      <w:r w:rsidRPr="00046697">
        <w:rPr>
          <w:rFonts w:eastAsia="Times New Roman"/>
          <w:lang w:val="en-US" w:eastAsia="pt-BR"/>
        </w:rPr>
        <w:t xml:space="preserve"> (KIBs) and the access to information and knowledge. For this purpose, we analyzed the responses of 48 companies in the service sector, with a focus on SICs, which responded to a survey conducted in 2009. The results highlight the heterogeneity of service’s firms as well as their innovative efforts. In addition, it was not possible to identify sectoral patterns and/or interaction with universities, since the clusters presented internally a great diversity of sectors.</w:t>
      </w:r>
    </w:p>
    <w:p w14:paraId="58F6F7B4" w14:textId="393C7585" w:rsidR="003018E3" w:rsidRPr="00046697" w:rsidRDefault="00666699" w:rsidP="00E7384A">
      <w:pPr>
        <w:shd w:val="clear" w:color="auto" w:fill="FFFFFF"/>
        <w:spacing w:before="100" w:beforeAutospacing="1" w:after="100" w:afterAutospacing="1" w:line="240" w:lineRule="auto"/>
        <w:rPr>
          <w:rFonts w:eastAsia="Times New Roman"/>
          <w:lang w:val="en-US" w:eastAsia="pt-BR"/>
        </w:rPr>
      </w:pPr>
      <w:r w:rsidRPr="00046697">
        <w:rPr>
          <w:rFonts w:eastAsia="Times New Roman"/>
          <w:b/>
          <w:lang w:val="en-US" w:eastAsia="pt-BR"/>
        </w:rPr>
        <w:t>KEY-WORDS:</w:t>
      </w:r>
      <w:r w:rsidRPr="00046697">
        <w:rPr>
          <w:rFonts w:eastAsia="Times New Roman"/>
          <w:lang w:val="en-US" w:eastAsia="pt-BR"/>
        </w:rPr>
        <w:t xml:space="preserve"> </w:t>
      </w:r>
      <w:r w:rsidR="00E7384A" w:rsidRPr="00046697">
        <w:rPr>
          <w:rFonts w:eastAsia="Times New Roman"/>
          <w:lang w:val="en-US" w:eastAsia="pt-BR"/>
        </w:rPr>
        <w:t>Knowledge intensive sectors, university-firms interactions, source of information, innovative efforts, BR Survey.</w:t>
      </w:r>
    </w:p>
    <w:p w14:paraId="280C6077" w14:textId="66D90380" w:rsidR="003018E3" w:rsidRPr="00046697" w:rsidRDefault="001A4001" w:rsidP="00533A85">
      <w:pPr>
        <w:shd w:val="clear" w:color="auto" w:fill="FFFFFF"/>
        <w:spacing w:before="100" w:beforeAutospacing="1" w:after="100" w:afterAutospacing="1" w:line="240" w:lineRule="auto"/>
        <w:rPr>
          <w:rFonts w:eastAsia="Times New Roman"/>
          <w:lang w:eastAsia="pt-BR"/>
        </w:rPr>
      </w:pPr>
      <w:r w:rsidRPr="00D62B80">
        <w:rPr>
          <w:rFonts w:eastAsia="Times New Roman"/>
          <w:b/>
          <w:lang w:eastAsia="pt-BR"/>
        </w:rPr>
        <w:t>JEL CLASSIFICATION</w:t>
      </w:r>
      <w:r w:rsidRPr="00046697">
        <w:rPr>
          <w:rFonts w:eastAsia="Times New Roman"/>
          <w:lang w:eastAsia="pt-BR"/>
        </w:rPr>
        <w:t>: O30; 039</w:t>
      </w:r>
      <w:r w:rsidR="003018E3" w:rsidRPr="00046697">
        <w:rPr>
          <w:rFonts w:eastAsia="Times New Roman"/>
          <w:lang w:eastAsia="pt-BR"/>
        </w:rPr>
        <w:t>.</w:t>
      </w:r>
    </w:p>
    <w:p w14:paraId="7688D2DF" w14:textId="77777777" w:rsidR="00533A85" w:rsidRDefault="00533A85">
      <w:pPr>
        <w:spacing w:after="200" w:line="276" w:lineRule="auto"/>
        <w:jc w:val="left"/>
        <w:rPr>
          <w:b/>
        </w:rPr>
      </w:pPr>
      <w:r>
        <w:rPr>
          <w:b/>
        </w:rPr>
        <w:br w:type="page"/>
      </w:r>
    </w:p>
    <w:p w14:paraId="1A4B655D" w14:textId="6C619472" w:rsidR="0084553B" w:rsidRPr="005341B9" w:rsidRDefault="00716734" w:rsidP="005341B9">
      <w:pPr>
        <w:spacing w:line="240" w:lineRule="auto"/>
        <w:jc w:val="left"/>
        <w:rPr>
          <w:b/>
        </w:rPr>
      </w:pPr>
      <w:r w:rsidRPr="005341B9">
        <w:rPr>
          <w:b/>
        </w:rPr>
        <w:lastRenderedPageBreak/>
        <w:t xml:space="preserve">1 - </w:t>
      </w:r>
      <w:r w:rsidR="006A469B">
        <w:rPr>
          <w:b/>
        </w:rPr>
        <w:t>INTRODUÇÃO</w:t>
      </w:r>
    </w:p>
    <w:p w14:paraId="597C6BDD" w14:textId="77777777" w:rsidR="0084553B" w:rsidRPr="005341B9" w:rsidRDefault="0084553B" w:rsidP="005341B9">
      <w:pPr>
        <w:spacing w:line="240" w:lineRule="auto"/>
        <w:ind w:firstLine="708"/>
      </w:pPr>
    </w:p>
    <w:p w14:paraId="1542D747" w14:textId="77777777" w:rsidR="009C14EA" w:rsidRPr="005341B9" w:rsidRDefault="009C14EA" w:rsidP="005341B9">
      <w:pPr>
        <w:spacing w:line="240" w:lineRule="auto"/>
        <w:ind w:firstLine="708"/>
      </w:pPr>
      <w:r w:rsidRPr="005341B9">
        <w:t xml:space="preserve">A partir da década de 1970, a transformação estrutural das economias, induzida pela flexibilização de processos produtivos e de mercados, promoveu o crescimento do setor de serviços. Nos anos mais recentes, num estágio mais maduro dessa transformação, o que se observa é que em países desenvolvidos e em (alguns) em desenvolvimento, os setores de serviços vêm ganhando cada vez mais espaço, tanto em termos de parcela da população empregada nesses setores quanto em participação na geração de renda. </w:t>
      </w:r>
    </w:p>
    <w:p w14:paraId="4049780A" w14:textId="5151CABA" w:rsidR="0084553B" w:rsidRDefault="009C14EA" w:rsidP="005341B9">
      <w:pPr>
        <w:spacing w:line="240" w:lineRule="auto"/>
        <w:ind w:firstLine="708"/>
      </w:pPr>
      <w:r w:rsidRPr="005341B9">
        <w:t>Na perspectiva neo-schumpeteriana, a inovação tecnológica é vista como fator chave para o crescimento sustentado de longo prazo. De fato, a competição baseada na inovação ganha posição de destaque na atualidade, como importante fonte de sustento das vantagens comparativas e de ganhos de competitividade, notadamente quando se trata dos setores intensivos em conhecimento. Nesse contexto, os serviços intensivos em conhecimento (</w:t>
      </w:r>
      <w:r w:rsidR="00C93840" w:rsidRPr="005341B9">
        <w:t>SICs</w:t>
      </w:r>
      <w:r w:rsidRPr="005341B9">
        <w:t>) se destacam como uma parcela diferenciada do setor de serviços, que se caracteriza pela absorção de mão-de-obra altamente qualificada, alta geração de receita, fonte de informação e conhecimento e grande capacidade de criação e disseminação de inovações.</w:t>
      </w:r>
    </w:p>
    <w:p w14:paraId="49DB1557" w14:textId="039CCBB9" w:rsidR="00821E21" w:rsidRPr="005341B9" w:rsidRDefault="001A4001" w:rsidP="00BC22DA">
      <w:pPr>
        <w:spacing w:line="240" w:lineRule="auto"/>
        <w:ind w:firstLine="709"/>
      </w:pPr>
      <w:r w:rsidRPr="00114882">
        <w:t xml:space="preserve">No Brasil, os SICs se mostram relevantes em relação ao conjunto dos serviços. Informações extraídas da PAS – Pesquisa Anual de Serviços </w:t>
      </w:r>
      <w:r w:rsidR="00BC22DA" w:rsidRPr="00114882">
        <w:t xml:space="preserve">do </w:t>
      </w:r>
      <w:r w:rsidRPr="00114882">
        <w:t>IBGE mostram que as empresas desse setor remuneram melhor seus funcionários, o que pode ser um indicador de sua melhor qualificação profissional.</w:t>
      </w:r>
      <w:r w:rsidR="00BC22DA" w:rsidRPr="00114882">
        <w:t xml:space="preserve"> Em geral, </w:t>
      </w:r>
      <w:r w:rsidR="008E08B8" w:rsidRPr="00114882">
        <w:t xml:space="preserve">os SICs </w:t>
      </w:r>
      <w:r w:rsidR="00BC22DA" w:rsidRPr="00114882">
        <w:t xml:space="preserve">são também altamente inovativos, como mostra a Pesquisa de Inovação (PINTEC/IBGE). Segundo dados da PINTEC 2011, os SICs foram responsáveis por 18% dos gastos totais com atividades inovativas em produto e/ou processo no Brasil, ou seja, R$ 11,66 bilhões de um total de R$ 64,86 bilhões. </w:t>
      </w:r>
    </w:p>
    <w:p w14:paraId="4E850FA1" w14:textId="4A1FDED4" w:rsidR="008B6A6B" w:rsidRPr="00B148D4" w:rsidRDefault="0084553B" w:rsidP="00B148D4">
      <w:pPr>
        <w:spacing w:line="240" w:lineRule="auto"/>
        <w:ind w:firstLine="708"/>
      </w:pPr>
      <w:r w:rsidRPr="005341B9">
        <w:t xml:space="preserve">Este </w:t>
      </w:r>
      <w:r w:rsidR="005341B9">
        <w:t>artigo</w:t>
      </w:r>
      <w:r w:rsidR="008B6A6B" w:rsidRPr="005341B9">
        <w:t xml:space="preserve"> t</w:t>
      </w:r>
      <w:r w:rsidRPr="005341B9">
        <w:t xml:space="preserve">em </w:t>
      </w:r>
      <w:r w:rsidR="008B6A6B" w:rsidRPr="005341B9">
        <w:t xml:space="preserve">como objetivo </w:t>
      </w:r>
      <w:r w:rsidR="00C4036A" w:rsidRPr="005341B9">
        <w:t>caracterizar,</w:t>
      </w:r>
      <w:r w:rsidR="00057FFB" w:rsidRPr="005341B9">
        <w:t xml:space="preserve"> </w:t>
      </w:r>
      <w:r w:rsidR="00046697">
        <w:t>a</w:t>
      </w:r>
      <w:r w:rsidR="00057FFB" w:rsidRPr="005341B9">
        <w:t xml:space="preserve"> partir das motivações </w:t>
      </w:r>
      <w:r w:rsidR="002A4ECE">
        <w:t xml:space="preserve">de empresas de SICs que </w:t>
      </w:r>
      <w:r w:rsidR="00057FFB" w:rsidRPr="005341B9">
        <w:t>interagir</w:t>
      </w:r>
      <w:r w:rsidR="002A4ECE">
        <w:t>am</w:t>
      </w:r>
      <w:r w:rsidR="00057FFB" w:rsidRPr="005341B9">
        <w:t xml:space="preserve"> com as universidades</w:t>
      </w:r>
      <w:r w:rsidR="00C4036A" w:rsidRPr="005341B9">
        <w:t>,</w:t>
      </w:r>
      <w:r w:rsidR="00057FFB" w:rsidRPr="005341B9">
        <w:t xml:space="preserve"> </w:t>
      </w:r>
      <w:r w:rsidR="002A4ECE">
        <w:t xml:space="preserve">seus </w:t>
      </w:r>
      <w:r w:rsidR="00057FFB" w:rsidRPr="005341B9">
        <w:t>esforços inovativos</w:t>
      </w:r>
      <w:r w:rsidR="00E06A15" w:rsidRPr="005341B9">
        <w:t xml:space="preserve"> (gastos e pessoal alocado em P&amp;D e tipo de inovação realizada)</w:t>
      </w:r>
      <w:r w:rsidR="00B148D4">
        <w:t xml:space="preserve"> </w:t>
      </w:r>
      <w:r w:rsidR="00057FFB" w:rsidRPr="005341B9">
        <w:t>e o</w:t>
      </w:r>
      <w:r w:rsidR="002A4ECE">
        <w:t xml:space="preserve">s canais utilizados na troca de </w:t>
      </w:r>
      <w:r w:rsidR="00057FFB" w:rsidRPr="005341B9">
        <w:t>informaç</w:t>
      </w:r>
      <w:r w:rsidR="002A4ECE">
        <w:t xml:space="preserve">ão e de </w:t>
      </w:r>
      <w:r w:rsidR="00057FFB" w:rsidRPr="005341B9">
        <w:t xml:space="preserve">conhecimento </w:t>
      </w:r>
      <w:r w:rsidR="002A4ECE">
        <w:t>na interação</w:t>
      </w:r>
      <w:r w:rsidR="00E06A15" w:rsidRPr="005341B9">
        <w:t xml:space="preserve">. </w:t>
      </w:r>
      <w:r w:rsidR="008B6A6B" w:rsidRPr="005341B9">
        <w:rPr>
          <w:bCs/>
        </w:rPr>
        <w:t xml:space="preserve">Para isto foram utilizadas informações </w:t>
      </w:r>
      <w:r w:rsidR="00E04482" w:rsidRPr="005341B9">
        <w:rPr>
          <w:bCs/>
        </w:rPr>
        <w:t xml:space="preserve">referentes às </w:t>
      </w:r>
      <w:r w:rsidR="00B148D4">
        <w:rPr>
          <w:bCs/>
        </w:rPr>
        <w:t xml:space="preserve">48 </w:t>
      </w:r>
      <w:r w:rsidR="00E04482" w:rsidRPr="005341B9">
        <w:rPr>
          <w:bCs/>
        </w:rPr>
        <w:t xml:space="preserve">empresas </w:t>
      </w:r>
      <w:r w:rsidR="00B148D4">
        <w:rPr>
          <w:bCs/>
        </w:rPr>
        <w:t xml:space="preserve">de </w:t>
      </w:r>
      <w:r w:rsidR="00E04482" w:rsidRPr="005341B9">
        <w:rPr>
          <w:bCs/>
        </w:rPr>
        <w:t xml:space="preserve">setores de </w:t>
      </w:r>
      <w:r w:rsidR="002A4ECE">
        <w:rPr>
          <w:bCs/>
        </w:rPr>
        <w:t>SICs</w:t>
      </w:r>
      <w:r w:rsidR="00B148D4">
        <w:rPr>
          <w:bCs/>
        </w:rPr>
        <w:t xml:space="preserve"> que interagiram com universidades</w:t>
      </w:r>
      <w:r w:rsidR="008B6A6B" w:rsidRPr="005341B9">
        <w:rPr>
          <w:bCs/>
        </w:rPr>
        <w:t xml:space="preserve">. </w:t>
      </w:r>
      <w:bookmarkStart w:id="1" w:name="_Hlk487436376"/>
      <w:r w:rsidR="00E06A15" w:rsidRPr="005341B9">
        <w:rPr>
          <w:bCs/>
        </w:rPr>
        <w:t>Este trabalho contribui</w:t>
      </w:r>
      <w:r w:rsidR="007548E9" w:rsidRPr="005341B9">
        <w:rPr>
          <w:bCs/>
        </w:rPr>
        <w:t xml:space="preserve"> para a literatura na medida em que também evid</w:t>
      </w:r>
      <w:r w:rsidR="00EE2494" w:rsidRPr="005341B9">
        <w:rPr>
          <w:bCs/>
        </w:rPr>
        <w:t>e</w:t>
      </w:r>
      <w:r w:rsidR="007548E9" w:rsidRPr="005341B9">
        <w:rPr>
          <w:bCs/>
        </w:rPr>
        <w:t>ncia que os setores de SICs não são homogêneos (PINA; TETHER, 2016)</w:t>
      </w:r>
      <w:r w:rsidR="00C45C6F" w:rsidRPr="005341B9">
        <w:rPr>
          <w:bCs/>
        </w:rPr>
        <w:t>,</w:t>
      </w:r>
      <w:r w:rsidR="007548E9" w:rsidRPr="005341B9">
        <w:rPr>
          <w:bCs/>
        </w:rPr>
        <w:t xml:space="preserve"> apresentando uma grande variedade no que </w:t>
      </w:r>
      <w:r w:rsidR="00E06A15" w:rsidRPr="005341B9">
        <w:rPr>
          <w:bCs/>
        </w:rPr>
        <w:t xml:space="preserve">concerne </w:t>
      </w:r>
      <w:r w:rsidR="00C45C6F" w:rsidRPr="005341B9">
        <w:rPr>
          <w:bCs/>
        </w:rPr>
        <w:t>a</w:t>
      </w:r>
      <w:r w:rsidR="00E06A15" w:rsidRPr="005341B9">
        <w:rPr>
          <w:bCs/>
        </w:rPr>
        <w:t>o esforço inovativo e à</w:t>
      </w:r>
      <w:r w:rsidR="007548E9" w:rsidRPr="005341B9">
        <w:rPr>
          <w:bCs/>
        </w:rPr>
        <w:t xml:space="preserve"> interação com universidades. </w:t>
      </w:r>
      <w:bookmarkEnd w:id="1"/>
      <w:r w:rsidR="008B6A6B" w:rsidRPr="005341B9">
        <w:t>A análise das informações</w:t>
      </w:r>
      <w:r w:rsidR="008F53C0" w:rsidRPr="005341B9">
        <w:t xml:space="preserve"> sobre os SICs</w:t>
      </w:r>
      <w:r w:rsidR="008B6A6B" w:rsidRPr="005341B9">
        <w:t xml:space="preserve"> foi realizada </w:t>
      </w:r>
      <w:r w:rsidR="00C45C6F" w:rsidRPr="005341B9">
        <w:t>a</w:t>
      </w:r>
      <w:r w:rsidR="008B6A6B" w:rsidRPr="005341B9">
        <w:t xml:space="preserve"> partir de </w:t>
      </w:r>
      <w:r w:rsidR="002A4ECE">
        <w:t xml:space="preserve">4 </w:t>
      </w:r>
      <w:r w:rsidR="001628DE" w:rsidRPr="005341B9">
        <w:rPr>
          <w:i/>
        </w:rPr>
        <w:t>clusters</w:t>
      </w:r>
      <w:r w:rsidR="008B6A6B" w:rsidRPr="005341B9">
        <w:t xml:space="preserve"> que foram </w:t>
      </w:r>
      <w:r w:rsidR="007548E9" w:rsidRPr="005341B9">
        <w:t>construídos</w:t>
      </w:r>
      <w:r w:rsidR="008B6A6B" w:rsidRPr="005341B9">
        <w:t xml:space="preserve">, de forma a agregar empresas com padrão de respostas semelhantes. </w:t>
      </w:r>
    </w:p>
    <w:p w14:paraId="61B57E8F" w14:textId="5FAEB9DA" w:rsidR="0084553B" w:rsidRPr="005341B9" w:rsidRDefault="0084553B" w:rsidP="005341B9">
      <w:pPr>
        <w:spacing w:line="240" w:lineRule="auto"/>
        <w:ind w:firstLine="708"/>
      </w:pPr>
      <w:r w:rsidRPr="00B148D4">
        <w:t>Ademais desta introdução</w:t>
      </w:r>
      <w:r w:rsidR="00BA2928" w:rsidRPr="00B148D4">
        <w:t>,</w:t>
      </w:r>
      <w:r w:rsidRPr="00B148D4">
        <w:t xml:space="preserve"> o </w:t>
      </w:r>
      <w:r w:rsidR="005341B9" w:rsidRPr="00B148D4">
        <w:t>artigo</w:t>
      </w:r>
      <w:r w:rsidRPr="00B148D4">
        <w:t xml:space="preserve"> possui </w:t>
      </w:r>
      <w:r w:rsidR="00B148D4" w:rsidRPr="00B148D4">
        <w:t xml:space="preserve">mais </w:t>
      </w:r>
      <w:r w:rsidR="00BA2928" w:rsidRPr="00B148D4">
        <w:t>5</w:t>
      </w:r>
      <w:r w:rsidR="00716734" w:rsidRPr="00B148D4">
        <w:t xml:space="preserve"> seções. A seção 2 apresenta uma breve revisão da literatura sobre </w:t>
      </w:r>
      <w:r w:rsidR="00BA2928" w:rsidRPr="00B148D4">
        <w:t xml:space="preserve">a </w:t>
      </w:r>
      <w:r w:rsidR="00716734" w:rsidRPr="00B148D4">
        <w:t xml:space="preserve">inovação </w:t>
      </w:r>
      <w:r w:rsidR="00BA2928" w:rsidRPr="00B148D4">
        <w:t xml:space="preserve">nos SICs </w:t>
      </w:r>
      <w:r w:rsidR="00716734" w:rsidRPr="00B148D4">
        <w:t>e a contribuição das universidades. A seção</w:t>
      </w:r>
      <w:r w:rsidR="00F70561">
        <w:t xml:space="preserve"> 3</w:t>
      </w:r>
      <w:r w:rsidR="00716734" w:rsidRPr="00B148D4">
        <w:t xml:space="preserve"> apresenta a </w:t>
      </w:r>
      <w:r w:rsidR="00B148D4" w:rsidRPr="00B148D4">
        <w:t xml:space="preserve">base de dados e a </w:t>
      </w:r>
      <w:r w:rsidR="00716734" w:rsidRPr="00B148D4">
        <w:t xml:space="preserve">metodologia </w:t>
      </w:r>
      <w:r w:rsidR="00995B95" w:rsidRPr="00B148D4">
        <w:t xml:space="preserve">de construção de </w:t>
      </w:r>
      <w:r w:rsidR="001628DE" w:rsidRPr="00B148D4">
        <w:rPr>
          <w:i/>
        </w:rPr>
        <w:t>clusters</w:t>
      </w:r>
      <w:r w:rsidR="00995B95" w:rsidRPr="00B148D4">
        <w:t xml:space="preserve"> </w:t>
      </w:r>
      <w:r w:rsidR="00716734" w:rsidRPr="00B148D4">
        <w:t>utilizada no trabalho</w:t>
      </w:r>
      <w:r w:rsidR="00995B95" w:rsidRPr="00B148D4">
        <w:t xml:space="preserve"> e a seção</w:t>
      </w:r>
      <w:r w:rsidR="00F70561">
        <w:t xml:space="preserve"> 4</w:t>
      </w:r>
      <w:r w:rsidR="00995B95" w:rsidRPr="00B148D4">
        <w:t xml:space="preserve"> apresenta os resultados encontrados. A seção </w:t>
      </w:r>
      <w:r w:rsidR="00F70561">
        <w:t>5</w:t>
      </w:r>
      <w:r w:rsidR="0017793A" w:rsidRPr="00B148D4">
        <w:t xml:space="preserve"> </w:t>
      </w:r>
      <w:r w:rsidR="00995B95" w:rsidRPr="00B148D4">
        <w:t>apresenta as considerações finais do trabalho.</w:t>
      </w:r>
      <w:r w:rsidR="00995B95" w:rsidRPr="005341B9">
        <w:t xml:space="preserve"> </w:t>
      </w:r>
    </w:p>
    <w:p w14:paraId="0AC52372" w14:textId="77777777" w:rsidR="00731B0A" w:rsidRPr="005341B9" w:rsidRDefault="00731B0A" w:rsidP="005341B9">
      <w:pPr>
        <w:pStyle w:val="PargrafodaLista"/>
        <w:spacing w:line="240" w:lineRule="auto"/>
      </w:pPr>
    </w:p>
    <w:p w14:paraId="47ED8AAE" w14:textId="77777777" w:rsidR="00731B0A" w:rsidRPr="005341B9" w:rsidRDefault="000F51F7" w:rsidP="005341B9">
      <w:pPr>
        <w:pStyle w:val="PargrafodaLista"/>
        <w:spacing w:line="240" w:lineRule="auto"/>
        <w:ind w:left="0"/>
      </w:pPr>
      <w:r w:rsidRPr="005341B9">
        <w:rPr>
          <w:b/>
        </w:rPr>
        <w:t xml:space="preserve">2 - </w:t>
      </w:r>
      <w:r w:rsidR="00C45C6F" w:rsidRPr="005341B9">
        <w:rPr>
          <w:b/>
        </w:rPr>
        <w:t xml:space="preserve">A </w:t>
      </w:r>
      <w:r w:rsidRPr="005341B9">
        <w:rPr>
          <w:b/>
        </w:rPr>
        <w:t xml:space="preserve">INOVAÇÃO EM SERVIÇOS INTENSIVOS EM CONHECIMENTO </w:t>
      </w:r>
    </w:p>
    <w:p w14:paraId="7EEE0CE0" w14:textId="77777777" w:rsidR="0084553B" w:rsidRPr="005341B9" w:rsidRDefault="0084553B" w:rsidP="005341B9">
      <w:pPr>
        <w:spacing w:line="240" w:lineRule="auto"/>
        <w:rPr>
          <w:b/>
        </w:rPr>
      </w:pPr>
    </w:p>
    <w:p w14:paraId="3D93F854" w14:textId="2A4B2534" w:rsidR="000F51F7" w:rsidRPr="005A67E9" w:rsidRDefault="000F51F7" w:rsidP="005341B9">
      <w:pPr>
        <w:pStyle w:val="Default"/>
        <w:ind w:firstLine="708"/>
        <w:jc w:val="both"/>
        <w:rPr>
          <w:color w:val="auto"/>
        </w:rPr>
      </w:pPr>
      <w:r w:rsidRPr="005341B9">
        <w:t>A partir dos anos 1980, diversos autores começaram a investigar a tendência do crescimento expressivo do emprego e da geração de riqueza no setor terciário.</w:t>
      </w:r>
      <w:r w:rsidR="00B148D4">
        <w:t xml:space="preserve"> </w:t>
      </w:r>
      <w:r w:rsidRPr="005A67E9">
        <w:rPr>
          <w:color w:val="auto"/>
        </w:rPr>
        <w:t>Vários estudos confirmam empiricamente a crescente importância do setor de serviços. Kon (2004) apresenta dados do Banco Mundial que mostram que entre 1970 e 2000 o núcleo da geração da renda nacional passou do setor primário para o secundário e, posteriormente, para o terciário. Esse fenômeno teria sido semelhante em países de renda baixa, média ou alta. No mesmo trabalho, a autora também apresenta dados relativos à transformação da estrutura ocupacional da economia. Em todo o mundo houve uma tendência de crescimento da parcela da população empregada no setor de serviços</w:t>
      </w:r>
      <w:r w:rsidR="005A67E9">
        <w:rPr>
          <w:rStyle w:val="Refdenotaderodap"/>
          <w:color w:val="auto"/>
        </w:rPr>
        <w:footnoteReference w:id="1"/>
      </w:r>
      <w:r w:rsidRPr="005A67E9">
        <w:rPr>
          <w:color w:val="auto"/>
        </w:rPr>
        <w:t xml:space="preserve">. </w:t>
      </w:r>
    </w:p>
    <w:p w14:paraId="56EAD780" w14:textId="77777777" w:rsidR="000F51F7" w:rsidRPr="005341B9" w:rsidRDefault="000F51F7" w:rsidP="005341B9">
      <w:pPr>
        <w:pStyle w:val="Default"/>
        <w:ind w:firstLine="708"/>
        <w:jc w:val="both"/>
        <w:rPr>
          <w:color w:val="auto"/>
        </w:rPr>
      </w:pPr>
      <w:r w:rsidRPr="005341B9">
        <w:rPr>
          <w:color w:val="auto"/>
        </w:rPr>
        <w:lastRenderedPageBreak/>
        <w:t>A crescente importância do setor terciário vem gradualmente se traduzindo em interesse pelo estudo dos serviços, pelo processo inovativo no setor e pelas ações e</w:t>
      </w:r>
      <w:r w:rsidR="00CC27AF" w:rsidRPr="005341B9">
        <w:rPr>
          <w:color w:val="auto"/>
        </w:rPr>
        <w:t xml:space="preserve"> </w:t>
      </w:r>
      <w:r w:rsidRPr="005341B9">
        <w:rPr>
          <w:color w:val="auto"/>
        </w:rPr>
        <w:t xml:space="preserve">políticas econômicas a ele dirigidas. Concomitantemente, observa-se a transformação da visão dos serviços como passivos, não inovativos e de baixa produtividade para a noção de sua importância como indutores de crescimento econômico. Partindo da crítica à abordagem pós-industrialista, foram realizados diversos estudos </w:t>
      </w:r>
      <w:r w:rsidR="00460F3F" w:rsidRPr="005341B9">
        <w:rPr>
          <w:color w:val="auto"/>
        </w:rPr>
        <w:t>(</w:t>
      </w:r>
      <w:r w:rsidRPr="005341B9">
        <w:rPr>
          <w:color w:val="auto"/>
        </w:rPr>
        <w:t xml:space="preserve">Gallouj </w:t>
      </w:r>
      <w:r w:rsidR="001E149B" w:rsidRPr="005341B9">
        <w:rPr>
          <w:color w:val="auto"/>
        </w:rPr>
        <w:t>e Weinstein,</w:t>
      </w:r>
      <w:r w:rsidRPr="005341B9">
        <w:rPr>
          <w:color w:val="auto"/>
        </w:rPr>
        <w:t xml:space="preserve">1997; Miles </w:t>
      </w:r>
      <w:r w:rsidRPr="005341B9">
        <w:rPr>
          <w:i/>
          <w:color w:val="auto"/>
        </w:rPr>
        <w:t>et al</w:t>
      </w:r>
      <w:r w:rsidR="00C17F4A" w:rsidRPr="005341B9">
        <w:rPr>
          <w:i/>
          <w:color w:val="auto"/>
        </w:rPr>
        <w:t>.</w:t>
      </w:r>
      <w:r w:rsidRPr="005341B9">
        <w:rPr>
          <w:color w:val="auto"/>
        </w:rPr>
        <w:t xml:space="preserve"> 1995) para investigar as especificidades do processo inovativo do setor de serviços, bem como sua interdependência e comple</w:t>
      </w:r>
      <w:r w:rsidR="00CC27AF" w:rsidRPr="005341B9">
        <w:rPr>
          <w:color w:val="auto"/>
        </w:rPr>
        <w:t>mentariedade com a inovação na i</w:t>
      </w:r>
      <w:r w:rsidRPr="005341B9">
        <w:rPr>
          <w:color w:val="auto"/>
        </w:rPr>
        <w:t>ndústria.</w:t>
      </w:r>
    </w:p>
    <w:p w14:paraId="40580347" w14:textId="379C3B1C" w:rsidR="00CC27AF" w:rsidRPr="005341B9" w:rsidRDefault="000F51F7" w:rsidP="005341B9">
      <w:pPr>
        <w:pStyle w:val="Default"/>
        <w:ind w:firstLine="708"/>
        <w:jc w:val="both"/>
        <w:rPr>
          <w:color w:val="auto"/>
        </w:rPr>
      </w:pPr>
      <w:r w:rsidRPr="005341B9">
        <w:rPr>
          <w:color w:val="auto"/>
        </w:rPr>
        <w:t xml:space="preserve">Um dos principais argumentos sobre a especificidade das inovações de serviços são os gastos em </w:t>
      </w:r>
      <w:r w:rsidR="00F42DBB" w:rsidRPr="005341B9">
        <w:rPr>
          <w:color w:val="auto"/>
        </w:rPr>
        <w:t xml:space="preserve">Pesquisa e Desenvolvimento </w:t>
      </w:r>
      <w:r w:rsidR="00CA40D8" w:rsidRPr="005341B9">
        <w:rPr>
          <w:color w:val="auto"/>
        </w:rPr>
        <w:t>(</w:t>
      </w:r>
      <w:r w:rsidRPr="005341B9">
        <w:rPr>
          <w:color w:val="auto"/>
        </w:rPr>
        <w:t>P&amp;D</w:t>
      </w:r>
      <w:r w:rsidR="00CA40D8" w:rsidRPr="005341B9">
        <w:rPr>
          <w:color w:val="auto"/>
        </w:rPr>
        <w:t>)</w:t>
      </w:r>
      <w:r w:rsidRPr="005341B9">
        <w:rPr>
          <w:color w:val="auto"/>
        </w:rPr>
        <w:t xml:space="preserve"> relativamente menores. De acordo com Miles </w:t>
      </w:r>
      <w:r w:rsidR="001628DE" w:rsidRPr="005341B9">
        <w:rPr>
          <w:i/>
          <w:color w:val="auto"/>
        </w:rPr>
        <w:t xml:space="preserve">et al. </w:t>
      </w:r>
      <w:r w:rsidRPr="005341B9">
        <w:rPr>
          <w:color w:val="auto"/>
        </w:rPr>
        <w:t>(1995), muitos autores concluíram (erroneamente) que não existe P&amp;D de serviços. Para os autores, tais conclusões podem ter contribuído para reforçar a noção de que serviços são poucos inovativos e apresentam taxas menores de crescimento da produtividade, bem como para sua classificação frequente como “dirigidos por fornecedores”. Seu impulso inovativo é, assim, visto como subordinado à indústria. Entretanto, os autores argumentam que diversas análises apontam a imprecisão dessas conclusões, e evidências revelam que alguns serviços são grandes investidores em P&amp;D form</w:t>
      </w:r>
      <w:r w:rsidR="00B148D4">
        <w:rPr>
          <w:color w:val="auto"/>
        </w:rPr>
        <w:t xml:space="preserve">al, como </w:t>
      </w:r>
      <w:r w:rsidRPr="005341B9">
        <w:rPr>
          <w:color w:val="auto"/>
        </w:rPr>
        <w:t xml:space="preserve">por exemplo, os </w:t>
      </w:r>
      <w:r w:rsidR="007548E9" w:rsidRPr="005341B9">
        <w:rPr>
          <w:color w:val="auto"/>
        </w:rPr>
        <w:t>SICs</w:t>
      </w:r>
      <w:r w:rsidRPr="005341B9">
        <w:rPr>
          <w:color w:val="auto"/>
        </w:rPr>
        <w:t>, que são intensivos em pesquisa, e comparáveis aos prin</w:t>
      </w:r>
      <w:r w:rsidR="00CC27AF" w:rsidRPr="005341B9">
        <w:rPr>
          <w:color w:val="auto"/>
        </w:rPr>
        <w:t xml:space="preserve">cipais setores manufatureiros. </w:t>
      </w:r>
    </w:p>
    <w:p w14:paraId="0B828281" w14:textId="054AFA9C" w:rsidR="000F51F7" w:rsidRPr="005341B9" w:rsidRDefault="00B148D4" w:rsidP="005341B9">
      <w:pPr>
        <w:pStyle w:val="Default"/>
        <w:ind w:firstLine="708"/>
        <w:jc w:val="both"/>
        <w:rPr>
          <w:color w:val="auto"/>
        </w:rPr>
      </w:pPr>
      <w:r>
        <w:rPr>
          <w:color w:val="auto"/>
        </w:rPr>
        <w:t xml:space="preserve">Contudo, </w:t>
      </w:r>
      <w:r w:rsidR="000F51F7" w:rsidRPr="005341B9">
        <w:rPr>
          <w:color w:val="auto"/>
        </w:rPr>
        <w:t>dentro do setor de serviços, são variadas e específicas as experiências com processos</w:t>
      </w:r>
      <w:r w:rsidR="00CC27AF" w:rsidRPr="005341B9">
        <w:rPr>
          <w:color w:val="auto"/>
        </w:rPr>
        <w:t xml:space="preserve"> inovativos, o que dificulta</w:t>
      </w:r>
      <w:r w:rsidR="00F44101" w:rsidRPr="005341B9">
        <w:rPr>
          <w:color w:val="auto"/>
        </w:rPr>
        <w:t xml:space="preserve"> </w:t>
      </w:r>
      <w:r w:rsidR="000F51F7" w:rsidRPr="005341B9">
        <w:rPr>
          <w:color w:val="auto"/>
        </w:rPr>
        <w:t>generalizações. Miozzo</w:t>
      </w:r>
      <w:r w:rsidR="00734649" w:rsidRPr="005341B9">
        <w:rPr>
          <w:color w:val="auto"/>
        </w:rPr>
        <w:t xml:space="preserve"> e Soete</w:t>
      </w:r>
      <w:r w:rsidR="007570C8" w:rsidRPr="005341B9">
        <w:rPr>
          <w:color w:val="auto"/>
        </w:rPr>
        <w:t xml:space="preserve"> (2001) propõem uma sistematização, </w:t>
      </w:r>
      <w:r w:rsidR="000F51F7" w:rsidRPr="005341B9">
        <w:rPr>
          <w:color w:val="auto"/>
        </w:rPr>
        <w:t xml:space="preserve">que classifica os serviços em taxonomias de acordo com sua performance inovativa. Nessa abordagem, nem todos os serviços são considerados dominados por fornecedores. Alguns são serviços intensivos em produção e intensivos em escala. Outros são serviços de rede, que dependem de redes de informações complexas (bancos, seguros e telecomunicações). Por fim, há serviços especializados no fornecimento de tecnologia e baseados em ciência. Nessa última categoria, se encontram vários </w:t>
      </w:r>
      <w:r w:rsidR="00F44101" w:rsidRPr="005341B9">
        <w:rPr>
          <w:color w:val="auto"/>
        </w:rPr>
        <w:t>SICs</w:t>
      </w:r>
      <w:r w:rsidR="000F51F7" w:rsidRPr="005341B9">
        <w:rPr>
          <w:color w:val="auto"/>
        </w:rPr>
        <w:t xml:space="preserve">, como desenvolvedores de </w:t>
      </w:r>
      <w:r w:rsidR="001628DE" w:rsidRPr="005341B9">
        <w:rPr>
          <w:i/>
          <w:color w:val="auto"/>
        </w:rPr>
        <w:t xml:space="preserve">softwares </w:t>
      </w:r>
      <w:r w:rsidR="000F51F7" w:rsidRPr="005341B9">
        <w:rPr>
          <w:color w:val="auto"/>
        </w:rPr>
        <w:t>e os “</w:t>
      </w:r>
      <w:r w:rsidR="000F51F7" w:rsidRPr="005341B9">
        <w:rPr>
          <w:i/>
          <w:iCs/>
          <w:color w:val="auto"/>
        </w:rPr>
        <w:t>business services”</w:t>
      </w:r>
      <w:r>
        <w:rPr>
          <w:rStyle w:val="Refdenotaderodap"/>
          <w:i/>
          <w:iCs/>
          <w:color w:val="auto"/>
        </w:rPr>
        <w:footnoteReference w:id="2"/>
      </w:r>
      <w:r w:rsidR="000F51F7" w:rsidRPr="005341B9">
        <w:rPr>
          <w:color w:val="auto"/>
        </w:rPr>
        <w:t xml:space="preserve">. </w:t>
      </w:r>
    </w:p>
    <w:p w14:paraId="78BF66D4" w14:textId="01FBBFDF" w:rsidR="00482EB5" w:rsidRPr="005341B9" w:rsidRDefault="00F13058" w:rsidP="00F13058">
      <w:pPr>
        <w:spacing w:line="240" w:lineRule="auto"/>
      </w:pPr>
      <w:r>
        <w:tab/>
      </w:r>
      <w:r w:rsidR="00336A41" w:rsidRPr="005341B9">
        <w:t>Castellaci (2008)</w:t>
      </w:r>
      <w:r w:rsidR="003B21C1">
        <w:t xml:space="preserve">, em </w:t>
      </w:r>
      <w:r w:rsidR="00336A41" w:rsidRPr="005341B9">
        <w:t>taxonomia setorial que integra as indústrias manufatureiras e os serviços no mesmo arcabouço geral</w:t>
      </w:r>
      <w:r w:rsidR="003B21C1">
        <w:t xml:space="preserve">, </w:t>
      </w:r>
      <w:r w:rsidR="00336A41" w:rsidRPr="005341B9">
        <w:t xml:space="preserve">identifica quatro grupos setoriais principais, sendo que três deles englobam setores de serviços. O grupo dos provedores de conhecimento avançado é composto por dois subgrupos de indústrias: (1) na manufatura, os fornecedores especializados de maquinário, equipamentos e instrumentos de precisão; e (2) nos serviços, os provedores de conhecimento especializado e soluções técnicas como </w:t>
      </w:r>
      <w:r w:rsidR="00336A41" w:rsidRPr="005341B9">
        <w:rPr>
          <w:i/>
        </w:rPr>
        <w:t>software</w:t>
      </w:r>
      <w:r w:rsidR="00336A41" w:rsidRPr="005341B9">
        <w:t xml:space="preserve">, P&amp;D, engenharia e consultoria (os chamados serviços intensivos em conhecimento, </w:t>
      </w:r>
      <w:r w:rsidR="00336A41" w:rsidRPr="005341B9">
        <w:rPr>
          <w:i/>
        </w:rPr>
        <w:t>kwnoledge-intensive business services - KIBs</w:t>
      </w:r>
      <w:r w:rsidR="00336A41" w:rsidRPr="005341B9">
        <w:t>)</w:t>
      </w:r>
      <w:r w:rsidR="00174D32">
        <w:rPr>
          <w:rStyle w:val="Refdenotaderodap"/>
        </w:rPr>
        <w:footnoteReference w:id="3"/>
      </w:r>
      <w:r w:rsidR="00336A41" w:rsidRPr="005341B9">
        <w:t xml:space="preserve">. Este grupo é caracterizado, na média, por um regime tecnológico dinâmico (elevados níveis de oportunidades, elevadas condições de cumulatividade, estreitas relações com os usuários como uma fonte principal externa de oportunidades), bem como uma trajetória dinâmica (baseada na criação de produtos e serviços avançados e em uma considerável parcela de dispêndios inovativos </w:t>
      </w:r>
      <w:r w:rsidR="004F5E9D" w:rsidRPr="005341B9">
        <w:t xml:space="preserve">destinados </w:t>
      </w:r>
      <w:r w:rsidR="00336A41" w:rsidRPr="005341B9">
        <w:t>à</w:t>
      </w:r>
      <w:r w:rsidR="008738B2">
        <w:t>s</w:t>
      </w:r>
      <w:r w:rsidR="00336A41" w:rsidRPr="005341B9">
        <w:t xml:space="preserve"> </w:t>
      </w:r>
      <w:r w:rsidR="004F5E9D" w:rsidRPr="005341B9">
        <w:t xml:space="preserve">atividades </w:t>
      </w:r>
      <w:r w:rsidR="00336A41" w:rsidRPr="005341B9">
        <w:t xml:space="preserve">P&amp;D intramuros). Ademais do seu nível elevado de capacitação tecnológica, estes setores desempenham a mesma função no sistema de inovação como provedores de conhecimento tecnológico avançado para outros setores industriais. Eles </w:t>
      </w:r>
      <w:r w:rsidR="00336A41" w:rsidRPr="005341B9">
        <w:lastRenderedPageBreak/>
        <w:t xml:space="preserve">representam a base de </w:t>
      </w:r>
      <w:r w:rsidR="00336A41" w:rsidRPr="005341B9">
        <w:rPr>
          <w:u w:val="single"/>
        </w:rPr>
        <w:t>suporte</w:t>
      </w:r>
      <w:r w:rsidR="00336A41" w:rsidRPr="005341B9">
        <w:t xml:space="preserve"> de conhecimento sobre a qual as atividades inovativas em todos os outros setores são construídas e continuamente aprimora</w:t>
      </w:r>
      <w:r w:rsidR="005C2197">
        <w:t>das</w:t>
      </w:r>
      <w:r w:rsidR="00336A41" w:rsidRPr="005341B9">
        <w:t xml:space="preserve">. As </w:t>
      </w:r>
      <w:r w:rsidR="004F5E9D" w:rsidRPr="005341B9">
        <w:t>empresas</w:t>
      </w:r>
      <w:r w:rsidR="00336A41" w:rsidRPr="005341B9">
        <w:t xml:space="preserve"> nestas indústrias são tipicamente pequenas e tendem a desenvolver suas atividades tecnológicas em estreita cooperação com seus clientes e com os usuários dos novos produtos e serviços que eles criam. </w:t>
      </w:r>
    </w:p>
    <w:p w14:paraId="1764C088" w14:textId="01565280" w:rsidR="00A44948" w:rsidRPr="005341B9" w:rsidRDefault="00174D32" w:rsidP="00F13058">
      <w:pPr>
        <w:spacing w:line="240" w:lineRule="auto"/>
      </w:pPr>
      <w:r>
        <w:tab/>
      </w:r>
      <w:r w:rsidR="00482EB5" w:rsidRPr="005341B9">
        <w:t xml:space="preserve"> </w:t>
      </w:r>
      <w:r w:rsidR="005C2197">
        <w:t>Aqui, o foco da análise serão</w:t>
      </w:r>
      <w:r w:rsidR="00336A41" w:rsidRPr="005341B9">
        <w:t xml:space="preserve"> os serviços intensivos em conhecimento (SICs) – do inglês, </w:t>
      </w:r>
      <w:r w:rsidR="00336A41" w:rsidRPr="005341B9">
        <w:rPr>
          <w:i/>
        </w:rPr>
        <w:t xml:space="preserve">Knowledge-Intensive Business Services. </w:t>
      </w:r>
      <w:r w:rsidR="00336A41" w:rsidRPr="005341B9">
        <w:t xml:space="preserve">Os setores intensivos em conhecimento, tais como </w:t>
      </w:r>
      <w:r w:rsidR="00336A41" w:rsidRPr="005341B9">
        <w:rPr>
          <w:i/>
        </w:rPr>
        <w:t>software</w:t>
      </w:r>
      <w:r w:rsidR="00336A41" w:rsidRPr="005341B9">
        <w:t xml:space="preserve">, P&amp;D e </w:t>
      </w:r>
      <w:r w:rsidR="00482EB5" w:rsidRPr="005341B9">
        <w:t>empresas</w:t>
      </w:r>
      <w:r w:rsidR="00336A41" w:rsidRPr="005341B9">
        <w:t xml:space="preserve"> de engenharia e consultoria produzem conhecimento especializado e agem como solucio</w:t>
      </w:r>
      <w:r w:rsidR="00482EB5" w:rsidRPr="005341B9">
        <w:t>nadores de problemas para empresas</w:t>
      </w:r>
      <w:r w:rsidR="00336A41" w:rsidRPr="005341B9">
        <w:t xml:space="preserve"> manufatureiras avançadas, bem como para os serviços de infraestrutura baseados em TICs (CASTELLACCI, 2008).  </w:t>
      </w:r>
      <w:r w:rsidR="00A44948" w:rsidRPr="005341B9">
        <w:t xml:space="preserve">Miles </w:t>
      </w:r>
      <w:r w:rsidR="00A44948" w:rsidRPr="005341B9">
        <w:rPr>
          <w:i/>
        </w:rPr>
        <w:t>et al</w:t>
      </w:r>
      <w:r w:rsidR="00A44948" w:rsidRPr="005341B9">
        <w:t>. (1995) entendem que os SICs envolvem atividades econômicas que resultam na criação, acumulação ou disseminação de conhecimento</w:t>
      </w:r>
      <w:r w:rsidR="005C2197">
        <w:t>, possuindo</w:t>
      </w:r>
      <w:r w:rsidR="00A44948" w:rsidRPr="005341B9">
        <w:t xml:space="preserve"> quatro características. Em primeiro lugar, baseiam-se fundamentalmente no conhecimento profissional, produzem informações e serviços que geram conhecimento, empregam profissionais muito qualificados (cientistas, engenheiros, </w:t>
      </w:r>
      <w:r w:rsidR="00A44948" w:rsidRPr="005341B9">
        <w:rPr>
          <w:i/>
        </w:rPr>
        <w:t>experts</w:t>
      </w:r>
      <w:r w:rsidR="00A44948" w:rsidRPr="005341B9">
        <w:t>) e, independentemente de sua especialidade, são usuários intensivos de</w:t>
      </w:r>
      <w:r w:rsidR="00DF2665" w:rsidRPr="005341B9">
        <w:t xml:space="preserve"> tecnologia da informação</w:t>
      </w:r>
      <w:r w:rsidR="00A44948" w:rsidRPr="005341B9">
        <w:t xml:space="preserve"> </w:t>
      </w:r>
      <w:r w:rsidR="00DF2665" w:rsidRPr="005341B9">
        <w:t>(</w:t>
      </w:r>
      <w:r w:rsidR="00A44948" w:rsidRPr="005341B9">
        <w:t>TI</w:t>
      </w:r>
      <w:r w:rsidR="00DF2665" w:rsidRPr="005341B9">
        <w:t>)</w:t>
      </w:r>
      <w:r w:rsidR="00A44948" w:rsidRPr="005341B9">
        <w:t xml:space="preserve">. Segundo, ofertam produtos que são fontes primárias de informação e conhecimento para seus usuários, </w:t>
      </w:r>
      <w:r w:rsidR="005C2197">
        <w:t xml:space="preserve">como </w:t>
      </w:r>
      <w:r w:rsidR="00A44948" w:rsidRPr="005341B9">
        <w:t xml:space="preserve">medições, </w:t>
      </w:r>
      <w:r w:rsidR="00A44948" w:rsidRPr="005341B9">
        <w:rPr>
          <w:i/>
        </w:rPr>
        <w:t>reports</w:t>
      </w:r>
      <w:r w:rsidR="00A44948" w:rsidRPr="005341B9">
        <w:t>, treinamento e consultoria. Terceiro, utilizam seu conhecimento para produzir serviços que são, em si, produtos intermediários para a geração de conhecimento de seus clientes e atividades de processamento de informação, como as telecomunicações e os serviços de informática. Por último, seus</w:t>
      </w:r>
      <w:r w:rsidR="005C2197">
        <w:t xml:space="preserve"> principais clientes são outros</w:t>
      </w:r>
      <w:r w:rsidR="00F74A9E">
        <w:t xml:space="preserve"> </w:t>
      </w:r>
      <w:r w:rsidR="00A44948" w:rsidRPr="005341B9">
        <w:t>“</w:t>
      </w:r>
      <w:r w:rsidR="00A44948" w:rsidRPr="005341B9">
        <w:rPr>
          <w:i/>
        </w:rPr>
        <w:t>business services”</w:t>
      </w:r>
      <w:r w:rsidR="00A44948" w:rsidRPr="005341B9">
        <w:t>.</w:t>
      </w:r>
    </w:p>
    <w:p w14:paraId="0F3AE1B3" w14:textId="4F0461F1" w:rsidR="000F51F7" w:rsidRPr="005341B9" w:rsidRDefault="00F13058" w:rsidP="00F13058">
      <w:pPr>
        <w:pStyle w:val="Default"/>
        <w:jc w:val="both"/>
        <w:rPr>
          <w:color w:val="auto"/>
        </w:rPr>
      </w:pPr>
      <w:r>
        <w:rPr>
          <w:color w:val="auto"/>
        </w:rPr>
        <w:tab/>
      </w:r>
      <w:r w:rsidR="000F51F7" w:rsidRPr="005341B9">
        <w:rPr>
          <w:color w:val="auto"/>
        </w:rPr>
        <w:t xml:space="preserve">De acordo com essa definição, os </w:t>
      </w:r>
      <w:r w:rsidR="005D6E33" w:rsidRPr="005341B9">
        <w:rPr>
          <w:color w:val="auto"/>
        </w:rPr>
        <w:t>SICs</w:t>
      </w:r>
      <w:r w:rsidR="000F51F7" w:rsidRPr="005341B9">
        <w:rPr>
          <w:color w:val="auto"/>
        </w:rPr>
        <w:t xml:space="preserve"> podem ser subdivididos em dois conjuntos. Os “</w:t>
      </w:r>
      <w:r w:rsidR="000F51F7" w:rsidRPr="005341B9">
        <w:rPr>
          <w:i/>
          <w:iCs/>
          <w:color w:val="auto"/>
        </w:rPr>
        <w:t xml:space="preserve">Professional </w:t>
      </w:r>
      <w:r w:rsidR="00A44948" w:rsidRPr="005341B9">
        <w:rPr>
          <w:i/>
          <w:iCs/>
          <w:color w:val="auto"/>
        </w:rPr>
        <w:t>SICs</w:t>
      </w:r>
      <w:r w:rsidR="000F51F7" w:rsidRPr="005341B9">
        <w:rPr>
          <w:i/>
          <w:iCs/>
          <w:color w:val="auto"/>
        </w:rPr>
        <w:t xml:space="preserve">” </w:t>
      </w:r>
      <w:r w:rsidR="005C2197" w:rsidRPr="005C2197">
        <w:rPr>
          <w:iCs/>
          <w:color w:val="auto"/>
        </w:rPr>
        <w:t>que</w:t>
      </w:r>
      <w:r w:rsidR="005C2197">
        <w:rPr>
          <w:i/>
          <w:iCs/>
          <w:color w:val="auto"/>
        </w:rPr>
        <w:t xml:space="preserve"> </w:t>
      </w:r>
      <w:r w:rsidR="000F51F7" w:rsidRPr="005341B9">
        <w:rPr>
          <w:color w:val="auto"/>
        </w:rPr>
        <w:t xml:space="preserve">são os serviços usuários de novas tecnologias, direcionados aos conhecimentos técnicos e administrativos, como por exemplo, segmentos de engenharia, arquitetura, </w:t>
      </w:r>
      <w:r w:rsidR="001628DE" w:rsidRPr="005341B9">
        <w:rPr>
          <w:i/>
          <w:color w:val="auto"/>
        </w:rPr>
        <w:t>marketing</w:t>
      </w:r>
      <w:r w:rsidR="000F51F7" w:rsidRPr="005341B9">
        <w:rPr>
          <w:color w:val="auto"/>
        </w:rPr>
        <w:t>, P&amp;D, consultoria etc. Os “</w:t>
      </w:r>
      <w:r w:rsidR="000F51F7" w:rsidRPr="005341B9">
        <w:rPr>
          <w:i/>
          <w:iCs/>
          <w:color w:val="auto"/>
        </w:rPr>
        <w:t xml:space="preserve">Technological </w:t>
      </w:r>
      <w:r w:rsidR="00A44948" w:rsidRPr="005341B9">
        <w:rPr>
          <w:i/>
          <w:iCs/>
          <w:color w:val="auto"/>
        </w:rPr>
        <w:t>SICs</w:t>
      </w:r>
      <w:r w:rsidR="000F51F7" w:rsidRPr="005341B9">
        <w:rPr>
          <w:i/>
          <w:iCs/>
          <w:color w:val="auto"/>
        </w:rPr>
        <w:t xml:space="preserve">” </w:t>
      </w:r>
      <w:r w:rsidR="000F51F7" w:rsidRPr="005341B9">
        <w:rPr>
          <w:color w:val="auto"/>
        </w:rPr>
        <w:t xml:space="preserve">são os serviços focados em novas tecnologias, como as redes de informática e as telecomunicações, entre outros (MULLER; ZENKER, 2001; MILES </w:t>
      </w:r>
      <w:r w:rsidR="000F51F7" w:rsidRPr="005341B9">
        <w:rPr>
          <w:i/>
          <w:iCs/>
          <w:color w:val="auto"/>
        </w:rPr>
        <w:t>et al.</w:t>
      </w:r>
      <w:r w:rsidR="000F51F7" w:rsidRPr="005341B9">
        <w:rPr>
          <w:color w:val="auto"/>
        </w:rPr>
        <w:t xml:space="preserve">, 1995). </w:t>
      </w:r>
    </w:p>
    <w:p w14:paraId="21D747A0" w14:textId="774C2582" w:rsidR="000F51F7" w:rsidRPr="005341B9" w:rsidRDefault="00F13058" w:rsidP="00F13058">
      <w:pPr>
        <w:pStyle w:val="Default"/>
        <w:jc w:val="both"/>
        <w:rPr>
          <w:color w:val="auto"/>
        </w:rPr>
      </w:pPr>
      <w:r>
        <w:rPr>
          <w:color w:val="auto"/>
        </w:rPr>
        <w:tab/>
      </w:r>
      <w:r w:rsidR="000F51F7" w:rsidRPr="005341B9">
        <w:rPr>
          <w:color w:val="auto"/>
        </w:rPr>
        <w:t xml:space="preserve">Apesar da heterogeneidade que marca o setor de serviços, Miles </w:t>
      </w:r>
      <w:r w:rsidR="000F51F7" w:rsidRPr="005341B9">
        <w:rPr>
          <w:i/>
          <w:color w:val="auto"/>
        </w:rPr>
        <w:t>et al</w:t>
      </w:r>
      <w:r w:rsidR="00AC6C69" w:rsidRPr="005341B9">
        <w:rPr>
          <w:i/>
          <w:color w:val="auto"/>
        </w:rPr>
        <w:t>.</w:t>
      </w:r>
      <w:r w:rsidR="000F51F7" w:rsidRPr="005341B9">
        <w:rPr>
          <w:color w:val="auto"/>
        </w:rPr>
        <w:t xml:space="preserve"> (1995) afirmam que algumas características de seu processo inovativo são comuns a vários tipos de serviços – incluindo os </w:t>
      </w:r>
      <w:r w:rsidR="00782C93" w:rsidRPr="005341B9">
        <w:rPr>
          <w:color w:val="auto"/>
        </w:rPr>
        <w:t xml:space="preserve">SICs. </w:t>
      </w:r>
      <w:r w:rsidR="00B43C14" w:rsidRPr="005341B9">
        <w:rPr>
          <w:color w:val="auto"/>
        </w:rPr>
        <w:t xml:space="preserve">Os </w:t>
      </w:r>
      <w:r w:rsidR="00782C93" w:rsidRPr="005341B9">
        <w:rPr>
          <w:color w:val="auto"/>
        </w:rPr>
        <w:t>SICs</w:t>
      </w:r>
      <w:r w:rsidR="000F51F7" w:rsidRPr="005341B9">
        <w:rPr>
          <w:color w:val="auto"/>
        </w:rPr>
        <w:t xml:space="preserve"> apresentam, por exemplo, relações de interação provedor-cliente, produtos intangíveis e demanda-específicos, bem como problemas de escala (pequenas e m</w:t>
      </w:r>
      <w:r w:rsidR="0077785D" w:rsidRPr="005341B9">
        <w:rPr>
          <w:color w:val="auto"/>
        </w:rPr>
        <w:t>é</w:t>
      </w:r>
      <w:r w:rsidR="000F51F7" w:rsidRPr="005341B9">
        <w:rPr>
          <w:color w:val="auto"/>
        </w:rPr>
        <w:t xml:space="preserve">dias) </w:t>
      </w:r>
      <w:r w:rsidR="00F74A9E">
        <w:rPr>
          <w:color w:val="auto"/>
        </w:rPr>
        <w:t xml:space="preserve">das </w:t>
      </w:r>
      <w:r w:rsidR="000F51F7" w:rsidRPr="005341B9">
        <w:rPr>
          <w:color w:val="auto"/>
        </w:rPr>
        <w:t xml:space="preserve">empresas e de proteção da propriedade intelectual das inovações. </w:t>
      </w:r>
    </w:p>
    <w:p w14:paraId="13BB0114" w14:textId="404677B0" w:rsidR="00725843" w:rsidRPr="005341B9" w:rsidRDefault="00F13058" w:rsidP="00F13058">
      <w:pPr>
        <w:pStyle w:val="Default"/>
        <w:jc w:val="both"/>
        <w:rPr>
          <w:color w:val="auto"/>
        </w:rPr>
      </w:pPr>
      <w:r>
        <w:tab/>
      </w:r>
      <w:r w:rsidR="00725843" w:rsidRPr="005341B9">
        <w:t>Segundo Castellacci (2008), comparativamente aos setores manufatureiros fornecedores especializados, os serviços intensivos em conhecimento são caracterizados por: 1) um nível muito mais elevado de oportunidades tecnológicas</w:t>
      </w:r>
      <w:r w:rsidR="00216D2A" w:rsidRPr="005341B9">
        <w:t>;</w:t>
      </w:r>
      <w:r w:rsidR="00725843" w:rsidRPr="005341B9">
        <w:t xml:space="preserve"> 2) uma menor confiança nas patentes como um mecanismo de apropriabilidade; 3) um maior uso de proteção através de reivindicação de direitos autorais</w:t>
      </w:r>
      <w:r w:rsidR="00216D2A" w:rsidRPr="005341B9">
        <w:t>;</w:t>
      </w:r>
      <w:r w:rsidR="00725843" w:rsidRPr="005341B9">
        <w:t xml:space="preserve"> 4) uma conexão muito mais estreita para com o conhecimento científico produzido por universidades</w:t>
      </w:r>
      <w:r w:rsidR="00216D2A" w:rsidRPr="005341B9">
        <w:t xml:space="preserve">; </w:t>
      </w:r>
      <w:r w:rsidR="00725843" w:rsidRPr="005341B9">
        <w:t xml:space="preserve">5) uma maior parcela de dispêndios inovativos devotados à P&amp;D intramuros; e 6) uma correspondente menor parcela de investimento para a aquisição de maquinário e </w:t>
      </w:r>
      <w:r w:rsidR="00725843" w:rsidRPr="005341B9">
        <w:rPr>
          <w:i/>
        </w:rPr>
        <w:t>software</w:t>
      </w:r>
      <w:r w:rsidR="00725843" w:rsidRPr="005341B9">
        <w:t xml:space="preserve">.  </w:t>
      </w:r>
    </w:p>
    <w:p w14:paraId="65B2E54D" w14:textId="4B9BBE46" w:rsidR="000422AF" w:rsidRPr="005341B9" w:rsidRDefault="00315194" w:rsidP="005341B9">
      <w:pPr>
        <w:spacing w:line="240" w:lineRule="auto"/>
        <w:ind w:firstLine="708"/>
      </w:pPr>
      <w:r w:rsidRPr="005341B9">
        <w:t>Os SICs têm uma relação dual com o conhecimento (NÄHLINDER, 2005). Eles são geradores de conhecimento para seus clientes, ou em coprodução com eles, e também o difundem na economia. Ou seja, o conhecimento é, nesse setor, ao mesmo tempo, insumo e produto (GALLOUJ, 200</w:t>
      </w:r>
      <w:r w:rsidR="006B1D2F" w:rsidRPr="005341B9">
        <w:t>7</w:t>
      </w:r>
      <w:r w:rsidRPr="005341B9">
        <w:t xml:space="preserve">). </w:t>
      </w:r>
      <w:r w:rsidR="001006D1">
        <w:t xml:space="preserve">Os </w:t>
      </w:r>
      <w:r w:rsidRPr="005341B9">
        <w:t xml:space="preserve">SICs são descritos como tendo três funções em relação à inovação: </w:t>
      </w:r>
      <w:r w:rsidR="001006D1">
        <w:t xml:space="preserve">são </w:t>
      </w:r>
      <w:r w:rsidRPr="005341B9">
        <w:t xml:space="preserve">usuários, fontes e agentes de inovação (MILES, 2001 </w:t>
      </w:r>
      <w:r w:rsidRPr="005341B9">
        <w:rPr>
          <w:i/>
        </w:rPr>
        <w:t>apud</w:t>
      </w:r>
      <w:r w:rsidRPr="005341B9">
        <w:t xml:space="preserve"> NÄHLINDER, 2005, p. 58). Como usuárias, as firmas introduzem, ou seja, ajustam às suas próprias necessidades, inovações criadas em outra firma, assumindo um papel passivo em relação à geração de inovação. Por exemplo, são usuárias de inovações como</w:t>
      </w:r>
      <w:r w:rsidRPr="005341B9">
        <w:rPr>
          <w:i/>
        </w:rPr>
        <w:t xml:space="preserve"> softwares</w:t>
      </w:r>
      <w:r w:rsidRPr="005341B9">
        <w:t xml:space="preserve"> e sistemas de TI. Como agentes, essas firmas transferem conhecimento e inovações para outras. Nesse caso, seu papel é ativo no processo inovativo, pois encorajam outras firmas a inovar, como ocorre quando há coprodução. Por fim, são fontes ao transformar inovações e gerar novos conhecimentos em outras </w:t>
      </w:r>
      <w:r w:rsidR="005E1E6C" w:rsidRPr="005341B9">
        <w:t>empresa</w:t>
      </w:r>
      <w:r w:rsidRPr="005341B9">
        <w:t>s</w:t>
      </w:r>
      <w:r w:rsidR="00BC5CE2" w:rsidRPr="005341B9">
        <w:rPr>
          <w:rStyle w:val="Refdenotaderodap"/>
        </w:rPr>
        <w:footnoteReference w:id="4"/>
      </w:r>
      <w:r w:rsidRPr="005341B9">
        <w:t>.</w:t>
      </w:r>
    </w:p>
    <w:p w14:paraId="1B13B33C" w14:textId="77777777" w:rsidR="000F347A" w:rsidRPr="005341B9" w:rsidRDefault="005E1E6C" w:rsidP="005341B9">
      <w:pPr>
        <w:spacing w:line="240" w:lineRule="auto"/>
        <w:ind w:firstLine="708"/>
      </w:pPr>
      <w:r w:rsidRPr="005341B9">
        <w:t>A relação das empresas de serviços com universidades tem sido pouco analisada na literatura.</w:t>
      </w:r>
      <w:r w:rsidR="00460F3F" w:rsidRPr="005341B9">
        <w:rPr>
          <w:lang w:eastAsia="pt-BR"/>
        </w:rPr>
        <w:t xml:space="preserve"> </w:t>
      </w:r>
      <w:r w:rsidR="00320BF3" w:rsidRPr="005341B9">
        <w:rPr>
          <w:lang w:eastAsia="pt-BR"/>
        </w:rPr>
        <w:t xml:space="preserve">Conforme </w:t>
      </w:r>
      <w:r w:rsidR="00460F3F" w:rsidRPr="005341B9">
        <w:t xml:space="preserve">Miles (2007), alguns </w:t>
      </w:r>
      <w:r w:rsidR="001628DE" w:rsidRPr="005341B9">
        <w:t xml:space="preserve">trabalhos (como, por exemplo, MILES, 1999, citado em MILES, 2007) </w:t>
      </w:r>
      <w:r w:rsidR="001628DE" w:rsidRPr="005341B9">
        <w:lastRenderedPageBreak/>
        <w:t xml:space="preserve">indicam que a maioria dos serviços parece estar fracamente conectada aos sistemas de inovação - apesar de alguns serviços intensivos em conhecimento constituírem nós ativos nesses sistemas. </w:t>
      </w:r>
      <w:r w:rsidR="00E8369D" w:rsidRPr="005341B9">
        <w:t xml:space="preserve">Tais trabalhos </w:t>
      </w:r>
      <w:r w:rsidR="001628DE" w:rsidRPr="005341B9">
        <w:t xml:space="preserve">notam que as </w:t>
      </w:r>
      <w:r w:rsidR="000422AF" w:rsidRPr="005341B9">
        <w:t>empresas</w:t>
      </w:r>
      <w:r w:rsidR="001628DE" w:rsidRPr="005341B9">
        <w:t xml:space="preserve"> de serviços mais típicos possuem escassa ideia de onde acessar conhecimento relevante de engenharia ou ciência social. Assim, el</w:t>
      </w:r>
      <w:r w:rsidR="00BB6EA1" w:rsidRPr="005341B9">
        <w:t>a</w:t>
      </w:r>
      <w:r w:rsidR="001628DE" w:rsidRPr="005341B9">
        <w:t xml:space="preserve">s frequentemente recorrem a consultorias como intermediários necessários. </w:t>
      </w:r>
      <w:r w:rsidR="000F347A" w:rsidRPr="005341B9">
        <w:tab/>
      </w:r>
    </w:p>
    <w:p w14:paraId="5DCFCCBA" w14:textId="20898A8C" w:rsidR="000422AF" w:rsidRPr="005341B9" w:rsidRDefault="005E1E6C" w:rsidP="005341B9">
      <w:pPr>
        <w:spacing w:line="240" w:lineRule="auto"/>
        <w:ind w:firstLine="708"/>
      </w:pPr>
      <w:r w:rsidRPr="005341B9">
        <w:t>Tether e Tajar (2008), analisando os resultados d</w:t>
      </w:r>
      <w:r w:rsidR="00DD420B" w:rsidRPr="005341B9">
        <w:t xml:space="preserve">o </w:t>
      </w:r>
      <w:r w:rsidR="001628DE" w:rsidRPr="005341B9">
        <w:rPr>
          <w:i/>
        </w:rPr>
        <w:t>Community Innovation Survey</w:t>
      </w:r>
      <w:r w:rsidR="00DD420B" w:rsidRPr="005341B9">
        <w:t xml:space="preserve"> (</w:t>
      </w:r>
      <w:r w:rsidRPr="005341B9">
        <w:t>CIS</w:t>
      </w:r>
      <w:r w:rsidR="00DD420B" w:rsidRPr="005341B9">
        <w:t>)</w:t>
      </w:r>
      <w:r w:rsidRPr="005341B9">
        <w:t xml:space="preserve"> III para o Reino Unido, encontraram que as interações das empresas de serviços acontecem com mais frequ</w:t>
      </w:r>
      <w:r w:rsidR="00DD420B" w:rsidRPr="005341B9">
        <w:t>ê</w:t>
      </w:r>
      <w:r w:rsidRPr="005341B9">
        <w:t xml:space="preserve">ncia com consultores e menos com a “base pública de pesquisa” (universidades e </w:t>
      </w:r>
      <w:r w:rsidR="00826E0E" w:rsidRPr="005341B9">
        <w:t xml:space="preserve">institutos públicos de pesquisa </w:t>
      </w:r>
      <w:r w:rsidRPr="005341B9">
        <w:t>IP</w:t>
      </w:r>
      <w:r w:rsidR="00533A85">
        <w:t>P</w:t>
      </w:r>
      <w:r w:rsidRPr="005341B9">
        <w:t xml:space="preserve">s) comparativamente à indústria de transformação. </w:t>
      </w:r>
      <w:r w:rsidR="00BA0FB6" w:rsidRPr="005341B9">
        <w:t>Porém alguns setores dos SICs (</w:t>
      </w:r>
      <w:r w:rsidR="00BA0FB6" w:rsidRPr="005341B9">
        <w:rPr>
          <w:i/>
        </w:rPr>
        <w:t>technical services</w:t>
      </w:r>
      <w:r w:rsidR="008303E9" w:rsidRPr="005341B9">
        <w:t>) apresentaram interações mais fortes com a “base pública de pesquisa”</w:t>
      </w:r>
      <w:r w:rsidR="00104575" w:rsidRPr="005341B9">
        <w:t>. Os autores também encontraram que as diferentes fontes de informação</w:t>
      </w:r>
      <w:r w:rsidR="00A03050" w:rsidRPr="005341B9">
        <w:t xml:space="preserve"> de “conhecimento especializado</w:t>
      </w:r>
      <w:r w:rsidR="008D1186" w:rsidRPr="005341B9">
        <w:rPr>
          <w:rStyle w:val="Refdenotaderodap"/>
        </w:rPr>
        <w:footnoteReference w:id="5"/>
      </w:r>
      <w:r w:rsidR="00A03050" w:rsidRPr="005341B9">
        <w:t xml:space="preserve">” </w:t>
      </w:r>
      <w:r w:rsidR="00104575" w:rsidRPr="005341B9">
        <w:t>são complementares</w:t>
      </w:r>
      <w:r w:rsidR="008D1186" w:rsidRPr="005341B9">
        <w:t xml:space="preserve"> às atividades inovativas internas nas empresas.</w:t>
      </w:r>
    </w:p>
    <w:p w14:paraId="4C48D5FC" w14:textId="17117CD3" w:rsidR="000422AF" w:rsidRPr="005341B9" w:rsidRDefault="00CA40D8" w:rsidP="001365C3">
      <w:pPr>
        <w:spacing w:line="240" w:lineRule="auto"/>
        <w:ind w:firstLine="708"/>
      </w:pPr>
      <w:r w:rsidRPr="005341B9">
        <w:rPr>
          <w:lang w:eastAsia="pt-BR"/>
        </w:rPr>
        <w:t xml:space="preserve">Segundo Schartinger </w:t>
      </w:r>
      <w:r w:rsidRPr="005341B9">
        <w:rPr>
          <w:i/>
          <w:lang w:eastAsia="pt-BR"/>
        </w:rPr>
        <w:t>et al.</w:t>
      </w:r>
      <w:r w:rsidRPr="005341B9">
        <w:rPr>
          <w:lang w:eastAsia="pt-BR"/>
        </w:rPr>
        <w:t xml:space="preserve"> (2002), os resultados empíricos de um conjunto de dados de vários tipos de interações de conhecimento entre departamentos de universidades e empresas na Áustria indicam que no setor de serviços, as intensidades de interação U-E seguem um padrão, qual seja, elevadas intensidades nos serviços relacionados aos produtores (</w:t>
      </w:r>
      <w:r w:rsidRPr="005341B9">
        <w:rPr>
          <w:i/>
          <w:lang w:eastAsia="pt-BR"/>
        </w:rPr>
        <w:t>producer-related services</w:t>
      </w:r>
      <w:r w:rsidRPr="005341B9">
        <w:rPr>
          <w:lang w:eastAsia="pt-BR"/>
        </w:rPr>
        <w:t xml:space="preserve">), bancos, seguros e serviços de computação. </w:t>
      </w:r>
      <w:r w:rsidR="000F347A" w:rsidRPr="005341B9">
        <w:rPr>
          <w:color w:val="000000"/>
          <w:lang w:eastAsia="pt-BR"/>
        </w:rPr>
        <w:t>Hipp e Grupp (2005)</w:t>
      </w:r>
      <w:r w:rsidR="00BA66B1" w:rsidRPr="005341B9">
        <w:rPr>
          <w:color w:val="000000"/>
          <w:lang w:eastAsia="pt-BR"/>
        </w:rPr>
        <w:t xml:space="preserve"> </w:t>
      </w:r>
      <w:r w:rsidR="000F347A" w:rsidRPr="005341B9">
        <w:rPr>
          <w:color w:val="000000"/>
          <w:lang w:eastAsia="pt-BR"/>
        </w:rPr>
        <w:t>identificaram que as firmas de serviços i</w:t>
      </w:r>
      <w:r w:rsidR="000F347A" w:rsidRPr="005341B9">
        <w:rPr>
          <w:lang w:eastAsia="pt-BR"/>
        </w:rPr>
        <w:t xml:space="preserve">ntensivas em conhecimento exibiram estreitas relações com os clientes e fortes vínculos com a base científica.             </w:t>
      </w:r>
    </w:p>
    <w:p w14:paraId="21460C53" w14:textId="5212A126" w:rsidR="005E1E6C" w:rsidRPr="005341B9" w:rsidRDefault="005E1E6C" w:rsidP="005341B9">
      <w:pPr>
        <w:spacing w:line="240" w:lineRule="auto"/>
        <w:ind w:firstLine="708"/>
      </w:pPr>
      <w:r w:rsidRPr="005341B9">
        <w:t xml:space="preserve">Em </w:t>
      </w:r>
      <w:r w:rsidR="00A30E3D" w:rsidRPr="005341B9">
        <w:t xml:space="preserve">relação </w:t>
      </w:r>
      <w:r w:rsidRPr="005341B9">
        <w:t xml:space="preserve">às empresas </w:t>
      </w:r>
      <w:r w:rsidR="00A30E3D" w:rsidRPr="005341B9">
        <w:t>dos SICs. Fernandes</w:t>
      </w:r>
      <w:r w:rsidR="00DD420B" w:rsidRPr="005341B9">
        <w:t xml:space="preserve"> </w:t>
      </w:r>
      <w:r w:rsidR="00EA342A" w:rsidRPr="005341B9">
        <w:t xml:space="preserve">e Ferreira </w:t>
      </w:r>
      <w:r w:rsidR="00A30E3D" w:rsidRPr="005341B9">
        <w:t>(2011) sumariza</w:t>
      </w:r>
      <w:r w:rsidR="00CA40D8" w:rsidRPr="005341B9">
        <w:t>ra</w:t>
      </w:r>
      <w:r w:rsidR="00A30E3D" w:rsidRPr="005341B9">
        <w:t xml:space="preserve">m as </w:t>
      </w:r>
      <w:r w:rsidR="00040576" w:rsidRPr="005341B9">
        <w:t>principais formas de interação</w:t>
      </w:r>
      <w:r w:rsidRPr="005341B9">
        <w:t xml:space="preserve"> com universidades e </w:t>
      </w:r>
      <w:r w:rsidR="00826E0E" w:rsidRPr="005341B9">
        <w:t>IP</w:t>
      </w:r>
      <w:r w:rsidR="00533A85">
        <w:t>P</w:t>
      </w:r>
      <w:r w:rsidR="00826E0E" w:rsidRPr="005341B9">
        <w:t>s</w:t>
      </w:r>
      <w:r w:rsidR="00040576" w:rsidRPr="005341B9">
        <w:t xml:space="preserve"> em dois tipos. </w:t>
      </w:r>
      <w:r w:rsidR="00315194" w:rsidRPr="005341B9">
        <w:t xml:space="preserve">Primeiramente, como fontes primárias de conhecimento, estes servem como fonte de informação, inspiração e orientação para os projetos de inovação das empresas de SICs, notadamente para as que desenvolvem atividades relacionadas a P&amp;D. Em segundo lugar, a cooperação para inovação entre esses agentes também é importante. </w:t>
      </w:r>
      <w:r w:rsidR="00040576" w:rsidRPr="005341B9">
        <w:t xml:space="preserve">Os mesmos autores </w:t>
      </w:r>
      <w:r w:rsidR="00315194" w:rsidRPr="005341B9">
        <w:t xml:space="preserve">identificam doze fatores que explicam a existência de cooperação entre universidades e SICs, entre eles: a proximidade geográfica, a existência de </w:t>
      </w:r>
      <w:r w:rsidR="00315194" w:rsidRPr="005341B9">
        <w:rPr>
          <w:i/>
        </w:rPr>
        <w:t>networks</w:t>
      </w:r>
      <w:r w:rsidR="00315194" w:rsidRPr="005341B9">
        <w:t xml:space="preserve"> entre acadêmicos e empregados dos SICs, a divisão dos custos gerais e com pesquisa, o compartilhamento de tecnologias e conhecimento e a busca por mais eficiência produtiva.</w:t>
      </w:r>
    </w:p>
    <w:p w14:paraId="29E07BC0" w14:textId="648E8DF7" w:rsidR="005341B9" w:rsidRPr="00C209F0" w:rsidRDefault="00040576" w:rsidP="00C209F0">
      <w:pPr>
        <w:spacing w:line="240" w:lineRule="auto"/>
        <w:ind w:firstLine="708"/>
      </w:pPr>
      <w:r w:rsidRPr="005341B9">
        <w:t>Procurando avançar neste sentido</w:t>
      </w:r>
      <w:r w:rsidR="00826E0E" w:rsidRPr="005341B9">
        <w:t>,</w:t>
      </w:r>
      <w:r w:rsidRPr="005341B9">
        <w:t xml:space="preserve"> </w:t>
      </w:r>
      <w:r w:rsidR="003402A4" w:rsidRPr="005341B9">
        <w:t>este trabalho analisar</w:t>
      </w:r>
      <w:r w:rsidR="009E34FF" w:rsidRPr="005341B9">
        <w:t>á</w:t>
      </w:r>
      <w:r w:rsidRPr="005341B9">
        <w:t xml:space="preserve"> o esforço inovador das empresas</w:t>
      </w:r>
      <w:r w:rsidR="00826E0E" w:rsidRPr="005341B9">
        <w:t xml:space="preserve"> brasileiras</w:t>
      </w:r>
      <w:r w:rsidRPr="005341B9">
        <w:t xml:space="preserve"> de SICs (gastos e pessoal alocado em P&amp;D e tipo de inovação) e sua interação com as universidades</w:t>
      </w:r>
      <w:r w:rsidR="00826E0E" w:rsidRPr="005341B9">
        <w:t>,</w:t>
      </w:r>
      <w:r w:rsidRPr="005341B9">
        <w:t xml:space="preserve"> através de questões relacionadas à motivação, canais utilizados e fonte</w:t>
      </w:r>
      <w:r w:rsidR="00826E0E" w:rsidRPr="005341B9">
        <w:t>s</w:t>
      </w:r>
      <w:r w:rsidRPr="005341B9">
        <w:t xml:space="preserve"> de informação para a inovação. </w:t>
      </w:r>
    </w:p>
    <w:p w14:paraId="4F9B3271" w14:textId="285966B8" w:rsidR="00315194" w:rsidRPr="005341B9" w:rsidRDefault="00315194" w:rsidP="00C209F0">
      <w:pPr>
        <w:spacing w:line="240" w:lineRule="auto"/>
        <w:ind w:firstLine="708"/>
      </w:pPr>
    </w:p>
    <w:p w14:paraId="7331370D" w14:textId="65378F73" w:rsidR="00EE3951" w:rsidRPr="005341B9" w:rsidRDefault="00F70561" w:rsidP="005341B9">
      <w:pPr>
        <w:spacing w:line="240" w:lineRule="auto"/>
        <w:rPr>
          <w:b/>
          <w:i/>
        </w:rPr>
      </w:pPr>
      <w:r>
        <w:rPr>
          <w:b/>
        </w:rPr>
        <w:t>3</w:t>
      </w:r>
      <w:r w:rsidR="00EE3951" w:rsidRPr="005341B9">
        <w:rPr>
          <w:b/>
        </w:rPr>
        <w:t xml:space="preserve"> </w:t>
      </w:r>
      <w:r w:rsidR="008E08B8">
        <w:rPr>
          <w:b/>
        </w:rPr>
        <w:t>–</w:t>
      </w:r>
      <w:r w:rsidR="00EE3951" w:rsidRPr="005341B9">
        <w:rPr>
          <w:b/>
        </w:rPr>
        <w:t xml:space="preserve"> </w:t>
      </w:r>
      <w:r w:rsidR="00B148D4">
        <w:rPr>
          <w:b/>
        </w:rPr>
        <w:t xml:space="preserve">BASE DE DADOS E </w:t>
      </w:r>
      <w:r w:rsidR="0056719B">
        <w:rPr>
          <w:b/>
        </w:rPr>
        <w:t>METODOLOGIA</w:t>
      </w:r>
    </w:p>
    <w:p w14:paraId="0587C098" w14:textId="77777777" w:rsidR="000E5F4D" w:rsidRDefault="00EE3951" w:rsidP="005341B9">
      <w:pPr>
        <w:spacing w:line="240" w:lineRule="auto"/>
      </w:pPr>
      <w:r w:rsidRPr="005341B9">
        <w:tab/>
      </w:r>
    </w:p>
    <w:p w14:paraId="0E351D22" w14:textId="2D73E493" w:rsidR="00B148D4" w:rsidRPr="007B3A90" w:rsidRDefault="00A462CC" w:rsidP="007B3A90">
      <w:pPr>
        <w:spacing w:line="240" w:lineRule="auto"/>
        <w:ind w:firstLine="708"/>
      </w:pPr>
      <w:r>
        <w:t xml:space="preserve">O presente estudo utiliza </w:t>
      </w:r>
      <w:r w:rsidR="002A4ECE">
        <w:t xml:space="preserve">uma base de dados originada de uma pesquisa realizada com </w:t>
      </w:r>
      <w:r w:rsidR="002A4ECE" w:rsidRPr="007B3A90">
        <w:t>empresas e com grupos de pesquisa do CNPq que interagiram de acordo com o Censo 2004 do D</w:t>
      </w:r>
      <w:r w:rsidR="00FE0373" w:rsidRPr="007B3A90">
        <w:t xml:space="preserve">iretório dos Grupos de Pesquisa do CNPq, denominada de </w:t>
      </w:r>
      <w:r w:rsidRPr="007B3A90">
        <w:t>“BR Survey”</w:t>
      </w:r>
      <w:r w:rsidR="00FE0373" w:rsidRPr="007B3A90">
        <w:t>.</w:t>
      </w:r>
      <w:r w:rsidRPr="007B3A90">
        <w:t xml:space="preserve"> </w:t>
      </w:r>
      <w:r w:rsidR="00B148D4" w:rsidRPr="007B3A90">
        <w:t>A pe</w:t>
      </w:r>
      <w:r w:rsidR="0056719B" w:rsidRPr="007B3A90">
        <w:t>s</w:t>
      </w:r>
      <w:r w:rsidR="00B148D4" w:rsidRPr="007B3A90">
        <w:t>quisa foi realizada entre 2008 e 2009</w:t>
      </w:r>
      <w:r w:rsidR="00FE0373" w:rsidRPr="007B3A90">
        <w:t xml:space="preserve"> e o questionário aplicado às empresas abrangia questões concernentes à:</w:t>
      </w:r>
      <w:r w:rsidR="007B3A90" w:rsidRPr="007B3A90">
        <w:t xml:space="preserve"> atividades inovativas; fontes de informação e conhecimento; modos de interação; razões para a colaboração;</w:t>
      </w:r>
      <w:r w:rsidR="007E7C74">
        <w:t xml:space="preserve"> </w:t>
      </w:r>
      <w:r w:rsidR="007B3A90" w:rsidRPr="007B3A90">
        <w:t>obstáculos à colaboração; tempo de colaboração; e fonte de financiamento</w:t>
      </w:r>
      <w:r w:rsidR="007B3A90">
        <w:t xml:space="preserve"> </w:t>
      </w:r>
      <w:r w:rsidR="007B3A90" w:rsidRPr="007B3A90">
        <w:t xml:space="preserve">das atividades colaborativas. </w:t>
      </w:r>
      <w:r w:rsidR="007B3A90">
        <w:t xml:space="preserve"> </w:t>
      </w:r>
      <w:r w:rsidR="002B4B91" w:rsidRPr="007B3A90">
        <w:t xml:space="preserve">Obteve-se a resposta de 318 empresas, e dentre estas, 48 são analisadas no </w:t>
      </w:r>
      <w:r w:rsidR="00533A85" w:rsidRPr="007B3A90">
        <w:t xml:space="preserve">presente </w:t>
      </w:r>
      <w:r w:rsidR="002B4B91" w:rsidRPr="007B3A90">
        <w:t xml:space="preserve">artigo porque são de </w:t>
      </w:r>
      <w:r w:rsidR="00533A85" w:rsidRPr="007B3A90">
        <w:t xml:space="preserve">setores </w:t>
      </w:r>
      <w:r w:rsidR="002B4B91" w:rsidRPr="007B3A90">
        <w:t xml:space="preserve">pertencentes aos </w:t>
      </w:r>
      <w:r w:rsidR="00533A85" w:rsidRPr="007B3A90">
        <w:t xml:space="preserve">serviços intensivos em conhecimento. </w:t>
      </w:r>
      <w:r w:rsidR="002B4B91" w:rsidRPr="007B3A90">
        <w:t>Mais d</w:t>
      </w:r>
      <w:r w:rsidR="00533A85" w:rsidRPr="007B3A90">
        <w:t xml:space="preserve">etalhes sobre </w:t>
      </w:r>
      <w:r w:rsidR="002B4B91" w:rsidRPr="007B3A90">
        <w:t xml:space="preserve">a </w:t>
      </w:r>
      <w:r w:rsidR="00533A85" w:rsidRPr="007B3A90">
        <w:t xml:space="preserve">base </w:t>
      </w:r>
      <w:r w:rsidR="002B4B91" w:rsidRPr="007B3A90">
        <w:t xml:space="preserve">de dados </w:t>
      </w:r>
      <w:r w:rsidR="00533A85" w:rsidRPr="007B3A90">
        <w:t xml:space="preserve">estão disponíveis em Fernandes </w:t>
      </w:r>
      <w:r w:rsidR="00533A85" w:rsidRPr="007B3A90">
        <w:rPr>
          <w:i/>
        </w:rPr>
        <w:t>et al</w:t>
      </w:r>
      <w:r w:rsidR="00533A85" w:rsidRPr="007B3A90">
        <w:t xml:space="preserve"> (2010).</w:t>
      </w:r>
      <w:r w:rsidR="0097142A">
        <w:t xml:space="preserve"> </w:t>
      </w:r>
    </w:p>
    <w:p w14:paraId="06C0D17D" w14:textId="3E6C6791" w:rsidR="002F1BFB" w:rsidRDefault="002A4ECE" w:rsidP="002F1BFB">
      <w:pPr>
        <w:spacing w:line="240" w:lineRule="auto"/>
        <w:ind w:firstLine="708"/>
      </w:pPr>
      <w:r w:rsidRPr="007B3A90">
        <w:t xml:space="preserve">Em termos metodológicos é utilizada a </w:t>
      </w:r>
      <w:r w:rsidR="00EE3951" w:rsidRPr="007B3A90">
        <w:t xml:space="preserve">análise de </w:t>
      </w:r>
      <w:r w:rsidR="00EE3951" w:rsidRPr="007B3A90">
        <w:rPr>
          <w:i/>
        </w:rPr>
        <w:t xml:space="preserve">cluster </w:t>
      </w:r>
      <w:r w:rsidR="00A462CC" w:rsidRPr="007B3A90">
        <w:t>para identificar grupos de</w:t>
      </w:r>
      <w:r w:rsidR="00A462CC">
        <w:t xml:space="preserve"> empresas com características similares entre si. Essa técnica busca </w:t>
      </w:r>
      <w:r w:rsidR="00EE3951" w:rsidRPr="005341B9">
        <w:t xml:space="preserve">obter </w:t>
      </w:r>
      <w:r w:rsidR="0017793A" w:rsidRPr="005341B9">
        <w:t>uma alta homogeneidade int</w:t>
      </w:r>
      <w:r w:rsidR="00A462CC">
        <w:t>ragrupo</w:t>
      </w:r>
      <w:r w:rsidR="00EE3951" w:rsidRPr="005341B9">
        <w:t xml:space="preserve"> e uma alta heterogeneidade entre os grupos.</w:t>
      </w:r>
      <w:r w:rsidR="0097142A">
        <w:t xml:space="preserve"> </w:t>
      </w:r>
      <w:r w:rsidR="00EE3951" w:rsidRPr="005341B9">
        <w:t xml:space="preserve">Nesse trabalho, </w:t>
      </w:r>
      <w:r w:rsidR="00A462CC">
        <w:t>o</w:t>
      </w:r>
      <w:r w:rsidR="00EE3951" w:rsidRPr="005341B9">
        <w:t xml:space="preserve"> agrupamento </w:t>
      </w:r>
      <w:r w:rsidR="00A462CC">
        <w:t xml:space="preserve">é realizado </w:t>
      </w:r>
      <w:r w:rsidR="00EE3951" w:rsidRPr="005341B9">
        <w:t>a partir das razões</w:t>
      </w:r>
      <w:r w:rsidR="00A462CC">
        <w:t>/motivações da empresa para interagir com universidades</w:t>
      </w:r>
      <w:r w:rsidR="00EE3951" w:rsidRPr="005341B9">
        <w:t>. Dado que essas variáveis são ordinais</w:t>
      </w:r>
      <w:r w:rsidR="00F135FA">
        <w:rPr>
          <w:rStyle w:val="Refdenotaderodap"/>
        </w:rPr>
        <w:footnoteReference w:id="6"/>
      </w:r>
      <w:r w:rsidR="00EE3951" w:rsidRPr="005341B9">
        <w:t xml:space="preserve">, foi realizada a transformação das variáveis seguindo a sugestão de </w:t>
      </w:r>
      <w:r w:rsidR="001628DE" w:rsidRPr="005341B9">
        <w:fldChar w:fldCharType="begin" w:fldLock="1"/>
      </w:r>
      <w:r w:rsidR="00EE3951" w:rsidRPr="005341B9">
        <w:instrText>ADDIN CSL_CITATION { "citationItems" : [ { "id" : "ITEM-1", "itemData" : { "author" : [ { "dropping-particle" : "", "family" : "Kaufman", "given" : "Leornard", "non-dropping-particle" : "", "parse-names" : false, "suffix" : "" }, { "dropping-particle" : "", "family" : "Rousseeuw", "given" : "Peter J.", "non-dropping-particle" : "", "parse-names" : false, "suffix" : "" } ], "id" : "ITEM-1", "issued" : { "date-parts" : [ [ "1990" ] ] }, "page" : "342", "publisher" : "John Wiley &amp; Sons", "publisher-place" : "New York", "title" : "Finding Groups in Data", "type" : "book" }, "uris" : [ "http://www.mendeley.com/documents/?uuid=84ede050-b774-401f-a62d-663197c1dfef" ] } ], "mendeley" : { "manualFormatting" : "Kaufman e Rousseeuw (1990)", "previouslyFormattedCitation" : "(KAUFMAN; ROUSSEEUW, 1990)" }, "properties" : { "noteIndex" : 0 }, "schema" : "https://github.com/citation-style-language/schema/raw/master/csl-citation.json" }</w:instrText>
      </w:r>
      <w:r w:rsidR="001628DE" w:rsidRPr="005341B9">
        <w:fldChar w:fldCharType="separate"/>
      </w:r>
      <w:r w:rsidR="00EE3951" w:rsidRPr="005341B9">
        <w:rPr>
          <w:noProof/>
        </w:rPr>
        <w:t>Kaufman e Rousseeuw (1990)</w:t>
      </w:r>
      <w:r w:rsidR="001628DE" w:rsidRPr="005341B9">
        <w:fldChar w:fldCharType="end"/>
      </w:r>
      <w:r w:rsidR="00EE3951" w:rsidRPr="005341B9">
        <w:t xml:space="preserve"> e do </w:t>
      </w:r>
      <w:r w:rsidR="00EE3951" w:rsidRPr="005341B9">
        <w:lastRenderedPageBreak/>
        <w:t xml:space="preserve">Manual do </w:t>
      </w:r>
      <w:r w:rsidR="00EE3951" w:rsidRPr="005341B9">
        <w:rPr>
          <w:i/>
        </w:rPr>
        <w:t xml:space="preserve">software </w:t>
      </w:r>
      <w:r w:rsidR="00EE3951" w:rsidRPr="005341B9">
        <w:t>S-PLUS</w:t>
      </w:r>
      <w:r w:rsidR="00EE3951" w:rsidRPr="005341B9">
        <w:rPr>
          <w:rStyle w:val="Refdenotaderodap"/>
        </w:rPr>
        <w:footnoteReference w:id="7"/>
      </w:r>
      <w:r w:rsidR="00EE3951" w:rsidRPr="005341B9">
        <w:t xml:space="preserve">, calculando a matriz de dissimilaridade através da distância euclidiana. </w:t>
      </w:r>
      <w:r w:rsidR="00A462CC">
        <w:t xml:space="preserve">A partir dessa matriz </w:t>
      </w:r>
      <w:r w:rsidR="00EE3951" w:rsidRPr="005341B9">
        <w:t xml:space="preserve">foi realizada a análise de </w:t>
      </w:r>
      <w:r w:rsidR="001628DE" w:rsidRPr="005341B9">
        <w:rPr>
          <w:i/>
        </w:rPr>
        <w:t>cluste</w:t>
      </w:r>
      <w:r w:rsidR="00EE3951" w:rsidRPr="005341B9">
        <w:t xml:space="preserve">r hierárquica através dos métodos de Ward e </w:t>
      </w:r>
      <w:r w:rsidR="00EE3951" w:rsidRPr="005341B9">
        <w:rPr>
          <w:i/>
        </w:rPr>
        <w:t>average linkage</w:t>
      </w:r>
      <w:r w:rsidR="0019224D" w:rsidRPr="005341B9">
        <w:rPr>
          <w:rStyle w:val="Refdenotaderodap"/>
          <w:i/>
        </w:rPr>
        <w:footnoteReference w:id="8"/>
      </w:r>
      <w:r w:rsidR="00EE3951" w:rsidRPr="005341B9">
        <w:t>.</w:t>
      </w:r>
      <w:r w:rsidR="00C33365">
        <w:t xml:space="preserve"> A escolha de qual agregação utilizar foi baseada no coeficiente de agregação e na análise do dendrograma.</w:t>
      </w:r>
      <w:r w:rsidR="004E6DCA">
        <w:t xml:space="preserve"> Tal coeficiente </w:t>
      </w:r>
      <w:r w:rsidR="004E6DCA" w:rsidRPr="005341B9" w:rsidDel="00F135FA">
        <w:t>varia entre 0 e 1</w:t>
      </w:r>
      <w:r w:rsidR="004E6DCA">
        <w:t xml:space="preserve">, de modo que quanto mais próximo de 1, melhor </w:t>
      </w:r>
      <w:r w:rsidR="004E6DCA" w:rsidRPr="005341B9" w:rsidDel="00F135FA">
        <w:t>a agregação realizada</w:t>
      </w:r>
      <w:r w:rsidR="004E6DCA">
        <w:t xml:space="preserve">. </w:t>
      </w:r>
      <w:r w:rsidR="004E6DCA" w:rsidRPr="005341B9" w:rsidDel="00F135FA">
        <w:t>Porém, isso não implica necessariamente que o agru</w:t>
      </w:r>
      <w:r w:rsidR="004E6DCA">
        <w:t xml:space="preserve">pamento foi o “correto”; </w:t>
      </w:r>
      <w:r w:rsidR="000E5F4D">
        <w:t xml:space="preserve">deve-se analisar também o dendrograma e </w:t>
      </w:r>
      <w:r w:rsidR="004E6DCA" w:rsidRPr="005341B9" w:rsidDel="00F135FA">
        <w:t xml:space="preserve">o agrupamento final </w:t>
      </w:r>
      <w:r w:rsidR="004E6DCA" w:rsidRPr="005341B9" w:rsidDel="00F135FA">
        <w:fldChar w:fldCharType="begin" w:fldLock="1"/>
      </w:r>
      <w:r w:rsidR="004E6DCA" w:rsidRPr="005341B9" w:rsidDel="00F135FA">
        <w:instrText>ADDIN CSL_CITATION { "citationItems" : [ { "id" : "ITEM-1", "itemData" : { "author" : [ { "dropping-particle" : "", "family" : "Kaufman", "given" : "Leornard", "non-dropping-particle" : "", "parse-names" : false, "suffix" : "" }, { "dropping-particle" : "", "family" : "Rousseeuw", "given" : "Peter J.", "non-dropping-particle" : "", "parse-names" : false, "suffix" : "" } ], "id" : "ITEM-1", "issued" : { "date-parts" : [ [ "1990" ] ] }, "page" : "342", "publisher" : "John Wiley &amp; Sons", "publisher-place" : "New York", "title" : "Finding Groups in Data", "type" : "book" }, "uris" : [ "http://www.mendeley.com/documents/?uuid=84ede050-b774-401f-a62d-663197c1dfef" ] } ], "mendeley" : { "previouslyFormattedCitation" : "(KAUFMAN; ROUSSEEUW, 1990)" }, "properties" : { "noteIndex" : 0 }, "schema" : "https://github.com/citation-style-language/schema/raw/master/csl-citation.json" }</w:instrText>
      </w:r>
      <w:r w:rsidR="004E6DCA" w:rsidRPr="005341B9" w:rsidDel="00F135FA">
        <w:fldChar w:fldCharType="separate"/>
      </w:r>
      <w:r w:rsidR="004E6DCA" w:rsidRPr="005341B9" w:rsidDel="00F135FA">
        <w:rPr>
          <w:noProof/>
        </w:rPr>
        <w:t>(KAUFMAN; ROUSSEEUW, 1990)</w:t>
      </w:r>
      <w:r w:rsidR="004E6DCA" w:rsidRPr="005341B9" w:rsidDel="00F135FA">
        <w:fldChar w:fldCharType="end"/>
      </w:r>
      <w:r w:rsidR="004E6DCA">
        <w:t>.</w:t>
      </w:r>
      <w:r w:rsidR="00C33365">
        <w:t xml:space="preserve"> </w:t>
      </w:r>
      <w:r w:rsidR="00F135FA">
        <w:t>A</w:t>
      </w:r>
      <w:r w:rsidR="00C33365">
        <w:t xml:space="preserve"> figura 1 abaixo apresenta </w:t>
      </w:r>
      <w:r w:rsidR="00F135FA">
        <w:t>o</w:t>
      </w:r>
      <w:r w:rsidR="00C33365">
        <w:t>s</w:t>
      </w:r>
      <w:r w:rsidR="00F135FA">
        <w:t xml:space="preserve"> dendrograma</w:t>
      </w:r>
      <w:r w:rsidR="00C33365">
        <w:t>s.</w:t>
      </w:r>
    </w:p>
    <w:p w14:paraId="4623666D" w14:textId="1C38FD58" w:rsidR="004E6DCA" w:rsidRDefault="004E6DCA" w:rsidP="002F1BFB">
      <w:pPr>
        <w:spacing w:line="240" w:lineRule="auto"/>
        <w:ind w:firstLine="708"/>
      </w:pPr>
      <w:r>
        <w:t xml:space="preserve">Pela análise do dendrograma, nota-se que ambos sugerem a possibilidade de 4 grupos, porém o método de Ward apresentou um coeficiente de aglomeração maior (0,871 contra </w:t>
      </w:r>
      <w:r w:rsidRPr="005341B9">
        <w:t>0</w:t>
      </w:r>
      <w:r>
        <w:t>,</w:t>
      </w:r>
      <w:r w:rsidRPr="005341B9">
        <w:t>602</w:t>
      </w:r>
      <w:r>
        <w:t xml:space="preserve"> para o </w:t>
      </w:r>
      <w:r w:rsidRPr="004E6DCA">
        <w:rPr>
          <w:i/>
        </w:rPr>
        <w:t>average linkage</w:t>
      </w:r>
      <w:r>
        <w:t xml:space="preserve">). </w:t>
      </w:r>
      <w:r w:rsidR="000E5F4D">
        <w:t>Portanto,</w:t>
      </w:r>
      <w:r w:rsidRPr="005341B9">
        <w:t xml:space="preserve"> serão utilizados os resultados oriundos do método de Ward, em especial o agrupamento para 4 grupos</w:t>
      </w:r>
      <w:r w:rsidRPr="005341B9">
        <w:rPr>
          <w:rStyle w:val="Refdenotaderodap"/>
        </w:rPr>
        <w:footnoteReference w:id="9"/>
      </w:r>
      <w:r w:rsidRPr="005341B9">
        <w:t xml:space="preserve">. A seguir, é comparado esse agrupamento gerado com a classificação setorial prévia de Miles (2005) e caracterizado aquele em termos da razão de interagir. Após essa caracterização, são observadas diferenças entre os grupos quanto à sua estratégia </w:t>
      </w:r>
      <w:r w:rsidR="003D501D">
        <w:t xml:space="preserve">e esforços </w:t>
      </w:r>
      <w:r w:rsidRPr="005341B9">
        <w:t>inovativ</w:t>
      </w:r>
      <w:r w:rsidR="003D501D">
        <w:t>os</w:t>
      </w:r>
      <w:r w:rsidRPr="005341B9">
        <w:t xml:space="preserve"> e a forma de interação com as universidades, tendo em mente que diferentes motivações para interagir levam a diferentes formas de interagir e estão atreladas a diferentes estratégias </w:t>
      </w:r>
      <w:r w:rsidR="003D501D">
        <w:t xml:space="preserve">e esforços </w:t>
      </w:r>
      <w:r w:rsidRPr="005341B9">
        <w:t>inovativ</w:t>
      </w:r>
      <w:r w:rsidR="003D501D">
        <w:t>o</w:t>
      </w:r>
      <w:r w:rsidRPr="005341B9">
        <w:t>s.</w:t>
      </w:r>
    </w:p>
    <w:p w14:paraId="2F021E1A" w14:textId="4D1429F5" w:rsidR="00C33365" w:rsidRDefault="00C33365" w:rsidP="002F1BFB">
      <w:pPr>
        <w:spacing w:line="240" w:lineRule="auto"/>
        <w:ind w:firstLine="708"/>
      </w:pPr>
    </w:p>
    <w:p w14:paraId="4F952A51" w14:textId="77777777" w:rsidR="002F1BFB" w:rsidRDefault="002F1BFB" w:rsidP="002F1BFB">
      <w:pPr>
        <w:spacing w:line="240" w:lineRule="auto"/>
        <w:rPr>
          <w:b/>
        </w:rPr>
        <w:sectPr w:rsidR="002F1BFB" w:rsidSect="00314CFF">
          <w:footerReference w:type="default" r:id="rId8"/>
          <w:pgSz w:w="11906" w:h="16838" w:code="9"/>
          <w:pgMar w:top="1134" w:right="851" w:bottom="1134" w:left="851" w:header="709" w:footer="709" w:gutter="0"/>
          <w:cols w:space="708"/>
          <w:docGrid w:linePitch="360"/>
        </w:sectPr>
      </w:pPr>
    </w:p>
    <w:p w14:paraId="3EC55CC1" w14:textId="07BC7E2B" w:rsidR="009138C6" w:rsidRDefault="009138C6" w:rsidP="007B3A90">
      <w:pPr>
        <w:spacing w:line="240" w:lineRule="auto"/>
        <w:jc w:val="center"/>
        <w:rPr>
          <w:b/>
          <w:i/>
        </w:rPr>
      </w:pPr>
      <w:r w:rsidRPr="005341B9">
        <w:rPr>
          <w:b/>
        </w:rPr>
        <w:lastRenderedPageBreak/>
        <w:t>Figura 1 – Dendrograma</w:t>
      </w:r>
      <w:r w:rsidR="00F135FA">
        <w:rPr>
          <w:b/>
        </w:rPr>
        <w:t>s obtidos</w:t>
      </w:r>
      <w:r w:rsidRPr="005341B9">
        <w:rPr>
          <w:b/>
        </w:rPr>
        <w:t xml:space="preserve"> a partir do </w:t>
      </w:r>
      <w:r w:rsidRPr="005341B9">
        <w:rPr>
          <w:b/>
          <w:i/>
        </w:rPr>
        <w:t xml:space="preserve">average </w:t>
      </w:r>
      <w:r w:rsidR="002F1BFB" w:rsidRPr="002F1BFB">
        <w:rPr>
          <w:b/>
        </w:rPr>
        <w:t xml:space="preserve">e </w:t>
      </w:r>
      <w:r w:rsidR="002F1BFB">
        <w:rPr>
          <w:b/>
          <w:i/>
        </w:rPr>
        <w:t xml:space="preserve">Ward </w:t>
      </w:r>
      <w:r w:rsidRPr="005341B9">
        <w:rPr>
          <w:b/>
          <w:i/>
        </w:rPr>
        <w:t>linkage</w:t>
      </w:r>
    </w:p>
    <w:tbl>
      <w:tblPr>
        <w:tblStyle w:val="Tabelacomgrade"/>
        <w:tblW w:w="0" w:type="auto"/>
        <w:tblLayout w:type="fixed"/>
        <w:tblLook w:val="04A0" w:firstRow="1" w:lastRow="0" w:firstColumn="1" w:lastColumn="0" w:noHBand="0" w:noVBand="1"/>
      </w:tblPr>
      <w:tblGrid>
        <w:gridCol w:w="7344"/>
        <w:gridCol w:w="7344"/>
      </w:tblGrid>
      <w:tr w:rsidR="002F1BFB" w14:paraId="010F3AFC" w14:textId="77777777" w:rsidTr="002A4ECE">
        <w:trPr>
          <w:trHeight w:val="288"/>
        </w:trPr>
        <w:tc>
          <w:tcPr>
            <w:tcW w:w="7344" w:type="dxa"/>
          </w:tcPr>
          <w:p w14:paraId="68D0E62E" w14:textId="77777777" w:rsidR="002F1BFB" w:rsidRDefault="002F1BFB" w:rsidP="002A4ECE">
            <w:pPr>
              <w:pStyle w:val="PargrafodaLista"/>
              <w:spacing w:line="240" w:lineRule="auto"/>
              <w:ind w:left="0"/>
              <w:jc w:val="center"/>
              <w:rPr>
                <w:b/>
              </w:rPr>
            </w:pPr>
            <w:r>
              <w:rPr>
                <w:b/>
              </w:rPr>
              <w:t xml:space="preserve">Método </w:t>
            </w:r>
            <w:r w:rsidRPr="002F1BFB">
              <w:rPr>
                <w:b/>
                <w:i/>
              </w:rPr>
              <w:t>Average</w:t>
            </w:r>
          </w:p>
        </w:tc>
        <w:tc>
          <w:tcPr>
            <w:tcW w:w="7344" w:type="dxa"/>
          </w:tcPr>
          <w:p w14:paraId="311B5817" w14:textId="77777777" w:rsidR="002F1BFB" w:rsidRDefault="002F1BFB" w:rsidP="002A4ECE">
            <w:pPr>
              <w:pStyle w:val="PargrafodaLista"/>
              <w:spacing w:line="240" w:lineRule="auto"/>
              <w:ind w:left="0"/>
              <w:jc w:val="center"/>
              <w:rPr>
                <w:b/>
              </w:rPr>
            </w:pPr>
            <w:r>
              <w:rPr>
                <w:b/>
              </w:rPr>
              <w:t>Método Ward</w:t>
            </w:r>
          </w:p>
        </w:tc>
      </w:tr>
    </w:tbl>
    <w:p w14:paraId="4C640B56" w14:textId="3CA2F96A" w:rsidR="002F1BFB" w:rsidRDefault="00C33365">
      <w:pPr>
        <w:spacing w:after="200" w:line="276" w:lineRule="auto"/>
        <w:jc w:val="left"/>
        <w:rPr>
          <w:b/>
          <w:i/>
        </w:rPr>
      </w:pPr>
      <w:r>
        <w:rPr>
          <w:noProof/>
          <w:lang w:eastAsia="pt-BR"/>
        </w:rPr>
        <mc:AlternateContent>
          <mc:Choice Requires="wps">
            <w:drawing>
              <wp:anchor distT="0" distB="0" distL="114300" distR="114300" simplePos="0" relativeHeight="251659264" behindDoc="0" locked="0" layoutInCell="1" allowOverlap="1" wp14:anchorId="534723DC" wp14:editId="5E764597">
                <wp:simplePos x="0" y="0"/>
                <wp:positionH relativeFrom="column">
                  <wp:posOffset>422910</wp:posOffset>
                </wp:positionH>
                <wp:positionV relativeFrom="paragraph">
                  <wp:posOffset>4324350</wp:posOffset>
                </wp:positionV>
                <wp:extent cx="2374265" cy="140398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DEBB4AE" w14:textId="6015E46B" w:rsidR="0083079D" w:rsidRDefault="0083079D">
                            <w:r>
                              <w:t xml:space="preserve">Fonte: </w:t>
                            </w:r>
                            <w:r w:rsidRPr="00C33365">
                              <w:rPr>
                                <w:i/>
                              </w:rPr>
                              <w:t>BR Survey</w:t>
                            </w:r>
                            <w:r>
                              <w:t>. Elaboração própria.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4723DC" id="_x0000_t202" coordsize="21600,21600" o:spt="202" path="m,l,21600r21600,l21600,xe">
                <v:stroke joinstyle="miter"/>
                <v:path gradientshapeok="t" o:connecttype="rect"/>
              </v:shapetype>
              <v:shape id="Caixa de Texto 2" o:spid="_x0000_s1026" type="#_x0000_t202" style="position:absolute;margin-left:33.3pt;margin-top:340.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" stroked="f">
                <v:textbox style="mso-fit-shape-to-text:t">
                  <w:txbxContent>
                    <w:p w14:paraId="4DEBB4AE" w14:textId="6015E46B" w:rsidR="0083079D" w:rsidRDefault="0083079D">
                      <w:r>
                        <w:t xml:space="preserve">Fonte: </w:t>
                      </w:r>
                      <w:r w:rsidRPr="00C33365">
                        <w:rPr>
                          <w:i/>
                        </w:rPr>
                        <w:t>BR Survey</w:t>
                      </w:r>
                      <w:r>
                        <w:t>. Elaboração própria.</w:t>
                      </w:r>
                    </w:p>
                  </w:txbxContent>
                </v:textbox>
              </v:shape>
            </w:pict>
          </mc:Fallback>
        </mc:AlternateContent>
      </w:r>
      <w:r w:rsidR="002F1BFB" w:rsidRPr="005341B9">
        <w:object w:dxaOrig="5280" w:dyaOrig="4080" w14:anchorId="3981F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375pt" o:ole="">
            <v:imagedata r:id="rId9" o:title=""/>
          </v:shape>
          <o:OLEObject Type="Embed" ProgID="SPLUSGraphSheetFileType" ShapeID="_x0000_i1025" DrawAspect="Content" ObjectID="_1562060065" r:id="rId10"/>
        </w:object>
      </w:r>
      <w:r w:rsidR="002F1BFB" w:rsidRPr="002F1BFB">
        <w:object w:dxaOrig="5280" w:dyaOrig="4080" w14:anchorId="3B567A43">
          <v:shape id="_x0000_i1026" type="#_x0000_t75" style="width:354pt;height:377.25pt" o:ole="">
            <v:imagedata r:id="rId11" o:title=""/>
          </v:shape>
          <o:OLEObject Type="Embed" ProgID="SPLUSGraphSheetFileType" ShapeID="_x0000_i1026" DrawAspect="Content" ObjectID="_1562060066" r:id="rId12"/>
        </w:object>
      </w:r>
    </w:p>
    <w:p w14:paraId="4F5757FE" w14:textId="77777777" w:rsidR="002F1BFB" w:rsidRDefault="002F1BFB" w:rsidP="002F1BFB">
      <w:pPr>
        <w:spacing w:line="240" w:lineRule="auto"/>
        <w:rPr>
          <w:b/>
          <w:i/>
        </w:rPr>
      </w:pPr>
    </w:p>
    <w:p w14:paraId="69A8B7A1" w14:textId="77777777" w:rsidR="002F1BFB" w:rsidRDefault="002F1BFB" w:rsidP="005341B9">
      <w:pPr>
        <w:spacing w:line="240" w:lineRule="auto"/>
        <w:sectPr w:rsidR="002F1BFB" w:rsidSect="00314CFF">
          <w:pgSz w:w="16838" w:h="11906" w:orient="landscape" w:code="9"/>
          <w:pgMar w:top="1134" w:right="851" w:bottom="1134" w:left="851" w:header="709" w:footer="709" w:gutter="0"/>
          <w:cols w:space="708"/>
          <w:docGrid w:linePitch="360"/>
        </w:sectPr>
      </w:pPr>
    </w:p>
    <w:p w14:paraId="1D8343D9" w14:textId="786A8A13" w:rsidR="00EE3951" w:rsidRDefault="00F70561" w:rsidP="005341B9">
      <w:pPr>
        <w:pStyle w:val="PargrafodaLista"/>
        <w:spacing w:line="240" w:lineRule="auto"/>
        <w:ind w:left="0"/>
        <w:rPr>
          <w:b/>
        </w:rPr>
      </w:pPr>
      <w:r>
        <w:rPr>
          <w:b/>
        </w:rPr>
        <w:lastRenderedPageBreak/>
        <w:t>4</w:t>
      </w:r>
      <w:r w:rsidR="00EE3951" w:rsidRPr="005341B9">
        <w:rPr>
          <w:b/>
        </w:rPr>
        <w:t xml:space="preserve"> - </w:t>
      </w:r>
      <w:r w:rsidR="00DD1B63">
        <w:rPr>
          <w:b/>
        </w:rPr>
        <w:t>ANÁLISE DOS RESULTADOS</w:t>
      </w:r>
      <w:r w:rsidR="00EE3951" w:rsidRPr="005341B9">
        <w:rPr>
          <w:b/>
        </w:rPr>
        <w:t xml:space="preserve"> </w:t>
      </w:r>
      <w:r w:rsidR="001C1861" w:rsidRPr="005341B9">
        <w:rPr>
          <w:b/>
        </w:rPr>
        <w:t xml:space="preserve"> </w:t>
      </w:r>
    </w:p>
    <w:p w14:paraId="4E939F21" w14:textId="77777777" w:rsidR="002F2AF3" w:rsidRPr="005341B9" w:rsidRDefault="002F2AF3" w:rsidP="005341B9">
      <w:pPr>
        <w:pStyle w:val="PargrafodaLista"/>
        <w:spacing w:line="240" w:lineRule="auto"/>
        <w:ind w:left="0"/>
        <w:rPr>
          <w:b/>
        </w:rPr>
      </w:pPr>
    </w:p>
    <w:p w14:paraId="4FCE9946" w14:textId="18E96D6D" w:rsidR="00EE1B5D" w:rsidRPr="005341B9" w:rsidRDefault="00EE1B5D" w:rsidP="005341B9">
      <w:pPr>
        <w:spacing w:line="240" w:lineRule="auto"/>
      </w:pPr>
      <w:r w:rsidRPr="005341B9">
        <w:tab/>
        <w:t xml:space="preserve">Essa seção </w:t>
      </w:r>
      <w:r w:rsidR="00840A30" w:rsidRPr="005341B9">
        <w:t xml:space="preserve">está dividida em três partes. Na primeira é discutida a </w:t>
      </w:r>
      <w:r w:rsidR="007E6FD3" w:rsidRPr="005341B9">
        <w:t xml:space="preserve">agregação obtida em termos de sua composição setorial e sua relação com a </w:t>
      </w:r>
      <w:r w:rsidR="00840A30" w:rsidRPr="005341B9">
        <w:t xml:space="preserve">taxonomia de Miles (2005). </w:t>
      </w:r>
      <w:r w:rsidR="004863C7" w:rsidRPr="005341B9">
        <w:t>A</w:t>
      </w:r>
      <w:r w:rsidR="00840A30" w:rsidRPr="005341B9">
        <w:t xml:space="preserve"> segunda </w:t>
      </w:r>
      <w:r w:rsidRPr="005341B9">
        <w:t>buscar</w:t>
      </w:r>
      <w:r w:rsidR="007E6FD3" w:rsidRPr="005341B9">
        <w:t>á caracterizar os grupos obtidos</w:t>
      </w:r>
      <w:r w:rsidRPr="005341B9">
        <w:t xml:space="preserve"> </w:t>
      </w:r>
      <w:r w:rsidR="00840A30" w:rsidRPr="005341B9">
        <w:t>em termos da</w:t>
      </w:r>
      <w:r w:rsidRPr="005341B9">
        <w:t xml:space="preserve"> variável geradora destes: motiv</w:t>
      </w:r>
      <w:r w:rsidR="00CD6E31" w:rsidRPr="005341B9">
        <w:t>ação</w:t>
      </w:r>
      <w:r w:rsidR="00E05107" w:rsidRPr="005341B9">
        <w:t xml:space="preserve"> </w:t>
      </w:r>
      <w:r w:rsidRPr="005341B9">
        <w:t xml:space="preserve">para interagir. Isso é realizado visando validar a agregação realizada. A partir dessa motivação para interagir, são analisadas </w:t>
      </w:r>
      <w:r w:rsidR="00840A30" w:rsidRPr="005341B9">
        <w:t xml:space="preserve">posteriormente </w:t>
      </w:r>
      <w:r w:rsidRPr="005341B9">
        <w:t>as estratégias</w:t>
      </w:r>
      <w:r w:rsidR="008F4112">
        <w:t xml:space="preserve"> e esforços</w:t>
      </w:r>
      <w:r w:rsidRPr="005341B9">
        <w:t xml:space="preserve"> inovativ</w:t>
      </w:r>
      <w:r w:rsidR="008F4112">
        <w:t>o</w:t>
      </w:r>
      <w:r w:rsidRPr="005341B9">
        <w:t xml:space="preserve">s das empresas, em termos de P&amp;D e inovação, e posteriormente como </w:t>
      </w:r>
      <w:r w:rsidR="00CD6E31" w:rsidRPr="005341B9">
        <w:t xml:space="preserve">a empresa acessa </w:t>
      </w:r>
      <w:r w:rsidRPr="005341B9">
        <w:t>as informações das universidades (canais de transferência de informação e conhecimento).</w:t>
      </w:r>
    </w:p>
    <w:p w14:paraId="43DAEA2C" w14:textId="77777777" w:rsidR="00EE1B5D" w:rsidRPr="005341B9" w:rsidRDefault="00EE1B5D" w:rsidP="005341B9">
      <w:pPr>
        <w:spacing w:line="240" w:lineRule="auto"/>
        <w:rPr>
          <w:i/>
        </w:rPr>
      </w:pPr>
    </w:p>
    <w:p w14:paraId="4056685C" w14:textId="1F8419FB" w:rsidR="00840A30" w:rsidRPr="00F70561" w:rsidRDefault="00F70561" w:rsidP="005341B9">
      <w:pPr>
        <w:spacing w:line="240" w:lineRule="auto"/>
        <w:rPr>
          <w:b/>
          <w:i/>
        </w:rPr>
      </w:pPr>
      <w:r w:rsidRPr="00F70561">
        <w:rPr>
          <w:b/>
          <w:i/>
        </w:rPr>
        <w:t>4</w:t>
      </w:r>
      <w:r w:rsidR="00840A30" w:rsidRPr="00F70561">
        <w:rPr>
          <w:b/>
          <w:i/>
        </w:rPr>
        <w:t xml:space="preserve">.1. </w:t>
      </w:r>
      <w:r w:rsidR="00FA65E7" w:rsidRPr="00F70561">
        <w:rPr>
          <w:b/>
          <w:i/>
        </w:rPr>
        <w:t xml:space="preserve">Composição setorial </w:t>
      </w:r>
      <w:r w:rsidR="004863C7" w:rsidRPr="00F70561">
        <w:rPr>
          <w:b/>
          <w:i/>
        </w:rPr>
        <w:t xml:space="preserve">do BR Survey </w:t>
      </w:r>
      <w:r w:rsidR="00FA65E7" w:rsidRPr="00F70561">
        <w:rPr>
          <w:b/>
          <w:i/>
        </w:rPr>
        <w:t xml:space="preserve">e a relação com </w:t>
      </w:r>
      <w:r w:rsidR="00840A30" w:rsidRPr="00F70561">
        <w:rPr>
          <w:b/>
          <w:i/>
        </w:rPr>
        <w:t>a taxonomia de Miles (2005)</w:t>
      </w:r>
    </w:p>
    <w:p w14:paraId="4DEE6B1C" w14:textId="77777777" w:rsidR="00FA65E7" w:rsidRPr="005341B9" w:rsidRDefault="00FA65E7" w:rsidP="005341B9">
      <w:pPr>
        <w:autoSpaceDE w:val="0"/>
        <w:autoSpaceDN w:val="0"/>
        <w:adjustRightInd w:val="0"/>
        <w:spacing w:line="240" w:lineRule="auto"/>
        <w:jc w:val="center"/>
      </w:pPr>
    </w:p>
    <w:p w14:paraId="28773B64" w14:textId="3D29D08D" w:rsidR="000422AF" w:rsidRPr="005341B9" w:rsidRDefault="000422AF" w:rsidP="005341B9">
      <w:pPr>
        <w:autoSpaceDE w:val="0"/>
        <w:autoSpaceDN w:val="0"/>
        <w:adjustRightInd w:val="0"/>
        <w:spacing w:line="240" w:lineRule="auto"/>
      </w:pPr>
      <w:r w:rsidRPr="005341B9">
        <w:tab/>
      </w:r>
      <w:r w:rsidR="0056719B">
        <w:t>Pelas tabelas 1</w:t>
      </w:r>
      <w:r w:rsidRPr="005341B9">
        <w:t xml:space="preserve"> e </w:t>
      </w:r>
      <w:r w:rsidR="0056719B">
        <w:t>2</w:t>
      </w:r>
      <w:r w:rsidR="008F4112">
        <w:t xml:space="preserve"> a seguir</w:t>
      </w:r>
      <w:r w:rsidRPr="005341B9">
        <w:t xml:space="preserve"> é possível observar que o número de empresas do </w:t>
      </w:r>
      <w:r w:rsidRPr="005341B9">
        <w:rPr>
          <w:i/>
        </w:rPr>
        <w:t>BR Survey</w:t>
      </w:r>
      <w:r w:rsidRPr="005341B9">
        <w:t xml:space="preserve"> em cada grupo é relativamente pró</w:t>
      </w:r>
      <w:r w:rsidR="004D2669" w:rsidRPr="005341B9">
        <w:t>ximo, com exceção para o Grupo 2</w:t>
      </w:r>
      <w:r w:rsidRPr="005341B9">
        <w:t>. Esse fato pode ser devido à própria especificidade do método hierárquico utilizado, o qual tende a gerar grupos com o mesmo número de elementos.</w:t>
      </w:r>
      <w:r w:rsidR="008F4112">
        <w:t xml:space="preserve"> </w:t>
      </w:r>
      <w:r w:rsidR="008F4112" w:rsidRPr="005341B9">
        <w:t>Outro ponto a ser destacado é a porcentagem de empresas em cada grupo considerada SIC usuária ou SIC produtora. A princípio, não houve diferença substancial quanto à essa porcentagem entre os grupos. Por outro lado, a porcentagem de SICs produtoras de novos conhecimentos foi superior para todos os grupos</w:t>
      </w:r>
      <w:r w:rsidR="008F4112">
        <w:t>.</w:t>
      </w:r>
    </w:p>
    <w:p w14:paraId="07E42B1A" w14:textId="77777777" w:rsidR="008F4112" w:rsidRDefault="008F4112" w:rsidP="008F4112">
      <w:pPr>
        <w:autoSpaceDE w:val="0"/>
        <w:autoSpaceDN w:val="0"/>
        <w:adjustRightInd w:val="0"/>
        <w:spacing w:line="240" w:lineRule="auto"/>
      </w:pPr>
    </w:p>
    <w:p w14:paraId="7CF69118" w14:textId="77777777" w:rsidR="008F4112" w:rsidRPr="00147AA0" w:rsidRDefault="008F4112" w:rsidP="004524C4">
      <w:pPr>
        <w:autoSpaceDE w:val="0"/>
        <w:autoSpaceDN w:val="0"/>
        <w:adjustRightInd w:val="0"/>
        <w:spacing w:line="240" w:lineRule="auto"/>
        <w:jc w:val="center"/>
        <w:rPr>
          <w:b/>
        </w:rPr>
      </w:pPr>
      <w:r w:rsidRPr="00147AA0">
        <w:rPr>
          <w:b/>
        </w:rPr>
        <w:t>Tabela 1: Número de empresas em cada grupo e a classificação de Miles sobre os SICs.</w:t>
      </w:r>
    </w:p>
    <w:tbl>
      <w:tblPr>
        <w:tblW w:w="4960" w:type="pct"/>
        <w:jc w:val="center"/>
        <w:tblLayout w:type="fixed"/>
        <w:tblCellMar>
          <w:left w:w="70" w:type="dxa"/>
          <w:right w:w="70" w:type="dxa"/>
        </w:tblCellMar>
        <w:tblLook w:val="04A0" w:firstRow="1" w:lastRow="0" w:firstColumn="1" w:lastColumn="0" w:noHBand="0" w:noVBand="1"/>
      </w:tblPr>
      <w:tblGrid>
        <w:gridCol w:w="1464"/>
        <w:gridCol w:w="2551"/>
        <w:gridCol w:w="2099"/>
        <w:gridCol w:w="1065"/>
        <w:gridCol w:w="2099"/>
        <w:gridCol w:w="983"/>
      </w:tblGrid>
      <w:tr w:rsidR="008F4112" w:rsidRPr="006242DF" w14:paraId="5B0D9D6C" w14:textId="77777777" w:rsidTr="002A4ECE">
        <w:trPr>
          <w:trHeight w:val="300"/>
          <w:jc w:val="center"/>
        </w:trPr>
        <w:tc>
          <w:tcPr>
            <w:tcW w:w="713" w:type="pct"/>
            <w:tcBorders>
              <w:top w:val="single" w:sz="4" w:space="0" w:color="auto"/>
              <w:left w:val="nil"/>
              <w:bottom w:val="nil"/>
              <w:right w:val="nil"/>
            </w:tcBorders>
            <w:shd w:val="clear" w:color="auto" w:fill="auto"/>
            <w:noWrap/>
            <w:vAlign w:val="bottom"/>
            <w:hideMark/>
          </w:tcPr>
          <w:p w14:paraId="1A2943D3" w14:textId="77777777" w:rsidR="008F4112" w:rsidRPr="006242DF" w:rsidRDefault="008F4112" w:rsidP="002A4ECE">
            <w:pPr>
              <w:spacing w:line="240" w:lineRule="auto"/>
              <w:jc w:val="left"/>
              <w:rPr>
                <w:rFonts w:eastAsia="Times New Roman"/>
                <w:color w:val="000000"/>
                <w:sz w:val="22"/>
                <w:szCs w:val="22"/>
                <w:lang w:eastAsia="pt-BR"/>
              </w:rPr>
            </w:pPr>
          </w:p>
        </w:tc>
        <w:tc>
          <w:tcPr>
            <w:tcW w:w="1243" w:type="pct"/>
            <w:vMerge w:val="restart"/>
            <w:tcBorders>
              <w:top w:val="single" w:sz="4" w:space="0" w:color="auto"/>
              <w:left w:val="nil"/>
              <w:bottom w:val="single" w:sz="4" w:space="0" w:color="000000"/>
              <w:right w:val="nil"/>
            </w:tcBorders>
            <w:shd w:val="clear" w:color="auto" w:fill="auto"/>
            <w:noWrap/>
            <w:vAlign w:val="center"/>
            <w:hideMark/>
          </w:tcPr>
          <w:p w14:paraId="3C1BC41A"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Nº de empresas</w:t>
            </w:r>
          </w:p>
        </w:tc>
        <w:tc>
          <w:tcPr>
            <w:tcW w:w="3044" w:type="pct"/>
            <w:gridSpan w:val="4"/>
            <w:tcBorders>
              <w:top w:val="single" w:sz="4" w:space="0" w:color="auto"/>
              <w:left w:val="nil"/>
              <w:bottom w:val="nil"/>
              <w:right w:val="nil"/>
            </w:tcBorders>
            <w:shd w:val="clear" w:color="auto" w:fill="auto"/>
            <w:noWrap/>
            <w:vAlign w:val="center"/>
            <w:hideMark/>
          </w:tcPr>
          <w:p w14:paraId="103EFA1B"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 xml:space="preserve">Classificação dos SICs (MILES) </w:t>
            </w:r>
          </w:p>
        </w:tc>
      </w:tr>
      <w:tr w:rsidR="008F4112" w:rsidRPr="006242DF" w14:paraId="38F16881" w14:textId="77777777" w:rsidTr="002A4ECE">
        <w:trPr>
          <w:trHeight w:val="300"/>
          <w:jc w:val="center"/>
        </w:trPr>
        <w:tc>
          <w:tcPr>
            <w:tcW w:w="713" w:type="pct"/>
            <w:tcBorders>
              <w:top w:val="nil"/>
              <w:left w:val="nil"/>
              <w:bottom w:val="nil"/>
              <w:right w:val="nil"/>
            </w:tcBorders>
            <w:shd w:val="clear" w:color="auto" w:fill="auto"/>
            <w:noWrap/>
            <w:vAlign w:val="bottom"/>
            <w:hideMark/>
          </w:tcPr>
          <w:p w14:paraId="345D1A3E" w14:textId="77777777" w:rsidR="008F4112" w:rsidRPr="006242DF" w:rsidRDefault="008F4112" w:rsidP="002A4ECE">
            <w:pPr>
              <w:spacing w:line="240" w:lineRule="auto"/>
              <w:jc w:val="left"/>
              <w:rPr>
                <w:rFonts w:eastAsia="Times New Roman"/>
                <w:color w:val="000000"/>
                <w:sz w:val="22"/>
                <w:szCs w:val="22"/>
                <w:lang w:eastAsia="pt-BR"/>
              </w:rPr>
            </w:pPr>
          </w:p>
        </w:tc>
        <w:tc>
          <w:tcPr>
            <w:tcW w:w="1243" w:type="pct"/>
            <w:vMerge/>
            <w:tcBorders>
              <w:top w:val="single" w:sz="4" w:space="0" w:color="auto"/>
              <w:left w:val="nil"/>
              <w:bottom w:val="single" w:sz="4" w:space="0" w:color="000000"/>
              <w:right w:val="nil"/>
            </w:tcBorders>
            <w:vAlign w:val="center"/>
            <w:hideMark/>
          </w:tcPr>
          <w:p w14:paraId="72C4867A" w14:textId="77777777" w:rsidR="008F4112" w:rsidRPr="006242DF" w:rsidRDefault="008F4112" w:rsidP="002A4ECE">
            <w:pPr>
              <w:spacing w:line="240" w:lineRule="auto"/>
              <w:jc w:val="left"/>
              <w:rPr>
                <w:rFonts w:eastAsia="Times New Roman"/>
                <w:color w:val="000000"/>
                <w:sz w:val="22"/>
                <w:szCs w:val="22"/>
                <w:lang w:eastAsia="pt-BR"/>
              </w:rPr>
            </w:pPr>
          </w:p>
        </w:tc>
        <w:tc>
          <w:tcPr>
            <w:tcW w:w="1542" w:type="pct"/>
            <w:gridSpan w:val="2"/>
            <w:tcBorders>
              <w:top w:val="nil"/>
              <w:left w:val="nil"/>
              <w:bottom w:val="single" w:sz="4" w:space="0" w:color="auto"/>
              <w:right w:val="nil"/>
            </w:tcBorders>
            <w:shd w:val="clear" w:color="auto" w:fill="auto"/>
            <w:noWrap/>
            <w:vAlign w:val="center"/>
            <w:hideMark/>
          </w:tcPr>
          <w:p w14:paraId="7867DADF"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Usuários</w:t>
            </w:r>
          </w:p>
        </w:tc>
        <w:tc>
          <w:tcPr>
            <w:tcW w:w="1502" w:type="pct"/>
            <w:gridSpan w:val="2"/>
            <w:tcBorders>
              <w:top w:val="nil"/>
              <w:left w:val="nil"/>
              <w:bottom w:val="nil"/>
              <w:right w:val="nil"/>
            </w:tcBorders>
            <w:shd w:val="clear" w:color="auto" w:fill="auto"/>
            <w:noWrap/>
            <w:vAlign w:val="center"/>
            <w:hideMark/>
          </w:tcPr>
          <w:p w14:paraId="43449413"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Produtores</w:t>
            </w:r>
          </w:p>
        </w:tc>
      </w:tr>
      <w:tr w:rsidR="008F4112" w:rsidRPr="006242DF" w14:paraId="0F079F7F" w14:textId="77777777" w:rsidTr="002A4ECE">
        <w:trPr>
          <w:trHeight w:val="300"/>
          <w:jc w:val="center"/>
        </w:trPr>
        <w:tc>
          <w:tcPr>
            <w:tcW w:w="713" w:type="pct"/>
            <w:tcBorders>
              <w:top w:val="nil"/>
              <w:left w:val="nil"/>
              <w:bottom w:val="single" w:sz="4" w:space="0" w:color="auto"/>
              <w:right w:val="nil"/>
            </w:tcBorders>
            <w:shd w:val="clear" w:color="auto" w:fill="auto"/>
            <w:noWrap/>
            <w:vAlign w:val="bottom"/>
            <w:hideMark/>
          </w:tcPr>
          <w:p w14:paraId="20430145" w14:textId="77777777" w:rsidR="008F4112" w:rsidRPr="006242DF" w:rsidRDefault="008F4112" w:rsidP="002A4ECE">
            <w:pPr>
              <w:spacing w:line="240" w:lineRule="auto"/>
              <w:jc w:val="left"/>
              <w:rPr>
                <w:rFonts w:eastAsia="Times New Roman"/>
                <w:color w:val="000000"/>
                <w:sz w:val="22"/>
                <w:szCs w:val="22"/>
                <w:lang w:eastAsia="pt-BR"/>
              </w:rPr>
            </w:pPr>
            <w:r w:rsidRPr="006242DF">
              <w:rPr>
                <w:rFonts w:eastAsia="Times New Roman"/>
                <w:color w:val="000000"/>
                <w:sz w:val="22"/>
                <w:szCs w:val="22"/>
                <w:lang w:eastAsia="pt-BR"/>
              </w:rPr>
              <w:t> </w:t>
            </w:r>
          </w:p>
        </w:tc>
        <w:tc>
          <w:tcPr>
            <w:tcW w:w="1243" w:type="pct"/>
            <w:vMerge/>
            <w:tcBorders>
              <w:top w:val="single" w:sz="4" w:space="0" w:color="auto"/>
              <w:left w:val="nil"/>
              <w:bottom w:val="single" w:sz="4" w:space="0" w:color="000000"/>
              <w:right w:val="nil"/>
            </w:tcBorders>
            <w:vAlign w:val="center"/>
            <w:hideMark/>
          </w:tcPr>
          <w:p w14:paraId="459476D4" w14:textId="77777777" w:rsidR="008F4112" w:rsidRPr="006242DF" w:rsidRDefault="008F4112" w:rsidP="002A4ECE">
            <w:pPr>
              <w:spacing w:line="240" w:lineRule="auto"/>
              <w:jc w:val="left"/>
              <w:rPr>
                <w:rFonts w:eastAsia="Times New Roman"/>
                <w:color w:val="000000"/>
                <w:sz w:val="22"/>
                <w:szCs w:val="22"/>
                <w:lang w:eastAsia="pt-BR"/>
              </w:rPr>
            </w:pPr>
          </w:p>
        </w:tc>
        <w:tc>
          <w:tcPr>
            <w:tcW w:w="1023" w:type="pct"/>
            <w:tcBorders>
              <w:top w:val="nil"/>
              <w:left w:val="nil"/>
              <w:bottom w:val="single" w:sz="4" w:space="0" w:color="auto"/>
              <w:right w:val="nil"/>
            </w:tcBorders>
            <w:shd w:val="clear" w:color="auto" w:fill="auto"/>
            <w:noWrap/>
            <w:vAlign w:val="center"/>
            <w:hideMark/>
          </w:tcPr>
          <w:p w14:paraId="6B9F76C8"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Nº empresas</w:t>
            </w:r>
          </w:p>
        </w:tc>
        <w:tc>
          <w:tcPr>
            <w:tcW w:w="519" w:type="pct"/>
            <w:tcBorders>
              <w:top w:val="nil"/>
              <w:left w:val="nil"/>
              <w:bottom w:val="single" w:sz="4" w:space="0" w:color="auto"/>
              <w:right w:val="nil"/>
            </w:tcBorders>
            <w:shd w:val="clear" w:color="auto" w:fill="auto"/>
            <w:noWrap/>
            <w:vAlign w:val="center"/>
            <w:hideMark/>
          </w:tcPr>
          <w:p w14:paraId="5F9CD9B4"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w:t>
            </w:r>
          </w:p>
        </w:tc>
        <w:tc>
          <w:tcPr>
            <w:tcW w:w="1023" w:type="pct"/>
            <w:tcBorders>
              <w:top w:val="single" w:sz="4" w:space="0" w:color="auto"/>
              <w:left w:val="nil"/>
              <w:bottom w:val="single" w:sz="4" w:space="0" w:color="auto"/>
              <w:right w:val="nil"/>
            </w:tcBorders>
            <w:shd w:val="clear" w:color="auto" w:fill="auto"/>
            <w:noWrap/>
            <w:vAlign w:val="center"/>
            <w:hideMark/>
          </w:tcPr>
          <w:p w14:paraId="1F58C2C2"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Nº empresas</w:t>
            </w:r>
          </w:p>
        </w:tc>
        <w:tc>
          <w:tcPr>
            <w:tcW w:w="479" w:type="pct"/>
            <w:tcBorders>
              <w:top w:val="single" w:sz="4" w:space="0" w:color="auto"/>
              <w:left w:val="nil"/>
              <w:bottom w:val="single" w:sz="4" w:space="0" w:color="auto"/>
              <w:right w:val="nil"/>
            </w:tcBorders>
            <w:shd w:val="clear" w:color="auto" w:fill="auto"/>
            <w:noWrap/>
            <w:vAlign w:val="center"/>
            <w:hideMark/>
          </w:tcPr>
          <w:p w14:paraId="2B344353"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w:t>
            </w:r>
          </w:p>
        </w:tc>
      </w:tr>
      <w:tr w:rsidR="008F4112" w:rsidRPr="006242DF" w14:paraId="2E4BABAC" w14:textId="77777777" w:rsidTr="002A4ECE">
        <w:trPr>
          <w:trHeight w:val="300"/>
          <w:jc w:val="center"/>
        </w:trPr>
        <w:tc>
          <w:tcPr>
            <w:tcW w:w="713" w:type="pct"/>
            <w:tcBorders>
              <w:top w:val="nil"/>
              <w:left w:val="nil"/>
              <w:bottom w:val="nil"/>
              <w:right w:val="nil"/>
            </w:tcBorders>
            <w:shd w:val="clear" w:color="auto" w:fill="auto"/>
            <w:noWrap/>
            <w:vAlign w:val="bottom"/>
            <w:hideMark/>
          </w:tcPr>
          <w:p w14:paraId="327E8488" w14:textId="77777777" w:rsidR="008F4112" w:rsidRPr="006242DF" w:rsidRDefault="008F4112" w:rsidP="002A4ECE">
            <w:pPr>
              <w:spacing w:line="240" w:lineRule="auto"/>
              <w:jc w:val="left"/>
              <w:rPr>
                <w:rFonts w:eastAsia="Times New Roman"/>
                <w:color w:val="000000"/>
                <w:sz w:val="22"/>
                <w:szCs w:val="22"/>
                <w:lang w:eastAsia="pt-BR"/>
              </w:rPr>
            </w:pPr>
            <w:r w:rsidRPr="006242DF">
              <w:rPr>
                <w:rFonts w:eastAsia="Times New Roman"/>
                <w:color w:val="000000"/>
                <w:sz w:val="22"/>
                <w:szCs w:val="22"/>
                <w:lang w:eastAsia="pt-BR"/>
              </w:rPr>
              <w:t>Grupo 1</w:t>
            </w:r>
          </w:p>
        </w:tc>
        <w:tc>
          <w:tcPr>
            <w:tcW w:w="1243" w:type="pct"/>
            <w:tcBorders>
              <w:top w:val="nil"/>
              <w:left w:val="nil"/>
              <w:bottom w:val="nil"/>
              <w:right w:val="nil"/>
            </w:tcBorders>
            <w:shd w:val="clear" w:color="auto" w:fill="auto"/>
            <w:noWrap/>
            <w:vAlign w:val="bottom"/>
            <w:hideMark/>
          </w:tcPr>
          <w:p w14:paraId="3AAF347E"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13</w:t>
            </w:r>
          </w:p>
        </w:tc>
        <w:tc>
          <w:tcPr>
            <w:tcW w:w="1023" w:type="pct"/>
            <w:tcBorders>
              <w:top w:val="nil"/>
              <w:left w:val="nil"/>
              <w:bottom w:val="nil"/>
              <w:right w:val="nil"/>
            </w:tcBorders>
            <w:shd w:val="clear" w:color="auto" w:fill="auto"/>
            <w:noWrap/>
            <w:vAlign w:val="bottom"/>
            <w:hideMark/>
          </w:tcPr>
          <w:p w14:paraId="6E7D8C81"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4</w:t>
            </w:r>
          </w:p>
        </w:tc>
        <w:tc>
          <w:tcPr>
            <w:tcW w:w="519" w:type="pct"/>
            <w:tcBorders>
              <w:top w:val="nil"/>
              <w:left w:val="nil"/>
              <w:bottom w:val="nil"/>
              <w:right w:val="nil"/>
            </w:tcBorders>
            <w:shd w:val="clear" w:color="auto" w:fill="auto"/>
            <w:noWrap/>
            <w:vAlign w:val="bottom"/>
            <w:hideMark/>
          </w:tcPr>
          <w:p w14:paraId="61841CAF"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30,77</w:t>
            </w:r>
          </w:p>
        </w:tc>
        <w:tc>
          <w:tcPr>
            <w:tcW w:w="1023" w:type="pct"/>
            <w:tcBorders>
              <w:top w:val="nil"/>
              <w:left w:val="nil"/>
              <w:bottom w:val="nil"/>
              <w:right w:val="nil"/>
            </w:tcBorders>
            <w:shd w:val="clear" w:color="auto" w:fill="auto"/>
            <w:noWrap/>
            <w:vAlign w:val="bottom"/>
            <w:hideMark/>
          </w:tcPr>
          <w:p w14:paraId="244D4E1A"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9</w:t>
            </w:r>
          </w:p>
        </w:tc>
        <w:tc>
          <w:tcPr>
            <w:tcW w:w="479" w:type="pct"/>
            <w:tcBorders>
              <w:top w:val="nil"/>
              <w:left w:val="nil"/>
              <w:bottom w:val="nil"/>
              <w:right w:val="nil"/>
            </w:tcBorders>
            <w:shd w:val="clear" w:color="auto" w:fill="auto"/>
            <w:noWrap/>
            <w:vAlign w:val="bottom"/>
            <w:hideMark/>
          </w:tcPr>
          <w:p w14:paraId="44B9FDD5"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69,23</w:t>
            </w:r>
          </w:p>
        </w:tc>
      </w:tr>
      <w:tr w:rsidR="008F4112" w:rsidRPr="006242DF" w14:paraId="1CD3C89E" w14:textId="77777777" w:rsidTr="002A4ECE">
        <w:trPr>
          <w:trHeight w:val="300"/>
          <w:jc w:val="center"/>
        </w:trPr>
        <w:tc>
          <w:tcPr>
            <w:tcW w:w="713" w:type="pct"/>
            <w:tcBorders>
              <w:top w:val="nil"/>
              <w:left w:val="nil"/>
              <w:bottom w:val="nil"/>
              <w:right w:val="nil"/>
            </w:tcBorders>
            <w:shd w:val="clear" w:color="auto" w:fill="auto"/>
            <w:noWrap/>
            <w:vAlign w:val="bottom"/>
            <w:hideMark/>
          </w:tcPr>
          <w:p w14:paraId="2805B06A" w14:textId="77777777" w:rsidR="008F4112" w:rsidRPr="006242DF" w:rsidRDefault="008F4112" w:rsidP="002A4ECE">
            <w:pPr>
              <w:spacing w:line="240" w:lineRule="auto"/>
              <w:jc w:val="left"/>
              <w:rPr>
                <w:rFonts w:eastAsia="Times New Roman"/>
                <w:color w:val="000000"/>
                <w:sz w:val="22"/>
                <w:szCs w:val="22"/>
                <w:lang w:eastAsia="pt-BR"/>
              </w:rPr>
            </w:pPr>
            <w:r w:rsidRPr="006242DF">
              <w:rPr>
                <w:rFonts w:eastAsia="Times New Roman"/>
                <w:color w:val="000000"/>
                <w:sz w:val="22"/>
                <w:szCs w:val="22"/>
                <w:lang w:eastAsia="pt-BR"/>
              </w:rPr>
              <w:t>Grupo 2</w:t>
            </w:r>
          </w:p>
        </w:tc>
        <w:tc>
          <w:tcPr>
            <w:tcW w:w="1243" w:type="pct"/>
            <w:tcBorders>
              <w:top w:val="nil"/>
              <w:left w:val="nil"/>
              <w:bottom w:val="nil"/>
              <w:right w:val="nil"/>
            </w:tcBorders>
            <w:shd w:val="clear" w:color="auto" w:fill="auto"/>
            <w:noWrap/>
            <w:vAlign w:val="bottom"/>
            <w:hideMark/>
          </w:tcPr>
          <w:p w14:paraId="7D4D9E8E"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16</w:t>
            </w:r>
          </w:p>
        </w:tc>
        <w:tc>
          <w:tcPr>
            <w:tcW w:w="1023" w:type="pct"/>
            <w:tcBorders>
              <w:top w:val="nil"/>
              <w:left w:val="nil"/>
              <w:bottom w:val="nil"/>
              <w:right w:val="nil"/>
            </w:tcBorders>
            <w:shd w:val="clear" w:color="auto" w:fill="auto"/>
            <w:noWrap/>
            <w:vAlign w:val="bottom"/>
            <w:hideMark/>
          </w:tcPr>
          <w:p w14:paraId="25C8BBCD"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6</w:t>
            </w:r>
          </w:p>
        </w:tc>
        <w:tc>
          <w:tcPr>
            <w:tcW w:w="519" w:type="pct"/>
            <w:tcBorders>
              <w:top w:val="nil"/>
              <w:left w:val="nil"/>
              <w:bottom w:val="nil"/>
              <w:right w:val="nil"/>
            </w:tcBorders>
            <w:shd w:val="clear" w:color="auto" w:fill="auto"/>
            <w:noWrap/>
            <w:vAlign w:val="bottom"/>
            <w:hideMark/>
          </w:tcPr>
          <w:p w14:paraId="20D977DF"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37,50</w:t>
            </w:r>
          </w:p>
        </w:tc>
        <w:tc>
          <w:tcPr>
            <w:tcW w:w="1023" w:type="pct"/>
            <w:tcBorders>
              <w:top w:val="nil"/>
              <w:left w:val="nil"/>
              <w:bottom w:val="nil"/>
              <w:right w:val="nil"/>
            </w:tcBorders>
            <w:shd w:val="clear" w:color="auto" w:fill="auto"/>
            <w:noWrap/>
            <w:vAlign w:val="bottom"/>
            <w:hideMark/>
          </w:tcPr>
          <w:p w14:paraId="51D87C07"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10</w:t>
            </w:r>
          </w:p>
        </w:tc>
        <w:tc>
          <w:tcPr>
            <w:tcW w:w="479" w:type="pct"/>
            <w:tcBorders>
              <w:top w:val="nil"/>
              <w:left w:val="nil"/>
              <w:bottom w:val="nil"/>
              <w:right w:val="nil"/>
            </w:tcBorders>
            <w:shd w:val="clear" w:color="auto" w:fill="auto"/>
            <w:noWrap/>
            <w:vAlign w:val="bottom"/>
            <w:hideMark/>
          </w:tcPr>
          <w:p w14:paraId="791B0676"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62,50</w:t>
            </w:r>
          </w:p>
        </w:tc>
      </w:tr>
      <w:tr w:rsidR="008F4112" w:rsidRPr="006242DF" w14:paraId="77D275DF" w14:textId="77777777" w:rsidTr="002A4ECE">
        <w:trPr>
          <w:trHeight w:val="300"/>
          <w:jc w:val="center"/>
        </w:trPr>
        <w:tc>
          <w:tcPr>
            <w:tcW w:w="713" w:type="pct"/>
            <w:tcBorders>
              <w:top w:val="nil"/>
              <w:left w:val="nil"/>
              <w:bottom w:val="nil"/>
              <w:right w:val="nil"/>
            </w:tcBorders>
            <w:shd w:val="clear" w:color="auto" w:fill="auto"/>
            <w:noWrap/>
            <w:vAlign w:val="bottom"/>
            <w:hideMark/>
          </w:tcPr>
          <w:p w14:paraId="03C41085" w14:textId="77777777" w:rsidR="008F4112" w:rsidRPr="006242DF" w:rsidRDefault="008F4112" w:rsidP="002A4ECE">
            <w:pPr>
              <w:spacing w:line="240" w:lineRule="auto"/>
              <w:jc w:val="left"/>
              <w:rPr>
                <w:rFonts w:eastAsia="Times New Roman"/>
                <w:color w:val="000000"/>
                <w:sz w:val="22"/>
                <w:szCs w:val="22"/>
                <w:lang w:eastAsia="pt-BR"/>
              </w:rPr>
            </w:pPr>
            <w:r w:rsidRPr="006242DF">
              <w:rPr>
                <w:rFonts w:eastAsia="Times New Roman"/>
                <w:color w:val="000000"/>
                <w:sz w:val="22"/>
                <w:szCs w:val="22"/>
                <w:lang w:eastAsia="pt-BR"/>
              </w:rPr>
              <w:t>Grupo 3</w:t>
            </w:r>
          </w:p>
        </w:tc>
        <w:tc>
          <w:tcPr>
            <w:tcW w:w="1243" w:type="pct"/>
            <w:tcBorders>
              <w:top w:val="nil"/>
              <w:left w:val="nil"/>
              <w:bottom w:val="nil"/>
              <w:right w:val="nil"/>
            </w:tcBorders>
            <w:shd w:val="clear" w:color="auto" w:fill="auto"/>
            <w:noWrap/>
            <w:vAlign w:val="bottom"/>
            <w:hideMark/>
          </w:tcPr>
          <w:p w14:paraId="13BA7DDC"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9</w:t>
            </w:r>
          </w:p>
        </w:tc>
        <w:tc>
          <w:tcPr>
            <w:tcW w:w="1023" w:type="pct"/>
            <w:tcBorders>
              <w:top w:val="nil"/>
              <w:left w:val="nil"/>
              <w:bottom w:val="nil"/>
              <w:right w:val="nil"/>
            </w:tcBorders>
            <w:shd w:val="clear" w:color="auto" w:fill="auto"/>
            <w:noWrap/>
            <w:vAlign w:val="bottom"/>
            <w:hideMark/>
          </w:tcPr>
          <w:p w14:paraId="747B1598"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4</w:t>
            </w:r>
          </w:p>
        </w:tc>
        <w:tc>
          <w:tcPr>
            <w:tcW w:w="519" w:type="pct"/>
            <w:tcBorders>
              <w:top w:val="nil"/>
              <w:left w:val="nil"/>
              <w:bottom w:val="nil"/>
              <w:right w:val="nil"/>
            </w:tcBorders>
            <w:shd w:val="clear" w:color="auto" w:fill="auto"/>
            <w:noWrap/>
            <w:vAlign w:val="bottom"/>
            <w:hideMark/>
          </w:tcPr>
          <w:p w14:paraId="30F85CA9"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44,44</w:t>
            </w:r>
          </w:p>
        </w:tc>
        <w:tc>
          <w:tcPr>
            <w:tcW w:w="1023" w:type="pct"/>
            <w:tcBorders>
              <w:top w:val="nil"/>
              <w:left w:val="nil"/>
              <w:bottom w:val="nil"/>
              <w:right w:val="nil"/>
            </w:tcBorders>
            <w:shd w:val="clear" w:color="auto" w:fill="auto"/>
            <w:noWrap/>
            <w:vAlign w:val="bottom"/>
            <w:hideMark/>
          </w:tcPr>
          <w:p w14:paraId="43077D36"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5</w:t>
            </w:r>
          </w:p>
        </w:tc>
        <w:tc>
          <w:tcPr>
            <w:tcW w:w="479" w:type="pct"/>
            <w:tcBorders>
              <w:top w:val="nil"/>
              <w:left w:val="nil"/>
              <w:bottom w:val="nil"/>
              <w:right w:val="nil"/>
            </w:tcBorders>
            <w:shd w:val="clear" w:color="auto" w:fill="auto"/>
            <w:noWrap/>
            <w:vAlign w:val="bottom"/>
            <w:hideMark/>
          </w:tcPr>
          <w:p w14:paraId="115B54D7"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55,56</w:t>
            </w:r>
          </w:p>
        </w:tc>
      </w:tr>
      <w:tr w:rsidR="008F4112" w:rsidRPr="006242DF" w14:paraId="67470D2B" w14:textId="77777777" w:rsidTr="002A4ECE">
        <w:trPr>
          <w:trHeight w:val="300"/>
          <w:jc w:val="center"/>
        </w:trPr>
        <w:tc>
          <w:tcPr>
            <w:tcW w:w="713" w:type="pct"/>
            <w:tcBorders>
              <w:top w:val="nil"/>
              <w:left w:val="nil"/>
              <w:bottom w:val="nil"/>
              <w:right w:val="nil"/>
            </w:tcBorders>
            <w:shd w:val="clear" w:color="auto" w:fill="auto"/>
            <w:noWrap/>
            <w:vAlign w:val="bottom"/>
            <w:hideMark/>
          </w:tcPr>
          <w:p w14:paraId="6000EDF0" w14:textId="77777777" w:rsidR="008F4112" w:rsidRPr="006242DF" w:rsidRDefault="008F4112" w:rsidP="002A4ECE">
            <w:pPr>
              <w:spacing w:line="240" w:lineRule="auto"/>
              <w:jc w:val="left"/>
              <w:rPr>
                <w:rFonts w:eastAsia="Times New Roman"/>
                <w:color w:val="000000"/>
                <w:sz w:val="22"/>
                <w:szCs w:val="22"/>
                <w:lang w:eastAsia="pt-BR"/>
              </w:rPr>
            </w:pPr>
            <w:r w:rsidRPr="006242DF">
              <w:rPr>
                <w:rFonts w:eastAsia="Times New Roman"/>
                <w:color w:val="000000"/>
                <w:sz w:val="22"/>
                <w:szCs w:val="22"/>
                <w:lang w:eastAsia="pt-BR"/>
              </w:rPr>
              <w:t>Grupo 4</w:t>
            </w:r>
          </w:p>
        </w:tc>
        <w:tc>
          <w:tcPr>
            <w:tcW w:w="1243" w:type="pct"/>
            <w:tcBorders>
              <w:top w:val="nil"/>
              <w:left w:val="nil"/>
              <w:bottom w:val="nil"/>
              <w:right w:val="nil"/>
            </w:tcBorders>
            <w:shd w:val="clear" w:color="auto" w:fill="auto"/>
            <w:noWrap/>
            <w:vAlign w:val="bottom"/>
            <w:hideMark/>
          </w:tcPr>
          <w:p w14:paraId="1EB4E8AE"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10</w:t>
            </w:r>
          </w:p>
        </w:tc>
        <w:tc>
          <w:tcPr>
            <w:tcW w:w="1023" w:type="pct"/>
            <w:tcBorders>
              <w:top w:val="nil"/>
              <w:left w:val="nil"/>
              <w:bottom w:val="nil"/>
              <w:right w:val="nil"/>
            </w:tcBorders>
            <w:shd w:val="clear" w:color="auto" w:fill="auto"/>
            <w:noWrap/>
            <w:vAlign w:val="bottom"/>
            <w:hideMark/>
          </w:tcPr>
          <w:p w14:paraId="1D4F228C"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4</w:t>
            </w:r>
          </w:p>
        </w:tc>
        <w:tc>
          <w:tcPr>
            <w:tcW w:w="519" w:type="pct"/>
            <w:tcBorders>
              <w:top w:val="nil"/>
              <w:left w:val="nil"/>
              <w:bottom w:val="nil"/>
              <w:right w:val="nil"/>
            </w:tcBorders>
            <w:shd w:val="clear" w:color="auto" w:fill="auto"/>
            <w:noWrap/>
            <w:vAlign w:val="bottom"/>
            <w:hideMark/>
          </w:tcPr>
          <w:p w14:paraId="7FED0556"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40,00</w:t>
            </w:r>
          </w:p>
        </w:tc>
        <w:tc>
          <w:tcPr>
            <w:tcW w:w="1023" w:type="pct"/>
            <w:tcBorders>
              <w:top w:val="nil"/>
              <w:left w:val="nil"/>
              <w:bottom w:val="nil"/>
              <w:right w:val="nil"/>
            </w:tcBorders>
            <w:shd w:val="clear" w:color="auto" w:fill="auto"/>
            <w:noWrap/>
            <w:vAlign w:val="bottom"/>
            <w:hideMark/>
          </w:tcPr>
          <w:p w14:paraId="42F2A216"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6</w:t>
            </w:r>
          </w:p>
        </w:tc>
        <w:tc>
          <w:tcPr>
            <w:tcW w:w="479" w:type="pct"/>
            <w:tcBorders>
              <w:top w:val="nil"/>
              <w:left w:val="nil"/>
              <w:bottom w:val="nil"/>
              <w:right w:val="nil"/>
            </w:tcBorders>
            <w:shd w:val="clear" w:color="auto" w:fill="auto"/>
            <w:noWrap/>
            <w:vAlign w:val="bottom"/>
            <w:hideMark/>
          </w:tcPr>
          <w:p w14:paraId="71410AC5" w14:textId="77777777" w:rsidR="008F4112" w:rsidRPr="006242DF" w:rsidRDefault="008F4112" w:rsidP="002A4ECE">
            <w:pPr>
              <w:spacing w:line="240" w:lineRule="auto"/>
              <w:jc w:val="center"/>
              <w:rPr>
                <w:rFonts w:eastAsia="Times New Roman"/>
                <w:color w:val="000000"/>
                <w:sz w:val="22"/>
                <w:szCs w:val="22"/>
                <w:lang w:eastAsia="pt-BR"/>
              </w:rPr>
            </w:pPr>
            <w:r w:rsidRPr="006242DF">
              <w:rPr>
                <w:rFonts w:eastAsia="Times New Roman"/>
                <w:color w:val="000000"/>
                <w:sz w:val="22"/>
                <w:szCs w:val="22"/>
                <w:lang w:eastAsia="pt-BR"/>
              </w:rPr>
              <w:t>60,00</w:t>
            </w:r>
          </w:p>
        </w:tc>
      </w:tr>
      <w:tr w:rsidR="008F4112" w:rsidRPr="006242DF" w14:paraId="20CF6FDE" w14:textId="77777777" w:rsidTr="002A4ECE">
        <w:trPr>
          <w:trHeight w:val="300"/>
          <w:jc w:val="center"/>
        </w:trPr>
        <w:tc>
          <w:tcPr>
            <w:tcW w:w="713" w:type="pct"/>
            <w:tcBorders>
              <w:top w:val="nil"/>
              <w:left w:val="nil"/>
              <w:bottom w:val="single" w:sz="4" w:space="0" w:color="auto"/>
              <w:right w:val="nil"/>
            </w:tcBorders>
            <w:shd w:val="clear" w:color="auto" w:fill="auto"/>
            <w:noWrap/>
            <w:vAlign w:val="bottom"/>
            <w:hideMark/>
          </w:tcPr>
          <w:p w14:paraId="2BD11027" w14:textId="77777777" w:rsidR="008F4112" w:rsidRPr="006242DF" w:rsidRDefault="008F4112" w:rsidP="002A4ECE">
            <w:pPr>
              <w:spacing w:line="240" w:lineRule="auto"/>
              <w:jc w:val="left"/>
              <w:rPr>
                <w:rFonts w:eastAsia="Times New Roman"/>
                <w:b/>
                <w:bCs/>
                <w:color w:val="000000"/>
                <w:sz w:val="22"/>
                <w:szCs w:val="22"/>
                <w:lang w:eastAsia="pt-BR"/>
              </w:rPr>
            </w:pPr>
            <w:r w:rsidRPr="006242DF">
              <w:rPr>
                <w:rFonts w:eastAsia="Times New Roman"/>
                <w:b/>
                <w:bCs/>
                <w:color w:val="000000"/>
                <w:sz w:val="22"/>
                <w:szCs w:val="22"/>
                <w:lang w:eastAsia="pt-BR"/>
              </w:rPr>
              <w:t>Total</w:t>
            </w:r>
          </w:p>
        </w:tc>
        <w:tc>
          <w:tcPr>
            <w:tcW w:w="1243" w:type="pct"/>
            <w:tcBorders>
              <w:top w:val="nil"/>
              <w:left w:val="nil"/>
              <w:bottom w:val="single" w:sz="4" w:space="0" w:color="auto"/>
              <w:right w:val="nil"/>
            </w:tcBorders>
            <w:shd w:val="clear" w:color="auto" w:fill="auto"/>
            <w:noWrap/>
            <w:vAlign w:val="bottom"/>
            <w:hideMark/>
          </w:tcPr>
          <w:p w14:paraId="0E65605E" w14:textId="77777777" w:rsidR="008F4112" w:rsidRPr="006242DF" w:rsidRDefault="008F4112" w:rsidP="002A4ECE">
            <w:pPr>
              <w:spacing w:line="240" w:lineRule="auto"/>
              <w:jc w:val="center"/>
              <w:rPr>
                <w:rFonts w:eastAsia="Times New Roman"/>
                <w:b/>
                <w:bCs/>
                <w:color w:val="000000"/>
                <w:sz w:val="22"/>
                <w:szCs w:val="22"/>
                <w:lang w:eastAsia="pt-BR"/>
              </w:rPr>
            </w:pPr>
            <w:r w:rsidRPr="006242DF">
              <w:rPr>
                <w:rFonts w:eastAsia="Times New Roman"/>
                <w:b/>
                <w:bCs/>
                <w:color w:val="000000"/>
                <w:sz w:val="22"/>
                <w:szCs w:val="22"/>
                <w:lang w:eastAsia="pt-BR"/>
              </w:rPr>
              <w:t>48</w:t>
            </w:r>
          </w:p>
        </w:tc>
        <w:tc>
          <w:tcPr>
            <w:tcW w:w="1023" w:type="pct"/>
            <w:tcBorders>
              <w:top w:val="nil"/>
              <w:left w:val="nil"/>
              <w:bottom w:val="single" w:sz="4" w:space="0" w:color="auto"/>
              <w:right w:val="nil"/>
            </w:tcBorders>
            <w:shd w:val="clear" w:color="auto" w:fill="auto"/>
            <w:noWrap/>
            <w:vAlign w:val="bottom"/>
            <w:hideMark/>
          </w:tcPr>
          <w:p w14:paraId="622EB277" w14:textId="77777777" w:rsidR="008F4112" w:rsidRPr="006242DF" w:rsidRDefault="008F4112" w:rsidP="002A4ECE">
            <w:pPr>
              <w:spacing w:line="240" w:lineRule="auto"/>
              <w:jc w:val="center"/>
              <w:rPr>
                <w:rFonts w:eastAsia="Times New Roman"/>
                <w:b/>
                <w:bCs/>
                <w:color w:val="000000"/>
                <w:sz w:val="22"/>
                <w:szCs w:val="22"/>
                <w:lang w:eastAsia="pt-BR"/>
              </w:rPr>
            </w:pPr>
            <w:r w:rsidRPr="006242DF">
              <w:rPr>
                <w:rFonts w:eastAsia="Times New Roman"/>
                <w:b/>
                <w:bCs/>
                <w:color w:val="000000"/>
                <w:sz w:val="22"/>
                <w:szCs w:val="22"/>
                <w:lang w:eastAsia="pt-BR"/>
              </w:rPr>
              <w:t>18</w:t>
            </w:r>
          </w:p>
        </w:tc>
        <w:tc>
          <w:tcPr>
            <w:tcW w:w="519" w:type="pct"/>
            <w:tcBorders>
              <w:top w:val="nil"/>
              <w:left w:val="nil"/>
              <w:bottom w:val="single" w:sz="4" w:space="0" w:color="auto"/>
              <w:right w:val="nil"/>
            </w:tcBorders>
            <w:shd w:val="clear" w:color="auto" w:fill="auto"/>
            <w:noWrap/>
            <w:vAlign w:val="bottom"/>
            <w:hideMark/>
          </w:tcPr>
          <w:p w14:paraId="3481618A" w14:textId="77777777" w:rsidR="008F4112" w:rsidRPr="006242DF" w:rsidRDefault="008F4112" w:rsidP="002A4ECE">
            <w:pPr>
              <w:spacing w:line="240" w:lineRule="auto"/>
              <w:jc w:val="center"/>
              <w:rPr>
                <w:rFonts w:eastAsia="Times New Roman"/>
                <w:b/>
                <w:bCs/>
                <w:color w:val="000000"/>
                <w:sz w:val="22"/>
                <w:szCs w:val="22"/>
                <w:lang w:eastAsia="pt-BR"/>
              </w:rPr>
            </w:pPr>
            <w:r w:rsidRPr="006242DF">
              <w:rPr>
                <w:rFonts w:eastAsia="Times New Roman"/>
                <w:b/>
                <w:bCs/>
                <w:color w:val="000000"/>
                <w:sz w:val="22"/>
                <w:szCs w:val="22"/>
                <w:lang w:eastAsia="pt-BR"/>
              </w:rPr>
              <w:t> </w:t>
            </w:r>
          </w:p>
        </w:tc>
        <w:tc>
          <w:tcPr>
            <w:tcW w:w="1023" w:type="pct"/>
            <w:tcBorders>
              <w:top w:val="nil"/>
              <w:left w:val="nil"/>
              <w:bottom w:val="single" w:sz="4" w:space="0" w:color="auto"/>
              <w:right w:val="nil"/>
            </w:tcBorders>
            <w:shd w:val="clear" w:color="auto" w:fill="auto"/>
            <w:noWrap/>
            <w:vAlign w:val="bottom"/>
            <w:hideMark/>
          </w:tcPr>
          <w:p w14:paraId="6287AA98" w14:textId="77777777" w:rsidR="008F4112" w:rsidRPr="006242DF" w:rsidRDefault="008F4112" w:rsidP="002A4ECE">
            <w:pPr>
              <w:spacing w:line="240" w:lineRule="auto"/>
              <w:jc w:val="center"/>
              <w:rPr>
                <w:rFonts w:eastAsia="Times New Roman"/>
                <w:b/>
                <w:bCs/>
                <w:color w:val="000000"/>
                <w:sz w:val="22"/>
                <w:szCs w:val="22"/>
                <w:lang w:eastAsia="pt-BR"/>
              </w:rPr>
            </w:pPr>
            <w:r w:rsidRPr="006242DF">
              <w:rPr>
                <w:rFonts w:eastAsia="Times New Roman"/>
                <w:b/>
                <w:bCs/>
                <w:color w:val="000000"/>
                <w:sz w:val="22"/>
                <w:szCs w:val="22"/>
                <w:lang w:eastAsia="pt-BR"/>
              </w:rPr>
              <w:t>30</w:t>
            </w:r>
          </w:p>
        </w:tc>
        <w:tc>
          <w:tcPr>
            <w:tcW w:w="479" w:type="pct"/>
            <w:tcBorders>
              <w:top w:val="nil"/>
              <w:left w:val="nil"/>
              <w:bottom w:val="single" w:sz="4" w:space="0" w:color="auto"/>
              <w:right w:val="nil"/>
            </w:tcBorders>
            <w:shd w:val="clear" w:color="auto" w:fill="auto"/>
            <w:noWrap/>
            <w:vAlign w:val="bottom"/>
            <w:hideMark/>
          </w:tcPr>
          <w:p w14:paraId="09A883A8" w14:textId="77777777" w:rsidR="008F4112" w:rsidRPr="006242DF" w:rsidRDefault="008F4112" w:rsidP="002A4ECE">
            <w:pPr>
              <w:spacing w:line="240" w:lineRule="auto"/>
              <w:jc w:val="center"/>
              <w:rPr>
                <w:rFonts w:eastAsia="Times New Roman"/>
                <w:b/>
                <w:bCs/>
                <w:color w:val="000000"/>
                <w:sz w:val="22"/>
                <w:szCs w:val="22"/>
                <w:lang w:eastAsia="pt-BR"/>
              </w:rPr>
            </w:pPr>
            <w:r w:rsidRPr="006242DF">
              <w:rPr>
                <w:rFonts w:eastAsia="Times New Roman"/>
                <w:b/>
                <w:bCs/>
                <w:color w:val="000000"/>
                <w:sz w:val="22"/>
                <w:szCs w:val="22"/>
                <w:lang w:eastAsia="pt-BR"/>
              </w:rPr>
              <w:t> </w:t>
            </w:r>
          </w:p>
        </w:tc>
      </w:tr>
    </w:tbl>
    <w:p w14:paraId="51035517" w14:textId="77777777" w:rsidR="008F4112" w:rsidRPr="006242DF" w:rsidRDefault="008F4112" w:rsidP="008F4112">
      <w:pPr>
        <w:autoSpaceDE w:val="0"/>
        <w:autoSpaceDN w:val="0"/>
        <w:adjustRightInd w:val="0"/>
        <w:spacing w:line="240" w:lineRule="auto"/>
        <w:rPr>
          <w:sz w:val="20"/>
          <w:szCs w:val="20"/>
        </w:rPr>
      </w:pPr>
      <w:r w:rsidRPr="006242DF">
        <w:rPr>
          <w:sz w:val="20"/>
          <w:szCs w:val="20"/>
        </w:rPr>
        <w:t xml:space="preserve">Fonte: </w:t>
      </w:r>
      <w:r w:rsidRPr="006242DF">
        <w:rPr>
          <w:i/>
          <w:sz w:val="20"/>
          <w:szCs w:val="20"/>
        </w:rPr>
        <w:t>BR Survey</w:t>
      </w:r>
      <w:r w:rsidRPr="006242DF">
        <w:rPr>
          <w:sz w:val="20"/>
          <w:szCs w:val="20"/>
        </w:rPr>
        <w:t xml:space="preserve">. Elaboração Própria </w:t>
      </w:r>
    </w:p>
    <w:p w14:paraId="5A979D18" w14:textId="77777777" w:rsidR="002F2AF3" w:rsidRPr="005341B9" w:rsidRDefault="002F2AF3" w:rsidP="005341B9">
      <w:pPr>
        <w:autoSpaceDE w:val="0"/>
        <w:autoSpaceDN w:val="0"/>
        <w:adjustRightInd w:val="0"/>
        <w:spacing w:line="240" w:lineRule="auto"/>
        <w:rPr>
          <w:rFonts w:eastAsia="Times New Roman"/>
          <w:color w:val="000000"/>
          <w:lang w:eastAsia="pt-BR"/>
        </w:rPr>
      </w:pPr>
    </w:p>
    <w:p w14:paraId="2534F313" w14:textId="2FBDA29A" w:rsidR="00FA65E7" w:rsidRPr="00147AA0" w:rsidRDefault="0056719B" w:rsidP="004524C4">
      <w:pPr>
        <w:autoSpaceDE w:val="0"/>
        <w:autoSpaceDN w:val="0"/>
        <w:adjustRightInd w:val="0"/>
        <w:spacing w:line="240" w:lineRule="auto"/>
        <w:jc w:val="center"/>
        <w:rPr>
          <w:b/>
        </w:rPr>
      </w:pPr>
      <w:r w:rsidRPr="00147AA0">
        <w:rPr>
          <w:b/>
        </w:rPr>
        <w:t>Tabela 2</w:t>
      </w:r>
      <w:r w:rsidR="00FA65E7" w:rsidRPr="00147AA0">
        <w:rPr>
          <w:b/>
        </w:rPr>
        <w:t>: Caracterização Setorial: número de empresas de cada setor por grupo.</w:t>
      </w:r>
    </w:p>
    <w:tbl>
      <w:tblPr>
        <w:tblW w:w="5000" w:type="pct"/>
        <w:jc w:val="center"/>
        <w:tblCellMar>
          <w:left w:w="70" w:type="dxa"/>
          <w:right w:w="70" w:type="dxa"/>
        </w:tblCellMar>
        <w:tblLook w:val="04A0" w:firstRow="1" w:lastRow="0" w:firstColumn="1" w:lastColumn="0" w:noHBand="0" w:noVBand="1"/>
      </w:tblPr>
      <w:tblGrid>
        <w:gridCol w:w="4582"/>
        <w:gridCol w:w="1442"/>
        <w:gridCol w:w="895"/>
        <w:gridCol w:w="895"/>
        <w:gridCol w:w="895"/>
        <w:gridCol w:w="896"/>
        <w:gridCol w:w="739"/>
      </w:tblGrid>
      <w:tr w:rsidR="00FA65E7" w:rsidRPr="00F41CD0" w14:paraId="525E6FAF" w14:textId="77777777" w:rsidTr="00F41CD0">
        <w:trPr>
          <w:trHeight w:val="471"/>
          <w:jc w:val="center"/>
        </w:trPr>
        <w:tc>
          <w:tcPr>
            <w:tcW w:w="2246" w:type="pct"/>
            <w:tcBorders>
              <w:top w:val="single" w:sz="4" w:space="0" w:color="auto"/>
              <w:left w:val="nil"/>
              <w:bottom w:val="single" w:sz="4" w:space="0" w:color="auto"/>
              <w:right w:val="nil"/>
            </w:tcBorders>
            <w:shd w:val="clear" w:color="auto" w:fill="auto"/>
            <w:vAlign w:val="center"/>
            <w:hideMark/>
          </w:tcPr>
          <w:p w14:paraId="7B5DF817"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Setor</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5F03828A"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Código CNAE</w:t>
            </w:r>
          </w:p>
        </w:tc>
        <w:tc>
          <w:tcPr>
            <w:tcW w:w="464" w:type="pct"/>
            <w:tcBorders>
              <w:top w:val="single" w:sz="4" w:space="0" w:color="auto"/>
              <w:left w:val="single" w:sz="4" w:space="0" w:color="auto"/>
              <w:bottom w:val="single" w:sz="4" w:space="0" w:color="auto"/>
              <w:right w:val="nil"/>
            </w:tcBorders>
            <w:shd w:val="clear" w:color="auto" w:fill="auto"/>
            <w:noWrap/>
            <w:vAlign w:val="center"/>
            <w:hideMark/>
          </w:tcPr>
          <w:p w14:paraId="24B3CF7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Grupo 1</w:t>
            </w:r>
          </w:p>
        </w:tc>
        <w:tc>
          <w:tcPr>
            <w:tcW w:w="464" w:type="pct"/>
            <w:tcBorders>
              <w:top w:val="single" w:sz="4" w:space="0" w:color="auto"/>
              <w:left w:val="nil"/>
              <w:bottom w:val="single" w:sz="4" w:space="0" w:color="auto"/>
              <w:right w:val="nil"/>
            </w:tcBorders>
            <w:shd w:val="clear" w:color="auto" w:fill="auto"/>
            <w:noWrap/>
            <w:vAlign w:val="center"/>
            <w:hideMark/>
          </w:tcPr>
          <w:p w14:paraId="212AA7DA"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Grupo 2</w:t>
            </w:r>
          </w:p>
        </w:tc>
        <w:tc>
          <w:tcPr>
            <w:tcW w:w="464" w:type="pct"/>
            <w:tcBorders>
              <w:top w:val="single" w:sz="4" w:space="0" w:color="auto"/>
              <w:left w:val="nil"/>
              <w:bottom w:val="single" w:sz="4" w:space="0" w:color="auto"/>
              <w:right w:val="nil"/>
            </w:tcBorders>
            <w:shd w:val="clear" w:color="auto" w:fill="auto"/>
            <w:noWrap/>
            <w:vAlign w:val="center"/>
            <w:hideMark/>
          </w:tcPr>
          <w:p w14:paraId="7C7622B2"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Grupo 3</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14:paraId="5B1DF1F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Grupo 4</w:t>
            </w:r>
          </w:p>
        </w:tc>
        <w:tc>
          <w:tcPr>
            <w:tcW w:w="389" w:type="pct"/>
            <w:tcBorders>
              <w:top w:val="single" w:sz="4" w:space="0" w:color="auto"/>
              <w:left w:val="single" w:sz="4" w:space="0" w:color="auto"/>
              <w:bottom w:val="single" w:sz="4" w:space="0" w:color="auto"/>
              <w:right w:val="nil"/>
            </w:tcBorders>
            <w:shd w:val="clear" w:color="auto" w:fill="auto"/>
            <w:noWrap/>
            <w:vAlign w:val="center"/>
            <w:hideMark/>
          </w:tcPr>
          <w:p w14:paraId="26D84867"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Total</w:t>
            </w:r>
          </w:p>
        </w:tc>
      </w:tr>
      <w:tr w:rsidR="00FA65E7" w:rsidRPr="00F41CD0" w14:paraId="4FF3AC8C" w14:textId="77777777" w:rsidTr="00F41CD0">
        <w:trPr>
          <w:trHeight w:val="317"/>
          <w:jc w:val="center"/>
        </w:trPr>
        <w:tc>
          <w:tcPr>
            <w:tcW w:w="2246" w:type="pct"/>
            <w:tcBorders>
              <w:top w:val="nil"/>
              <w:left w:val="nil"/>
              <w:bottom w:val="nil"/>
              <w:right w:val="nil"/>
            </w:tcBorders>
            <w:shd w:val="clear" w:color="auto" w:fill="BFBFBF" w:themeFill="background1" w:themeFillShade="BF"/>
            <w:vAlign w:val="center"/>
            <w:hideMark/>
          </w:tcPr>
          <w:p w14:paraId="0BEF655E"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SICs – Produtores</w:t>
            </w:r>
          </w:p>
        </w:tc>
        <w:tc>
          <w:tcPr>
            <w:tcW w:w="510" w:type="pct"/>
            <w:tcBorders>
              <w:top w:val="nil"/>
              <w:left w:val="nil"/>
              <w:bottom w:val="nil"/>
              <w:right w:val="single" w:sz="4" w:space="0" w:color="auto"/>
            </w:tcBorders>
            <w:shd w:val="clear" w:color="auto" w:fill="BFBFBF" w:themeFill="background1" w:themeFillShade="BF"/>
            <w:noWrap/>
            <w:vAlign w:val="center"/>
            <w:hideMark/>
          </w:tcPr>
          <w:p w14:paraId="7A1083FD" w14:textId="77777777" w:rsidR="00FA65E7" w:rsidRPr="00F41CD0" w:rsidRDefault="00FA65E7" w:rsidP="005341B9">
            <w:pPr>
              <w:spacing w:line="240" w:lineRule="auto"/>
              <w:jc w:val="center"/>
              <w:rPr>
                <w:rFonts w:eastAsia="Times New Roman"/>
                <w:color w:val="000000"/>
                <w:sz w:val="22"/>
                <w:szCs w:val="22"/>
                <w:lang w:eastAsia="pt-BR"/>
              </w:rPr>
            </w:pPr>
          </w:p>
        </w:tc>
        <w:tc>
          <w:tcPr>
            <w:tcW w:w="464" w:type="pct"/>
            <w:tcBorders>
              <w:top w:val="nil"/>
              <w:left w:val="single" w:sz="4" w:space="0" w:color="auto"/>
              <w:bottom w:val="nil"/>
              <w:right w:val="nil"/>
            </w:tcBorders>
            <w:shd w:val="clear" w:color="auto" w:fill="BFBFBF" w:themeFill="background1" w:themeFillShade="BF"/>
            <w:noWrap/>
            <w:vAlign w:val="center"/>
            <w:hideMark/>
          </w:tcPr>
          <w:p w14:paraId="66A46DA1"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9</w:t>
            </w:r>
          </w:p>
        </w:tc>
        <w:tc>
          <w:tcPr>
            <w:tcW w:w="464" w:type="pct"/>
            <w:tcBorders>
              <w:top w:val="nil"/>
              <w:left w:val="nil"/>
              <w:bottom w:val="nil"/>
              <w:right w:val="nil"/>
            </w:tcBorders>
            <w:shd w:val="clear" w:color="auto" w:fill="BFBFBF" w:themeFill="background1" w:themeFillShade="BF"/>
            <w:noWrap/>
            <w:vAlign w:val="center"/>
            <w:hideMark/>
          </w:tcPr>
          <w:p w14:paraId="4D0EA8E8"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10</w:t>
            </w:r>
          </w:p>
        </w:tc>
        <w:tc>
          <w:tcPr>
            <w:tcW w:w="464" w:type="pct"/>
            <w:tcBorders>
              <w:top w:val="nil"/>
              <w:left w:val="nil"/>
              <w:bottom w:val="nil"/>
              <w:right w:val="nil"/>
            </w:tcBorders>
            <w:shd w:val="clear" w:color="auto" w:fill="BFBFBF" w:themeFill="background1" w:themeFillShade="BF"/>
            <w:noWrap/>
            <w:vAlign w:val="center"/>
            <w:hideMark/>
          </w:tcPr>
          <w:p w14:paraId="4672A9F1"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5</w:t>
            </w:r>
          </w:p>
        </w:tc>
        <w:tc>
          <w:tcPr>
            <w:tcW w:w="464" w:type="pct"/>
            <w:tcBorders>
              <w:top w:val="nil"/>
              <w:left w:val="nil"/>
              <w:bottom w:val="nil"/>
              <w:right w:val="single" w:sz="4" w:space="0" w:color="auto"/>
            </w:tcBorders>
            <w:shd w:val="clear" w:color="auto" w:fill="BFBFBF" w:themeFill="background1" w:themeFillShade="BF"/>
            <w:noWrap/>
            <w:vAlign w:val="center"/>
            <w:hideMark/>
          </w:tcPr>
          <w:p w14:paraId="37EE5E57"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w:t>
            </w:r>
          </w:p>
        </w:tc>
        <w:tc>
          <w:tcPr>
            <w:tcW w:w="389" w:type="pct"/>
            <w:tcBorders>
              <w:top w:val="nil"/>
              <w:left w:val="single" w:sz="4" w:space="0" w:color="auto"/>
              <w:bottom w:val="nil"/>
              <w:right w:val="nil"/>
            </w:tcBorders>
            <w:shd w:val="clear" w:color="auto" w:fill="BFBFBF" w:themeFill="background1" w:themeFillShade="BF"/>
            <w:noWrap/>
            <w:vAlign w:val="center"/>
            <w:hideMark/>
          </w:tcPr>
          <w:p w14:paraId="4EA5F6A3"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30</w:t>
            </w:r>
          </w:p>
        </w:tc>
      </w:tr>
      <w:tr w:rsidR="00FA65E7" w:rsidRPr="00F41CD0" w14:paraId="3E3DF9F2" w14:textId="77777777" w:rsidTr="00F41CD0">
        <w:trPr>
          <w:trHeight w:val="391"/>
          <w:jc w:val="center"/>
        </w:trPr>
        <w:tc>
          <w:tcPr>
            <w:tcW w:w="2246" w:type="pct"/>
            <w:tcBorders>
              <w:top w:val="nil"/>
              <w:left w:val="nil"/>
              <w:bottom w:val="nil"/>
              <w:right w:val="nil"/>
            </w:tcBorders>
            <w:shd w:val="clear" w:color="auto" w:fill="auto"/>
            <w:vAlign w:val="center"/>
            <w:hideMark/>
          </w:tcPr>
          <w:p w14:paraId="522F4ED3"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Telecomunicações</w:t>
            </w:r>
          </w:p>
        </w:tc>
        <w:tc>
          <w:tcPr>
            <w:tcW w:w="510" w:type="pct"/>
            <w:tcBorders>
              <w:top w:val="nil"/>
              <w:left w:val="nil"/>
              <w:bottom w:val="nil"/>
              <w:right w:val="single" w:sz="4" w:space="0" w:color="auto"/>
            </w:tcBorders>
            <w:shd w:val="clear" w:color="auto" w:fill="auto"/>
            <w:noWrap/>
            <w:vAlign w:val="center"/>
            <w:hideMark/>
          </w:tcPr>
          <w:p w14:paraId="7BEFD7EE"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61</w:t>
            </w:r>
          </w:p>
        </w:tc>
        <w:tc>
          <w:tcPr>
            <w:tcW w:w="464" w:type="pct"/>
            <w:tcBorders>
              <w:top w:val="nil"/>
              <w:left w:val="single" w:sz="4" w:space="0" w:color="auto"/>
              <w:bottom w:val="nil"/>
              <w:right w:val="nil"/>
            </w:tcBorders>
            <w:shd w:val="clear" w:color="auto" w:fill="auto"/>
            <w:noWrap/>
            <w:vAlign w:val="center"/>
            <w:hideMark/>
          </w:tcPr>
          <w:p w14:paraId="3B3BB927"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nil"/>
              <w:right w:val="nil"/>
            </w:tcBorders>
            <w:shd w:val="clear" w:color="auto" w:fill="auto"/>
            <w:noWrap/>
            <w:vAlign w:val="center"/>
            <w:hideMark/>
          </w:tcPr>
          <w:p w14:paraId="7D3AD20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nil"/>
              <w:right w:val="nil"/>
            </w:tcBorders>
            <w:shd w:val="clear" w:color="auto" w:fill="auto"/>
            <w:noWrap/>
            <w:vAlign w:val="center"/>
            <w:hideMark/>
          </w:tcPr>
          <w:p w14:paraId="54982D9C"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464" w:type="pct"/>
            <w:tcBorders>
              <w:top w:val="nil"/>
              <w:left w:val="nil"/>
              <w:bottom w:val="nil"/>
              <w:right w:val="single" w:sz="4" w:space="0" w:color="auto"/>
            </w:tcBorders>
            <w:shd w:val="clear" w:color="auto" w:fill="auto"/>
            <w:noWrap/>
            <w:vAlign w:val="center"/>
            <w:hideMark/>
          </w:tcPr>
          <w:p w14:paraId="6D1A963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389" w:type="pct"/>
            <w:tcBorders>
              <w:top w:val="nil"/>
              <w:left w:val="single" w:sz="4" w:space="0" w:color="auto"/>
              <w:bottom w:val="nil"/>
              <w:right w:val="nil"/>
            </w:tcBorders>
            <w:shd w:val="clear" w:color="auto" w:fill="auto"/>
            <w:noWrap/>
            <w:vAlign w:val="center"/>
            <w:hideMark/>
          </w:tcPr>
          <w:p w14:paraId="3001559B"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r>
      <w:tr w:rsidR="00FA65E7" w:rsidRPr="00F41CD0" w14:paraId="45497463" w14:textId="77777777" w:rsidTr="00F41CD0">
        <w:trPr>
          <w:trHeight w:val="340"/>
          <w:jc w:val="center"/>
        </w:trPr>
        <w:tc>
          <w:tcPr>
            <w:tcW w:w="2246" w:type="pct"/>
            <w:tcBorders>
              <w:top w:val="nil"/>
              <w:left w:val="nil"/>
              <w:bottom w:val="nil"/>
              <w:right w:val="nil"/>
            </w:tcBorders>
            <w:shd w:val="clear" w:color="auto" w:fill="auto"/>
            <w:vAlign w:val="center"/>
            <w:hideMark/>
          </w:tcPr>
          <w:p w14:paraId="6AAA7C33" w14:textId="0A24DB59" w:rsidR="00FA65E7" w:rsidRPr="00F41CD0" w:rsidRDefault="006242DF"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Atividades dos serviços de TI</w:t>
            </w:r>
          </w:p>
        </w:tc>
        <w:tc>
          <w:tcPr>
            <w:tcW w:w="510" w:type="pct"/>
            <w:tcBorders>
              <w:top w:val="nil"/>
              <w:left w:val="nil"/>
              <w:bottom w:val="nil"/>
              <w:right w:val="single" w:sz="4" w:space="0" w:color="auto"/>
            </w:tcBorders>
            <w:shd w:val="clear" w:color="auto" w:fill="auto"/>
            <w:noWrap/>
            <w:vAlign w:val="center"/>
            <w:hideMark/>
          </w:tcPr>
          <w:p w14:paraId="296B8EB7"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62</w:t>
            </w:r>
          </w:p>
        </w:tc>
        <w:tc>
          <w:tcPr>
            <w:tcW w:w="464" w:type="pct"/>
            <w:tcBorders>
              <w:top w:val="nil"/>
              <w:left w:val="single" w:sz="4" w:space="0" w:color="auto"/>
              <w:bottom w:val="nil"/>
              <w:right w:val="nil"/>
            </w:tcBorders>
            <w:shd w:val="clear" w:color="auto" w:fill="auto"/>
            <w:noWrap/>
            <w:vAlign w:val="center"/>
            <w:hideMark/>
          </w:tcPr>
          <w:p w14:paraId="1E4EC252"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w:t>
            </w:r>
          </w:p>
        </w:tc>
        <w:tc>
          <w:tcPr>
            <w:tcW w:w="464" w:type="pct"/>
            <w:tcBorders>
              <w:top w:val="nil"/>
              <w:left w:val="nil"/>
              <w:bottom w:val="nil"/>
              <w:right w:val="nil"/>
            </w:tcBorders>
            <w:shd w:val="clear" w:color="auto" w:fill="auto"/>
            <w:noWrap/>
            <w:vAlign w:val="center"/>
            <w:hideMark/>
          </w:tcPr>
          <w:p w14:paraId="4E81945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7</w:t>
            </w:r>
          </w:p>
        </w:tc>
        <w:tc>
          <w:tcPr>
            <w:tcW w:w="464" w:type="pct"/>
            <w:tcBorders>
              <w:top w:val="nil"/>
              <w:left w:val="nil"/>
              <w:bottom w:val="nil"/>
              <w:right w:val="nil"/>
            </w:tcBorders>
            <w:shd w:val="clear" w:color="auto" w:fill="auto"/>
            <w:noWrap/>
            <w:vAlign w:val="center"/>
            <w:hideMark/>
          </w:tcPr>
          <w:p w14:paraId="5C248B32"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w:t>
            </w:r>
          </w:p>
        </w:tc>
        <w:tc>
          <w:tcPr>
            <w:tcW w:w="464" w:type="pct"/>
            <w:tcBorders>
              <w:top w:val="nil"/>
              <w:left w:val="nil"/>
              <w:bottom w:val="nil"/>
              <w:right w:val="single" w:sz="4" w:space="0" w:color="auto"/>
            </w:tcBorders>
            <w:shd w:val="clear" w:color="auto" w:fill="auto"/>
            <w:noWrap/>
            <w:vAlign w:val="center"/>
            <w:hideMark/>
          </w:tcPr>
          <w:p w14:paraId="00FCE2D9"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w:t>
            </w:r>
          </w:p>
        </w:tc>
        <w:tc>
          <w:tcPr>
            <w:tcW w:w="389" w:type="pct"/>
            <w:tcBorders>
              <w:top w:val="nil"/>
              <w:left w:val="single" w:sz="4" w:space="0" w:color="auto"/>
              <w:bottom w:val="nil"/>
              <w:right w:val="nil"/>
            </w:tcBorders>
            <w:shd w:val="clear" w:color="auto" w:fill="auto"/>
            <w:noWrap/>
            <w:vAlign w:val="center"/>
            <w:hideMark/>
          </w:tcPr>
          <w:p w14:paraId="00973E9B"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16</w:t>
            </w:r>
          </w:p>
        </w:tc>
      </w:tr>
      <w:tr w:rsidR="00FA65E7" w:rsidRPr="00F41CD0" w14:paraId="3B447C93" w14:textId="77777777" w:rsidTr="00F41CD0">
        <w:trPr>
          <w:trHeight w:val="274"/>
          <w:jc w:val="center"/>
        </w:trPr>
        <w:tc>
          <w:tcPr>
            <w:tcW w:w="2246" w:type="pct"/>
            <w:tcBorders>
              <w:top w:val="nil"/>
              <w:left w:val="nil"/>
              <w:bottom w:val="nil"/>
              <w:right w:val="nil"/>
            </w:tcBorders>
            <w:shd w:val="clear" w:color="auto" w:fill="auto"/>
            <w:vAlign w:val="center"/>
            <w:hideMark/>
          </w:tcPr>
          <w:p w14:paraId="2E02C228"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P&amp;D científico</w:t>
            </w:r>
          </w:p>
        </w:tc>
        <w:tc>
          <w:tcPr>
            <w:tcW w:w="510" w:type="pct"/>
            <w:tcBorders>
              <w:top w:val="nil"/>
              <w:left w:val="nil"/>
              <w:bottom w:val="nil"/>
              <w:right w:val="single" w:sz="4" w:space="0" w:color="auto"/>
            </w:tcBorders>
            <w:shd w:val="clear" w:color="auto" w:fill="auto"/>
            <w:noWrap/>
            <w:vAlign w:val="center"/>
            <w:hideMark/>
          </w:tcPr>
          <w:p w14:paraId="3ADF4F00"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72</w:t>
            </w:r>
          </w:p>
        </w:tc>
        <w:tc>
          <w:tcPr>
            <w:tcW w:w="464" w:type="pct"/>
            <w:tcBorders>
              <w:top w:val="nil"/>
              <w:left w:val="single" w:sz="4" w:space="0" w:color="auto"/>
              <w:bottom w:val="nil"/>
              <w:right w:val="nil"/>
            </w:tcBorders>
            <w:shd w:val="clear" w:color="auto" w:fill="auto"/>
            <w:noWrap/>
            <w:vAlign w:val="center"/>
            <w:hideMark/>
          </w:tcPr>
          <w:p w14:paraId="23E67E01"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w:t>
            </w:r>
          </w:p>
        </w:tc>
        <w:tc>
          <w:tcPr>
            <w:tcW w:w="464" w:type="pct"/>
            <w:tcBorders>
              <w:top w:val="nil"/>
              <w:left w:val="nil"/>
              <w:bottom w:val="nil"/>
              <w:right w:val="nil"/>
            </w:tcBorders>
            <w:shd w:val="clear" w:color="auto" w:fill="auto"/>
            <w:noWrap/>
            <w:vAlign w:val="center"/>
            <w:hideMark/>
          </w:tcPr>
          <w:p w14:paraId="5C7CBF62"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c>
          <w:tcPr>
            <w:tcW w:w="464" w:type="pct"/>
            <w:tcBorders>
              <w:top w:val="nil"/>
              <w:left w:val="nil"/>
              <w:bottom w:val="nil"/>
              <w:right w:val="nil"/>
            </w:tcBorders>
            <w:shd w:val="clear" w:color="auto" w:fill="auto"/>
            <w:noWrap/>
            <w:vAlign w:val="center"/>
            <w:hideMark/>
          </w:tcPr>
          <w:p w14:paraId="38C6F65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464" w:type="pct"/>
            <w:tcBorders>
              <w:top w:val="nil"/>
              <w:left w:val="nil"/>
              <w:bottom w:val="nil"/>
              <w:right w:val="single" w:sz="4" w:space="0" w:color="auto"/>
            </w:tcBorders>
            <w:shd w:val="clear" w:color="auto" w:fill="auto"/>
            <w:noWrap/>
            <w:vAlign w:val="center"/>
            <w:hideMark/>
          </w:tcPr>
          <w:p w14:paraId="43E4EBA7"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c>
          <w:tcPr>
            <w:tcW w:w="389" w:type="pct"/>
            <w:tcBorders>
              <w:top w:val="nil"/>
              <w:left w:val="single" w:sz="4" w:space="0" w:color="auto"/>
              <w:bottom w:val="nil"/>
              <w:right w:val="nil"/>
            </w:tcBorders>
            <w:shd w:val="clear" w:color="auto" w:fill="auto"/>
            <w:noWrap/>
            <w:vAlign w:val="center"/>
            <w:hideMark/>
          </w:tcPr>
          <w:p w14:paraId="4031382A"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11</w:t>
            </w:r>
          </w:p>
        </w:tc>
      </w:tr>
      <w:tr w:rsidR="00FA65E7" w:rsidRPr="00F41CD0" w14:paraId="461A8A53" w14:textId="77777777" w:rsidTr="00F41CD0">
        <w:trPr>
          <w:trHeight w:val="421"/>
          <w:jc w:val="center"/>
        </w:trPr>
        <w:tc>
          <w:tcPr>
            <w:tcW w:w="2246" w:type="pct"/>
            <w:tcBorders>
              <w:top w:val="nil"/>
              <w:left w:val="nil"/>
              <w:bottom w:val="single" w:sz="4" w:space="0" w:color="auto"/>
              <w:right w:val="nil"/>
            </w:tcBorders>
            <w:shd w:val="clear" w:color="auto" w:fill="auto"/>
            <w:vAlign w:val="center"/>
            <w:hideMark/>
          </w:tcPr>
          <w:p w14:paraId="4D6BDAA9" w14:textId="04B4019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Outras ativ</w:t>
            </w:r>
            <w:r w:rsidR="006242DF" w:rsidRPr="00F41CD0">
              <w:rPr>
                <w:rFonts w:eastAsia="Times New Roman"/>
                <w:color w:val="000000"/>
                <w:sz w:val="22"/>
                <w:szCs w:val="22"/>
                <w:lang w:eastAsia="pt-BR"/>
              </w:rPr>
              <w:t xml:space="preserve">. </w:t>
            </w:r>
            <w:r w:rsidRPr="00F41CD0">
              <w:rPr>
                <w:rFonts w:eastAsia="Times New Roman"/>
                <w:color w:val="000000"/>
                <w:sz w:val="22"/>
                <w:szCs w:val="22"/>
                <w:lang w:eastAsia="pt-BR"/>
              </w:rPr>
              <w:t>profissionais, científicas e técnicas</w:t>
            </w:r>
          </w:p>
        </w:tc>
        <w:tc>
          <w:tcPr>
            <w:tcW w:w="510" w:type="pct"/>
            <w:tcBorders>
              <w:top w:val="nil"/>
              <w:left w:val="nil"/>
              <w:bottom w:val="single" w:sz="4" w:space="0" w:color="auto"/>
              <w:right w:val="single" w:sz="4" w:space="0" w:color="auto"/>
            </w:tcBorders>
            <w:shd w:val="clear" w:color="auto" w:fill="auto"/>
            <w:noWrap/>
            <w:vAlign w:val="center"/>
            <w:hideMark/>
          </w:tcPr>
          <w:p w14:paraId="3DB0554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74</w:t>
            </w:r>
          </w:p>
        </w:tc>
        <w:tc>
          <w:tcPr>
            <w:tcW w:w="464" w:type="pct"/>
            <w:tcBorders>
              <w:top w:val="nil"/>
              <w:left w:val="single" w:sz="4" w:space="0" w:color="auto"/>
              <w:bottom w:val="single" w:sz="4" w:space="0" w:color="auto"/>
              <w:right w:val="nil"/>
            </w:tcBorders>
            <w:shd w:val="clear" w:color="auto" w:fill="auto"/>
            <w:noWrap/>
            <w:vAlign w:val="center"/>
            <w:hideMark/>
          </w:tcPr>
          <w:p w14:paraId="30C403AC"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single" w:sz="4" w:space="0" w:color="auto"/>
              <w:right w:val="nil"/>
            </w:tcBorders>
            <w:shd w:val="clear" w:color="auto" w:fill="auto"/>
            <w:noWrap/>
            <w:vAlign w:val="center"/>
            <w:hideMark/>
          </w:tcPr>
          <w:p w14:paraId="6ACD9B8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464" w:type="pct"/>
            <w:tcBorders>
              <w:top w:val="nil"/>
              <w:left w:val="nil"/>
              <w:bottom w:val="single" w:sz="4" w:space="0" w:color="auto"/>
              <w:right w:val="nil"/>
            </w:tcBorders>
            <w:shd w:val="clear" w:color="auto" w:fill="auto"/>
            <w:noWrap/>
            <w:vAlign w:val="center"/>
            <w:hideMark/>
          </w:tcPr>
          <w:p w14:paraId="6CD44CCD"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single" w:sz="4" w:space="0" w:color="auto"/>
              <w:right w:val="single" w:sz="4" w:space="0" w:color="auto"/>
            </w:tcBorders>
            <w:shd w:val="clear" w:color="auto" w:fill="auto"/>
            <w:noWrap/>
            <w:vAlign w:val="center"/>
            <w:hideMark/>
          </w:tcPr>
          <w:p w14:paraId="27934EAF"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389" w:type="pct"/>
            <w:tcBorders>
              <w:top w:val="nil"/>
              <w:left w:val="single" w:sz="4" w:space="0" w:color="auto"/>
              <w:bottom w:val="single" w:sz="4" w:space="0" w:color="auto"/>
              <w:right w:val="nil"/>
            </w:tcBorders>
            <w:shd w:val="clear" w:color="auto" w:fill="auto"/>
            <w:noWrap/>
            <w:vAlign w:val="center"/>
            <w:hideMark/>
          </w:tcPr>
          <w:p w14:paraId="593E4CF0"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r>
      <w:tr w:rsidR="00FA65E7" w:rsidRPr="00F41CD0" w14:paraId="39DB7F36" w14:textId="77777777" w:rsidTr="00F41CD0">
        <w:trPr>
          <w:trHeight w:val="271"/>
          <w:jc w:val="center"/>
        </w:trPr>
        <w:tc>
          <w:tcPr>
            <w:tcW w:w="2246" w:type="pct"/>
            <w:tcBorders>
              <w:top w:val="nil"/>
              <w:left w:val="nil"/>
              <w:bottom w:val="nil"/>
              <w:right w:val="nil"/>
            </w:tcBorders>
            <w:shd w:val="clear" w:color="auto" w:fill="BFBFBF" w:themeFill="background1" w:themeFillShade="BF"/>
            <w:vAlign w:val="center"/>
            <w:hideMark/>
          </w:tcPr>
          <w:p w14:paraId="033964A7"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SICs – Usuários</w:t>
            </w:r>
          </w:p>
        </w:tc>
        <w:tc>
          <w:tcPr>
            <w:tcW w:w="510" w:type="pct"/>
            <w:tcBorders>
              <w:top w:val="nil"/>
              <w:left w:val="nil"/>
              <w:bottom w:val="nil"/>
              <w:right w:val="single" w:sz="4" w:space="0" w:color="auto"/>
            </w:tcBorders>
            <w:shd w:val="clear" w:color="auto" w:fill="BFBFBF" w:themeFill="background1" w:themeFillShade="BF"/>
            <w:noWrap/>
            <w:vAlign w:val="center"/>
            <w:hideMark/>
          </w:tcPr>
          <w:p w14:paraId="4BD70D9E" w14:textId="77777777" w:rsidR="00FA65E7" w:rsidRPr="00F41CD0" w:rsidRDefault="00FA65E7" w:rsidP="005341B9">
            <w:pPr>
              <w:spacing w:line="240" w:lineRule="auto"/>
              <w:jc w:val="center"/>
              <w:rPr>
                <w:rFonts w:eastAsia="Times New Roman"/>
                <w:color w:val="000000"/>
                <w:sz w:val="22"/>
                <w:szCs w:val="22"/>
                <w:lang w:eastAsia="pt-BR"/>
              </w:rPr>
            </w:pPr>
          </w:p>
        </w:tc>
        <w:tc>
          <w:tcPr>
            <w:tcW w:w="464" w:type="pct"/>
            <w:tcBorders>
              <w:top w:val="nil"/>
              <w:left w:val="single" w:sz="4" w:space="0" w:color="auto"/>
              <w:bottom w:val="nil"/>
              <w:right w:val="nil"/>
            </w:tcBorders>
            <w:shd w:val="clear" w:color="auto" w:fill="BFBFBF" w:themeFill="background1" w:themeFillShade="BF"/>
            <w:noWrap/>
            <w:vAlign w:val="center"/>
            <w:hideMark/>
          </w:tcPr>
          <w:p w14:paraId="1432540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4</w:t>
            </w:r>
          </w:p>
        </w:tc>
        <w:tc>
          <w:tcPr>
            <w:tcW w:w="464" w:type="pct"/>
            <w:tcBorders>
              <w:top w:val="nil"/>
              <w:left w:val="nil"/>
              <w:bottom w:val="nil"/>
              <w:right w:val="nil"/>
            </w:tcBorders>
            <w:shd w:val="clear" w:color="auto" w:fill="BFBFBF" w:themeFill="background1" w:themeFillShade="BF"/>
            <w:noWrap/>
            <w:vAlign w:val="center"/>
            <w:hideMark/>
          </w:tcPr>
          <w:p w14:paraId="69CE2AB1"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w:t>
            </w:r>
          </w:p>
        </w:tc>
        <w:tc>
          <w:tcPr>
            <w:tcW w:w="464" w:type="pct"/>
            <w:tcBorders>
              <w:top w:val="nil"/>
              <w:left w:val="nil"/>
              <w:bottom w:val="nil"/>
              <w:right w:val="nil"/>
            </w:tcBorders>
            <w:shd w:val="clear" w:color="auto" w:fill="BFBFBF" w:themeFill="background1" w:themeFillShade="BF"/>
            <w:noWrap/>
            <w:vAlign w:val="center"/>
            <w:hideMark/>
          </w:tcPr>
          <w:p w14:paraId="2548B134"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4</w:t>
            </w:r>
          </w:p>
        </w:tc>
        <w:tc>
          <w:tcPr>
            <w:tcW w:w="464" w:type="pct"/>
            <w:tcBorders>
              <w:top w:val="nil"/>
              <w:left w:val="nil"/>
              <w:bottom w:val="nil"/>
              <w:right w:val="single" w:sz="4" w:space="0" w:color="auto"/>
            </w:tcBorders>
            <w:shd w:val="clear" w:color="auto" w:fill="BFBFBF" w:themeFill="background1" w:themeFillShade="BF"/>
            <w:noWrap/>
            <w:vAlign w:val="center"/>
            <w:hideMark/>
          </w:tcPr>
          <w:p w14:paraId="70C2D6C1"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4</w:t>
            </w:r>
          </w:p>
        </w:tc>
        <w:tc>
          <w:tcPr>
            <w:tcW w:w="389" w:type="pct"/>
            <w:tcBorders>
              <w:top w:val="nil"/>
              <w:left w:val="single" w:sz="4" w:space="0" w:color="auto"/>
              <w:bottom w:val="nil"/>
              <w:right w:val="nil"/>
            </w:tcBorders>
            <w:shd w:val="clear" w:color="auto" w:fill="BFBFBF" w:themeFill="background1" w:themeFillShade="BF"/>
            <w:noWrap/>
            <w:vAlign w:val="center"/>
            <w:hideMark/>
          </w:tcPr>
          <w:p w14:paraId="7DB59329"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18</w:t>
            </w:r>
          </w:p>
        </w:tc>
      </w:tr>
      <w:tr w:rsidR="00FA65E7" w:rsidRPr="00F41CD0" w14:paraId="37A93FEB" w14:textId="77777777" w:rsidTr="00F41CD0">
        <w:trPr>
          <w:trHeight w:val="519"/>
          <w:jc w:val="center"/>
        </w:trPr>
        <w:tc>
          <w:tcPr>
            <w:tcW w:w="2246" w:type="pct"/>
            <w:tcBorders>
              <w:top w:val="nil"/>
              <w:left w:val="nil"/>
              <w:bottom w:val="nil"/>
              <w:right w:val="nil"/>
            </w:tcBorders>
            <w:shd w:val="clear" w:color="auto" w:fill="auto"/>
            <w:vAlign w:val="center"/>
            <w:hideMark/>
          </w:tcPr>
          <w:p w14:paraId="34AC0313"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 xml:space="preserve">Atividades de prestação de serviços de informação </w:t>
            </w:r>
          </w:p>
        </w:tc>
        <w:tc>
          <w:tcPr>
            <w:tcW w:w="510" w:type="pct"/>
            <w:tcBorders>
              <w:top w:val="nil"/>
              <w:left w:val="nil"/>
              <w:bottom w:val="nil"/>
              <w:right w:val="single" w:sz="4" w:space="0" w:color="auto"/>
            </w:tcBorders>
            <w:shd w:val="clear" w:color="auto" w:fill="auto"/>
            <w:noWrap/>
            <w:vAlign w:val="center"/>
            <w:hideMark/>
          </w:tcPr>
          <w:p w14:paraId="45FEBC2E"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63</w:t>
            </w:r>
          </w:p>
        </w:tc>
        <w:tc>
          <w:tcPr>
            <w:tcW w:w="464" w:type="pct"/>
            <w:tcBorders>
              <w:top w:val="nil"/>
              <w:left w:val="single" w:sz="4" w:space="0" w:color="auto"/>
              <w:bottom w:val="nil"/>
              <w:right w:val="nil"/>
            </w:tcBorders>
            <w:shd w:val="clear" w:color="auto" w:fill="auto"/>
            <w:noWrap/>
            <w:vAlign w:val="center"/>
            <w:hideMark/>
          </w:tcPr>
          <w:p w14:paraId="5886071A"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c>
          <w:tcPr>
            <w:tcW w:w="464" w:type="pct"/>
            <w:tcBorders>
              <w:top w:val="nil"/>
              <w:left w:val="nil"/>
              <w:bottom w:val="nil"/>
              <w:right w:val="nil"/>
            </w:tcBorders>
            <w:shd w:val="clear" w:color="auto" w:fill="auto"/>
            <w:noWrap/>
            <w:vAlign w:val="center"/>
            <w:hideMark/>
          </w:tcPr>
          <w:p w14:paraId="28CB5AD8"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464" w:type="pct"/>
            <w:tcBorders>
              <w:top w:val="nil"/>
              <w:left w:val="nil"/>
              <w:bottom w:val="nil"/>
              <w:right w:val="nil"/>
            </w:tcBorders>
            <w:shd w:val="clear" w:color="auto" w:fill="auto"/>
            <w:noWrap/>
            <w:vAlign w:val="center"/>
            <w:hideMark/>
          </w:tcPr>
          <w:p w14:paraId="1C68E79D"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nil"/>
              <w:right w:val="single" w:sz="4" w:space="0" w:color="auto"/>
            </w:tcBorders>
            <w:shd w:val="clear" w:color="auto" w:fill="auto"/>
            <w:noWrap/>
            <w:vAlign w:val="center"/>
            <w:hideMark/>
          </w:tcPr>
          <w:p w14:paraId="7F8A2F0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389" w:type="pct"/>
            <w:tcBorders>
              <w:top w:val="nil"/>
              <w:left w:val="single" w:sz="4" w:space="0" w:color="auto"/>
              <w:bottom w:val="nil"/>
              <w:right w:val="nil"/>
            </w:tcBorders>
            <w:shd w:val="clear" w:color="auto" w:fill="auto"/>
            <w:noWrap/>
            <w:vAlign w:val="center"/>
            <w:hideMark/>
          </w:tcPr>
          <w:p w14:paraId="733AF3D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w:t>
            </w:r>
          </w:p>
        </w:tc>
      </w:tr>
      <w:tr w:rsidR="00FA65E7" w:rsidRPr="00F41CD0" w14:paraId="4D06BDA7" w14:textId="77777777" w:rsidTr="00F41CD0">
        <w:trPr>
          <w:trHeight w:val="427"/>
          <w:jc w:val="center"/>
        </w:trPr>
        <w:tc>
          <w:tcPr>
            <w:tcW w:w="2246" w:type="pct"/>
            <w:tcBorders>
              <w:top w:val="nil"/>
              <w:left w:val="nil"/>
              <w:bottom w:val="nil"/>
              <w:right w:val="nil"/>
            </w:tcBorders>
            <w:shd w:val="clear" w:color="auto" w:fill="auto"/>
            <w:vAlign w:val="center"/>
            <w:hideMark/>
          </w:tcPr>
          <w:p w14:paraId="7305F8DA"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Atividades financeiras, de seguros e serviços relacionados</w:t>
            </w:r>
          </w:p>
        </w:tc>
        <w:tc>
          <w:tcPr>
            <w:tcW w:w="510" w:type="pct"/>
            <w:tcBorders>
              <w:top w:val="nil"/>
              <w:left w:val="nil"/>
              <w:bottom w:val="nil"/>
              <w:right w:val="single" w:sz="4" w:space="0" w:color="auto"/>
            </w:tcBorders>
            <w:shd w:val="clear" w:color="auto" w:fill="auto"/>
            <w:noWrap/>
            <w:vAlign w:val="center"/>
            <w:hideMark/>
          </w:tcPr>
          <w:p w14:paraId="4728C54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64</w:t>
            </w:r>
          </w:p>
        </w:tc>
        <w:tc>
          <w:tcPr>
            <w:tcW w:w="464" w:type="pct"/>
            <w:tcBorders>
              <w:top w:val="nil"/>
              <w:left w:val="single" w:sz="4" w:space="0" w:color="auto"/>
              <w:bottom w:val="nil"/>
              <w:right w:val="nil"/>
            </w:tcBorders>
            <w:shd w:val="clear" w:color="auto" w:fill="auto"/>
            <w:noWrap/>
            <w:vAlign w:val="center"/>
            <w:hideMark/>
          </w:tcPr>
          <w:p w14:paraId="0224CE7F"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nil"/>
              <w:right w:val="nil"/>
            </w:tcBorders>
            <w:shd w:val="clear" w:color="auto" w:fill="auto"/>
            <w:noWrap/>
            <w:vAlign w:val="center"/>
            <w:hideMark/>
          </w:tcPr>
          <w:p w14:paraId="59129D3A"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464" w:type="pct"/>
            <w:tcBorders>
              <w:top w:val="nil"/>
              <w:left w:val="nil"/>
              <w:bottom w:val="nil"/>
              <w:right w:val="nil"/>
            </w:tcBorders>
            <w:shd w:val="clear" w:color="auto" w:fill="auto"/>
            <w:noWrap/>
            <w:vAlign w:val="center"/>
            <w:hideMark/>
          </w:tcPr>
          <w:p w14:paraId="3A2691AA"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nil"/>
              <w:right w:val="single" w:sz="4" w:space="0" w:color="auto"/>
            </w:tcBorders>
            <w:shd w:val="clear" w:color="auto" w:fill="auto"/>
            <w:noWrap/>
            <w:vAlign w:val="center"/>
            <w:hideMark/>
          </w:tcPr>
          <w:p w14:paraId="74AEFE32"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389" w:type="pct"/>
            <w:tcBorders>
              <w:top w:val="nil"/>
              <w:left w:val="single" w:sz="4" w:space="0" w:color="auto"/>
              <w:bottom w:val="nil"/>
              <w:right w:val="nil"/>
            </w:tcBorders>
            <w:shd w:val="clear" w:color="auto" w:fill="auto"/>
            <w:noWrap/>
            <w:vAlign w:val="center"/>
            <w:hideMark/>
          </w:tcPr>
          <w:p w14:paraId="785AC364"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r>
      <w:tr w:rsidR="00FA65E7" w:rsidRPr="00F41CD0" w14:paraId="2537DCA8" w14:textId="77777777" w:rsidTr="00F41CD0">
        <w:trPr>
          <w:trHeight w:val="424"/>
          <w:jc w:val="center"/>
        </w:trPr>
        <w:tc>
          <w:tcPr>
            <w:tcW w:w="2246" w:type="pct"/>
            <w:tcBorders>
              <w:top w:val="nil"/>
              <w:left w:val="nil"/>
              <w:bottom w:val="nil"/>
              <w:right w:val="nil"/>
            </w:tcBorders>
            <w:shd w:val="clear" w:color="auto" w:fill="auto"/>
            <w:vAlign w:val="center"/>
            <w:hideMark/>
          </w:tcPr>
          <w:p w14:paraId="16A67FEB"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Serviços de arquitetura e engenharia; testes e análises técnicas</w:t>
            </w:r>
          </w:p>
        </w:tc>
        <w:tc>
          <w:tcPr>
            <w:tcW w:w="510" w:type="pct"/>
            <w:tcBorders>
              <w:top w:val="nil"/>
              <w:left w:val="nil"/>
              <w:bottom w:val="nil"/>
              <w:right w:val="single" w:sz="4" w:space="0" w:color="auto"/>
            </w:tcBorders>
            <w:shd w:val="clear" w:color="auto" w:fill="auto"/>
            <w:noWrap/>
            <w:vAlign w:val="center"/>
            <w:hideMark/>
          </w:tcPr>
          <w:p w14:paraId="0C86227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71</w:t>
            </w:r>
          </w:p>
        </w:tc>
        <w:tc>
          <w:tcPr>
            <w:tcW w:w="464" w:type="pct"/>
            <w:tcBorders>
              <w:top w:val="nil"/>
              <w:left w:val="single" w:sz="4" w:space="0" w:color="auto"/>
              <w:bottom w:val="nil"/>
              <w:right w:val="nil"/>
            </w:tcBorders>
            <w:shd w:val="clear" w:color="auto" w:fill="auto"/>
            <w:noWrap/>
            <w:vAlign w:val="center"/>
            <w:hideMark/>
          </w:tcPr>
          <w:p w14:paraId="10E48BF1"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c>
          <w:tcPr>
            <w:tcW w:w="464" w:type="pct"/>
            <w:tcBorders>
              <w:top w:val="nil"/>
              <w:left w:val="nil"/>
              <w:bottom w:val="nil"/>
              <w:right w:val="nil"/>
            </w:tcBorders>
            <w:shd w:val="clear" w:color="auto" w:fill="auto"/>
            <w:noWrap/>
            <w:vAlign w:val="center"/>
            <w:hideMark/>
          </w:tcPr>
          <w:p w14:paraId="2AD96130"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w:t>
            </w:r>
          </w:p>
        </w:tc>
        <w:tc>
          <w:tcPr>
            <w:tcW w:w="464" w:type="pct"/>
            <w:tcBorders>
              <w:top w:val="nil"/>
              <w:left w:val="nil"/>
              <w:bottom w:val="nil"/>
              <w:right w:val="nil"/>
            </w:tcBorders>
            <w:shd w:val="clear" w:color="auto" w:fill="auto"/>
            <w:noWrap/>
            <w:vAlign w:val="center"/>
            <w:hideMark/>
          </w:tcPr>
          <w:p w14:paraId="70723099"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c>
          <w:tcPr>
            <w:tcW w:w="464" w:type="pct"/>
            <w:tcBorders>
              <w:top w:val="nil"/>
              <w:left w:val="nil"/>
              <w:bottom w:val="nil"/>
              <w:right w:val="single" w:sz="4" w:space="0" w:color="auto"/>
            </w:tcBorders>
            <w:shd w:val="clear" w:color="auto" w:fill="auto"/>
            <w:noWrap/>
            <w:vAlign w:val="center"/>
            <w:hideMark/>
          </w:tcPr>
          <w:p w14:paraId="67BF4654" w14:textId="77777777" w:rsidR="00FA65E7" w:rsidRPr="00F41CD0" w:rsidRDefault="00FA65E7" w:rsidP="005341B9">
            <w:pPr>
              <w:spacing w:line="240" w:lineRule="auto"/>
              <w:jc w:val="center"/>
              <w:rPr>
                <w:rFonts w:eastAsia="Times New Roman"/>
                <w:b/>
                <w:color w:val="000000"/>
                <w:sz w:val="22"/>
                <w:szCs w:val="22"/>
                <w:lang w:eastAsia="pt-BR"/>
              </w:rPr>
            </w:pPr>
            <w:r w:rsidRPr="00F41CD0">
              <w:rPr>
                <w:rFonts w:eastAsia="Times New Roman"/>
                <w:b/>
                <w:color w:val="000000"/>
                <w:sz w:val="22"/>
                <w:szCs w:val="22"/>
                <w:lang w:eastAsia="pt-BR"/>
              </w:rPr>
              <w:t>3</w:t>
            </w:r>
          </w:p>
        </w:tc>
        <w:tc>
          <w:tcPr>
            <w:tcW w:w="389" w:type="pct"/>
            <w:tcBorders>
              <w:top w:val="nil"/>
              <w:left w:val="single" w:sz="4" w:space="0" w:color="auto"/>
              <w:bottom w:val="nil"/>
              <w:right w:val="nil"/>
            </w:tcBorders>
            <w:shd w:val="clear" w:color="auto" w:fill="auto"/>
            <w:noWrap/>
            <w:vAlign w:val="center"/>
            <w:hideMark/>
          </w:tcPr>
          <w:p w14:paraId="2FFA0252" w14:textId="77777777" w:rsidR="00FA65E7" w:rsidRPr="00F41CD0" w:rsidRDefault="00FA65E7"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10</w:t>
            </w:r>
          </w:p>
        </w:tc>
      </w:tr>
      <w:tr w:rsidR="00FA65E7" w:rsidRPr="00F41CD0" w14:paraId="486E534E" w14:textId="77777777" w:rsidTr="00F41CD0">
        <w:trPr>
          <w:trHeight w:val="279"/>
          <w:jc w:val="center"/>
        </w:trPr>
        <w:tc>
          <w:tcPr>
            <w:tcW w:w="2246" w:type="pct"/>
            <w:tcBorders>
              <w:top w:val="nil"/>
              <w:left w:val="nil"/>
              <w:bottom w:val="single" w:sz="4" w:space="0" w:color="auto"/>
              <w:right w:val="nil"/>
            </w:tcBorders>
            <w:shd w:val="clear" w:color="auto" w:fill="auto"/>
            <w:vAlign w:val="center"/>
            <w:hideMark/>
          </w:tcPr>
          <w:p w14:paraId="6B18DCD7" w14:textId="77777777" w:rsidR="00FA65E7" w:rsidRPr="00F41CD0" w:rsidRDefault="00FA65E7"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Atividades de atenção à saúde humana</w:t>
            </w:r>
          </w:p>
        </w:tc>
        <w:tc>
          <w:tcPr>
            <w:tcW w:w="510" w:type="pct"/>
            <w:tcBorders>
              <w:top w:val="nil"/>
              <w:left w:val="nil"/>
              <w:bottom w:val="single" w:sz="4" w:space="0" w:color="auto"/>
              <w:right w:val="single" w:sz="4" w:space="0" w:color="auto"/>
            </w:tcBorders>
            <w:shd w:val="clear" w:color="auto" w:fill="auto"/>
            <w:noWrap/>
            <w:vAlign w:val="center"/>
            <w:hideMark/>
          </w:tcPr>
          <w:p w14:paraId="33DD0CB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86</w:t>
            </w:r>
          </w:p>
        </w:tc>
        <w:tc>
          <w:tcPr>
            <w:tcW w:w="464" w:type="pct"/>
            <w:tcBorders>
              <w:top w:val="nil"/>
              <w:left w:val="single" w:sz="4" w:space="0" w:color="auto"/>
              <w:bottom w:val="single" w:sz="4" w:space="0" w:color="auto"/>
              <w:right w:val="nil"/>
            </w:tcBorders>
            <w:shd w:val="clear" w:color="auto" w:fill="auto"/>
            <w:noWrap/>
            <w:vAlign w:val="center"/>
            <w:hideMark/>
          </w:tcPr>
          <w:p w14:paraId="423D451C"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464" w:type="pct"/>
            <w:tcBorders>
              <w:top w:val="nil"/>
              <w:left w:val="nil"/>
              <w:bottom w:val="single" w:sz="4" w:space="0" w:color="auto"/>
              <w:right w:val="nil"/>
            </w:tcBorders>
            <w:shd w:val="clear" w:color="auto" w:fill="auto"/>
            <w:noWrap/>
            <w:vAlign w:val="center"/>
            <w:hideMark/>
          </w:tcPr>
          <w:p w14:paraId="43911658"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w:t>
            </w:r>
          </w:p>
        </w:tc>
        <w:tc>
          <w:tcPr>
            <w:tcW w:w="464" w:type="pct"/>
            <w:tcBorders>
              <w:top w:val="nil"/>
              <w:left w:val="nil"/>
              <w:bottom w:val="single" w:sz="4" w:space="0" w:color="auto"/>
              <w:right w:val="nil"/>
            </w:tcBorders>
            <w:shd w:val="clear" w:color="auto" w:fill="auto"/>
            <w:noWrap/>
            <w:vAlign w:val="center"/>
            <w:hideMark/>
          </w:tcPr>
          <w:p w14:paraId="3012F946"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w:t>
            </w:r>
          </w:p>
        </w:tc>
        <w:tc>
          <w:tcPr>
            <w:tcW w:w="464" w:type="pct"/>
            <w:tcBorders>
              <w:top w:val="nil"/>
              <w:left w:val="nil"/>
              <w:bottom w:val="single" w:sz="4" w:space="0" w:color="auto"/>
              <w:right w:val="single" w:sz="4" w:space="0" w:color="auto"/>
            </w:tcBorders>
            <w:shd w:val="clear" w:color="auto" w:fill="auto"/>
            <w:noWrap/>
            <w:vAlign w:val="center"/>
            <w:hideMark/>
          </w:tcPr>
          <w:p w14:paraId="62F1BAF5" w14:textId="77777777" w:rsidR="00FA65E7" w:rsidRPr="00F41CD0" w:rsidRDefault="00FA65E7"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w:t>
            </w:r>
          </w:p>
        </w:tc>
        <w:tc>
          <w:tcPr>
            <w:tcW w:w="389" w:type="pct"/>
            <w:tcBorders>
              <w:top w:val="nil"/>
              <w:left w:val="single" w:sz="4" w:space="0" w:color="auto"/>
              <w:bottom w:val="single" w:sz="4" w:space="0" w:color="auto"/>
              <w:right w:val="nil"/>
            </w:tcBorders>
            <w:shd w:val="clear" w:color="auto" w:fill="auto"/>
            <w:noWrap/>
            <w:vAlign w:val="center"/>
            <w:hideMark/>
          </w:tcPr>
          <w:p w14:paraId="6E9E429C" w14:textId="77777777" w:rsidR="00FA65E7" w:rsidRPr="00F41CD0" w:rsidRDefault="00FA65E7"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3</w:t>
            </w:r>
          </w:p>
        </w:tc>
      </w:tr>
      <w:tr w:rsidR="00FA65E7" w:rsidRPr="00F41CD0" w14:paraId="49779B91" w14:textId="77777777" w:rsidTr="00F41CD0">
        <w:trPr>
          <w:trHeight w:val="272"/>
          <w:jc w:val="center"/>
        </w:trPr>
        <w:tc>
          <w:tcPr>
            <w:tcW w:w="2246" w:type="pct"/>
            <w:tcBorders>
              <w:top w:val="nil"/>
              <w:left w:val="nil"/>
              <w:bottom w:val="single" w:sz="4" w:space="0" w:color="auto"/>
              <w:right w:val="nil"/>
            </w:tcBorders>
            <w:shd w:val="clear" w:color="auto" w:fill="auto"/>
            <w:vAlign w:val="center"/>
            <w:hideMark/>
          </w:tcPr>
          <w:p w14:paraId="4B7EC242" w14:textId="77777777" w:rsidR="00FA65E7" w:rsidRPr="00F41CD0" w:rsidRDefault="00FA65E7" w:rsidP="005341B9">
            <w:pPr>
              <w:spacing w:line="240" w:lineRule="auto"/>
              <w:jc w:val="left"/>
              <w:rPr>
                <w:rFonts w:eastAsia="Times New Roman"/>
                <w:b/>
                <w:bCs/>
                <w:color w:val="000000"/>
                <w:sz w:val="22"/>
                <w:szCs w:val="22"/>
                <w:lang w:eastAsia="pt-BR"/>
              </w:rPr>
            </w:pPr>
            <w:r w:rsidRPr="00F41CD0">
              <w:rPr>
                <w:rFonts w:eastAsia="Times New Roman"/>
                <w:b/>
                <w:bCs/>
                <w:color w:val="000000"/>
                <w:sz w:val="22"/>
                <w:szCs w:val="22"/>
                <w:lang w:eastAsia="pt-BR"/>
              </w:rPr>
              <w:t>Total</w:t>
            </w:r>
          </w:p>
        </w:tc>
        <w:tc>
          <w:tcPr>
            <w:tcW w:w="510" w:type="pct"/>
            <w:tcBorders>
              <w:top w:val="nil"/>
              <w:left w:val="nil"/>
              <w:bottom w:val="single" w:sz="4" w:space="0" w:color="auto"/>
              <w:right w:val="single" w:sz="4" w:space="0" w:color="auto"/>
            </w:tcBorders>
            <w:shd w:val="clear" w:color="auto" w:fill="auto"/>
            <w:noWrap/>
            <w:vAlign w:val="center"/>
            <w:hideMark/>
          </w:tcPr>
          <w:p w14:paraId="58EF3F88" w14:textId="77777777" w:rsidR="00FA65E7" w:rsidRPr="00F41CD0" w:rsidRDefault="00FA65E7" w:rsidP="005341B9">
            <w:pPr>
              <w:spacing w:line="240" w:lineRule="auto"/>
              <w:jc w:val="center"/>
              <w:rPr>
                <w:rFonts w:eastAsia="Times New Roman"/>
                <w:b/>
                <w:bCs/>
                <w:color w:val="000000"/>
                <w:sz w:val="22"/>
                <w:szCs w:val="22"/>
                <w:lang w:eastAsia="pt-BR"/>
              </w:rPr>
            </w:pPr>
          </w:p>
        </w:tc>
        <w:tc>
          <w:tcPr>
            <w:tcW w:w="464" w:type="pct"/>
            <w:tcBorders>
              <w:top w:val="nil"/>
              <w:left w:val="single" w:sz="4" w:space="0" w:color="auto"/>
              <w:bottom w:val="single" w:sz="4" w:space="0" w:color="auto"/>
              <w:right w:val="nil"/>
            </w:tcBorders>
            <w:shd w:val="clear" w:color="auto" w:fill="auto"/>
            <w:noWrap/>
            <w:vAlign w:val="center"/>
            <w:hideMark/>
          </w:tcPr>
          <w:p w14:paraId="6D653146" w14:textId="77777777" w:rsidR="00FA65E7" w:rsidRPr="00F41CD0" w:rsidRDefault="00756850"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13</w:t>
            </w:r>
          </w:p>
        </w:tc>
        <w:tc>
          <w:tcPr>
            <w:tcW w:w="464" w:type="pct"/>
            <w:tcBorders>
              <w:top w:val="nil"/>
              <w:left w:val="nil"/>
              <w:bottom w:val="single" w:sz="4" w:space="0" w:color="auto"/>
              <w:right w:val="nil"/>
            </w:tcBorders>
            <w:shd w:val="clear" w:color="auto" w:fill="auto"/>
            <w:noWrap/>
            <w:vAlign w:val="center"/>
            <w:hideMark/>
          </w:tcPr>
          <w:p w14:paraId="5E2047B5" w14:textId="77777777" w:rsidR="00FA65E7" w:rsidRPr="00F41CD0" w:rsidRDefault="00756850"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16</w:t>
            </w:r>
          </w:p>
        </w:tc>
        <w:tc>
          <w:tcPr>
            <w:tcW w:w="464" w:type="pct"/>
            <w:tcBorders>
              <w:top w:val="nil"/>
              <w:left w:val="nil"/>
              <w:bottom w:val="single" w:sz="4" w:space="0" w:color="auto"/>
              <w:right w:val="nil"/>
            </w:tcBorders>
            <w:shd w:val="clear" w:color="auto" w:fill="auto"/>
            <w:noWrap/>
            <w:vAlign w:val="center"/>
            <w:hideMark/>
          </w:tcPr>
          <w:p w14:paraId="176BDF92" w14:textId="77777777" w:rsidR="00FA65E7" w:rsidRPr="00F41CD0" w:rsidRDefault="00756850"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9</w:t>
            </w:r>
          </w:p>
        </w:tc>
        <w:tc>
          <w:tcPr>
            <w:tcW w:w="464" w:type="pct"/>
            <w:tcBorders>
              <w:top w:val="nil"/>
              <w:left w:val="nil"/>
              <w:bottom w:val="single" w:sz="4" w:space="0" w:color="auto"/>
              <w:right w:val="single" w:sz="4" w:space="0" w:color="auto"/>
            </w:tcBorders>
            <w:shd w:val="clear" w:color="auto" w:fill="auto"/>
            <w:noWrap/>
            <w:vAlign w:val="center"/>
            <w:hideMark/>
          </w:tcPr>
          <w:p w14:paraId="206C9E56" w14:textId="77777777" w:rsidR="00FA65E7" w:rsidRPr="00F41CD0" w:rsidRDefault="00756850"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10</w:t>
            </w:r>
          </w:p>
        </w:tc>
        <w:tc>
          <w:tcPr>
            <w:tcW w:w="389" w:type="pct"/>
            <w:tcBorders>
              <w:top w:val="nil"/>
              <w:left w:val="single" w:sz="4" w:space="0" w:color="auto"/>
              <w:bottom w:val="single" w:sz="4" w:space="0" w:color="auto"/>
              <w:right w:val="nil"/>
            </w:tcBorders>
            <w:shd w:val="clear" w:color="auto" w:fill="auto"/>
            <w:noWrap/>
            <w:vAlign w:val="center"/>
            <w:hideMark/>
          </w:tcPr>
          <w:p w14:paraId="020308DC" w14:textId="77777777" w:rsidR="00FA65E7" w:rsidRPr="00F41CD0" w:rsidRDefault="00756850"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48</w:t>
            </w:r>
          </w:p>
        </w:tc>
      </w:tr>
    </w:tbl>
    <w:p w14:paraId="0C97D3A3" w14:textId="77777777" w:rsidR="00756850" w:rsidRPr="00C209F0" w:rsidRDefault="00FA65E7" w:rsidP="0097142A">
      <w:pPr>
        <w:autoSpaceDE w:val="0"/>
        <w:autoSpaceDN w:val="0"/>
        <w:adjustRightInd w:val="0"/>
        <w:spacing w:line="240" w:lineRule="auto"/>
        <w:rPr>
          <w:sz w:val="20"/>
          <w:szCs w:val="20"/>
        </w:rPr>
      </w:pPr>
      <w:r w:rsidRPr="00C209F0">
        <w:rPr>
          <w:sz w:val="20"/>
          <w:szCs w:val="20"/>
        </w:rPr>
        <w:t xml:space="preserve">Fonte: </w:t>
      </w:r>
      <w:r w:rsidRPr="00C209F0">
        <w:rPr>
          <w:i/>
          <w:sz w:val="20"/>
          <w:szCs w:val="20"/>
        </w:rPr>
        <w:t>BR Survey</w:t>
      </w:r>
      <w:r w:rsidRPr="00C209F0">
        <w:rPr>
          <w:sz w:val="20"/>
          <w:szCs w:val="20"/>
        </w:rPr>
        <w:t>. Elaboração Própria</w:t>
      </w:r>
      <w:r w:rsidR="00756850" w:rsidRPr="00C209F0">
        <w:rPr>
          <w:sz w:val="20"/>
          <w:szCs w:val="20"/>
        </w:rPr>
        <w:t xml:space="preserve">. </w:t>
      </w:r>
    </w:p>
    <w:p w14:paraId="12771B76" w14:textId="77777777" w:rsidR="008F4112" w:rsidRDefault="008F4112" w:rsidP="008F4112">
      <w:pPr>
        <w:autoSpaceDE w:val="0"/>
        <w:autoSpaceDN w:val="0"/>
        <w:adjustRightInd w:val="0"/>
        <w:spacing w:line="240" w:lineRule="auto"/>
        <w:ind w:firstLine="708"/>
      </w:pPr>
    </w:p>
    <w:p w14:paraId="67925714" w14:textId="74238A21" w:rsidR="008F4112" w:rsidRPr="005341B9" w:rsidRDefault="008F4112" w:rsidP="008F4112">
      <w:pPr>
        <w:autoSpaceDE w:val="0"/>
        <w:autoSpaceDN w:val="0"/>
        <w:adjustRightInd w:val="0"/>
        <w:spacing w:line="240" w:lineRule="auto"/>
        <w:ind w:firstLine="708"/>
      </w:pPr>
      <w:r w:rsidRPr="005341B9">
        <w:lastRenderedPageBreak/>
        <w:t xml:space="preserve">Quanto à composição setorial dos grupos, observa-se que o </w:t>
      </w:r>
      <w:r w:rsidRPr="005341B9">
        <w:rPr>
          <w:i/>
        </w:rPr>
        <w:t xml:space="preserve">grupo 2 </w:t>
      </w:r>
      <w:r w:rsidRPr="005341B9">
        <w:t xml:space="preserve">apresenta a maior quantidade de empresas ligadas às </w:t>
      </w:r>
      <w:r w:rsidRPr="005341B9">
        <w:rPr>
          <w:rFonts w:eastAsia="Times New Roman"/>
          <w:color w:val="000000"/>
          <w:lang w:eastAsia="pt-BR"/>
        </w:rPr>
        <w:t xml:space="preserve">atividades dos serviços de tecnologia da informação (CNAE 62). Ainda sobre esse grupo, ele é composto também por empresas prestadoras de serviços de arquitetura e engenharia, testes e análises técnicas (CNAE 71). Já o </w:t>
      </w:r>
      <w:r w:rsidRPr="005341B9">
        <w:rPr>
          <w:rFonts w:eastAsia="Times New Roman"/>
          <w:i/>
          <w:color w:val="000000"/>
          <w:lang w:eastAsia="pt-BR"/>
        </w:rPr>
        <w:t>Grupo 1</w:t>
      </w:r>
      <w:r w:rsidRPr="005341B9">
        <w:rPr>
          <w:rFonts w:eastAsia="Times New Roman"/>
          <w:color w:val="000000"/>
          <w:lang w:eastAsia="pt-BR"/>
        </w:rPr>
        <w:t xml:space="preserve"> é formado pelas empresas dos setores de P&amp;D científico e atividades dos serviços de tecnologia da informação, e o grupo 3, pelas empresas do setor ligado às atividades dos serviços de tecnologia da informação. Por último, o grupo 4 é formado também por esse setor e pelo setor de serviços de arquitetura e engenharia e engenharia, testes e análises técnicas.</w:t>
      </w:r>
    </w:p>
    <w:p w14:paraId="60AD6AFD" w14:textId="77777777" w:rsidR="00FA65E7" w:rsidRPr="005341B9" w:rsidRDefault="00FA65E7" w:rsidP="005341B9">
      <w:pPr>
        <w:autoSpaceDE w:val="0"/>
        <w:autoSpaceDN w:val="0"/>
        <w:adjustRightInd w:val="0"/>
        <w:spacing w:line="240" w:lineRule="auto"/>
      </w:pPr>
      <w:r w:rsidRPr="005341B9">
        <w:rPr>
          <w:rFonts w:eastAsia="Times New Roman"/>
          <w:color w:val="000000"/>
          <w:lang w:eastAsia="pt-BR"/>
        </w:rPr>
        <w:tab/>
        <w:t>Destaca-se, em primeiro</w:t>
      </w:r>
      <w:r w:rsidR="00270FE7" w:rsidRPr="005341B9">
        <w:rPr>
          <w:rFonts w:eastAsia="Times New Roman"/>
          <w:color w:val="000000"/>
          <w:lang w:eastAsia="pt-BR"/>
        </w:rPr>
        <w:t xml:space="preserve"> lugar,</w:t>
      </w:r>
      <w:r w:rsidRPr="005341B9">
        <w:rPr>
          <w:rFonts w:eastAsia="Times New Roman"/>
          <w:color w:val="000000"/>
          <w:lang w:eastAsia="pt-BR"/>
        </w:rPr>
        <w:t xml:space="preserve"> a concentração das empresas do setor de P&amp;D científico no grupo 1 e das empresas do setor de atividades dos serviços de tecnologia da informação no grupo 2. Em segundo</w:t>
      </w:r>
      <w:r w:rsidR="00270FE7" w:rsidRPr="005341B9">
        <w:rPr>
          <w:rFonts w:eastAsia="Times New Roman"/>
          <w:color w:val="000000"/>
          <w:lang w:eastAsia="pt-BR"/>
        </w:rPr>
        <w:t>,</w:t>
      </w:r>
      <w:r w:rsidRPr="005341B9">
        <w:rPr>
          <w:rFonts w:eastAsia="Times New Roman"/>
          <w:color w:val="000000"/>
          <w:lang w:eastAsia="pt-BR"/>
        </w:rPr>
        <w:t xml:space="preserve"> a presença das empresas do setor de serviços de arquitetura e engenharia, testes e análises técnicas em todos os grupos, não se concentrando em apenas um. Estes resultados indicam a importância de se trabalhar com dados ao nível da empresa evitando as agregações setoriais que consideram que todas </w:t>
      </w:r>
      <w:r w:rsidRPr="005341B9">
        <w:t xml:space="preserve">as empresas pertencentes a determinado setor apresentam o mesmo desempenho inovador </w:t>
      </w:r>
      <w:r w:rsidRPr="005341B9">
        <w:rPr>
          <w:rFonts w:eastAsia="Times New Roman"/>
          <w:color w:val="000000"/>
          <w:lang w:eastAsia="pt-BR"/>
        </w:rPr>
        <w:t>(</w:t>
      </w:r>
      <w:r w:rsidRPr="005341B9">
        <w:t>ARCHIBUGI, 2001).</w:t>
      </w:r>
    </w:p>
    <w:p w14:paraId="77EE5E9F" w14:textId="77777777" w:rsidR="00840A30" w:rsidRPr="005341B9" w:rsidRDefault="00243136" w:rsidP="005341B9">
      <w:pPr>
        <w:spacing w:line="240" w:lineRule="auto"/>
        <w:rPr>
          <w:i/>
        </w:rPr>
      </w:pPr>
      <w:r w:rsidRPr="005341B9">
        <w:rPr>
          <w:i/>
        </w:rPr>
        <w:tab/>
      </w:r>
    </w:p>
    <w:p w14:paraId="0EB0FD7D" w14:textId="725981AC" w:rsidR="00EE1B5D" w:rsidRPr="00F70561" w:rsidRDefault="00F70561" w:rsidP="005341B9">
      <w:pPr>
        <w:spacing w:line="240" w:lineRule="auto"/>
        <w:rPr>
          <w:b/>
          <w:i/>
        </w:rPr>
      </w:pPr>
      <w:r w:rsidRPr="00F70561">
        <w:rPr>
          <w:b/>
          <w:i/>
        </w:rPr>
        <w:t>4</w:t>
      </w:r>
      <w:r w:rsidR="00EE1B5D" w:rsidRPr="00F70561">
        <w:rPr>
          <w:b/>
          <w:i/>
        </w:rPr>
        <w:t>.</w:t>
      </w:r>
      <w:r w:rsidR="00840A30" w:rsidRPr="00F70561">
        <w:rPr>
          <w:b/>
          <w:i/>
        </w:rPr>
        <w:t>2</w:t>
      </w:r>
      <w:r w:rsidR="00EE1B5D" w:rsidRPr="00F70561">
        <w:rPr>
          <w:b/>
          <w:i/>
        </w:rPr>
        <w:t xml:space="preserve">. Caracterização do agrupamento: </w:t>
      </w:r>
      <w:r w:rsidR="00CD6E31" w:rsidRPr="00F70561">
        <w:rPr>
          <w:b/>
          <w:i/>
        </w:rPr>
        <w:t xml:space="preserve">motivação </w:t>
      </w:r>
      <w:r w:rsidR="00EE1B5D" w:rsidRPr="00F70561">
        <w:rPr>
          <w:b/>
          <w:i/>
        </w:rPr>
        <w:t>para interagir</w:t>
      </w:r>
    </w:p>
    <w:p w14:paraId="36F9647A" w14:textId="77777777" w:rsidR="00E05107" w:rsidRPr="005341B9" w:rsidRDefault="00E05107" w:rsidP="005341B9">
      <w:pPr>
        <w:spacing w:line="240" w:lineRule="auto"/>
        <w:rPr>
          <w:i/>
        </w:rPr>
      </w:pPr>
    </w:p>
    <w:p w14:paraId="18905B6A" w14:textId="5CC344B3" w:rsidR="00EE1B5D" w:rsidRPr="005341B9" w:rsidRDefault="004524C4" w:rsidP="005341B9">
      <w:pPr>
        <w:spacing w:line="240" w:lineRule="auto"/>
        <w:ind w:firstLine="720"/>
        <w:contextualSpacing/>
        <w:rPr>
          <w:rFonts w:eastAsia="Calibri"/>
          <w:i/>
        </w:rPr>
      </w:pPr>
      <w:r>
        <w:rPr>
          <w:rFonts w:eastAsia="Calibri"/>
        </w:rPr>
        <w:t>A figura 2</w:t>
      </w:r>
      <w:r w:rsidR="00EE1B5D" w:rsidRPr="005341B9">
        <w:rPr>
          <w:rFonts w:eastAsia="Calibri"/>
        </w:rPr>
        <w:t xml:space="preserve"> apresenta a motivação para interagir com </w:t>
      </w:r>
      <w:r w:rsidR="001A69EC" w:rsidRPr="005341B9">
        <w:rPr>
          <w:rFonts w:eastAsia="Calibri"/>
        </w:rPr>
        <w:t xml:space="preserve">as </w:t>
      </w:r>
      <w:r w:rsidR="00EE1B5D" w:rsidRPr="005341B9">
        <w:rPr>
          <w:rFonts w:eastAsia="Calibri"/>
        </w:rPr>
        <w:t xml:space="preserve">universidades declarada pelas empresas dos </w:t>
      </w:r>
      <w:r w:rsidR="001A69EC" w:rsidRPr="005341B9">
        <w:rPr>
          <w:rFonts w:eastAsia="Calibri"/>
        </w:rPr>
        <w:t xml:space="preserve">setores de </w:t>
      </w:r>
      <w:r w:rsidR="00EE1B5D" w:rsidRPr="005341B9">
        <w:rPr>
          <w:rFonts w:eastAsia="Calibri"/>
        </w:rPr>
        <w:t xml:space="preserve">SICs. O </w:t>
      </w:r>
      <w:r w:rsidR="00EE1B5D" w:rsidRPr="005341B9">
        <w:rPr>
          <w:rFonts w:eastAsia="Calibri"/>
          <w:i/>
        </w:rPr>
        <w:t>Grupo 4</w:t>
      </w:r>
      <w:r w:rsidR="00EE1B5D" w:rsidRPr="005341B9">
        <w:rPr>
          <w:rFonts w:eastAsia="Calibri"/>
        </w:rPr>
        <w:t xml:space="preserve"> foi o que apresentou as menores importâncias para todos os motivos da IUE, exibindo apenas uma empresa que considerou o conselho tecnológico muito importante e uma empresa que considerou a transferência de tecnologia uma razão muito relevante para interagir com universidades. Para os demais motivos, nenhuma empresa atribui alta importância a eles. Assim, pode-se afirmar que no </w:t>
      </w:r>
      <w:r w:rsidR="00EE1B5D" w:rsidRPr="005341B9">
        <w:rPr>
          <w:rFonts w:eastAsia="Calibri"/>
          <w:i/>
        </w:rPr>
        <w:t xml:space="preserve">grupo 4 a “motivação” para interagir com universidades é baixa para todas as razões de colaboração. </w:t>
      </w:r>
    </w:p>
    <w:p w14:paraId="4122EE84" w14:textId="19A34F5F" w:rsidR="00EE1B5D" w:rsidRPr="008F4112" w:rsidRDefault="00EE1B5D" w:rsidP="008F4112">
      <w:pPr>
        <w:autoSpaceDE w:val="0"/>
        <w:autoSpaceDN w:val="0"/>
        <w:adjustRightInd w:val="0"/>
        <w:spacing w:before="240" w:line="240" w:lineRule="auto"/>
        <w:jc w:val="center"/>
        <w:rPr>
          <w:rFonts w:eastAsia="Calibri"/>
          <w:b/>
        </w:rPr>
      </w:pPr>
      <w:r w:rsidRPr="008F4112">
        <w:rPr>
          <w:rFonts w:eastAsia="Calibri"/>
          <w:b/>
        </w:rPr>
        <w:t>F</w:t>
      </w:r>
      <w:r w:rsidR="004524C4">
        <w:rPr>
          <w:rFonts w:eastAsia="Calibri"/>
          <w:b/>
        </w:rPr>
        <w:t>igura 2</w:t>
      </w:r>
      <w:r w:rsidRPr="008F4112">
        <w:rPr>
          <w:rFonts w:eastAsia="Calibri"/>
          <w:b/>
        </w:rPr>
        <w:t xml:space="preserve"> – Porcentagem de empresas* que consideraram determinado motivo para interagir com universidades altamente importante.</w:t>
      </w:r>
      <w:r w:rsidRPr="008F4112">
        <w:rPr>
          <w:rFonts w:eastAsia="Calibri"/>
          <w:b/>
        </w:rPr>
        <w:tab/>
      </w:r>
    </w:p>
    <w:p w14:paraId="7425073B" w14:textId="77777777" w:rsidR="00EE1B5D" w:rsidRPr="005341B9" w:rsidRDefault="00EE1B5D" w:rsidP="00C209F0">
      <w:pPr>
        <w:autoSpaceDE w:val="0"/>
        <w:autoSpaceDN w:val="0"/>
        <w:adjustRightInd w:val="0"/>
        <w:spacing w:line="240" w:lineRule="auto"/>
        <w:jc w:val="center"/>
        <w:rPr>
          <w:rFonts w:eastAsia="Calibri"/>
          <w:b/>
          <w:i/>
        </w:rPr>
      </w:pPr>
      <w:r w:rsidRPr="005341B9">
        <w:rPr>
          <w:rFonts w:eastAsia="Calibri"/>
          <w:i/>
          <w:noProof/>
          <w:lang w:eastAsia="pt-BR"/>
        </w:rPr>
        <w:drawing>
          <wp:inline distT="0" distB="0" distL="0" distR="0" wp14:anchorId="3FDEC410" wp14:editId="0EC53DC9">
            <wp:extent cx="5041900" cy="3321050"/>
            <wp:effectExtent l="0" t="0" r="6350" b="12700"/>
            <wp:docPr id="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48E36A" w14:textId="77777777" w:rsidR="008F4112" w:rsidRDefault="008F4112" w:rsidP="008F4112">
      <w:pPr>
        <w:autoSpaceDE w:val="0"/>
        <w:autoSpaceDN w:val="0"/>
        <w:adjustRightInd w:val="0"/>
        <w:spacing w:line="240" w:lineRule="auto"/>
        <w:rPr>
          <w:rFonts w:eastAsia="Calibri"/>
          <w:sz w:val="20"/>
          <w:szCs w:val="20"/>
        </w:rPr>
      </w:pPr>
    </w:p>
    <w:p w14:paraId="4B935500" w14:textId="77777777" w:rsidR="00EE1B5D" w:rsidRPr="00C209F0" w:rsidRDefault="00EE1B5D" w:rsidP="008F4112">
      <w:pPr>
        <w:autoSpaceDE w:val="0"/>
        <w:autoSpaceDN w:val="0"/>
        <w:adjustRightInd w:val="0"/>
        <w:spacing w:line="240" w:lineRule="auto"/>
        <w:rPr>
          <w:rFonts w:eastAsia="Calibri"/>
          <w:sz w:val="20"/>
          <w:szCs w:val="20"/>
        </w:rPr>
      </w:pPr>
      <w:r w:rsidRPr="00C209F0">
        <w:rPr>
          <w:rFonts w:eastAsia="Calibri"/>
          <w:sz w:val="20"/>
          <w:szCs w:val="20"/>
        </w:rPr>
        <w:t>Fonte: Elaboração Própria</w:t>
      </w:r>
      <w:r w:rsidR="002C6715" w:rsidRPr="00C209F0">
        <w:rPr>
          <w:rFonts w:eastAsia="Calibri"/>
          <w:sz w:val="20"/>
          <w:szCs w:val="20"/>
        </w:rPr>
        <w:t xml:space="preserve">, a partir do </w:t>
      </w:r>
      <w:r w:rsidR="002C6715" w:rsidRPr="00C209F0">
        <w:rPr>
          <w:rFonts w:eastAsia="Calibri"/>
          <w:i/>
          <w:sz w:val="20"/>
          <w:szCs w:val="20"/>
        </w:rPr>
        <w:t>BR Survey</w:t>
      </w:r>
      <w:r w:rsidR="002C6715" w:rsidRPr="00C209F0">
        <w:rPr>
          <w:rFonts w:eastAsia="Calibri"/>
          <w:sz w:val="20"/>
          <w:szCs w:val="20"/>
        </w:rPr>
        <w:t>.</w:t>
      </w:r>
    </w:p>
    <w:p w14:paraId="6E30B07F" w14:textId="2089A912" w:rsidR="00EE1B5D" w:rsidRPr="00C209F0" w:rsidRDefault="00C209F0" w:rsidP="006242DF">
      <w:pPr>
        <w:autoSpaceDE w:val="0"/>
        <w:autoSpaceDN w:val="0"/>
        <w:adjustRightInd w:val="0"/>
        <w:spacing w:line="240" w:lineRule="auto"/>
        <w:jc w:val="left"/>
        <w:rPr>
          <w:rFonts w:eastAsia="Calibri"/>
          <w:sz w:val="20"/>
          <w:szCs w:val="20"/>
        </w:rPr>
      </w:pPr>
      <w:r>
        <w:rPr>
          <w:rFonts w:eastAsia="Calibri"/>
          <w:sz w:val="20"/>
          <w:szCs w:val="20"/>
        </w:rPr>
        <w:t>Nota: (</w:t>
      </w:r>
      <w:r w:rsidR="00EE1B5D" w:rsidRPr="00C209F0">
        <w:rPr>
          <w:rFonts w:eastAsia="Calibri"/>
          <w:sz w:val="20"/>
          <w:szCs w:val="20"/>
        </w:rPr>
        <w:t>*</w:t>
      </w:r>
      <w:r>
        <w:rPr>
          <w:rFonts w:eastAsia="Calibri"/>
          <w:sz w:val="20"/>
          <w:szCs w:val="20"/>
        </w:rPr>
        <w:t>)</w:t>
      </w:r>
      <w:r w:rsidR="00EE1B5D" w:rsidRPr="00C209F0">
        <w:rPr>
          <w:rFonts w:eastAsia="Calibri"/>
          <w:sz w:val="20"/>
          <w:szCs w:val="20"/>
        </w:rPr>
        <w:t>A porcentagem foi calculada entre o número de empresas que consideraram determinado motivo altamente importante e o total de empresas do grupo em questão.</w:t>
      </w:r>
    </w:p>
    <w:p w14:paraId="5CEFED9F" w14:textId="77777777" w:rsidR="00EE1B5D" w:rsidRPr="005341B9" w:rsidRDefault="00EE1B5D" w:rsidP="005341B9">
      <w:pPr>
        <w:autoSpaceDE w:val="0"/>
        <w:autoSpaceDN w:val="0"/>
        <w:adjustRightInd w:val="0"/>
        <w:spacing w:line="240" w:lineRule="auto"/>
        <w:rPr>
          <w:rFonts w:eastAsia="Calibri"/>
        </w:rPr>
      </w:pPr>
    </w:p>
    <w:p w14:paraId="049C12FF" w14:textId="77777777" w:rsidR="008F4112" w:rsidRPr="005341B9" w:rsidRDefault="00EE1B5D" w:rsidP="008F4112">
      <w:pPr>
        <w:autoSpaceDE w:val="0"/>
        <w:autoSpaceDN w:val="0"/>
        <w:adjustRightInd w:val="0"/>
        <w:spacing w:line="240" w:lineRule="auto"/>
        <w:rPr>
          <w:rFonts w:eastAsia="Calibri"/>
        </w:rPr>
      </w:pPr>
      <w:r w:rsidRPr="005341B9">
        <w:rPr>
          <w:rFonts w:eastAsia="Calibri"/>
        </w:rPr>
        <w:lastRenderedPageBreak/>
        <w:tab/>
      </w:r>
      <w:r w:rsidR="008F4112" w:rsidRPr="005341B9">
        <w:rPr>
          <w:rFonts w:eastAsia="Calibri"/>
        </w:rPr>
        <w:t xml:space="preserve">De forma antagônica, o </w:t>
      </w:r>
      <w:r w:rsidR="008F4112" w:rsidRPr="005341B9">
        <w:rPr>
          <w:rFonts w:eastAsia="Calibri"/>
          <w:i/>
        </w:rPr>
        <w:t>Grupo 3</w:t>
      </w:r>
      <w:r w:rsidR="008F4112" w:rsidRPr="005341B9">
        <w:rPr>
          <w:rFonts w:eastAsia="Calibri"/>
        </w:rPr>
        <w:t xml:space="preserve"> foi o que apresentou a maior parcela de empresas que consideraram determinado motivo com alta importância para praticamente todas as modalidades, de forma que a </w:t>
      </w:r>
      <w:r w:rsidR="008F4112" w:rsidRPr="005341B9">
        <w:rPr>
          <w:rFonts w:eastAsia="Calibri"/>
          <w:i/>
        </w:rPr>
        <w:t>motivação para interagir para esse grupo é elevada e diversificada.</w:t>
      </w:r>
      <w:r w:rsidR="008F4112" w:rsidRPr="005341B9">
        <w:rPr>
          <w:rFonts w:eastAsia="Calibri"/>
        </w:rPr>
        <w:t xml:space="preserve"> </w:t>
      </w:r>
    </w:p>
    <w:p w14:paraId="729167D2" w14:textId="77777777" w:rsidR="008F4112" w:rsidRPr="005341B9" w:rsidRDefault="008F4112" w:rsidP="008F4112">
      <w:pPr>
        <w:autoSpaceDE w:val="0"/>
        <w:autoSpaceDN w:val="0"/>
        <w:adjustRightInd w:val="0"/>
        <w:spacing w:line="240" w:lineRule="auto"/>
        <w:rPr>
          <w:rFonts w:eastAsia="Calibri"/>
        </w:rPr>
      </w:pPr>
      <w:r w:rsidRPr="005341B9">
        <w:rPr>
          <w:rFonts w:eastAsia="Calibri"/>
        </w:rPr>
        <w:tab/>
        <w:t>A diferença intergrupos mais interessante remete aos Grupos 1 e 2. P</w:t>
      </w:r>
      <w:r w:rsidRPr="005341B9">
        <w:rPr>
          <w:rFonts w:eastAsia="Calibri"/>
          <w:i/>
        </w:rPr>
        <w:t>ara o grupo 1</w:t>
      </w:r>
      <w:r w:rsidRPr="005341B9">
        <w:rPr>
          <w:rFonts w:eastAsia="Calibri"/>
        </w:rPr>
        <w:t xml:space="preserve">, os principais motivos para interagir, em ordem decrescente de importância, são: (1º) contato com estudante; (2º) contratar pesquisa que a empresa não faz ou pesquisa complementar; e obter informações sobre P&amp;D, engenheiros e cientistas; (3º) realizar testes; e utilizar recursos das universidades e (4º) elevar as habilidades para encontrar e absorver os conhecimentos externos (entendido como a elevação da capacidade de absorção da empresa). </w:t>
      </w:r>
    </w:p>
    <w:p w14:paraId="7B7BE5C5" w14:textId="7CAC99FA" w:rsidR="00EE1B5D" w:rsidRPr="005341B9" w:rsidRDefault="00EE1B5D" w:rsidP="008F4112">
      <w:pPr>
        <w:autoSpaceDE w:val="0"/>
        <w:autoSpaceDN w:val="0"/>
        <w:adjustRightInd w:val="0"/>
        <w:spacing w:line="240" w:lineRule="auto"/>
        <w:ind w:firstLine="708"/>
        <w:rPr>
          <w:rFonts w:eastAsia="Calibri"/>
        </w:rPr>
      </w:pPr>
      <w:r w:rsidRPr="005341B9">
        <w:rPr>
          <w:rFonts w:eastAsia="Calibri"/>
        </w:rPr>
        <w:t xml:space="preserve">Já para o </w:t>
      </w:r>
      <w:r w:rsidRPr="005341B9">
        <w:rPr>
          <w:rFonts w:eastAsia="Calibri"/>
          <w:i/>
        </w:rPr>
        <w:t>Grupo 2</w:t>
      </w:r>
      <w:r w:rsidRPr="005341B9">
        <w:rPr>
          <w:rFonts w:eastAsia="Calibri"/>
        </w:rPr>
        <w:t>, as principais razões para interagir, em ordem decrescente, são: (1º) transferência tecnológica</w:t>
      </w:r>
      <w:r w:rsidR="00CF392C" w:rsidRPr="005341B9">
        <w:rPr>
          <w:rFonts w:eastAsia="Calibri"/>
        </w:rPr>
        <w:t>; e</w:t>
      </w:r>
      <w:r w:rsidR="0056719B">
        <w:rPr>
          <w:rFonts w:eastAsia="Calibri"/>
        </w:rPr>
        <w:t xml:space="preserve"> </w:t>
      </w:r>
      <w:r w:rsidRPr="005341B9">
        <w:rPr>
          <w:rFonts w:eastAsia="Calibri"/>
        </w:rPr>
        <w:t xml:space="preserve">conselho tecnológico; (2º) elevar a capacidade de absorção; (3º) obter informações sobre P&amp;D, engenheiros e cientistas; (4º) contato com estudante; (5º) contratar pesquisa que a empresa não faz ou pesquisa complementar. </w:t>
      </w:r>
    </w:p>
    <w:p w14:paraId="5B2A9DD1" w14:textId="77777777" w:rsidR="00EE1B5D" w:rsidRPr="005341B9" w:rsidRDefault="00EE1B5D" w:rsidP="005341B9">
      <w:pPr>
        <w:autoSpaceDE w:val="0"/>
        <w:autoSpaceDN w:val="0"/>
        <w:adjustRightInd w:val="0"/>
        <w:spacing w:line="240" w:lineRule="auto"/>
        <w:rPr>
          <w:rFonts w:eastAsia="Calibri"/>
        </w:rPr>
      </w:pPr>
      <w:r w:rsidRPr="005341B9">
        <w:rPr>
          <w:rFonts w:eastAsia="Calibri"/>
        </w:rPr>
        <w:tab/>
        <w:t xml:space="preserve">Assim, enquanto a motivação para interagir do </w:t>
      </w:r>
      <w:r w:rsidRPr="005341B9">
        <w:rPr>
          <w:rFonts w:eastAsia="Calibri"/>
          <w:i/>
        </w:rPr>
        <w:t xml:space="preserve">Grupo 1 </w:t>
      </w:r>
      <w:r w:rsidRPr="005341B9">
        <w:rPr>
          <w:rFonts w:eastAsia="Calibri"/>
        </w:rPr>
        <w:t xml:space="preserve">é principalmente o contato com estudante, contratar pesquisas e obter informações sobre P&amp;D, o </w:t>
      </w:r>
      <w:r w:rsidRPr="005341B9">
        <w:rPr>
          <w:rFonts w:eastAsia="Calibri"/>
          <w:i/>
        </w:rPr>
        <w:t>Grupo 2</w:t>
      </w:r>
      <w:r w:rsidRPr="005341B9">
        <w:rPr>
          <w:rFonts w:eastAsia="Calibri"/>
        </w:rPr>
        <w:t xml:space="preserve"> interage principalmente buscando transferência tecnológica, conselhos tecnológicos, e para elevar sua capacidade de absorção. Além disso, se comparada a importância para os principais motivos entre esses dois grupos, observa-se que as porcentagens são mais baixas para o </w:t>
      </w:r>
      <w:r w:rsidRPr="005341B9">
        <w:rPr>
          <w:rFonts w:eastAsia="Calibri"/>
          <w:i/>
        </w:rPr>
        <w:t xml:space="preserve">Grupo 1 </w:t>
      </w:r>
      <w:r w:rsidRPr="005341B9">
        <w:rPr>
          <w:rFonts w:eastAsia="Calibri"/>
        </w:rPr>
        <w:t xml:space="preserve">do que o </w:t>
      </w:r>
      <w:r w:rsidRPr="005341B9">
        <w:rPr>
          <w:rFonts w:eastAsia="Calibri"/>
          <w:i/>
        </w:rPr>
        <w:t xml:space="preserve">Grupo 2. </w:t>
      </w:r>
      <w:r w:rsidRPr="005341B9">
        <w:rPr>
          <w:rFonts w:eastAsia="Calibri"/>
        </w:rPr>
        <w:t xml:space="preserve">Com isso, consideraremos que a motivação para o </w:t>
      </w:r>
      <w:r w:rsidRPr="005341B9">
        <w:rPr>
          <w:rFonts w:eastAsia="Calibri"/>
          <w:i/>
        </w:rPr>
        <w:t>Grupo 1 é média-baixa</w:t>
      </w:r>
      <w:r w:rsidRPr="005341B9">
        <w:rPr>
          <w:rFonts w:eastAsia="Calibri"/>
        </w:rPr>
        <w:t xml:space="preserve"> enquanto a motivação para o </w:t>
      </w:r>
      <w:r w:rsidRPr="005341B9">
        <w:rPr>
          <w:rFonts w:eastAsia="Calibri"/>
          <w:i/>
        </w:rPr>
        <w:t xml:space="preserve">Grupo 2 </w:t>
      </w:r>
      <w:r w:rsidRPr="005341B9">
        <w:rPr>
          <w:rFonts w:eastAsia="Calibri"/>
        </w:rPr>
        <w:t xml:space="preserve">é média-alta. </w:t>
      </w:r>
    </w:p>
    <w:p w14:paraId="0CF54075" w14:textId="6083C278" w:rsidR="00EE1B5D" w:rsidRPr="005341B9" w:rsidRDefault="00EE1B5D" w:rsidP="005341B9">
      <w:pPr>
        <w:autoSpaceDE w:val="0"/>
        <w:autoSpaceDN w:val="0"/>
        <w:adjustRightInd w:val="0"/>
        <w:spacing w:line="240" w:lineRule="auto"/>
        <w:rPr>
          <w:rFonts w:eastAsia="Calibri"/>
        </w:rPr>
      </w:pPr>
      <w:r w:rsidRPr="005341B9">
        <w:rPr>
          <w:rFonts w:eastAsia="Calibri"/>
        </w:rPr>
        <w:tab/>
        <w:t xml:space="preserve">O termo “média-alta” foi atribuído tendo como base o </w:t>
      </w:r>
      <w:r w:rsidRPr="005341B9">
        <w:rPr>
          <w:rFonts w:eastAsia="Calibri"/>
          <w:i/>
        </w:rPr>
        <w:t xml:space="preserve">Grupo 3, </w:t>
      </w:r>
      <w:r w:rsidRPr="005341B9">
        <w:rPr>
          <w:rFonts w:eastAsia="Calibri"/>
        </w:rPr>
        <w:t xml:space="preserve">onde a porcentagem de empresas que consideraram determinado motivo importante é mais elevada para praticamente todos os motivos e mais diversificada. Já o termo “média-baixa” foi utilizado com base no </w:t>
      </w:r>
      <w:r w:rsidRPr="005341B9">
        <w:rPr>
          <w:rFonts w:eastAsia="Calibri"/>
          <w:i/>
        </w:rPr>
        <w:t>Grupo 4</w:t>
      </w:r>
      <w:r w:rsidRPr="005341B9">
        <w:rPr>
          <w:rFonts w:eastAsia="Calibri"/>
        </w:rPr>
        <w:t xml:space="preserve">, o qual apresentou baixa importância para todos os motivos, enquanto o </w:t>
      </w:r>
      <w:r w:rsidRPr="005341B9">
        <w:rPr>
          <w:rFonts w:eastAsia="Calibri"/>
          <w:i/>
        </w:rPr>
        <w:t xml:space="preserve">Grupo 1 </w:t>
      </w:r>
      <w:r w:rsidRPr="005341B9">
        <w:rPr>
          <w:rFonts w:eastAsia="Calibri"/>
        </w:rPr>
        <w:t xml:space="preserve">atribui importância mais elevada para alguns motivos, mas com magnitudes inferiores aos </w:t>
      </w:r>
      <w:r w:rsidRPr="005341B9">
        <w:rPr>
          <w:rFonts w:eastAsia="Calibri"/>
          <w:i/>
        </w:rPr>
        <w:t xml:space="preserve">Grupo 2 </w:t>
      </w:r>
      <w:r w:rsidRPr="005341B9">
        <w:rPr>
          <w:rFonts w:eastAsia="Calibri"/>
        </w:rPr>
        <w:t>se comparamos os princip</w:t>
      </w:r>
      <w:r w:rsidR="0056719B">
        <w:rPr>
          <w:rFonts w:eastAsia="Calibri"/>
        </w:rPr>
        <w:t>ais motivos de ambos. A tabela 3</w:t>
      </w:r>
      <w:r w:rsidRPr="005341B9">
        <w:rPr>
          <w:rFonts w:eastAsia="Calibri"/>
        </w:rPr>
        <w:t xml:space="preserve"> sintetiza as observações acima.</w:t>
      </w:r>
    </w:p>
    <w:p w14:paraId="37B680B3" w14:textId="77777777" w:rsidR="00EE1B5D" w:rsidRPr="005341B9" w:rsidRDefault="00EE1B5D" w:rsidP="005341B9">
      <w:pPr>
        <w:autoSpaceDE w:val="0"/>
        <w:autoSpaceDN w:val="0"/>
        <w:adjustRightInd w:val="0"/>
        <w:spacing w:line="240" w:lineRule="auto"/>
        <w:rPr>
          <w:rFonts w:eastAsia="Calibri"/>
        </w:rPr>
      </w:pPr>
    </w:p>
    <w:p w14:paraId="6F7435B5" w14:textId="620DE12B" w:rsidR="00EE1B5D" w:rsidRPr="00147AA0" w:rsidRDefault="0056719B" w:rsidP="005341B9">
      <w:pPr>
        <w:autoSpaceDE w:val="0"/>
        <w:autoSpaceDN w:val="0"/>
        <w:adjustRightInd w:val="0"/>
        <w:spacing w:line="240" w:lineRule="auto"/>
        <w:jc w:val="center"/>
        <w:rPr>
          <w:rFonts w:eastAsia="Calibri"/>
          <w:b/>
        </w:rPr>
      </w:pPr>
      <w:r w:rsidRPr="00147AA0">
        <w:rPr>
          <w:rFonts w:eastAsia="Calibri"/>
          <w:b/>
        </w:rPr>
        <w:t>Tabela 3</w:t>
      </w:r>
      <w:r w:rsidR="00EE1B5D" w:rsidRPr="00147AA0">
        <w:rPr>
          <w:rFonts w:eastAsia="Calibri"/>
          <w:b/>
        </w:rPr>
        <w:t>: Caracterização dos grupos quanto aos motivos para interagir</w:t>
      </w:r>
    </w:p>
    <w:tbl>
      <w:tblPr>
        <w:tblW w:w="4845" w:type="pct"/>
        <w:tblLayout w:type="fixed"/>
        <w:tblCellMar>
          <w:left w:w="70" w:type="dxa"/>
          <w:right w:w="70" w:type="dxa"/>
        </w:tblCellMar>
        <w:tblLook w:val="04A0" w:firstRow="1" w:lastRow="0" w:firstColumn="1" w:lastColumn="0" w:noHBand="0" w:noVBand="1"/>
      </w:tblPr>
      <w:tblGrid>
        <w:gridCol w:w="919"/>
        <w:gridCol w:w="1560"/>
        <w:gridCol w:w="1275"/>
        <w:gridCol w:w="1560"/>
        <w:gridCol w:w="4709"/>
      </w:tblGrid>
      <w:tr w:rsidR="00EE1B5D" w:rsidRPr="00F41CD0" w14:paraId="65865C26" w14:textId="77777777" w:rsidTr="0097142A">
        <w:trPr>
          <w:trHeight w:val="340"/>
        </w:trPr>
        <w:tc>
          <w:tcPr>
            <w:tcW w:w="459" w:type="pct"/>
            <w:tcBorders>
              <w:top w:val="single" w:sz="4" w:space="0" w:color="auto"/>
              <w:left w:val="nil"/>
              <w:bottom w:val="single" w:sz="4" w:space="0" w:color="auto"/>
              <w:right w:val="nil"/>
            </w:tcBorders>
            <w:shd w:val="clear" w:color="auto" w:fill="auto"/>
            <w:noWrap/>
            <w:vAlign w:val="bottom"/>
            <w:hideMark/>
          </w:tcPr>
          <w:p w14:paraId="583D430F" w14:textId="77777777" w:rsidR="00EE1B5D" w:rsidRPr="00F41CD0" w:rsidRDefault="00EE1B5D" w:rsidP="005341B9">
            <w:pPr>
              <w:spacing w:line="240" w:lineRule="auto"/>
              <w:rPr>
                <w:rFonts w:eastAsia="Times New Roman"/>
                <w:color w:val="000000"/>
                <w:sz w:val="22"/>
                <w:szCs w:val="22"/>
                <w:lang w:eastAsia="pt-BR"/>
              </w:rPr>
            </w:pPr>
            <w:r w:rsidRPr="00F41CD0">
              <w:rPr>
                <w:rFonts w:eastAsia="Times New Roman"/>
                <w:color w:val="000000"/>
                <w:sz w:val="22"/>
                <w:szCs w:val="22"/>
                <w:lang w:eastAsia="pt-BR"/>
              </w:rPr>
              <w:t> </w:t>
            </w:r>
          </w:p>
        </w:tc>
        <w:tc>
          <w:tcPr>
            <w:tcW w:w="778" w:type="pct"/>
            <w:tcBorders>
              <w:top w:val="single" w:sz="4" w:space="0" w:color="auto"/>
              <w:left w:val="nil"/>
              <w:bottom w:val="single" w:sz="4" w:space="0" w:color="auto"/>
              <w:right w:val="nil"/>
            </w:tcBorders>
            <w:shd w:val="clear" w:color="auto" w:fill="auto"/>
            <w:noWrap/>
            <w:vAlign w:val="center"/>
            <w:hideMark/>
          </w:tcPr>
          <w:p w14:paraId="41427C47"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Nº de Empresas</w:t>
            </w:r>
          </w:p>
        </w:tc>
        <w:tc>
          <w:tcPr>
            <w:tcW w:w="636" w:type="pct"/>
            <w:tcBorders>
              <w:top w:val="single" w:sz="4" w:space="0" w:color="auto"/>
              <w:left w:val="nil"/>
              <w:bottom w:val="nil"/>
              <w:right w:val="nil"/>
            </w:tcBorders>
            <w:shd w:val="clear" w:color="auto" w:fill="auto"/>
            <w:noWrap/>
            <w:vAlign w:val="center"/>
            <w:hideMark/>
          </w:tcPr>
          <w:p w14:paraId="2EA683DD"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Motivação</w:t>
            </w:r>
          </w:p>
        </w:tc>
        <w:tc>
          <w:tcPr>
            <w:tcW w:w="778" w:type="pct"/>
            <w:tcBorders>
              <w:top w:val="single" w:sz="4" w:space="0" w:color="auto"/>
              <w:left w:val="nil"/>
              <w:bottom w:val="single" w:sz="4" w:space="0" w:color="auto"/>
              <w:right w:val="nil"/>
            </w:tcBorders>
            <w:shd w:val="clear" w:color="auto" w:fill="auto"/>
            <w:noWrap/>
            <w:vAlign w:val="center"/>
            <w:hideMark/>
          </w:tcPr>
          <w:p w14:paraId="451D877B"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Diversificação</w:t>
            </w:r>
          </w:p>
        </w:tc>
        <w:tc>
          <w:tcPr>
            <w:tcW w:w="2349" w:type="pct"/>
            <w:tcBorders>
              <w:top w:val="single" w:sz="4" w:space="0" w:color="auto"/>
              <w:left w:val="nil"/>
              <w:bottom w:val="nil"/>
              <w:right w:val="nil"/>
            </w:tcBorders>
            <w:shd w:val="clear" w:color="auto" w:fill="auto"/>
            <w:noWrap/>
            <w:vAlign w:val="center"/>
            <w:hideMark/>
          </w:tcPr>
          <w:p w14:paraId="18E35D7E"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Principal motivo</w:t>
            </w:r>
          </w:p>
        </w:tc>
      </w:tr>
      <w:tr w:rsidR="00EE1B5D" w:rsidRPr="00F41CD0" w14:paraId="46CD8860" w14:textId="77777777" w:rsidTr="0097142A">
        <w:trPr>
          <w:trHeight w:val="340"/>
        </w:trPr>
        <w:tc>
          <w:tcPr>
            <w:tcW w:w="459" w:type="pct"/>
            <w:tcBorders>
              <w:top w:val="nil"/>
              <w:left w:val="nil"/>
              <w:bottom w:val="nil"/>
              <w:right w:val="nil"/>
            </w:tcBorders>
            <w:shd w:val="clear" w:color="auto" w:fill="auto"/>
            <w:noWrap/>
            <w:vAlign w:val="center"/>
            <w:hideMark/>
          </w:tcPr>
          <w:p w14:paraId="6E8A128A" w14:textId="77777777" w:rsidR="00EE1B5D" w:rsidRPr="00F41CD0" w:rsidRDefault="00EE1B5D" w:rsidP="005341B9">
            <w:pPr>
              <w:spacing w:line="240" w:lineRule="auto"/>
              <w:rPr>
                <w:rFonts w:eastAsia="Times New Roman"/>
                <w:color w:val="000000"/>
                <w:sz w:val="22"/>
                <w:szCs w:val="22"/>
                <w:lang w:eastAsia="pt-BR"/>
              </w:rPr>
            </w:pPr>
            <w:r w:rsidRPr="00F41CD0">
              <w:rPr>
                <w:rFonts w:eastAsia="Times New Roman"/>
                <w:color w:val="000000"/>
                <w:sz w:val="22"/>
                <w:szCs w:val="22"/>
                <w:lang w:eastAsia="pt-BR"/>
              </w:rPr>
              <w:t>Grupo 1</w:t>
            </w:r>
          </w:p>
        </w:tc>
        <w:tc>
          <w:tcPr>
            <w:tcW w:w="778" w:type="pct"/>
            <w:tcBorders>
              <w:top w:val="nil"/>
              <w:left w:val="nil"/>
              <w:bottom w:val="nil"/>
              <w:right w:val="nil"/>
            </w:tcBorders>
            <w:shd w:val="clear" w:color="auto" w:fill="auto"/>
            <w:noWrap/>
            <w:vAlign w:val="center"/>
            <w:hideMark/>
          </w:tcPr>
          <w:p w14:paraId="41F6382F"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13</w:t>
            </w:r>
          </w:p>
        </w:tc>
        <w:tc>
          <w:tcPr>
            <w:tcW w:w="636" w:type="pct"/>
            <w:tcBorders>
              <w:top w:val="single" w:sz="4" w:space="0" w:color="auto"/>
              <w:left w:val="nil"/>
              <w:bottom w:val="nil"/>
              <w:right w:val="nil"/>
            </w:tcBorders>
            <w:shd w:val="clear" w:color="auto" w:fill="auto"/>
            <w:noWrap/>
            <w:vAlign w:val="center"/>
            <w:hideMark/>
          </w:tcPr>
          <w:p w14:paraId="1DD64D40"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Média-baixa</w:t>
            </w:r>
          </w:p>
        </w:tc>
        <w:tc>
          <w:tcPr>
            <w:tcW w:w="778" w:type="pct"/>
            <w:tcBorders>
              <w:top w:val="nil"/>
              <w:left w:val="nil"/>
              <w:bottom w:val="nil"/>
              <w:right w:val="nil"/>
            </w:tcBorders>
            <w:shd w:val="clear" w:color="auto" w:fill="auto"/>
            <w:noWrap/>
            <w:vAlign w:val="center"/>
            <w:hideMark/>
          </w:tcPr>
          <w:p w14:paraId="415E527D"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w:t>
            </w:r>
          </w:p>
        </w:tc>
        <w:tc>
          <w:tcPr>
            <w:tcW w:w="2349" w:type="pct"/>
            <w:tcBorders>
              <w:top w:val="single" w:sz="4" w:space="0" w:color="auto"/>
              <w:left w:val="nil"/>
              <w:bottom w:val="nil"/>
              <w:right w:val="nil"/>
            </w:tcBorders>
            <w:shd w:val="clear" w:color="auto" w:fill="auto"/>
            <w:noWrap/>
            <w:vAlign w:val="center"/>
            <w:hideMark/>
          </w:tcPr>
          <w:p w14:paraId="5A8F4EC3"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Contato com estudante, contratar pesquisas e obter informações sobre P&amp;D</w:t>
            </w:r>
          </w:p>
        </w:tc>
      </w:tr>
      <w:tr w:rsidR="00EE1B5D" w:rsidRPr="00F41CD0" w14:paraId="649F2292" w14:textId="77777777" w:rsidTr="0097142A">
        <w:trPr>
          <w:trHeight w:val="340"/>
        </w:trPr>
        <w:tc>
          <w:tcPr>
            <w:tcW w:w="459" w:type="pct"/>
            <w:tcBorders>
              <w:top w:val="nil"/>
              <w:left w:val="nil"/>
              <w:bottom w:val="nil"/>
              <w:right w:val="nil"/>
            </w:tcBorders>
            <w:shd w:val="clear" w:color="auto" w:fill="auto"/>
            <w:noWrap/>
            <w:vAlign w:val="center"/>
            <w:hideMark/>
          </w:tcPr>
          <w:p w14:paraId="55F5962D" w14:textId="77777777" w:rsidR="00EE1B5D" w:rsidRPr="00F41CD0" w:rsidRDefault="00EE1B5D" w:rsidP="005341B9">
            <w:pPr>
              <w:spacing w:line="240" w:lineRule="auto"/>
              <w:rPr>
                <w:rFonts w:eastAsia="Times New Roman"/>
                <w:color w:val="000000"/>
                <w:sz w:val="22"/>
                <w:szCs w:val="22"/>
                <w:lang w:eastAsia="pt-BR"/>
              </w:rPr>
            </w:pPr>
            <w:r w:rsidRPr="00F41CD0">
              <w:rPr>
                <w:rFonts w:eastAsia="Times New Roman"/>
                <w:color w:val="000000"/>
                <w:sz w:val="22"/>
                <w:szCs w:val="22"/>
                <w:lang w:eastAsia="pt-BR"/>
              </w:rPr>
              <w:t>Grupo 2</w:t>
            </w:r>
          </w:p>
        </w:tc>
        <w:tc>
          <w:tcPr>
            <w:tcW w:w="778" w:type="pct"/>
            <w:tcBorders>
              <w:top w:val="nil"/>
              <w:left w:val="nil"/>
              <w:bottom w:val="nil"/>
              <w:right w:val="nil"/>
            </w:tcBorders>
            <w:shd w:val="clear" w:color="auto" w:fill="auto"/>
            <w:noWrap/>
            <w:vAlign w:val="center"/>
            <w:hideMark/>
          </w:tcPr>
          <w:p w14:paraId="498F2B3E"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16</w:t>
            </w:r>
          </w:p>
        </w:tc>
        <w:tc>
          <w:tcPr>
            <w:tcW w:w="636" w:type="pct"/>
            <w:tcBorders>
              <w:top w:val="nil"/>
              <w:left w:val="nil"/>
              <w:bottom w:val="nil"/>
              <w:right w:val="nil"/>
            </w:tcBorders>
            <w:shd w:val="clear" w:color="auto" w:fill="auto"/>
            <w:noWrap/>
            <w:vAlign w:val="center"/>
            <w:hideMark/>
          </w:tcPr>
          <w:p w14:paraId="147ABCC6"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Média-alta</w:t>
            </w:r>
          </w:p>
        </w:tc>
        <w:tc>
          <w:tcPr>
            <w:tcW w:w="778" w:type="pct"/>
            <w:tcBorders>
              <w:top w:val="nil"/>
              <w:left w:val="nil"/>
              <w:bottom w:val="nil"/>
              <w:right w:val="nil"/>
            </w:tcBorders>
            <w:shd w:val="clear" w:color="auto" w:fill="auto"/>
            <w:noWrap/>
            <w:vAlign w:val="center"/>
            <w:hideMark/>
          </w:tcPr>
          <w:p w14:paraId="43A8A3D6"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w:t>
            </w:r>
          </w:p>
        </w:tc>
        <w:tc>
          <w:tcPr>
            <w:tcW w:w="2349" w:type="pct"/>
            <w:tcBorders>
              <w:top w:val="nil"/>
              <w:left w:val="nil"/>
              <w:bottom w:val="nil"/>
              <w:right w:val="nil"/>
            </w:tcBorders>
            <w:shd w:val="clear" w:color="auto" w:fill="auto"/>
            <w:noWrap/>
            <w:vAlign w:val="center"/>
            <w:hideMark/>
          </w:tcPr>
          <w:p w14:paraId="37A23384"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Transferência tecnológica e Conselhos Tecnológicos</w:t>
            </w:r>
          </w:p>
        </w:tc>
      </w:tr>
      <w:tr w:rsidR="00EE1B5D" w:rsidRPr="00F41CD0" w14:paraId="4C861124" w14:textId="77777777" w:rsidTr="0097142A">
        <w:trPr>
          <w:trHeight w:val="340"/>
        </w:trPr>
        <w:tc>
          <w:tcPr>
            <w:tcW w:w="459" w:type="pct"/>
            <w:tcBorders>
              <w:top w:val="nil"/>
              <w:left w:val="nil"/>
              <w:bottom w:val="nil"/>
              <w:right w:val="nil"/>
            </w:tcBorders>
            <w:shd w:val="clear" w:color="auto" w:fill="auto"/>
            <w:noWrap/>
            <w:vAlign w:val="center"/>
            <w:hideMark/>
          </w:tcPr>
          <w:p w14:paraId="47FE3027" w14:textId="77777777" w:rsidR="00EE1B5D" w:rsidRPr="00F41CD0" w:rsidRDefault="00EE1B5D" w:rsidP="005341B9">
            <w:pPr>
              <w:spacing w:line="240" w:lineRule="auto"/>
              <w:rPr>
                <w:rFonts w:eastAsia="Times New Roman"/>
                <w:color w:val="000000"/>
                <w:sz w:val="22"/>
                <w:szCs w:val="22"/>
                <w:lang w:eastAsia="pt-BR"/>
              </w:rPr>
            </w:pPr>
            <w:r w:rsidRPr="00F41CD0">
              <w:rPr>
                <w:rFonts w:eastAsia="Times New Roman"/>
                <w:color w:val="000000"/>
                <w:sz w:val="22"/>
                <w:szCs w:val="22"/>
                <w:lang w:eastAsia="pt-BR"/>
              </w:rPr>
              <w:t>Grupo 3</w:t>
            </w:r>
          </w:p>
        </w:tc>
        <w:tc>
          <w:tcPr>
            <w:tcW w:w="778" w:type="pct"/>
            <w:tcBorders>
              <w:top w:val="nil"/>
              <w:left w:val="nil"/>
              <w:bottom w:val="nil"/>
              <w:right w:val="nil"/>
            </w:tcBorders>
            <w:shd w:val="clear" w:color="auto" w:fill="auto"/>
            <w:noWrap/>
            <w:vAlign w:val="center"/>
            <w:hideMark/>
          </w:tcPr>
          <w:p w14:paraId="7D8A1E55"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9</w:t>
            </w:r>
          </w:p>
        </w:tc>
        <w:tc>
          <w:tcPr>
            <w:tcW w:w="636" w:type="pct"/>
            <w:tcBorders>
              <w:top w:val="nil"/>
              <w:left w:val="nil"/>
              <w:bottom w:val="nil"/>
              <w:right w:val="nil"/>
            </w:tcBorders>
            <w:shd w:val="clear" w:color="auto" w:fill="auto"/>
            <w:noWrap/>
            <w:vAlign w:val="center"/>
            <w:hideMark/>
          </w:tcPr>
          <w:p w14:paraId="36BA9EBC"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Alta</w:t>
            </w:r>
          </w:p>
        </w:tc>
        <w:tc>
          <w:tcPr>
            <w:tcW w:w="778" w:type="pct"/>
            <w:tcBorders>
              <w:top w:val="nil"/>
              <w:left w:val="nil"/>
              <w:bottom w:val="nil"/>
              <w:right w:val="nil"/>
            </w:tcBorders>
            <w:shd w:val="clear" w:color="auto" w:fill="auto"/>
            <w:noWrap/>
            <w:vAlign w:val="center"/>
            <w:hideMark/>
          </w:tcPr>
          <w:p w14:paraId="306875E1"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Alta</w:t>
            </w:r>
          </w:p>
        </w:tc>
        <w:tc>
          <w:tcPr>
            <w:tcW w:w="2349" w:type="pct"/>
            <w:tcBorders>
              <w:top w:val="nil"/>
              <w:left w:val="nil"/>
              <w:bottom w:val="nil"/>
              <w:right w:val="nil"/>
            </w:tcBorders>
            <w:shd w:val="clear" w:color="auto" w:fill="auto"/>
            <w:noWrap/>
            <w:vAlign w:val="center"/>
            <w:hideMark/>
          </w:tcPr>
          <w:p w14:paraId="327EFB93"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Transferência tecnológica</w:t>
            </w:r>
          </w:p>
        </w:tc>
      </w:tr>
      <w:tr w:rsidR="00EE1B5D" w:rsidRPr="00F41CD0" w14:paraId="2F4C0028" w14:textId="77777777" w:rsidTr="0097142A">
        <w:trPr>
          <w:trHeight w:val="342"/>
        </w:trPr>
        <w:tc>
          <w:tcPr>
            <w:tcW w:w="459" w:type="pct"/>
            <w:tcBorders>
              <w:top w:val="nil"/>
              <w:left w:val="nil"/>
              <w:bottom w:val="nil"/>
              <w:right w:val="nil"/>
            </w:tcBorders>
            <w:shd w:val="clear" w:color="auto" w:fill="auto"/>
            <w:noWrap/>
            <w:vAlign w:val="center"/>
            <w:hideMark/>
          </w:tcPr>
          <w:p w14:paraId="4E4C6AA5" w14:textId="77777777" w:rsidR="00EE1B5D" w:rsidRPr="00F41CD0" w:rsidRDefault="00EE1B5D" w:rsidP="005341B9">
            <w:pPr>
              <w:spacing w:line="240" w:lineRule="auto"/>
              <w:rPr>
                <w:rFonts w:eastAsia="Times New Roman"/>
                <w:color w:val="000000"/>
                <w:sz w:val="22"/>
                <w:szCs w:val="22"/>
                <w:lang w:eastAsia="pt-BR"/>
              </w:rPr>
            </w:pPr>
            <w:r w:rsidRPr="00F41CD0">
              <w:rPr>
                <w:rFonts w:eastAsia="Times New Roman"/>
                <w:color w:val="000000"/>
                <w:sz w:val="22"/>
                <w:szCs w:val="22"/>
                <w:lang w:eastAsia="pt-BR"/>
              </w:rPr>
              <w:t>Grupo 4</w:t>
            </w:r>
          </w:p>
        </w:tc>
        <w:tc>
          <w:tcPr>
            <w:tcW w:w="778" w:type="pct"/>
            <w:tcBorders>
              <w:top w:val="nil"/>
              <w:left w:val="nil"/>
              <w:bottom w:val="nil"/>
              <w:right w:val="nil"/>
            </w:tcBorders>
            <w:shd w:val="clear" w:color="auto" w:fill="auto"/>
            <w:noWrap/>
            <w:vAlign w:val="center"/>
            <w:hideMark/>
          </w:tcPr>
          <w:p w14:paraId="64A40A3D"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10</w:t>
            </w:r>
          </w:p>
        </w:tc>
        <w:tc>
          <w:tcPr>
            <w:tcW w:w="636" w:type="pct"/>
            <w:tcBorders>
              <w:top w:val="nil"/>
              <w:left w:val="nil"/>
              <w:bottom w:val="nil"/>
              <w:right w:val="nil"/>
            </w:tcBorders>
            <w:shd w:val="clear" w:color="auto" w:fill="auto"/>
            <w:noWrap/>
            <w:vAlign w:val="center"/>
            <w:hideMark/>
          </w:tcPr>
          <w:p w14:paraId="0429BF40"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Baixa</w:t>
            </w:r>
          </w:p>
        </w:tc>
        <w:tc>
          <w:tcPr>
            <w:tcW w:w="778" w:type="pct"/>
            <w:tcBorders>
              <w:top w:val="nil"/>
              <w:left w:val="nil"/>
              <w:bottom w:val="nil"/>
              <w:right w:val="nil"/>
            </w:tcBorders>
            <w:shd w:val="clear" w:color="auto" w:fill="auto"/>
            <w:noWrap/>
            <w:vAlign w:val="center"/>
            <w:hideMark/>
          </w:tcPr>
          <w:p w14:paraId="509A9BBE"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Alta</w:t>
            </w:r>
          </w:p>
        </w:tc>
        <w:tc>
          <w:tcPr>
            <w:tcW w:w="2349" w:type="pct"/>
            <w:tcBorders>
              <w:top w:val="nil"/>
              <w:left w:val="nil"/>
              <w:bottom w:val="nil"/>
              <w:right w:val="nil"/>
            </w:tcBorders>
            <w:shd w:val="clear" w:color="auto" w:fill="auto"/>
            <w:noWrap/>
            <w:vAlign w:val="center"/>
            <w:hideMark/>
          </w:tcPr>
          <w:p w14:paraId="5655A948" w14:textId="77777777" w:rsidR="00EE1B5D" w:rsidRPr="00F41CD0" w:rsidRDefault="00EE1B5D"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Transferência tecnológica e Conselhos Tecnológicos</w:t>
            </w:r>
          </w:p>
        </w:tc>
      </w:tr>
      <w:tr w:rsidR="00EE1B5D" w:rsidRPr="00F41CD0" w14:paraId="130671B6" w14:textId="77777777" w:rsidTr="0097142A">
        <w:trPr>
          <w:trHeight w:val="108"/>
        </w:trPr>
        <w:tc>
          <w:tcPr>
            <w:tcW w:w="459" w:type="pct"/>
            <w:tcBorders>
              <w:top w:val="nil"/>
              <w:left w:val="nil"/>
              <w:bottom w:val="single" w:sz="4" w:space="0" w:color="auto"/>
              <w:right w:val="nil"/>
            </w:tcBorders>
            <w:shd w:val="clear" w:color="auto" w:fill="auto"/>
            <w:noWrap/>
            <w:vAlign w:val="center"/>
            <w:hideMark/>
          </w:tcPr>
          <w:p w14:paraId="11AEBF92" w14:textId="77777777" w:rsidR="00EE1B5D" w:rsidRPr="00F41CD0" w:rsidRDefault="00EE1B5D" w:rsidP="005341B9">
            <w:pPr>
              <w:spacing w:line="240" w:lineRule="auto"/>
              <w:rPr>
                <w:rFonts w:eastAsia="Times New Roman"/>
                <w:b/>
                <w:bCs/>
                <w:color w:val="000000"/>
                <w:sz w:val="22"/>
                <w:szCs w:val="22"/>
                <w:lang w:eastAsia="pt-BR"/>
              </w:rPr>
            </w:pPr>
            <w:r w:rsidRPr="00F41CD0">
              <w:rPr>
                <w:rFonts w:eastAsia="Times New Roman"/>
                <w:b/>
                <w:bCs/>
                <w:color w:val="000000"/>
                <w:sz w:val="22"/>
                <w:szCs w:val="22"/>
                <w:lang w:eastAsia="pt-BR"/>
              </w:rPr>
              <w:t>Total</w:t>
            </w:r>
          </w:p>
        </w:tc>
        <w:tc>
          <w:tcPr>
            <w:tcW w:w="778" w:type="pct"/>
            <w:tcBorders>
              <w:top w:val="nil"/>
              <w:left w:val="nil"/>
              <w:bottom w:val="single" w:sz="4" w:space="0" w:color="auto"/>
              <w:right w:val="nil"/>
            </w:tcBorders>
            <w:shd w:val="clear" w:color="auto" w:fill="auto"/>
            <w:noWrap/>
            <w:vAlign w:val="center"/>
            <w:hideMark/>
          </w:tcPr>
          <w:p w14:paraId="77F810FD" w14:textId="77777777" w:rsidR="00EE1B5D" w:rsidRPr="00F41CD0" w:rsidRDefault="00EE1B5D" w:rsidP="005341B9">
            <w:pPr>
              <w:spacing w:line="240" w:lineRule="auto"/>
              <w:jc w:val="center"/>
              <w:rPr>
                <w:rFonts w:eastAsia="Times New Roman"/>
                <w:b/>
                <w:bCs/>
                <w:color w:val="000000"/>
                <w:sz w:val="22"/>
                <w:szCs w:val="22"/>
                <w:lang w:eastAsia="pt-BR"/>
              </w:rPr>
            </w:pPr>
            <w:r w:rsidRPr="00F41CD0">
              <w:rPr>
                <w:rFonts w:eastAsia="Times New Roman"/>
                <w:b/>
                <w:bCs/>
                <w:color w:val="000000"/>
                <w:sz w:val="22"/>
                <w:szCs w:val="22"/>
                <w:lang w:eastAsia="pt-BR"/>
              </w:rPr>
              <w:t>48</w:t>
            </w:r>
          </w:p>
        </w:tc>
        <w:tc>
          <w:tcPr>
            <w:tcW w:w="636" w:type="pct"/>
            <w:tcBorders>
              <w:top w:val="nil"/>
              <w:left w:val="nil"/>
              <w:bottom w:val="single" w:sz="4" w:space="0" w:color="auto"/>
              <w:right w:val="nil"/>
            </w:tcBorders>
            <w:shd w:val="clear" w:color="auto" w:fill="auto"/>
            <w:noWrap/>
            <w:vAlign w:val="center"/>
            <w:hideMark/>
          </w:tcPr>
          <w:p w14:paraId="02B0A8A9" w14:textId="77777777" w:rsidR="00EE1B5D" w:rsidRPr="00F41CD0" w:rsidRDefault="00EE1B5D" w:rsidP="005341B9">
            <w:pPr>
              <w:spacing w:line="240" w:lineRule="auto"/>
              <w:jc w:val="center"/>
              <w:rPr>
                <w:rFonts w:eastAsia="Times New Roman"/>
                <w:color w:val="000000"/>
                <w:sz w:val="22"/>
                <w:szCs w:val="22"/>
                <w:lang w:eastAsia="pt-BR"/>
              </w:rPr>
            </w:pPr>
          </w:p>
        </w:tc>
        <w:tc>
          <w:tcPr>
            <w:tcW w:w="778" w:type="pct"/>
            <w:tcBorders>
              <w:top w:val="nil"/>
              <w:left w:val="nil"/>
              <w:bottom w:val="single" w:sz="4" w:space="0" w:color="auto"/>
              <w:right w:val="nil"/>
            </w:tcBorders>
            <w:shd w:val="clear" w:color="auto" w:fill="auto"/>
            <w:noWrap/>
            <w:vAlign w:val="center"/>
            <w:hideMark/>
          </w:tcPr>
          <w:p w14:paraId="4E42FA7D" w14:textId="77777777" w:rsidR="00EE1B5D" w:rsidRPr="00F41CD0" w:rsidRDefault="00EE1B5D" w:rsidP="005341B9">
            <w:pPr>
              <w:spacing w:line="240" w:lineRule="auto"/>
              <w:jc w:val="center"/>
              <w:rPr>
                <w:rFonts w:eastAsia="Times New Roman"/>
                <w:color w:val="000000"/>
                <w:sz w:val="22"/>
                <w:szCs w:val="22"/>
                <w:lang w:eastAsia="pt-BR"/>
              </w:rPr>
            </w:pPr>
          </w:p>
        </w:tc>
        <w:tc>
          <w:tcPr>
            <w:tcW w:w="2349" w:type="pct"/>
            <w:tcBorders>
              <w:top w:val="nil"/>
              <w:left w:val="nil"/>
              <w:bottom w:val="single" w:sz="4" w:space="0" w:color="auto"/>
              <w:right w:val="nil"/>
            </w:tcBorders>
            <w:shd w:val="clear" w:color="auto" w:fill="auto"/>
            <w:noWrap/>
            <w:vAlign w:val="center"/>
            <w:hideMark/>
          </w:tcPr>
          <w:p w14:paraId="7A9075DC" w14:textId="77777777" w:rsidR="00EE1B5D" w:rsidRPr="00F41CD0" w:rsidRDefault="00EE1B5D" w:rsidP="005341B9">
            <w:pPr>
              <w:spacing w:line="240" w:lineRule="auto"/>
              <w:jc w:val="center"/>
              <w:rPr>
                <w:rFonts w:eastAsia="Times New Roman"/>
                <w:color w:val="000000"/>
                <w:sz w:val="22"/>
                <w:szCs w:val="22"/>
                <w:lang w:eastAsia="pt-BR"/>
              </w:rPr>
            </w:pPr>
          </w:p>
        </w:tc>
      </w:tr>
    </w:tbl>
    <w:p w14:paraId="7944FF19" w14:textId="77777777" w:rsidR="00EE1B5D" w:rsidRPr="006242DF" w:rsidRDefault="001628DE" w:rsidP="00F41CD0">
      <w:pPr>
        <w:autoSpaceDE w:val="0"/>
        <w:autoSpaceDN w:val="0"/>
        <w:adjustRightInd w:val="0"/>
        <w:spacing w:line="240" w:lineRule="auto"/>
        <w:rPr>
          <w:rFonts w:eastAsia="Calibri"/>
          <w:sz w:val="20"/>
          <w:szCs w:val="20"/>
        </w:rPr>
      </w:pPr>
      <w:r w:rsidRPr="006242DF">
        <w:rPr>
          <w:rFonts w:eastAsia="Calibri"/>
          <w:sz w:val="20"/>
          <w:szCs w:val="20"/>
        </w:rPr>
        <w:t xml:space="preserve">Fonte: Elaboração Própria, a partir do BR </w:t>
      </w:r>
      <w:r w:rsidRPr="006242DF">
        <w:rPr>
          <w:rFonts w:eastAsia="Calibri"/>
          <w:i/>
          <w:sz w:val="20"/>
          <w:szCs w:val="20"/>
        </w:rPr>
        <w:t>Survey</w:t>
      </w:r>
      <w:r w:rsidRPr="006242DF">
        <w:rPr>
          <w:rFonts w:eastAsia="Calibri"/>
          <w:sz w:val="20"/>
          <w:szCs w:val="20"/>
        </w:rPr>
        <w:t>.</w:t>
      </w:r>
    </w:p>
    <w:p w14:paraId="66FB53D2" w14:textId="77777777" w:rsidR="00EE1B5D" w:rsidRPr="005341B9" w:rsidRDefault="00EE1B5D" w:rsidP="005341B9">
      <w:pPr>
        <w:spacing w:line="240" w:lineRule="auto"/>
        <w:rPr>
          <w:i/>
        </w:rPr>
      </w:pPr>
    </w:p>
    <w:p w14:paraId="52CB954D" w14:textId="264B464D" w:rsidR="00EE1B5D" w:rsidRPr="00F70561" w:rsidRDefault="00F70561" w:rsidP="005341B9">
      <w:pPr>
        <w:spacing w:line="240" w:lineRule="auto"/>
        <w:rPr>
          <w:b/>
          <w:i/>
        </w:rPr>
      </w:pPr>
      <w:r w:rsidRPr="00F70561">
        <w:rPr>
          <w:b/>
          <w:i/>
        </w:rPr>
        <w:t>4</w:t>
      </w:r>
      <w:r w:rsidR="00840A30" w:rsidRPr="00F70561">
        <w:rPr>
          <w:b/>
          <w:i/>
        </w:rPr>
        <w:t>.3</w:t>
      </w:r>
      <w:r w:rsidR="00EE1B5D" w:rsidRPr="00F70561">
        <w:rPr>
          <w:b/>
          <w:i/>
        </w:rPr>
        <w:t>. Estratégia</w:t>
      </w:r>
      <w:r w:rsidR="008F4112">
        <w:rPr>
          <w:b/>
          <w:i/>
        </w:rPr>
        <w:t>s e esforços</w:t>
      </w:r>
      <w:r w:rsidR="00EE1B5D" w:rsidRPr="00F70561">
        <w:rPr>
          <w:b/>
          <w:i/>
        </w:rPr>
        <w:t xml:space="preserve"> inovativ</w:t>
      </w:r>
      <w:r w:rsidR="008F4112">
        <w:rPr>
          <w:b/>
          <w:i/>
        </w:rPr>
        <w:t>os</w:t>
      </w:r>
    </w:p>
    <w:p w14:paraId="778E81D4" w14:textId="77777777" w:rsidR="00DD1B63" w:rsidRPr="005341B9" w:rsidRDefault="00DD1B63" w:rsidP="005341B9">
      <w:pPr>
        <w:spacing w:line="240" w:lineRule="auto"/>
        <w:rPr>
          <w:b/>
          <w:i/>
        </w:rPr>
      </w:pPr>
    </w:p>
    <w:p w14:paraId="672B8808" w14:textId="77777777" w:rsidR="00EE1B5D" w:rsidRPr="005341B9" w:rsidRDefault="00EE1B5D" w:rsidP="005341B9">
      <w:pPr>
        <w:spacing w:line="240" w:lineRule="auto"/>
      </w:pPr>
      <w:r w:rsidRPr="005341B9">
        <w:tab/>
        <w:t xml:space="preserve">As análises a seguir discutem, a partir da agregação anterior, quais as estratégias inovativas </w:t>
      </w:r>
      <w:r w:rsidR="00A65010" w:rsidRPr="005341B9">
        <w:t>específica de cada grupo de</w:t>
      </w:r>
      <w:r w:rsidRPr="005341B9">
        <w:t xml:space="preserve"> empresas, em termos dos esforços em P&amp;D, do tipo de inovação implementada e da fonte de informação relevante para esta.</w:t>
      </w:r>
    </w:p>
    <w:p w14:paraId="0C0E8BAD" w14:textId="2DAA3403" w:rsidR="00EE1B5D" w:rsidRDefault="00EE1B5D" w:rsidP="005341B9">
      <w:pPr>
        <w:pStyle w:val="PargrafodaLista"/>
        <w:autoSpaceDE w:val="0"/>
        <w:autoSpaceDN w:val="0"/>
        <w:adjustRightInd w:val="0"/>
        <w:spacing w:line="240" w:lineRule="auto"/>
        <w:ind w:left="0" w:firstLine="720"/>
      </w:pPr>
      <w:r w:rsidRPr="005341B9">
        <w:t xml:space="preserve">Primeiramente, busca-se caracterizar os grupos em termos do tamanho </w:t>
      </w:r>
      <w:r w:rsidR="0056719B">
        <w:t>médio das empresas. A tabela 4</w:t>
      </w:r>
      <w:r w:rsidRPr="005341B9">
        <w:t xml:space="preserve"> apresenta o número de empregados como uma </w:t>
      </w:r>
      <w:r w:rsidRPr="005341B9">
        <w:rPr>
          <w:i/>
        </w:rPr>
        <w:t>proxy</w:t>
      </w:r>
      <w:r w:rsidRPr="005341B9">
        <w:t xml:space="preserve"> para isso. O primeiro ponto a ser destacado é a média elevada do número de empregados para o </w:t>
      </w:r>
      <w:r w:rsidRPr="005341B9">
        <w:rPr>
          <w:i/>
        </w:rPr>
        <w:t>grupo 1</w:t>
      </w:r>
      <w:r w:rsidRPr="005341B9">
        <w:t>. Esse valor elevado é devido à presença de uma empresa com 39 mil empregados nesse grupo. Se retirada essa empresa, a média diminui para 123,08. Com isso, ele deixa de ser o grupo com a maior média em número de empregados para ser o grupo com a menor média. Assim, a caracterização dos grupos quanto ao tamanho das empresas não se mostra interessante, dada a elevada “sensibilidade” da média aos valores extremos e ao eleva</w:t>
      </w:r>
      <w:r w:rsidR="00D363F7" w:rsidRPr="005341B9">
        <w:t>do desvio-padrão dessas médias.</w:t>
      </w:r>
    </w:p>
    <w:p w14:paraId="759A155A" w14:textId="6D8B287D" w:rsidR="00160DF3" w:rsidRDefault="00160DF3" w:rsidP="005341B9">
      <w:pPr>
        <w:pStyle w:val="PargrafodaLista"/>
        <w:autoSpaceDE w:val="0"/>
        <w:autoSpaceDN w:val="0"/>
        <w:adjustRightInd w:val="0"/>
        <w:spacing w:line="240" w:lineRule="auto"/>
        <w:ind w:left="0" w:firstLine="720"/>
      </w:pPr>
    </w:p>
    <w:p w14:paraId="6AA9CE6F" w14:textId="5142E6C3" w:rsidR="00D659BA" w:rsidRPr="004524C4" w:rsidRDefault="0056719B" w:rsidP="005341B9">
      <w:pPr>
        <w:pStyle w:val="PargrafodaLista"/>
        <w:autoSpaceDE w:val="0"/>
        <w:autoSpaceDN w:val="0"/>
        <w:adjustRightInd w:val="0"/>
        <w:spacing w:line="240" w:lineRule="auto"/>
        <w:ind w:left="0"/>
        <w:jc w:val="center"/>
        <w:rPr>
          <w:b/>
        </w:rPr>
      </w:pPr>
      <w:r w:rsidRPr="004524C4">
        <w:rPr>
          <w:b/>
        </w:rPr>
        <w:lastRenderedPageBreak/>
        <w:t>Tabela 4</w:t>
      </w:r>
      <w:r w:rsidR="00D659BA" w:rsidRPr="004524C4">
        <w:rPr>
          <w:b/>
        </w:rPr>
        <w:t xml:space="preserve"> - Tamanho da Empresa e Atividades de P&amp;D, Empresas de Serviços, 2009.</w:t>
      </w:r>
    </w:p>
    <w:tbl>
      <w:tblPr>
        <w:tblW w:w="5000" w:type="pct"/>
        <w:jc w:val="center"/>
        <w:tblCellMar>
          <w:left w:w="70" w:type="dxa"/>
          <w:right w:w="70" w:type="dxa"/>
        </w:tblCellMar>
        <w:tblLook w:val="04A0" w:firstRow="1" w:lastRow="0" w:firstColumn="1" w:lastColumn="0" w:noHBand="0" w:noVBand="1"/>
      </w:tblPr>
      <w:tblGrid>
        <w:gridCol w:w="831"/>
        <w:gridCol w:w="1299"/>
        <w:gridCol w:w="1144"/>
        <w:gridCol w:w="1293"/>
        <w:gridCol w:w="976"/>
        <w:gridCol w:w="881"/>
        <w:gridCol w:w="974"/>
        <w:gridCol w:w="881"/>
        <w:gridCol w:w="2065"/>
      </w:tblGrid>
      <w:tr w:rsidR="00D659BA" w:rsidRPr="00F41CD0" w14:paraId="31037814" w14:textId="77777777" w:rsidTr="0097142A">
        <w:trPr>
          <w:trHeight w:val="985"/>
          <w:jc w:val="center"/>
        </w:trPr>
        <w:tc>
          <w:tcPr>
            <w:tcW w:w="401" w:type="pct"/>
            <w:tcBorders>
              <w:top w:val="single" w:sz="4" w:space="0" w:color="auto"/>
              <w:left w:val="nil"/>
              <w:bottom w:val="nil"/>
              <w:right w:val="nil"/>
            </w:tcBorders>
            <w:shd w:val="clear" w:color="auto" w:fill="auto"/>
            <w:vAlign w:val="center"/>
            <w:hideMark/>
          </w:tcPr>
          <w:p w14:paraId="0F6156E3"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 </w:t>
            </w:r>
          </w:p>
        </w:tc>
        <w:tc>
          <w:tcPr>
            <w:tcW w:w="628" w:type="pct"/>
            <w:vMerge w:val="restart"/>
            <w:tcBorders>
              <w:top w:val="single" w:sz="4" w:space="0" w:color="auto"/>
              <w:left w:val="nil"/>
              <w:bottom w:val="single" w:sz="4" w:space="0" w:color="000000"/>
              <w:right w:val="nil"/>
            </w:tcBorders>
            <w:shd w:val="clear" w:color="auto" w:fill="auto"/>
            <w:vAlign w:val="center"/>
            <w:hideMark/>
          </w:tcPr>
          <w:p w14:paraId="244EFEC9"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Nº de empresas</w:t>
            </w:r>
          </w:p>
        </w:tc>
        <w:tc>
          <w:tcPr>
            <w:tcW w:w="1178" w:type="pct"/>
            <w:gridSpan w:val="2"/>
            <w:tcBorders>
              <w:top w:val="single" w:sz="4" w:space="0" w:color="auto"/>
              <w:left w:val="nil"/>
              <w:bottom w:val="nil"/>
              <w:right w:val="nil"/>
            </w:tcBorders>
            <w:shd w:val="clear" w:color="auto" w:fill="auto"/>
            <w:vAlign w:val="center"/>
            <w:hideMark/>
          </w:tcPr>
          <w:p w14:paraId="059120F7"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Nº de empregados</w:t>
            </w:r>
          </w:p>
        </w:tc>
        <w:tc>
          <w:tcPr>
            <w:tcW w:w="898" w:type="pct"/>
            <w:gridSpan w:val="2"/>
            <w:tcBorders>
              <w:top w:val="single" w:sz="4" w:space="0" w:color="auto"/>
              <w:left w:val="nil"/>
              <w:bottom w:val="nil"/>
              <w:right w:val="nil"/>
            </w:tcBorders>
            <w:shd w:val="clear" w:color="auto" w:fill="auto"/>
            <w:vAlign w:val="center"/>
            <w:hideMark/>
          </w:tcPr>
          <w:p w14:paraId="2BAA6332"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Porcentagem da receita gasta em P&amp;D</w:t>
            </w:r>
          </w:p>
        </w:tc>
        <w:tc>
          <w:tcPr>
            <w:tcW w:w="897" w:type="pct"/>
            <w:gridSpan w:val="2"/>
            <w:tcBorders>
              <w:top w:val="single" w:sz="4" w:space="0" w:color="auto"/>
              <w:left w:val="nil"/>
              <w:bottom w:val="nil"/>
              <w:right w:val="nil"/>
            </w:tcBorders>
            <w:shd w:val="clear" w:color="auto" w:fill="auto"/>
            <w:vAlign w:val="center"/>
            <w:hideMark/>
          </w:tcPr>
          <w:p w14:paraId="42AC493C" w14:textId="1C871D26"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Po</w:t>
            </w:r>
            <w:r w:rsidR="00F41CD0" w:rsidRPr="00F41CD0">
              <w:rPr>
                <w:rFonts w:eastAsia="Times New Roman"/>
                <w:color w:val="000000"/>
                <w:sz w:val="22"/>
                <w:szCs w:val="22"/>
                <w:lang w:eastAsia="pt-BR"/>
              </w:rPr>
              <w:t>r</w:t>
            </w:r>
            <w:r w:rsidRPr="00F41CD0">
              <w:rPr>
                <w:rFonts w:eastAsia="Times New Roman"/>
                <w:color w:val="000000"/>
                <w:sz w:val="22"/>
                <w:szCs w:val="22"/>
                <w:lang w:eastAsia="pt-BR"/>
              </w:rPr>
              <w:t>centagem de empregados em P&amp;D</w:t>
            </w:r>
          </w:p>
        </w:tc>
        <w:tc>
          <w:tcPr>
            <w:tcW w:w="999" w:type="pct"/>
            <w:vMerge w:val="restart"/>
            <w:tcBorders>
              <w:top w:val="single" w:sz="4" w:space="0" w:color="auto"/>
              <w:left w:val="nil"/>
              <w:bottom w:val="single" w:sz="4" w:space="0" w:color="000000"/>
              <w:right w:val="nil"/>
            </w:tcBorders>
            <w:shd w:val="clear" w:color="auto" w:fill="auto"/>
            <w:vAlign w:val="center"/>
            <w:hideMark/>
          </w:tcPr>
          <w:p w14:paraId="668254FE"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Nº de empresas em relação ao total que tem departamento de P&amp;D (%)</w:t>
            </w:r>
          </w:p>
        </w:tc>
      </w:tr>
      <w:tr w:rsidR="00D659BA" w:rsidRPr="00F41CD0" w14:paraId="447DD29F" w14:textId="77777777" w:rsidTr="00F41CD0">
        <w:trPr>
          <w:trHeight w:val="300"/>
          <w:jc w:val="center"/>
        </w:trPr>
        <w:tc>
          <w:tcPr>
            <w:tcW w:w="401" w:type="pct"/>
            <w:tcBorders>
              <w:top w:val="nil"/>
              <w:left w:val="nil"/>
              <w:bottom w:val="single" w:sz="4" w:space="0" w:color="auto"/>
              <w:right w:val="nil"/>
            </w:tcBorders>
            <w:shd w:val="clear" w:color="auto" w:fill="auto"/>
            <w:noWrap/>
            <w:vAlign w:val="bottom"/>
            <w:hideMark/>
          </w:tcPr>
          <w:p w14:paraId="6D226F01" w14:textId="77777777" w:rsidR="00D659BA" w:rsidRPr="00F41CD0" w:rsidRDefault="00D659BA"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 </w:t>
            </w:r>
          </w:p>
        </w:tc>
        <w:tc>
          <w:tcPr>
            <w:tcW w:w="628" w:type="pct"/>
            <w:vMerge/>
            <w:tcBorders>
              <w:top w:val="single" w:sz="4" w:space="0" w:color="auto"/>
              <w:left w:val="nil"/>
              <w:bottom w:val="single" w:sz="4" w:space="0" w:color="000000"/>
              <w:right w:val="nil"/>
            </w:tcBorders>
            <w:vAlign w:val="center"/>
            <w:hideMark/>
          </w:tcPr>
          <w:p w14:paraId="5D096E1A" w14:textId="77777777" w:rsidR="00D659BA" w:rsidRPr="00F41CD0" w:rsidRDefault="00D659BA" w:rsidP="005341B9">
            <w:pPr>
              <w:spacing w:line="240" w:lineRule="auto"/>
              <w:jc w:val="left"/>
              <w:rPr>
                <w:rFonts w:eastAsia="Times New Roman"/>
                <w:color w:val="000000"/>
                <w:sz w:val="22"/>
                <w:szCs w:val="22"/>
                <w:lang w:eastAsia="pt-BR"/>
              </w:rPr>
            </w:pPr>
          </w:p>
        </w:tc>
        <w:tc>
          <w:tcPr>
            <w:tcW w:w="553" w:type="pct"/>
            <w:tcBorders>
              <w:top w:val="nil"/>
              <w:left w:val="nil"/>
              <w:bottom w:val="single" w:sz="4" w:space="0" w:color="auto"/>
              <w:right w:val="nil"/>
            </w:tcBorders>
            <w:shd w:val="clear" w:color="auto" w:fill="auto"/>
            <w:noWrap/>
            <w:vAlign w:val="center"/>
            <w:hideMark/>
          </w:tcPr>
          <w:p w14:paraId="4DD1B549"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w:t>
            </w:r>
          </w:p>
        </w:tc>
        <w:tc>
          <w:tcPr>
            <w:tcW w:w="625" w:type="pct"/>
            <w:tcBorders>
              <w:top w:val="nil"/>
              <w:left w:val="nil"/>
              <w:bottom w:val="single" w:sz="4" w:space="0" w:color="auto"/>
              <w:right w:val="nil"/>
            </w:tcBorders>
            <w:shd w:val="clear" w:color="auto" w:fill="auto"/>
            <w:noWrap/>
            <w:vAlign w:val="center"/>
            <w:hideMark/>
          </w:tcPr>
          <w:p w14:paraId="01248332"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DP</w:t>
            </w:r>
          </w:p>
        </w:tc>
        <w:tc>
          <w:tcPr>
            <w:tcW w:w="472" w:type="pct"/>
            <w:tcBorders>
              <w:top w:val="nil"/>
              <w:left w:val="nil"/>
              <w:bottom w:val="single" w:sz="4" w:space="0" w:color="auto"/>
              <w:right w:val="nil"/>
            </w:tcBorders>
            <w:shd w:val="clear" w:color="auto" w:fill="auto"/>
            <w:noWrap/>
            <w:vAlign w:val="center"/>
            <w:hideMark/>
          </w:tcPr>
          <w:p w14:paraId="70C9C830"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w:t>
            </w:r>
          </w:p>
        </w:tc>
        <w:tc>
          <w:tcPr>
            <w:tcW w:w="426" w:type="pct"/>
            <w:tcBorders>
              <w:top w:val="nil"/>
              <w:left w:val="nil"/>
              <w:bottom w:val="single" w:sz="4" w:space="0" w:color="auto"/>
              <w:right w:val="nil"/>
            </w:tcBorders>
            <w:shd w:val="clear" w:color="auto" w:fill="auto"/>
            <w:noWrap/>
            <w:vAlign w:val="center"/>
            <w:hideMark/>
          </w:tcPr>
          <w:p w14:paraId="0811CE08"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DP</w:t>
            </w:r>
          </w:p>
        </w:tc>
        <w:tc>
          <w:tcPr>
            <w:tcW w:w="471" w:type="pct"/>
            <w:tcBorders>
              <w:top w:val="nil"/>
              <w:left w:val="nil"/>
              <w:bottom w:val="single" w:sz="4" w:space="0" w:color="auto"/>
              <w:right w:val="nil"/>
            </w:tcBorders>
            <w:shd w:val="clear" w:color="auto" w:fill="auto"/>
            <w:noWrap/>
            <w:vAlign w:val="center"/>
            <w:hideMark/>
          </w:tcPr>
          <w:p w14:paraId="2E19B9D6"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Média</w:t>
            </w:r>
          </w:p>
        </w:tc>
        <w:tc>
          <w:tcPr>
            <w:tcW w:w="426" w:type="pct"/>
            <w:tcBorders>
              <w:top w:val="nil"/>
              <w:left w:val="nil"/>
              <w:bottom w:val="single" w:sz="4" w:space="0" w:color="auto"/>
              <w:right w:val="nil"/>
            </w:tcBorders>
            <w:shd w:val="clear" w:color="auto" w:fill="auto"/>
            <w:noWrap/>
            <w:vAlign w:val="center"/>
            <w:hideMark/>
          </w:tcPr>
          <w:p w14:paraId="2BFB11AC"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DP</w:t>
            </w:r>
          </w:p>
        </w:tc>
        <w:tc>
          <w:tcPr>
            <w:tcW w:w="999" w:type="pct"/>
            <w:vMerge/>
            <w:tcBorders>
              <w:top w:val="single" w:sz="4" w:space="0" w:color="auto"/>
              <w:left w:val="nil"/>
              <w:bottom w:val="single" w:sz="4" w:space="0" w:color="000000"/>
              <w:right w:val="nil"/>
            </w:tcBorders>
            <w:vAlign w:val="center"/>
            <w:hideMark/>
          </w:tcPr>
          <w:p w14:paraId="59E1BF89" w14:textId="77777777" w:rsidR="00D659BA" w:rsidRPr="00F41CD0" w:rsidRDefault="00D659BA" w:rsidP="005341B9">
            <w:pPr>
              <w:spacing w:line="240" w:lineRule="auto"/>
              <w:jc w:val="left"/>
              <w:rPr>
                <w:rFonts w:eastAsia="Times New Roman"/>
                <w:color w:val="000000"/>
                <w:sz w:val="22"/>
                <w:szCs w:val="22"/>
                <w:lang w:eastAsia="pt-BR"/>
              </w:rPr>
            </w:pPr>
          </w:p>
        </w:tc>
      </w:tr>
      <w:tr w:rsidR="00D659BA" w:rsidRPr="00F41CD0" w14:paraId="3F9BDE57" w14:textId="77777777" w:rsidTr="00F41CD0">
        <w:trPr>
          <w:trHeight w:val="300"/>
          <w:jc w:val="center"/>
        </w:trPr>
        <w:tc>
          <w:tcPr>
            <w:tcW w:w="401" w:type="pct"/>
            <w:tcBorders>
              <w:top w:val="nil"/>
              <w:left w:val="nil"/>
              <w:bottom w:val="nil"/>
              <w:right w:val="nil"/>
            </w:tcBorders>
            <w:shd w:val="clear" w:color="auto" w:fill="auto"/>
            <w:noWrap/>
            <w:vAlign w:val="bottom"/>
            <w:hideMark/>
          </w:tcPr>
          <w:p w14:paraId="2A05EE29" w14:textId="77777777" w:rsidR="00D659BA" w:rsidRPr="00F41CD0" w:rsidRDefault="00D659BA"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G1</w:t>
            </w:r>
          </w:p>
        </w:tc>
        <w:tc>
          <w:tcPr>
            <w:tcW w:w="628" w:type="pct"/>
            <w:tcBorders>
              <w:top w:val="nil"/>
              <w:left w:val="nil"/>
              <w:bottom w:val="nil"/>
              <w:right w:val="nil"/>
            </w:tcBorders>
            <w:shd w:val="clear" w:color="auto" w:fill="auto"/>
            <w:noWrap/>
            <w:vAlign w:val="center"/>
            <w:hideMark/>
          </w:tcPr>
          <w:p w14:paraId="408E70EA"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13</w:t>
            </w:r>
          </w:p>
        </w:tc>
        <w:tc>
          <w:tcPr>
            <w:tcW w:w="553" w:type="pct"/>
            <w:tcBorders>
              <w:top w:val="nil"/>
              <w:left w:val="nil"/>
              <w:bottom w:val="nil"/>
              <w:right w:val="nil"/>
            </w:tcBorders>
            <w:shd w:val="clear" w:color="auto" w:fill="auto"/>
            <w:noWrap/>
            <w:vAlign w:val="center"/>
            <w:hideMark/>
          </w:tcPr>
          <w:p w14:paraId="338E8891"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3113,62</w:t>
            </w:r>
          </w:p>
        </w:tc>
        <w:tc>
          <w:tcPr>
            <w:tcW w:w="625" w:type="pct"/>
            <w:tcBorders>
              <w:top w:val="nil"/>
              <w:left w:val="nil"/>
              <w:bottom w:val="nil"/>
              <w:right w:val="nil"/>
            </w:tcBorders>
            <w:shd w:val="clear" w:color="auto" w:fill="auto"/>
            <w:noWrap/>
            <w:vAlign w:val="center"/>
            <w:hideMark/>
          </w:tcPr>
          <w:p w14:paraId="7E19E80E"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10785,89</w:t>
            </w:r>
          </w:p>
        </w:tc>
        <w:tc>
          <w:tcPr>
            <w:tcW w:w="472" w:type="pct"/>
            <w:tcBorders>
              <w:top w:val="nil"/>
              <w:left w:val="nil"/>
              <w:bottom w:val="nil"/>
              <w:right w:val="nil"/>
            </w:tcBorders>
            <w:shd w:val="clear" w:color="auto" w:fill="auto"/>
            <w:noWrap/>
            <w:vAlign w:val="center"/>
            <w:hideMark/>
          </w:tcPr>
          <w:p w14:paraId="42E868EE"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34,73</w:t>
            </w:r>
          </w:p>
        </w:tc>
        <w:tc>
          <w:tcPr>
            <w:tcW w:w="426" w:type="pct"/>
            <w:tcBorders>
              <w:top w:val="nil"/>
              <w:left w:val="nil"/>
              <w:bottom w:val="nil"/>
              <w:right w:val="nil"/>
            </w:tcBorders>
            <w:shd w:val="clear" w:color="auto" w:fill="auto"/>
            <w:noWrap/>
            <w:vAlign w:val="center"/>
            <w:hideMark/>
          </w:tcPr>
          <w:p w14:paraId="690E5870"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34,11</w:t>
            </w:r>
          </w:p>
        </w:tc>
        <w:tc>
          <w:tcPr>
            <w:tcW w:w="471" w:type="pct"/>
            <w:tcBorders>
              <w:top w:val="nil"/>
              <w:left w:val="nil"/>
              <w:bottom w:val="nil"/>
              <w:right w:val="nil"/>
            </w:tcBorders>
            <w:shd w:val="clear" w:color="auto" w:fill="auto"/>
            <w:noWrap/>
            <w:vAlign w:val="center"/>
          </w:tcPr>
          <w:p w14:paraId="6663A2B1"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34.09</w:t>
            </w:r>
          </w:p>
        </w:tc>
        <w:tc>
          <w:tcPr>
            <w:tcW w:w="426" w:type="pct"/>
            <w:tcBorders>
              <w:top w:val="nil"/>
              <w:left w:val="nil"/>
              <w:bottom w:val="nil"/>
              <w:right w:val="nil"/>
            </w:tcBorders>
            <w:shd w:val="clear" w:color="auto" w:fill="auto"/>
            <w:noWrap/>
            <w:vAlign w:val="center"/>
          </w:tcPr>
          <w:p w14:paraId="1765509F"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33.21</w:t>
            </w:r>
          </w:p>
        </w:tc>
        <w:tc>
          <w:tcPr>
            <w:tcW w:w="999" w:type="pct"/>
            <w:tcBorders>
              <w:top w:val="nil"/>
              <w:left w:val="nil"/>
              <w:bottom w:val="nil"/>
              <w:right w:val="nil"/>
            </w:tcBorders>
            <w:shd w:val="clear" w:color="auto" w:fill="auto"/>
            <w:noWrap/>
            <w:vAlign w:val="center"/>
            <w:hideMark/>
          </w:tcPr>
          <w:p w14:paraId="24D2A1F4"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61,54</w:t>
            </w:r>
          </w:p>
        </w:tc>
      </w:tr>
      <w:tr w:rsidR="00D659BA" w:rsidRPr="00F41CD0" w14:paraId="160812D9" w14:textId="77777777" w:rsidTr="00F41CD0">
        <w:trPr>
          <w:trHeight w:val="300"/>
          <w:jc w:val="center"/>
        </w:trPr>
        <w:tc>
          <w:tcPr>
            <w:tcW w:w="401" w:type="pct"/>
            <w:tcBorders>
              <w:top w:val="nil"/>
              <w:left w:val="nil"/>
              <w:bottom w:val="nil"/>
              <w:right w:val="nil"/>
            </w:tcBorders>
            <w:shd w:val="clear" w:color="auto" w:fill="auto"/>
            <w:noWrap/>
            <w:vAlign w:val="bottom"/>
            <w:hideMark/>
          </w:tcPr>
          <w:p w14:paraId="59AD7B22" w14:textId="77777777" w:rsidR="00D659BA" w:rsidRPr="00F41CD0" w:rsidRDefault="00D659BA"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G2</w:t>
            </w:r>
          </w:p>
        </w:tc>
        <w:tc>
          <w:tcPr>
            <w:tcW w:w="628" w:type="pct"/>
            <w:tcBorders>
              <w:top w:val="nil"/>
              <w:left w:val="nil"/>
              <w:bottom w:val="nil"/>
              <w:right w:val="nil"/>
            </w:tcBorders>
            <w:shd w:val="clear" w:color="auto" w:fill="auto"/>
            <w:noWrap/>
            <w:vAlign w:val="center"/>
            <w:hideMark/>
          </w:tcPr>
          <w:p w14:paraId="6F59A4C9"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16</w:t>
            </w:r>
          </w:p>
        </w:tc>
        <w:tc>
          <w:tcPr>
            <w:tcW w:w="553" w:type="pct"/>
            <w:tcBorders>
              <w:top w:val="nil"/>
              <w:left w:val="nil"/>
              <w:bottom w:val="nil"/>
              <w:right w:val="nil"/>
            </w:tcBorders>
            <w:shd w:val="clear" w:color="auto" w:fill="auto"/>
            <w:noWrap/>
            <w:vAlign w:val="center"/>
            <w:hideMark/>
          </w:tcPr>
          <w:p w14:paraId="5D13A043"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313,56</w:t>
            </w:r>
          </w:p>
        </w:tc>
        <w:tc>
          <w:tcPr>
            <w:tcW w:w="625" w:type="pct"/>
            <w:tcBorders>
              <w:top w:val="nil"/>
              <w:left w:val="nil"/>
              <w:bottom w:val="nil"/>
              <w:right w:val="nil"/>
            </w:tcBorders>
            <w:shd w:val="clear" w:color="auto" w:fill="auto"/>
            <w:noWrap/>
            <w:vAlign w:val="center"/>
            <w:hideMark/>
          </w:tcPr>
          <w:p w14:paraId="54F8243F"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577,16</w:t>
            </w:r>
          </w:p>
        </w:tc>
        <w:tc>
          <w:tcPr>
            <w:tcW w:w="472" w:type="pct"/>
            <w:tcBorders>
              <w:top w:val="nil"/>
              <w:left w:val="nil"/>
              <w:bottom w:val="nil"/>
              <w:right w:val="nil"/>
            </w:tcBorders>
            <w:shd w:val="clear" w:color="auto" w:fill="auto"/>
            <w:noWrap/>
            <w:vAlign w:val="center"/>
            <w:hideMark/>
          </w:tcPr>
          <w:p w14:paraId="4E937308"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19,48</w:t>
            </w:r>
          </w:p>
        </w:tc>
        <w:tc>
          <w:tcPr>
            <w:tcW w:w="426" w:type="pct"/>
            <w:tcBorders>
              <w:top w:val="nil"/>
              <w:left w:val="nil"/>
              <w:bottom w:val="nil"/>
              <w:right w:val="nil"/>
            </w:tcBorders>
            <w:shd w:val="clear" w:color="auto" w:fill="auto"/>
            <w:noWrap/>
            <w:vAlign w:val="center"/>
            <w:hideMark/>
          </w:tcPr>
          <w:p w14:paraId="09B0D433"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25,85</w:t>
            </w:r>
          </w:p>
        </w:tc>
        <w:tc>
          <w:tcPr>
            <w:tcW w:w="471" w:type="pct"/>
            <w:tcBorders>
              <w:top w:val="nil"/>
              <w:left w:val="nil"/>
              <w:bottom w:val="nil"/>
              <w:right w:val="nil"/>
            </w:tcBorders>
            <w:shd w:val="clear" w:color="auto" w:fill="auto"/>
            <w:noWrap/>
            <w:vAlign w:val="center"/>
          </w:tcPr>
          <w:p w14:paraId="5FC95748"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32.68</w:t>
            </w:r>
          </w:p>
        </w:tc>
        <w:tc>
          <w:tcPr>
            <w:tcW w:w="426" w:type="pct"/>
            <w:tcBorders>
              <w:top w:val="nil"/>
              <w:left w:val="nil"/>
              <w:bottom w:val="nil"/>
              <w:right w:val="nil"/>
            </w:tcBorders>
            <w:shd w:val="clear" w:color="auto" w:fill="auto"/>
            <w:noWrap/>
            <w:vAlign w:val="center"/>
          </w:tcPr>
          <w:p w14:paraId="4A264C2F"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31.27</w:t>
            </w:r>
          </w:p>
        </w:tc>
        <w:tc>
          <w:tcPr>
            <w:tcW w:w="999" w:type="pct"/>
            <w:tcBorders>
              <w:top w:val="nil"/>
              <w:left w:val="nil"/>
              <w:bottom w:val="nil"/>
              <w:right w:val="nil"/>
            </w:tcBorders>
            <w:shd w:val="clear" w:color="auto" w:fill="auto"/>
            <w:noWrap/>
            <w:vAlign w:val="center"/>
            <w:hideMark/>
          </w:tcPr>
          <w:p w14:paraId="3A45778C"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43,75</w:t>
            </w:r>
          </w:p>
        </w:tc>
      </w:tr>
      <w:tr w:rsidR="00D659BA" w:rsidRPr="00F41CD0" w14:paraId="0AF3816C" w14:textId="77777777" w:rsidTr="00F41CD0">
        <w:trPr>
          <w:trHeight w:val="300"/>
          <w:jc w:val="center"/>
        </w:trPr>
        <w:tc>
          <w:tcPr>
            <w:tcW w:w="401" w:type="pct"/>
            <w:tcBorders>
              <w:top w:val="nil"/>
              <w:left w:val="nil"/>
              <w:bottom w:val="nil"/>
              <w:right w:val="nil"/>
            </w:tcBorders>
            <w:shd w:val="clear" w:color="auto" w:fill="auto"/>
            <w:noWrap/>
            <w:vAlign w:val="bottom"/>
            <w:hideMark/>
          </w:tcPr>
          <w:p w14:paraId="4EC7D244" w14:textId="77777777" w:rsidR="00D659BA" w:rsidRPr="00F41CD0" w:rsidRDefault="00D659BA"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G3</w:t>
            </w:r>
          </w:p>
        </w:tc>
        <w:tc>
          <w:tcPr>
            <w:tcW w:w="628" w:type="pct"/>
            <w:tcBorders>
              <w:top w:val="nil"/>
              <w:left w:val="nil"/>
              <w:bottom w:val="nil"/>
              <w:right w:val="nil"/>
            </w:tcBorders>
            <w:shd w:val="clear" w:color="auto" w:fill="auto"/>
            <w:noWrap/>
            <w:vAlign w:val="center"/>
            <w:hideMark/>
          </w:tcPr>
          <w:p w14:paraId="62DA66D3"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9</w:t>
            </w:r>
          </w:p>
        </w:tc>
        <w:tc>
          <w:tcPr>
            <w:tcW w:w="553" w:type="pct"/>
            <w:tcBorders>
              <w:top w:val="nil"/>
              <w:left w:val="nil"/>
              <w:bottom w:val="nil"/>
              <w:right w:val="nil"/>
            </w:tcBorders>
            <w:shd w:val="clear" w:color="auto" w:fill="auto"/>
            <w:noWrap/>
            <w:vAlign w:val="center"/>
            <w:hideMark/>
          </w:tcPr>
          <w:p w14:paraId="6FA78A9C"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1152,44</w:t>
            </w:r>
          </w:p>
        </w:tc>
        <w:tc>
          <w:tcPr>
            <w:tcW w:w="625" w:type="pct"/>
            <w:tcBorders>
              <w:top w:val="nil"/>
              <w:left w:val="nil"/>
              <w:bottom w:val="nil"/>
              <w:right w:val="nil"/>
            </w:tcBorders>
            <w:shd w:val="clear" w:color="auto" w:fill="auto"/>
            <w:noWrap/>
            <w:vAlign w:val="center"/>
            <w:hideMark/>
          </w:tcPr>
          <w:p w14:paraId="097D7A56"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2967,50</w:t>
            </w:r>
          </w:p>
        </w:tc>
        <w:tc>
          <w:tcPr>
            <w:tcW w:w="472" w:type="pct"/>
            <w:tcBorders>
              <w:top w:val="nil"/>
              <w:left w:val="nil"/>
              <w:bottom w:val="nil"/>
              <w:right w:val="nil"/>
            </w:tcBorders>
            <w:shd w:val="clear" w:color="auto" w:fill="auto"/>
            <w:noWrap/>
            <w:vAlign w:val="center"/>
            <w:hideMark/>
          </w:tcPr>
          <w:p w14:paraId="2DCAEBDE"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19,07</w:t>
            </w:r>
          </w:p>
        </w:tc>
        <w:tc>
          <w:tcPr>
            <w:tcW w:w="426" w:type="pct"/>
            <w:tcBorders>
              <w:top w:val="nil"/>
              <w:left w:val="nil"/>
              <w:bottom w:val="nil"/>
              <w:right w:val="nil"/>
            </w:tcBorders>
            <w:shd w:val="clear" w:color="auto" w:fill="auto"/>
            <w:noWrap/>
            <w:vAlign w:val="center"/>
            <w:hideMark/>
          </w:tcPr>
          <w:p w14:paraId="5CC76715"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32,06</w:t>
            </w:r>
          </w:p>
        </w:tc>
        <w:tc>
          <w:tcPr>
            <w:tcW w:w="471" w:type="pct"/>
            <w:tcBorders>
              <w:top w:val="nil"/>
              <w:left w:val="nil"/>
              <w:bottom w:val="nil"/>
              <w:right w:val="nil"/>
            </w:tcBorders>
            <w:shd w:val="clear" w:color="auto" w:fill="auto"/>
            <w:noWrap/>
            <w:vAlign w:val="center"/>
          </w:tcPr>
          <w:p w14:paraId="68CA7CC0"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20.47</w:t>
            </w:r>
          </w:p>
        </w:tc>
        <w:tc>
          <w:tcPr>
            <w:tcW w:w="426" w:type="pct"/>
            <w:tcBorders>
              <w:top w:val="nil"/>
              <w:left w:val="nil"/>
              <w:bottom w:val="nil"/>
              <w:right w:val="nil"/>
            </w:tcBorders>
            <w:shd w:val="clear" w:color="auto" w:fill="auto"/>
            <w:noWrap/>
            <w:vAlign w:val="center"/>
          </w:tcPr>
          <w:p w14:paraId="3B20AFB6"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22.21</w:t>
            </w:r>
          </w:p>
        </w:tc>
        <w:tc>
          <w:tcPr>
            <w:tcW w:w="999" w:type="pct"/>
            <w:tcBorders>
              <w:top w:val="nil"/>
              <w:left w:val="nil"/>
              <w:bottom w:val="nil"/>
              <w:right w:val="nil"/>
            </w:tcBorders>
            <w:shd w:val="clear" w:color="auto" w:fill="auto"/>
            <w:noWrap/>
            <w:vAlign w:val="center"/>
            <w:hideMark/>
          </w:tcPr>
          <w:p w14:paraId="7001AA69"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55,56</w:t>
            </w:r>
          </w:p>
        </w:tc>
      </w:tr>
      <w:tr w:rsidR="00D659BA" w:rsidRPr="00F41CD0" w14:paraId="6681D997" w14:textId="77777777" w:rsidTr="00F41CD0">
        <w:trPr>
          <w:trHeight w:val="300"/>
          <w:jc w:val="center"/>
        </w:trPr>
        <w:tc>
          <w:tcPr>
            <w:tcW w:w="401" w:type="pct"/>
            <w:tcBorders>
              <w:top w:val="nil"/>
              <w:left w:val="nil"/>
              <w:bottom w:val="single" w:sz="4" w:space="0" w:color="auto"/>
              <w:right w:val="nil"/>
            </w:tcBorders>
            <w:shd w:val="clear" w:color="auto" w:fill="auto"/>
            <w:noWrap/>
            <w:vAlign w:val="bottom"/>
            <w:hideMark/>
          </w:tcPr>
          <w:p w14:paraId="3AB8C8B4" w14:textId="77777777" w:rsidR="00D659BA" w:rsidRPr="00F41CD0" w:rsidRDefault="00D659BA" w:rsidP="005341B9">
            <w:pPr>
              <w:spacing w:line="240" w:lineRule="auto"/>
              <w:jc w:val="left"/>
              <w:rPr>
                <w:rFonts w:eastAsia="Times New Roman"/>
                <w:color w:val="000000"/>
                <w:sz w:val="22"/>
                <w:szCs w:val="22"/>
                <w:lang w:eastAsia="pt-BR"/>
              </w:rPr>
            </w:pPr>
            <w:r w:rsidRPr="00F41CD0">
              <w:rPr>
                <w:rFonts w:eastAsia="Times New Roman"/>
                <w:color w:val="000000"/>
                <w:sz w:val="22"/>
                <w:szCs w:val="22"/>
                <w:lang w:eastAsia="pt-BR"/>
              </w:rPr>
              <w:t>G4</w:t>
            </w:r>
          </w:p>
        </w:tc>
        <w:tc>
          <w:tcPr>
            <w:tcW w:w="628" w:type="pct"/>
            <w:tcBorders>
              <w:top w:val="nil"/>
              <w:left w:val="nil"/>
              <w:bottom w:val="single" w:sz="4" w:space="0" w:color="auto"/>
              <w:right w:val="nil"/>
            </w:tcBorders>
            <w:shd w:val="clear" w:color="auto" w:fill="auto"/>
            <w:noWrap/>
            <w:vAlign w:val="center"/>
            <w:hideMark/>
          </w:tcPr>
          <w:p w14:paraId="5DF86B45"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10</w:t>
            </w:r>
          </w:p>
        </w:tc>
        <w:tc>
          <w:tcPr>
            <w:tcW w:w="553" w:type="pct"/>
            <w:tcBorders>
              <w:top w:val="nil"/>
              <w:left w:val="nil"/>
              <w:bottom w:val="single" w:sz="4" w:space="0" w:color="auto"/>
              <w:right w:val="nil"/>
            </w:tcBorders>
            <w:shd w:val="clear" w:color="auto" w:fill="auto"/>
            <w:noWrap/>
            <w:vAlign w:val="center"/>
            <w:hideMark/>
          </w:tcPr>
          <w:p w14:paraId="1E3813A7"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454,30</w:t>
            </w:r>
          </w:p>
        </w:tc>
        <w:tc>
          <w:tcPr>
            <w:tcW w:w="625" w:type="pct"/>
            <w:tcBorders>
              <w:top w:val="nil"/>
              <w:left w:val="nil"/>
              <w:bottom w:val="single" w:sz="4" w:space="0" w:color="auto"/>
              <w:right w:val="nil"/>
            </w:tcBorders>
            <w:shd w:val="clear" w:color="auto" w:fill="auto"/>
            <w:noWrap/>
            <w:vAlign w:val="center"/>
            <w:hideMark/>
          </w:tcPr>
          <w:p w14:paraId="6856C27C"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1191,66</w:t>
            </w:r>
          </w:p>
        </w:tc>
        <w:tc>
          <w:tcPr>
            <w:tcW w:w="472" w:type="pct"/>
            <w:tcBorders>
              <w:top w:val="nil"/>
              <w:left w:val="nil"/>
              <w:bottom w:val="single" w:sz="4" w:space="0" w:color="auto"/>
              <w:right w:val="nil"/>
            </w:tcBorders>
            <w:shd w:val="clear" w:color="auto" w:fill="auto"/>
            <w:noWrap/>
            <w:vAlign w:val="center"/>
            <w:hideMark/>
          </w:tcPr>
          <w:p w14:paraId="63700090"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13,12</w:t>
            </w:r>
          </w:p>
        </w:tc>
        <w:tc>
          <w:tcPr>
            <w:tcW w:w="426" w:type="pct"/>
            <w:tcBorders>
              <w:top w:val="nil"/>
              <w:left w:val="nil"/>
              <w:bottom w:val="single" w:sz="4" w:space="0" w:color="auto"/>
              <w:right w:val="nil"/>
            </w:tcBorders>
            <w:shd w:val="clear" w:color="auto" w:fill="auto"/>
            <w:noWrap/>
            <w:vAlign w:val="center"/>
            <w:hideMark/>
          </w:tcPr>
          <w:p w14:paraId="5AD27545"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26,94</w:t>
            </w:r>
          </w:p>
        </w:tc>
        <w:tc>
          <w:tcPr>
            <w:tcW w:w="471" w:type="pct"/>
            <w:tcBorders>
              <w:top w:val="nil"/>
              <w:left w:val="nil"/>
              <w:bottom w:val="single" w:sz="4" w:space="0" w:color="auto"/>
              <w:right w:val="nil"/>
            </w:tcBorders>
            <w:shd w:val="clear" w:color="auto" w:fill="auto"/>
            <w:noWrap/>
            <w:vAlign w:val="center"/>
          </w:tcPr>
          <w:p w14:paraId="56E9B38E"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13.45</w:t>
            </w:r>
          </w:p>
        </w:tc>
        <w:tc>
          <w:tcPr>
            <w:tcW w:w="426" w:type="pct"/>
            <w:tcBorders>
              <w:top w:val="nil"/>
              <w:left w:val="nil"/>
              <w:bottom w:val="single" w:sz="4" w:space="0" w:color="auto"/>
              <w:right w:val="nil"/>
            </w:tcBorders>
            <w:shd w:val="clear" w:color="auto" w:fill="auto"/>
            <w:noWrap/>
            <w:vAlign w:val="center"/>
          </w:tcPr>
          <w:p w14:paraId="5E9A201B"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30.85</w:t>
            </w:r>
          </w:p>
        </w:tc>
        <w:tc>
          <w:tcPr>
            <w:tcW w:w="999" w:type="pct"/>
            <w:tcBorders>
              <w:top w:val="nil"/>
              <w:left w:val="nil"/>
              <w:bottom w:val="single" w:sz="4" w:space="0" w:color="auto"/>
              <w:right w:val="nil"/>
            </w:tcBorders>
            <w:shd w:val="clear" w:color="auto" w:fill="auto"/>
            <w:noWrap/>
            <w:vAlign w:val="center"/>
            <w:hideMark/>
          </w:tcPr>
          <w:p w14:paraId="59CE9DA0" w14:textId="77777777" w:rsidR="00D659BA" w:rsidRPr="00F41CD0" w:rsidRDefault="00D659BA" w:rsidP="005341B9">
            <w:pPr>
              <w:spacing w:line="240" w:lineRule="auto"/>
              <w:jc w:val="center"/>
              <w:rPr>
                <w:rFonts w:eastAsia="Times New Roman"/>
                <w:color w:val="000000"/>
                <w:sz w:val="22"/>
                <w:szCs w:val="22"/>
                <w:lang w:eastAsia="pt-BR"/>
              </w:rPr>
            </w:pPr>
            <w:r w:rsidRPr="00F41CD0">
              <w:rPr>
                <w:rFonts w:eastAsia="Times New Roman"/>
                <w:color w:val="000000"/>
                <w:sz w:val="22"/>
                <w:szCs w:val="22"/>
                <w:lang w:eastAsia="pt-BR"/>
              </w:rPr>
              <w:t>20,00</w:t>
            </w:r>
          </w:p>
        </w:tc>
      </w:tr>
    </w:tbl>
    <w:p w14:paraId="1E856739" w14:textId="25A2A85E" w:rsidR="00D659BA" w:rsidRPr="006242DF" w:rsidRDefault="00D659BA" w:rsidP="00F41CD0">
      <w:pPr>
        <w:autoSpaceDE w:val="0"/>
        <w:autoSpaceDN w:val="0"/>
        <w:adjustRightInd w:val="0"/>
        <w:spacing w:line="240" w:lineRule="auto"/>
        <w:rPr>
          <w:sz w:val="20"/>
          <w:szCs w:val="20"/>
        </w:rPr>
      </w:pPr>
      <w:r w:rsidRPr="006242DF">
        <w:rPr>
          <w:sz w:val="20"/>
          <w:szCs w:val="20"/>
        </w:rPr>
        <w:t>Fonte: Elaboração Própria</w:t>
      </w:r>
      <w:r w:rsidR="0097142A">
        <w:rPr>
          <w:sz w:val="20"/>
          <w:szCs w:val="20"/>
        </w:rPr>
        <w:t xml:space="preserve"> a</w:t>
      </w:r>
      <w:r w:rsidRPr="006242DF">
        <w:rPr>
          <w:sz w:val="20"/>
          <w:szCs w:val="20"/>
        </w:rPr>
        <w:t xml:space="preserve"> partir do BR </w:t>
      </w:r>
      <w:r w:rsidR="001628DE" w:rsidRPr="006242DF">
        <w:rPr>
          <w:i/>
          <w:sz w:val="20"/>
          <w:szCs w:val="20"/>
        </w:rPr>
        <w:t>Survey</w:t>
      </w:r>
    </w:p>
    <w:p w14:paraId="7ED5C8B9" w14:textId="154512FC" w:rsidR="00D659BA" w:rsidRPr="00F41CD0" w:rsidRDefault="00D363F7" w:rsidP="00F41CD0">
      <w:pPr>
        <w:autoSpaceDE w:val="0"/>
        <w:autoSpaceDN w:val="0"/>
        <w:adjustRightInd w:val="0"/>
        <w:spacing w:line="240" w:lineRule="auto"/>
        <w:rPr>
          <w:sz w:val="20"/>
          <w:szCs w:val="20"/>
        </w:rPr>
      </w:pPr>
      <w:r w:rsidRPr="00F41CD0">
        <w:rPr>
          <w:sz w:val="20"/>
          <w:szCs w:val="20"/>
        </w:rPr>
        <w:t xml:space="preserve">Legenda: G1,G2, G3 e G4 referem-se aos grupos 1, 2, 3 e </w:t>
      </w:r>
      <w:r w:rsidR="00D659BA" w:rsidRPr="00F41CD0">
        <w:rPr>
          <w:sz w:val="20"/>
          <w:szCs w:val="20"/>
        </w:rPr>
        <w:t xml:space="preserve">4 respectivamente; DP remete aos desvios-padrões. </w:t>
      </w:r>
    </w:p>
    <w:p w14:paraId="6A826B4C" w14:textId="77777777" w:rsidR="00D659BA" w:rsidRPr="005341B9" w:rsidRDefault="00D659BA" w:rsidP="005341B9">
      <w:pPr>
        <w:pStyle w:val="PargrafodaLista"/>
        <w:autoSpaceDE w:val="0"/>
        <w:autoSpaceDN w:val="0"/>
        <w:adjustRightInd w:val="0"/>
        <w:spacing w:line="240" w:lineRule="auto"/>
        <w:ind w:left="0"/>
      </w:pPr>
    </w:p>
    <w:p w14:paraId="285B39D2" w14:textId="77777777" w:rsidR="00EE1B5D" w:rsidRPr="005341B9" w:rsidRDefault="00EE1B5D" w:rsidP="005341B9">
      <w:pPr>
        <w:pStyle w:val="PargrafodaLista"/>
        <w:autoSpaceDE w:val="0"/>
        <w:autoSpaceDN w:val="0"/>
        <w:adjustRightInd w:val="0"/>
        <w:spacing w:line="240" w:lineRule="auto"/>
        <w:ind w:left="0"/>
      </w:pPr>
      <w:r w:rsidRPr="005341B9">
        <w:tab/>
        <w:t xml:space="preserve">Quanto à porcentagem dos gastos em P&amp;D em relação à receita, vale destacar inicialmente que para os grupos 1, 2 e 3 essa porcentagem variou de 0 a 100%, enquanto para o grupo 4, o valor mínimo também foi 0% mas o valor máximo foi de 85%. Para interpretarmos essa variável é interessante aliá-la à porcentagem de empresas que possuem departamento interno de P&amp;D e mão-de-obra alocada em P&amp;D. </w:t>
      </w:r>
    </w:p>
    <w:p w14:paraId="4EC606C1" w14:textId="77777777" w:rsidR="00EE1B5D" w:rsidRPr="005341B9" w:rsidRDefault="00EE1B5D" w:rsidP="005341B9">
      <w:pPr>
        <w:pStyle w:val="PargrafodaLista"/>
        <w:autoSpaceDE w:val="0"/>
        <w:autoSpaceDN w:val="0"/>
        <w:adjustRightInd w:val="0"/>
        <w:spacing w:line="240" w:lineRule="auto"/>
        <w:ind w:left="0"/>
      </w:pPr>
      <w:r w:rsidRPr="005341B9">
        <w:tab/>
        <w:t>O G</w:t>
      </w:r>
      <w:r w:rsidRPr="005341B9">
        <w:rPr>
          <w:i/>
        </w:rPr>
        <w:t xml:space="preserve">rupo 1 </w:t>
      </w:r>
      <w:r w:rsidRPr="005341B9">
        <w:t xml:space="preserve">foi o que apresentou </w:t>
      </w:r>
      <w:r w:rsidR="00D177FA" w:rsidRPr="005341B9">
        <w:t>os maiores valores para a média dos</w:t>
      </w:r>
      <w:r w:rsidRPr="005341B9">
        <w:t xml:space="preserve"> gastos em P&amp;D</w:t>
      </w:r>
      <w:r w:rsidR="00D177FA" w:rsidRPr="005341B9">
        <w:t xml:space="preserve">, </w:t>
      </w:r>
      <w:r w:rsidRPr="005341B9">
        <w:t>número de empresas com um departamento interno de P&amp;D</w:t>
      </w:r>
      <w:r w:rsidR="00D177FA" w:rsidRPr="005341B9">
        <w:t xml:space="preserve"> e também </w:t>
      </w:r>
      <w:r w:rsidRPr="005341B9">
        <w:t xml:space="preserve">de empregados em P&amp;D. Isto é explicado pela presença mais elevada de empresas do setor de P&amp;D científico. </w:t>
      </w:r>
    </w:p>
    <w:p w14:paraId="1DFDEF4F" w14:textId="77777777" w:rsidR="00EE1B5D" w:rsidRPr="005341B9" w:rsidRDefault="00EE1B5D" w:rsidP="005341B9">
      <w:pPr>
        <w:pStyle w:val="PargrafodaLista"/>
        <w:autoSpaceDE w:val="0"/>
        <w:autoSpaceDN w:val="0"/>
        <w:adjustRightInd w:val="0"/>
        <w:spacing w:line="240" w:lineRule="auto"/>
        <w:ind w:left="0"/>
      </w:pPr>
      <w:r w:rsidRPr="005341B9">
        <w:tab/>
        <w:t xml:space="preserve">Já o </w:t>
      </w:r>
      <w:r w:rsidRPr="005341B9">
        <w:rPr>
          <w:i/>
        </w:rPr>
        <w:t>Grupo 4</w:t>
      </w:r>
      <w:r w:rsidRPr="005341B9">
        <w:t xml:space="preserve"> </w:t>
      </w:r>
      <w:r w:rsidR="00D177FA" w:rsidRPr="005341B9">
        <w:t xml:space="preserve">tem a </w:t>
      </w:r>
      <w:r w:rsidRPr="005341B9">
        <w:t xml:space="preserve">menor porcentagem média dos gastos em P&amp;D, o menor número de empresas com departamento interno de P&amp;D e o menor número de empregados em P&amp;D. É importante recordar que esse grupo foi </w:t>
      </w:r>
      <w:r w:rsidR="00CF392C" w:rsidRPr="005341B9">
        <w:t xml:space="preserve">também </w:t>
      </w:r>
      <w:r w:rsidRPr="005341B9">
        <w:t>o que apresentou a menor motivação para</w:t>
      </w:r>
      <w:r w:rsidR="00D177FA" w:rsidRPr="005341B9">
        <w:t xml:space="preserve"> interagir.</w:t>
      </w:r>
    </w:p>
    <w:p w14:paraId="31D27155" w14:textId="77777777" w:rsidR="00EE1B5D" w:rsidRPr="005341B9" w:rsidRDefault="00EE1B5D" w:rsidP="005341B9">
      <w:pPr>
        <w:pStyle w:val="PargrafodaLista"/>
        <w:autoSpaceDE w:val="0"/>
        <w:autoSpaceDN w:val="0"/>
        <w:adjustRightInd w:val="0"/>
        <w:spacing w:line="240" w:lineRule="auto"/>
        <w:ind w:left="0"/>
      </w:pPr>
      <w:r w:rsidRPr="005341B9">
        <w:tab/>
        <w:t xml:space="preserve">Os </w:t>
      </w:r>
      <w:r w:rsidRPr="005341B9">
        <w:rPr>
          <w:i/>
        </w:rPr>
        <w:t>grupos 2 e 3</w:t>
      </w:r>
      <w:r w:rsidRPr="005341B9">
        <w:t xml:space="preserve"> apresentaram comportamento interessante. Esses realizaram esforços em P&amp;D próximos (19,48% e 19,07% da receita respectivamente), porém o </w:t>
      </w:r>
      <w:r w:rsidRPr="005341B9">
        <w:rPr>
          <w:i/>
        </w:rPr>
        <w:t xml:space="preserve">Grupo 3 </w:t>
      </w:r>
      <w:r w:rsidRPr="005341B9">
        <w:t>apresentou uma porcentagem maior de empresas que possuem departamento interno de P&amp;D</w:t>
      </w:r>
      <w:r w:rsidR="00BA6CA9" w:rsidRPr="005341B9">
        <w:t xml:space="preserve"> em </w:t>
      </w:r>
      <w:r w:rsidRPr="005341B9">
        <w:t xml:space="preserve">comparação com o </w:t>
      </w:r>
      <w:r w:rsidRPr="005341B9">
        <w:rPr>
          <w:i/>
        </w:rPr>
        <w:t>Grupo 2.</w:t>
      </w:r>
      <w:r w:rsidR="00BA6CA9" w:rsidRPr="005341B9">
        <w:t xml:space="preserve"> </w:t>
      </w:r>
      <w:r w:rsidR="00905264" w:rsidRPr="005341B9">
        <w:t>Todavia</w:t>
      </w:r>
      <w:r w:rsidR="00BA6CA9" w:rsidRPr="005341B9">
        <w:t xml:space="preserve"> o grupo 2 apresentou, em média, parcela de empregados em P&amp;D superior ao grupo 3.</w:t>
      </w:r>
      <w:r w:rsidRPr="005341B9">
        <w:rPr>
          <w:i/>
        </w:rPr>
        <w:t xml:space="preserve"> </w:t>
      </w:r>
      <w:r w:rsidRPr="005341B9">
        <w:t>Cabe recordar</w:t>
      </w:r>
      <w:r w:rsidRPr="005341B9">
        <w:rPr>
          <w:i/>
        </w:rPr>
        <w:t xml:space="preserve"> </w:t>
      </w:r>
      <w:r w:rsidRPr="005341B9">
        <w:t xml:space="preserve">que o </w:t>
      </w:r>
      <w:r w:rsidRPr="005341B9">
        <w:rPr>
          <w:i/>
        </w:rPr>
        <w:t xml:space="preserve">Grupo 3 </w:t>
      </w:r>
      <w:r w:rsidRPr="005341B9">
        <w:t xml:space="preserve">apresentou a maior diversidade de motivos para interagir, enquanto o </w:t>
      </w:r>
      <w:r w:rsidRPr="005341B9">
        <w:rPr>
          <w:i/>
        </w:rPr>
        <w:t xml:space="preserve">Grupo 2 </w:t>
      </w:r>
      <w:r w:rsidRPr="005341B9">
        <w:t>teve como principal motivo para interagir a transferência tecnológica e a busca por conselhos técnicos</w:t>
      </w:r>
      <w:r w:rsidR="007C51DE" w:rsidRPr="005341B9">
        <w:t>.</w:t>
      </w:r>
      <w:r w:rsidRPr="005341B9">
        <w:t xml:space="preserve"> </w:t>
      </w:r>
    </w:p>
    <w:p w14:paraId="7152963A" w14:textId="0062F25B" w:rsidR="00EE1B5D" w:rsidRDefault="00EE1B5D" w:rsidP="005341B9">
      <w:pPr>
        <w:tabs>
          <w:tab w:val="left" w:pos="0"/>
        </w:tabs>
        <w:spacing w:line="240" w:lineRule="auto"/>
      </w:pPr>
      <w:r w:rsidRPr="005341B9">
        <w:tab/>
        <w:t xml:space="preserve">A figura </w:t>
      </w:r>
      <w:r w:rsidR="004524C4">
        <w:t>3</w:t>
      </w:r>
      <w:r w:rsidR="00CE2F19" w:rsidRPr="005341B9">
        <w:t xml:space="preserve"> </w:t>
      </w:r>
      <w:r w:rsidRPr="005341B9">
        <w:t>apresenta o tipo de inovação em produto realizada pelas empresas inovadoras. Observa-se que o comportamento entre os grupos é relativamente similar, onde a maior parcela de empresas para cada grupo realizou o aperfeiçoamento de um produto já existente, não sendo, portanto, uma in</w:t>
      </w:r>
      <w:r w:rsidR="008F4112">
        <w:t>ovação complexa ou sofisticada.</w:t>
      </w:r>
    </w:p>
    <w:p w14:paraId="14DA3B99" w14:textId="796FE283" w:rsidR="00EE1B5D" w:rsidRDefault="00EE1B5D" w:rsidP="003A6E33">
      <w:pPr>
        <w:tabs>
          <w:tab w:val="left" w:pos="0"/>
        </w:tabs>
        <w:spacing w:line="240" w:lineRule="auto"/>
        <w:jc w:val="center"/>
        <w:rPr>
          <w:b/>
        </w:rPr>
      </w:pPr>
      <w:r w:rsidRPr="005341B9">
        <w:rPr>
          <w:b/>
        </w:rPr>
        <w:t xml:space="preserve">Figura </w:t>
      </w:r>
      <w:r w:rsidR="004524C4">
        <w:rPr>
          <w:b/>
        </w:rPr>
        <w:t>3</w:t>
      </w:r>
      <w:r w:rsidRPr="005341B9">
        <w:rPr>
          <w:b/>
        </w:rPr>
        <w:t xml:space="preserve"> – Porcentagem de empresas que inovaram em produto, Empresas de Serviços, 2009.</w:t>
      </w:r>
    </w:p>
    <w:p w14:paraId="395ED141" w14:textId="77777777" w:rsidR="0083079D" w:rsidRPr="005341B9" w:rsidRDefault="0083079D" w:rsidP="0083079D">
      <w:pPr>
        <w:autoSpaceDE w:val="0"/>
        <w:autoSpaceDN w:val="0"/>
        <w:adjustRightInd w:val="0"/>
        <w:spacing w:line="240" w:lineRule="auto"/>
        <w:jc w:val="center"/>
        <w:rPr>
          <w:b/>
        </w:rPr>
      </w:pPr>
    </w:p>
    <w:p w14:paraId="3C362EFE" w14:textId="77777777" w:rsidR="0083079D" w:rsidRDefault="00EE1B5D" w:rsidP="0083079D">
      <w:pPr>
        <w:autoSpaceDE w:val="0"/>
        <w:autoSpaceDN w:val="0"/>
        <w:adjustRightInd w:val="0"/>
        <w:spacing w:line="240" w:lineRule="auto"/>
        <w:jc w:val="center"/>
        <w:rPr>
          <w:sz w:val="20"/>
          <w:szCs w:val="20"/>
        </w:rPr>
      </w:pPr>
      <w:r w:rsidRPr="005341B9">
        <w:rPr>
          <w:noProof/>
          <w:lang w:eastAsia="pt-BR"/>
        </w:rPr>
        <w:drawing>
          <wp:inline distT="0" distB="0" distL="0" distR="0" wp14:anchorId="066B7A70" wp14:editId="5653C0FD">
            <wp:extent cx="4429125" cy="2867025"/>
            <wp:effectExtent l="0" t="0" r="9525" b="9525"/>
            <wp:docPr id="7"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045327" w14:textId="05B5AB95" w:rsidR="00EE1B5D" w:rsidRPr="00F41CD0" w:rsidRDefault="00EE1B5D" w:rsidP="0083079D">
      <w:pPr>
        <w:autoSpaceDE w:val="0"/>
        <w:autoSpaceDN w:val="0"/>
        <w:adjustRightInd w:val="0"/>
        <w:spacing w:line="240" w:lineRule="auto"/>
      </w:pPr>
      <w:r w:rsidRPr="00C209F0">
        <w:rPr>
          <w:sz w:val="20"/>
          <w:szCs w:val="20"/>
        </w:rPr>
        <w:t>Fonte: Elaboração Própria</w:t>
      </w:r>
      <w:r w:rsidR="002C6715" w:rsidRPr="00C209F0">
        <w:rPr>
          <w:sz w:val="20"/>
          <w:szCs w:val="20"/>
        </w:rPr>
        <w:t xml:space="preserve">, a </w:t>
      </w:r>
      <w:r w:rsidRPr="00C209F0">
        <w:rPr>
          <w:sz w:val="20"/>
          <w:szCs w:val="20"/>
        </w:rPr>
        <w:t xml:space="preserve">partir do BR </w:t>
      </w:r>
      <w:r w:rsidRPr="00C209F0">
        <w:rPr>
          <w:i/>
          <w:sz w:val="20"/>
          <w:szCs w:val="20"/>
        </w:rPr>
        <w:t>Survey</w:t>
      </w:r>
      <w:r w:rsidR="00C209F0">
        <w:rPr>
          <w:i/>
          <w:sz w:val="20"/>
          <w:szCs w:val="20"/>
        </w:rPr>
        <w:t xml:space="preserve"> (2009)</w:t>
      </w:r>
      <w:r w:rsidRPr="00C209F0">
        <w:rPr>
          <w:sz w:val="20"/>
          <w:szCs w:val="20"/>
        </w:rPr>
        <w:t>.</w:t>
      </w:r>
    </w:p>
    <w:p w14:paraId="74F6E7D7" w14:textId="77777777" w:rsidR="00EE1B5D" w:rsidRPr="005341B9" w:rsidRDefault="00EE1B5D" w:rsidP="005341B9">
      <w:pPr>
        <w:tabs>
          <w:tab w:val="left" w:pos="0"/>
        </w:tabs>
        <w:spacing w:line="240" w:lineRule="auto"/>
      </w:pPr>
      <w:r w:rsidRPr="005341B9">
        <w:lastRenderedPageBreak/>
        <w:tab/>
      </w:r>
    </w:p>
    <w:p w14:paraId="0C393E2B" w14:textId="77777777" w:rsidR="0097142A" w:rsidRDefault="00C2323A" w:rsidP="0097142A">
      <w:pPr>
        <w:tabs>
          <w:tab w:val="left" w:pos="0"/>
        </w:tabs>
        <w:spacing w:line="240" w:lineRule="auto"/>
      </w:pPr>
      <w:r>
        <w:tab/>
      </w:r>
      <w:r w:rsidR="0097142A" w:rsidRPr="005341B9">
        <w:t>O grupo 4 foi o que apresentou a maior parcela de empresas que não inovaram em produto e também a menor parcela de empresas que inovaram para o mundo, focando nas inovações para a empresa e no aperfeiçoamento de produtos já existentes.</w:t>
      </w:r>
    </w:p>
    <w:p w14:paraId="0B12BD3C" w14:textId="77777777" w:rsidR="0097142A" w:rsidRPr="005341B9" w:rsidRDefault="0097142A" w:rsidP="0097142A">
      <w:pPr>
        <w:tabs>
          <w:tab w:val="left" w:pos="0"/>
        </w:tabs>
        <w:spacing w:line="240" w:lineRule="auto"/>
      </w:pPr>
      <w:r>
        <w:tab/>
      </w:r>
      <w:r w:rsidRPr="005341B9">
        <w:t xml:space="preserve">Oposto a este grupo, o </w:t>
      </w:r>
      <w:r w:rsidRPr="005341B9">
        <w:rPr>
          <w:i/>
        </w:rPr>
        <w:t>Grupo 3</w:t>
      </w:r>
      <w:r w:rsidRPr="005341B9">
        <w:t xml:space="preserve"> foi o que apresentou a maior parcela de empresas que geraram um novo produto para o mundo (55,6% das empresas desse grupo, o que representa 5 empresas). Vale lembrar que esse grupo foi o que apresentou a maior diversidade de motivos, tendo como principal a transferência de tecnologia.</w:t>
      </w:r>
    </w:p>
    <w:p w14:paraId="68F25074" w14:textId="77777777" w:rsidR="0097142A" w:rsidRDefault="0097142A" w:rsidP="0097142A">
      <w:pPr>
        <w:tabs>
          <w:tab w:val="left" w:pos="0"/>
        </w:tabs>
        <w:spacing w:line="240" w:lineRule="auto"/>
      </w:pPr>
      <w:r w:rsidRPr="005341B9">
        <w:tab/>
        <w:t xml:space="preserve">Por sua vez, o </w:t>
      </w:r>
      <w:r w:rsidRPr="005341B9">
        <w:rPr>
          <w:i/>
        </w:rPr>
        <w:t xml:space="preserve">Grupo 2 </w:t>
      </w:r>
      <w:r w:rsidRPr="005341B9">
        <w:t>apresentou baixa inovação para o mundo, mas a maior parcela de empresas que implementaram um produto novo nacionalmente e realizaram aperfeiçoamento de um produto já existente. É importante lembrar que esse grupo buscou interagir visando resultados de curto prazo, como conselhos tecnológicos. Já o grupo 1 teve como foco o aperfeiçoamento de produtos já existentes, mas apresentou a segunda maior parcela de empresas que implementaram produtos novos para o mundo (15,38%).</w:t>
      </w:r>
    </w:p>
    <w:p w14:paraId="5D685659" w14:textId="2499A64E" w:rsidR="00F94FF9" w:rsidRDefault="0097142A" w:rsidP="003A6E33">
      <w:pPr>
        <w:tabs>
          <w:tab w:val="left" w:pos="0"/>
        </w:tabs>
        <w:spacing w:line="240" w:lineRule="auto"/>
        <w:rPr>
          <w:b/>
        </w:rPr>
      </w:pPr>
      <w:r>
        <w:tab/>
      </w:r>
      <w:r w:rsidR="00EE1B5D" w:rsidRPr="005341B9">
        <w:t>Quanto à inovação de processo</w:t>
      </w:r>
      <w:r w:rsidR="004524C4">
        <w:t>,</w:t>
      </w:r>
      <w:r w:rsidR="00905264" w:rsidRPr="005341B9">
        <w:t xml:space="preserve"> </w:t>
      </w:r>
      <w:r w:rsidR="003A6E33">
        <w:t>tem-se a figura 4 a seguir. Nota-se que</w:t>
      </w:r>
      <w:r w:rsidR="00EE1B5D" w:rsidRPr="005341B9">
        <w:t xml:space="preserve"> aperfeiçoamento novamente ganha i</w:t>
      </w:r>
      <w:r w:rsidR="003A6E33">
        <w:t xml:space="preserve">mportância para todos os grupos </w:t>
      </w:r>
      <w:r w:rsidR="004524C4">
        <w:t xml:space="preserve">mas há contudo, algumas diferenças. </w:t>
      </w:r>
    </w:p>
    <w:p w14:paraId="6DB41367" w14:textId="55CB6B06" w:rsidR="00EE1B5D" w:rsidRPr="005341B9" w:rsidRDefault="00EE1B5D" w:rsidP="005341B9">
      <w:pPr>
        <w:autoSpaceDE w:val="0"/>
        <w:autoSpaceDN w:val="0"/>
        <w:adjustRightInd w:val="0"/>
        <w:spacing w:line="240" w:lineRule="auto"/>
        <w:jc w:val="center"/>
        <w:rPr>
          <w:b/>
        </w:rPr>
      </w:pPr>
      <w:r w:rsidRPr="005341B9">
        <w:rPr>
          <w:b/>
        </w:rPr>
        <w:t xml:space="preserve">Figura </w:t>
      </w:r>
      <w:r w:rsidR="004524C4">
        <w:rPr>
          <w:b/>
        </w:rPr>
        <w:t>4</w:t>
      </w:r>
      <w:r w:rsidRPr="005341B9">
        <w:rPr>
          <w:b/>
        </w:rPr>
        <w:t xml:space="preserve"> – Porcentagem de empresas que inovaram em processo</w:t>
      </w:r>
    </w:p>
    <w:p w14:paraId="305957E5" w14:textId="77777777" w:rsidR="00EE1B5D" w:rsidRPr="005341B9" w:rsidRDefault="00EE1B5D" w:rsidP="004524C4">
      <w:pPr>
        <w:tabs>
          <w:tab w:val="left" w:pos="0"/>
        </w:tabs>
        <w:spacing w:line="240" w:lineRule="auto"/>
        <w:jc w:val="center"/>
      </w:pPr>
      <w:r w:rsidRPr="005341B9">
        <w:rPr>
          <w:noProof/>
          <w:lang w:eastAsia="pt-BR"/>
        </w:rPr>
        <w:drawing>
          <wp:inline distT="0" distB="0" distL="0" distR="0" wp14:anchorId="5B7F7DF9" wp14:editId="7C747638">
            <wp:extent cx="4933950" cy="3441700"/>
            <wp:effectExtent l="0" t="0" r="0" b="6350"/>
            <wp:docPr id="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8DC13C" w14:textId="77777777" w:rsidR="00EE1B5D" w:rsidRPr="0010232E" w:rsidRDefault="00EE1B5D" w:rsidP="0083079D">
      <w:pPr>
        <w:tabs>
          <w:tab w:val="left" w:pos="2949"/>
        </w:tabs>
        <w:spacing w:line="240" w:lineRule="auto"/>
        <w:rPr>
          <w:sz w:val="20"/>
          <w:szCs w:val="20"/>
        </w:rPr>
      </w:pPr>
      <w:r w:rsidRPr="0010232E">
        <w:rPr>
          <w:sz w:val="20"/>
          <w:szCs w:val="20"/>
        </w:rPr>
        <w:t>Fonte: Elaboração Própria</w:t>
      </w:r>
      <w:r w:rsidR="002C6715" w:rsidRPr="0010232E">
        <w:rPr>
          <w:sz w:val="20"/>
          <w:szCs w:val="20"/>
        </w:rPr>
        <w:t>, a</w:t>
      </w:r>
      <w:r w:rsidRPr="0010232E">
        <w:rPr>
          <w:sz w:val="20"/>
          <w:szCs w:val="20"/>
        </w:rPr>
        <w:t xml:space="preserve"> partir do BR </w:t>
      </w:r>
      <w:r w:rsidRPr="0010232E">
        <w:rPr>
          <w:i/>
          <w:sz w:val="20"/>
          <w:szCs w:val="20"/>
        </w:rPr>
        <w:t>Survey</w:t>
      </w:r>
      <w:r w:rsidRPr="0010232E">
        <w:rPr>
          <w:sz w:val="20"/>
          <w:szCs w:val="20"/>
        </w:rPr>
        <w:t>.</w:t>
      </w:r>
    </w:p>
    <w:p w14:paraId="4F3AFADB" w14:textId="77777777" w:rsidR="004D4530" w:rsidRDefault="00EE1B5D" w:rsidP="005341B9">
      <w:pPr>
        <w:tabs>
          <w:tab w:val="left" w:pos="0"/>
        </w:tabs>
        <w:spacing w:line="240" w:lineRule="auto"/>
      </w:pPr>
      <w:r w:rsidRPr="005341B9">
        <w:tab/>
      </w:r>
    </w:p>
    <w:p w14:paraId="198657BE" w14:textId="3AED01A9" w:rsidR="003A6E33" w:rsidRDefault="003A6E33" w:rsidP="003A6E33">
      <w:pPr>
        <w:tabs>
          <w:tab w:val="left" w:pos="0"/>
        </w:tabs>
        <w:spacing w:line="240" w:lineRule="auto"/>
      </w:pPr>
      <w:r>
        <w:tab/>
      </w:r>
      <w:r w:rsidRPr="005341B9">
        <w:t xml:space="preserve">O </w:t>
      </w:r>
      <w:r w:rsidRPr="005341B9">
        <w:rPr>
          <w:i/>
        </w:rPr>
        <w:t xml:space="preserve">Grupo 1 </w:t>
      </w:r>
      <w:r w:rsidRPr="005341B9">
        <w:t xml:space="preserve">foi o que apresentou a maior parcela de empresas que inovaram em processo para o país, mas com valores próximos aos apresentados pelo </w:t>
      </w:r>
      <w:r w:rsidRPr="005341B9">
        <w:rPr>
          <w:i/>
        </w:rPr>
        <w:t>Grupo 2.</w:t>
      </w:r>
      <w:r w:rsidRPr="005341B9">
        <w:t xml:space="preserve"> Esse grupo</w:t>
      </w:r>
      <w:r w:rsidRPr="005341B9">
        <w:rPr>
          <w:i/>
        </w:rPr>
        <w:t xml:space="preserve"> </w:t>
      </w:r>
      <w:r w:rsidRPr="005341B9">
        <w:t xml:space="preserve">foi o que apresentou a menor parcela de empresas que não realizaram inovação em processo. O </w:t>
      </w:r>
      <w:r w:rsidRPr="005341B9">
        <w:rPr>
          <w:i/>
        </w:rPr>
        <w:t>Grupo 3</w:t>
      </w:r>
      <w:r w:rsidRPr="005341B9">
        <w:t xml:space="preserve"> apresentou a maior parcela de empresas que inovaram em processo para o mundo, mas também a maior parcela de empresas que não inovaram em processo. </w:t>
      </w:r>
    </w:p>
    <w:p w14:paraId="358DBC87" w14:textId="51E0DF8D" w:rsidR="003A6E33" w:rsidRPr="005341B9" w:rsidRDefault="003A6E33" w:rsidP="003A6E33">
      <w:pPr>
        <w:tabs>
          <w:tab w:val="left" w:pos="0"/>
        </w:tabs>
        <w:spacing w:line="240" w:lineRule="auto"/>
      </w:pPr>
      <w:r>
        <w:tab/>
      </w:r>
      <w:r w:rsidRPr="005341B9">
        <w:t xml:space="preserve">Já o </w:t>
      </w:r>
      <w:r w:rsidRPr="005341B9">
        <w:rPr>
          <w:i/>
        </w:rPr>
        <w:t>Grupo 4</w:t>
      </w:r>
      <w:r w:rsidRPr="005341B9">
        <w:t xml:space="preserve"> foi o que apresentou a maior parcela de empresas que inovaram em processo para a empresa e que realizaram aperfeiçoamento em processos já existentes. Se entendermos que a inovação em processo pode ser via principalmente “chão de fábrica” ou através da compra de máquinas e equipamentos – principalmente o aperfeiçoamento e a inovação para a empresa – e aliarmos a isso a baixa motivação para interagir, menores esforços em P&amp;D e maior parcela de empresas que não inovaram em produto, há indícios de que esse grupo seja o que apresente a menor intensidade tecnológica.</w:t>
      </w:r>
    </w:p>
    <w:p w14:paraId="71D594F9" w14:textId="19396827" w:rsidR="00AE6735" w:rsidRDefault="00AE6735" w:rsidP="00F94FF9">
      <w:pPr>
        <w:tabs>
          <w:tab w:val="left" w:pos="0"/>
        </w:tabs>
        <w:spacing w:line="240" w:lineRule="auto"/>
      </w:pPr>
      <w:r>
        <w:tab/>
      </w:r>
      <w:r w:rsidRPr="005341B9">
        <w:t>Para melhor visualizar essa questão sobre a intensidade tecnológica dos</w:t>
      </w:r>
      <w:r>
        <w:t xml:space="preserve"> grupos, apresenta-se a tabela 5</w:t>
      </w:r>
      <w:r w:rsidRPr="005341B9">
        <w:t xml:space="preserve">. Nesta, é apresentada a taxa de inovação em produto e em processo em cada grupo. Essa taxa é </w:t>
      </w:r>
      <w:r w:rsidRPr="005341B9">
        <w:lastRenderedPageBreak/>
        <w:t>mensurada pelo número de empresas que implementaram novos produtos/processos para a própria empresa, para o país ou para o mundo em relação ao total de empresas do grupo.</w:t>
      </w:r>
    </w:p>
    <w:p w14:paraId="6D70BE17" w14:textId="77777777" w:rsidR="00AE6735" w:rsidRDefault="00AE6735" w:rsidP="00F94FF9">
      <w:pPr>
        <w:tabs>
          <w:tab w:val="left" w:pos="0"/>
        </w:tabs>
        <w:spacing w:line="240" w:lineRule="auto"/>
        <w:rPr>
          <w:b/>
        </w:rPr>
      </w:pPr>
    </w:p>
    <w:p w14:paraId="26172F66" w14:textId="34C29BDA" w:rsidR="00EE1B5D" w:rsidRPr="005341B9" w:rsidRDefault="0056719B" w:rsidP="004524C4">
      <w:pPr>
        <w:tabs>
          <w:tab w:val="left" w:pos="0"/>
        </w:tabs>
        <w:spacing w:line="240" w:lineRule="auto"/>
        <w:jc w:val="center"/>
        <w:rPr>
          <w:b/>
        </w:rPr>
      </w:pPr>
      <w:r>
        <w:rPr>
          <w:b/>
        </w:rPr>
        <w:t>Tabela 5</w:t>
      </w:r>
      <w:r w:rsidR="00EE1B5D" w:rsidRPr="005341B9">
        <w:rPr>
          <w:b/>
        </w:rPr>
        <w:t>: Taxa de Inovação em Produto e em Processo</w:t>
      </w:r>
    </w:p>
    <w:tbl>
      <w:tblPr>
        <w:tblW w:w="4960" w:type="pct"/>
        <w:jc w:val="center"/>
        <w:tblCellMar>
          <w:left w:w="70" w:type="dxa"/>
          <w:right w:w="70" w:type="dxa"/>
        </w:tblCellMar>
        <w:tblLook w:val="04A0" w:firstRow="1" w:lastRow="0" w:firstColumn="1" w:lastColumn="0" w:noHBand="0" w:noVBand="1"/>
      </w:tblPr>
      <w:tblGrid>
        <w:gridCol w:w="1516"/>
        <w:gridCol w:w="2395"/>
        <w:gridCol w:w="1519"/>
        <w:gridCol w:w="2288"/>
        <w:gridCol w:w="2543"/>
      </w:tblGrid>
      <w:tr w:rsidR="00EE1B5D" w:rsidRPr="0083079D" w14:paraId="46710200" w14:textId="77777777" w:rsidTr="003A6E33">
        <w:trPr>
          <w:trHeight w:val="283"/>
          <w:jc w:val="center"/>
        </w:trPr>
        <w:tc>
          <w:tcPr>
            <w:tcW w:w="739" w:type="pct"/>
            <w:tcBorders>
              <w:top w:val="single" w:sz="4" w:space="0" w:color="auto"/>
              <w:left w:val="nil"/>
              <w:bottom w:val="nil"/>
              <w:right w:val="nil"/>
            </w:tcBorders>
            <w:shd w:val="clear" w:color="auto" w:fill="auto"/>
            <w:noWrap/>
            <w:vAlign w:val="center"/>
            <w:hideMark/>
          </w:tcPr>
          <w:p w14:paraId="628210CD" w14:textId="77777777" w:rsidR="00EE1B5D" w:rsidRPr="0083079D" w:rsidRDefault="00EE1B5D" w:rsidP="005341B9">
            <w:pPr>
              <w:spacing w:line="240" w:lineRule="auto"/>
              <w:jc w:val="center"/>
              <w:rPr>
                <w:rFonts w:eastAsia="Times New Roman"/>
                <w:color w:val="000000"/>
                <w:sz w:val="22"/>
                <w:szCs w:val="22"/>
                <w:lang w:eastAsia="pt-BR"/>
              </w:rPr>
            </w:pPr>
          </w:p>
        </w:tc>
        <w:tc>
          <w:tcPr>
            <w:tcW w:w="1167" w:type="pct"/>
            <w:vMerge w:val="restart"/>
            <w:tcBorders>
              <w:top w:val="single" w:sz="4" w:space="0" w:color="auto"/>
              <w:left w:val="nil"/>
              <w:bottom w:val="nil"/>
              <w:right w:val="nil"/>
            </w:tcBorders>
            <w:shd w:val="clear" w:color="auto" w:fill="auto"/>
            <w:vAlign w:val="center"/>
            <w:hideMark/>
          </w:tcPr>
          <w:p w14:paraId="32CB83E1"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Nº de empresas</w:t>
            </w:r>
          </w:p>
        </w:tc>
        <w:tc>
          <w:tcPr>
            <w:tcW w:w="1855" w:type="pct"/>
            <w:gridSpan w:val="2"/>
            <w:tcBorders>
              <w:top w:val="single" w:sz="4" w:space="0" w:color="auto"/>
              <w:left w:val="nil"/>
              <w:bottom w:val="nil"/>
              <w:right w:val="nil"/>
            </w:tcBorders>
            <w:shd w:val="clear" w:color="auto" w:fill="auto"/>
            <w:noWrap/>
            <w:vAlign w:val="center"/>
            <w:hideMark/>
          </w:tcPr>
          <w:p w14:paraId="448F2ECC"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Taxa de inovação em:</w:t>
            </w:r>
          </w:p>
        </w:tc>
        <w:tc>
          <w:tcPr>
            <w:tcW w:w="1240" w:type="pct"/>
            <w:tcBorders>
              <w:top w:val="single" w:sz="4" w:space="0" w:color="auto"/>
              <w:left w:val="nil"/>
              <w:bottom w:val="nil"/>
              <w:right w:val="nil"/>
            </w:tcBorders>
          </w:tcPr>
          <w:p w14:paraId="44031CB4"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Desempenho Inovativo</w:t>
            </w:r>
          </w:p>
        </w:tc>
      </w:tr>
      <w:tr w:rsidR="00EE1B5D" w:rsidRPr="0083079D" w14:paraId="4A7B4B21" w14:textId="77777777" w:rsidTr="003A6E33">
        <w:trPr>
          <w:trHeight w:val="283"/>
          <w:jc w:val="center"/>
        </w:trPr>
        <w:tc>
          <w:tcPr>
            <w:tcW w:w="739" w:type="pct"/>
            <w:tcBorders>
              <w:top w:val="nil"/>
              <w:left w:val="nil"/>
              <w:bottom w:val="single" w:sz="4" w:space="0" w:color="auto"/>
              <w:right w:val="nil"/>
            </w:tcBorders>
            <w:shd w:val="clear" w:color="auto" w:fill="auto"/>
            <w:noWrap/>
            <w:vAlign w:val="center"/>
            <w:hideMark/>
          </w:tcPr>
          <w:p w14:paraId="7866A751" w14:textId="77777777" w:rsidR="00EE1B5D" w:rsidRPr="0083079D" w:rsidRDefault="00EE1B5D" w:rsidP="005341B9">
            <w:pPr>
              <w:spacing w:line="240" w:lineRule="auto"/>
              <w:jc w:val="center"/>
              <w:rPr>
                <w:rFonts w:eastAsia="Times New Roman"/>
                <w:color w:val="000000"/>
                <w:sz w:val="22"/>
                <w:szCs w:val="22"/>
                <w:lang w:eastAsia="pt-BR"/>
              </w:rPr>
            </w:pPr>
          </w:p>
        </w:tc>
        <w:tc>
          <w:tcPr>
            <w:tcW w:w="1167" w:type="pct"/>
            <w:vMerge/>
            <w:tcBorders>
              <w:top w:val="nil"/>
              <w:left w:val="nil"/>
              <w:bottom w:val="single" w:sz="4" w:space="0" w:color="auto"/>
              <w:right w:val="nil"/>
            </w:tcBorders>
            <w:vAlign w:val="center"/>
            <w:hideMark/>
          </w:tcPr>
          <w:p w14:paraId="152DCF28" w14:textId="77777777" w:rsidR="00EE1B5D" w:rsidRPr="0083079D" w:rsidRDefault="00EE1B5D" w:rsidP="005341B9">
            <w:pPr>
              <w:spacing w:line="240" w:lineRule="auto"/>
              <w:jc w:val="center"/>
              <w:rPr>
                <w:rFonts w:eastAsia="Times New Roman"/>
                <w:color w:val="000000"/>
                <w:sz w:val="22"/>
                <w:szCs w:val="22"/>
                <w:lang w:eastAsia="pt-BR"/>
              </w:rPr>
            </w:pPr>
          </w:p>
        </w:tc>
        <w:tc>
          <w:tcPr>
            <w:tcW w:w="740" w:type="pct"/>
            <w:tcBorders>
              <w:top w:val="nil"/>
              <w:left w:val="nil"/>
              <w:bottom w:val="single" w:sz="4" w:space="0" w:color="auto"/>
              <w:right w:val="nil"/>
            </w:tcBorders>
            <w:shd w:val="clear" w:color="auto" w:fill="auto"/>
            <w:noWrap/>
            <w:vAlign w:val="center"/>
            <w:hideMark/>
          </w:tcPr>
          <w:p w14:paraId="1970E768"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Produto</w:t>
            </w:r>
          </w:p>
        </w:tc>
        <w:tc>
          <w:tcPr>
            <w:tcW w:w="1115" w:type="pct"/>
            <w:tcBorders>
              <w:top w:val="nil"/>
              <w:left w:val="nil"/>
              <w:bottom w:val="single" w:sz="4" w:space="0" w:color="auto"/>
              <w:right w:val="nil"/>
            </w:tcBorders>
            <w:shd w:val="clear" w:color="auto" w:fill="auto"/>
            <w:noWrap/>
            <w:vAlign w:val="center"/>
            <w:hideMark/>
          </w:tcPr>
          <w:p w14:paraId="1B6A4B43"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Processo</w:t>
            </w:r>
          </w:p>
        </w:tc>
        <w:tc>
          <w:tcPr>
            <w:tcW w:w="1240" w:type="pct"/>
            <w:tcBorders>
              <w:top w:val="nil"/>
              <w:left w:val="nil"/>
              <w:bottom w:val="single" w:sz="4" w:space="0" w:color="auto"/>
              <w:right w:val="nil"/>
            </w:tcBorders>
          </w:tcPr>
          <w:p w14:paraId="57D611F2" w14:textId="77777777" w:rsidR="00EE1B5D" w:rsidRPr="0083079D" w:rsidRDefault="00EE1B5D" w:rsidP="005341B9">
            <w:pPr>
              <w:spacing w:line="240" w:lineRule="auto"/>
              <w:jc w:val="center"/>
              <w:rPr>
                <w:rFonts w:eastAsia="Times New Roman"/>
                <w:color w:val="000000"/>
                <w:sz w:val="22"/>
                <w:szCs w:val="22"/>
                <w:lang w:eastAsia="pt-BR"/>
              </w:rPr>
            </w:pPr>
          </w:p>
        </w:tc>
      </w:tr>
      <w:tr w:rsidR="00EE1B5D" w:rsidRPr="0083079D" w14:paraId="2EDF8659" w14:textId="77777777" w:rsidTr="003A6E33">
        <w:trPr>
          <w:trHeight w:val="283"/>
          <w:jc w:val="center"/>
        </w:trPr>
        <w:tc>
          <w:tcPr>
            <w:tcW w:w="739" w:type="pct"/>
            <w:tcBorders>
              <w:top w:val="nil"/>
              <w:left w:val="nil"/>
              <w:bottom w:val="nil"/>
              <w:right w:val="nil"/>
            </w:tcBorders>
            <w:shd w:val="clear" w:color="auto" w:fill="auto"/>
            <w:noWrap/>
            <w:vAlign w:val="center"/>
            <w:hideMark/>
          </w:tcPr>
          <w:p w14:paraId="76FDFF23"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1</w:t>
            </w:r>
          </w:p>
        </w:tc>
        <w:tc>
          <w:tcPr>
            <w:tcW w:w="1167" w:type="pct"/>
            <w:tcBorders>
              <w:top w:val="nil"/>
              <w:left w:val="nil"/>
              <w:bottom w:val="nil"/>
              <w:right w:val="nil"/>
            </w:tcBorders>
            <w:shd w:val="clear" w:color="auto" w:fill="auto"/>
            <w:noWrap/>
            <w:vAlign w:val="center"/>
            <w:hideMark/>
          </w:tcPr>
          <w:p w14:paraId="0931CCDE"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13</w:t>
            </w:r>
          </w:p>
        </w:tc>
        <w:tc>
          <w:tcPr>
            <w:tcW w:w="740" w:type="pct"/>
            <w:tcBorders>
              <w:top w:val="nil"/>
              <w:left w:val="nil"/>
              <w:bottom w:val="nil"/>
              <w:right w:val="nil"/>
            </w:tcBorders>
            <w:shd w:val="clear" w:color="auto" w:fill="auto"/>
            <w:noWrap/>
            <w:vAlign w:val="center"/>
            <w:hideMark/>
          </w:tcPr>
          <w:p w14:paraId="568D0A88"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61,54</w:t>
            </w:r>
          </w:p>
        </w:tc>
        <w:tc>
          <w:tcPr>
            <w:tcW w:w="1115" w:type="pct"/>
            <w:tcBorders>
              <w:top w:val="nil"/>
              <w:left w:val="nil"/>
              <w:bottom w:val="nil"/>
              <w:right w:val="nil"/>
            </w:tcBorders>
            <w:shd w:val="clear" w:color="auto" w:fill="auto"/>
            <w:noWrap/>
            <w:vAlign w:val="center"/>
            <w:hideMark/>
          </w:tcPr>
          <w:p w14:paraId="7BD9F1D9"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46,15</w:t>
            </w:r>
          </w:p>
        </w:tc>
        <w:tc>
          <w:tcPr>
            <w:tcW w:w="1240" w:type="pct"/>
            <w:tcBorders>
              <w:top w:val="nil"/>
              <w:left w:val="nil"/>
              <w:bottom w:val="nil"/>
              <w:right w:val="nil"/>
            </w:tcBorders>
            <w:vAlign w:val="center"/>
          </w:tcPr>
          <w:p w14:paraId="732007FE"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Média-Baixo</w:t>
            </w:r>
          </w:p>
        </w:tc>
      </w:tr>
      <w:tr w:rsidR="00EE1B5D" w:rsidRPr="0083079D" w14:paraId="1FE8EE83" w14:textId="77777777" w:rsidTr="003A6E33">
        <w:trPr>
          <w:trHeight w:val="283"/>
          <w:jc w:val="center"/>
        </w:trPr>
        <w:tc>
          <w:tcPr>
            <w:tcW w:w="739" w:type="pct"/>
            <w:tcBorders>
              <w:top w:val="nil"/>
              <w:left w:val="nil"/>
              <w:bottom w:val="nil"/>
              <w:right w:val="nil"/>
            </w:tcBorders>
            <w:shd w:val="clear" w:color="auto" w:fill="auto"/>
            <w:noWrap/>
            <w:vAlign w:val="center"/>
            <w:hideMark/>
          </w:tcPr>
          <w:p w14:paraId="5031CD89"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2</w:t>
            </w:r>
          </w:p>
        </w:tc>
        <w:tc>
          <w:tcPr>
            <w:tcW w:w="1167" w:type="pct"/>
            <w:tcBorders>
              <w:top w:val="nil"/>
              <w:left w:val="nil"/>
              <w:bottom w:val="nil"/>
              <w:right w:val="nil"/>
            </w:tcBorders>
            <w:shd w:val="clear" w:color="auto" w:fill="auto"/>
            <w:noWrap/>
            <w:vAlign w:val="center"/>
            <w:hideMark/>
          </w:tcPr>
          <w:p w14:paraId="21A6EC5E" w14:textId="77777777" w:rsidR="00EE1B5D" w:rsidRPr="0083079D" w:rsidRDefault="004D4530"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16</w:t>
            </w:r>
          </w:p>
        </w:tc>
        <w:tc>
          <w:tcPr>
            <w:tcW w:w="740" w:type="pct"/>
            <w:tcBorders>
              <w:top w:val="nil"/>
              <w:left w:val="nil"/>
              <w:bottom w:val="nil"/>
              <w:right w:val="nil"/>
            </w:tcBorders>
            <w:shd w:val="clear" w:color="auto" w:fill="auto"/>
            <w:noWrap/>
            <w:vAlign w:val="center"/>
            <w:hideMark/>
          </w:tcPr>
          <w:p w14:paraId="1BC6A5B2"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81,25</w:t>
            </w:r>
          </w:p>
        </w:tc>
        <w:tc>
          <w:tcPr>
            <w:tcW w:w="1115" w:type="pct"/>
            <w:tcBorders>
              <w:top w:val="nil"/>
              <w:left w:val="nil"/>
              <w:bottom w:val="nil"/>
              <w:right w:val="nil"/>
            </w:tcBorders>
            <w:shd w:val="clear" w:color="auto" w:fill="auto"/>
            <w:noWrap/>
            <w:vAlign w:val="center"/>
            <w:hideMark/>
          </w:tcPr>
          <w:p w14:paraId="2ECF6572"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50,00</w:t>
            </w:r>
          </w:p>
        </w:tc>
        <w:tc>
          <w:tcPr>
            <w:tcW w:w="1240" w:type="pct"/>
            <w:tcBorders>
              <w:top w:val="nil"/>
              <w:left w:val="nil"/>
              <w:bottom w:val="nil"/>
              <w:right w:val="nil"/>
            </w:tcBorders>
            <w:vAlign w:val="center"/>
          </w:tcPr>
          <w:p w14:paraId="6573A0B3"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Média-Alto</w:t>
            </w:r>
          </w:p>
        </w:tc>
      </w:tr>
      <w:tr w:rsidR="00EE1B5D" w:rsidRPr="0083079D" w14:paraId="26BE6F47" w14:textId="77777777" w:rsidTr="003A6E33">
        <w:trPr>
          <w:trHeight w:val="283"/>
          <w:jc w:val="center"/>
        </w:trPr>
        <w:tc>
          <w:tcPr>
            <w:tcW w:w="739" w:type="pct"/>
            <w:tcBorders>
              <w:top w:val="nil"/>
              <w:left w:val="nil"/>
              <w:bottom w:val="nil"/>
              <w:right w:val="nil"/>
            </w:tcBorders>
            <w:shd w:val="clear" w:color="auto" w:fill="auto"/>
            <w:noWrap/>
            <w:vAlign w:val="center"/>
            <w:hideMark/>
          </w:tcPr>
          <w:p w14:paraId="4612D841"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3</w:t>
            </w:r>
          </w:p>
        </w:tc>
        <w:tc>
          <w:tcPr>
            <w:tcW w:w="1167" w:type="pct"/>
            <w:tcBorders>
              <w:top w:val="nil"/>
              <w:left w:val="nil"/>
              <w:bottom w:val="nil"/>
              <w:right w:val="nil"/>
            </w:tcBorders>
            <w:shd w:val="clear" w:color="auto" w:fill="auto"/>
            <w:noWrap/>
            <w:vAlign w:val="center"/>
            <w:hideMark/>
          </w:tcPr>
          <w:p w14:paraId="5BFF0616" w14:textId="77777777" w:rsidR="00EE1B5D" w:rsidRPr="0083079D" w:rsidRDefault="004D4530"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9</w:t>
            </w:r>
          </w:p>
        </w:tc>
        <w:tc>
          <w:tcPr>
            <w:tcW w:w="740" w:type="pct"/>
            <w:tcBorders>
              <w:top w:val="nil"/>
              <w:left w:val="nil"/>
              <w:bottom w:val="nil"/>
              <w:right w:val="nil"/>
            </w:tcBorders>
            <w:shd w:val="clear" w:color="auto" w:fill="auto"/>
            <w:noWrap/>
            <w:vAlign w:val="center"/>
            <w:hideMark/>
          </w:tcPr>
          <w:p w14:paraId="619956FA"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100,00</w:t>
            </w:r>
          </w:p>
        </w:tc>
        <w:tc>
          <w:tcPr>
            <w:tcW w:w="1115" w:type="pct"/>
            <w:tcBorders>
              <w:top w:val="nil"/>
              <w:left w:val="nil"/>
              <w:bottom w:val="nil"/>
              <w:right w:val="nil"/>
            </w:tcBorders>
            <w:shd w:val="clear" w:color="auto" w:fill="auto"/>
            <w:noWrap/>
            <w:vAlign w:val="center"/>
            <w:hideMark/>
          </w:tcPr>
          <w:p w14:paraId="52AA9E9E"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66,67</w:t>
            </w:r>
          </w:p>
        </w:tc>
        <w:tc>
          <w:tcPr>
            <w:tcW w:w="1240" w:type="pct"/>
            <w:tcBorders>
              <w:top w:val="nil"/>
              <w:left w:val="nil"/>
              <w:bottom w:val="nil"/>
              <w:right w:val="nil"/>
            </w:tcBorders>
            <w:vAlign w:val="center"/>
          </w:tcPr>
          <w:p w14:paraId="7693FF84"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Alto</w:t>
            </w:r>
          </w:p>
        </w:tc>
      </w:tr>
      <w:tr w:rsidR="00EE1B5D" w:rsidRPr="0083079D" w14:paraId="401E6DDE" w14:textId="77777777" w:rsidTr="003A6E33">
        <w:trPr>
          <w:trHeight w:val="283"/>
          <w:jc w:val="center"/>
        </w:trPr>
        <w:tc>
          <w:tcPr>
            <w:tcW w:w="739" w:type="pct"/>
            <w:tcBorders>
              <w:top w:val="nil"/>
              <w:left w:val="nil"/>
              <w:bottom w:val="single" w:sz="4" w:space="0" w:color="auto"/>
              <w:right w:val="nil"/>
            </w:tcBorders>
            <w:shd w:val="clear" w:color="auto" w:fill="auto"/>
            <w:noWrap/>
            <w:vAlign w:val="center"/>
            <w:hideMark/>
          </w:tcPr>
          <w:p w14:paraId="72BFC83D"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4</w:t>
            </w:r>
          </w:p>
        </w:tc>
        <w:tc>
          <w:tcPr>
            <w:tcW w:w="1167" w:type="pct"/>
            <w:tcBorders>
              <w:top w:val="nil"/>
              <w:left w:val="nil"/>
              <w:bottom w:val="single" w:sz="4" w:space="0" w:color="auto"/>
              <w:right w:val="nil"/>
            </w:tcBorders>
            <w:shd w:val="clear" w:color="auto" w:fill="auto"/>
            <w:noWrap/>
            <w:vAlign w:val="center"/>
            <w:hideMark/>
          </w:tcPr>
          <w:p w14:paraId="4271B702" w14:textId="77777777" w:rsidR="00EE1B5D" w:rsidRPr="0083079D" w:rsidRDefault="004D4530"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10</w:t>
            </w:r>
          </w:p>
        </w:tc>
        <w:tc>
          <w:tcPr>
            <w:tcW w:w="740" w:type="pct"/>
            <w:tcBorders>
              <w:top w:val="nil"/>
              <w:left w:val="nil"/>
              <w:bottom w:val="single" w:sz="4" w:space="0" w:color="auto"/>
              <w:right w:val="nil"/>
            </w:tcBorders>
            <w:shd w:val="clear" w:color="auto" w:fill="auto"/>
            <w:noWrap/>
            <w:vAlign w:val="center"/>
            <w:hideMark/>
          </w:tcPr>
          <w:p w14:paraId="1F86A278"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60,00</w:t>
            </w:r>
          </w:p>
        </w:tc>
        <w:tc>
          <w:tcPr>
            <w:tcW w:w="1115" w:type="pct"/>
            <w:tcBorders>
              <w:top w:val="nil"/>
              <w:left w:val="nil"/>
              <w:bottom w:val="single" w:sz="4" w:space="0" w:color="auto"/>
              <w:right w:val="nil"/>
            </w:tcBorders>
            <w:shd w:val="clear" w:color="auto" w:fill="auto"/>
            <w:noWrap/>
            <w:vAlign w:val="center"/>
            <w:hideMark/>
          </w:tcPr>
          <w:p w14:paraId="0B1387CD"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60,00</w:t>
            </w:r>
          </w:p>
        </w:tc>
        <w:tc>
          <w:tcPr>
            <w:tcW w:w="1240" w:type="pct"/>
            <w:tcBorders>
              <w:top w:val="nil"/>
              <w:left w:val="nil"/>
              <w:bottom w:val="single" w:sz="4" w:space="0" w:color="auto"/>
              <w:right w:val="nil"/>
            </w:tcBorders>
            <w:vAlign w:val="center"/>
          </w:tcPr>
          <w:p w14:paraId="074D6B6A"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Baixo</w:t>
            </w:r>
          </w:p>
        </w:tc>
      </w:tr>
    </w:tbl>
    <w:p w14:paraId="6A69A581" w14:textId="77777777" w:rsidR="00EE1B5D" w:rsidRPr="00F70561" w:rsidRDefault="00EE1B5D" w:rsidP="0083079D">
      <w:pPr>
        <w:tabs>
          <w:tab w:val="left" w:pos="0"/>
        </w:tabs>
        <w:spacing w:line="240" w:lineRule="auto"/>
        <w:rPr>
          <w:sz w:val="20"/>
          <w:szCs w:val="20"/>
        </w:rPr>
      </w:pPr>
      <w:r w:rsidRPr="00F70561">
        <w:rPr>
          <w:sz w:val="20"/>
          <w:szCs w:val="20"/>
        </w:rPr>
        <w:t>Fonte: Elaboração Própria</w:t>
      </w:r>
      <w:r w:rsidR="002C6715" w:rsidRPr="00F70561">
        <w:rPr>
          <w:sz w:val="20"/>
          <w:szCs w:val="20"/>
        </w:rPr>
        <w:t xml:space="preserve">, a partir do BR </w:t>
      </w:r>
      <w:r w:rsidR="001628DE" w:rsidRPr="00F70561">
        <w:rPr>
          <w:i/>
          <w:sz w:val="20"/>
          <w:szCs w:val="20"/>
        </w:rPr>
        <w:t>Survey</w:t>
      </w:r>
      <w:r w:rsidRPr="00F70561">
        <w:rPr>
          <w:sz w:val="20"/>
          <w:szCs w:val="20"/>
        </w:rPr>
        <w:t>.</w:t>
      </w:r>
    </w:p>
    <w:p w14:paraId="71FF271E" w14:textId="77777777" w:rsidR="00EE1B5D" w:rsidRPr="005341B9" w:rsidRDefault="00EE1B5D" w:rsidP="005341B9">
      <w:pPr>
        <w:tabs>
          <w:tab w:val="left" w:pos="0"/>
        </w:tabs>
        <w:spacing w:line="240" w:lineRule="auto"/>
      </w:pPr>
    </w:p>
    <w:p w14:paraId="02134875" w14:textId="486F22C8" w:rsidR="00EE1B5D" w:rsidRPr="005341B9" w:rsidRDefault="000422AF" w:rsidP="005341B9">
      <w:pPr>
        <w:tabs>
          <w:tab w:val="left" w:pos="0"/>
        </w:tabs>
        <w:spacing w:line="240" w:lineRule="auto"/>
      </w:pPr>
      <w:r w:rsidRPr="005341B9">
        <w:tab/>
      </w:r>
      <w:r w:rsidR="004524C4">
        <w:t>Pela</w:t>
      </w:r>
      <w:r w:rsidR="00EE1B5D" w:rsidRPr="005341B9">
        <w:t xml:space="preserve"> tabela </w:t>
      </w:r>
      <w:r w:rsidR="004524C4">
        <w:t xml:space="preserve">5 </w:t>
      </w:r>
      <w:r w:rsidR="00EE1B5D" w:rsidRPr="005341B9">
        <w:t xml:space="preserve">nota-se a alta taxa de inovação em produto para o </w:t>
      </w:r>
      <w:r w:rsidR="00EE1B5D" w:rsidRPr="005341B9">
        <w:rPr>
          <w:i/>
        </w:rPr>
        <w:t>Grupo 3</w:t>
      </w:r>
      <w:r w:rsidR="00EE1B5D" w:rsidRPr="005341B9">
        <w:t xml:space="preserve"> em comparação aos demais. Esse fato é interessante especialmente pelo fato desse grupo ser o que apresentou </w:t>
      </w:r>
      <w:r w:rsidR="00827BC4" w:rsidRPr="005341B9">
        <w:t xml:space="preserve">a </w:t>
      </w:r>
      <w:r w:rsidR="00EE1B5D" w:rsidRPr="005341B9">
        <w:t>maior motivação para interagir</w:t>
      </w:r>
      <w:r w:rsidR="004D4530" w:rsidRPr="005341B9">
        <w:t xml:space="preserve"> e um esforço médio em P&amp;D.</w:t>
      </w:r>
      <w:r w:rsidR="00E05107" w:rsidRPr="005341B9">
        <w:t xml:space="preserve"> </w:t>
      </w:r>
      <w:r w:rsidR="00EE1B5D" w:rsidRPr="005341B9">
        <w:t xml:space="preserve">Já o </w:t>
      </w:r>
      <w:r w:rsidR="00EE1B5D" w:rsidRPr="005341B9">
        <w:rPr>
          <w:i/>
        </w:rPr>
        <w:t>Grupo 1</w:t>
      </w:r>
      <w:r w:rsidR="00EE1B5D" w:rsidRPr="005341B9">
        <w:t xml:space="preserve">, marcado especialmente pelo setor de P&amp;D científico, apresentou taxa de inovação relativamente </w:t>
      </w:r>
      <w:r w:rsidR="00080A50" w:rsidRPr="005341B9">
        <w:t>inferior aos demais grupos</w:t>
      </w:r>
      <w:r w:rsidR="00EE1B5D" w:rsidRPr="005341B9">
        <w:t xml:space="preserve">, tanto para inovação de produto quanto de processo. Porém, diferentemente do </w:t>
      </w:r>
      <w:r w:rsidR="00EE1B5D" w:rsidRPr="005341B9">
        <w:rPr>
          <w:i/>
        </w:rPr>
        <w:t>grupo 4</w:t>
      </w:r>
      <w:r w:rsidR="00EE1B5D" w:rsidRPr="005341B9">
        <w:t xml:space="preserve">, ele apresentou inovações de produto e processos para o mundo. Por outro lado, o </w:t>
      </w:r>
      <w:r w:rsidR="00EE1B5D" w:rsidRPr="005341B9">
        <w:rPr>
          <w:i/>
        </w:rPr>
        <w:t xml:space="preserve">Grupo 2 </w:t>
      </w:r>
      <w:r w:rsidR="00EE1B5D" w:rsidRPr="005341B9">
        <w:t>apresentou a segunda maior taxa de inovação em produto, mas a segunda menor taxa de inovação em processo. É importante destacar que esse grupo apresentou inovações tanto para a própria empresa quanto para o país</w:t>
      </w:r>
      <w:r w:rsidR="006B703E" w:rsidRPr="005341B9">
        <w:t>,</w:t>
      </w:r>
      <w:r w:rsidR="00EE1B5D" w:rsidRPr="005341B9">
        <w:t xml:space="preserve"> diferentemente do </w:t>
      </w:r>
      <w:r w:rsidR="00EE1B5D" w:rsidRPr="005341B9">
        <w:rPr>
          <w:i/>
        </w:rPr>
        <w:t>Grupo 4</w:t>
      </w:r>
      <w:r w:rsidR="00EE1B5D" w:rsidRPr="005341B9">
        <w:t xml:space="preserve">. </w:t>
      </w:r>
    </w:p>
    <w:p w14:paraId="38CF5E10" w14:textId="77777777" w:rsidR="00EE1B5D" w:rsidRPr="005341B9" w:rsidRDefault="00EE1B5D" w:rsidP="005341B9">
      <w:pPr>
        <w:tabs>
          <w:tab w:val="left" w:pos="0"/>
        </w:tabs>
        <w:spacing w:line="240" w:lineRule="auto"/>
      </w:pPr>
      <w:r w:rsidRPr="005341B9">
        <w:tab/>
        <w:t xml:space="preserve">Para o </w:t>
      </w:r>
      <w:r w:rsidRPr="005341B9">
        <w:rPr>
          <w:i/>
        </w:rPr>
        <w:t xml:space="preserve">Grupo 4, </w:t>
      </w:r>
      <w:r w:rsidRPr="005341B9">
        <w:t xml:space="preserve">a taxa de inovação foi a mesma para produto ou processo. Vale destacar que essa elevada taxa de inovação em processo se deve especialmente pela inovação para a empresa, enquanto para o </w:t>
      </w:r>
      <w:r w:rsidRPr="005341B9">
        <w:rPr>
          <w:i/>
        </w:rPr>
        <w:t>Grupo 3</w:t>
      </w:r>
      <w:r w:rsidRPr="005341B9">
        <w:t xml:space="preserve"> foram inovações de processo para o mundo, para o país e também para a empresa.</w:t>
      </w:r>
    </w:p>
    <w:p w14:paraId="06585014" w14:textId="59045232" w:rsidR="00080A50" w:rsidRPr="005341B9" w:rsidRDefault="00080A50" w:rsidP="005341B9">
      <w:pPr>
        <w:tabs>
          <w:tab w:val="left" w:pos="0"/>
        </w:tabs>
        <w:spacing w:line="240" w:lineRule="auto"/>
      </w:pPr>
      <w:r w:rsidRPr="005341B9">
        <w:tab/>
        <w:t>Assim, pode</w:t>
      </w:r>
      <w:r w:rsidR="00627AEA" w:rsidRPr="005341B9">
        <w:t>-se</w:t>
      </w:r>
      <w:r w:rsidRPr="005341B9">
        <w:t xml:space="preserve"> dizer que o </w:t>
      </w:r>
      <w:r w:rsidR="001628DE" w:rsidRPr="005341B9">
        <w:rPr>
          <w:i/>
        </w:rPr>
        <w:t>cluster</w:t>
      </w:r>
      <w:r w:rsidRPr="005341B9">
        <w:t xml:space="preserve"> mais inovador é o </w:t>
      </w:r>
      <w:r w:rsidR="00627AEA" w:rsidRPr="005341B9">
        <w:t xml:space="preserve">grupo </w:t>
      </w:r>
      <w:r w:rsidRPr="005341B9">
        <w:t xml:space="preserve">3, devido ao seu foco na inovação para </w:t>
      </w:r>
      <w:r w:rsidR="00286CC7">
        <w:t xml:space="preserve">o </w:t>
      </w:r>
      <w:r w:rsidRPr="005341B9">
        <w:t xml:space="preserve">mundo, seguido pelo grupo 2 (Média-Alta), 1 (Média-Baixa) e grupo 4 (Baixa). </w:t>
      </w:r>
    </w:p>
    <w:p w14:paraId="0504C598" w14:textId="1F8138A6" w:rsidR="00EE1B5D" w:rsidRPr="005341B9" w:rsidRDefault="00EE1B5D" w:rsidP="005341B9">
      <w:pPr>
        <w:tabs>
          <w:tab w:val="left" w:pos="0"/>
        </w:tabs>
        <w:spacing w:line="240" w:lineRule="auto"/>
        <w:ind w:firstLine="709"/>
      </w:pPr>
      <w:r w:rsidRPr="005341B9">
        <w:t xml:space="preserve">O último conjunto de variáveis utilizado para caracterizar o agrupamento </w:t>
      </w:r>
      <w:r w:rsidR="00080A50" w:rsidRPr="005341B9">
        <w:t xml:space="preserve">referente à estratégia inovativa </w:t>
      </w:r>
      <w:r w:rsidRPr="005341B9">
        <w:t xml:space="preserve">refere-se às fontes de informação utilizadas pelas empresas para sugerir novos projetos ou para completar projetos já existentes. Na figura </w:t>
      </w:r>
      <w:r w:rsidR="003A6E33">
        <w:t>5</w:t>
      </w:r>
      <w:r w:rsidRPr="005341B9">
        <w:t xml:space="preserve"> é calculada a porcentagem de empresas que usaram determinada fonte ou para sugerir novos projetos ou para completar projetos existentes em relação ao total de empresas do grupo. </w:t>
      </w:r>
    </w:p>
    <w:p w14:paraId="231CFFC8" w14:textId="4ADABDD3" w:rsidR="00EE1B5D" w:rsidRPr="005341B9" w:rsidRDefault="00EE1B5D" w:rsidP="005341B9">
      <w:pPr>
        <w:tabs>
          <w:tab w:val="left" w:pos="0"/>
        </w:tabs>
        <w:spacing w:line="240" w:lineRule="auto"/>
        <w:ind w:firstLine="709"/>
      </w:pPr>
      <w:r w:rsidRPr="005341B9">
        <w:t>No geral</w:t>
      </w:r>
      <w:r w:rsidR="002C6715" w:rsidRPr="005341B9">
        <w:t>,</w:t>
      </w:r>
      <w:r w:rsidRPr="005341B9">
        <w:t xml:space="preserve"> a figura </w:t>
      </w:r>
      <w:r w:rsidR="004524C4">
        <w:t>5</w:t>
      </w:r>
      <w:r w:rsidRPr="005341B9">
        <w:t xml:space="preserve"> corrobora a importância dos clientes e das interações produtor</w:t>
      </w:r>
      <w:r w:rsidR="00080A50" w:rsidRPr="005341B9">
        <w:t>-</w:t>
      </w:r>
      <w:r w:rsidRPr="005341B9">
        <w:t xml:space="preserve">usuário para os SICs. A literatura destaca a importância do processo de aprendizado interativo para o processo de inovação </w:t>
      </w:r>
      <w:r w:rsidR="00080A50" w:rsidRPr="005341B9">
        <w:t xml:space="preserve">em serviços – o chamado </w:t>
      </w:r>
      <w:r w:rsidR="00080A50" w:rsidRPr="005341B9">
        <w:rPr>
          <w:i/>
        </w:rPr>
        <w:t>doing-using-interacting</w:t>
      </w:r>
      <w:r w:rsidR="00080A50" w:rsidRPr="005341B9">
        <w:t xml:space="preserve"> (JENSEN </w:t>
      </w:r>
      <w:r w:rsidR="00080A50" w:rsidRPr="005341B9">
        <w:rPr>
          <w:i/>
        </w:rPr>
        <w:t>et al</w:t>
      </w:r>
      <w:r w:rsidR="00E05107" w:rsidRPr="005341B9">
        <w:t xml:space="preserve">., </w:t>
      </w:r>
      <w:r w:rsidR="00080A50" w:rsidRPr="005341B9">
        <w:t xml:space="preserve">2007) – </w:t>
      </w:r>
      <w:r w:rsidRPr="005341B9">
        <w:t xml:space="preserve">o que é captado pela elevada importância das diversas fontes de informação. </w:t>
      </w:r>
    </w:p>
    <w:p w14:paraId="2A8D71E6" w14:textId="77777777" w:rsidR="00EE1B5D" w:rsidRDefault="00EE1B5D" w:rsidP="005341B9">
      <w:pPr>
        <w:tabs>
          <w:tab w:val="left" w:pos="0"/>
        </w:tabs>
        <w:spacing w:line="240" w:lineRule="auto"/>
      </w:pPr>
      <w:r w:rsidRPr="005341B9">
        <w:tab/>
        <w:t>Esse gráfico corrobora as análises anteriores, em especial</w:t>
      </w:r>
      <w:r w:rsidR="002C6715" w:rsidRPr="005341B9">
        <w:t xml:space="preserve"> aquelas referentes a</w:t>
      </w:r>
      <w:r w:rsidRPr="005341B9">
        <w:t xml:space="preserve">o </w:t>
      </w:r>
      <w:r w:rsidRPr="005341B9">
        <w:rPr>
          <w:i/>
        </w:rPr>
        <w:t>Grupo 3</w:t>
      </w:r>
      <w:r w:rsidRPr="005341B9">
        <w:t>. Como visto anteriormente, esse grupo foi o que apresentou as maiores motivações p</w:t>
      </w:r>
      <w:r w:rsidR="00E05107" w:rsidRPr="005341B9">
        <w:t>ara interagir com universidades</w:t>
      </w:r>
      <w:r w:rsidR="002C6715" w:rsidRPr="005341B9">
        <w:t>. P</w:t>
      </w:r>
      <w:r w:rsidRPr="005341B9">
        <w:t>el</w:t>
      </w:r>
      <w:r w:rsidR="00627AEA" w:rsidRPr="005341B9">
        <w:t xml:space="preserve">a figura </w:t>
      </w:r>
      <w:r w:rsidR="002C6715" w:rsidRPr="005341B9">
        <w:t>4</w:t>
      </w:r>
      <w:r w:rsidRPr="005341B9">
        <w:t>, pode-se notar que as universidades são as principais fontes de conhecimento e informação para seus projetos inovativos, sendo utilizadas por 100% das empresas desse grupo (nesse caso, foi 100% tanto para sugerir quanto completar projetos). A outra principal fonte de informação para esse grupo foi a própria linha de produção da empresa.</w:t>
      </w:r>
    </w:p>
    <w:p w14:paraId="750533AB" w14:textId="79864258" w:rsidR="003A6E33" w:rsidRPr="005341B9" w:rsidRDefault="003A6E33" w:rsidP="005341B9">
      <w:pPr>
        <w:tabs>
          <w:tab w:val="left" w:pos="0"/>
        </w:tabs>
        <w:spacing w:line="240" w:lineRule="auto"/>
      </w:pPr>
      <w:r>
        <w:tab/>
      </w:r>
      <w:r w:rsidRPr="005341B9">
        <w:t xml:space="preserve">Já para o </w:t>
      </w:r>
      <w:r w:rsidRPr="005341B9">
        <w:rPr>
          <w:i/>
        </w:rPr>
        <w:t>Grupo 4</w:t>
      </w:r>
      <w:r w:rsidRPr="005341B9">
        <w:t>, as principais fontes de informação são outras empresas, a própria linha de produção, clientes, feiras, internet e concorrentes. Inclusive, esse grupo foi o que apresentou a maior parcela de empresas que utilizaram os concorrentes como fonte de informação. Esse grupo foi o que apresentou também a menor parcela de empresas que utilizaram as universidades e as atividades cooperativas como fontes de informações para os projetos inovativos. Isso corrobora os resultados anteriores, dado que esse grupo apresentou as menores motivações para interagir com universidades.</w:t>
      </w:r>
    </w:p>
    <w:p w14:paraId="2CC07412" w14:textId="77777777" w:rsidR="00EE1B5D" w:rsidRPr="005341B9" w:rsidRDefault="00EE1B5D" w:rsidP="005341B9">
      <w:pPr>
        <w:spacing w:line="240" w:lineRule="auto"/>
      </w:pPr>
    </w:p>
    <w:p w14:paraId="20243F91" w14:textId="77777777" w:rsidR="003A6E33" w:rsidRDefault="003A6E33">
      <w:pPr>
        <w:spacing w:after="200" w:line="276" w:lineRule="auto"/>
        <w:jc w:val="left"/>
        <w:rPr>
          <w:b/>
        </w:rPr>
      </w:pPr>
      <w:r>
        <w:rPr>
          <w:b/>
        </w:rPr>
        <w:br w:type="page"/>
      </w:r>
    </w:p>
    <w:p w14:paraId="6E31AA3B" w14:textId="6A963961" w:rsidR="00EE1B5D" w:rsidRPr="005341B9" w:rsidRDefault="00EE1B5D" w:rsidP="005341B9">
      <w:pPr>
        <w:spacing w:line="240" w:lineRule="auto"/>
        <w:jc w:val="center"/>
        <w:rPr>
          <w:b/>
        </w:rPr>
      </w:pPr>
      <w:r w:rsidRPr="005341B9">
        <w:rPr>
          <w:b/>
        </w:rPr>
        <w:lastRenderedPageBreak/>
        <w:t xml:space="preserve">Figura </w:t>
      </w:r>
      <w:r w:rsidR="004524C4">
        <w:rPr>
          <w:b/>
        </w:rPr>
        <w:t>5</w:t>
      </w:r>
      <w:r w:rsidRPr="005341B9">
        <w:rPr>
          <w:b/>
        </w:rPr>
        <w:t>: Fontes de informação utilizadas para novos projetos ou projetos já existentes</w:t>
      </w:r>
    </w:p>
    <w:p w14:paraId="025C9585" w14:textId="77777777" w:rsidR="00EE1B5D" w:rsidRPr="005341B9" w:rsidRDefault="00EE1B5D" w:rsidP="002A13CC">
      <w:pPr>
        <w:tabs>
          <w:tab w:val="left" w:pos="0"/>
        </w:tabs>
        <w:spacing w:line="240" w:lineRule="auto"/>
        <w:jc w:val="center"/>
        <w:rPr>
          <w:b/>
        </w:rPr>
      </w:pPr>
      <w:r w:rsidRPr="005341B9">
        <w:rPr>
          <w:noProof/>
          <w:lang w:eastAsia="pt-BR"/>
        </w:rPr>
        <w:drawing>
          <wp:inline distT="0" distB="0" distL="0" distR="0" wp14:anchorId="27B61EDF" wp14:editId="729F97A5">
            <wp:extent cx="4724400" cy="3568700"/>
            <wp:effectExtent l="0" t="0" r="0" b="12700"/>
            <wp:docPr id="9"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0BB00" w14:textId="0685C61F" w:rsidR="00EE1B5D" w:rsidRPr="002A13CC" w:rsidRDefault="00EE1B5D" w:rsidP="0083079D">
      <w:pPr>
        <w:tabs>
          <w:tab w:val="left" w:pos="0"/>
        </w:tabs>
        <w:spacing w:line="240" w:lineRule="auto"/>
        <w:rPr>
          <w:sz w:val="20"/>
          <w:szCs w:val="20"/>
        </w:rPr>
      </w:pPr>
      <w:r w:rsidRPr="002A13CC">
        <w:rPr>
          <w:sz w:val="20"/>
          <w:szCs w:val="20"/>
        </w:rPr>
        <w:t>Fonte: Elaboração Própria</w:t>
      </w:r>
      <w:r w:rsidR="002C6715" w:rsidRPr="002A13CC">
        <w:rPr>
          <w:sz w:val="20"/>
          <w:szCs w:val="20"/>
        </w:rPr>
        <w:t xml:space="preserve">, a partir do BR </w:t>
      </w:r>
      <w:r w:rsidR="001628DE" w:rsidRPr="002A13CC">
        <w:rPr>
          <w:i/>
          <w:sz w:val="20"/>
          <w:szCs w:val="20"/>
        </w:rPr>
        <w:t>Survey</w:t>
      </w:r>
      <w:r w:rsidR="002A13CC">
        <w:rPr>
          <w:i/>
          <w:sz w:val="20"/>
          <w:szCs w:val="20"/>
        </w:rPr>
        <w:t xml:space="preserve"> (2009).</w:t>
      </w:r>
    </w:p>
    <w:p w14:paraId="2C72C4DF" w14:textId="77777777" w:rsidR="00EE1B5D" w:rsidRPr="005341B9" w:rsidRDefault="00EE1B5D" w:rsidP="005341B9">
      <w:pPr>
        <w:tabs>
          <w:tab w:val="left" w:pos="0"/>
        </w:tabs>
        <w:spacing w:line="240" w:lineRule="auto"/>
      </w:pPr>
      <w:r w:rsidRPr="005341B9">
        <w:tab/>
      </w:r>
    </w:p>
    <w:p w14:paraId="348284C6" w14:textId="1C90AB38" w:rsidR="00EE1B5D" w:rsidRPr="005341B9" w:rsidRDefault="00EE1B5D" w:rsidP="005341B9">
      <w:pPr>
        <w:tabs>
          <w:tab w:val="left" w:pos="0"/>
        </w:tabs>
        <w:spacing w:line="240" w:lineRule="auto"/>
      </w:pPr>
      <w:r w:rsidRPr="005341B9">
        <w:tab/>
        <w:t xml:space="preserve">Para o </w:t>
      </w:r>
      <w:r w:rsidRPr="005341B9">
        <w:rPr>
          <w:i/>
        </w:rPr>
        <w:t>Grupo 1</w:t>
      </w:r>
      <w:r w:rsidRPr="005341B9">
        <w:t xml:space="preserve">, formado principalmente pelas empresas do setor de P&amp;D científico, as principais fontes de informação foram as publicações, os clientes e as universidades. Um ponto que chama a atenção é a baixa importância </w:t>
      </w:r>
      <w:r w:rsidR="004448BB" w:rsidRPr="005341B9">
        <w:t xml:space="preserve">atribuída a </w:t>
      </w:r>
      <w:r w:rsidRPr="005341B9">
        <w:t xml:space="preserve">outras empresas como fonte de informação. Enquanto para os outros grupos cerca de 70% das empresas destes utilizaram outras empresas como fonte de informação, no </w:t>
      </w:r>
      <w:r w:rsidRPr="005341B9">
        <w:rPr>
          <w:i/>
        </w:rPr>
        <w:t>grupo 1</w:t>
      </w:r>
      <w:r w:rsidRPr="005341B9">
        <w:t xml:space="preserve"> foram apenas 30% das empresas. Além disso, o conhecimento local também tem baixa relevância para esse grupo, assim como a empresas de consultoria ou contratação de P&amp;D. </w:t>
      </w:r>
    </w:p>
    <w:p w14:paraId="0E2C817D" w14:textId="732B93AC" w:rsidR="00EE1B5D" w:rsidRPr="005341B9" w:rsidRDefault="00EE1B5D" w:rsidP="005341B9">
      <w:pPr>
        <w:tabs>
          <w:tab w:val="left" w:pos="0"/>
        </w:tabs>
        <w:spacing w:line="240" w:lineRule="auto"/>
      </w:pPr>
      <w:r w:rsidRPr="005341B9">
        <w:tab/>
        <w:t xml:space="preserve">Por último, para o </w:t>
      </w:r>
      <w:r w:rsidRPr="005341B9">
        <w:rPr>
          <w:i/>
        </w:rPr>
        <w:t>Grupo 2</w:t>
      </w:r>
      <w:r w:rsidRPr="005341B9">
        <w:t xml:space="preserve"> as principais fontes foram as universidades, os clientes e a própria linha de produção. A importância da própria linha de produção talvez seja condizente com a interação </w:t>
      </w:r>
      <w:r w:rsidR="004448BB" w:rsidRPr="005341B9">
        <w:t xml:space="preserve">UE </w:t>
      </w:r>
      <w:r w:rsidRPr="005341B9">
        <w:t xml:space="preserve">motivada pela busca por conselhos técnicos para resolver problemas mais imediatos. A tabela </w:t>
      </w:r>
      <w:r w:rsidR="0056719B">
        <w:t>6</w:t>
      </w:r>
      <w:r w:rsidRPr="005341B9">
        <w:t xml:space="preserve"> sintetiza as informações acima.</w:t>
      </w:r>
    </w:p>
    <w:p w14:paraId="5C705EEB" w14:textId="77777777" w:rsidR="00EE1B5D" w:rsidRPr="005341B9" w:rsidRDefault="00EE1B5D" w:rsidP="005341B9">
      <w:pPr>
        <w:tabs>
          <w:tab w:val="left" w:pos="0"/>
        </w:tabs>
        <w:spacing w:line="240" w:lineRule="auto"/>
        <w:rPr>
          <w:b/>
        </w:rPr>
      </w:pPr>
    </w:p>
    <w:p w14:paraId="5DF63449" w14:textId="12D32539" w:rsidR="00EE1B5D" w:rsidRPr="005341B9" w:rsidRDefault="00EE1B5D" w:rsidP="005341B9">
      <w:pPr>
        <w:tabs>
          <w:tab w:val="left" w:pos="0"/>
        </w:tabs>
        <w:spacing w:line="240" w:lineRule="auto"/>
        <w:jc w:val="center"/>
        <w:rPr>
          <w:b/>
        </w:rPr>
      </w:pPr>
      <w:r w:rsidRPr="005341B9">
        <w:rPr>
          <w:b/>
        </w:rPr>
        <w:t xml:space="preserve">Tabela </w:t>
      </w:r>
      <w:r w:rsidR="0056719B">
        <w:rPr>
          <w:b/>
        </w:rPr>
        <w:t>6</w:t>
      </w:r>
      <w:r w:rsidRPr="005341B9">
        <w:rPr>
          <w:b/>
        </w:rPr>
        <w:t>: Principais fontes de informação para os Grupos de Pesquisa.</w:t>
      </w:r>
    </w:p>
    <w:tbl>
      <w:tblPr>
        <w:tblW w:w="4922" w:type="pct"/>
        <w:jc w:val="center"/>
        <w:tblLayout w:type="fixed"/>
        <w:tblCellMar>
          <w:left w:w="70" w:type="dxa"/>
          <w:right w:w="70" w:type="dxa"/>
        </w:tblCellMar>
        <w:tblLook w:val="04A0" w:firstRow="1" w:lastRow="0" w:firstColumn="1" w:lastColumn="0" w:noHBand="0" w:noVBand="1"/>
      </w:tblPr>
      <w:tblGrid>
        <w:gridCol w:w="983"/>
        <w:gridCol w:w="1701"/>
        <w:gridCol w:w="7499"/>
      </w:tblGrid>
      <w:tr w:rsidR="00EE1B5D" w:rsidRPr="0083079D" w14:paraId="75CD4C64" w14:textId="77777777" w:rsidTr="0083079D">
        <w:trPr>
          <w:trHeight w:val="331"/>
          <w:jc w:val="center"/>
        </w:trPr>
        <w:tc>
          <w:tcPr>
            <w:tcW w:w="483" w:type="pct"/>
            <w:tcBorders>
              <w:top w:val="single" w:sz="4" w:space="0" w:color="auto"/>
              <w:left w:val="nil"/>
              <w:bottom w:val="single" w:sz="4" w:space="0" w:color="auto"/>
              <w:right w:val="nil"/>
            </w:tcBorders>
            <w:shd w:val="clear" w:color="auto" w:fill="auto"/>
            <w:noWrap/>
            <w:vAlign w:val="center"/>
            <w:hideMark/>
          </w:tcPr>
          <w:p w14:paraId="4940C955"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 </w:t>
            </w:r>
          </w:p>
        </w:tc>
        <w:tc>
          <w:tcPr>
            <w:tcW w:w="835" w:type="pct"/>
            <w:tcBorders>
              <w:top w:val="single" w:sz="4" w:space="0" w:color="auto"/>
              <w:left w:val="nil"/>
              <w:bottom w:val="single" w:sz="4" w:space="0" w:color="auto"/>
              <w:right w:val="nil"/>
            </w:tcBorders>
            <w:shd w:val="clear" w:color="auto" w:fill="auto"/>
            <w:noWrap/>
            <w:vAlign w:val="center"/>
            <w:hideMark/>
          </w:tcPr>
          <w:p w14:paraId="5578A289" w14:textId="77777777" w:rsidR="00EE1B5D" w:rsidRPr="0083079D" w:rsidRDefault="00EE1B5D" w:rsidP="0083079D">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Nº de Empresas</w:t>
            </w:r>
          </w:p>
        </w:tc>
        <w:tc>
          <w:tcPr>
            <w:tcW w:w="3682" w:type="pct"/>
            <w:tcBorders>
              <w:top w:val="single" w:sz="4" w:space="0" w:color="auto"/>
              <w:left w:val="nil"/>
              <w:bottom w:val="single" w:sz="4" w:space="0" w:color="auto"/>
              <w:right w:val="nil"/>
            </w:tcBorders>
            <w:shd w:val="clear" w:color="auto" w:fill="auto"/>
            <w:noWrap/>
            <w:vAlign w:val="center"/>
            <w:hideMark/>
          </w:tcPr>
          <w:p w14:paraId="100047C0" w14:textId="77777777" w:rsidR="00EE1B5D" w:rsidRPr="0083079D" w:rsidRDefault="00EE1B5D" w:rsidP="0083079D">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Principais fontes de informação*</w:t>
            </w:r>
          </w:p>
        </w:tc>
      </w:tr>
      <w:tr w:rsidR="00EE1B5D" w:rsidRPr="0083079D" w14:paraId="385E7529" w14:textId="77777777" w:rsidTr="0083079D">
        <w:trPr>
          <w:trHeight w:val="407"/>
          <w:jc w:val="center"/>
        </w:trPr>
        <w:tc>
          <w:tcPr>
            <w:tcW w:w="483" w:type="pct"/>
            <w:tcBorders>
              <w:top w:val="nil"/>
              <w:left w:val="nil"/>
              <w:bottom w:val="nil"/>
              <w:right w:val="nil"/>
            </w:tcBorders>
            <w:shd w:val="clear" w:color="auto" w:fill="auto"/>
            <w:noWrap/>
            <w:vAlign w:val="center"/>
            <w:hideMark/>
          </w:tcPr>
          <w:p w14:paraId="5FF888A5"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Grupo 1</w:t>
            </w:r>
          </w:p>
        </w:tc>
        <w:tc>
          <w:tcPr>
            <w:tcW w:w="835" w:type="pct"/>
            <w:tcBorders>
              <w:top w:val="nil"/>
              <w:left w:val="nil"/>
              <w:bottom w:val="nil"/>
              <w:right w:val="nil"/>
            </w:tcBorders>
            <w:shd w:val="clear" w:color="auto" w:fill="auto"/>
            <w:noWrap/>
            <w:vAlign w:val="center"/>
            <w:hideMark/>
          </w:tcPr>
          <w:p w14:paraId="5C9F0692" w14:textId="77777777" w:rsidR="00EE1B5D" w:rsidRPr="0083079D" w:rsidRDefault="00EE1B5D" w:rsidP="0083079D">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13</w:t>
            </w:r>
          </w:p>
        </w:tc>
        <w:tc>
          <w:tcPr>
            <w:tcW w:w="3682" w:type="pct"/>
            <w:tcBorders>
              <w:top w:val="single" w:sz="4" w:space="0" w:color="auto"/>
              <w:left w:val="nil"/>
              <w:bottom w:val="nil"/>
              <w:right w:val="nil"/>
            </w:tcBorders>
            <w:shd w:val="clear" w:color="auto" w:fill="auto"/>
            <w:noWrap/>
            <w:vAlign w:val="center"/>
            <w:hideMark/>
          </w:tcPr>
          <w:p w14:paraId="5BCBE6B4"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Publicações, universidades e clientes (77% para todas)</w:t>
            </w:r>
          </w:p>
        </w:tc>
      </w:tr>
      <w:tr w:rsidR="00EE1B5D" w:rsidRPr="0083079D" w14:paraId="4E803505" w14:textId="77777777" w:rsidTr="0083079D">
        <w:trPr>
          <w:trHeight w:val="438"/>
          <w:jc w:val="center"/>
        </w:trPr>
        <w:tc>
          <w:tcPr>
            <w:tcW w:w="483" w:type="pct"/>
            <w:tcBorders>
              <w:top w:val="nil"/>
              <w:left w:val="nil"/>
              <w:bottom w:val="nil"/>
              <w:right w:val="nil"/>
            </w:tcBorders>
            <w:shd w:val="clear" w:color="auto" w:fill="auto"/>
            <w:noWrap/>
            <w:vAlign w:val="center"/>
            <w:hideMark/>
          </w:tcPr>
          <w:p w14:paraId="1AC183B5"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Grupo 2</w:t>
            </w:r>
          </w:p>
        </w:tc>
        <w:tc>
          <w:tcPr>
            <w:tcW w:w="835" w:type="pct"/>
            <w:tcBorders>
              <w:top w:val="nil"/>
              <w:left w:val="nil"/>
              <w:bottom w:val="nil"/>
              <w:right w:val="nil"/>
            </w:tcBorders>
            <w:shd w:val="clear" w:color="auto" w:fill="auto"/>
            <w:noWrap/>
            <w:vAlign w:val="center"/>
            <w:hideMark/>
          </w:tcPr>
          <w:p w14:paraId="0CE67A1E" w14:textId="77777777" w:rsidR="00EE1B5D" w:rsidRPr="0083079D" w:rsidRDefault="00EE1B5D" w:rsidP="0083079D">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16</w:t>
            </w:r>
          </w:p>
        </w:tc>
        <w:tc>
          <w:tcPr>
            <w:tcW w:w="3682" w:type="pct"/>
            <w:tcBorders>
              <w:top w:val="nil"/>
              <w:left w:val="nil"/>
              <w:bottom w:val="nil"/>
              <w:right w:val="nil"/>
            </w:tcBorders>
            <w:shd w:val="clear" w:color="auto" w:fill="auto"/>
            <w:noWrap/>
            <w:vAlign w:val="center"/>
            <w:hideMark/>
          </w:tcPr>
          <w:p w14:paraId="00E78FB1"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Própria linha de produção (75%), universidades (87%) e clientes (81%)</w:t>
            </w:r>
          </w:p>
        </w:tc>
      </w:tr>
      <w:tr w:rsidR="00EE1B5D" w:rsidRPr="0083079D" w14:paraId="2E8EC206" w14:textId="77777777" w:rsidTr="0083079D">
        <w:trPr>
          <w:trHeight w:val="416"/>
          <w:jc w:val="center"/>
        </w:trPr>
        <w:tc>
          <w:tcPr>
            <w:tcW w:w="483" w:type="pct"/>
            <w:tcBorders>
              <w:top w:val="nil"/>
              <w:left w:val="nil"/>
              <w:bottom w:val="nil"/>
              <w:right w:val="nil"/>
            </w:tcBorders>
            <w:shd w:val="clear" w:color="auto" w:fill="auto"/>
            <w:noWrap/>
            <w:vAlign w:val="center"/>
            <w:hideMark/>
          </w:tcPr>
          <w:p w14:paraId="277ED1BE"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Grupo 3</w:t>
            </w:r>
          </w:p>
        </w:tc>
        <w:tc>
          <w:tcPr>
            <w:tcW w:w="835" w:type="pct"/>
            <w:tcBorders>
              <w:top w:val="nil"/>
              <w:left w:val="nil"/>
              <w:bottom w:val="nil"/>
              <w:right w:val="nil"/>
            </w:tcBorders>
            <w:shd w:val="clear" w:color="auto" w:fill="auto"/>
            <w:noWrap/>
            <w:vAlign w:val="center"/>
            <w:hideMark/>
          </w:tcPr>
          <w:p w14:paraId="47412B8F" w14:textId="77777777" w:rsidR="00EE1B5D" w:rsidRPr="0083079D" w:rsidRDefault="00EE1B5D" w:rsidP="0083079D">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9</w:t>
            </w:r>
          </w:p>
        </w:tc>
        <w:tc>
          <w:tcPr>
            <w:tcW w:w="3682" w:type="pct"/>
            <w:tcBorders>
              <w:top w:val="nil"/>
              <w:left w:val="nil"/>
              <w:bottom w:val="nil"/>
              <w:right w:val="nil"/>
            </w:tcBorders>
            <w:shd w:val="clear" w:color="auto" w:fill="auto"/>
            <w:noWrap/>
            <w:vAlign w:val="center"/>
            <w:hideMark/>
          </w:tcPr>
          <w:p w14:paraId="2A30D602"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Universidades e a própria linha de produção (100% para todas)</w:t>
            </w:r>
          </w:p>
        </w:tc>
      </w:tr>
      <w:tr w:rsidR="00EE1B5D" w:rsidRPr="0083079D" w14:paraId="23EF6AF9" w14:textId="77777777" w:rsidTr="0083079D">
        <w:trPr>
          <w:trHeight w:val="567"/>
          <w:jc w:val="center"/>
        </w:trPr>
        <w:tc>
          <w:tcPr>
            <w:tcW w:w="483" w:type="pct"/>
            <w:tcBorders>
              <w:top w:val="nil"/>
              <w:left w:val="nil"/>
              <w:bottom w:val="single" w:sz="4" w:space="0" w:color="auto"/>
              <w:right w:val="nil"/>
            </w:tcBorders>
            <w:shd w:val="clear" w:color="auto" w:fill="auto"/>
            <w:noWrap/>
            <w:vAlign w:val="center"/>
            <w:hideMark/>
          </w:tcPr>
          <w:p w14:paraId="35B63BF8"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Grupo 4</w:t>
            </w:r>
          </w:p>
        </w:tc>
        <w:tc>
          <w:tcPr>
            <w:tcW w:w="835" w:type="pct"/>
            <w:tcBorders>
              <w:top w:val="nil"/>
              <w:left w:val="nil"/>
              <w:bottom w:val="single" w:sz="4" w:space="0" w:color="auto"/>
              <w:right w:val="nil"/>
            </w:tcBorders>
            <w:shd w:val="clear" w:color="auto" w:fill="auto"/>
            <w:noWrap/>
            <w:vAlign w:val="center"/>
            <w:hideMark/>
          </w:tcPr>
          <w:p w14:paraId="2B276021" w14:textId="77777777" w:rsidR="00EE1B5D" w:rsidRPr="0083079D" w:rsidRDefault="00EE1B5D" w:rsidP="0083079D">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10</w:t>
            </w:r>
          </w:p>
        </w:tc>
        <w:tc>
          <w:tcPr>
            <w:tcW w:w="3682" w:type="pct"/>
            <w:tcBorders>
              <w:top w:val="nil"/>
              <w:left w:val="nil"/>
              <w:bottom w:val="single" w:sz="4" w:space="0" w:color="auto"/>
              <w:right w:val="nil"/>
            </w:tcBorders>
            <w:shd w:val="clear" w:color="auto" w:fill="auto"/>
            <w:noWrap/>
            <w:vAlign w:val="center"/>
            <w:hideMark/>
          </w:tcPr>
          <w:p w14:paraId="209F8CF6" w14:textId="77777777" w:rsidR="00EE1B5D" w:rsidRPr="0083079D" w:rsidRDefault="00EE1B5D" w:rsidP="0083079D">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Própria linha de produção (70%), outras empresas (70%), clientes, feiras, internet e concorrentes (60% para os últimos)</w:t>
            </w:r>
          </w:p>
        </w:tc>
      </w:tr>
    </w:tbl>
    <w:p w14:paraId="32E78F60" w14:textId="77777777" w:rsidR="00EE1B5D" w:rsidRPr="00A03A52" w:rsidRDefault="00EE1B5D" w:rsidP="005341B9">
      <w:pPr>
        <w:tabs>
          <w:tab w:val="left" w:pos="0"/>
        </w:tabs>
        <w:spacing w:line="240" w:lineRule="auto"/>
        <w:rPr>
          <w:sz w:val="20"/>
          <w:szCs w:val="20"/>
        </w:rPr>
      </w:pPr>
      <w:r w:rsidRPr="00A03A52">
        <w:rPr>
          <w:sz w:val="20"/>
          <w:szCs w:val="20"/>
        </w:rPr>
        <w:t>Fonte: Elaboração própria</w:t>
      </w:r>
      <w:r w:rsidR="004448BB" w:rsidRPr="00A03A52">
        <w:rPr>
          <w:sz w:val="20"/>
          <w:szCs w:val="20"/>
        </w:rPr>
        <w:t xml:space="preserve">, a partir do BR </w:t>
      </w:r>
      <w:r w:rsidR="001628DE" w:rsidRPr="00A03A52">
        <w:rPr>
          <w:i/>
          <w:sz w:val="20"/>
          <w:szCs w:val="20"/>
        </w:rPr>
        <w:t>Survey</w:t>
      </w:r>
    </w:p>
    <w:p w14:paraId="78742333" w14:textId="6DFF2A84" w:rsidR="00EE1B5D" w:rsidRPr="00A03A52" w:rsidRDefault="00A03A52" w:rsidP="005341B9">
      <w:pPr>
        <w:tabs>
          <w:tab w:val="left" w:pos="0"/>
        </w:tabs>
        <w:spacing w:line="240" w:lineRule="auto"/>
        <w:rPr>
          <w:sz w:val="20"/>
          <w:szCs w:val="20"/>
        </w:rPr>
      </w:pPr>
      <w:r>
        <w:rPr>
          <w:sz w:val="20"/>
          <w:szCs w:val="20"/>
        </w:rPr>
        <w:t>Nota: (</w:t>
      </w:r>
      <w:r w:rsidR="00EE1B5D" w:rsidRPr="00A03A52">
        <w:rPr>
          <w:sz w:val="20"/>
          <w:szCs w:val="20"/>
        </w:rPr>
        <w:t>*</w:t>
      </w:r>
      <w:r>
        <w:rPr>
          <w:sz w:val="20"/>
          <w:szCs w:val="20"/>
        </w:rPr>
        <w:t xml:space="preserve">) </w:t>
      </w:r>
      <w:r w:rsidR="00EE1B5D" w:rsidRPr="00A03A52">
        <w:rPr>
          <w:sz w:val="20"/>
          <w:szCs w:val="20"/>
        </w:rPr>
        <w:t>A porcentagem entre parênteses refere-se ao total de empresas que utilizaram determinada fonte de informação para sugerir ou completar projetos inovativos em relação ao total de empresas do grupo.</w:t>
      </w:r>
    </w:p>
    <w:p w14:paraId="1A7746C1" w14:textId="77777777" w:rsidR="00EE1B5D" w:rsidRPr="005341B9" w:rsidRDefault="00EE1B5D" w:rsidP="005341B9">
      <w:pPr>
        <w:tabs>
          <w:tab w:val="left" w:pos="0"/>
        </w:tabs>
        <w:spacing w:line="240" w:lineRule="auto"/>
      </w:pPr>
    </w:p>
    <w:p w14:paraId="6CE20AE4" w14:textId="77777777" w:rsidR="00DD7B81" w:rsidRPr="005341B9" w:rsidRDefault="00DD7B81" w:rsidP="005341B9">
      <w:pPr>
        <w:tabs>
          <w:tab w:val="left" w:pos="0"/>
        </w:tabs>
        <w:spacing w:line="240" w:lineRule="auto"/>
      </w:pPr>
      <w:r w:rsidRPr="005341B9">
        <w:tab/>
        <w:t xml:space="preserve">Assim, em termos de estratégia inovativa, pode-se observar que o grupo 1 é marcado pelo maior esforço inovativo, mas com um desempenho inovativo médio-baixo, onde a principal inovação (produto ou processo) é para a própria empresa, desenvolvida a partir dos conhecimentos oriundos principalmente de universidades, </w:t>
      </w:r>
      <w:r w:rsidR="0074596C" w:rsidRPr="005341B9">
        <w:t xml:space="preserve">de acesso a </w:t>
      </w:r>
      <w:r w:rsidRPr="005341B9">
        <w:t xml:space="preserve">publicações e </w:t>
      </w:r>
      <w:r w:rsidR="0074596C" w:rsidRPr="005341B9">
        <w:t xml:space="preserve">da interação com </w:t>
      </w:r>
      <w:r w:rsidRPr="005341B9">
        <w:t xml:space="preserve">clientes. Já o grupo 2 </w:t>
      </w:r>
      <w:r w:rsidR="009F6CD8" w:rsidRPr="005341B9">
        <w:t xml:space="preserve">tem um esforço em P&amp;D </w:t>
      </w:r>
      <w:r w:rsidRPr="005341B9">
        <w:t xml:space="preserve">e um desempenho inovativo médios, mas com a inovação de produto destinada para a empresa ou </w:t>
      </w:r>
      <w:r w:rsidR="004448BB" w:rsidRPr="005341B9">
        <w:t xml:space="preserve">o </w:t>
      </w:r>
      <w:r w:rsidRPr="005341B9">
        <w:lastRenderedPageBreak/>
        <w:t>país, enquanto a inovação de processo</w:t>
      </w:r>
      <w:r w:rsidR="004448BB" w:rsidRPr="005341B9">
        <w:t xml:space="preserve"> é</w:t>
      </w:r>
      <w:r w:rsidRPr="005341B9">
        <w:t xml:space="preserve"> para a pr</w:t>
      </w:r>
      <w:r w:rsidR="009F6CD8" w:rsidRPr="005341B9">
        <w:t xml:space="preserve">ópria empresa, </w:t>
      </w:r>
      <w:r w:rsidR="004448BB" w:rsidRPr="005341B9">
        <w:t xml:space="preserve">e </w:t>
      </w:r>
      <w:r w:rsidR="009F6CD8" w:rsidRPr="005341B9">
        <w:t>gerada a partir também d</w:t>
      </w:r>
      <w:r w:rsidR="0074596C" w:rsidRPr="005341B9">
        <w:t>e informações oriundas d</w:t>
      </w:r>
      <w:r w:rsidR="009F6CD8" w:rsidRPr="005341B9">
        <w:t xml:space="preserve">as universidades e </w:t>
      </w:r>
      <w:r w:rsidR="0074596C" w:rsidRPr="005341B9">
        <w:t xml:space="preserve">dos </w:t>
      </w:r>
      <w:r w:rsidR="009F6CD8" w:rsidRPr="005341B9">
        <w:t xml:space="preserve">clientes, mas </w:t>
      </w:r>
      <w:r w:rsidR="0074596C" w:rsidRPr="005341B9">
        <w:t xml:space="preserve">sendo também </w:t>
      </w:r>
      <w:r w:rsidR="009F6CD8" w:rsidRPr="005341B9">
        <w:t>import</w:t>
      </w:r>
      <w:r w:rsidR="0074596C" w:rsidRPr="005341B9">
        <w:t xml:space="preserve">ante </w:t>
      </w:r>
      <w:r w:rsidR="009F6CD8" w:rsidRPr="005341B9">
        <w:t xml:space="preserve">a própria linha de produção. Isso talvez explique a elevada parcela de empresas que realizaram apenas aperfeiçoamento de produtos (84,6%). Para o grupo 3, o esforço em </w:t>
      </w:r>
      <w:r w:rsidRPr="005341B9">
        <w:t xml:space="preserve">P&amp;D </w:t>
      </w:r>
      <w:r w:rsidR="009F6CD8" w:rsidRPr="005341B9">
        <w:t xml:space="preserve">é médio, mas a inovação é focada no mercado mundial, sendo as universidades e a própria linha de produção as principais fontes de informação </w:t>
      </w:r>
      <w:r w:rsidR="0074596C" w:rsidRPr="005341B9">
        <w:t>utilizadas</w:t>
      </w:r>
      <w:r w:rsidR="009F6CD8" w:rsidRPr="005341B9">
        <w:t xml:space="preserve">. É válido ressaltar que esse foi o grupo com </w:t>
      </w:r>
      <w:r w:rsidR="0074596C" w:rsidRPr="005341B9">
        <w:t xml:space="preserve">a </w:t>
      </w:r>
      <w:r w:rsidR="009F6CD8" w:rsidRPr="005341B9">
        <w:t>maior variedade de fontes de informação importantes e de motiv</w:t>
      </w:r>
      <w:r w:rsidR="0074596C" w:rsidRPr="005341B9">
        <w:t>aç</w:t>
      </w:r>
      <w:r w:rsidR="006B703E" w:rsidRPr="005341B9">
        <w:t>ões</w:t>
      </w:r>
      <w:r w:rsidR="0074596C" w:rsidRPr="005341B9">
        <w:t xml:space="preserve"> </w:t>
      </w:r>
      <w:r w:rsidR="009F6CD8" w:rsidRPr="005341B9">
        <w:t xml:space="preserve">para interagir. Por fim, o grupo 4 apresentou o menor esforço em P&amp;D e desempenho inovativo, focando </w:t>
      </w:r>
      <w:r w:rsidR="00BC5699" w:rsidRPr="005341B9">
        <w:t xml:space="preserve">no </w:t>
      </w:r>
      <w:r w:rsidR="009F6CD8" w:rsidRPr="005341B9">
        <w:t>aperfeiçoamento de produtos e processos</w:t>
      </w:r>
      <w:r w:rsidR="004448BB" w:rsidRPr="005341B9">
        <w:t xml:space="preserve">. Esse é </w:t>
      </w:r>
      <w:r w:rsidR="009F6CD8" w:rsidRPr="005341B9">
        <w:t xml:space="preserve">o único grupo onde </w:t>
      </w:r>
      <w:r w:rsidR="009138C6" w:rsidRPr="005341B9">
        <w:t>as universidades não estiv</w:t>
      </w:r>
      <w:r w:rsidR="004448BB" w:rsidRPr="005341B9">
        <w:t>eram</w:t>
      </w:r>
      <w:r w:rsidR="009138C6" w:rsidRPr="005341B9">
        <w:t xml:space="preserve"> entre as principais fontes de informação.</w:t>
      </w:r>
    </w:p>
    <w:p w14:paraId="36C8B02F" w14:textId="77777777" w:rsidR="00DD7B81" w:rsidRPr="005341B9" w:rsidRDefault="00DD7B81" w:rsidP="005341B9">
      <w:pPr>
        <w:tabs>
          <w:tab w:val="left" w:pos="0"/>
        </w:tabs>
        <w:spacing w:line="240" w:lineRule="auto"/>
      </w:pPr>
    </w:p>
    <w:p w14:paraId="4C1BCF85" w14:textId="3D62DE4D" w:rsidR="00EE1B5D" w:rsidRPr="005341B9" w:rsidRDefault="00F70561" w:rsidP="005341B9">
      <w:pPr>
        <w:tabs>
          <w:tab w:val="left" w:pos="0"/>
        </w:tabs>
        <w:spacing w:line="240" w:lineRule="auto"/>
        <w:rPr>
          <w:b/>
          <w:i/>
        </w:rPr>
      </w:pPr>
      <w:r>
        <w:rPr>
          <w:b/>
          <w:i/>
        </w:rPr>
        <w:t>4</w:t>
      </w:r>
      <w:r w:rsidR="00840A30" w:rsidRPr="005341B9">
        <w:rPr>
          <w:b/>
          <w:i/>
        </w:rPr>
        <w:t>.4</w:t>
      </w:r>
      <w:r w:rsidR="00EE1B5D" w:rsidRPr="005341B9">
        <w:rPr>
          <w:b/>
          <w:i/>
        </w:rPr>
        <w:t>. Canais de transferência de conhecimento</w:t>
      </w:r>
    </w:p>
    <w:p w14:paraId="61F4EFFD" w14:textId="77777777" w:rsidR="00F50053" w:rsidRPr="005341B9" w:rsidRDefault="00F50053" w:rsidP="005341B9">
      <w:pPr>
        <w:tabs>
          <w:tab w:val="left" w:pos="0"/>
        </w:tabs>
        <w:spacing w:line="240" w:lineRule="auto"/>
        <w:rPr>
          <w:b/>
          <w:i/>
        </w:rPr>
      </w:pPr>
    </w:p>
    <w:p w14:paraId="0CA7B27A" w14:textId="0061B58D" w:rsidR="00EE1B5D" w:rsidRPr="005341B9" w:rsidRDefault="009138C6" w:rsidP="005341B9">
      <w:pPr>
        <w:pStyle w:val="PargrafodaLista"/>
        <w:autoSpaceDE w:val="0"/>
        <w:autoSpaceDN w:val="0"/>
        <w:adjustRightInd w:val="0"/>
        <w:spacing w:line="240" w:lineRule="auto"/>
        <w:ind w:left="0" w:firstLine="709"/>
      </w:pPr>
      <w:r w:rsidRPr="005341B9">
        <w:t>Dada a caracterização anterior, onde pode</w:t>
      </w:r>
      <w:r w:rsidR="000E51CC" w:rsidRPr="005341B9">
        <w:t>m</w:t>
      </w:r>
      <w:r w:rsidRPr="005341B9">
        <w:t xml:space="preserve"> ser observada</w:t>
      </w:r>
      <w:r w:rsidR="000E51CC" w:rsidRPr="005341B9">
        <w:t>s</w:t>
      </w:r>
      <w:r w:rsidRPr="005341B9">
        <w:t xml:space="preserve"> diferentes estratégias inovativas e a importância das universidades para três dos quatro grupos, a seguir são </w:t>
      </w:r>
      <w:r w:rsidR="00F50053" w:rsidRPr="005341B9">
        <w:t xml:space="preserve">apresentados os canais utilizados para acessar as informações e os conhecimentos </w:t>
      </w:r>
      <w:r w:rsidRPr="005341B9">
        <w:t xml:space="preserve">das universidades. </w:t>
      </w:r>
      <w:r w:rsidR="00EE1B5D" w:rsidRPr="005341B9">
        <w:t xml:space="preserve">Na figura </w:t>
      </w:r>
      <w:r w:rsidR="004524C4">
        <w:t>6</w:t>
      </w:r>
      <w:r w:rsidR="000E51CC" w:rsidRPr="005341B9">
        <w:t xml:space="preserve"> </w:t>
      </w:r>
      <w:r w:rsidR="00EE1B5D" w:rsidRPr="005341B9">
        <w:t>são apresentadas as porcentagens de empresas que consideraram determinado canal de transferência de conhecimento com alta ou moderada importância. Essa porcentagem foi calculada para cada grupo, com base no total de empresas do grupo.</w:t>
      </w:r>
    </w:p>
    <w:p w14:paraId="1876A593" w14:textId="77777777" w:rsidR="00EE1B5D" w:rsidRPr="005341B9" w:rsidRDefault="00EE1B5D" w:rsidP="005341B9">
      <w:pPr>
        <w:pStyle w:val="PargrafodaLista"/>
        <w:autoSpaceDE w:val="0"/>
        <w:autoSpaceDN w:val="0"/>
        <w:adjustRightInd w:val="0"/>
        <w:spacing w:line="240" w:lineRule="auto"/>
        <w:ind w:left="0" w:firstLine="709"/>
      </w:pPr>
    </w:p>
    <w:p w14:paraId="1ABAB52C" w14:textId="6A423A8D" w:rsidR="00EE1B5D" w:rsidRPr="005341B9" w:rsidRDefault="00EE1B5D" w:rsidP="005341B9">
      <w:pPr>
        <w:autoSpaceDE w:val="0"/>
        <w:autoSpaceDN w:val="0"/>
        <w:adjustRightInd w:val="0"/>
        <w:spacing w:line="240" w:lineRule="auto"/>
        <w:jc w:val="center"/>
      </w:pPr>
      <w:r w:rsidRPr="005341B9">
        <w:rPr>
          <w:b/>
        </w:rPr>
        <w:t xml:space="preserve">Figura </w:t>
      </w:r>
      <w:r w:rsidR="004524C4">
        <w:rPr>
          <w:b/>
        </w:rPr>
        <w:t xml:space="preserve">6 </w:t>
      </w:r>
      <w:r w:rsidRPr="005341B9">
        <w:rPr>
          <w:b/>
        </w:rPr>
        <w:t>- Canais de Transferência de Conhecimento das Universidades</w:t>
      </w:r>
      <w:r w:rsidRPr="005341B9">
        <w:rPr>
          <w:noProof/>
          <w:lang w:eastAsia="pt-BR"/>
        </w:rPr>
        <w:drawing>
          <wp:inline distT="0" distB="0" distL="0" distR="0" wp14:anchorId="58413807" wp14:editId="3B299741">
            <wp:extent cx="5111750" cy="3733800"/>
            <wp:effectExtent l="0" t="0" r="0"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C51861" w14:textId="77777777" w:rsidR="00EE1B5D" w:rsidRPr="002A13CC" w:rsidRDefault="00EE1B5D" w:rsidP="005341B9">
      <w:pPr>
        <w:pStyle w:val="PargrafodaLista"/>
        <w:autoSpaceDE w:val="0"/>
        <w:autoSpaceDN w:val="0"/>
        <w:adjustRightInd w:val="0"/>
        <w:spacing w:line="240" w:lineRule="auto"/>
        <w:ind w:left="0"/>
        <w:rPr>
          <w:sz w:val="20"/>
          <w:szCs w:val="20"/>
        </w:rPr>
      </w:pPr>
      <w:r w:rsidRPr="002A13CC">
        <w:rPr>
          <w:sz w:val="20"/>
          <w:szCs w:val="20"/>
        </w:rPr>
        <w:t>Fonte: Elaboração própria</w:t>
      </w:r>
      <w:r w:rsidR="000E51CC" w:rsidRPr="002A13CC">
        <w:rPr>
          <w:sz w:val="20"/>
          <w:szCs w:val="20"/>
        </w:rPr>
        <w:t xml:space="preserve">, a partir do BR </w:t>
      </w:r>
      <w:r w:rsidR="001628DE" w:rsidRPr="002A13CC">
        <w:rPr>
          <w:i/>
          <w:sz w:val="20"/>
          <w:szCs w:val="20"/>
        </w:rPr>
        <w:t>Survey</w:t>
      </w:r>
      <w:r w:rsidRPr="002A13CC">
        <w:rPr>
          <w:sz w:val="20"/>
          <w:szCs w:val="20"/>
        </w:rPr>
        <w:t xml:space="preserve">. </w:t>
      </w:r>
    </w:p>
    <w:p w14:paraId="2F44E7FA" w14:textId="77777777" w:rsidR="00EE1B5D" w:rsidRPr="002A13CC" w:rsidRDefault="00EE1B5D" w:rsidP="005341B9">
      <w:pPr>
        <w:pStyle w:val="PargrafodaLista"/>
        <w:autoSpaceDE w:val="0"/>
        <w:autoSpaceDN w:val="0"/>
        <w:adjustRightInd w:val="0"/>
        <w:spacing w:line="240" w:lineRule="auto"/>
        <w:ind w:left="0"/>
        <w:rPr>
          <w:sz w:val="20"/>
          <w:szCs w:val="20"/>
        </w:rPr>
      </w:pPr>
      <w:r w:rsidRPr="002A13CC">
        <w:rPr>
          <w:sz w:val="20"/>
          <w:szCs w:val="20"/>
        </w:rPr>
        <w:t xml:space="preserve">Legenda: Public. = Publicações e relatórios; Conferência = Conferência públicas e encontros; Troca informal = Troca informal de informações; Consult. = Consultoria com pesquisadores individuais; Pesq. Encomendada = Pesquisa Encomendada para a Universidade; Pesq. Conj. = Pesquisa realizada em conjunto com a universidade; Redes = participação em redes que envolvam universidades; Contratação Grad./pós-grad. = Pessoal contratado com graduação ou pós-graduação; Intercâmbio temp. mdo = Intercâmbio temporário de pessoal; Incub. = Incubadoras; Parq. C&amp;T = Parques científicos e/ou tecnológicos; Empresa da Univ. = Empresa pertence a uma Universidade; Spinoff = Empresa é </w:t>
      </w:r>
      <w:r w:rsidRPr="002A13CC">
        <w:rPr>
          <w:i/>
          <w:sz w:val="20"/>
          <w:szCs w:val="20"/>
        </w:rPr>
        <w:t>spinoff</w:t>
      </w:r>
      <w:r w:rsidRPr="002A13CC">
        <w:rPr>
          <w:sz w:val="20"/>
          <w:szCs w:val="20"/>
        </w:rPr>
        <w:t xml:space="preserve"> da Universidade</w:t>
      </w:r>
    </w:p>
    <w:p w14:paraId="01843824" w14:textId="77777777" w:rsidR="00EE1B5D" w:rsidRPr="002A13CC" w:rsidRDefault="00EE1B5D" w:rsidP="005341B9">
      <w:pPr>
        <w:pStyle w:val="PargrafodaLista"/>
        <w:autoSpaceDE w:val="0"/>
        <w:autoSpaceDN w:val="0"/>
        <w:adjustRightInd w:val="0"/>
        <w:spacing w:line="240" w:lineRule="auto"/>
        <w:ind w:left="0"/>
        <w:rPr>
          <w:sz w:val="20"/>
          <w:szCs w:val="20"/>
        </w:rPr>
      </w:pPr>
    </w:p>
    <w:p w14:paraId="486A7A25" w14:textId="3C6AA3A6" w:rsidR="00EE1B5D" w:rsidRPr="005341B9" w:rsidRDefault="00EE1B5D" w:rsidP="005341B9">
      <w:pPr>
        <w:pStyle w:val="PargrafodaLista"/>
        <w:autoSpaceDE w:val="0"/>
        <w:autoSpaceDN w:val="0"/>
        <w:adjustRightInd w:val="0"/>
        <w:spacing w:line="240" w:lineRule="auto"/>
        <w:ind w:left="0"/>
      </w:pPr>
      <w:r w:rsidRPr="005341B9">
        <w:tab/>
        <w:t>O primeiro ponto q</w:t>
      </w:r>
      <w:r w:rsidR="004524C4">
        <w:t>ue pode ser destacado na figura 6</w:t>
      </w:r>
      <w:r w:rsidRPr="005341B9">
        <w:t xml:space="preserve"> é a importância mais baixa para a transmissão de conhecimento através de </w:t>
      </w:r>
      <w:r w:rsidRPr="005341B9">
        <w:rPr>
          <w:i/>
        </w:rPr>
        <w:t>spinoffs</w:t>
      </w:r>
      <w:r w:rsidRPr="005341B9">
        <w:t>, empresa pertencente à universidade, incubadora</w:t>
      </w:r>
      <w:r w:rsidR="005D3E07" w:rsidRPr="005341B9">
        <w:t>s</w:t>
      </w:r>
      <w:r w:rsidRPr="005341B9">
        <w:t>, parque</w:t>
      </w:r>
      <w:r w:rsidR="005D3E07" w:rsidRPr="005341B9">
        <w:t>s</w:t>
      </w:r>
      <w:r w:rsidRPr="005341B9">
        <w:t xml:space="preserve"> científico</w:t>
      </w:r>
      <w:r w:rsidR="005D3E07" w:rsidRPr="005341B9">
        <w:t>s</w:t>
      </w:r>
      <w:r w:rsidRPr="005341B9">
        <w:t xml:space="preserve"> e</w:t>
      </w:r>
      <w:r w:rsidR="005D3E07" w:rsidRPr="005341B9">
        <w:t>/ou</w:t>
      </w:r>
      <w:r w:rsidRPr="005341B9">
        <w:t xml:space="preserve"> tecnológico</w:t>
      </w:r>
      <w:r w:rsidR="005D3E07" w:rsidRPr="005341B9">
        <w:t>s</w:t>
      </w:r>
      <w:r w:rsidRPr="005341B9">
        <w:t xml:space="preserve"> para todos os grupos. A única exceção é o </w:t>
      </w:r>
      <w:r w:rsidR="001628DE" w:rsidRPr="005341B9">
        <w:t>grupo 3</w:t>
      </w:r>
      <w:r w:rsidRPr="005341B9">
        <w:rPr>
          <w:i/>
        </w:rPr>
        <w:t xml:space="preserve"> </w:t>
      </w:r>
      <w:r w:rsidRPr="005341B9">
        <w:t xml:space="preserve">quanto à </w:t>
      </w:r>
      <w:r w:rsidRPr="005341B9">
        <w:rPr>
          <w:i/>
        </w:rPr>
        <w:t>spinoff</w:t>
      </w:r>
      <w:r w:rsidRPr="005341B9">
        <w:t xml:space="preserve">, </w:t>
      </w:r>
      <w:r w:rsidRPr="005341B9">
        <w:lastRenderedPageBreak/>
        <w:t>a qual apresentou alta importância</w:t>
      </w:r>
      <w:r w:rsidR="005D3E07" w:rsidRPr="005341B9">
        <w:t xml:space="preserve">, entretanto, </w:t>
      </w:r>
      <w:r w:rsidRPr="005341B9">
        <w:t xml:space="preserve">essa forma de transmissão de conhecimento não está entre as principais para esse grupo. </w:t>
      </w:r>
    </w:p>
    <w:p w14:paraId="37DCB8B5" w14:textId="77777777" w:rsidR="00EE1B5D" w:rsidRPr="005341B9" w:rsidRDefault="00EE1B5D" w:rsidP="005341B9">
      <w:pPr>
        <w:pStyle w:val="PargrafodaLista"/>
        <w:autoSpaceDE w:val="0"/>
        <w:autoSpaceDN w:val="0"/>
        <w:adjustRightInd w:val="0"/>
        <w:spacing w:line="240" w:lineRule="auto"/>
        <w:ind w:left="0"/>
      </w:pPr>
      <w:r w:rsidRPr="005341B9">
        <w:tab/>
        <w:t xml:space="preserve">Ainda para o </w:t>
      </w:r>
      <w:r w:rsidR="001628DE" w:rsidRPr="005341B9">
        <w:t>Grupo 3 pode-se destacar que a</w:t>
      </w:r>
      <w:r w:rsidRPr="005341B9">
        <w:rPr>
          <w:i/>
        </w:rPr>
        <w:t xml:space="preserve"> </w:t>
      </w:r>
      <w:r w:rsidRPr="005341B9">
        <w:t>diversidade de motivos</w:t>
      </w:r>
      <w:r w:rsidR="005D3E07" w:rsidRPr="005341B9">
        <w:t xml:space="preserve"> para a interação</w:t>
      </w:r>
      <w:r w:rsidRPr="005341B9">
        <w:t xml:space="preserve"> está aparentemente relacionada com a diversidade de canais. Esse grupo foi o que apresentou a maior diversidade de motivos importantes para interagir ao mesmo tempo em que apresentou a maior porcentagem de empresas para praticamente todos os canais. Dentre os principais canais para esse grupo estão as publicações, consultoria com pesquisadores individuais, pesquisa conjunta e participação em redes. Esses canais foram importantes para as 9 empresas desse grupo. Assim, as empresas do </w:t>
      </w:r>
      <w:r w:rsidR="001628DE" w:rsidRPr="005341B9">
        <w:t>grupo 3</w:t>
      </w:r>
      <w:r w:rsidRPr="005341B9">
        <w:rPr>
          <w:i/>
        </w:rPr>
        <w:t xml:space="preserve"> </w:t>
      </w:r>
      <w:r w:rsidRPr="005341B9">
        <w:t>interagem buscando principalmente a transferência de tecnologia, mas a interação ocorre de diversos modos em que há a transferência de conhecimento</w:t>
      </w:r>
      <w:r w:rsidR="005D3E07" w:rsidRPr="005341B9">
        <w:t>,</w:t>
      </w:r>
      <w:r w:rsidRPr="005341B9">
        <w:t xml:space="preserve"> tanto tácito quanto codificado, através de mecanismos formais e informais. </w:t>
      </w:r>
    </w:p>
    <w:p w14:paraId="29A6BFD6" w14:textId="77777777" w:rsidR="00EE1B5D" w:rsidRPr="005341B9" w:rsidRDefault="00EE1B5D" w:rsidP="005341B9">
      <w:pPr>
        <w:pStyle w:val="PargrafodaLista"/>
        <w:autoSpaceDE w:val="0"/>
        <w:autoSpaceDN w:val="0"/>
        <w:adjustRightInd w:val="0"/>
        <w:spacing w:line="240" w:lineRule="auto"/>
        <w:ind w:left="0"/>
      </w:pPr>
      <w:r w:rsidRPr="005341B9">
        <w:tab/>
        <w:t xml:space="preserve">Já para o </w:t>
      </w:r>
      <w:r w:rsidR="001628DE" w:rsidRPr="005341B9">
        <w:t>Grupo 1</w:t>
      </w:r>
      <w:r w:rsidRPr="005341B9">
        <w:t>, o principal canal é a contratação de graduado e pós-graduado. Isso é condizente com o principal motivo para interagir desse grupo: o contato mais precoce com estudantes.</w:t>
      </w:r>
      <w:r w:rsidRPr="005341B9">
        <w:rPr>
          <w:i/>
        </w:rPr>
        <w:t xml:space="preserve"> </w:t>
      </w:r>
      <w:r w:rsidRPr="005341B9">
        <w:t xml:space="preserve">O segundo canal mais utilizado foram as conferências públicas e encontros. É importante destacar que esse canal foi importante para todos os grupos, </w:t>
      </w:r>
      <w:r w:rsidR="005D3E07" w:rsidRPr="005341B9">
        <w:t xml:space="preserve">embora </w:t>
      </w:r>
      <w:r w:rsidRPr="005341B9">
        <w:t xml:space="preserve">com menor magnitude para o </w:t>
      </w:r>
      <w:r w:rsidR="001628DE" w:rsidRPr="005341B9">
        <w:t>grupo 4</w:t>
      </w:r>
      <w:r w:rsidRPr="005341B9">
        <w:t xml:space="preserve">. O terceiro canal mais utilizado foi </w:t>
      </w:r>
      <w:r w:rsidR="0043332D" w:rsidRPr="005341B9">
        <w:t xml:space="preserve">a </w:t>
      </w:r>
      <w:r w:rsidRPr="005341B9">
        <w:t>pesquisa conjunta, mas com uma porcentagem bem inferior à contratação de graduado ou pós-graduado</w:t>
      </w:r>
      <w:r w:rsidR="0043332D" w:rsidRPr="005341B9">
        <w:t xml:space="preserve">. É interessante notar que ela </w:t>
      </w:r>
      <w:r w:rsidRPr="005341B9">
        <w:t xml:space="preserve">pode fornecer uma informação importante sobre a relação entre </w:t>
      </w:r>
      <w:r w:rsidR="0043332D" w:rsidRPr="005341B9">
        <w:t xml:space="preserve">o </w:t>
      </w:r>
      <w:r w:rsidRPr="005341B9">
        <w:t xml:space="preserve">canal utilizado e </w:t>
      </w:r>
      <w:r w:rsidR="0043332D" w:rsidRPr="005341B9">
        <w:t xml:space="preserve">a </w:t>
      </w:r>
      <w:r w:rsidRPr="005341B9">
        <w:t xml:space="preserve">razão para interagir. Nesse grupo, o segundo motivo mais importante foi a contratação de pesquisa complementar. Assim, esse grupo busca além de contratar estudantes, realizar pesquisas conjuntas que complementem suas atividades, ainda que a busca por pesquisa complementar tenha sido importante para apenas 30,77% das empresas desse grupo. Por último, vale salientar que esse grupo é formado principalmente pelo setor de P&amp;D científico, o que pode explicar esses resultados. </w:t>
      </w:r>
    </w:p>
    <w:p w14:paraId="5D6DD82B" w14:textId="51B80B87" w:rsidR="0097142A" w:rsidRPr="005341B9" w:rsidRDefault="00EE1B5D" w:rsidP="0097142A">
      <w:pPr>
        <w:pStyle w:val="PargrafodaLista"/>
        <w:autoSpaceDE w:val="0"/>
        <w:autoSpaceDN w:val="0"/>
        <w:adjustRightInd w:val="0"/>
        <w:spacing w:line="240" w:lineRule="auto"/>
        <w:ind w:left="0"/>
      </w:pPr>
      <w:r w:rsidRPr="005341B9">
        <w:tab/>
        <w:t xml:space="preserve">Para o </w:t>
      </w:r>
      <w:r w:rsidR="001628DE" w:rsidRPr="005341B9">
        <w:t>Grupo 2</w:t>
      </w:r>
      <w:r w:rsidRPr="005341B9">
        <w:t xml:space="preserve">, os principais canais de conhecimento foram informais, como as trocas informais de informação e as conferências públicas e encontros (apresentando inclusive valores superiores aos apresentados pelo </w:t>
      </w:r>
      <w:r w:rsidR="001628DE" w:rsidRPr="005341B9">
        <w:t>Grupo 3</w:t>
      </w:r>
      <w:r w:rsidRPr="005341B9">
        <w:t xml:space="preserve">), e as publicações. Novamente vale destacar que para o </w:t>
      </w:r>
      <w:r w:rsidR="001628DE" w:rsidRPr="005341B9">
        <w:t>Grupo 2</w:t>
      </w:r>
      <w:r w:rsidRPr="005341B9">
        <w:rPr>
          <w:i/>
        </w:rPr>
        <w:t xml:space="preserve"> </w:t>
      </w:r>
      <w:r w:rsidRPr="005341B9">
        <w:t>os dois principais motivos para a interação foram a transferência tecnológica e a busca por conselhos tecnológicos visando solucionar problemas na produção. Assim, as empresas desse grupo tendem a interagir visando objetivos de curto prazo, como a solução de problemas da produção, de modo que interagem buscando relações informais e com “acesso mais fácil”.</w:t>
      </w:r>
      <w:r w:rsidR="0083079D">
        <w:t xml:space="preserve"> </w:t>
      </w:r>
      <w:r w:rsidR="0083079D" w:rsidRPr="005341B9">
        <w:t>Já para o Grupo 4, a baixa “motivação” para interagir é refletida na baixa utilização de praticamente todos os canais. Os canais mais utilizados pelas empresas desse grupo foram publicações, conferências públicas e trocas informais de informação, todos utilizados por aproximadamente 30% das empresas desse grupo.</w:t>
      </w:r>
      <w:r w:rsidR="0097142A">
        <w:t xml:space="preserve"> A</w:t>
      </w:r>
      <w:r w:rsidR="0083079D">
        <w:t xml:space="preserve"> tabela 7</w:t>
      </w:r>
      <w:r w:rsidR="0083079D" w:rsidRPr="005341B9">
        <w:t xml:space="preserve"> sintetiza as observações anteriores.</w:t>
      </w:r>
      <w:r w:rsidR="0097142A">
        <w:t xml:space="preserve"> </w:t>
      </w:r>
      <w:r w:rsidR="0097142A" w:rsidRPr="005341B9">
        <w:t>A</w:t>
      </w:r>
      <w:r w:rsidR="003A6E33">
        <w:t>pós esta é realizada</w:t>
      </w:r>
      <w:r w:rsidR="0097142A" w:rsidRPr="005341B9">
        <w:t xml:space="preserve"> uma caracterização geral dos grupos.</w:t>
      </w:r>
    </w:p>
    <w:p w14:paraId="7D1A448A" w14:textId="5E863360" w:rsidR="00EE1B5D" w:rsidRPr="005341B9" w:rsidRDefault="00EE1B5D" w:rsidP="005341B9">
      <w:pPr>
        <w:pStyle w:val="PargrafodaLista"/>
        <w:autoSpaceDE w:val="0"/>
        <w:autoSpaceDN w:val="0"/>
        <w:adjustRightInd w:val="0"/>
        <w:spacing w:line="240" w:lineRule="auto"/>
        <w:ind w:left="0"/>
      </w:pPr>
    </w:p>
    <w:p w14:paraId="4CCFD383" w14:textId="417CE57A" w:rsidR="00EE1B5D" w:rsidRPr="005341B9" w:rsidRDefault="00EE1B5D" w:rsidP="005341B9">
      <w:pPr>
        <w:autoSpaceDE w:val="0"/>
        <w:autoSpaceDN w:val="0"/>
        <w:adjustRightInd w:val="0"/>
        <w:spacing w:line="240" w:lineRule="auto"/>
        <w:jc w:val="center"/>
        <w:rPr>
          <w:b/>
        </w:rPr>
      </w:pPr>
      <w:r w:rsidRPr="005341B9">
        <w:rPr>
          <w:b/>
        </w:rPr>
        <w:t xml:space="preserve">Tabela </w:t>
      </w:r>
      <w:r w:rsidR="0056719B">
        <w:rPr>
          <w:b/>
        </w:rPr>
        <w:t>7</w:t>
      </w:r>
      <w:r w:rsidRPr="005341B9">
        <w:rPr>
          <w:b/>
        </w:rPr>
        <w:t>: Caracterização dos grupos quanto aos canais utilizados para interagir.</w:t>
      </w:r>
    </w:p>
    <w:tbl>
      <w:tblPr>
        <w:tblW w:w="5000" w:type="pct"/>
        <w:jc w:val="center"/>
        <w:tblCellMar>
          <w:left w:w="70" w:type="dxa"/>
          <w:right w:w="70" w:type="dxa"/>
        </w:tblCellMar>
        <w:tblLook w:val="04A0" w:firstRow="1" w:lastRow="0" w:firstColumn="1" w:lastColumn="0" w:noHBand="0" w:noVBand="1"/>
      </w:tblPr>
      <w:tblGrid>
        <w:gridCol w:w="1141"/>
        <w:gridCol w:w="1423"/>
        <w:gridCol w:w="1812"/>
        <w:gridCol w:w="5968"/>
      </w:tblGrid>
      <w:tr w:rsidR="00EE1B5D" w:rsidRPr="0083079D" w14:paraId="1F47CE2D" w14:textId="77777777" w:rsidTr="00CF5F47">
        <w:trPr>
          <w:trHeight w:val="340"/>
          <w:jc w:val="center"/>
        </w:trPr>
        <w:tc>
          <w:tcPr>
            <w:tcW w:w="551" w:type="pct"/>
            <w:tcBorders>
              <w:top w:val="single" w:sz="4" w:space="0" w:color="auto"/>
              <w:left w:val="nil"/>
              <w:bottom w:val="single" w:sz="4" w:space="0" w:color="auto"/>
              <w:right w:val="nil"/>
            </w:tcBorders>
            <w:shd w:val="clear" w:color="auto" w:fill="auto"/>
            <w:vAlign w:val="center"/>
            <w:hideMark/>
          </w:tcPr>
          <w:p w14:paraId="5BF2316A" w14:textId="77777777" w:rsidR="00EE1B5D" w:rsidRPr="0083079D" w:rsidRDefault="00EE1B5D" w:rsidP="005341B9">
            <w:pPr>
              <w:spacing w:line="240" w:lineRule="auto"/>
              <w:jc w:val="center"/>
              <w:rPr>
                <w:rFonts w:eastAsia="Times New Roman"/>
                <w:color w:val="000000"/>
                <w:sz w:val="22"/>
                <w:szCs w:val="22"/>
                <w:lang w:eastAsia="pt-BR"/>
              </w:rPr>
            </w:pPr>
          </w:p>
        </w:tc>
        <w:tc>
          <w:tcPr>
            <w:tcW w:w="688" w:type="pct"/>
            <w:tcBorders>
              <w:top w:val="single" w:sz="4" w:space="0" w:color="auto"/>
              <w:left w:val="nil"/>
              <w:bottom w:val="single" w:sz="4" w:space="0" w:color="auto"/>
              <w:right w:val="nil"/>
            </w:tcBorders>
            <w:shd w:val="clear" w:color="auto" w:fill="auto"/>
            <w:vAlign w:val="center"/>
            <w:hideMark/>
          </w:tcPr>
          <w:p w14:paraId="755E8DC4"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Nº de Empresas</w:t>
            </w:r>
          </w:p>
        </w:tc>
        <w:tc>
          <w:tcPr>
            <w:tcW w:w="876" w:type="pct"/>
            <w:tcBorders>
              <w:top w:val="single" w:sz="4" w:space="0" w:color="auto"/>
              <w:left w:val="nil"/>
              <w:bottom w:val="single" w:sz="4" w:space="0" w:color="auto"/>
              <w:right w:val="nil"/>
            </w:tcBorders>
            <w:shd w:val="clear" w:color="auto" w:fill="auto"/>
            <w:vAlign w:val="center"/>
            <w:hideMark/>
          </w:tcPr>
          <w:p w14:paraId="47718560"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Diversidade de Canais</w:t>
            </w:r>
          </w:p>
        </w:tc>
        <w:tc>
          <w:tcPr>
            <w:tcW w:w="2885" w:type="pct"/>
            <w:tcBorders>
              <w:top w:val="single" w:sz="4" w:space="0" w:color="auto"/>
              <w:left w:val="nil"/>
              <w:bottom w:val="nil"/>
              <w:right w:val="nil"/>
            </w:tcBorders>
            <w:shd w:val="clear" w:color="auto" w:fill="auto"/>
            <w:vAlign w:val="center"/>
            <w:hideMark/>
          </w:tcPr>
          <w:p w14:paraId="69168060"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Principais canais*</w:t>
            </w:r>
          </w:p>
        </w:tc>
      </w:tr>
      <w:tr w:rsidR="00EE1B5D" w:rsidRPr="0083079D" w14:paraId="21D0F3A0" w14:textId="77777777" w:rsidTr="00CF5F47">
        <w:trPr>
          <w:trHeight w:val="340"/>
          <w:jc w:val="center"/>
        </w:trPr>
        <w:tc>
          <w:tcPr>
            <w:tcW w:w="551" w:type="pct"/>
            <w:tcBorders>
              <w:top w:val="nil"/>
              <w:left w:val="nil"/>
              <w:bottom w:val="nil"/>
              <w:right w:val="nil"/>
            </w:tcBorders>
            <w:shd w:val="clear" w:color="auto" w:fill="auto"/>
            <w:noWrap/>
            <w:vAlign w:val="center"/>
            <w:hideMark/>
          </w:tcPr>
          <w:p w14:paraId="20BD4C06"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1</w:t>
            </w:r>
          </w:p>
        </w:tc>
        <w:tc>
          <w:tcPr>
            <w:tcW w:w="688" w:type="pct"/>
            <w:tcBorders>
              <w:top w:val="nil"/>
              <w:left w:val="nil"/>
              <w:bottom w:val="nil"/>
              <w:right w:val="nil"/>
            </w:tcBorders>
            <w:shd w:val="clear" w:color="auto" w:fill="auto"/>
            <w:noWrap/>
            <w:vAlign w:val="center"/>
            <w:hideMark/>
          </w:tcPr>
          <w:p w14:paraId="191A3416"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13</w:t>
            </w:r>
          </w:p>
        </w:tc>
        <w:tc>
          <w:tcPr>
            <w:tcW w:w="876" w:type="pct"/>
            <w:tcBorders>
              <w:top w:val="nil"/>
              <w:left w:val="nil"/>
              <w:bottom w:val="nil"/>
              <w:right w:val="nil"/>
            </w:tcBorders>
            <w:shd w:val="clear" w:color="auto" w:fill="auto"/>
            <w:noWrap/>
            <w:vAlign w:val="center"/>
            <w:hideMark/>
          </w:tcPr>
          <w:p w14:paraId="1D4CE26C"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Média</w:t>
            </w:r>
          </w:p>
        </w:tc>
        <w:tc>
          <w:tcPr>
            <w:tcW w:w="2885" w:type="pct"/>
            <w:tcBorders>
              <w:top w:val="single" w:sz="4" w:space="0" w:color="auto"/>
              <w:left w:val="nil"/>
              <w:bottom w:val="nil"/>
              <w:right w:val="nil"/>
            </w:tcBorders>
            <w:shd w:val="clear" w:color="auto" w:fill="auto"/>
            <w:vAlign w:val="center"/>
            <w:hideMark/>
          </w:tcPr>
          <w:p w14:paraId="29970614" w14:textId="77777777" w:rsidR="00EE1B5D" w:rsidRPr="0083079D" w:rsidRDefault="00EE1B5D" w:rsidP="00C209F0">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Contratação de graduado ou pós-graduado (92.3%)</w:t>
            </w:r>
          </w:p>
        </w:tc>
      </w:tr>
      <w:tr w:rsidR="00EE1B5D" w:rsidRPr="0083079D" w14:paraId="54956953" w14:textId="77777777" w:rsidTr="00CF5F47">
        <w:trPr>
          <w:trHeight w:val="340"/>
          <w:jc w:val="center"/>
        </w:trPr>
        <w:tc>
          <w:tcPr>
            <w:tcW w:w="551" w:type="pct"/>
            <w:tcBorders>
              <w:top w:val="nil"/>
              <w:left w:val="nil"/>
              <w:bottom w:val="nil"/>
              <w:right w:val="nil"/>
            </w:tcBorders>
            <w:shd w:val="clear" w:color="auto" w:fill="auto"/>
            <w:noWrap/>
            <w:vAlign w:val="center"/>
            <w:hideMark/>
          </w:tcPr>
          <w:p w14:paraId="681F0A1A"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2</w:t>
            </w:r>
          </w:p>
        </w:tc>
        <w:tc>
          <w:tcPr>
            <w:tcW w:w="688" w:type="pct"/>
            <w:tcBorders>
              <w:top w:val="nil"/>
              <w:left w:val="nil"/>
              <w:bottom w:val="nil"/>
              <w:right w:val="nil"/>
            </w:tcBorders>
            <w:shd w:val="clear" w:color="auto" w:fill="auto"/>
            <w:noWrap/>
            <w:vAlign w:val="center"/>
            <w:hideMark/>
          </w:tcPr>
          <w:p w14:paraId="09D38481"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16</w:t>
            </w:r>
          </w:p>
        </w:tc>
        <w:tc>
          <w:tcPr>
            <w:tcW w:w="876" w:type="pct"/>
            <w:tcBorders>
              <w:top w:val="nil"/>
              <w:left w:val="nil"/>
              <w:bottom w:val="nil"/>
              <w:right w:val="nil"/>
            </w:tcBorders>
            <w:shd w:val="clear" w:color="auto" w:fill="auto"/>
            <w:noWrap/>
            <w:vAlign w:val="center"/>
            <w:hideMark/>
          </w:tcPr>
          <w:p w14:paraId="128F0269"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Média</w:t>
            </w:r>
          </w:p>
        </w:tc>
        <w:tc>
          <w:tcPr>
            <w:tcW w:w="2885" w:type="pct"/>
            <w:tcBorders>
              <w:top w:val="nil"/>
              <w:left w:val="nil"/>
              <w:bottom w:val="nil"/>
              <w:right w:val="nil"/>
            </w:tcBorders>
            <w:shd w:val="clear" w:color="auto" w:fill="auto"/>
            <w:vAlign w:val="center"/>
            <w:hideMark/>
          </w:tcPr>
          <w:p w14:paraId="135C3CCE" w14:textId="77777777" w:rsidR="00EE1B5D" w:rsidRPr="0083079D" w:rsidRDefault="00EE1B5D" w:rsidP="00C209F0">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Troca Informal de informação, conferências e encontros (93.75%)</w:t>
            </w:r>
          </w:p>
        </w:tc>
      </w:tr>
      <w:tr w:rsidR="00EE1B5D" w:rsidRPr="0083079D" w14:paraId="5D71E89C" w14:textId="77777777" w:rsidTr="00CF5F47">
        <w:trPr>
          <w:trHeight w:val="340"/>
          <w:jc w:val="center"/>
        </w:trPr>
        <w:tc>
          <w:tcPr>
            <w:tcW w:w="551" w:type="pct"/>
            <w:tcBorders>
              <w:top w:val="nil"/>
              <w:left w:val="nil"/>
              <w:bottom w:val="nil"/>
              <w:right w:val="nil"/>
            </w:tcBorders>
            <w:shd w:val="clear" w:color="auto" w:fill="auto"/>
            <w:noWrap/>
            <w:vAlign w:val="center"/>
            <w:hideMark/>
          </w:tcPr>
          <w:p w14:paraId="02F681BA"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3</w:t>
            </w:r>
          </w:p>
        </w:tc>
        <w:tc>
          <w:tcPr>
            <w:tcW w:w="688" w:type="pct"/>
            <w:tcBorders>
              <w:top w:val="nil"/>
              <w:left w:val="nil"/>
              <w:bottom w:val="nil"/>
              <w:right w:val="nil"/>
            </w:tcBorders>
            <w:shd w:val="clear" w:color="auto" w:fill="auto"/>
            <w:noWrap/>
            <w:vAlign w:val="center"/>
            <w:hideMark/>
          </w:tcPr>
          <w:p w14:paraId="45DB779D"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9</w:t>
            </w:r>
          </w:p>
        </w:tc>
        <w:tc>
          <w:tcPr>
            <w:tcW w:w="876" w:type="pct"/>
            <w:tcBorders>
              <w:top w:val="nil"/>
              <w:left w:val="nil"/>
              <w:bottom w:val="nil"/>
              <w:right w:val="nil"/>
            </w:tcBorders>
            <w:shd w:val="clear" w:color="auto" w:fill="auto"/>
            <w:noWrap/>
            <w:vAlign w:val="center"/>
            <w:hideMark/>
          </w:tcPr>
          <w:p w14:paraId="0F88A0FA"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Alta</w:t>
            </w:r>
          </w:p>
        </w:tc>
        <w:tc>
          <w:tcPr>
            <w:tcW w:w="2885" w:type="pct"/>
            <w:tcBorders>
              <w:top w:val="nil"/>
              <w:left w:val="nil"/>
              <w:bottom w:val="nil"/>
              <w:right w:val="nil"/>
            </w:tcBorders>
            <w:shd w:val="clear" w:color="auto" w:fill="auto"/>
            <w:vAlign w:val="center"/>
            <w:hideMark/>
          </w:tcPr>
          <w:p w14:paraId="07944042" w14:textId="77777777" w:rsidR="00EE1B5D" w:rsidRPr="0083079D" w:rsidRDefault="00EE1B5D" w:rsidP="00C209F0">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Publicações, Consultorias, Pesquisa Conjunta e Participação em Redes (100%)</w:t>
            </w:r>
          </w:p>
        </w:tc>
      </w:tr>
      <w:tr w:rsidR="00EE1B5D" w:rsidRPr="0083079D" w14:paraId="7ED848BF" w14:textId="77777777" w:rsidTr="00CF5F47">
        <w:trPr>
          <w:trHeight w:val="340"/>
          <w:jc w:val="center"/>
        </w:trPr>
        <w:tc>
          <w:tcPr>
            <w:tcW w:w="551" w:type="pct"/>
            <w:tcBorders>
              <w:top w:val="nil"/>
              <w:left w:val="nil"/>
              <w:bottom w:val="single" w:sz="4" w:space="0" w:color="auto"/>
              <w:right w:val="nil"/>
            </w:tcBorders>
            <w:shd w:val="clear" w:color="auto" w:fill="auto"/>
            <w:noWrap/>
            <w:vAlign w:val="center"/>
            <w:hideMark/>
          </w:tcPr>
          <w:p w14:paraId="75F59132"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Grupo 4</w:t>
            </w:r>
          </w:p>
        </w:tc>
        <w:tc>
          <w:tcPr>
            <w:tcW w:w="688" w:type="pct"/>
            <w:tcBorders>
              <w:top w:val="nil"/>
              <w:left w:val="nil"/>
              <w:bottom w:val="single" w:sz="4" w:space="0" w:color="auto"/>
              <w:right w:val="nil"/>
            </w:tcBorders>
            <w:shd w:val="clear" w:color="auto" w:fill="auto"/>
            <w:noWrap/>
            <w:vAlign w:val="center"/>
            <w:hideMark/>
          </w:tcPr>
          <w:p w14:paraId="68D013E9"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10</w:t>
            </w:r>
          </w:p>
        </w:tc>
        <w:tc>
          <w:tcPr>
            <w:tcW w:w="876" w:type="pct"/>
            <w:tcBorders>
              <w:top w:val="nil"/>
              <w:left w:val="nil"/>
              <w:bottom w:val="single" w:sz="4" w:space="0" w:color="auto"/>
              <w:right w:val="nil"/>
            </w:tcBorders>
            <w:shd w:val="clear" w:color="auto" w:fill="auto"/>
            <w:noWrap/>
            <w:vAlign w:val="center"/>
            <w:hideMark/>
          </w:tcPr>
          <w:p w14:paraId="1198CF74" w14:textId="77777777" w:rsidR="00EE1B5D" w:rsidRPr="0083079D" w:rsidRDefault="00EE1B5D" w:rsidP="005341B9">
            <w:pPr>
              <w:spacing w:line="240" w:lineRule="auto"/>
              <w:jc w:val="center"/>
              <w:rPr>
                <w:rFonts w:eastAsia="Times New Roman"/>
                <w:color w:val="000000"/>
                <w:sz w:val="22"/>
                <w:szCs w:val="22"/>
                <w:lang w:eastAsia="pt-BR"/>
              </w:rPr>
            </w:pPr>
            <w:r w:rsidRPr="0083079D">
              <w:rPr>
                <w:rFonts w:eastAsia="Times New Roman"/>
                <w:color w:val="000000"/>
                <w:sz w:val="22"/>
                <w:szCs w:val="22"/>
                <w:lang w:eastAsia="pt-BR"/>
              </w:rPr>
              <w:t>Baixa</w:t>
            </w:r>
          </w:p>
        </w:tc>
        <w:tc>
          <w:tcPr>
            <w:tcW w:w="2885" w:type="pct"/>
            <w:tcBorders>
              <w:top w:val="nil"/>
              <w:left w:val="nil"/>
              <w:bottom w:val="single" w:sz="4" w:space="0" w:color="auto"/>
              <w:right w:val="nil"/>
            </w:tcBorders>
            <w:shd w:val="clear" w:color="auto" w:fill="auto"/>
            <w:vAlign w:val="center"/>
            <w:hideMark/>
          </w:tcPr>
          <w:p w14:paraId="2E5B47A5" w14:textId="77777777" w:rsidR="00EE1B5D" w:rsidRPr="0083079D" w:rsidRDefault="00EE1B5D" w:rsidP="00C209F0">
            <w:pPr>
              <w:spacing w:line="240" w:lineRule="auto"/>
              <w:jc w:val="left"/>
              <w:rPr>
                <w:rFonts w:eastAsia="Times New Roman"/>
                <w:color w:val="000000"/>
                <w:sz w:val="22"/>
                <w:szCs w:val="22"/>
                <w:lang w:eastAsia="pt-BR"/>
              </w:rPr>
            </w:pPr>
            <w:r w:rsidRPr="0083079D">
              <w:rPr>
                <w:rFonts w:eastAsia="Times New Roman"/>
                <w:color w:val="000000"/>
                <w:sz w:val="22"/>
                <w:szCs w:val="22"/>
                <w:lang w:eastAsia="pt-BR"/>
              </w:rPr>
              <w:t>Publicações, trocas informais de informação, conferências e encontros (30%)</w:t>
            </w:r>
          </w:p>
        </w:tc>
      </w:tr>
    </w:tbl>
    <w:p w14:paraId="4A6BD659" w14:textId="77777777" w:rsidR="00EE1B5D" w:rsidRPr="00C209F0" w:rsidRDefault="00EE1B5D" w:rsidP="005341B9">
      <w:pPr>
        <w:pStyle w:val="PargrafodaLista"/>
        <w:autoSpaceDE w:val="0"/>
        <w:autoSpaceDN w:val="0"/>
        <w:adjustRightInd w:val="0"/>
        <w:spacing w:line="240" w:lineRule="auto"/>
        <w:ind w:left="0"/>
        <w:rPr>
          <w:sz w:val="20"/>
          <w:szCs w:val="20"/>
        </w:rPr>
      </w:pPr>
      <w:r w:rsidRPr="00C209F0">
        <w:rPr>
          <w:sz w:val="20"/>
          <w:szCs w:val="20"/>
        </w:rPr>
        <w:t>Fonte: Elaboração Própria</w:t>
      </w:r>
      <w:r w:rsidR="0043332D" w:rsidRPr="00C209F0">
        <w:rPr>
          <w:sz w:val="20"/>
          <w:szCs w:val="20"/>
        </w:rPr>
        <w:t xml:space="preserve">, a partir do BR </w:t>
      </w:r>
      <w:r w:rsidR="001628DE" w:rsidRPr="00C209F0">
        <w:rPr>
          <w:i/>
          <w:sz w:val="20"/>
          <w:szCs w:val="20"/>
        </w:rPr>
        <w:t>Survey</w:t>
      </w:r>
      <w:r w:rsidR="0043332D" w:rsidRPr="00C209F0">
        <w:rPr>
          <w:sz w:val="20"/>
          <w:szCs w:val="20"/>
        </w:rPr>
        <w:t xml:space="preserve"> </w:t>
      </w:r>
      <w:r w:rsidRPr="00C209F0">
        <w:rPr>
          <w:sz w:val="20"/>
          <w:szCs w:val="20"/>
        </w:rPr>
        <w:t xml:space="preserve">. </w:t>
      </w:r>
    </w:p>
    <w:p w14:paraId="260B040D" w14:textId="178F1ED4" w:rsidR="00EE1B5D" w:rsidRPr="004524C4" w:rsidRDefault="00C209F0" w:rsidP="005341B9">
      <w:pPr>
        <w:pStyle w:val="PargrafodaLista"/>
        <w:autoSpaceDE w:val="0"/>
        <w:autoSpaceDN w:val="0"/>
        <w:adjustRightInd w:val="0"/>
        <w:spacing w:line="240" w:lineRule="auto"/>
        <w:ind w:left="0"/>
        <w:rPr>
          <w:sz w:val="20"/>
          <w:szCs w:val="20"/>
        </w:rPr>
      </w:pPr>
      <w:r>
        <w:rPr>
          <w:sz w:val="20"/>
          <w:szCs w:val="20"/>
        </w:rPr>
        <w:t>Nota: (</w:t>
      </w:r>
      <w:r w:rsidR="00EE1B5D" w:rsidRPr="004524C4">
        <w:rPr>
          <w:sz w:val="20"/>
          <w:szCs w:val="20"/>
        </w:rPr>
        <w:t>*</w:t>
      </w:r>
      <w:r>
        <w:rPr>
          <w:sz w:val="20"/>
          <w:szCs w:val="20"/>
        </w:rPr>
        <w:t>)</w:t>
      </w:r>
      <w:r w:rsidR="004524C4">
        <w:rPr>
          <w:sz w:val="20"/>
          <w:szCs w:val="20"/>
        </w:rPr>
        <w:t xml:space="preserve"> </w:t>
      </w:r>
      <w:r w:rsidR="00EE1B5D" w:rsidRPr="004524C4">
        <w:rPr>
          <w:sz w:val="20"/>
          <w:szCs w:val="20"/>
        </w:rPr>
        <w:t>O valor em parênteses refere-se à porcentagem de empresas consideraram determinado canal com alta ou média importância.</w:t>
      </w:r>
    </w:p>
    <w:p w14:paraId="0FA739E5" w14:textId="77777777" w:rsidR="00EE3951" w:rsidRPr="005341B9" w:rsidRDefault="00EE3951" w:rsidP="005341B9">
      <w:pPr>
        <w:pStyle w:val="PargrafodaLista"/>
        <w:spacing w:line="240" w:lineRule="auto"/>
        <w:ind w:left="0"/>
      </w:pPr>
    </w:p>
    <w:p w14:paraId="1D64D17F" w14:textId="2DC3E8E3" w:rsidR="000422AF" w:rsidRPr="005341B9" w:rsidRDefault="000422AF" w:rsidP="005341B9">
      <w:pPr>
        <w:pStyle w:val="PargrafodaLista"/>
        <w:autoSpaceDE w:val="0"/>
        <w:autoSpaceDN w:val="0"/>
        <w:adjustRightInd w:val="0"/>
        <w:spacing w:line="240" w:lineRule="auto"/>
        <w:ind w:left="0"/>
      </w:pPr>
      <w:r w:rsidRPr="005341B9">
        <w:tab/>
        <w:t xml:space="preserve"> </w:t>
      </w:r>
    </w:p>
    <w:p w14:paraId="4BED6E0B" w14:textId="77777777" w:rsidR="00CF5F47" w:rsidRDefault="00CF5F47" w:rsidP="00CF5F47">
      <w:pPr>
        <w:spacing w:after="200" w:line="276" w:lineRule="auto"/>
        <w:jc w:val="left"/>
        <w:sectPr w:rsidR="00CF5F47" w:rsidSect="00CF5F47">
          <w:pgSz w:w="11906" w:h="16838"/>
          <w:pgMar w:top="1134" w:right="851" w:bottom="1134" w:left="851" w:header="709" w:footer="709" w:gutter="0"/>
          <w:cols w:space="708"/>
          <w:docGrid w:linePitch="360"/>
        </w:sectPr>
      </w:pPr>
    </w:p>
    <w:p w14:paraId="0429DD6E" w14:textId="7DF8C6BE" w:rsidR="00443B29" w:rsidRPr="00CF5F47" w:rsidRDefault="00443B29" w:rsidP="00CF5F47">
      <w:pPr>
        <w:spacing w:after="200" w:line="276" w:lineRule="auto"/>
        <w:jc w:val="left"/>
        <w:rPr>
          <w:b/>
        </w:rPr>
      </w:pPr>
      <w:r w:rsidRPr="00CF5F47">
        <w:rPr>
          <w:b/>
        </w:rPr>
        <w:lastRenderedPageBreak/>
        <w:t xml:space="preserve">Quadro 1: Caracterização geral das empresas de SICs do BR </w:t>
      </w:r>
      <w:r w:rsidRPr="00CF5F47">
        <w:rPr>
          <w:b/>
          <w:i/>
        </w:rPr>
        <w:t>Survey</w:t>
      </w:r>
      <w:r w:rsidRPr="00CF5F47">
        <w:rPr>
          <w:b/>
        </w:rPr>
        <w:t>.</w:t>
      </w:r>
    </w:p>
    <w:tbl>
      <w:tblPr>
        <w:tblW w:w="4950" w:type="pct"/>
        <w:tblBorders>
          <w:bottom w:val="single" w:sz="4" w:space="0" w:color="auto"/>
        </w:tblBorders>
        <w:tblCellMar>
          <w:left w:w="70" w:type="dxa"/>
          <w:right w:w="70" w:type="dxa"/>
        </w:tblCellMar>
        <w:tblLook w:val="04A0" w:firstRow="1" w:lastRow="0" w:firstColumn="1" w:lastColumn="0" w:noHBand="0" w:noVBand="1"/>
      </w:tblPr>
      <w:tblGrid>
        <w:gridCol w:w="514"/>
        <w:gridCol w:w="1025"/>
        <w:gridCol w:w="1171"/>
        <w:gridCol w:w="1337"/>
        <w:gridCol w:w="2321"/>
        <w:gridCol w:w="1316"/>
        <w:gridCol w:w="2342"/>
        <w:gridCol w:w="1025"/>
        <w:gridCol w:w="1462"/>
        <w:gridCol w:w="2050"/>
      </w:tblGrid>
      <w:tr w:rsidR="00443B29" w:rsidRPr="00CF5F47" w14:paraId="0DB56FD5" w14:textId="77777777" w:rsidTr="00443B29">
        <w:trPr>
          <w:trHeight w:val="397"/>
        </w:trPr>
        <w:tc>
          <w:tcPr>
            <w:tcW w:w="176" w:type="pct"/>
            <w:tcBorders>
              <w:top w:val="single" w:sz="4" w:space="0" w:color="auto"/>
              <w:left w:val="nil"/>
              <w:bottom w:val="nil"/>
              <w:right w:val="nil"/>
            </w:tcBorders>
            <w:vAlign w:val="center"/>
            <w:hideMark/>
          </w:tcPr>
          <w:p w14:paraId="55208AB8" w14:textId="77777777" w:rsidR="00443B29" w:rsidRPr="00CF5F47" w:rsidRDefault="00443B29">
            <w:pPr>
              <w:spacing w:after="200" w:line="276" w:lineRule="auto"/>
              <w:jc w:val="left"/>
              <w:rPr>
                <w:sz w:val="22"/>
                <w:szCs w:val="22"/>
              </w:rPr>
            </w:pPr>
          </w:p>
        </w:tc>
        <w:tc>
          <w:tcPr>
            <w:tcW w:w="352" w:type="pct"/>
            <w:vMerge w:val="restart"/>
            <w:tcBorders>
              <w:top w:val="single" w:sz="4" w:space="0" w:color="auto"/>
              <w:left w:val="nil"/>
              <w:bottom w:val="single" w:sz="4" w:space="0" w:color="auto"/>
              <w:right w:val="single" w:sz="4" w:space="0" w:color="auto"/>
            </w:tcBorders>
            <w:vAlign w:val="center"/>
            <w:hideMark/>
          </w:tcPr>
          <w:p w14:paraId="5C7692CD"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Nº de empresas</w:t>
            </w:r>
          </w:p>
        </w:tc>
        <w:tc>
          <w:tcPr>
            <w:tcW w:w="1658" w:type="pct"/>
            <w:gridSpan w:val="3"/>
            <w:tcBorders>
              <w:top w:val="single" w:sz="4" w:space="0" w:color="auto"/>
              <w:left w:val="single" w:sz="4" w:space="0" w:color="auto"/>
              <w:bottom w:val="single" w:sz="4" w:space="0" w:color="auto"/>
              <w:right w:val="single" w:sz="4" w:space="0" w:color="auto"/>
            </w:tcBorders>
            <w:vAlign w:val="center"/>
            <w:hideMark/>
          </w:tcPr>
          <w:p w14:paraId="4BEABA22"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Motivos da Interação Universidade-Empresa</w:t>
            </w:r>
          </w:p>
        </w:tc>
        <w:tc>
          <w:tcPr>
            <w:tcW w:w="1256" w:type="pct"/>
            <w:gridSpan w:val="2"/>
            <w:tcBorders>
              <w:top w:val="single" w:sz="4" w:space="0" w:color="auto"/>
              <w:left w:val="single" w:sz="4" w:space="0" w:color="auto"/>
              <w:bottom w:val="single" w:sz="4" w:space="0" w:color="auto"/>
              <w:right w:val="single" w:sz="4" w:space="0" w:color="auto"/>
            </w:tcBorders>
            <w:vAlign w:val="center"/>
            <w:hideMark/>
          </w:tcPr>
          <w:p w14:paraId="06F38744"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Canais de Interação</w:t>
            </w:r>
          </w:p>
        </w:tc>
        <w:tc>
          <w:tcPr>
            <w:tcW w:w="352" w:type="pct"/>
            <w:vMerge w:val="restart"/>
            <w:tcBorders>
              <w:top w:val="single" w:sz="4" w:space="0" w:color="auto"/>
              <w:left w:val="single" w:sz="4" w:space="0" w:color="auto"/>
              <w:bottom w:val="single" w:sz="4" w:space="0" w:color="auto"/>
              <w:right w:val="nil"/>
            </w:tcBorders>
            <w:vAlign w:val="center"/>
            <w:hideMark/>
          </w:tcPr>
          <w:p w14:paraId="4798F82C"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Esforços em P&amp;D</w:t>
            </w:r>
          </w:p>
        </w:tc>
        <w:tc>
          <w:tcPr>
            <w:tcW w:w="502" w:type="pct"/>
            <w:vMerge w:val="restart"/>
            <w:tcBorders>
              <w:top w:val="single" w:sz="4" w:space="0" w:color="auto"/>
              <w:left w:val="nil"/>
              <w:bottom w:val="single" w:sz="4" w:space="0" w:color="auto"/>
              <w:right w:val="nil"/>
            </w:tcBorders>
            <w:vAlign w:val="center"/>
            <w:hideMark/>
          </w:tcPr>
          <w:p w14:paraId="527579DD"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Desempenho Inovativo</w:t>
            </w:r>
          </w:p>
        </w:tc>
        <w:tc>
          <w:tcPr>
            <w:tcW w:w="704" w:type="pct"/>
            <w:vMerge w:val="restart"/>
            <w:tcBorders>
              <w:top w:val="single" w:sz="4" w:space="0" w:color="auto"/>
              <w:left w:val="nil"/>
              <w:bottom w:val="single" w:sz="4" w:space="0" w:color="auto"/>
              <w:right w:val="nil"/>
            </w:tcBorders>
            <w:vAlign w:val="center"/>
            <w:hideMark/>
          </w:tcPr>
          <w:p w14:paraId="7FD0F0DE"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Principais fontes de informação para inovar</w:t>
            </w:r>
          </w:p>
        </w:tc>
      </w:tr>
      <w:tr w:rsidR="00443B29" w:rsidRPr="00CF5F47" w14:paraId="68AA3C99" w14:textId="77777777" w:rsidTr="00443B29">
        <w:trPr>
          <w:trHeight w:val="397"/>
        </w:trPr>
        <w:tc>
          <w:tcPr>
            <w:tcW w:w="176" w:type="pct"/>
            <w:tcBorders>
              <w:top w:val="nil"/>
              <w:left w:val="nil"/>
              <w:bottom w:val="single" w:sz="4" w:space="0" w:color="auto"/>
              <w:right w:val="nil"/>
            </w:tcBorders>
            <w:vAlign w:val="center"/>
            <w:hideMark/>
          </w:tcPr>
          <w:p w14:paraId="04900989" w14:textId="77777777" w:rsidR="00443B29" w:rsidRPr="00CF5F47" w:rsidRDefault="00443B29">
            <w:pPr>
              <w:spacing w:line="276" w:lineRule="auto"/>
              <w:jc w:val="left"/>
              <w:rPr>
                <w:sz w:val="22"/>
                <w:szCs w:val="22"/>
              </w:rPr>
            </w:pPr>
          </w:p>
        </w:tc>
        <w:tc>
          <w:tcPr>
            <w:tcW w:w="0" w:type="auto"/>
            <w:vMerge/>
            <w:tcBorders>
              <w:top w:val="single" w:sz="4" w:space="0" w:color="auto"/>
              <w:left w:val="nil"/>
              <w:bottom w:val="single" w:sz="4" w:space="0" w:color="auto"/>
              <w:right w:val="single" w:sz="4" w:space="0" w:color="auto"/>
            </w:tcBorders>
            <w:vAlign w:val="center"/>
            <w:hideMark/>
          </w:tcPr>
          <w:p w14:paraId="24CA875E" w14:textId="77777777" w:rsidR="00443B29" w:rsidRPr="00CF5F47" w:rsidRDefault="00443B29">
            <w:pPr>
              <w:spacing w:line="240" w:lineRule="auto"/>
              <w:jc w:val="left"/>
              <w:rPr>
                <w:rFonts w:eastAsia="Times New Roman"/>
                <w:i/>
                <w:color w:val="000000"/>
                <w:sz w:val="22"/>
                <w:szCs w:val="22"/>
                <w:lang w:eastAsia="pt-BR"/>
              </w:rPr>
            </w:pPr>
          </w:p>
        </w:tc>
        <w:tc>
          <w:tcPr>
            <w:tcW w:w="402" w:type="pct"/>
            <w:tcBorders>
              <w:top w:val="single" w:sz="4" w:space="0" w:color="auto"/>
              <w:left w:val="single" w:sz="4" w:space="0" w:color="auto"/>
              <w:bottom w:val="single" w:sz="4" w:space="0" w:color="auto"/>
              <w:right w:val="nil"/>
            </w:tcBorders>
            <w:vAlign w:val="center"/>
            <w:hideMark/>
          </w:tcPr>
          <w:p w14:paraId="08B7D647"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Motivação</w:t>
            </w:r>
          </w:p>
        </w:tc>
        <w:tc>
          <w:tcPr>
            <w:tcW w:w="459" w:type="pct"/>
            <w:tcBorders>
              <w:top w:val="single" w:sz="4" w:space="0" w:color="auto"/>
              <w:left w:val="nil"/>
              <w:bottom w:val="single" w:sz="4" w:space="0" w:color="auto"/>
              <w:right w:val="nil"/>
            </w:tcBorders>
            <w:vAlign w:val="center"/>
            <w:hideMark/>
          </w:tcPr>
          <w:p w14:paraId="0FA40CF4"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Diversidade</w:t>
            </w:r>
          </w:p>
        </w:tc>
        <w:tc>
          <w:tcPr>
            <w:tcW w:w="797" w:type="pct"/>
            <w:tcBorders>
              <w:top w:val="single" w:sz="4" w:space="0" w:color="auto"/>
              <w:left w:val="nil"/>
              <w:bottom w:val="single" w:sz="4" w:space="0" w:color="auto"/>
              <w:right w:val="single" w:sz="4" w:space="0" w:color="auto"/>
            </w:tcBorders>
            <w:vAlign w:val="center"/>
            <w:hideMark/>
          </w:tcPr>
          <w:p w14:paraId="2391B818"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Principais</w:t>
            </w:r>
          </w:p>
        </w:tc>
        <w:tc>
          <w:tcPr>
            <w:tcW w:w="452" w:type="pct"/>
            <w:tcBorders>
              <w:top w:val="single" w:sz="4" w:space="0" w:color="auto"/>
              <w:left w:val="single" w:sz="4" w:space="0" w:color="auto"/>
              <w:bottom w:val="single" w:sz="4" w:space="0" w:color="auto"/>
              <w:right w:val="nil"/>
            </w:tcBorders>
            <w:vAlign w:val="center"/>
            <w:hideMark/>
          </w:tcPr>
          <w:p w14:paraId="28504730"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Diversidade</w:t>
            </w:r>
          </w:p>
        </w:tc>
        <w:tc>
          <w:tcPr>
            <w:tcW w:w="804" w:type="pct"/>
            <w:tcBorders>
              <w:top w:val="single" w:sz="4" w:space="0" w:color="auto"/>
              <w:left w:val="nil"/>
              <w:bottom w:val="single" w:sz="4" w:space="0" w:color="auto"/>
              <w:right w:val="single" w:sz="4" w:space="0" w:color="auto"/>
            </w:tcBorders>
            <w:vAlign w:val="center"/>
            <w:hideMark/>
          </w:tcPr>
          <w:p w14:paraId="2AC7C771" w14:textId="77777777" w:rsidR="00443B29" w:rsidRPr="00CF5F47" w:rsidRDefault="00443B29">
            <w:pPr>
              <w:spacing w:line="240" w:lineRule="auto"/>
              <w:jc w:val="center"/>
              <w:rPr>
                <w:rFonts w:eastAsia="Times New Roman"/>
                <w:i/>
                <w:color w:val="000000"/>
                <w:sz w:val="22"/>
                <w:szCs w:val="22"/>
                <w:lang w:eastAsia="pt-BR"/>
              </w:rPr>
            </w:pPr>
            <w:r w:rsidRPr="00CF5F47">
              <w:rPr>
                <w:rFonts w:eastAsia="Times New Roman"/>
                <w:i/>
                <w:color w:val="000000"/>
                <w:sz w:val="22"/>
                <w:szCs w:val="22"/>
                <w:lang w:eastAsia="pt-BR"/>
              </w:rPr>
              <w:t>Principais</w:t>
            </w:r>
          </w:p>
        </w:tc>
        <w:tc>
          <w:tcPr>
            <w:tcW w:w="0" w:type="auto"/>
            <w:vMerge/>
            <w:tcBorders>
              <w:top w:val="single" w:sz="4" w:space="0" w:color="auto"/>
              <w:left w:val="single" w:sz="4" w:space="0" w:color="auto"/>
              <w:bottom w:val="single" w:sz="4" w:space="0" w:color="auto"/>
              <w:right w:val="nil"/>
            </w:tcBorders>
            <w:vAlign w:val="center"/>
            <w:hideMark/>
          </w:tcPr>
          <w:p w14:paraId="4D3B0D12" w14:textId="77777777" w:rsidR="00443B29" w:rsidRPr="00CF5F47" w:rsidRDefault="00443B29">
            <w:pPr>
              <w:spacing w:line="240" w:lineRule="auto"/>
              <w:jc w:val="left"/>
              <w:rPr>
                <w:rFonts w:eastAsia="Times New Roman"/>
                <w:i/>
                <w:color w:val="000000"/>
                <w:sz w:val="22"/>
                <w:szCs w:val="22"/>
                <w:lang w:eastAsia="pt-BR"/>
              </w:rPr>
            </w:pPr>
          </w:p>
        </w:tc>
        <w:tc>
          <w:tcPr>
            <w:tcW w:w="0" w:type="auto"/>
            <w:vMerge/>
            <w:tcBorders>
              <w:top w:val="single" w:sz="4" w:space="0" w:color="auto"/>
              <w:left w:val="nil"/>
              <w:bottom w:val="single" w:sz="4" w:space="0" w:color="auto"/>
              <w:right w:val="nil"/>
            </w:tcBorders>
            <w:vAlign w:val="center"/>
            <w:hideMark/>
          </w:tcPr>
          <w:p w14:paraId="6D714F44" w14:textId="77777777" w:rsidR="00443B29" w:rsidRPr="00CF5F47" w:rsidRDefault="00443B29">
            <w:pPr>
              <w:spacing w:line="240" w:lineRule="auto"/>
              <w:jc w:val="left"/>
              <w:rPr>
                <w:rFonts w:eastAsia="Times New Roman"/>
                <w:i/>
                <w:color w:val="000000"/>
                <w:sz w:val="22"/>
                <w:szCs w:val="22"/>
                <w:lang w:eastAsia="pt-BR"/>
              </w:rPr>
            </w:pPr>
          </w:p>
        </w:tc>
        <w:tc>
          <w:tcPr>
            <w:tcW w:w="0" w:type="auto"/>
            <w:vMerge/>
            <w:tcBorders>
              <w:top w:val="single" w:sz="4" w:space="0" w:color="auto"/>
              <w:left w:val="nil"/>
              <w:bottom w:val="single" w:sz="4" w:space="0" w:color="auto"/>
              <w:right w:val="nil"/>
            </w:tcBorders>
            <w:vAlign w:val="center"/>
            <w:hideMark/>
          </w:tcPr>
          <w:p w14:paraId="2EFADAD7" w14:textId="77777777" w:rsidR="00443B29" w:rsidRPr="00CF5F47" w:rsidRDefault="00443B29">
            <w:pPr>
              <w:spacing w:line="240" w:lineRule="auto"/>
              <w:jc w:val="left"/>
              <w:rPr>
                <w:rFonts w:eastAsia="Times New Roman"/>
                <w:i/>
                <w:color w:val="000000"/>
                <w:sz w:val="22"/>
                <w:szCs w:val="22"/>
                <w:lang w:eastAsia="pt-BR"/>
              </w:rPr>
            </w:pPr>
          </w:p>
        </w:tc>
      </w:tr>
      <w:tr w:rsidR="00443B29" w:rsidRPr="00CF5F47" w14:paraId="37699A64" w14:textId="77777777" w:rsidTr="00443B29">
        <w:trPr>
          <w:trHeight w:val="1134"/>
        </w:trPr>
        <w:tc>
          <w:tcPr>
            <w:tcW w:w="176" w:type="pct"/>
            <w:tcBorders>
              <w:top w:val="single" w:sz="4" w:space="0" w:color="auto"/>
              <w:left w:val="nil"/>
              <w:bottom w:val="nil"/>
              <w:right w:val="nil"/>
            </w:tcBorders>
            <w:vAlign w:val="center"/>
            <w:hideMark/>
          </w:tcPr>
          <w:p w14:paraId="65E3B942" w14:textId="77777777" w:rsidR="00443B29" w:rsidRPr="00CF5F47" w:rsidRDefault="00443B29">
            <w:pPr>
              <w:spacing w:line="240" w:lineRule="auto"/>
              <w:jc w:val="left"/>
              <w:rPr>
                <w:rFonts w:eastAsia="Times New Roman"/>
                <w:color w:val="000000"/>
                <w:sz w:val="22"/>
                <w:szCs w:val="22"/>
                <w:lang w:eastAsia="pt-BR"/>
              </w:rPr>
            </w:pPr>
            <w:r w:rsidRPr="00CF5F47">
              <w:rPr>
                <w:rFonts w:eastAsia="Times New Roman"/>
                <w:color w:val="000000"/>
                <w:sz w:val="22"/>
                <w:szCs w:val="22"/>
                <w:lang w:eastAsia="pt-BR"/>
              </w:rPr>
              <w:t>G1</w:t>
            </w:r>
          </w:p>
        </w:tc>
        <w:tc>
          <w:tcPr>
            <w:tcW w:w="352" w:type="pct"/>
            <w:tcBorders>
              <w:top w:val="single" w:sz="4" w:space="0" w:color="auto"/>
              <w:left w:val="nil"/>
              <w:bottom w:val="nil"/>
              <w:right w:val="single" w:sz="4" w:space="0" w:color="auto"/>
            </w:tcBorders>
            <w:vAlign w:val="center"/>
            <w:hideMark/>
          </w:tcPr>
          <w:p w14:paraId="6C470698"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13</w:t>
            </w:r>
          </w:p>
        </w:tc>
        <w:tc>
          <w:tcPr>
            <w:tcW w:w="402" w:type="pct"/>
            <w:tcBorders>
              <w:top w:val="single" w:sz="4" w:space="0" w:color="auto"/>
              <w:left w:val="single" w:sz="4" w:space="0" w:color="auto"/>
              <w:bottom w:val="nil"/>
              <w:right w:val="nil"/>
            </w:tcBorders>
            <w:vAlign w:val="center"/>
            <w:hideMark/>
          </w:tcPr>
          <w:p w14:paraId="7BD4EB74"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Média-baixa</w:t>
            </w:r>
          </w:p>
        </w:tc>
        <w:tc>
          <w:tcPr>
            <w:tcW w:w="459" w:type="pct"/>
            <w:tcBorders>
              <w:top w:val="single" w:sz="4" w:space="0" w:color="auto"/>
              <w:left w:val="nil"/>
              <w:bottom w:val="nil"/>
              <w:right w:val="nil"/>
            </w:tcBorders>
            <w:vAlign w:val="center"/>
            <w:hideMark/>
          </w:tcPr>
          <w:p w14:paraId="3259B31C"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Média</w:t>
            </w:r>
          </w:p>
        </w:tc>
        <w:tc>
          <w:tcPr>
            <w:tcW w:w="797" w:type="pct"/>
            <w:tcBorders>
              <w:top w:val="single" w:sz="4" w:space="0" w:color="auto"/>
              <w:left w:val="nil"/>
              <w:bottom w:val="nil"/>
              <w:right w:val="single" w:sz="4" w:space="0" w:color="auto"/>
            </w:tcBorders>
            <w:vAlign w:val="center"/>
            <w:hideMark/>
          </w:tcPr>
          <w:p w14:paraId="3638F74A"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Contato com estudante e contratar pesquisas</w:t>
            </w:r>
          </w:p>
        </w:tc>
        <w:tc>
          <w:tcPr>
            <w:tcW w:w="452" w:type="pct"/>
            <w:tcBorders>
              <w:top w:val="single" w:sz="4" w:space="0" w:color="auto"/>
              <w:left w:val="single" w:sz="4" w:space="0" w:color="auto"/>
              <w:bottom w:val="nil"/>
              <w:right w:val="nil"/>
            </w:tcBorders>
            <w:vAlign w:val="center"/>
            <w:hideMark/>
          </w:tcPr>
          <w:p w14:paraId="42739B9D"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Média</w:t>
            </w:r>
          </w:p>
        </w:tc>
        <w:tc>
          <w:tcPr>
            <w:tcW w:w="804" w:type="pct"/>
            <w:tcBorders>
              <w:top w:val="single" w:sz="4" w:space="0" w:color="auto"/>
              <w:left w:val="nil"/>
              <w:bottom w:val="nil"/>
              <w:right w:val="single" w:sz="4" w:space="0" w:color="auto"/>
            </w:tcBorders>
            <w:vAlign w:val="center"/>
            <w:hideMark/>
          </w:tcPr>
          <w:p w14:paraId="6825A5AF"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 xml:space="preserve">Contratação de graduado ou pós-graduado </w:t>
            </w:r>
          </w:p>
        </w:tc>
        <w:tc>
          <w:tcPr>
            <w:tcW w:w="352" w:type="pct"/>
            <w:tcBorders>
              <w:top w:val="single" w:sz="4" w:space="0" w:color="auto"/>
              <w:left w:val="single" w:sz="4" w:space="0" w:color="auto"/>
              <w:bottom w:val="nil"/>
              <w:right w:val="nil"/>
            </w:tcBorders>
            <w:vAlign w:val="center"/>
            <w:hideMark/>
          </w:tcPr>
          <w:p w14:paraId="075207A4"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Alto</w:t>
            </w:r>
          </w:p>
        </w:tc>
        <w:tc>
          <w:tcPr>
            <w:tcW w:w="502" w:type="pct"/>
            <w:tcBorders>
              <w:top w:val="single" w:sz="4" w:space="0" w:color="auto"/>
              <w:left w:val="nil"/>
              <w:bottom w:val="nil"/>
              <w:right w:val="nil"/>
            </w:tcBorders>
            <w:vAlign w:val="center"/>
            <w:hideMark/>
          </w:tcPr>
          <w:p w14:paraId="70FBC29E"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Médio-Baixo</w:t>
            </w:r>
          </w:p>
        </w:tc>
        <w:tc>
          <w:tcPr>
            <w:tcW w:w="704" w:type="pct"/>
            <w:tcBorders>
              <w:top w:val="single" w:sz="4" w:space="0" w:color="auto"/>
              <w:left w:val="nil"/>
              <w:bottom w:val="nil"/>
              <w:right w:val="nil"/>
            </w:tcBorders>
            <w:vAlign w:val="center"/>
            <w:hideMark/>
          </w:tcPr>
          <w:p w14:paraId="05660F67"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 xml:space="preserve">Publicações, universidades e clientes </w:t>
            </w:r>
          </w:p>
        </w:tc>
      </w:tr>
      <w:tr w:rsidR="00443B29" w:rsidRPr="00CF5F47" w14:paraId="74BEDB82" w14:textId="77777777" w:rsidTr="00443B29">
        <w:trPr>
          <w:trHeight w:val="1134"/>
        </w:trPr>
        <w:tc>
          <w:tcPr>
            <w:tcW w:w="176" w:type="pct"/>
            <w:tcBorders>
              <w:top w:val="nil"/>
              <w:left w:val="nil"/>
              <w:bottom w:val="nil"/>
              <w:right w:val="nil"/>
            </w:tcBorders>
            <w:vAlign w:val="center"/>
            <w:hideMark/>
          </w:tcPr>
          <w:p w14:paraId="6954BC1A" w14:textId="77777777" w:rsidR="00443B29" w:rsidRPr="00CF5F47" w:rsidRDefault="00443B29">
            <w:pPr>
              <w:spacing w:line="240" w:lineRule="auto"/>
              <w:jc w:val="left"/>
              <w:rPr>
                <w:rFonts w:eastAsia="Times New Roman"/>
                <w:color w:val="000000"/>
                <w:sz w:val="22"/>
                <w:szCs w:val="22"/>
                <w:lang w:eastAsia="pt-BR"/>
              </w:rPr>
            </w:pPr>
            <w:r w:rsidRPr="00CF5F47">
              <w:rPr>
                <w:rFonts w:eastAsia="Times New Roman"/>
                <w:color w:val="000000"/>
                <w:sz w:val="22"/>
                <w:szCs w:val="22"/>
                <w:lang w:eastAsia="pt-BR"/>
              </w:rPr>
              <w:t>G2</w:t>
            </w:r>
          </w:p>
        </w:tc>
        <w:tc>
          <w:tcPr>
            <w:tcW w:w="352" w:type="pct"/>
            <w:tcBorders>
              <w:top w:val="nil"/>
              <w:left w:val="nil"/>
              <w:bottom w:val="nil"/>
              <w:right w:val="single" w:sz="4" w:space="0" w:color="auto"/>
            </w:tcBorders>
            <w:vAlign w:val="center"/>
            <w:hideMark/>
          </w:tcPr>
          <w:p w14:paraId="72C1201D"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16</w:t>
            </w:r>
          </w:p>
        </w:tc>
        <w:tc>
          <w:tcPr>
            <w:tcW w:w="402" w:type="pct"/>
            <w:tcBorders>
              <w:top w:val="nil"/>
              <w:left w:val="single" w:sz="4" w:space="0" w:color="auto"/>
              <w:bottom w:val="nil"/>
              <w:right w:val="nil"/>
            </w:tcBorders>
            <w:vAlign w:val="center"/>
            <w:hideMark/>
          </w:tcPr>
          <w:p w14:paraId="75F9DD3C"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Média-alta</w:t>
            </w:r>
          </w:p>
        </w:tc>
        <w:tc>
          <w:tcPr>
            <w:tcW w:w="459" w:type="pct"/>
            <w:tcBorders>
              <w:top w:val="nil"/>
              <w:left w:val="nil"/>
              <w:bottom w:val="nil"/>
              <w:right w:val="nil"/>
            </w:tcBorders>
            <w:vAlign w:val="center"/>
            <w:hideMark/>
          </w:tcPr>
          <w:p w14:paraId="0DA94BCC"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Média</w:t>
            </w:r>
          </w:p>
        </w:tc>
        <w:tc>
          <w:tcPr>
            <w:tcW w:w="797" w:type="pct"/>
            <w:tcBorders>
              <w:top w:val="nil"/>
              <w:left w:val="nil"/>
              <w:bottom w:val="nil"/>
              <w:right w:val="single" w:sz="4" w:space="0" w:color="auto"/>
            </w:tcBorders>
            <w:vAlign w:val="center"/>
            <w:hideMark/>
          </w:tcPr>
          <w:p w14:paraId="32CD9479"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Transferência tecnológica e conselhos tecnológicos</w:t>
            </w:r>
          </w:p>
        </w:tc>
        <w:tc>
          <w:tcPr>
            <w:tcW w:w="452" w:type="pct"/>
            <w:tcBorders>
              <w:top w:val="nil"/>
              <w:left w:val="single" w:sz="4" w:space="0" w:color="auto"/>
              <w:bottom w:val="nil"/>
              <w:right w:val="nil"/>
            </w:tcBorders>
            <w:vAlign w:val="center"/>
            <w:hideMark/>
          </w:tcPr>
          <w:p w14:paraId="13C5A4C0"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Média</w:t>
            </w:r>
          </w:p>
        </w:tc>
        <w:tc>
          <w:tcPr>
            <w:tcW w:w="804" w:type="pct"/>
            <w:tcBorders>
              <w:top w:val="nil"/>
              <w:left w:val="nil"/>
              <w:bottom w:val="nil"/>
              <w:right w:val="single" w:sz="4" w:space="0" w:color="auto"/>
            </w:tcBorders>
            <w:vAlign w:val="center"/>
            <w:hideMark/>
          </w:tcPr>
          <w:p w14:paraId="204E1578"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Troca informal de informação, conferências e encontros</w:t>
            </w:r>
          </w:p>
        </w:tc>
        <w:tc>
          <w:tcPr>
            <w:tcW w:w="352" w:type="pct"/>
            <w:tcBorders>
              <w:top w:val="nil"/>
              <w:left w:val="single" w:sz="4" w:space="0" w:color="auto"/>
              <w:bottom w:val="nil"/>
              <w:right w:val="nil"/>
            </w:tcBorders>
            <w:vAlign w:val="center"/>
            <w:hideMark/>
          </w:tcPr>
          <w:p w14:paraId="6E9A6D84"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Médio</w:t>
            </w:r>
          </w:p>
        </w:tc>
        <w:tc>
          <w:tcPr>
            <w:tcW w:w="502" w:type="pct"/>
            <w:tcBorders>
              <w:top w:val="nil"/>
              <w:left w:val="nil"/>
              <w:bottom w:val="nil"/>
              <w:right w:val="nil"/>
            </w:tcBorders>
            <w:vAlign w:val="center"/>
            <w:hideMark/>
          </w:tcPr>
          <w:p w14:paraId="35684163"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Médio-Alto</w:t>
            </w:r>
          </w:p>
        </w:tc>
        <w:tc>
          <w:tcPr>
            <w:tcW w:w="704" w:type="pct"/>
            <w:tcBorders>
              <w:top w:val="nil"/>
              <w:left w:val="nil"/>
              <w:bottom w:val="nil"/>
              <w:right w:val="nil"/>
            </w:tcBorders>
            <w:vAlign w:val="center"/>
            <w:hideMark/>
          </w:tcPr>
          <w:p w14:paraId="7BA1441C"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 xml:space="preserve">Própria linha de produção, universidades e clientes </w:t>
            </w:r>
          </w:p>
        </w:tc>
      </w:tr>
      <w:tr w:rsidR="00443B29" w:rsidRPr="00CF5F47" w14:paraId="14E1BCB3" w14:textId="77777777" w:rsidTr="00443B29">
        <w:trPr>
          <w:trHeight w:val="1134"/>
        </w:trPr>
        <w:tc>
          <w:tcPr>
            <w:tcW w:w="176" w:type="pct"/>
            <w:tcBorders>
              <w:top w:val="nil"/>
              <w:left w:val="nil"/>
              <w:bottom w:val="nil"/>
              <w:right w:val="nil"/>
            </w:tcBorders>
            <w:vAlign w:val="center"/>
            <w:hideMark/>
          </w:tcPr>
          <w:p w14:paraId="58F7F54C" w14:textId="77777777" w:rsidR="00443B29" w:rsidRPr="00CF5F47" w:rsidRDefault="00443B29">
            <w:pPr>
              <w:spacing w:line="240" w:lineRule="auto"/>
              <w:jc w:val="left"/>
              <w:rPr>
                <w:rFonts w:eastAsia="Times New Roman"/>
                <w:color w:val="000000"/>
                <w:sz w:val="22"/>
                <w:szCs w:val="22"/>
                <w:lang w:eastAsia="pt-BR"/>
              </w:rPr>
            </w:pPr>
            <w:r w:rsidRPr="00CF5F47">
              <w:rPr>
                <w:rFonts w:eastAsia="Times New Roman"/>
                <w:color w:val="000000"/>
                <w:sz w:val="22"/>
                <w:szCs w:val="22"/>
                <w:lang w:eastAsia="pt-BR"/>
              </w:rPr>
              <w:t>G3</w:t>
            </w:r>
          </w:p>
        </w:tc>
        <w:tc>
          <w:tcPr>
            <w:tcW w:w="352" w:type="pct"/>
            <w:tcBorders>
              <w:top w:val="nil"/>
              <w:left w:val="nil"/>
              <w:bottom w:val="nil"/>
              <w:right w:val="single" w:sz="4" w:space="0" w:color="auto"/>
            </w:tcBorders>
            <w:vAlign w:val="center"/>
            <w:hideMark/>
          </w:tcPr>
          <w:p w14:paraId="3B8A542E"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9</w:t>
            </w:r>
          </w:p>
        </w:tc>
        <w:tc>
          <w:tcPr>
            <w:tcW w:w="402" w:type="pct"/>
            <w:tcBorders>
              <w:top w:val="nil"/>
              <w:left w:val="single" w:sz="4" w:space="0" w:color="auto"/>
              <w:bottom w:val="nil"/>
              <w:right w:val="nil"/>
            </w:tcBorders>
            <w:vAlign w:val="center"/>
            <w:hideMark/>
          </w:tcPr>
          <w:p w14:paraId="44CC2DF2"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Alta</w:t>
            </w:r>
          </w:p>
        </w:tc>
        <w:tc>
          <w:tcPr>
            <w:tcW w:w="459" w:type="pct"/>
            <w:tcBorders>
              <w:top w:val="nil"/>
              <w:left w:val="nil"/>
              <w:bottom w:val="nil"/>
              <w:right w:val="nil"/>
            </w:tcBorders>
            <w:vAlign w:val="center"/>
            <w:hideMark/>
          </w:tcPr>
          <w:p w14:paraId="680B7075"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Alta</w:t>
            </w:r>
          </w:p>
        </w:tc>
        <w:tc>
          <w:tcPr>
            <w:tcW w:w="797" w:type="pct"/>
            <w:tcBorders>
              <w:top w:val="nil"/>
              <w:left w:val="nil"/>
              <w:bottom w:val="nil"/>
              <w:right w:val="single" w:sz="4" w:space="0" w:color="auto"/>
            </w:tcBorders>
            <w:vAlign w:val="center"/>
            <w:hideMark/>
          </w:tcPr>
          <w:p w14:paraId="19E626A7"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Transferência tecnológica</w:t>
            </w:r>
          </w:p>
        </w:tc>
        <w:tc>
          <w:tcPr>
            <w:tcW w:w="452" w:type="pct"/>
            <w:tcBorders>
              <w:top w:val="nil"/>
              <w:left w:val="single" w:sz="4" w:space="0" w:color="auto"/>
              <w:bottom w:val="nil"/>
              <w:right w:val="nil"/>
            </w:tcBorders>
            <w:vAlign w:val="center"/>
            <w:hideMark/>
          </w:tcPr>
          <w:p w14:paraId="2D658898"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Alta</w:t>
            </w:r>
          </w:p>
        </w:tc>
        <w:tc>
          <w:tcPr>
            <w:tcW w:w="804" w:type="pct"/>
            <w:tcBorders>
              <w:top w:val="nil"/>
              <w:left w:val="nil"/>
              <w:bottom w:val="nil"/>
              <w:right w:val="single" w:sz="4" w:space="0" w:color="auto"/>
            </w:tcBorders>
            <w:vAlign w:val="center"/>
            <w:hideMark/>
          </w:tcPr>
          <w:p w14:paraId="2B360457"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Publicações, consultorias, pesquisa conjunta e participação em redes</w:t>
            </w:r>
          </w:p>
        </w:tc>
        <w:tc>
          <w:tcPr>
            <w:tcW w:w="352" w:type="pct"/>
            <w:tcBorders>
              <w:top w:val="nil"/>
              <w:left w:val="single" w:sz="4" w:space="0" w:color="auto"/>
              <w:bottom w:val="nil"/>
              <w:right w:val="nil"/>
            </w:tcBorders>
            <w:vAlign w:val="center"/>
            <w:hideMark/>
          </w:tcPr>
          <w:p w14:paraId="52513E45"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Médio</w:t>
            </w:r>
          </w:p>
        </w:tc>
        <w:tc>
          <w:tcPr>
            <w:tcW w:w="502" w:type="pct"/>
            <w:tcBorders>
              <w:top w:val="nil"/>
              <w:left w:val="nil"/>
              <w:bottom w:val="nil"/>
              <w:right w:val="nil"/>
            </w:tcBorders>
            <w:vAlign w:val="center"/>
            <w:hideMark/>
          </w:tcPr>
          <w:p w14:paraId="11CEAD8B"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Alto</w:t>
            </w:r>
          </w:p>
        </w:tc>
        <w:tc>
          <w:tcPr>
            <w:tcW w:w="704" w:type="pct"/>
            <w:tcBorders>
              <w:top w:val="nil"/>
              <w:left w:val="nil"/>
              <w:bottom w:val="nil"/>
              <w:right w:val="nil"/>
            </w:tcBorders>
            <w:vAlign w:val="center"/>
            <w:hideMark/>
          </w:tcPr>
          <w:p w14:paraId="40E4641E"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 xml:space="preserve">Universidades e a própria linha de produção </w:t>
            </w:r>
          </w:p>
        </w:tc>
      </w:tr>
      <w:tr w:rsidR="00443B29" w:rsidRPr="00CF5F47" w14:paraId="56E2EA3F" w14:textId="77777777" w:rsidTr="00443B29">
        <w:trPr>
          <w:trHeight w:val="1134"/>
        </w:trPr>
        <w:tc>
          <w:tcPr>
            <w:tcW w:w="176" w:type="pct"/>
            <w:tcBorders>
              <w:top w:val="nil"/>
              <w:left w:val="nil"/>
              <w:bottom w:val="single" w:sz="4" w:space="0" w:color="auto"/>
              <w:right w:val="nil"/>
            </w:tcBorders>
            <w:vAlign w:val="center"/>
            <w:hideMark/>
          </w:tcPr>
          <w:p w14:paraId="3310E4C9" w14:textId="77777777" w:rsidR="00443B29" w:rsidRPr="00CF5F47" w:rsidRDefault="00443B29">
            <w:pPr>
              <w:spacing w:line="240" w:lineRule="auto"/>
              <w:jc w:val="left"/>
              <w:rPr>
                <w:rFonts w:eastAsia="Times New Roman"/>
                <w:color w:val="000000"/>
                <w:sz w:val="22"/>
                <w:szCs w:val="22"/>
                <w:lang w:eastAsia="pt-BR"/>
              </w:rPr>
            </w:pPr>
            <w:r w:rsidRPr="00CF5F47">
              <w:rPr>
                <w:rFonts w:eastAsia="Times New Roman"/>
                <w:color w:val="000000"/>
                <w:sz w:val="22"/>
                <w:szCs w:val="22"/>
                <w:lang w:eastAsia="pt-BR"/>
              </w:rPr>
              <w:t>G4</w:t>
            </w:r>
          </w:p>
        </w:tc>
        <w:tc>
          <w:tcPr>
            <w:tcW w:w="352" w:type="pct"/>
            <w:tcBorders>
              <w:top w:val="nil"/>
              <w:left w:val="nil"/>
              <w:bottom w:val="single" w:sz="4" w:space="0" w:color="auto"/>
              <w:right w:val="single" w:sz="4" w:space="0" w:color="auto"/>
            </w:tcBorders>
            <w:vAlign w:val="center"/>
            <w:hideMark/>
          </w:tcPr>
          <w:p w14:paraId="2A25D0FB"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10</w:t>
            </w:r>
          </w:p>
        </w:tc>
        <w:tc>
          <w:tcPr>
            <w:tcW w:w="402" w:type="pct"/>
            <w:tcBorders>
              <w:top w:val="nil"/>
              <w:left w:val="single" w:sz="4" w:space="0" w:color="auto"/>
              <w:bottom w:val="single" w:sz="4" w:space="0" w:color="auto"/>
              <w:right w:val="nil"/>
            </w:tcBorders>
            <w:vAlign w:val="center"/>
            <w:hideMark/>
          </w:tcPr>
          <w:p w14:paraId="07CEFE7C"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Baixa</w:t>
            </w:r>
          </w:p>
        </w:tc>
        <w:tc>
          <w:tcPr>
            <w:tcW w:w="459" w:type="pct"/>
            <w:tcBorders>
              <w:top w:val="nil"/>
              <w:left w:val="nil"/>
              <w:bottom w:val="single" w:sz="4" w:space="0" w:color="auto"/>
              <w:right w:val="nil"/>
            </w:tcBorders>
            <w:vAlign w:val="center"/>
            <w:hideMark/>
          </w:tcPr>
          <w:p w14:paraId="2B059199"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w:t>
            </w:r>
          </w:p>
        </w:tc>
        <w:tc>
          <w:tcPr>
            <w:tcW w:w="797" w:type="pct"/>
            <w:tcBorders>
              <w:top w:val="nil"/>
              <w:left w:val="nil"/>
              <w:bottom w:val="single" w:sz="4" w:space="0" w:color="auto"/>
              <w:right w:val="single" w:sz="4" w:space="0" w:color="auto"/>
            </w:tcBorders>
            <w:vAlign w:val="center"/>
            <w:hideMark/>
          </w:tcPr>
          <w:p w14:paraId="0FAF570D"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Transferência tecnológica e Conselhos Tecnológicos</w:t>
            </w:r>
          </w:p>
        </w:tc>
        <w:tc>
          <w:tcPr>
            <w:tcW w:w="452" w:type="pct"/>
            <w:tcBorders>
              <w:top w:val="nil"/>
              <w:left w:val="single" w:sz="4" w:space="0" w:color="auto"/>
              <w:bottom w:val="single" w:sz="4" w:space="0" w:color="auto"/>
              <w:right w:val="nil"/>
            </w:tcBorders>
            <w:vAlign w:val="center"/>
            <w:hideMark/>
          </w:tcPr>
          <w:p w14:paraId="54AB579A"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w:t>
            </w:r>
          </w:p>
        </w:tc>
        <w:tc>
          <w:tcPr>
            <w:tcW w:w="804" w:type="pct"/>
            <w:tcBorders>
              <w:top w:val="nil"/>
              <w:left w:val="nil"/>
              <w:bottom w:val="single" w:sz="4" w:space="0" w:color="auto"/>
              <w:right w:val="single" w:sz="4" w:space="0" w:color="auto"/>
            </w:tcBorders>
            <w:vAlign w:val="center"/>
            <w:hideMark/>
          </w:tcPr>
          <w:p w14:paraId="4C4C8C88"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Publicações, trocas informais de informação, conferências e encontros</w:t>
            </w:r>
          </w:p>
        </w:tc>
        <w:tc>
          <w:tcPr>
            <w:tcW w:w="352" w:type="pct"/>
            <w:tcBorders>
              <w:top w:val="nil"/>
              <w:left w:val="single" w:sz="4" w:space="0" w:color="auto"/>
              <w:bottom w:val="single" w:sz="4" w:space="0" w:color="auto"/>
              <w:right w:val="nil"/>
            </w:tcBorders>
            <w:vAlign w:val="center"/>
            <w:hideMark/>
          </w:tcPr>
          <w:p w14:paraId="2FB8123A"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Baixo</w:t>
            </w:r>
          </w:p>
        </w:tc>
        <w:tc>
          <w:tcPr>
            <w:tcW w:w="502" w:type="pct"/>
            <w:tcBorders>
              <w:top w:val="nil"/>
              <w:left w:val="nil"/>
              <w:bottom w:val="single" w:sz="4" w:space="0" w:color="auto"/>
              <w:right w:val="nil"/>
            </w:tcBorders>
            <w:vAlign w:val="center"/>
            <w:hideMark/>
          </w:tcPr>
          <w:p w14:paraId="43A00639"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Baixo</w:t>
            </w:r>
          </w:p>
        </w:tc>
        <w:tc>
          <w:tcPr>
            <w:tcW w:w="704" w:type="pct"/>
            <w:tcBorders>
              <w:top w:val="nil"/>
              <w:left w:val="nil"/>
              <w:bottom w:val="single" w:sz="4" w:space="0" w:color="auto"/>
              <w:right w:val="nil"/>
            </w:tcBorders>
            <w:vAlign w:val="center"/>
            <w:hideMark/>
          </w:tcPr>
          <w:p w14:paraId="6D1B99A9" w14:textId="77777777" w:rsidR="00443B29" w:rsidRPr="00CF5F47" w:rsidRDefault="00443B29">
            <w:pPr>
              <w:spacing w:line="240" w:lineRule="auto"/>
              <w:jc w:val="center"/>
              <w:rPr>
                <w:rFonts w:eastAsia="Times New Roman"/>
                <w:color w:val="000000"/>
                <w:sz w:val="22"/>
                <w:szCs w:val="22"/>
                <w:lang w:eastAsia="pt-BR"/>
              </w:rPr>
            </w:pPr>
            <w:r w:rsidRPr="00CF5F47">
              <w:rPr>
                <w:rFonts w:eastAsia="Times New Roman"/>
                <w:color w:val="000000"/>
                <w:sz w:val="22"/>
                <w:szCs w:val="22"/>
                <w:lang w:eastAsia="pt-BR"/>
              </w:rPr>
              <w:t>Própria linha de produção, outras empresas, clientes, feiras, concorrentes e internet</w:t>
            </w:r>
          </w:p>
        </w:tc>
      </w:tr>
    </w:tbl>
    <w:p w14:paraId="5A41447B" w14:textId="77777777" w:rsidR="00443B29" w:rsidRDefault="00443B29" w:rsidP="00443B29">
      <w:pPr>
        <w:pStyle w:val="PargrafodaLista"/>
        <w:tabs>
          <w:tab w:val="left" w:pos="0"/>
        </w:tabs>
        <w:spacing w:line="240" w:lineRule="auto"/>
        <w:ind w:left="0"/>
        <w:rPr>
          <w:sz w:val="20"/>
          <w:szCs w:val="20"/>
        </w:rPr>
      </w:pPr>
      <w:r>
        <w:rPr>
          <w:sz w:val="20"/>
          <w:szCs w:val="20"/>
        </w:rPr>
        <w:t xml:space="preserve">Fonte: Elaboração Própria, a partir do BR </w:t>
      </w:r>
      <w:r>
        <w:rPr>
          <w:i/>
          <w:sz w:val="20"/>
          <w:szCs w:val="20"/>
        </w:rPr>
        <w:t>Survey</w:t>
      </w:r>
      <w:r>
        <w:rPr>
          <w:sz w:val="20"/>
          <w:szCs w:val="20"/>
        </w:rPr>
        <w:t xml:space="preserve">. </w:t>
      </w:r>
    </w:p>
    <w:p w14:paraId="14ED1B79" w14:textId="77777777" w:rsidR="00443B29" w:rsidRDefault="00443B29" w:rsidP="00443B29">
      <w:pPr>
        <w:pStyle w:val="PargrafodaLista"/>
        <w:tabs>
          <w:tab w:val="left" w:pos="0"/>
        </w:tabs>
        <w:spacing w:line="240" w:lineRule="auto"/>
        <w:ind w:left="0"/>
        <w:rPr>
          <w:sz w:val="20"/>
          <w:szCs w:val="20"/>
        </w:rPr>
      </w:pPr>
      <w:r>
        <w:rPr>
          <w:sz w:val="20"/>
          <w:szCs w:val="20"/>
        </w:rPr>
        <w:t xml:space="preserve">Legenda: G1 G2, G3,G4 referem-se, respectivamente, aos grupos 1 a 4. </w:t>
      </w:r>
    </w:p>
    <w:p w14:paraId="4ADB4101" w14:textId="77777777" w:rsidR="00443B29" w:rsidRDefault="00443B29">
      <w:pPr>
        <w:spacing w:after="200" w:line="276" w:lineRule="auto"/>
        <w:jc w:val="left"/>
        <w:rPr>
          <w:b/>
        </w:rPr>
      </w:pPr>
    </w:p>
    <w:p w14:paraId="7F69B726" w14:textId="77777777" w:rsidR="00443B29" w:rsidRDefault="00443B29" w:rsidP="00443B29">
      <w:pPr>
        <w:spacing w:after="200" w:line="276" w:lineRule="auto"/>
        <w:jc w:val="left"/>
        <w:rPr>
          <w:b/>
        </w:rPr>
        <w:sectPr w:rsidR="00443B29" w:rsidSect="00CF5F47">
          <w:pgSz w:w="16838" w:h="11906" w:orient="landscape"/>
          <w:pgMar w:top="851" w:right="1134" w:bottom="851" w:left="1134" w:header="709" w:footer="709" w:gutter="0"/>
          <w:cols w:space="708"/>
          <w:docGrid w:linePitch="360"/>
        </w:sectPr>
      </w:pPr>
    </w:p>
    <w:p w14:paraId="672099B3" w14:textId="58599303" w:rsidR="00EE3951" w:rsidRPr="00F70561" w:rsidRDefault="0083079D" w:rsidP="00443B29">
      <w:pPr>
        <w:spacing w:after="200" w:line="276" w:lineRule="auto"/>
        <w:jc w:val="left"/>
        <w:rPr>
          <w:b/>
        </w:rPr>
      </w:pPr>
      <w:r>
        <w:rPr>
          <w:b/>
        </w:rPr>
        <w:lastRenderedPageBreak/>
        <w:t xml:space="preserve">5 – </w:t>
      </w:r>
      <w:r w:rsidR="001A7B5F" w:rsidRPr="00F70561">
        <w:rPr>
          <w:b/>
        </w:rPr>
        <w:t>CONSIDERAÇÕES FINAIS</w:t>
      </w:r>
      <w:r w:rsidR="00716734" w:rsidRPr="00F70561">
        <w:rPr>
          <w:b/>
        </w:rPr>
        <w:t xml:space="preserve"> </w:t>
      </w:r>
    </w:p>
    <w:p w14:paraId="0E11234A" w14:textId="147A2897" w:rsidR="00636C70" w:rsidRPr="005341B9" w:rsidRDefault="00036F52" w:rsidP="005341B9">
      <w:pPr>
        <w:tabs>
          <w:tab w:val="left" w:pos="0"/>
        </w:tabs>
        <w:spacing w:line="240" w:lineRule="auto"/>
      </w:pPr>
      <w:r w:rsidRPr="005341B9">
        <w:tab/>
      </w:r>
      <w:r w:rsidR="004524C4">
        <w:t xml:space="preserve">A </w:t>
      </w:r>
      <w:r w:rsidR="00F1299D" w:rsidRPr="005341B9">
        <w:t>anál</w:t>
      </w:r>
      <w:r w:rsidR="004524C4">
        <w:t xml:space="preserve">ise focada nas empresas de </w:t>
      </w:r>
      <w:r w:rsidR="00DE3D26" w:rsidRPr="005341B9">
        <w:t>SICs</w:t>
      </w:r>
      <w:r w:rsidR="002E2C0A">
        <w:t xml:space="preserve"> </w:t>
      </w:r>
      <w:r w:rsidRPr="005341B9">
        <w:t xml:space="preserve">evidencia a heterogeneidade das </w:t>
      </w:r>
      <w:r w:rsidR="004524C4">
        <w:t>mesmas</w:t>
      </w:r>
      <w:r w:rsidRPr="005341B9">
        <w:t xml:space="preserve">, bem como os seus esforços inovadores. </w:t>
      </w:r>
      <w:r w:rsidR="0060163C" w:rsidRPr="005341B9">
        <w:t>Ademais</w:t>
      </w:r>
      <w:r w:rsidR="00DE3D26" w:rsidRPr="005341B9">
        <w:t>,</w:t>
      </w:r>
      <w:r w:rsidR="0060163C" w:rsidRPr="005341B9">
        <w:t xml:space="preserve"> </w:t>
      </w:r>
      <w:r w:rsidR="002E2C0A">
        <w:t>constatou-se</w:t>
      </w:r>
      <w:r w:rsidR="0060163C" w:rsidRPr="005341B9">
        <w:t xml:space="preserve"> que não foi possível a identificação de padrões setoriais e/ou de interação com universidades</w:t>
      </w:r>
      <w:r w:rsidR="00DE3D26" w:rsidRPr="005341B9">
        <w:t>,</w:t>
      </w:r>
      <w:r w:rsidR="0060163C" w:rsidRPr="005341B9">
        <w:t xml:space="preserve"> uma vez que os </w:t>
      </w:r>
      <w:r w:rsidR="001628DE" w:rsidRPr="005341B9">
        <w:rPr>
          <w:i/>
        </w:rPr>
        <w:t>clusters</w:t>
      </w:r>
      <w:r w:rsidR="0060163C" w:rsidRPr="005341B9">
        <w:t xml:space="preserve"> apresentaram internamente grande diversidade setorial. Uma primeira contribuição deste trabalho foi, portanto, </w:t>
      </w:r>
      <w:r w:rsidR="007C6526" w:rsidRPr="005341B9">
        <w:t xml:space="preserve">evidenciar empiricamente </w:t>
      </w:r>
      <w:r w:rsidR="0060163C" w:rsidRPr="005341B9">
        <w:t>a crítica de Archibugi (2001) quanto ao uso deliberado da taxonomia de Pavitt (1984) a</w:t>
      </w:r>
      <w:r w:rsidR="00DE3D26" w:rsidRPr="005341B9">
        <w:t>o</w:t>
      </w:r>
      <w:r w:rsidR="0060163C" w:rsidRPr="005341B9">
        <w:t xml:space="preserve"> nível setorial, desconsiderando as especificidades de esforço tecnológico ao nível </w:t>
      </w:r>
      <w:r w:rsidR="004524C4">
        <w:t xml:space="preserve">individual </w:t>
      </w:r>
      <w:r w:rsidR="0060163C" w:rsidRPr="005341B9">
        <w:t xml:space="preserve">de cada empresa. </w:t>
      </w:r>
      <w:r w:rsidR="007C6526" w:rsidRPr="005341B9">
        <w:t xml:space="preserve">O trabalho também vai de encontro aos resultados de </w:t>
      </w:r>
      <w:r w:rsidR="002A2AE5" w:rsidRPr="005341B9">
        <w:t xml:space="preserve">Leiponen e Drejer (2007) </w:t>
      </w:r>
      <w:r w:rsidR="007C6526" w:rsidRPr="005341B9">
        <w:t>que investi</w:t>
      </w:r>
      <w:r w:rsidR="00C974FE" w:rsidRPr="005341B9">
        <w:t>ga</w:t>
      </w:r>
      <w:r w:rsidR="007C6526" w:rsidRPr="005341B9">
        <w:t>ram os regimes tecnológicos em setores da indústria e de serviços</w:t>
      </w:r>
      <w:r w:rsidR="00C974FE" w:rsidRPr="005341B9">
        <w:t xml:space="preserve"> na </w:t>
      </w:r>
      <w:r w:rsidR="007C6526" w:rsidRPr="005341B9">
        <w:t xml:space="preserve">Finlândia e Dinamarca. </w:t>
      </w:r>
      <w:r w:rsidR="006A6F76" w:rsidRPr="005341B9">
        <w:t xml:space="preserve">As </w:t>
      </w:r>
      <w:r w:rsidR="007C6526" w:rsidRPr="005341B9">
        <w:t>autor</w:t>
      </w:r>
      <w:r w:rsidR="006A6F76" w:rsidRPr="005341B9">
        <w:t>a</w:t>
      </w:r>
      <w:r w:rsidR="007C6526" w:rsidRPr="005341B9">
        <w:t>s encontraram uma grande heterogeneidade entre empresas de um mesmo setor, independente</w:t>
      </w:r>
      <w:r w:rsidR="001A7B5F">
        <w:t>mente</w:t>
      </w:r>
      <w:r w:rsidR="007C6526" w:rsidRPr="005341B9">
        <w:t xml:space="preserve"> da intensidade tecnológica</w:t>
      </w:r>
      <w:r w:rsidR="00C974FE" w:rsidRPr="005341B9">
        <w:t xml:space="preserve">, sugerindo a existência </w:t>
      </w:r>
      <w:r w:rsidR="00F324AA" w:rsidRPr="005341B9">
        <w:t xml:space="preserve">de grupos estratégicos e de </w:t>
      </w:r>
      <w:r w:rsidR="005250C6" w:rsidRPr="005341B9">
        <w:t>subgrupos</w:t>
      </w:r>
      <w:r w:rsidR="00F324AA" w:rsidRPr="005341B9">
        <w:t xml:space="preserve"> dentro de um setor de acordo com o comportamento inovador. </w:t>
      </w:r>
      <w:r w:rsidR="007C6526" w:rsidRPr="005341B9">
        <w:t xml:space="preserve"> </w:t>
      </w:r>
      <w:r w:rsidR="00F324AA" w:rsidRPr="005341B9">
        <w:t xml:space="preserve">Ainda que o tamanho de nossa amostra não permita a identificação de </w:t>
      </w:r>
      <w:r w:rsidR="005250C6" w:rsidRPr="005341B9">
        <w:t>subgrupos</w:t>
      </w:r>
      <w:r w:rsidR="00F324AA" w:rsidRPr="005341B9">
        <w:t xml:space="preserve"> dentro dos setores de serviços, a </w:t>
      </w:r>
      <w:r w:rsidR="0060163C" w:rsidRPr="005341B9">
        <w:t xml:space="preserve">escolha por um recorte setorial </w:t>
      </w:r>
      <w:r w:rsidR="0060163C" w:rsidRPr="005341B9">
        <w:rPr>
          <w:i/>
        </w:rPr>
        <w:t>ex-ante</w:t>
      </w:r>
      <w:r w:rsidR="0060163C" w:rsidRPr="005341B9">
        <w:t xml:space="preserve"> </w:t>
      </w:r>
      <w:r w:rsidR="00F324AA" w:rsidRPr="005341B9">
        <w:t>l</w:t>
      </w:r>
      <w:r w:rsidR="0060163C" w:rsidRPr="005341B9">
        <w:t>evaria a a</w:t>
      </w:r>
      <w:r w:rsidR="00C974FE" w:rsidRPr="005341B9">
        <w:t xml:space="preserve">nálises enviesadas das </w:t>
      </w:r>
      <w:r w:rsidR="00F324AA" w:rsidRPr="005341B9">
        <w:t>i</w:t>
      </w:r>
      <w:r w:rsidR="00636C70" w:rsidRPr="005341B9">
        <w:t xml:space="preserve">nformações. </w:t>
      </w:r>
    </w:p>
    <w:p w14:paraId="4283749F" w14:textId="46D597CE" w:rsidR="00D11284" w:rsidRPr="005341B9" w:rsidRDefault="002E2C0A" w:rsidP="005341B9">
      <w:pPr>
        <w:tabs>
          <w:tab w:val="left" w:pos="0"/>
        </w:tabs>
        <w:spacing w:line="240" w:lineRule="auto"/>
      </w:pPr>
      <w:r>
        <w:tab/>
        <w:t>O questionário da pesquisa</w:t>
      </w:r>
      <w:r w:rsidR="00D11284" w:rsidRPr="005341B9">
        <w:t xml:space="preserve"> não permite caracterizar as estratégias de geração de conhecimento </w:t>
      </w:r>
      <w:r w:rsidR="00A17136" w:rsidRPr="005341B9">
        <w:t xml:space="preserve">associadas às diferentes propensões </w:t>
      </w:r>
      <w:r w:rsidR="006A6F76" w:rsidRPr="005341B9">
        <w:t>a</w:t>
      </w:r>
      <w:r w:rsidR="00A17136" w:rsidRPr="005341B9">
        <w:t xml:space="preserve"> inovar </w:t>
      </w:r>
      <w:r w:rsidR="00D11284" w:rsidRPr="005341B9">
        <w:t xml:space="preserve">nas empresas de SICs, que </w:t>
      </w:r>
      <w:r w:rsidR="00A17136" w:rsidRPr="005341B9">
        <w:t xml:space="preserve">é o que </w:t>
      </w:r>
      <w:r w:rsidR="00D11284" w:rsidRPr="005341B9">
        <w:t>no geral vem sendo investigado em trabalhos recentes</w:t>
      </w:r>
      <w:r w:rsidR="00A17136" w:rsidRPr="005341B9">
        <w:t xml:space="preserve"> </w:t>
      </w:r>
      <w:r w:rsidR="004473E5" w:rsidRPr="005341B9">
        <w:t>a</w:t>
      </w:r>
      <w:r w:rsidR="00A17136" w:rsidRPr="005341B9">
        <w:t xml:space="preserve"> partir da sistematização de Asheim </w:t>
      </w:r>
      <w:r w:rsidR="00A17136" w:rsidRPr="005341B9">
        <w:rPr>
          <w:i/>
        </w:rPr>
        <w:t>et. a</w:t>
      </w:r>
      <w:r w:rsidR="00F534C8" w:rsidRPr="005341B9">
        <w:rPr>
          <w:i/>
        </w:rPr>
        <w:t>l</w:t>
      </w:r>
      <w:r w:rsidR="00A17136" w:rsidRPr="005341B9">
        <w:rPr>
          <w:i/>
        </w:rPr>
        <w:t>.</w:t>
      </w:r>
      <w:r w:rsidR="00A17136" w:rsidRPr="005341B9">
        <w:t xml:space="preserve"> (2007)</w:t>
      </w:r>
      <w:r w:rsidR="00A17136" w:rsidRPr="005341B9">
        <w:rPr>
          <w:rStyle w:val="Refdenotaderodap"/>
        </w:rPr>
        <w:footnoteReference w:id="10"/>
      </w:r>
      <w:r w:rsidR="00A17136" w:rsidRPr="005341B9">
        <w:t>. Em vista disto</w:t>
      </w:r>
      <w:r w:rsidR="00DE3D26" w:rsidRPr="005341B9">
        <w:t>,</w:t>
      </w:r>
      <w:r w:rsidR="007D7B37" w:rsidRPr="005341B9">
        <w:t xml:space="preserve"> não foi possível avançar em uma taxonomia ou estratégia de inovação que caracteriz</w:t>
      </w:r>
      <w:r w:rsidR="006A6F76" w:rsidRPr="005341B9">
        <w:t xml:space="preserve">e </w:t>
      </w:r>
      <w:r w:rsidR="007D7B37" w:rsidRPr="005341B9">
        <w:t xml:space="preserve">os 4 </w:t>
      </w:r>
      <w:r w:rsidR="007D7B37" w:rsidRPr="005341B9">
        <w:rPr>
          <w:i/>
        </w:rPr>
        <w:t>clusters</w:t>
      </w:r>
      <w:r w:rsidR="007D7B37" w:rsidRPr="005341B9">
        <w:t xml:space="preserve"> identificados na a</w:t>
      </w:r>
      <w:r w:rsidR="006A6F76" w:rsidRPr="005341B9">
        <w:t>ná</w:t>
      </w:r>
      <w:r w:rsidR="007D7B37" w:rsidRPr="005341B9">
        <w:t xml:space="preserve">lise metodológica. Portanto, </w:t>
      </w:r>
      <w:r w:rsidR="00A17136" w:rsidRPr="005341B9">
        <w:t>o trabalho se propôs</w:t>
      </w:r>
      <w:r w:rsidR="00DE3D26" w:rsidRPr="005341B9">
        <w:t>,</w:t>
      </w:r>
      <w:r w:rsidR="007D7B37" w:rsidRPr="005341B9">
        <w:t xml:space="preserve"> </w:t>
      </w:r>
      <w:r w:rsidR="00D62C6B">
        <w:t xml:space="preserve">a </w:t>
      </w:r>
      <w:r w:rsidR="00A17136" w:rsidRPr="005341B9">
        <w:t>partir das motivações para interagir com as universidades</w:t>
      </w:r>
      <w:r w:rsidR="00DE3D26" w:rsidRPr="005341B9">
        <w:t>,</w:t>
      </w:r>
      <w:r w:rsidR="00A17136" w:rsidRPr="005341B9">
        <w:t xml:space="preserve"> caracterizar os esforços inov</w:t>
      </w:r>
      <w:r w:rsidR="00F534C8" w:rsidRPr="005341B9">
        <w:t>ativos das empresas e o acesso à</w:t>
      </w:r>
      <w:r w:rsidR="00A17136" w:rsidRPr="005341B9">
        <w:t xml:space="preserve">s informações </w:t>
      </w:r>
      <w:r w:rsidR="00DE3D26" w:rsidRPr="005341B9">
        <w:t xml:space="preserve">e </w:t>
      </w:r>
      <w:r w:rsidR="00A17136" w:rsidRPr="005341B9">
        <w:t xml:space="preserve">conhecimento das universidades. </w:t>
      </w:r>
    </w:p>
    <w:p w14:paraId="481DCE14" w14:textId="77777777" w:rsidR="00A7211A" w:rsidRPr="005341B9" w:rsidRDefault="00636C70" w:rsidP="005341B9">
      <w:pPr>
        <w:tabs>
          <w:tab w:val="left" w:pos="0"/>
        </w:tabs>
        <w:spacing w:line="240" w:lineRule="auto"/>
      </w:pPr>
      <w:r w:rsidRPr="005341B9">
        <w:tab/>
        <w:t xml:space="preserve">As análises através dos agrupamentos ratificaram evidências na literatura </w:t>
      </w:r>
      <w:r w:rsidR="00DE3D26" w:rsidRPr="005341B9">
        <w:t xml:space="preserve">acerca </w:t>
      </w:r>
      <w:r w:rsidRPr="005341B9">
        <w:t xml:space="preserve">da articulação entre os esforços internos para inovação nas empresas e a valorização da universidade, ainda que </w:t>
      </w:r>
      <w:r w:rsidR="00350141" w:rsidRPr="005341B9">
        <w:t xml:space="preserve">a maioria dos trabalhos </w:t>
      </w:r>
      <w:r w:rsidRPr="005341B9">
        <w:t xml:space="preserve">não </w:t>
      </w:r>
      <w:r w:rsidR="00350141" w:rsidRPr="005341B9">
        <w:t>seja focad</w:t>
      </w:r>
      <w:r w:rsidR="00F50053" w:rsidRPr="005341B9">
        <w:t>a</w:t>
      </w:r>
      <w:r w:rsidRPr="005341B9">
        <w:t xml:space="preserve"> em serviços e sim em evidências para a ind</w:t>
      </w:r>
      <w:r w:rsidR="00350141" w:rsidRPr="005341B9">
        <w:t>ústri</w:t>
      </w:r>
      <w:r w:rsidRPr="005341B9">
        <w:t xml:space="preserve">a de transformação. </w:t>
      </w:r>
      <w:r w:rsidR="00350141" w:rsidRPr="005341B9">
        <w:t>Neste sentido</w:t>
      </w:r>
      <w:r w:rsidR="00DE3D26" w:rsidRPr="005341B9">
        <w:t>,</w:t>
      </w:r>
      <w:r w:rsidR="00350141" w:rsidRPr="005341B9">
        <w:t xml:space="preserve"> a existência de </w:t>
      </w:r>
      <w:r w:rsidR="00223ED1" w:rsidRPr="005341B9">
        <w:t xml:space="preserve">esforço </w:t>
      </w:r>
      <w:r w:rsidR="00747F3C" w:rsidRPr="005341B9">
        <w:t>inovativ</w:t>
      </w:r>
      <w:r w:rsidR="00223ED1" w:rsidRPr="005341B9">
        <w:t>o</w:t>
      </w:r>
      <w:r w:rsidR="00F50053" w:rsidRPr="005341B9">
        <w:t>, mensurado pelo esforço em P&amp;D e pelo desempenho inovativo (tipo de inovação)</w:t>
      </w:r>
      <w:r w:rsidR="00350141" w:rsidRPr="005341B9">
        <w:t xml:space="preserve"> </w:t>
      </w:r>
      <w:r w:rsidR="00747F3C" w:rsidRPr="005341B9">
        <w:t xml:space="preserve">e </w:t>
      </w:r>
      <w:r w:rsidR="00350141" w:rsidRPr="005341B9">
        <w:t xml:space="preserve">de </w:t>
      </w:r>
      <w:r w:rsidR="00223ED1" w:rsidRPr="005341B9">
        <w:t xml:space="preserve">capacidade </w:t>
      </w:r>
      <w:r w:rsidR="00350141" w:rsidRPr="005341B9">
        <w:t>absorção nas empresas (pessoal envolvido em P&amp;D) favorece o uso das universidades como fonte de informação</w:t>
      </w:r>
      <w:r w:rsidR="009D6ADA" w:rsidRPr="005341B9">
        <w:t xml:space="preserve"> (</w:t>
      </w:r>
      <w:r w:rsidR="00F534C8" w:rsidRPr="005341B9">
        <w:t>TETHER; TAJAR</w:t>
      </w:r>
      <w:r w:rsidR="009D6ADA" w:rsidRPr="005341B9">
        <w:t>, 2008)</w:t>
      </w:r>
      <w:r w:rsidR="00350141" w:rsidRPr="005341B9">
        <w:t>, bem como o uso de canais mais complexos que envolvem a troca de conhecimento codificado e tácito</w:t>
      </w:r>
      <w:r w:rsidR="00AB65E0" w:rsidRPr="005341B9">
        <w:t>.</w:t>
      </w:r>
    </w:p>
    <w:p w14:paraId="1DF55FEE" w14:textId="7869FF9B" w:rsidR="00F1299D" w:rsidRPr="005341B9" w:rsidRDefault="00A7211A" w:rsidP="005341B9">
      <w:pPr>
        <w:tabs>
          <w:tab w:val="left" w:pos="0"/>
        </w:tabs>
        <w:spacing w:line="240" w:lineRule="auto"/>
      </w:pPr>
      <w:r w:rsidRPr="005341B9">
        <w:tab/>
        <w:t>As empresas do G</w:t>
      </w:r>
      <w:r w:rsidR="00F50053" w:rsidRPr="005341B9">
        <w:t xml:space="preserve">rupo 1 </w:t>
      </w:r>
      <w:r w:rsidR="00AB65E0" w:rsidRPr="005341B9">
        <w:t>são</w:t>
      </w:r>
      <w:r w:rsidR="00F50053" w:rsidRPr="005341B9">
        <w:t xml:space="preserve"> exemplo</w:t>
      </w:r>
      <w:r w:rsidR="00AB65E0" w:rsidRPr="005341B9">
        <w:t>s</w:t>
      </w:r>
      <w:r w:rsidR="00F50053" w:rsidRPr="005341B9">
        <w:t xml:space="preserve"> de elevado esforço inovativo</w:t>
      </w:r>
      <w:r w:rsidR="00AB65E0" w:rsidRPr="005341B9">
        <w:t xml:space="preserve"> (elevados gastos em P&amp;D)</w:t>
      </w:r>
      <w:r w:rsidR="00F50053" w:rsidRPr="005341B9">
        <w:t xml:space="preserve"> </w:t>
      </w:r>
      <w:r w:rsidR="00AB65E0" w:rsidRPr="005341B9">
        <w:t>e da busca de conhecimento tácito e codificado nas universidades</w:t>
      </w:r>
      <w:r w:rsidR="00D04069" w:rsidRPr="005341B9">
        <w:t xml:space="preserve">, principalmente através da contratação de pessoal e da realização de contratos de pesquisa. </w:t>
      </w:r>
      <w:r w:rsidR="00D05D3F" w:rsidRPr="005341B9">
        <w:t>Por sua vez, as empresas do grupo 3 apresentam alto desempenho e médio esforço de P&amp;D</w:t>
      </w:r>
      <w:r w:rsidR="00DE3D26" w:rsidRPr="005341B9">
        <w:t>,</w:t>
      </w:r>
      <w:r w:rsidR="00D05D3F" w:rsidRPr="005341B9">
        <w:t xml:space="preserve"> o que permite que utilizem uma variedade de canais para acessar os conhecimentos das universidades, sendo os mesmos mais ou menos complexos. As empresas do Grupo 2</w:t>
      </w:r>
      <w:r w:rsidR="00DE3D26" w:rsidRPr="005341B9">
        <w:t>,</w:t>
      </w:r>
      <w:r w:rsidR="00D05D3F" w:rsidRPr="005341B9">
        <w:t xml:space="preserve"> ainda que apresentem esforços inovativos mais moderados</w:t>
      </w:r>
      <w:r w:rsidR="00DE3D26" w:rsidRPr="005341B9">
        <w:t>,</w:t>
      </w:r>
      <w:r w:rsidR="00D05D3F" w:rsidRPr="005341B9">
        <w:t xml:space="preserve"> também valorizam as informações</w:t>
      </w:r>
      <w:r w:rsidR="002423F3" w:rsidRPr="005341B9">
        <w:t xml:space="preserve"> e os conhecimentos oriundos </w:t>
      </w:r>
      <w:r w:rsidR="00D05D3F" w:rsidRPr="005341B9">
        <w:t>da</w:t>
      </w:r>
      <w:r w:rsidR="002423F3" w:rsidRPr="005341B9">
        <w:t>s</w:t>
      </w:r>
      <w:r w:rsidR="00D05D3F" w:rsidRPr="005341B9">
        <w:t xml:space="preserve"> universidades</w:t>
      </w:r>
      <w:r w:rsidR="00DE3D26" w:rsidRPr="005341B9">
        <w:t>,</w:t>
      </w:r>
      <w:r w:rsidR="00D05D3F" w:rsidRPr="005341B9">
        <w:t xml:space="preserve"> </w:t>
      </w:r>
      <w:r w:rsidR="002423F3" w:rsidRPr="005341B9">
        <w:t>embora na busca de soluções pontuais e de conhecimento já codificado. E</w:t>
      </w:r>
      <w:r w:rsidR="005250C6">
        <w:t>,</w:t>
      </w:r>
      <w:r w:rsidR="002423F3" w:rsidRPr="005341B9">
        <w:t xml:space="preserve"> por fim, as empresas do Grupo 4 foram as únicas nas quais as universidades não foram importantes fontes de informação e de conhecimento e </w:t>
      </w:r>
      <w:r w:rsidR="00DE3D26" w:rsidRPr="005341B9">
        <w:t xml:space="preserve">que </w:t>
      </w:r>
      <w:r w:rsidR="002423F3" w:rsidRPr="005341B9">
        <w:t xml:space="preserve">utilizam canais menos formalizados e mais simples na interação. </w:t>
      </w:r>
      <w:r w:rsidR="00F37539" w:rsidRPr="005341B9">
        <w:t xml:space="preserve"> </w:t>
      </w:r>
    </w:p>
    <w:p w14:paraId="696DEA13" w14:textId="77777777" w:rsidR="00D8208F" w:rsidRPr="005341B9" w:rsidRDefault="00F1299D" w:rsidP="005341B9">
      <w:pPr>
        <w:tabs>
          <w:tab w:val="left" w:pos="0"/>
        </w:tabs>
        <w:spacing w:line="240" w:lineRule="auto"/>
      </w:pPr>
      <w:r w:rsidRPr="005341B9">
        <w:tab/>
      </w:r>
      <w:r w:rsidR="00782C93" w:rsidRPr="005341B9">
        <w:t xml:space="preserve">Os resultados da análise de </w:t>
      </w:r>
      <w:r w:rsidR="001628DE" w:rsidRPr="005341B9">
        <w:rPr>
          <w:i/>
        </w:rPr>
        <w:t>cluster</w:t>
      </w:r>
      <w:r w:rsidR="00782C93" w:rsidRPr="005341B9">
        <w:t xml:space="preserve"> evidenciam que </w:t>
      </w:r>
      <w:r w:rsidR="00D8208F" w:rsidRPr="005341B9">
        <w:t xml:space="preserve">os padrões identificados na </w:t>
      </w:r>
      <w:r w:rsidR="00DE3D26" w:rsidRPr="005341B9">
        <w:t xml:space="preserve">IUE </w:t>
      </w:r>
      <w:r w:rsidR="009D6ADA" w:rsidRPr="005341B9">
        <w:t xml:space="preserve">são heterogêneos </w:t>
      </w:r>
      <w:r w:rsidR="00FE1CB1" w:rsidRPr="005341B9">
        <w:t xml:space="preserve">e </w:t>
      </w:r>
      <w:r w:rsidR="00D8208F" w:rsidRPr="005341B9">
        <w:t xml:space="preserve">seguem as </w:t>
      </w:r>
      <w:r w:rsidR="00782C93" w:rsidRPr="005341B9">
        <w:t>estraté</w:t>
      </w:r>
      <w:r w:rsidR="00D8208F" w:rsidRPr="005341B9">
        <w:t xml:space="preserve">gias </w:t>
      </w:r>
      <w:r w:rsidR="00782C93" w:rsidRPr="005341B9">
        <w:t xml:space="preserve">inovadoras </w:t>
      </w:r>
      <w:r w:rsidR="00D8208F" w:rsidRPr="005341B9">
        <w:t>adotadas pelas empresas</w:t>
      </w:r>
      <w:r w:rsidR="00DE3D26" w:rsidRPr="005341B9">
        <w:t>,</w:t>
      </w:r>
      <w:r w:rsidR="00782C93" w:rsidRPr="005341B9">
        <w:t xml:space="preserve"> conforme outros estudos realizados na literatura sobre inovação em SICs</w:t>
      </w:r>
      <w:r w:rsidR="00D8208F" w:rsidRPr="005341B9">
        <w:t xml:space="preserve"> (</w:t>
      </w:r>
      <w:r w:rsidR="00F534C8" w:rsidRPr="005341B9">
        <w:t>CORROCHER</w:t>
      </w:r>
      <w:r w:rsidR="00D8208F" w:rsidRPr="005341B9">
        <w:t xml:space="preserve"> </w:t>
      </w:r>
      <w:r w:rsidR="001628DE" w:rsidRPr="005341B9">
        <w:rPr>
          <w:i/>
        </w:rPr>
        <w:t>et. al</w:t>
      </w:r>
      <w:r w:rsidR="00D8208F" w:rsidRPr="005341B9">
        <w:t>., 2009</w:t>
      </w:r>
      <w:r w:rsidR="009D6ADA" w:rsidRPr="005341B9">
        <w:t>; PINA; TETHER, 2016</w:t>
      </w:r>
      <w:r w:rsidR="00D8208F" w:rsidRPr="005341B9">
        <w:t>)</w:t>
      </w:r>
      <w:r w:rsidR="00747F3C" w:rsidRPr="005341B9">
        <w:t>.</w:t>
      </w:r>
      <w:r w:rsidR="00F534C8" w:rsidRPr="005341B9">
        <w:t xml:space="preserve"> Poucos são os estudos sobre esta temática para o Brasil</w:t>
      </w:r>
      <w:r w:rsidR="00196B68" w:rsidRPr="005341B9">
        <w:t>,</w:t>
      </w:r>
      <w:r w:rsidR="00F534C8" w:rsidRPr="005341B9">
        <w:t xml:space="preserve"> ficando como sugestão a realização de estudos específicos para a compreensão da geração de conhecimento em empresas de serviços</w:t>
      </w:r>
      <w:r w:rsidR="00196B68" w:rsidRPr="005341B9">
        <w:t>,</w:t>
      </w:r>
      <w:r w:rsidR="00F534C8" w:rsidRPr="005341B9">
        <w:t xml:space="preserve"> bem como sua relação com universidades e outros agentes do Sistema Nacional de Inovação. </w:t>
      </w:r>
    </w:p>
    <w:p w14:paraId="38B9D915" w14:textId="77777777" w:rsidR="009D6ADA" w:rsidRPr="005341B9" w:rsidRDefault="009D6ADA" w:rsidP="005341B9">
      <w:pPr>
        <w:tabs>
          <w:tab w:val="left" w:pos="0"/>
        </w:tabs>
        <w:spacing w:line="240" w:lineRule="auto"/>
        <w:rPr>
          <w:highlight w:val="yellow"/>
        </w:rPr>
      </w:pPr>
    </w:p>
    <w:p w14:paraId="4CC9CFF9" w14:textId="77777777" w:rsidR="00C17F4A" w:rsidRPr="005341B9" w:rsidRDefault="00C17F4A" w:rsidP="005341B9">
      <w:pPr>
        <w:tabs>
          <w:tab w:val="left" w:pos="0"/>
        </w:tabs>
        <w:spacing w:line="240" w:lineRule="auto"/>
        <w:rPr>
          <w:b/>
        </w:rPr>
      </w:pPr>
    </w:p>
    <w:p w14:paraId="3B75316C" w14:textId="77777777" w:rsidR="003A6E33" w:rsidRDefault="003A6E33">
      <w:pPr>
        <w:spacing w:after="200" w:line="276" w:lineRule="auto"/>
        <w:jc w:val="left"/>
        <w:rPr>
          <w:b/>
          <w:lang w:val="en-US"/>
        </w:rPr>
      </w:pPr>
      <w:r>
        <w:rPr>
          <w:b/>
          <w:lang w:val="en-US"/>
        </w:rPr>
        <w:br w:type="page"/>
      </w:r>
    </w:p>
    <w:p w14:paraId="753C5906" w14:textId="0E9D1682" w:rsidR="00B442D2" w:rsidRPr="005341B9" w:rsidRDefault="00496BD1" w:rsidP="005341B9">
      <w:pPr>
        <w:tabs>
          <w:tab w:val="left" w:pos="0"/>
        </w:tabs>
        <w:spacing w:line="240" w:lineRule="auto"/>
        <w:rPr>
          <w:b/>
          <w:lang w:val="en-US"/>
        </w:rPr>
      </w:pPr>
      <w:r w:rsidRPr="005341B9">
        <w:rPr>
          <w:b/>
          <w:lang w:val="en-US"/>
        </w:rPr>
        <w:lastRenderedPageBreak/>
        <w:t xml:space="preserve">REFERÊNCIAS BIBLIOGRÁFICAS </w:t>
      </w:r>
    </w:p>
    <w:p w14:paraId="273025A8" w14:textId="77777777" w:rsidR="00315194" w:rsidRPr="005341B9" w:rsidRDefault="00315194" w:rsidP="005341B9">
      <w:pPr>
        <w:spacing w:line="240" w:lineRule="auto"/>
        <w:rPr>
          <w:lang w:val="en-US"/>
        </w:rPr>
      </w:pPr>
    </w:p>
    <w:p w14:paraId="7D2155D9" w14:textId="77777777" w:rsidR="00A83549" w:rsidRPr="000E7534" w:rsidRDefault="00A83549" w:rsidP="005341B9">
      <w:pPr>
        <w:pStyle w:val="ReferBibl"/>
        <w:spacing w:after="0"/>
        <w:jc w:val="both"/>
        <w:rPr>
          <w:rFonts w:ascii="Times New Roman" w:hAnsi="Times New Roman"/>
          <w:lang w:val="en-US"/>
        </w:rPr>
      </w:pPr>
      <w:r w:rsidRPr="000E7534">
        <w:rPr>
          <w:rFonts w:ascii="Times New Roman" w:hAnsi="Times New Roman"/>
          <w:lang w:val="en-US"/>
        </w:rPr>
        <w:t>ARCHIBUGI, D.</w:t>
      </w:r>
      <w:r w:rsidRPr="000E7534">
        <w:rPr>
          <w:rFonts w:ascii="Times New Roman" w:hAnsi="Times New Roman"/>
          <w:b/>
          <w:i/>
          <w:lang w:val="en-US"/>
        </w:rPr>
        <w:t xml:space="preserve"> </w:t>
      </w:r>
      <w:r w:rsidRPr="000E7534">
        <w:rPr>
          <w:rFonts w:ascii="Times New Roman" w:hAnsi="Times New Roman"/>
          <w:lang w:val="en-US"/>
        </w:rPr>
        <w:t>Pavitts taxonomy sixteen years on: a review article</w:t>
      </w:r>
      <w:r w:rsidRPr="000E7534">
        <w:rPr>
          <w:rFonts w:ascii="Times New Roman" w:hAnsi="Times New Roman"/>
          <w:b/>
          <w:i/>
          <w:lang w:val="en-US"/>
        </w:rPr>
        <w:t xml:space="preserve">. </w:t>
      </w:r>
      <w:r w:rsidRPr="000E7534">
        <w:rPr>
          <w:rFonts w:ascii="Times New Roman" w:hAnsi="Times New Roman"/>
          <w:i/>
          <w:lang w:val="en-US"/>
        </w:rPr>
        <w:t xml:space="preserve">Economics of Innovation and New Technology, v.10, </w:t>
      </w:r>
      <w:r w:rsidRPr="000E7534">
        <w:rPr>
          <w:rFonts w:ascii="Times New Roman" w:hAnsi="Times New Roman"/>
          <w:lang w:val="en-US"/>
        </w:rPr>
        <w:t>p. 415-425, 2001.</w:t>
      </w:r>
    </w:p>
    <w:p w14:paraId="02E77267" w14:textId="77777777" w:rsidR="00D363F7" w:rsidRPr="000E7534" w:rsidRDefault="00D363F7" w:rsidP="005341B9">
      <w:pPr>
        <w:pStyle w:val="ReferBibl"/>
        <w:spacing w:after="0"/>
        <w:jc w:val="both"/>
        <w:rPr>
          <w:rFonts w:ascii="Times New Roman" w:hAnsi="Times New Roman"/>
          <w:lang w:val="en-US"/>
        </w:rPr>
      </w:pPr>
      <w:r w:rsidRPr="000E7534">
        <w:rPr>
          <w:rFonts w:ascii="Times New Roman" w:hAnsi="Times New Roman"/>
          <w:lang w:val="en-US"/>
        </w:rPr>
        <w:t xml:space="preserve">ASHEIM, B., COENEN, L., MOODYSSON, J.; VANG, J. Constructing knowledge-based regional advantage: implications for regional innovation policy, </w:t>
      </w:r>
      <w:r w:rsidR="00233438" w:rsidRPr="000E7534">
        <w:rPr>
          <w:rFonts w:ascii="Times New Roman" w:hAnsi="Times New Roman"/>
          <w:i/>
          <w:lang w:val="en-US"/>
        </w:rPr>
        <w:t>International Journal Entrepreneurship and Innovation Management</w:t>
      </w:r>
      <w:r w:rsidR="00233438" w:rsidRPr="000E7534">
        <w:rPr>
          <w:rFonts w:ascii="Times New Roman" w:hAnsi="Times New Roman"/>
          <w:lang w:val="en-US"/>
        </w:rPr>
        <w:t>, 7,140-157, 2007.</w:t>
      </w:r>
    </w:p>
    <w:p w14:paraId="041C839B" w14:textId="66F70656" w:rsidR="00A83549" w:rsidRPr="000E7534" w:rsidRDefault="00233438" w:rsidP="005341B9">
      <w:pPr>
        <w:pStyle w:val="ReferBibl"/>
        <w:spacing w:after="0"/>
        <w:jc w:val="both"/>
        <w:rPr>
          <w:rFonts w:ascii="Times New Roman" w:hAnsi="Times New Roman"/>
          <w:lang w:val="en-US"/>
        </w:rPr>
      </w:pPr>
      <w:r w:rsidRPr="000E7534">
        <w:rPr>
          <w:rFonts w:ascii="Times New Roman" w:hAnsi="Times New Roman"/>
        </w:rPr>
        <w:t>BERNARDES, R</w:t>
      </w:r>
      <w:r w:rsidR="00D62D6D" w:rsidRPr="000E7534">
        <w:rPr>
          <w:rFonts w:ascii="Times New Roman" w:hAnsi="Times New Roman"/>
        </w:rPr>
        <w:t>.</w:t>
      </w:r>
      <w:r w:rsidRPr="000E7534">
        <w:rPr>
          <w:rFonts w:ascii="Times New Roman" w:hAnsi="Times New Roman"/>
        </w:rPr>
        <w:t>; KALLUP, A</w:t>
      </w:r>
      <w:r w:rsidR="00D62D6D" w:rsidRPr="000E7534">
        <w:rPr>
          <w:rFonts w:ascii="Times New Roman" w:hAnsi="Times New Roman"/>
        </w:rPr>
        <w:t>.</w:t>
      </w:r>
      <w:r w:rsidRPr="000E7534">
        <w:rPr>
          <w:rFonts w:ascii="Times New Roman" w:hAnsi="Times New Roman"/>
        </w:rPr>
        <w:t>. A emergência dos serviços intensivos em conhecimento no Brasil</w:t>
      </w:r>
      <w:r w:rsidRPr="000E7534">
        <w:rPr>
          <w:rFonts w:ascii="Times New Roman" w:hAnsi="Times New Roman"/>
          <w:b/>
        </w:rPr>
        <w:t xml:space="preserve">. </w:t>
      </w:r>
      <w:r w:rsidRPr="000E7534">
        <w:rPr>
          <w:rFonts w:ascii="Times New Roman" w:hAnsi="Times New Roman"/>
        </w:rPr>
        <w:t xml:space="preserve">In: BERNARDES, Roberto; ANDREASSI, Tales (Orgs.). </w:t>
      </w:r>
      <w:r w:rsidRPr="000E7534">
        <w:rPr>
          <w:rFonts w:ascii="Times New Roman" w:hAnsi="Times New Roman"/>
          <w:i/>
        </w:rPr>
        <w:t>Inovação em serviços intensivos em conhecimento</w:t>
      </w:r>
      <w:r w:rsidRPr="000E7534">
        <w:rPr>
          <w:rFonts w:ascii="Times New Roman" w:hAnsi="Times New Roman"/>
        </w:rPr>
        <w:t xml:space="preserve">. </w:t>
      </w:r>
      <w:r w:rsidRPr="000E7534">
        <w:rPr>
          <w:rFonts w:ascii="Times New Roman" w:hAnsi="Times New Roman"/>
          <w:lang w:val="en-US"/>
        </w:rPr>
        <w:t>São Paulo: Saraiva, 2007. cap. 5, p. 117-155.</w:t>
      </w:r>
    </w:p>
    <w:p w14:paraId="2DBAF559" w14:textId="16B8709A" w:rsidR="00843EAC" w:rsidRPr="000E7534" w:rsidRDefault="00843EAC" w:rsidP="005341B9">
      <w:pPr>
        <w:spacing w:line="240" w:lineRule="auto"/>
        <w:ind w:left="567" w:hanging="567"/>
        <w:rPr>
          <w:lang w:val="en-US"/>
        </w:rPr>
      </w:pPr>
      <w:r w:rsidRPr="000E7534">
        <w:rPr>
          <w:lang w:val="en-US"/>
        </w:rPr>
        <w:t xml:space="preserve">CASTELLACCI, F. Technological paradigms, regime and trajectories: manufacturing and service industries in a new taxonomy of sectoral patterns of innovation. </w:t>
      </w:r>
      <w:r w:rsidRPr="000E7534">
        <w:rPr>
          <w:i/>
          <w:lang w:val="en-US"/>
        </w:rPr>
        <w:t>Research Policy</w:t>
      </w:r>
      <w:r w:rsidRPr="000E7534">
        <w:rPr>
          <w:lang w:val="en-US"/>
        </w:rPr>
        <w:t>, 37, p. 978-994, 2008.</w:t>
      </w:r>
    </w:p>
    <w:p w14:paraId="54F18EE7" w14:textId="77777777" w:rsidR="007A64EF" w:rsidRPr="000E7534" w:rsidRDefault="00233438" w:rsidP="005341B9">
      <w:pPr>
        <w:pStyle w:val="ReferBibl"/>
        <w:spacing w:after="0"/>
        <w:jc w:val="both"/>
        <w:rPr>
          <w:rFonts w:ascii="Times New Roman" w:hAnsi="Times New Roman"/>
          <w:lang w:val="en-US"/>
        </w:rPr>
      </w:pPr>
      <w:r w:rsidRPr="000E7534">
        <w:rPr>
          <w:rFonts w:ascii="Times New Roman" w:hAnsi="Times New Roman"/>
          <w:lang w:val="en-US"/>
        </w:rPr>
        <w:t xml:space="preserve">CORROCHER, L.N.; CUSMANO, L.; MORRISON, A. Modes of innovation in knowledge-intensive business services evidence from Lombardy. </w:t>
      </w:r>
      <w:r w:rsidRPr="000E7534">
        <w:rPr>
          <w:rFonts w:ascii="Times New Roman" w:hAnsi="Times New Roman"/>
          <w:i/>
          <w:lang w:val="en-US"/>
        </w:rPr>
        <w:t>Journal of Evolutionary Economic</w:t>
      </w:r>
      <w:r w:rsidRPr="000E7534">
        <w:rPr>
          <w:rFonts w:ascii="Times New Roman" w:hAnsi="Times New Roman"/>
          <w:lang w:val="en-US"/>
        </w:rPr>
        <w:t>s, 19:173–196, 2009.</w:t>
      </w:r>
    </w:p>
    <w:p w14:paraId="08600CF6" w14:textId="67DDE8A5" w:rsidR="00A462CC" w:rsidRPr="000E7534" w:rsidRDefault="00A462CC" w:rsidP="005341B9">
      <w:pPr>
        <w:pStyle w:val="ReferBibl"/>
        <w:spacing w:after="0"/>
        <w:jc w:val="both"/>
        <w:rPr>
          <w:rFonts w:ascii="Times New Roman" w:hAnsi="Times New Roman"/>
          <w:lang w:val="en-US"/>
        </w:rPr>
      </w:pPr>
      <w:r w:rsidRPr="000E7534">
        <w:rPr>
          <w:rFonts w:ascii="Times New Roman" w:hAnsi="Times New Roman"/>
          <w:lang w:val="en-US"/>
        </w:rPr>
        <w:t xml:space="preserve">FERNANDES, A. C. et al. Academy–industry links in Brazil: evidence about channels and benefits for firms and researchers. </w:t>
      </w:r>
      <w:r w:rsidRPr="000E7534">
        <w:rPr>
          <w:rFonts w:ascii="Times New Roman" w:hAnsi="Times New Roman"/>
          <w:bCs/>
          <w:i/>
          <w:lang w:val="en-US"/>
        </w:rPr>
        <w:t>Science and Public Policy</w:t>
      </w:r>
      <w:r w:rsidRPr="000E7534">
        <w:rPr>
          <w:rFonts w:ascii="Times New Roman" w:hAnsi="Times New Roman"/>
          <w:lang w:val="en-US"/>
        </w:rPr>
        <w:t>, v. 37, n. 7, p. 485–498, ago. 2010.</w:t>
      </w:r>
    </w:p>
    <w:p w14:paraId="00092738" w14:textId="77777777" w:rsidR="002E0CE8" w:rsidRPr="000E7534" w:rsidRDefault="00233438" w:rsidP="005341B9">
      <w:pPr>
        <w:pStyle w:val="ReferBibl"/>
        <w:spacing w:after="0"/>
        <w:jc w:val="both"/>
        <w:rPr>
          <w:rFonts w:ascii="Times New Roman" w:hAnsi="Times New Roman"/>
        </w:rPr>
      </w:pPr>
      <w:r w:rsidRPr="000E7534">
        <w:rPr>
          <w:rFonts w:ascii="Times New Roman" w:hAnsi="Times New Roman"/>
          <w:lang w:val="en-US"/>
        </w:rPr>
        <w:t>FERNANDES, C</w:t>
      </w:r>
      <w:r w:rsidR="00D62D6D" w:rsidRPr="000E7534">
        <w:rPr>
          <w:rFonts w:ascii="Times New Roman" w:hAnsi="Times New Roman"/>
          <w:lang w:val="en-US"/>
        </w:rPr>
        <w:t>.</w:t>
      </w:r>
      <w:r w:rsidRPr="000E7534">
        <w:rPr>
          <w:rFonts w:ascii="Times New Roman" w:hAnsi="Times New Roman"/>
          <w:lang w:val="en-US"/>
        </w:rPr>
        <w:t>; FERREIRA, J</w:t>
      </w:r>
      <w:r w:rsidR="00D62D6D" w:rsidRPr="000E7534">
        <w:rPr>
          <w:rFonts w:ascii="Times New Roman" w:hAnsi="Times New Roman"/>
          <w:lang w:val="en-US"/>
        </w:rPr>
        <w:t>.</w:t>
      </w:r>
      <w:r w:rsidRPr="000E7534">
        <w:rPr>
          <w:rFonts w:ascii="Times New Roman" w:hAnsi="Times New Roman"/>
          <w:lang w:val="en-US"/>
        </w:rPr>
        <w:t xml:space="preserve">; </w:t>
      </w:r>
      <w:r w:rsidRPr="000E7534">
        <w:rPr>
          <w:rFonts w:ascii="Times New Roman" w:hAnsi="Times New Roman"/>
          <w:i/>
          <w:lang w:val="en-GB"/>
        </w:rPr>
        <w:t>Knowledge spillovers and knowledge intensive business services</w:t>
      </w:r>
      <w:r w:rsidRPr="000E7534">
        <w:rPr>
          <w:rFonts w:ascii="Times New Roman" w:hAnsi="Times New Roman"/>
          <w:lang w:val="en-GB"/>
        </w:rPr>
        <w:t>: an empirical study.</w:t>
      </w:r>
      <w:r w:rsidR="00EA342A" w:rsidRPr="000E7534">
        <w:rPr>
          <w:rFonts w:ascii="Times New Roman" w:hAnsi="Times New Roman"/>
          <w:lang w:val="en-GB"/>
        </w:rPr>
        <w:t xml:space="preserve"> </w:t>
      </w:r>
      <w:r w:rsidR="00EA342A" w:rsidRPr="000E7534">
        <w:rPr>
          <w:rFonts w:ascii="Times New Roman" w:hAnsi="Times New Roman"/>
        </w:rPr>
        <w:t>MPRA Paper No. 34751. November, 2011. Disponível em: https://mpra.ub.uni-muenchen.de/34751/</w:t>
      </w:r>
    </w:p>
    <w:p w14:paraId="75206520" w14:textId="5BA65777" w:rsidR="006B1D2F" w:rsidRPr="000E7534" w:rsidRDefault="006B1D2F" w:rsidP="005341B9">
      <w:pPr>
        <w:pStyle w:val="ReferBibl"/>
        <w:spacing w:after="0"/>
        <w:jc w:val="both"/>
        <w:rPr>
          <w:rFonts w:ascii="Times New Roman" w:hAnsi="Times New Roman"/>
          <w:lang w:val="en-US"/>
        </w:rPr>
      </w:pPr>
      <w:r w:rsidRPr="000E7534">
        <w:rPr>
          <w:rFonts w:ascii="Times New Roman" w:hAnsi="Times New Roman"/>
        </w:rPr>
        <w:t>GALLOUJ, F</w:t>
      </w:r>
      <w:r w:rsidR="00B57CD5" w:rsidRPr="000E7534">
        <w:rPr>
          <w:rFonts w:ascii="Times New Roman" w:hAnsi="Times New Roman"/>
        </w:rPr>
        <w:t>.</w:t>
      </w:r>
      <w:r w:rsidRPr="000E7534">
        <w:rPr>
          <w:rFonts w:ascii="Times New Roman" w:hAnsi="Times New Roman"/>
        </w:rPr>
        <w:t>. Economia da inovação: um balanço dos debates recentes. In: BERNARDES, Roberto (Org</w:t>
      </w:r>
      <w:r w:rsidRPr="000E7534">
        <w:rPr>
          <w:rFonts w:ascii="Times New Roman" w:hAnsi="Times New Roman"/>
          <w:i/>
        </w:rPr>
        <w:t>.). Inovação em serviços intensivos em conhecimento</w:t>
      </w:r>
      <w:r w:rsidRPr="000E7534">
        <w:rPr>
          <w:rFonts w:ascii="Times New Roman" w:hAnsi="Times New Roman"/>
        </w:rPr>
        <w:t xml:space="preserve">. </w:t>
      </w:r>
      <w:r w:rsidRPr="000E7534">
        <w:rPr>
          <w:rFonts w:ascii="Times New Roman" w:hAnsi="Times New Roman"/>
          <w:lang w:val="en-US"/>
        </w:rPr>
        <w:t>São Paulo: Saraiva, 2007. cap. 1, p. 3-27.</w:t>
      </w:r>
    </w:p>
    <w:p w14:paraId="76D46273" w14:textId="77777777" w:rsidR="00320BF3" w:rsidRPr="000E7534" w:rsidRDefault="00315194" w:rsidP="005341B9">
      <w:pPr>
        <w:pStyle w:val="ReferBibl"/>
        <w:spacing w:after="0"/>
        <w:jc w:val="both"/>
        <w:rPr>
          <w:rFonts w:ascii="Times New Roman" w:hAnsi="Times New Roman"/>
          <w:lang w:val="en-US"/>
        </w:rPr>
      </w:pPr>
      <w:r w:rsidRPr="000E7534">
        <w:rPr>
          <w:rFonts w:ascii="Times New Roman" w:hAnsi="Times New Roman"/>
          <w:lang w:val="en-US"/>
        </w:rPr>
        <w:t>GALLOUJ, F</w:t>
      </w:r>
      <w:r w:rsidR="00D62D6D" w:rsidRPr="000E7534">
        <w:rPr>
          <w:rFonts w:ascii="Times New Roman" w:hAnsi="Times New Roman"/>
          <w:lang w:val="en-US"/>
        </w:rPr>
        <w:t>.</w:t>
      </w:r>
      <w:r w:rsidRPr="000E7534">
        <w:rPr>
          <w:rFonts w:ascii="Times New Roman" w:hAnsi="Times New Roman"/>
          <w:lang w:val="en-US"/>
        </w:rPr>
        <w:t>; WEINSTEIN, O</w:t>
      </w:r>
      <w:r w:rsidR="00D62D6D" w:rsidRPr="000E7534">
        <w:rPr>
          <w:rFonts w:ascii="Times New Roman" w:hAnsi="Times New Roman"/>
          <w:lang w:val="en-US"/>
        </w:rPr>
        <w:t>.</w:t>
      </w:r>
      <w:r w:rsidRPr="000E7534">
        <w:rPr>
          <w:rFonts w:ascii="Times New Roman" w:hAnsi="Times New Roman"/>
          <w:lang w:val="en-US"/>
        </w:rPr>
        <w:t xml:space="preserve">. Innovation in services. </w:t>
      </w:r>
      <w:r w:rsidRPr="000E7534">
        <w:rPr>
          <w:rFonts w:ascii="Times New Roman" w:hAnsi="Times New Roman"/>
          <w:i/>
          <w:lang w:val="en-US"/>
        </w:rPr>
        <w:t>Research Policy</w:t>
      </w:r>
      <w:r w:rsidRPr="000E7534">
        <w:rPr>
          <w:rFonts w:ascii="Times New Roman" w:hAnsi="Times New Roman"/>
          <w:lang w:val="en-US"/>
        </w:rPr>
        <w:t>, v. 26, p. 537-556, 1997.</w:t>
      </w:r>
    </w:p>
    <w:p w14:paraId="4CD1D049" w14:textId="77777777" w:rsidR="00C17F4A" w:rsidRPr="000E7534" w:rsidRDefault="001628DE" w:rsidP="005341B9">
      <w:pPr>
        <w:pStyle w:val="ReferBibl"/>
        <w:spacing w:after="0"/>
        <w:jc w:val="both"/>
        <w:rPr>
          <w:rFonts w:ascii="Times New Roman" w:hAnsi="Times New Roman"/>
          <w:lang w:val="en-US"/>
        </w:rPr>
      </w:pPr>
      <w:r w:rsidRPr="000E7534">
        <w:rPr>
          <w:rFonts w:ascii="Times New Roman" w:hAnsi="Times New Roman"/>
          <w:lang w:val="en-US"/>
        </w:rPr>
        <w:t xml:space="preserve">HIPP, C.; GRUPP, H. Innovation in the service sector: The demand for service-specific innovation measurement concepts and typologies. </w:t>
      </w:r>
      <w:r w:rsidRPr="000E7534">
        <w:rPr>
          <w:rFonts w:ascii="Times New Roman" w:hAnsi="Times New Roman"/>
          <w:i/>
          <w:iCs/>
          <w:lang w:val="en-US"/>
        </w:rPr>
        <w:t>Research Policy</w:t>
      </w:r>
      <w:r w:rsidRPr="000E7534">
        <w:rPr>
          <w:rFonts w:ascii="Times New Roman" w:hAnsi="Times New Roman"/>
          <w:lang w:val="en-US"/>
        </w:rPr>
        <w:t xml:space="preserve">, 34, p. 517–535, 2005.  </w:t>
      </w:r>
    </w:p>
    <w:p w14:paraId="4089F5DA" w14:textId="1A59E627" w:rsidR="00BC0904" w:rsidRPr="000E7534" w:rsidRDefault="00BC0904" w:rsidP="005341B9">
      <w:pPr>
        <w:pStyle w:val="ReferBibl"/>
        <w:spacing w:after="0"/>
        <w:jc w:val="both"/>
        <w:rPr>
          <w:rFonts w:ascii="Times New Roman" w:hAnsi="Times New Roman"/>
          <w:lang w:val="en-US"/>
        </w:rPr>
      </w:pPr>
      <w:r w:rsidRPr="000E7534">
        <w:rPr>
          <w:rFonts w:ascii="Times New Roman" w:hAnsi="Times New Roman"/>
          <w:lang w:val="en-US"/>
        </w:rPr>
        <w:t>JENSEN, M. B.</w:t>
      </w:r>
      <w:r w:rsidR="000E7534" w:rsidRPr="000E7534">
        <w:rPr>
          <w:rFonts w:ascii="Times New Roman" w:hAnsi="Times New Roman"/>
          <w:lang w:val="en-US"/>
        </w:rPr>
        <w:t xml:space="preserve">; </w:t>
      </w:r>
      <w:r w:rsidRPr="000E7534">
        <w:rPr>
          <w:rFonts w:ascii="Times New Roman" w:hAnsi="Times New Roman"/>
          <w:lang w:val="en-US"/>
        </w:rPr>
        <w:t>JOHNSON, B.</w:t>
      </w:r>
      <w:r w:rsidR="000E7534" w:rsidRPr="000E7534">
        <w:rPr>
          <w:rFonts w:ascii="Times New Roman" w:hAnsi="Times New Roman"/>
          <w:lang w:val="en-US"/>
        </w:rPr>
        <w:t xml:space="preserve">; LORENZ, </w:t>
      </w:r>
      <w:r w:rsidRPr="000E7534">
        <w:rPr>
          <w:rFonts w:ascii="Times New Roman" w:hAnsi="Times New Roman"/>
          <w:lang w:val="en-US"/>
        </w:rPr>
        <w:t>E</w:t>
      </w:r>
      <w:r w:rsidR="000E7534" w:rsidRPr="000E7534">
        <w:rPr>
          <w:rFonts w:ascii="Times New Roman" w:hAnsi="Times New Roman"/>
          <w:lang w:val="en-US"/>
        </w:rPr>
        <w:t xml:space="preserve">; LUNDVALL, </w:t>
      </w:r>
      <w:r w:rsidRPr="000E7534">
        <w:rPr>
          <w:rFonts w:ascii="Times New Roman" w:hAnsi="Times New Roman"/>
          <w:lang w:val="en-US"/>
        </w:rPr>
        <w:t xml:space="preserve">B.-Å. 2007. Forms of knowledge and modes of innovation. </w:t>
      </w:r>
      <w:r w:rsidRPr="000E7534">
        <w:rPr>
          <w:rFonts w:ascii="Times New Roman" w:hAnsi="Times New Roman"/>
          <w:i/>
          <w:lang w:val="en-US"/>
        </w:rPr>
        <w:t>Research Policy</w:t>
      </w:r>
      <w:r w:rsidRPr="000E7534">
        <w:rPr>
          <w:rFonts w:ascii="Times New Roman" w:hAnsi="Times New Roman"/>
          <w:lang w:val="en-US"/>
        </w:rPr>
        <w:t>, 36</w:t>
      </w:r>
      <w:r w:rsidR="000E7534" w:rsidRPr="000E7534">
        <w:rPr>
          <w:rFonts w:ascii="Times New Roman" w:hAnsi="Times New Roman"/>
          <w:lang w:val="en-US"/>
        </w:rPr>
        <w:t xml:space="preserve">, </w:t>
      </w:r>
      <w:r w:rsidRPr="000E7534">
        <w:rPr>
          <w:rFonts w:ascii="Times New Roman" w:hAnsi="Times New Roman"/>
          <w:lang w:val="en-US"/>
        </w:rPr>
        <w:t>680-693</w:t>
      </w:r>
      <w:r w:rsidR="000E7534" w:rsidRPr="000E7534">
        <w:rPr>
          <w:rFonts w:ascii="Times New Roman" w:hAnsi="Times New Roman"/>
          <w:lang w:val="en-US"/>
        </w:rPr>
        <w:t>, 2007</w:t>
      </w:r>
      <w:r w:rsidRPr="000E7534">
        <w:rPr>
          <w:rFonts w:ascii="Times New Roman" w:hAnsi="Times New Roman"/>
          <w:lang w:val="en-US"/>
        </w:rPr>
        <w:t>.</w:t>
      </w:r>
    </w:p>
    <w:p w14:paraId="283059C3" w14:textId="2D70195E" w:rsidR="004D2669" w:rsidRPr="000E7534" w:rsidRDefault="004D2669" w:rsidP="005341B9">
      <w:pPr>
        <w:pStyle w:val="ReferBibl"/>
        <w:spacing w:after="0"/>
        <w:jc w:val="both"/>
        <w:rPr>
          <w:rFonts w:ascii="Times New Roman" w:hAnsi="Times New Roman"/>
        </w:rPr>
      </w:pPr>
      <w:r w:rsidRPr="000E7534">
        <w:rPr>
          <w:rFonts w:ascii="Times New Roman" w:hAnsi="Times New Roman"/>
          <w:lang w:val="en-US"/>
        </w:rPr>
        <w:t xml:space="preserve">KAUFMAN, L.; ROUSSEEUW, T. J. </w:t>
      </w:r>
      <w:r w:rsidRPr="000E7534">
        <w:rPr>
          <w:rFonts w:ascii="Times New Roman" w:hAnsi="Times New Roman"/>
          <w:i/>
          <w:lang w:val="en-US"/>
        </w:rPr>
        <w:t>Finding Groups in data: an introduction to cluster analysis</w:t>
      </w:r>
      <w:r w:rsidRPr="000E7534">
        <w:rPr>
          <w:rFonts w:ascii="Times New Roman" w:hAnsi="Times New Roman"/>
          <w:lang w:val="en-US"/>
        </w:rPr>
        <w:t xml:space="preserve">. </w:t>
      </w:r>
      <w:r w:rsidRPr="000E7534">
        <w:rPr>
          <w:rFonts w:ascii="Times New Roman" w:hAnsi="Times New Roman"/>
        </w:rPr>
        <w:t>New York: J. Wiley, 1990</w:t>
      </w:r>
    </w:p>
    <w:p w14:paraId="61F04E20" w14:textId="17764C3F" w:rsidR="00AC6C69" w:rsidRPr="000E7534" w:rsidRDefault="001628DE" w:rsidP="005341B9">
      <w:pPr>
        <w:pStyle w:val="ReferBibl"/>
        <w:spacing w:after="0"/>
        <w:jc w:val="both"/>
        <w:rPr>
          <w:rFonts w:ascii="Times New Roman" w:hAnsi="Times New Roman"/>
        </w:rPr>
      </w:pPr>
      <w:r w:rsidRPr="000E7534">
        <w:rPr>
          <w:rFonts w:ascii="Times New Roman" w:hAnsi="Times New Roman"/>
        </w:rPr>
        <w:t>KON, A</w:t>
      </w:r>
      <w:r w:rsidR="00B57CD5" w:rsidRPr="000E7534">
        <w:rPr>
          <w:rFonts w:ascii="Times New Roman" w:hAnsi="Times New Roman"/>
        </w:rPr>
        <w:t>.</w:t>
      </w:r>
      <w:r w:rsidRPr="000E7534">
        <w:rPr>
          <w:rFonts w:ascii="Times New Roman" w:hAnsi="Times New Roman"/>
        </w:rPr>
        <w:t xml:space="preserve">. </w:t>
      </w:r>
      <w:r w:rsidR="00C17F4A" w:rsidRPr="000E7534">
        <w:rPr>
          <w:rFonts w:ascii="Times New Roman" w:hAnsi="Times New Roman"/>
          <w:i/>
        </w:rPr>
        <w:t>Economia de serviços: teoria e evolução no Brasil</w:t>
      </w:r>
      <w:r w:rsidR="00C17F4A" w:rsidRPr="000E7534">
        <w:rPr>
          <w:rFonts w:ascii="Times New Roman" w:hAnsi="Times New Roman"/>
        </w:rPr>
        <w:t>. Rio de Janeiro: Elsevier, 2004.</w:t>
      </w:r>
    </w:p>
    <w:p w14:paraId="5AF21BFB" w14:textId="77777777" w:rsidR="00B442D2" w:rsidRPr="000E7534" w:rsidRDefault="00046863" w:rsidP="005341B9">
      <w:pPr>
        <w:spacing w:line="240" w:lineRule="auto"/>
        <w:ind w:left="426" w:hanging="426"/>
        <w:rPr>
          <w:rFonts w:eastAsia="Calibri"/>
          <w:lang w:val="en-US" w:eastAsia="pt-BR"/>
        </w:rPr>
      </w:pPr>
      <w:r w:rsidRPr="000E7534">
        <w:rPr>
          <w:rFonts w:eastAsia="Calibri"/>
          <w:iCs/>
          <w:lang w:eastAsia="pt-BR"/>
        </w:rPr>
        <w:t xml:space="preserve">KUBOTA, L. C. </w:t>
      </w:r>
      <w:r w:rsidRPr="000E7534">
        <w:rPr>
          <w:rFonts w:eastAsia="Calibri"/>
          <w:lang w:eastAsia="pt-BR"/>
        </w:rPr>
        <w:t xml:space="preserve">As Kibs e a inovação tecnológica das firmas de serviços. </w:t>
      </w:r>
      <w:r w:rsidRPr="000E7534">
        <w:rPr>
          <w:rFonts w:eastAsia="Calibri"/>
          <w:i/>
          <w:lang w:val="en-US" w:eastAsia="pt-BR"/>
        </w:rPr>
        <w:t>Economia e Sociedade</w:t>
      </w:r>
      <w:r w:rsidRPr="000E7534">
        <w:rPr>
          <w:rFonts w:eastAsia="Calibri"/>
          <w:lang w:val="en-US" w:eastAsia="pt-BR"/>
        </w:rPr>
        <w:t>, v. 18, n. 2 (36), p. 349-369, agosto 2009.</w:t>
      </w:r>
    </w:p>
    <w:p w14:paraId="15285DC7" w14:textId="77777777" w:rsidR="007F5724" w:rsidRPr="000E7534" w:rsidRDefault="007F5724" w:rsidP="005341B9">
      <w:pPr>
        <w:spacing w:line="240" w:lineRule="auto"/>
        <w:ind w:left="426" w:hanging="426"/>
        <w:rPr>
          <w:lang w:val="en-US"/>
        </w:rPr>
      </w:pPr>
      <w:r w:rsidRPr="000E7534">
        <w:rPr>
          <w:rFonts w:eastAsia="Calibri"/>
          <w:lang w:val="en-US" w:eastAsia="pt-BR"/>
        </w:rPr>
        <w:t xml:space="preserve">LEIPONEN, </w:t>
      </w:r>
      <w:r w:rsidR="00A34BE7" w:rsidRPr="000E7534">
        <w:rPr>
          <w:rFonts w:eastAsia="Calibri"/>
          <w:lang w:val="en-US" w:eastAsia="pt-BR"/>
        </w:rPr>
        <w:t>A.; DREJER, I. What exactly are technological regimes</w:t>
      </w:r>
      <w:r w:rsidR="006A6F76" w:rsidRPr="000E7534">
        <w:rPr>
          <w:rFonts w:eastAsia="Calibri"/>
          <w:lang w:val="en-US" w:eastAsia="pt-BR"/>
        </w:rPr>
        <w:t xml:space="preserve">? </w:t>
      </w:r>
      <w:r w:rsidR="00A34BE7" w:rsidRPr="000E7534">
        <w:rPr>
          <w:rFonts w:eastAsia="Calibri"/>
          <w:lang w:val="en-US" w:eastAsia="pt-BR"/>
        </w:rPr>
        <w:t xml:space="preserve">Intra-industry heterogeneity in the organization of innovation activities. </w:t>
      </w:r>
      <w:r w:rsidR="00A34BE7" w:rsidRPr="000E7534">
        <w:rPr>
          <w:rFonts w:eastAsia="Calibri"/>
          <w:i/>
          <w:lang w:val="en-US" w:eastAsia="pt-BR"/>
        </w:rPr>
        <w:t>Research Policy</w:t>
      </w:r>
      <w:r w:rsidR="00A34BE7" w:rsidRPr="000E7534">
        <w:rPr>
          <w:rFonts w:eastAsia="Calibri"/>
          <w:lang w:val="en-US" w:eastAsia="pt-BR"/>
        </w:rPr>
        <w:t xml:space="preserve">, v.36, p.1221-1238, 2007. </w:t>
      </w:r>
    </w:p>
    <w:p w14:paraId="17D114EE" w14:textId="77777777" w:rsidR="00B602D9" w:rsidRPr="000E7534" w:rsidRDefault="00C17F4A" w:rsidP="005341B9">
      <w:pPr>
        <w:pStyle w:val="ReferBibl"/>
        <w:spacing w:after="0"/>
        <w:jc w:val="both"/>
        <w:rPr>
          <w:rFonts w:ascii="Times New Roman" w:hAnsi="Times New Roman"/>
          <w:shd w:val="clear" w:color="auto" w:fill="FFFFFF"/>
          <w:lang w:val="en-US"/>
        </w:rPr>
      </w:pPr>
      <w:r w:rsidRPr="000E7534">
        <w:rPr>
          <w:rFonts w:ascii="Times New Roman" w:hAnsi="Times New Roman"/>
          <w:lang w:val="en-US"/>
        </w:rPr>
        <w:t>MILES, I</w:t>
      </w:r>
      <w:r w:rsidR="00D62D6D" w:rsidRPr="000E7534">
        <w:rPr>
          <w:rFonts w:ascii="Times New Roman" w:hAnsi="Times New Roman"/>
          <w:lang w:val="en-US"/>
        </w:rPr>
        <w:t xml:space="preserve">. </w:t>
      </w:r>
      <w:r w:rsidRPr="000E7534">
        <w:rPr>
          <w:rFonts w:ascii="Times New Roman" w:hAnsi="Times New Roman"/>
          <w:lang w:val="en-US"/>
        </w:rPr>
        <w:t>Innovation in services</w:t>
      </w:r>
      <w:r w:rsidRPr="000E7534">
        <w:rPr>
          <w:rFonts w:ascii="Times New Roman" w:hAnsi="Times New Roman"/>
          <w:b/>
          <w:lang w:val="en-US"/>
        </w:rPr>
        <w:t>.</w:t>
      </w:r>
      <w:r w:rsidRPr="000E7534">
        <w:rPr>
          <w:rFonts w:ascii="Times New Roman" w:hAnsi="Times New Roman"/>
          <w:lang w:val="en-US"/>
        </w:rPr>
        <w:t xml:space="preserve"> In: FAGERBERG, Jan; MOWERY, David C.; NELSON, Richard R (Editores). </w:t>
      </w:r>
      <w:r w:rsidRPr="000E7534">
        <w:rPr>
          <w:rFonts w:ascii="Times New Roman" w:hAnsi="Times New Roman"/>
          <w:i/>
          <w:lang w:val="en-US"/>
        </w:rPr>
        <w:t>The Oxford handbook of innovation</w:t>
      </w:r>
      <w:r w:rsidRPr="000E7534">
        <w:rPr>
          <w:rFonts w:ascii="Times New Roman" w:hAnsi="Times New Roman"/>
          <w:lang w:val="en-US"/>
        </w:rPr>
        <w:t xml:space="preserve">. Oxford: Oxford University Press, 2005. </w:t>
      </w:r>
      <w:r w:rsidRPr="000E7534">
        <w:rPr>
          <w:rFonts w:ascii="Times New Roman" w:hAnsi="Times New Roman"/>
          <w:shd w:val="clear" w:color="auto" w:fill="FFFFFF"/>
          <w:lang w:val="en-US"/>
        </w:rPr>
        <w:t>cap. 16, p. 433-458.</w:t>
      </w:r>
    </w:p>
    <w:p w14:paraId="4B1C99FE" w14:textId="77777777" w:rsidR="00B442D2" w:rsidRPr="000E7534" w:rsidRDefault="00CB01E9" w:rsidP="005341B9">
      <w:pPr>
        <w:spacing w:line="240" w:lineRule="auto"/>
        <w:ind w:left="284" w:hanging="284"/>
        <w:rPr>
          <w:shd w:val="clear" w:color="auto" w:fill="FFFFFF"/>
          <w:lang w:val="en-US"/>
        </w:rPr>
      </w:pPr>
      <w:r w:rsidRPr="000E7534">
        <w:rPr>
          <w:lang w:val="en-US"/>
        </w:rPr>
        <w:t xml:space="preserve">MILES, I. Research and development (R&amp;D) beyond manufacturing: the strange case of services R&amp;D. </w:t>
      </w:r>
      <w:r w:rsidRPr="000E7534">
        <w:rPr>
          <w:i/>
          <w:iCs/>
          <w:lang w:val="en-US"/>
        </w:rPr>
        <w:t xml:space="preserve">R&amp;D Management, </w:t>
      </w:r>
      <w:r w:rsidRPr="000E7534">
        <w:rPr>
          <w:lang w:val="en-US"/>
        </w:rPr>
        <w:t>37, 3, pp.249-268 2007.</w:t>
      </w:r>
    </w:p>
    <w:p w14:paraId="234C9392" w14:textId="77777777" w:rsidR="00AC6C69" w:rsidRPr="000E7534" w:rsidRDefault="00B602D9" w:rsidP="005341B9">
      <w:pPr>
        <w:pStyle w:val="ReferBibl"/>
        <w:spacing w:after="0"/>
        <w:jc w:val="both"/>
        <w:rPr>
          <w:rFonts w:ascii="Times New Roman" w:hAnsi="Times New Roman"/>
          <w:lang w:val="en-US"/>
        </w:rPr>
      </w:pPr>
      <w:r w:rsidRPr="000E7534">
        <w:rPr>
          <w:rFonts w:ascii="Times New Roman" w:hAnsi="Times New Roman"/>
          <w:lang w:val="en-US"/>
        </w:rPr>
        <w:t>MILES, I.; KASTRINOS, N.; BILDERBEEK, R.; HERTOG, P.D; FLANAGAN, K.; HUNTIN</w:t>
      </w:r>
      <w:r w:rsidR="001628DE" w:rsidRPr="000E7534">
        <w:rPr>
          <w:rFonts w:ascii="Times New Roman" w:hAnsi="Times New Roman"/>
          <w:lang w:val="en-US"/>
        </w:rPr>
        <w:t>K, W.; BOUMAN, M</w:t>
      </w:r>
      <w:r w:rsidR="001628DE" w:rsidRPr="000E7534">
        <w:rPr>
          <w:rFonts w:ascii="Times New Roman" w:hAnsi="Times New Roman"/>
          <w:i/>
          <w:lang w:val="en-US"/>
        </w:rPr>
        <w:t>.</w:t>
      </w:r>
      <w:r w:rsidR="001628DE" w:rsidRPr="000E7534">
        <w:rPr>
          <w:rFonts w:ascii="Times New Roman" w:hAnsi="Times New Roman"/>
          <w:lang w:val="en-US"/>
        </w:rPr>
        <w:t xml:space="preserve"> Knowledge intensive business services: users, carriers and sources of innovation. </w:t>
      </w:r>
      <w:r w:rsidR="001628DE" w:rsidRPr="000E7534">
        <w:rPr>
          <w:rFonts w:ascii="Times New Roman" w:hAnsi="Times New Roman"/>
          <w:i/>
          <w:lang w:val="en-US"/>
        </w:rPr>
        <w:t>EIMS Publication</w:t>
      </w:r>
      <w:r w:rsidR="001628DE" w:rsidRPr="000E7534">
        <w:rPr>
          <w:rFonts w:ascii="Times New Roman" w:hAnsi="Times New Roman"/>
          <w:lang w:val="en-US"/>
        </w:rPr>
        <w:t>, n.15, 1995.</w:t>
      </w:r>
    </w:p>
    <w:p w14:paraId="4BC609E7" w14:textId="77777777" w:rsidR="00734649" w:rsidRPr="000E7534" w:rsidRDefault="001628DE" w:rsidP="005341B9">
      <w:pPr>
        <w:pStyle w:val="ReferBibl"/>
        <w:spacing w:after="0"/>
        <w:jc w:val="both"/>
        <w:rPr>
          <w:rFonts w:ascii="Times New Roman" w:hAnsi="Times New Roman"/>
          <w:lang w:val="en-US"/>
        </w:rPr>
      </w:pPr>
      <w:r w:rsidRPr="000E7534">
        <w:rPr>
          <w:rFonts w:ascii="Times New Roman" w:hAnsi="Times New Roman"/>
          <w:lang w:val="en-US"/>
        </w:rPr>
        <w:t>MIOZZO, M</w:t>
      </w:r>
      <w:r w:rsidR="00D62D6D" w:rsidRPr="000E7534">
        <w:rPr>
          <w:rFonts w:ascii="Times New Roman" w:hAnsi="Times New Roman"/>
          <w:lang w:val="en-US"/>
        </w:rPr>
        <w:t>.</w:t>
      </w:r>
      <w:r w:rsidRPr="000E7534">
        <w:rPr>
          <w:rFonts w:ascii="Times New Roman" w:hAnsi="Times New Roman"/>
          <w:lang w:val="en-US"/>
        </w:rPr>
        <w:t>; SOETE, L</w:t>
      </w:r>
      <w:r w:rsidR="00D62D6D" w:rsidRPr="000E7534">
        <w:rPr>
          <w:rFonts w:ascii="Times New Roman" w:hAnsi="Times New Roman"/>
          <w:lang w:val="en-US"/>
        </w:rPr>
        <w:t>.</w:t>
      </w:r>
      <w:r w:rsidRPr="000E7534">
        <w:rPr>
          <w:rFonts w:ascii="Times New Roman" w:hAnsi="Times New Roman"/>
          <w:lang w:val="en-US"/>
        </w:rPr>
        <w:t xml:space="preserve">. Internationalization of services: a technological perspective. </w:t>
      </w:r>
      <w:r w:rsidRPr="000E7534">
        <w:rPr>
          <w:rFonts w:ascii="Times New Roman" w:hAnsi="Times New Roman"/>
          <w:i/>
          <w:lang w:val="en-US"/>
        </w:rPr>
        <w:t>Technological Forecasting and Social Change</w:t>
      </w:r>
      <w:r w:rsidRPr="000E7534">
        <w:rPr>
          <w:rFonts w:ascii="Times New Roman" w:hAnsi="Times New Roman"/>
          <w:lang w:val="en-US"/>
        </w:rPr>
        <w:t xml:space="preserve">, v.67, n.2, p. 159-185, 2001 </w:t>
      </w:r>
    </w:p>
    <w:p w14:paraId="0776AFCC" w14:textId="3F01B2D2" w:rsidR="00AC6C69" w:rsidRPr="000E7534" w:rsidRDefault="00AC6C69" w:rsidP="005341B9">
      <w:pPr>
        <w:pStyle w:val="ReferBibl"/>
        <w:spacing w:after="0"/>
        <w:ind w:left="426" w:hanging="426"/>
        <w:jc w:val="both"/>
        <w:rPr>
          <w:rFonts w:ascii="Times New Roman" w:hAnsi="Times New Roman"/>
          <w:lang w:val="en-US"/>
        </w:rPr>
      </w:pPr>
      <w:r w:rsidRPr="000E7534">
        <w:rPr>
          <w:rFonts w:ascii="Times New Roman" w:hAnsi="Times New Roman"/>
          <w:shd w:val="clear" w:color="auto" w:fill="FFFFFF"/>
          <w:lang w:val="en-US"/>
        </w:rPr>
        <w:t>MULLER, E</w:t>
      </w:r>
      <w:r w:rsidR="00D62D6D" w:rsidRPr="000E7534">
        <w:rPr>
          <w:rFonts w:ascii="Times New Roman" w:hAnsi="Times New Roman"/>
          <w:shd w:val="clear" w:color="auto" w:fill="FFFFFF"/>
          <w:lang w:val="en-US"/>
        </w:rPr>
        <w:t>.</w:t>
      </w:r>
      <w:r w:rsidRPr="000E7534">
        <w:rPr>
          <w:rFonts w:ascii="Times New Roman" w:hAnsi="Times New Roman"/>
          <w:shd w:val="clear" w:color="auto" w:fill="FFFFFF"/>
          <w:lang w:val="en-US"/>
        </w:rPr>
        <w:t>; ZENKER, A</w:t>
      </w:r>
      <w:r w:rsidR="00D62D6D" w:rsidRPr="000E7534">
        <w:rPr>
          <w:rFonts w:ascii="Times New Roman" w:hAnsi="Times New Roman"/>
          <w:shd w:val="clear" w:color="auto" w:fill="FFFFFF"/>
          <w:lang w:val="en-US"/>
        </w:rPr>
        <w:t>.</w:t>
      </w:r>
      <w:r w:rsidRPr="000E7534">
        <w:rPr>
          <w:rFonts w:ascii="Times New Roman" w:hAnsi="Times New Roman"/>
          <w:shd w:val="clear" w:color="auto" w:fill="FFFFFF"/>
          <w:lang w:val="en-US"/>
        </w:rPr>
        <w:t xml:space="preserve">. Business services as actors of knowledge transformation and diffusion: some empirical findings on the role of KIBS in regional and national innovation systems. </w:t>
      </w:r>
      <w:r w:rsidRPr="000E7534">
        <w:rPr>
          <w:rFonts w:ascii="Times New Roman" w:hAnsi="Times New Roman"/>
          <w:i/>
          <w:shd w:val="clear" w:color="auto" w:fill="FFFFFF"/>
          <w:lang w:val="en-US"/>
        </w:rPr>
        <w:t>Research Policy</w:t>
      </w:r>
      <w:r w:rsidRPr="000E7534">
        <w:rPr>
          <w:rFonts w:ascii="Times New Roman" w:hAnsi="Times New Roman"/>
          <w:shd w:val="clear" w:color="auto" w:fill="FFFFFF"/>
          <w:lang w:val="en-US"/>
        </w:rPr>
        <w:t xml:space="preserve">, v.30, n.9, p.1501-1516, 2001. </w:t>
      </w:r>
    </w:p>
    <w:p w14:paraId="6F42E685" w14:textId="77777777" w:rsidR="00A83549" w:rsidRPr="000E7534" w:rsidRDefault="00A83549" w:rsidP="005341B9">
      <w:pPr>
        <w:pStyle w:val="ReferBibl"/>
        <w:spacing w:after="0"/>
        <w:jc w:val="both"/>
        <w:rPr>
          <w:rFonts w:ascii="Times New Roman" w:hAnsi="Times New Roman"/>
          <w:shd w:val="clear" w:color="auto" w:fill="FFFFFF"/>
        </w:rPr>
      </w:pPr>
      <w:r w:rsidRPr="000E7534">
        <w:rPr>
          <w:rFonts w:ascii="Times New Roman" w:hAnsi="Times New Roman"/>
          <w:shd w:val="clear" w:color="auto" w:fill="FFFFFF"/>
          <w:lang w:val="en-US"/>
        </w:rPr>
        <w:t>NÄHLINDER, J</w:t>
      </w:r>
      <w:r w:rsidR="00D62D6D" w:rsidRPr="000E7534">
        <w:rPr>
          <w:rFonts w:ascii="Times New Roman" w:hAnsi="Times New Roman"/>
          <w:shd w:val="clear" w:color="auto" w:fill="FFFFFF"/>
          <w:lang w:val="en-US"/>
        </w:rPr>
        <w:t>.</w:t>
      </w:r>
      <w:r w:rsidR="001628DE" w:rsidRPr="000E7534">
        <w:rPr>
          <w:rFonts w:ascii="Times New Roman" w:hAnsi="Times New Roman"/>
          <w:b/>
          <w:shd w:val="clear" w:color="auto" w:fill="FFFFFF"/>
          <w:lang w:val="en-US"/>
        </w:rPr>
        <w:t xml:space="preserve"> </w:t>
      </w:r>
      <w:r w:rsidR="001628DE" w:rsidRPr="000E7534">
        <w:rPr>
          <w:rFonts w:ascii="Times New Roman" w:hAnsi="Times New Roman"/>
          <w:i/>
          <w:shd w:val="clear" w:color="auto" w:fill="FFFFFF"/>
          <w:lang w:val="en-US"/>
        </w:rPr>
        <w:t>Innovation and employment in services</w:t>
      </w:r>
      <w:r w:rsidR="001628DE" w:rsidRPr="000E7534">
        <w:rPr>
          <w:rFonts w:ascii="Times New Roman" w:hAnsi="Times New Roman"/>
          <w:b/>
          <w:shd w:val="clear" w:color="auto" w:fill="FFFFFF"/>
          <w:lang w:val="en-US"/>
        </w:rPr>
        <w:t xml:space="preserve">: </w:t>
      </w:r>
      <w:r w:rsidR="001628DE" w:rsidRPr="000E7534">
        <w:rPr>
          <w:rFonts w:ascii="Times New Roman" w:hAnsi="Times New Roman"/>
          <w:shd w:val="clear" w:color="auto" w:fill="FFFFFF"/>
          <w:lang w:val="en-US"/>
        </w:rPr>
        <w:t xml:space="preserve">the case of the knowledge intensive business services in Sweden. </w:t>
      </w:r>
      <w:r w:rsidR="001628DE" w:rsidRPr="000E7534">
        <w:rPr>
          <w:rFonts w:ascii="Times New Roman" w:hAnsi="Times New Roman"/>
          <w:shd w:val="clear" w:color="auto" w:fill="FFFFFF"/>
        </w:rPr>
        <w:t>Suécia: Unitryck Linkoping, 2005.</w:t>
      </w:r>
      <w:r w:rsidR="001628DE" w:rsidRPr="000E7534">
        <w:rPr>
          <w:rFonts w:ascii="Times New Roman" w:hAnsi="Times New Roman"/>
          <w:shd w:val="clear" w:color="auto" w:fill="FFFFFF"/>
        </w:rPr>
        <w:tab/>
        <w:t>Disponível:&lt;</w:t>
      </w:r>
      <w:hyperlink r:id="rId18" w:history="1">
        <w:r w:rsidR="00233438" w:rsidRPr="000E7534">
          <w:rPr>
            <w:rStyle w:val="Hyperlink"/>
            <w:rFonts w:ascii="Times New Roman" w:hAnsi="Times New Roman"/>
            <w:color w:val="auto"/>
            <w:shd w:val="clear" w:color="auto" w:fill="FFFFFF"/>
          </w:rPr>
          <w:t>http://www.diva-portal.org/smash/get/diva2:20573/FULLTEXT01.pdf</w:t>
        </w:r>
      </w:hyperlink>
      <w:r w:rsidRPr="000E7534">
        <w:rPr>
          <w:rFonts w:ascii="Times New Roman" w:hAnsi="Times New Roman"/>
          <w:shd w:val="clear" w:color="auto" w:fill="FFFFFF"/>
        </w:rPr>
        <w:t>&gt;. Acesso em: 21 mai. 2014.</w:t>
      </w:r>
    </w:p>
    <w:p w14:paraId="1D89A182" w14:textId="3655F738" w:rsidR="00D147A9" w:rsidRPr="000E7534" w:rsidRDefault="00D147A9" w:rsidP="005341B9">
      <w:pPr>
        <w:pStyle w:val="ReferBibl"/>
        <w:spacing w:after="0"/>
        <w:jc w:val="both"/>
        <w:rPr>
          <w:rFonts w:ascii="Times New Roman" w:hAnsi="Times New Roman"/>
          <w:shd w:val="clear" w:color="auto" w:fill="FFFFFF"/>
          <w:lang w:val="en-US"/>
        </w:rPr>
      </w:pPr>
      <w:r w:rsidRPr="000E7534">
        <w:rPr>
          <w:rFonts w:ascii="Times New Roman" w:hAnsi="Times New Roman"/>
          <w:shd w:val="clear" w:color="auto" w:fill="FFFFFF"/>
          <w:lang w:val="en-US"/>
        </w:rPr>
        <w:t xml:space="preserve">PAVITT, K., Sectoral Patterns of Technical Change: Towards a Taxonomy and a Theory. </w:t>
      </w:r>
      <w:r w:rsidRPr="000E7534">
        <w:rPr>
          <w:rFonts w:ascii="Times New Roman" w:hAnsi="Times New Roman"/>
          <w:i/>
          <w:shd w:val="clear" w:color="auto" w:fill="FFFFFF"/>
          <w:lang w:val="en-US"/>
        </w:rPr>
        <w:t>Research Policy</w:t>
      </w:r>
      <w:r w:rsidRPr="000E7534">
        <w:rPr>
          <w:rFonts w:ascii="Times New Roman" w:hAnsi="Times New Roman"/>
          <w:shd w:val="clear" w:color="auto" w:fill="FFFFFF"/>
          <w:lang w:val="en-US"/>
        </w:rPr>
        <w:t>, 13, p.343373, 1984.</w:t>
      </w:r>
    </w:p>
    <w:p w14:paraId="74926C1B" w14:textId="5460B842" w:rsidR="00FE1CB1" w:rsidRPr="000E7534" w:rsidRDefault="00FE1CB1" w:rsidP="005341B9">
      <w:pPr>
        <w:pStyle w:val="ReferBibl"/>
        <w:spacing w:after="0"/>
        <w:jc w:val="both"/>
        <w:rPr>
          <w:rFonts w:ascii="Times New Roman" w:hAnsi="Times New Roman"/>
          <w:lang w:val="en-US"/>
        </w:rPr>
      </w:pPr>
      <w:r w:rsidRPr="000E7534">
        <w:rPr>
          <w:rFonts w:ascii="Times New Roman" w:hAnsi="Times New Roman"/>
          <w:shd w:val="clear" w:color="auto" w:fill="FFFFFF"/>
          <w:lang w:val="en-US"/>
        </w:rPr>
        <w:lastRenderedPageBreak/>
        <w:t xml:space="preserve">PINA, K.; TETHER, B.S. </w:t>
      </w:r>
      <w:r w:rsidRPr="000E7534">
        <w:rPr>
          <w:rFonts w:ascii="Times New Roman" w:hAnsi="Times New Roman"/>
          <w:lang w:val="en-US"/>
        </w:rPr>
        <w:t xml:space="preserve">Towards understanding variety in knowledge intensive business services by distinguishing their knowledge bases. </w:t>
      </w:r>
      <w:r w:rsidRPr="000E7534">
        <w:rPr>
          <w:rFonts w:ascii="Times New Roman" w:hAnsi="Times New Roman"/>
          <w:i/>
          <w:lang w:val="en-US"/>
        </w:rPr>
        <w:t>Research Policy</w:t>
      </w:r>
      <w:r w:rsidRPr="000E7534">
        <w:rPr>
          <w:rFonts w:ascii="Times New Roman" w:hAnsi="Times New Roman"/>
          <w:lang w:val="en-US"/>
        </w:rPr>
        <w:t xml:space="preserve">, v. 45, p. 401-413, 2016. </w:t>
      </w:r>
    </w:p>
    <w:p w14:paraId="304A4850" w14:textId="77777777" w:rsidR="00320BF3" w:rsidRPr="000E7534" w:rsidRDefault="001628DE" w:rsidP="005341B9">
      <w:pPr>
        <w:pStyle w:val="ReferBibl"/>
        <w:spacing w:after="0"/>
        <w:jc w:val="both"/>
        <w:rPr>
          <w:rFonts w:ascii="Times New Roman" w:hAnsi="Times New Roman"/>
          <w:lang w:val="en-US"/>
        </w:rPr>
      </w:pPr>
      <w:r w:rsidRPr="000E7534">
        <w:rPr>
          <w:rFonts w:ascii="Times New Roman" w:hAnsi="Times New Roman"/>
          <w:lang w:val="en-US"/>
        </w:rPr>
        <w:t xml:space="preserve">SCHARTINGER, D.; SHIBANY, A.; GASSLER, H. Interactive relations between universities and firms: empirical evidence for Austria. </w:t>
      </w:r>
      <w:r w:rsidRPr="000E7534">
        <w:rPr>
          <w:rFonts w:ascii="Times New Roman" w:hAnsi="Times New Roman"/>
          <w:i/>
          <w:iCs/>
          <w:lang w:val="en-US"/>
        </w:rPr>
        <w:t>Journal of Technology Transfer</w:t>
      </w:r>
      <w:r w:rsidRPr="000E7534">
        <w:rPr>
          <w:rFonts w:ascii="Times New Roman" w:hAnsi="Times New Roman"/>
          <w:lang w:val="en-US"/>
        </w:rPr>
        <w:t>, v.26, pp.255-268, 2001.</w:t>
      </w:r>
    </w:p>
    <w:p w14:paraId="2CC4EC52" w14:textId="77777777" w:rsidR="009D6ADA" w:rsidRPr="000E7534" w:rsidRDefault="009D6ADA" w:rsidP="005341B9">
      <w:pPr>
        <w:pStyle w:val="ReferBibl"/>
        <w:spacing w:after="0"/>
        <w:jc w:val="both"/>
        <w:rPr>
          <w:rFonts w:ascii="Times New Roman" w:hAnsi="Times New Roman"/>
          <w:lang w:val="en-US"/>
        </w:rPr>
      </w:pPr>
      <w:r w:rsidRPr="000E7534">
        <w:rPr>
          <w:rFonts w:ascii="Times New Roman" w:hAnsi="Times New Roman"/>
          <w:shd w:val="clear" w:color="auto" w:fill="FFFFFF"/>
          <w:lang w:val="en-US"/>
        </w:rPr>
        <w:t xml:space="preserve">TETHER, B.S.; TAJAR, A. </w:t>
      </w:r>
      <w:r w:rsidRPr="000E7534">
        <w:rPr>
          <w:rFonts w:ascii="Times New Roman" w:hAnsi="Times New Roman"/>
          <w:lang w:val="en-US"/>
        </w:rPr>
        <w:t xml:space="preserve">Beyond industry–university links: Sourcing knowledge for innovation from consultants, private research organisations and the public science-base. </w:t>
      </w:r>
      <w:r w:rsidRPr="000E7534">
        <w:rPr>
          <w:rFonts w:ascii="Times New Roman" w:hAnsi="Times New Roman"/>
          <w:i/>
          <w:lang w:val="en-US"/>
        </w:rPr>
        <w:t>Research Policy</w:t>
      </w:r>
      <w:r w:rsidRPr="000E7534">
        <w:rPr>
          <w:rFonts w:ascii="Times New Roman" w:hAnsi="Times New Roman"/>
          <w:lang w:val="en-US"/>
        </w:rPr>
        <w:t>, v. 37, p. 1079-1095.</w:t>
      </w:r>
    </w:p>
    <w:p w14:paraId="19AAD5AA" w14:textId="77777777" w:rsidR="00A83549" w:rsidRPr="000E7534" w:rsidRDefault="00A83549" w:rsidP="005341B9">
      <w:pPr>
        <w:pStyle w:val="ReferBibl"/>
        <w:spacing w:after="0"/>
        <w:jc w:val="both"/>
        <w:rPr>
          <w:rFonts w:ascii="Times New Roman" w:hAnsi="Times New Roman"/>
          <w:lang w:val="en-US"/>
        </w:rPr>
      </w:pPr>
    </w:p>
    <w:p w14:paraId="49D3A65C" w14:textId="77777777" w:rsidR="00EE3951" w:rsidRPr="005341B9" w:rsidRDefault="00EE3951" w:rsidP="005341B9">
      <w:pPr>
        <w:spacing w:line="240" w:lineRule="auto"/>
        <w:rPr>
          <w:lang w:val="en-US"/>
        </w:rPr>
      </w:pPr>
    </w:p>
    <w:bookmarkEnd w:id="0"/>
    <w:p w14:paraId="208C850A" w14:textId="77777777" w:rsidR="0075710A" w:rsidRPr="005341B9" w:rsidRDefault="0075710A">
      <w:pPr>
        <w:spacing w:line="240" w:lineRule="auto"/>
        <w:rPr>
          <w:lang w:val="en-US"/>
        </w:rPr>
      </w:pPr>
    </w:p>
    <w:sectPr w:rsidR="0075710A" w:rsidRPr="005341B9" w:rsidSect="00443B2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FC93C" w14:textId="77777777" w:rsidR="009021C3" w:rsidRDefault="009021C3" w:rsidP="00EE3951">
      <w:pPr>
        <w:spacing w:line="240" w:lineRule="auto"/>
      </w:pPr>
      <w:r>
        <w:separator/>
      </w:r>
    </w:p>
  </w:endnote>
  <w:endnote w:type="continuationSeparator" w:id="0">
    <w:p w14:paraId="76B13652" w14:textId="77777777" w:rsidR="009021C3" w:rsidRDefault="009021C3" w:rsidP="00EE3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770958"/>
      <w:docPartObj>
        <w:docPartGallery w:val="Page Numbers (Bottom of Page)"/>
        <w:docPartUnique/>
      </w:docPartObj>
    </w:sdtPr>
    <w:sdtEndPr/>
    <w:sdtContent>
      <w:p w14:paraId="7F5E7A89" w14:textId="3A00DCD4" w:rsidR="0083079D" w:rsidRDefault="0083079D">
        <w:pPr>
          <w:pStyle w:val="Rodap"/>
          <w:jc w:val="right"/>
        </w:pPr>
        <w:r>
          <w:fldChar w:fldCharType="begin"/>
        </w:r>
        <w:r>
          <w:instrText xml:space="preserve"> PAGE   \* MERGEFORMAT </w:instrText>
        </w:r>
        <w:r>
          <w:fldChar w:fldCharType="separate"/>
        </w:r>
        <w:r w:rsidR="00BF16A8">
          <w:rPr>
            <w:noProof/>
          </w:rPr>
          <w:t>1</w:t>
        </w:r>
        <w:r>
          <w:rPr>
            <w:noProof/>
          </w:rPr>
          <w:fldChar w:fldCharType="end"/>
        </w:r>
      </w:p>
    </w:sdtContent>
  </w:sdt>
  <w:p w14:paraId="668FE06A" w14:textId="77777777" w:rsidR="0083079D" w:rsidRDefault="008307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AD511" w14:textId="77777777" w:rsidR="009021C3" w:rsidRDefault="009021C3" w:rsidP="00EE3951">
      <w:pPr>
        <w:spacing w:line="240" w:lineRule="auto"/>
      </w:pPr>
      <w:r>
        <w:separator/>
      </w:r>
    </w:p>
  </w:footnote>
  <w:footnote w:type="continuationSeparator" w:id="0">
    <w:p w14:paraId="7AE3F8A3" w14:textId="77777777" w:rsidR="009021C3" w:rsidRDefault="009021C3" w:rsidP="00EE3951">
      <w:pPr>
        <w:spacing w:line="240" w:lineRule="auto"/>
      </w:pPr>
      <w:r>
        <w:continuationSeparator/>
      </w:r>
    </w:p>
  </w:footnote>
  <w:footnote w:id="1">
    <w:p w14:paraId="672CF523" w14:textId="638CFE6B" w:rsidR="0083079D" w:rsidRPr="005A67E9" w:rsidRDefault="0083079D" w:rsidP="00B31C79">
      <w:pPr>
        <w:pStyle w:val="Default"/>
        <w:jc w:val="both"/>
        <w:rPr>
          <w:sz w:val="20"/>
          <w:szCs w:val="20"/>
        </w:rPr>
      </w:pPr>
      <w:r w:rsidRPr="005A67E9">
        <w:rPr>
          <w:rStyle w:val="Refdenotaderodap"/>
          <w:sz w:val="20"/>
          <w:szCs w:val="20"/>
        </w:rPr>
        <w:footnoteRef/>
      </w:r>
      <w:r w:rsidRPr="005A67E9">
        <w:rPr>
          <w:sz w:val="20"/>
          <w:szCs w:val="20"/>
        </w:rPr>
        <w:t xml:space="preserve"> </w:t>
      </w:r>
      <w:r w:rsidRPr="005A67E9">
        <w:rPr>
          <w:color w:val="auto"/>
          <w:sz w:val="20"/>
          <w:szCs w:val="20"/>
        </w:rPr>
        <w:t xml:space="preserve">No Brasil, por exemplo, entre 1970 e 2002, cresceu de 37,8% para 58,1% a participação da população empregada no setor terciário, segundo dados do IBGE (KON, 2004, p.106). Miles (2005), por sua vez, mostra que para a União Europeia, a parcela de valor adicionado pelo setor de serviços ao PIB passou de cerca de 50% em 1973 para 65% em 2001. Segundo Bernardes e Kallup (2007), dados da </w:t>
      </w:r>
      <w:r>
        <w:rPr>
          <w:color w:val="auto"/>
          <w:sz w:val="20"/>
          <w:szCs w:val="20"/>
        </w:rPr>
        <w:t>O</w:t>
      </w:r>
      <w:r w:rsidRPr="005A67E9">
        <w:rPr>
          <w:color w:val="auto"/>
          <w:sz w:val="20"/>
          <w:szCs w:val="20"/>
        </w:rPr>
        <w:t xml:space="preserve">CDE mostram que, nos países do G7 (Estados Unidos, </w:t>
      </w:r>
      <w:r w:rsidRPr="005A67E9">
        <w:rPr>
          <w:sz w:val="20"/>
          <w:szCs w:val="20"/>
        </w:rPr>
        <w:t>Japão, Alemanha, Reino Unido, França, Itália e Canadá)</w:t>
      </w:r>
      <w:r w:rsidRPr="005A67E9">
        <w:rPr>
          <w:color w:val="auto"/>
          <w:sz w:val="20"/>
          <w:szCs w:val="20"/>
        </w:rPr>
        <w:t>, em 1960 os serviços representavam 46% do emprego formal, contra 67% em 1997</w:t>
      </w:r>
      <w:r>
        <w:rPr>
          <w:color w:val="auto"/>
          <w:sz w:val="20"/>
          <w:szCs w:val="20"/>
        </w:rPr>
        <w:t xml:space="preserve"> e </w:t>
      </w:r>
      <w:r w:rsidRPr="005A67E9">
        <w:rPr>
          <w:color w:val="auto"/>
          <w:sz w:val="20"/>
          <w:szCs w:val="20"/>
        </w:rPr>
        <w:t xml:space="preserve">respondiam por 53,2% do PIB em 1960 e 69% em 1997. </w:t>
      </w:r>
    </w:p>
  </w:footnote>
  <w:footnote w:id="2">
    <w:p w14:paraId="287CD43E" w14:textId="5BC30FE3" w:rsidR="0083079D" w:rsidRDefault="0083079D" w:rsidP="005C2197">
      <w:pPr>
        <w:spacing w:line="240" w:lineRule="auto"/>
      </w:pPr>
      <w:r>
        <w:rPr>
          <w:rStyle w:val="Refdenotaderodap"/>
        </w:rPr>
        <w:footnoteRef/>
      </w:r>
      <w:r>
        <w:t xml:space="preserve"> </w:t>
      </w:r>
      <w:r>
        <w:rPr>
          <w:sz w:val="20"/>
          <w:szCs w:val="20"/>
        </w:rPr>
        <w:t>I</w:t>
      </w:r>
      <w:r w:rsidRPr="00B148D4">
        <w:rPr>
          <w:sz w:val="20"/>
          <w:szCs w:val="20"/>
        </w:rPr>
        <w:t>ncluem o suporte prático com logística, questões adminis</w:t>
      </w:r>
      <w:r>
        <w:rPr>
          <w:sz w:val="20"/>
          <w:szCs w:val="20"/>
        </w:rPr>
        <w:t>trativas e suporte tecnológico,</w:t>
      </w:r>
    </w:p>
  </w:footnote>
  <w:footnote w:id="3">
    <w:p w14:paraId="04656966" w14:textId="6EDA2732" w:rsidR="0083079D" w:rsidRDefault="0083079D" w:rsidP="005C2197">
      <w:pPr>
        <w:spacing w:line="240" w:lineRule="auto"/>
      </w:pPr>
      <w:r>
        <w:rPr>
          <w:rStyle w:val="Refdenotaderodap"/>
        </w:rPr>
        <w:footnoteRef/>
      </w:r>
      <w:r>
        <w:t xml:space="preserve"> </w:t>
      </w:r>
      <w:r w:rsidRPr="00174D32">
        <w:rPr>
          <w:sz w:val="20"/>
          <w:szCs w:val="20"/>
        </w:rPr>
        <w:t xml:space="preserve">Os serviços de </w:t>
      </w:r>
      <w:r w:rsidRPr="00174D32">
        <w:rPr>
          <w:sz w:val="20"/>
          <w:szCs w:val="20"/>
          <w:u w:val="single"/>
        </w:rPr>
        <w:t xml:space="preserve">suporte </w:t>
      </w:r>
      <w:r w:rsidRPr="00174D32">
        <w:rPr>
          <w:sz w:val="20"/>
          <w:szCs w:val="20"/>
        </w:rPr>
        <w:t xml:space="preserve">à infraestrutura diferem dos provedores de conhecimento avançado em termos de sua capacitação tecnológica, especialmente a sua habilidade mais limitada para desenvolver novo conhecimento internamente. Sua trajetória inovativa tende a basear-se na aquisição de maquinário, equipamentos e vários tipos de conhecimento tecnológico avançado criado em </w:t>
      </w:r>
      <w:r w:rsidRPr="00174D32">
        <w:rPr>
          <w:sz w:val="20"/>
          <w:szCs w:val="20"/>
          <w:u w:val="single"/>
        </w:rPr>
        <w:t>outra parte</w:t>
      </w:r>
      <w:r w:rsidRPr="00174D32">
        <w:rPr>
          <w:sz w:val="20"/>
          <w:szCs w:val="20"/>
        </w:rPr>
        <w:t xml:space="preserve"> do sistema econômico. O autor distingue dois subgrupos caracterizados por um nível diferente de sofisticação tecnológica: 1) provedores de serviços de infraestrutura física e de distribuição (ex. transporte e comercio atacadista); e 2) provedores de serviços de infraestrutura de rede (tais como financeiro e telecomunicações). Empresas no último grupo tipicamente fazem uso intenso de tecnologias da informação e da comunicação (TICs) desenvolvidas por outros setores avançados com a finalidade de aumentar a eficiência do processo produtivo e a qualidade dos seus serviços, enquanto o primeiro grupo de industrias possui </w:t>
      </w:r>
      <w:r>
        <w:rPr>
          <w:sz w:val="20"/>
          <w:szCs w:val="20"/>
        </w:rPr>
        <w:t xml:space="preserve">uma menor </w:t>
      </w:r>
      <w:r w:rsidRPr="00174D32">
        <w:rPr>
          <w:sz w:val="20"/>
          <w:szCs w:val="20"/>
        </w:rPr>
        <w:t xml:space="preserve">capacidade a esse respeito. </w:t>
      </w:r>
      <w:r>
        <w:rPr>
          <w:sz w:val="20"/>
          <w:szCs w:val="20"/>
        </w:rPr>
        <w:t>Os</w:t>
      </w:r>
      <w:r w:rsidRPr="00174D32">
        <w:rPr>
          <w:sz w:val="20"/>
          <w:szCs w:val="20"/>
        </w:rPr>
        <w:t xml:space="preserve"> produtores de </w:t>
      </w:r>
      <w:r w:rsidRPr="00174D32">
        <w:rPr>
          <w:i/>
          <w:sz w:val="20"/>
          <w:szCs w:val="20"/>
        </w:rPr>
        <w:t xml:space="preserve">bens e serviços pessoais </w:t>
      </w:r>
      <w:r w:rsidRPr="00174D32">
        <w:rPr>
          <w:sz w:val="20"/>
          <w:szCs w:val="20"/>
        </w:rPr>
        <w:t>são caracterizados por um menor conteúdo tecnológicos e uma habilidade mais limitada para desenvolver novos produtos e processos internamente. Sua estratégia inovativa dominante é tipicamente baseada na aquisição de maquinário, equipamento e outros tipos de conhecimento externo produzido por seus fornecedores e geralmente falta a eles a capacitação e os recursos para manter os seus próprios laboratórios de P&amp;D. Dois subgrupos de ind</w:t>
      </w:r>
      <w:r>
        <w:rPr>
          <w:sz w:val="20"/>
          <w:szCs w:val="20"/>
        </w:rPr>
        <w:t>ú</w:t>
      </w:r>
      <w:r w:rsidRPr="00174D32">
        <w:rPr>
          <w:sz w:val="20"/>
          <w:szCs w:val="20"/>
        </w:rPr>
        <w:t xml:space="preserve">strias são incluídas nesta categoria: (1) os produtores de bens pessoais e (2) os provedores de serviços pessoais. As empresas nestes ramos de manufatura e serviços, tipicamente pequenas empresas, são, sobretudo, </w:t>
      </w:r>
      <w:r w:rsidRPr="00174D32">
        <w:rPr>
          <w:sz w:val="20"/>
          <w:szCs w:val="20"/>
          <w:u w:val="single"/>
        </w:rPr>
        <w:t>destinatárias</w:t>
      </w:r>
      <w:r w:rsidRPr="00D62B80">
        <w:rPr>
          <w:sz w:val="20"/>
          <w:szCs w:val="20"/>
        </w:rPr>
        <w:t xml:space="preserve"> do </w:t>
      </w:r>
      <w:r w:rsidRPr="00174D32">
        <w:rPr>
          <w:sz w:val="20"/>
          <w:szCs w:val="20"/>
        </w:rPr>
        <w:t xml:space="preserve">conhecimento avançado. </w:t>
      </w:r>
    </w:p>
  </w:footnote>
  <w:footnote w:id="4">
    <w:p w14:paraId="0D6D1BEC" w14:textId="77777777" w:rsidR="0083079D" w:rsidRDefault="0083079D">
      <w:pPr>
        <w:pStyle w:val="Textodenotaderodap"/>
      </w:pPr>
      <w:r>
        <w:rPr>
          <w:rStyle w:val="Refdenotaderodap"/>
        </w:rPr>
        <w:footnoteRef/>
      </w:r>
      <w:r>
        <w:t xml:space="preserve"> </w:t>
      </w:r>
      <w:r w:rsidRPr="00BC5CE2">
        <w:rPr>
          <w:lang w:eastAsia="pt-BR"/>
        </w:rPr>
        <w:t>No Brasil, Kubota (2009), em inve</w:t>
      </w:r>
      <w:r>
        <w:rPr>
          <w:lang w:eastAsia="pt-BR"/>
        </w:rPr>
        <w:t xml:space="preserve">stigação com base na </w:t>
      </w:r>
      <w:r w:rsidRPr="000422AF">
        <w:rPr>
          <w:rFonts w:eastAsia="Calibri"/>
          <w:lang w:eastAsia="pt-BR"/>
        </w:rPr>
        <w:t>Pesquisa da Atividade Econômica Paulista (Paep) 2001</w:t>
      </w:r>
      <w:r w:rsidRPr="00BC5CE2">
        <w:rPr>
          <w:lang w:eastAsia="pt-BR"/>
        </w:rPr>
        <w:t xml:space="preserve">, identificou que os </w:t>
      </w:r>
      <w:r w:rsidRPr="000422AF">
        <w:rPr>
          <w:rFonts w:eastAsia="Calibri"/>
          <w:lang w:eastAsia="pt-BR"/>
        </w:rPr>
        <w:t>Kibs contribuem para a inovação tecnológica de suas clientes do próprio setor de serviços</w:t>
      </w:r>
      <w:r>
        <w:rPr>
          <w:rFonts w:eastAsia="Calibri"/>
          <w:lang w:eastAsia="pt-BR"/>
        </w:rPr>
        <w:t xml:space="preserve"> nos </w:t>
      </w:r>
      <w:r>
        <w:rPr>
          <w:lang w:eastAsia="pt-BR"/>
        </w:rPr>
        <w:t xml:space="preserve">serviços </w:t>
      </w:r>
      <w:r w:rsidRPr="000422AF">
        <w:rPr>
          <w:rFonts w:eastAsia="Calibri"/>
          <w:lang w:eastAsia="pt-BR"/>
        </w:rPr>
        <w:t>jurídicos, contábeis, de soluções de internet, de comunicação empresarial, de publicidade e propaganda e de gestão empresarial.</w:t>
      </w:r>
    </w:p>
  </w:footnote>
  <w:footnote w:id="5">
    <w:p w14:paraId="2DD4EDD9" w14:textId="77777777" w:rsidR="0083079D" w:rsidRPr="008D1186" w:rsidRDefault="0083079D">
      <w:pPr>
        <w:pStyle w:val="Textodenotaderodap"/>
      </w:pPr>
      <w:r>
        <w:rPr>
          <w:rStyle w:val="Refdenotaderodap"/>
        </w:rPr>
        <w:footnoteRef/>
      </w:r>
      <w:r>
        <w:t xml:space="preserve"> Universidades, consultores e organizações privadas de pesquisa. </w:t>
      </w:r>
    </w:p>
  </w:footnote>
  <w:footnote w:id="6">
    <w:p w14:paraId="22BAD9EE" w14:textId="1A03F722" w:rsidR="0083079D" w:rsidRDefault="0083079D">
      <w:pPr>
        <w:pStyle w:val="Textodenotaderodap"/>
      </w:pPr>
      <w:r>
        <w:rPr>
          <w:rStyle w:val="Refdenotaderodap"/>
        </w:rPr>
        <w:footnoteRef/>
      </w:r>
      <w:r>
        <w:t xml:space="preserve"> Tais questões eram respondidas em escala Likert de importância, a saber: (1) Sem importância; (</w:t>
      </w:r>
      <w:r w:rsidRPr="00F135FA">
        <w:t>2</w:t>
      </w:r>
      <w:r>
        <w:t>) Pouco Importante; (</w:t>
      </w:r>
      <w:r w:rsidRPr="00F135FA">
        <w:t>3</w:t>
      </w:r>
      <w:r>
        <w:t>) Moderadamente importante; (</w:t>
      </w:r>
      <w:r w:rsidRPr="00F135FA">
        <w:t>4</w:t>
      </w:r>
      <w:r>
        <w:t>)</w:t>
      </w:r>
      <w:r w:rsidRPr="00F135FA">
        <w:t xml:space="preserve"> Muito importante</w:t>
      </w:r>
      <w:r>
        <w:t>.</w:t>
      </w:r>
    </w:p>
  </w:footnote>
  <w:footnote w:id="7">
    <w:p w14:paraId="5CB571C0" w14:textId="77777777" w:rsidR="0083079D" w:rsidRPr="00ED3839" w:rsidRDefault="0083079D" w:rsidP="00EE3951">
      <w:pPr>
        <w:pStyle w:val="Textodenotaderodap"/>
      </w:pPr>
      <w:r>
        <w:rPr>
          <w:rStyle w:val="Refdenotaderodap"/>
        </w:rPr>
        <w:footnoteRef/>
      </w:r>
      <w:r>
        <w:t xml:space="preserve"> Segundo esse Manual, as variáveis categóricas ordinais deveriam ser padronizadas seguindo a seguinte fórmula: </w:t>
      </w:r>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-1</m:t>
            </m:r>
          </m:den>
        </m:f>
      </m:oMath>
      <w:r>
        <w:rPr>
          <w:rFonts w:eastAsiaTheme="minorEastAsia"/>
        </w:rPr>
        <w:t>, onde: r</w:t>
      </w:r>
      <w:r>
        <w:rPr>
          <w:rFonts w:eastAsiaTheme="minorEastAsia"/>
          <w:vertAlign w:val="subscript"/>
        </w:rPr>
        <w:t xml:space="preserve">ij </w:t>
      </w:r>
      <w:r>
        <w:rPr>
          <w:rFonts w:eastAsiaTheme="minorEastAsia"/>
        </w:rPr>
        <w:t xml:space="preserve">é o </w:t>
      </w:r>
      <w:r w:rsidRPr="00ED3839">
        <w:rPr>
          <w:rFonts w:eastAsiaTheme="minorEastAsia"/>
        </w:rPr>
        <w:t>valor</w:t>
      </w:r>
      <w:r>
        <w:rPr>
          <w:rFonts w:eastAsiaTheme="minorEastAsia"/>
          <w:i/>
        </w:rPr>
        <w:t xml:space="preserve"> </w:t>
      </w:r>
      <w:r>
        <w:rPr>
          <w:rFonts w:eastAsiaTheme="minorEastAsia"/>
        </w:rPr>
        <w:t xml:space="preserve">da variável categórica </w:t>
      </w:r>
      <w:r>
        <w:rPr>
          <w:rFonts w:eastAsiaTheme="minorEastAsia"/>
          <w:i/>
        </w:rPr>
        <w:t xml:space="preserve">j </w:t>
      </w:r>
      <w:r>
        <w:rPr>
          <w:rFonts w:eastAsiaTheme="minorEastAsia"/>
        </w:rPr>
        <w:t xml:space="preserve">para a observação </w:t>
      </w:r>
      <w:r w:rsidRPr="00ED3839">
        <w:rPr>
          <w:rFonts w:eastAsiaTheme="minorEastAsia"/>
          <w:i/>
        </w:rPr>
        <w:t>i</w:t>
      </w:r>
      <w:r>
        <w:rPr>
          <w:rFonts w:eastAsiaTheme="minorEastAsia"/>
        </w:rPr>
        <w:t>; M</w:t>
      </w:r>
      <w:r>
        <w:rPr>
          <w:rFonts w:eastAsiaTheme="minorEastAsia"/>
          <w:vertAlign w:val="subscript"/>
        </w:rPr>
        <w:t xml:space="preserve">j </w:t>
      </w:r>
      <w:r>
        <w:rPr>
          <w:rFonts w:eastAsiaTheme="minorEastAsia"/>
        </w:rPr>
        <w:t>é o valor</w:t>
      </w:r>
      <w:r>
        <w:rPr>
          <w:rFonts w:eastAsiaTheme="minorEastAsia"/>
          <w:i/>
        </w:rPr>
        <w:t xml:space="preserve"> </w:t>
      </w:r>
      <w:r>
        <w:rPr>
          <w:rFonts w:eastAsiaTheme="minorEastAsia"/>
        </w:rPr>
        <w:t xml:space="preserve">máximo da variável </w:t>
      </w:r>
      <w:r>
        <w:rPr>
          <w:rFonts w:eastAsiaTheme="minorEastAsia"/>
          <w:i/>
        </w:rPr>
        <w:t>j</w:t>
      </w:r>
      <w:r>
        <w:rPr>
          <w:rFonts w:eastAsiaTheme="minorEastAsia"/>
        </w:rPr>
        <w:t xml:space="preserve">, e </w:t>
      </w:r>
      <w:r w:rsidRPr="00ED3839">
        <w:rPr>
          <w:rFonts w:eastAsiaTheme="minorEastAsia"/>
          <w:i/>
        </w:rPr>
        <w:t>z</w:t>
      </w:r>
      <w:r w:rsidRPr="00ED3839">
        <w:rPr>
          <w:rFonts w:eastAsiaTheme="minorEastAsia"/>
          <w:i/>
          <w:vertAlign w:val="subscript"/>
        </w:rPr>
        <w:t>ij</w:t>
      </w:r>
      <w:r>
        <w:rPr>
          <w:rFonts w:eastAsiaTheme="minorEastAsia"/>
          <w:i/>
        </w:rPr>
        <w:t xml:space="preserve"> </w:t>
      </w:r>
      <w:r>
        <w:rPr>
          <w:rFonts w:eastAsiaTheme="minorEastAsia"/>
        </w:rPr>
        <w:t xml:space="preserve">é a variável transformada, variando entre 0 e 1. Após essa transformação, a matriz de dissimilaridades poderia ser calculada como variáveis contínuas. </w:t>
      </w:r>
    </w:p>
  </w:footnote>
  <w:footnote w:id="8">
    <w:p w14:paraId="37D9BD60" w14:textId="77777777" w:rsidR="0083079D" w:rsidRDefault="0083079D">
      <w:pPr>
        <w:pStyle w:val="Textodenotaderodap"/>
      </w:pPr>
      <w:r>
        <w:rPr>
          <w:rStyle w:val="Refdenotaderodap"/>
        </w:rPr>
        <w:footnoteRef/>
      </w:r>
      <w:r>
        <w:t xml:space="preserve"> Detalhes sobre esses métodos podem ser encontrados em </w:t>
      </w:r>
      <w:r w:rsidRPr="0019224D">
        <w:fldChar w:fldCharType="begin" w:fldLock="1"/>
      </w:r>
      <w:r w:rsidRPr="0019224D">
        <w:instrText>ADDIN CSL_CITATION { "citationItems" : [ { "id" : "ITEM-1", "itemData" : { "author" : [ { "dropping-particle" : "", "family" : "Kaufman", "given" : "Leornard", "non-dropping-particle" : "", "parse-names" : false, "suffix" : "" }, { "dropping-particle" : "", "family" : "Rousseeuw", "given" : "Peter J.", "non-dropping-particle" : "", "parse-names" : false, "suffix" : "" } ], "id" : "ITEM-1", "issued" : { "date-parts" : [ [ "1990" ] ] }, "page" : "342", "publisher" : "John Wiley &amp; Sons", "publisher-place" : "New York", "title" : "Finding Groups in Data", "type" : "book" }, "uris" : [ "http://www.mendeley.com/documents/?uuid=84ede050-b774-401f-a62d-663197c1dfef" ] } ], "mendeley" : { "manualFormatting" : "Kaufman e Rousseeuw (1990)", "previouslyFormattedCitation" : "(KAUFMAN; ROUSSEEUW, 1990)" }, "properties" : { "noteIndex" : 0 }, "schema" : "https://github.com/citation-style-language/schema/raw/master/csl-citation.json" }</w:instrText>
      </w:r>
      <w:r w:rsidRPr="0019224D">
        <w:fldChar w:fldCharType="separate"/>
      </w:r>
      <w:r w:rsidRPr="0019224D">
        <w:rPr>
          <w:noProof/>
        </w:rPr>
        <w:t>Kaufman e Rousseeuw (1990)</w:t>
      </w:r>
      <w:r w:rsidRPr="0019224D">
        <w:fldChar w:fldCharType="end"/>
      </w:r>
    </w:p>
  </w:footnote>
  <w:footnote w:id="9">
    <w:p w14:paraId="3668663A" w14:textId="33AE63EE" w:rsidR="0083079D" w:rsidRDefault="0083079D" w:rsidP="004E6DCA">
      <w:pPr>
        <w:pStyle w:val="Textodenotaderodap"/>
      </w:pPr>
      <w:r>
        <w:rPr>
          <w:rStyle w:val="Refdenotaderodap"/>
        </w:rPr>
        <w:footnoteRef/>
      </w:r>
      <w:r>
        <w:t xml:space="preserve"> Essa análise também sugeria 5 grupos, porém manteve-se a escolha para 4 grupos pois mostrou-se possível identificar diferenças entre os mesmos quanto à motivação para interagir. </w:t>
      </w:r>
    </w:p>
  </w:footnote>
  <w:footnote w:id="10">
    <w:p w14:paraId="196E31F2" w14:textId="77777777" w:rsidR="0083079D" w:rsidRPr="00A17136" w:rsidRDefault="0083079D">
      <w:pPr>
        <w:pStyle w:val="Textodenotaderodap"/>
      </w:pPr>
      <w:r>
        <w:rPr>
          <w:rStyle w:val="Refdenotaderodap"/>
        </w:rPr>
        <w:footnoteRef/>
      </w:r>
      <w:r>
        <w:t xml:space="preserve"> Asheim </w:t>
      </w:r>
      <w:r w:rsidRPr="003F1849">
        <w:rPr>
          <w:i/>
        </w:rPr>
        <w:t>et. al</w:t>
      </w:r>
      <w:r>
        <w:rPr>
          <w:i/>
        </w:rPr>
        <w:t>.</w:t>
      </w:r>
      <w:r w:rsidRPr="003F1849">
        <w:rPr>
          <w:i/>
        </w:rPr>
        <w:t xml:space="preserve"> </w:t>
      </w:r>
      <w:r>
        <w:t>(2007) propõem 3 taxonomias de base de conhecimento nas empresas de SICs c</w:t>
      </w:r>
      <w:r w:rsidRPr="00BD385F">
        <w:t xml:space="preserve">onhecimento </w:t>
      </w:r>
      <w:r w:rsidRPr="00D363F7">
        <w:t>analítico</w:t>
      </w:r>
      <w:r w:rsidRPr="00BD385F">
        <w:t xml:space="preserve">, sistêmico e simbólico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17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F741D"/>
    <w:multiLevelType w:val="hybridMultilevel"/>
    <w:tmpl w:val="D288387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845C7C"/>
    <w:multiLevelType w:val="hybridMultilevel"/>
    <w:tmpl w:val="879C00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1552D83"/>
    <w:multiLevelType w:val="hybridMultilevel"/>
    <w:tmpl w:val="A2DC4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C4E77"/>
    <w:multiLevelType w:val="hybridMultilevel"/>
    <w:tmpl w:val="1138DDD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586AFF"/>
    <w:multiLevelType w:val="hybridMultilevel"/>
    <w:tmpl w:val="2654D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3B2242"/>
    <w:multiLevelType w:val="hybridMultilevel"/>
    <w:tmpl w:val="474694FA"/>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7A5433"/>
    <w:multiLevelType w:val="multilevel"/>
    <w:tmpl w:val="E9B2D9A0"/>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384A26E6"/>
    <w:multiLevelType w:val="multilevel"/>
    <w:tmpl w:val="200CB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627FA9"/>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66BB4"/>
    <w:multiLevelType w:val="hybridMultilevel"/>
    <w:tmpl w:val="8662D0FA"/>
    <w:lvl w:ilvl="0" w:tplc="0416000F">
      <w:start w:val="5"/>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60BD7668"/>
    <w:multiLevelType w:val="multilevel"/>
    <w:tmpl w:val="8E6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B2097"/>
    <w:multiLevelType w:val="multilevel"/>
    <w:tmpl w:val="D4D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F41C3"/>
    <w:multiLevelType w:val="hybridMultilevel"/>
    <w:tmpl w:val="CB08797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0"/>
  </w:num>
  <w:num w:numId="3">
    <w:abstractNumId w:val="8"/>
  </w:num>
  <w:num w:numId="4">
    <w:abstractNumId w:val="6"/>
  </w:num>
  <w:num w:numId="5">
    <w:abstractNumId w:val="7"/>
  </w:num>
  <w:num w:numId="6">
    <w:abstractNumId w:val="2"/>
  </w:num>
  <w:num w:numId="7">
    <w:abstractNumId w:val="5"/>
  </w:num>
  <w:num w:numId="8">
    <w:abstractNumId w:val="4"/>
  </w:num>
  <w:num w:numId="9">
    <w:abstractNumId w:val="1"/>
  </w:num>
  <w:num w:numId="10">
    <w:abstractNumId w:val="3"/>
  </w:num>
  <w:num w:numId="11">
    <w:abstractNumId w:val="9"/>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6B"/>
    <w:rsid w:val="00025A42"/>
    <w:rsid w:val="00032646"/>
    <w:rsid w:val="00035042"/>
    <w:rsid w:val="00036F52"/>
    <w:rsid w:val="00040576"/>
    <w:rsid w:val="000422AF"/>
    <w:rsid w:val="00046697"/>
    <w:rsid w:val="00046863"/>
    <w:rsid w:val="0005587A"/>
    <w:rsid w:val="00057FFB"/>
    <w:rsid w:val="0007253F"/>
    <w:rsid w:val="00080A50"/>
    <w:rsid w:val="0009016B"/>
    <w:rsid w:val="000A5FA3"/>
    <w:rsid w:val="000B2A74"/>
    <w:rsid w:val="000E51CC"/>
    <w:rsid w:val="000E5F4D"/>
    <w:rsid w:val="000E7534"/>
    <w:rsid w:val="000F241F"/>
    <w:rsid w:val="000F347A"/>
    <w:rsid w:val="000F51F7"/>
    <w:rsid w:val="001006D1"/>
    <w:rsid w:val="0010232E"/>
    <w:rsid w:val="00104575"/>
    <w:rsid w:val="00114882"/>
    <w:rsid w:val="00117F5C"/>
    <w:rsid w:val="00125086"/>
    <w:rsid w:val="0012626A"/>
    <w:rsid w:val="001365C3"/>
    <w:rsid w:val="0014401B"/>
    <w:rsid w:val="001456E5"/>
    <w:rsid w:val="00147AA0"/>
    <w:rsid w:val="00160DF3"/>
    <w:rsid w:val="001628DE"/>
    <w:rsid w:val="00174D32"/>
    <w:rsid w:val="0017591D"/>
    <w:rsid w:val="0017793A"/>
    <w:rsid w:val="0019224D"/>
    <w:rsid w:val="00196B68"/>
    <w:rsid w:val="001A4001"/>
    <w:rsid w:val="001A4C1A"/>
    <w:rsid w:val="001A4EF4"/>
    <w:rsid w:val="001A51B2"/>
    <w:rsid w:val="001A69EC"/>
    <w:rsid w:val="001A7B5F"/>
    <w:rsid w:val="001B38B1"/>
    <w:rsid w:val="001C1861"/>
    <w:rsid w:val="001D0BED"/>
    <w:rsid w:val="001D4F08"/>
    <w:rsid w:val="001D7CFE"/>
    <w:rsid w:val="001E149B"/>
    <w:rsid w:val="001E75B7"/>
    <w:rsid w:val="00216AE1"/>
    <w:rsid w:val="00216D2A"/>
    <w:rsid w:val="00223ED1"/>
    <w:rsid w:val="00233438"/>
    <w:rsid w:val="00235814"/>
    <w:rsid w:val="002361BC"/>
    <w:rsid w:val="002423F3"/>
    <w:rsid w:val="00243136"/>
    <w:rsid w:val="0026331D"/>
    <w:rsid w:val="00270409"/>
    <w:rsid w:val="00270FE7"/>
    <w:rsid w:val="00271AC9"/>
    <w:rsid w:val="00272DCD"/>
    <w:rsid w:val="00273530"/>
    <w:rsid w:val="00283F4E"/>
    <w:rsid w:val="00286CC7"/>
    <w:rsid w:val="002A0361"/>
    <w:rsid w:val="002A13CC"/>
    <w:rsid w:val="002A1F88"/>
    <w:rsid w:val="002A256F"/>
    <w:rsid w:val="002A2AE5"/>
    <w:rsid w:val="002A4ECE"/>
    <w:rsid w:val="002B4B91"/>
    <w:rsid w:val="002C5092"/>
    <w:rsid w:val="002C6715"/>
    <w:rsid w:val="002D1E14"/>
    <w:rsid w:val="002E0CE8"/>
    <w:rsid w:val="002E2C0A"/>
    <w:rsid w:val="002F1BFB"/>
    <w:rsid w:val="002F261B"/>
    <w:rsid w:val="002F2AF3"/>
    <w:rsid w:val="002F533E"/>
    <w:rsid w:val="002F74F6"/>
    <w:rsid w:val="0030177D"/>
    <w:rsid w:val="003018E3"/>
    <w:rsid w:val="00304595"/>
    <w:rsid w:val="00306A28"/>
    <w:rsid w:val="00314CFF"/>
    <w:rsid w:val="00315194"/>
    <w:rsid w:val="00320BF3"/>
    <w:rsid w:val="00321AC7"/>
    <w:rsid w:val="00336A41"/>
    <w:rsid w:val="003402A4"/>
    <w:rsid w:val="003461F1"/>
    <w:rsid w:val="00350141"/>
    <w:rsid w:val="00351800"/>
    <w:rsid w:val="00351985"/>
    <w:rsid w:val="00385AD8"/>
    <w:rsid w:val="003A6E33"/>
    <w:rsid w:val="003B21C1"/>
    <w:rsid w:val="003D501D"/>
    <w:rsid w:val="003D79FF"/>
    <w:rsid w:val="003F061B"/>
    <w:rsid w:val="003F1849"/>
    <w:rsid w:val="00421F12"/>
    <w:rsid w:val="004310D0"/>
    <w:rsid w:val="0043332D"/>
    <w:rsid w:val="00443B29"/>
    <w:rsid w:val="004448BB"/>
    <w:rsid w:val="004473E5"/>
    <w:rsid w:val="004524C4"/>
    <w:rsid w:val="00460F3F"/>
    <w:rsid w:val="004665F2"/>
    <w:rsid w:val="00473B7D"/>
    <w:rsid w:val="00476C49"/>
    <w:rsid w:val="00482EB5"/>
    <w:rsid w:val="004863C7"/>
    <w:rsid w:val="00496BD1"/>
    <w:rsid w:val="004A180A"/>
    <w:rsid w:val="004A6700"/>
    <w:rsid w:val="004D2669"/>
    <w:rsid w:val="004D4530"/>
    <w:rsid w:val="004D6A03"/>
    <w:rsid w:val="004E6DCA"/>
    <w:rsid w:val="004F5E9D"/>
    <w:rsid w:val="0051029D"/>
    <w:rsid w:val="00522FF9"/>
    <w:rsid w:val="005250C6"/>
    <w:rsid w:val="00525EA7"/>
    <w:rsid w:val="00533A85"/>
    <w:rsid w:val="005341B9"/>
    <w:rsid w:val="0056719B"/>
    <w:rsid w:val="005701A9"/>
    <w:rsid w:val="00586E78"/>
    <w:rsid w:val="005A67E9"/>
    <w:rsid w:val="005C2197"/>
    <w:rsid w:val="005D3E07"/>
    <w:rsid w:val="005D6E33"/>
    <w:rsid w:val="005E0845"/>
    <w:rsid w:val="005E1E6C"/>
    <w:rsid w:val="005E24D9"/>
    <w:rsid w:val="005E6D51"/>
    <w:rsid w:val="0060163C"/>
    <w:rsid w:val="006218D4"/>
    <w:rsid w:val="00623E83"/>
    <w:rsid w:val="006242DF"/>
    <w:rsid w:val="00625BEB"/>
    <w:rsid w:val="00627AEA"/>
    <w:rsid w:val="00636C70"/>
    <w:rsid w:val="00642767"/>
    <w:rsid w:val="00666699"/>
    <w:rsid w:val="00685888"/>
    <w:rsid w:val="006A3255"/>
    <w:rsid w:val="006A469B"/>
    <w:rsid w:val="006A6F76"/>
    <w:rsid w:val="006B1D2F"/>
    <w:rsid w:val="006B703E"/>
    <w:rsid w:val="006C1F52"/>
    <w:rsid w:val="006C3D6F"/>
    <w:rsid w:val="006D126C"/>
    <w:rsid w:val="006F0904"/>
    <w:rsid w:val="006F44EF"/>
    <w:rsid w:val="00710AFB"/>
    <w:rsid w:val="00716734"/>
    <w:rsid w:val="00725843"/>
    <w:rsid w:val="00731B0A"/>
    <w:rsid w:val="00734649"/>
    <w:rsid w:val="00736B20"/>
    <w:rsid w:val="0074596C"/>
    <w:rsid w:val="00747F3C"/>
    <w:rsid w:val="007548E9"/>
    <w:rsid w:val="00756850"/>
    <w:rsid w:val="007570C8"/>
    <w:rsid w:val="0075710A"/>
    <w:rsid w:val="00766BDA"/>
    <w:rsid w:val="00773ABA"/>
    <w:rsid w:val="0077426B"/>
    <w:rsid w:val="0077785D"/>
    <w:rsid w:val="00782C93"/>
    <w:rsid w:val="00795031"/>
    <w:rsid w:val="007A1CA0"/>
    <w:rsid w:val="007A64EF"/>
    <w:rsid w:val="007B3A90"/>
    <w:rsid w:val="007C51DE"/>
    <w:rsid w:val="007C6526"/>
    <w:rsid w:val="007C7964"/>
    <w:rsid w:val="007D7B37"/>
    <w:rsid w:val="007E6FD3"/>
    <w:rsid w:val="007E7C74"/>
    <w:rsid w:val="007F5724"/>
    <w:rsid w:val="007F57FE"/>
    <w:rsid w:val="00804230"/>
    <w:rsid w:val="00821E21"/>
    <w:rsid w:val="00826E0E"/>
    <w:rsid w:val="00827830"/>
    <w:rsid w:val="00827BC4"/>
    <w:rsid w:val="008303E9"/>
    <w:rsid w:val="0083079D"/>
    <w:rsid w:val="0083232C"/>
    <w:rsid w:val="00832432"/>
    <w:rsid w:val="00835D54"/>
    <w:rsid w:val="00840A30"/>
    <w:rsid w:val="00843EAC"/>
    <w:rsid w:val="0084553B"/>
    <w:rsid w:val="00845978"/>
    <w:rsid w:val="008738B2"/>
    <w:rsid w:val="008B6A6B"/>
    <w:rsid w:val="008D1186"/>
    <w:rsid w:val="008E08B8"/>
    <w:rsid w:val="008F4112"/>
    <w:rsid w:val="008F53C0"/>
    <w:rsid w:val="009021C3"/>
    <w:rsid w:val="00905264"/>
    <w:rsid w:val="00913704"/>
    <w:rsid w:val="009138C6"/>
    <w:rsid w:val="0091760D"/>
    <w:rsid w:val="009176E9"/>
    <w:rsid w:val="00936528"/>
    <w:rsid w:val="00947372"/>
    <w:rsid w:val="009539BA"/>
    <w:rsid w:val="0097142A"/>
    <w:rsid w:val="00974432"/>
    <w:rsid w:val="00991E78"/>
    <w:rsid w:val="00995B95"/>
    <w:rsid w:val="009A73D2"/>
    <w:rsid w:val="009A7458"/>
    <w:rsid w:val="009C14EA"/>
    <w:rsid w:val="009D6ADA"/>
    <w:rsid w:val="009E1FC5"/>
    <w:rsid w:val="009E34FF"/>
    <w:rsid w:val="009F6CD8"/>
    <w:rsid w:val="009F6FFE"/>
    <w:rsid w:val="00A03050"/>
    <w:rsid w:val="00A03A52"/>
    <w:rsid w:val="00A14955"/>
    <w:rsid w:val="00A17136"/>
    <w:rsid w:val="00A30E3D"/>
    <w:rsid w:val="00A34BE7"/>
    <w:rsid w:val="00A419BD"/>
    <w:rsid w:val="00A42382"/>
    <w:rsid w:val="00A44948"/>
    <w:rsid w:val="00A45206"/>
    <w:rsid w:val="00A462CC"/>
    <w:rsid w:val="00A65010"/>
    <w:rsid w:val="00A658C7"/>
    <w:rsid w:val="00A71747"/>
    <w:rsid w:val="00A7211A"/>
    <w:rsid w:val="00A83549"/>
    <w:rsid w:val="00AB65E0"/>
    <w:rsid w:val="00AC6C69"/>
    <w:rsid w:val="00AE6735"/>
    <w:rsid w:val="00B148D4"/>
    <w:rsid w:val="00B161FD"/>
    <w:rsid w:val="00B265E4"/>
    <w:rsid w:val="00B31C79"/>
    <w:rsid w:val="00B320E9"/>
    <w:rsid w:val="00B43C14"/>
    <w:rsid w:val="00B442D2"/>
    <w:rsid w:val="00B55F28"/>
    <w:rsid w:val="00B56878"/>
    <w:rsid w:val="00B57CD5"/>
    <w:rsid w:val="00B602D9"/>
    <w:rsid w:val="00BA0FB6"/>
    <w:rsid w:val="00BA2928"/>
    <w:rsid w:val="00BA3031"/>
    <w:rsid w:val="00BA66B1"/>
    <w:rsid w:val="00BA6CA9"/>
    <w:rsid w:val="00BA730B"/>
    <w:rsid w:val="00BB0351"/>
    <w:rsid w:val="00BB6EA1"/>
    <w:rsid w:val="00BC0904"/>
    <w:rsid w:val="00BC22DA"/>
    <w:rsid w:val="00BC23BD"/>
    <w:rsid w:val="00BC5699"/>
    <w:rsid w:val="00BC5CE2"/>
    <w:rsid w:val="00BD2F7D"/>
    <w:rsid w:val="00BD385F"/>
    <w:rsid w:val="00BE731C"/>
    <w:rsid w:val="00BF16A8"/>
    <w:rsid w:val="00BF511A"/>
    <w:rsid w:val="00C152B5"/>
    <w:rsid w:val="00C17F4A"/>
    <w:rsid w:val="00C209F0"/>
    <w:rsid w:val="00C2315D"/>
    <w:rsid w:val="00C2323A"/>
    <w:rsid w:val="00C244E5"/>
    <w:rsid w:val="00C33365"/>
    <w:rsid w:val="00C4036A"/>
    <w:rsid w:val="00C430FB"/>
    <w:rsid w:val="00C45C6F"/>
    <w:rsid w:val="00C64323"/>
    <w:rsid w:val="00C82D79"/>
    <w:rsid w:val="00C84605"/>
    <w:rsid w:val="00C93840"/>
    <w:rsid w:val="00C974FE"/>
    <w:rsid w:val="00CA1C12"/>
    <w:rsid w:val="00CA40D8"/>
    <w:rsid w:val="00CB01E9"/>
    <w:rsid w:val="00CC0195"/>
    <w:rsid w:val="00CC27AF"/>
    <w:rsid w:val="00CC7689"/>
    <w:rsid w:val="00CD6E31"/>
    <w:rsid w:val="00CE2F19"/>
    <w:rsid w:val="00CF2313"/>
    <w:rsid w:val="00CF392C"/>
    <w:rsid w:val="00CF5F47"/>
    <w:rsid w:val="00D04069"/>
    <w:rsid w:val="00D05D3F"/>
    <w:rsid w:val="00D11284"/>
    <w:rsid w:val="00D14738"/>
    <w:rsid w:val="00D147A9"/>
    <w:rsid w:val="00D177FA"/>
    <w:rsid w:val="00D316AB"/>
    <w:rsid w:val="00D328E3"/>
    <w:rsid w:val="00D35450"/>
    <w:rsid w:val="00D363F7"/>
    <w:rsid w:val="00D54B9F"/>
    <w:rsid w:val="00D62B80"/>
    <w:rsid w:val="00D62C6B"/>
    <w:rsid w:val="00D62D6D"/>
    <w:rsid w:val="00D659BA"/>
    <w:rsid w:val="00D8208F"/>
    <w:rsid w:val="00D96BAD"/>
    <w:rsid w:val="00DD1B63"/>
    <w:rsid w:val="00DD420B"/>
    <w:rsid w:val="00DD7B81"/>
    <w:rsid w:val="00DE217D"/>
    <w:rsid w:val="00DE3D26"/>
    <w:rsid w:val="00DE6815"/>
    <w:rsid w:val="00DF2665"/>
    <w:rsid w:val="00DF3338"/>
    <w:rsid w:val="00E04482"/>
    <w:rsid w:val="00E05107"/>
    <w:rsid w:val="00E06A15"/>
    <w:rsid w:val="00E166E6"/>
    <w:rsid w:val="00E2771F"/>
    <w:rsid w:val="00E27D42"/>
    <w:rsid w:val="00E44BA5"/>
    <w:rsid w:val="00E465DB"/>
    <w:rsid w:val="00E522FE"/>
    <w:rsid w:val="00E5291F"/>
    <w:rsid w:val="00E7384A"/>
    <w:rsid w:val="00E8369D"/>
    <w:rsid w:val="00E85F0B"/>
    <w:rsid w:val="00E939D4"/>
    <w:rsid w:val="00E96CF8"/>
    <w:rsid w:val="00E96ED4"/>
    <w:rsid w:val="00EA342A"/>
    <w:rsid w:val="00EB149B"/>
    <w:rsid w:val="00EC3B46"/>
    <w:rsid w:val="00EE1B5D"/>
    <w:rsid w:val="00EE2494"/>
    <w:rsid w:val="00EE3951"/>
    <w:rsid w:val="00EE4214"/>
    <w:rsid w:val="00EF2F98"/>
    <w:rsid w:val="00F1299D"/>
    <w:rsid w:val="00F13058"/>
    <w:rsid w:val="00F135FA"/>
    <w:rsid w:val="00F324AA"/>
    <w:rsid w:val="00F36010"/>
    <w:rsid w:val="00F36453"/>
    <w:rsid w:val="00F37539"/>
    <w:rsid w:val="00F41CD0"/>
    <w:rsid w:val="00F42DBB"/>
    <w:rsid w:val="00F44101"/>
    <w:rsid w:val="00F461FD"/>
    <w:rsid w:val="00F50053"/>
    <w:rsid w:val="00F534C8"/>
    <w:rsid w:val="00F53E47"/>
    <w:rsid w:val="00F60125"/>
    <w:rsid w:val="00F626A8"/>
    <w:rsid w:val="00F70561"/>
    <w:rsid w:val="00F74A9E"/>
    <w:rsid w:val="00F94FF9"/>
    <w:rsid w:val="00FA65E7"/>
    <w:rsid w:val="00FB4A40"/>
    <w:rsid w:val="00FB6CB8"/>
    <w:rsid w:val="00FD0915"/>
    <w:rsid w:val="00FD583D"/>
    <w:rsid w:val="00FE0373"/>
    <w:rsid w:val="00FE1CB1"/>
    <w:rsid w:val="00FE76D7"/>
    <w:rsid w:val="00FF03CF"/>
    <w:rsid w:val="00FF2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2BD7"/>
  <w15:docId w15:val="{798CCE96-1FA6-4D09-84D7-9B215375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6B"/>
    <w:pPr>
      <w:spacing w:after="0" w:line="360" w:lineRule="auto"/>
      <w:jc w:val="both"/>
    </w:pPr>
    <w:rPr>
      <w:rFonts w:ascii="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6A6B"/>
    <w:pPr>
      <w:ind w:left="720"/>
      <w:contextualSpacing/>
    </w:pPr>
  </w:style>
  <w:style w:type="character" w:styleId="Refdecomentrio">
    <w:name w:val="annotation reference"/>
    <w:basedOn w:val="Fontepargpadro"/>
    <w:uiPriority w:val="99"/>
    <w:semiHidden/>
    <w:unhideWhenUsed/>
    <w:rsid w:val="00EE3951"/>
    <w:rPr>
      <w:sz w:val="16"/>
      <w:szCs w:val="16"/>
    </w:rPr>
  </w:style>
  <w:style w:type="paragraph" w:styleId="Textodecomentrio">
    <w:name w:val="annotation text"/>
    <w:basedOn w:val="Normal"/>
    <w:link w:val="TextodecomentrioChar"/>
    <w:uiPriority w:val="99"/>
    <w:semiHidden/>
    <w:unhideWhenUsed/>
    <w:rsid w:val="00EE395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E3951"/>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semiHidden/>
    <w:rsid w:val="00EE3951"/>
    <w:rPr>
      <w:rFonts w:ascii="Times New Roman" w:hAnsi="Times New Roman" w:cs="Times New Roman"/>
      <w:b/>
      <w:bCs/>
      <w:sz w:val="20"/>
      <w:szCs w:val="20"/>
    </w:rPr>
  </w:style>
  <w:style w:type="paragraph" w:styleId="Assuntodocomentrio">
    <w:name w:val="annotation subject"/>
    <w:basedOn w:val="Textodecomentrio"/>
    <w:next w:val="Textodecomentrio"/>
    <w:link w:val="AssuntodocomentrioChar"/>
    <w:uiPriority w:val="99"/>
    <w:semiHidden/>
    <w:unhideWhenUsed/>
    <w:rsid w:val="00EE3951"/>
    <w:rPr>
      <w:b/>
      <w:bCs/>
    </w:rPr>
  </w:style>
  <w:style w:type="paragraph" w:styleId="Textodebalo">
    <w:name w:val="Balloon Text"/>
    <w:basedOn w:val="Normal"/>
    <w:link w:val="TextodebaloChar"/>
    <w:uiPriority w:val="99"/>
    <w:semiHidden/>
    <w:unhideWhenUsed/>
    <w:rsid w:val="00EE395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E3951"/>
    <w:rPr>
      <w:rFonts w:ascii="Tahoma" w:hAnsi="Tahoma" w:cs="Tahoma"/>
      <w:sz w:val="16"/>
      <w:szCs w:val="16"/>
    </w:rPr>
  </w:style>
  <w:style w:type="paragraph" w:styleId="Textodenotaderodap">
    <w:name w:val="footnote text"/>
    <w:aliases w:val="Footnote Text Char,Footnote Text Char Char, Char Char Char Char,Char Char Char Char"/>
    <w:basedOn w:val="Normal"/>
    <w:link w:val="TextodenotaderodapChar"/>
    <w:uiPriority w:val="99"/>
    <w:unhideWhenUsed/>
    <w:rsid w:val="00EE3951"/>
    <w:pPr>
      <w:spacing w:line="240" w:lineRule="auto"/>
    </w:pPr>
    <w:rPr>
      <w:sz w:val="20"/>
      <w:szCs w:val="20"/>
    </w:rPr>
  </w:style>
  <w:style w:type="character" w:customStyle="1" w:styleId="TextodenotaderodapChar">
    <w:name w:val="Texto de nota de rodapé Char"/>
    <w:aliases w:val="Footnote Text Char Char1,Footnote Text Char Char Char, Char Char Char Char Char,Char Char Char Char Char"/>
    <w:basedOn w:val="Fontepargpadro"/>
    <w:link w:val="Textodenotaderodap"/>
    <w:uiPriority w:val="99"/>
    <w:rsid w:val="00EE3951"/>
    <w:rPr>
      <w:rFonts w:ascii="Times New Roman" w:hAnsi="Times New Roman" w:cs="Times New Roman"/>
      <w:sz w:val="20"/>
      <w:szCs w:val="20"/>
    </w:rPr>
  </w:style>
  <w:style w:type="character" w:styleId="Refdenotaderodap">
    <w:name w:val="footnote reference"/>
    <w:basedOn w:val="Fontepargpadro"/>
    <w:uiPriority w:val="99"/>
    <w:semiHidden/>
    <w:unhideWhenUsed/>
    <w:rsid w:val="00EE3951"/>
    <w:rPr>
      <w:vertAlign w:val="superscript"/>
    </w:rPr>
  </w:style>
  <w:style w:type="paragraph" w:styleId="Cabealho">
    <w:name w:val="header"/>
    <w:basedOn w:val="Normal"/>
    <w:link w:val="CabealhoChar"/>
    <w:uiPriority w:val="99"/>
    <w:semiHidden/>
    <w:unhideWhenUsed/>
    <w:rsid w:val="00216AE1"/>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216AE1"/>
    <w:rPr>
      <w:rFonts w:ascii="Times New Roman" w:hAnsi="Times New Roman" w:cs="Times New Roman"/>
      <w:sz w:val="24"/>
      <w:szCs w:val="24"/>
    </w:rPr>
  </w:style>
  <w:style w:type="paragraph" w:styleId="Rodap">
    <w:name w:val="footer"/>
    <w:basedOn w:val="Normal"/>
    <w:link w:val="RodapChar"/>
    <w:uiPriority w:val="99"/>
    <w:unhideWhenUsed/>
    <w:rsid w:val="00216AE1"/>
    <w:pPr>
      <w:tabs>
        <w:tab w:val="center" w:pos="4252"/>
        <w:tab w:val="right" w:pos="8504"/>
      </w:tabs>
      <w:spacing w:line="240" w:lineRule="auto"/>
    </w:pPr>
  </w:style>
  <w:style w:type="character" w:customStyle="1" w:styleId="RodapChar">
    <w:name w:val="Rodapé Char"/>
    <w:basedOn w:val="Fontepargpadro"/>
    <w:link w:val="Rodap"/>
    <w:uiPriority w:val="99"/>
    <w:rsid w:val="00216AE1"/>
    <w:rPr>
      <w:rFonts w:ascii="Times New Roman" w:hAnsi="Times New Roman" w:cs="Times New Roman"/>
      <w:sz w:val="24"/>
      <w:szCs w:val="24"/>
    </w:rPr>
  </w:style>
  <w:style w:type="character" w:styleId="Hyperlink">
    <w:name w:val="Hyperlink"/>
    <w:basedOn w:val="Fontepargpadro"/>
    <w:uiPriority w:val="99"/>
    <w:unhideWhenUsed/>
    <w:rsid w:val="0084553B"/>
    <w:rPr>
      <w:color w:val="0000FF"/>
      <w:u w:val="single"/>
    </w:rPr>
  </w:style>
  <w:style w:type="character" w:customStyle="1" w:styleId="apple-converted-space">
    <w:name w:val="apple-converted-space"/>
    <w:basedOn w:val="Fontepargpadro"/>
    <w:rsid w:val="0084553B"/>
  </w:style>
  <w:style w:type="paragraph" w:customStyle="1" w:styleId="Default">
    <w:name w:val="Default"/>
    <w:rsid w:val="009C14E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Bibl">
    <w:name w:val="ReferBibl"/>
    <w:basedOn w:val="Normal"/>
    <w:uiPriority w:val="99"/>
    <w:rsid w:val="00A83549"/>
    <w:pPr>
      <w:spacing w:after="120" w:line="240" w:lineRule="auto"/>
      <w:ind w:left="454" w:hanging="454"/>
      <w:jc w:val="left"/>
    </w:pPr>
    <w:rPr>
      <w:rFonts w:ascii="Calibri" w:eastAsia="Times New Roman" w:hAnsi="Calibri"/>
      <w:noProof/>
      <w:lang w:eastAsia="pt-BR"/>
    </w:rPr>
  </w:style>
  <w:style w:type="paragraph" w:styleId="NormalWeb">
    <w:name w:val="Normal (Web)"/>
    <w:basedOn w:val="Normal"/>
    <w:uiPriority w:val="99"/>
    <w:semiHidden/>
    <w:unhideWhenUsed/>
    <w:rsid w:val="009176E9"/>
    <w:pPr>
      <w:spacing w:before="100" w:beforeAutospacing="1" w:after="100" w:afterAutospacing="1" w:line="240" w:lineRule="auto"/>
      <w:jc w:val="left"/>
    </w:pPr>
    <w:rPr>
      <w:rFonts w:eastAsia="Times New Roman"/>
      <w:lang w:eastAsia="pt-BR"/>
    </w:rPr>
  </w:style>
  <w:style w:type="character" w:styleId="Forte">
    <w:name w:val="Strong"/>
    <w:basedOn w:val="Fontepargpadro"/>
    <w:uiPriority w:val="22"/>
    <w:qFormat/>
    <w:rsid w:val="003018E3"/>
    <w:rPr>
      <w:b/>
      <w:bCs/>
    </w:rPr>
  </w:style>
  <w:style w:type="paragraph" w:styleId="Reviso">
    <w:name w:val="Revision"/>
    <w:hidden/>
    <w:uiPriority w:val="99"/>
    <w:semiHidden/>
    <w:rsid w:val="0056719B"/>
    <w:pPr>
      <w:spacing w:after="0" w:line="240" w:lineRule="auto"/>
    </w:pPr>
    <w:rPr>
      <w:rFonts w:ascii="Times New Roman" w:hAnsi="Times New Roman" w:cs="Times New Roman"/>
      <w:sz w:val="24"/>
      <w:szCs w:val="24"/>
    </w:rPr>
  </w:style>
  <w:style w:type="table" w:styleId="Tabelacomgrade">
    <w:name w:val="Table Grid"/>
    <w:basedOn w:val="Tabelanormal"/>
    <w:uiPriority w:val="59"/>
    <w:rsid w:val="00055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3747">
      <w:bodyDiv w:val="1"/>
      <w:marLeft w:val="0"/>
      <w:marRight w:val="0"/>
      <w:marTop w:val="0"/>
      <w:marBottom w:val="0"/>
      <w:divBdr>
        <w:top w:val="none" w:sz="0" w:space="0" w:color="auto"/>
        <w:left w:val="none" w:sz="0" w:space="0" w:color="auto"/>
        <w:bottom w:val="none" w:sz="0" w:space="0" w:color="auto"/>
        <w:right w:val="none" w:sz="0" w:space="0" w:color="auto"/>
      </w:divBdr>
    </w:div>
    <w:div w:id="381055393">
      <w:bodyDiv w:val="1"/>
      <w:marLeft w:val="0"/>
      <w:marRight w:val="0"/>
      <w:marTop w:val="0"/>
      <w:marBottom w:val="0"/>
      <w:divBdr>
        <w:top w:val="none" w:sz="0" w:space="0" w:color="auto"/>
        <w:left w:val="none" w:sz="0" w:space="0" w:color="auto"/>
        <w:bottom w:val="none" w:sz="0" w:space="0" w:color="auto"/>
        <w:right w:val="none" w:sz="0" w:space="0" w:color="auto"/>
      </w:divBdr>
      <w:divsChild>
        <w:div w:id="1696467055">
          <w:marLeft w:val="0"/>
          <w:marRight w:val="0"/>
          <w:marTop w:val="375"/>
          <w:marBottom w:val="450"/>
          <w:divBdr>
            <w:top w:val="none" w:sz="0" w:space="0" w:color="auto"/>
            <w:left w:val="none" w:sz="0" w:space="0" w:color="auto"/>
            <w:bottom w:val="none" w:sz="0" w:space="0" w:color="auto"/>
            <w:right w:val="none" w:sz="0" w:space="0" w:color="auto"/>
          </w:divBdr>
          <w:divsChild>
            <w:div w:id="1175342108">
              <w:marLeft w:val="0"/>
              <w:marRight w:val="0"/>
              <w:marTop w:val="315"/>
              <w:marBottom w:val="0"/>
              <w:divBdr>
                <w:top w:val="none" w:sz="0" w:space="0" w:color="auto"/>
                <w:left w:val="none" w:sz="0" w:space="0" w:color="auto"/>
                <w:bottom w:val="none" w:sz="0" w:space="0" w:color="auto"/>
                <w:right w:val="none" w:sz="0" w:space="0" w:color="auto"/>
              </w:divBdr>
              <w:divsChild>
                <w:div w:id="1845244933">
                  <w:marLeft w:val="0"/>
                  <w:marRight w:val="0"/>
                  <w:marTop w:val="0"/>
                  <w:marBottom w:val="0"/>
                  <w:divBdr>
                    <w:top w:val="none" w:sz="0" w:space="0" w:color="auto"/>
                    <w:left w:val="none" w:sz="0" w:space="0" w:color="auto"/>
                    <w:bottom w:val="none" w:sz="0" w:space="0" w:color="auto"/>
                    <w:right w:val="none" w:sz="0" w:space="0" w:color="auto"/>
                  </w:divBdr>
                  <w:divsChild>
                    <w:div w:id="2390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00318">
      <w:bodyDiv w:val="1"/>
      <w:marLeft w:val="0"/>
      <w:marRight w:val="0"/>
      <w:marTop w:val="0"/>
      <w:marBottom w:val="0"/>
      <w:divBdr>
        <w:top w:val="none" w:sz="0" w:space="0" w:color="auto"/>
        <w:left w:val="none" w:sz="0" w:space="0" w:color="auto"/>
        <w:bottom w:val="none" w:sz="0" w:space="0" w:color="auto"/>
        <w:right w:val="none" w:sz="0" w:space="0" w:color="auto"/>
      </w:divBdr>
    </w:div>
    <w:div w:id="539321697">
      <w:bodyDiv w:val="1"/>
      <w:marLeft w:val="0"/>
      <w:marRight w:val="0"/>
      <w:marTop w:val="0"/>
      <w:marBottom w:val="0"/>
      <w:divBdr>
        <w:top w:val="none" w:sz="0" w:space="0" w:color="auto"/>
        <w:left w:val="none" w:sz="0" w:space="0" w:color="auto"/>
        <w:bottom w:val="none" w:sz="0" w:space="0" w:color="auto"/>
        <w:right w:val="none" w:sz="0" w:space="0" w:color="auto"/>
      </w:divBdr>
    </w:div>
    <w:div w:id="621157542">
      <w:bodyDiv w:val="1"/>
      <w:marLeft w:val="0"/>
      <w:marRight w:val="0"/>
      <w:marTop w:val="0"/>
      <w:marBottom w:val="0"/>
      <w:divBdr>
        <w:top w:val="none" w:sz="0" w:space="0" w:color="auto"/>
        <w:left w:val="none" w:sz="0" w:space="0" w:color="auto"/>
        <w:bottom w:val="none" w:sz="0" w:space="0" w:color="auto"/>
        <w:right w:val="none" w:sz="0" w:space="0" w:color="auto"/>
      </w:divBdr>
      <w:divsChild>
        <w:div w:id="1671525308">
          <w:marLeft w:val="0"/>
          <w:marRight w:val="0"/>
          <w:marTop w:val="375"/>
          <w:marBottom w:val="450"/>
          <w:divBdr>
            <w:top w:val="none" w:sz="0" w:space="0" w:color="auto"/>
            <w:left w:val="none" w:sz="0" w:space="0" w:color="auto"/>
            <w:bottom w:val="none" w:sz="0" w:space="0" w:color="auto"/>
            <w:right w:val="none" w:sz="0" w:space="0" w:color="auto"/>
          </w:divBdr>
          <w:divsChild>
            <w:div w:id="563880535">
              <w:marLeft w:val="0"/>
              <w:marRight w:val="0"/>
              <w:marTop w:val="315"/>
              <w:marBottom w:val="0"/>
              <w:divBdr>
                <w:top w:val="none" w:sz="0" w:space="0" w:color="auto"/>
                <w:left w:val="none" w:sz="0" w:space="0" w:color="auto"/>
                <w:bottom w:val="none" w:sz="0" w:space="0" w:color="auto"/>
                <w:right w:val="none" w:sz="0" w:space="0" w:color="auto"/>
              </w:divBdr>
              <w:divsChild>
                <w:div w:id="2016229678">
                  <w:marLeft w:val="0"/>
                  <w:marRight w:val="0"/>
                  <w:marTop w:val="0"/>
                  <w:marBottom w:val="0"/>
                  <w:divBdr>
                    <w:top w:val="none" w:sz="0" w:space="0" w:color="auto"/>
                    <w:left w:val="none" w:sz="0" w:space="0" w:color="auto"/>
                    <w:bottom w:val="none" w:sz="0" w:space="0" w:color="auto"/>
                    <w:right w:val="none" w:sz="0" w:space="0" w:color="auto"/>
                  </w:divBdr>
                  <w:divsChild>
                    <w:div w:id="994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2250">
      <w:bodyDiv w:val="1"/>
      <w:marLeft w:val="0"/>
      <w:marRight w:val="0"/>
      <w:marTop w:val="0"/>
      <w:marBottom w:val="0"/>
      <w:divBdr>
        <w:top w:val="none" w:sz="0" w:space="0" w:color="auto"/>
        <w:left w:val="none" w:sz="0" w:space="0" w:color="auto"/>
        <w:bottom w:val="none" w:sz="0" w:space="0" w:color="auto"/>
        <w:right w:val="none" w:sz="0" w:space="0" w:color="auto"/>
      </w:divBdr>
    </w:div>
    <w:div w:id="1387529857">
      <w:bodyDiv w:val="1"/>
      <w:marLeft w:val="0"/>
      <w:marRight w:val="0"/>
      <w:marTop w:val="0"/>
      <w:marBottom w:val="0"/>
      <w:divBdr>
        <w:top w:val="none" w:sz="0" w:space="0" w:color="auto"/>
        <w:left w:val="none" w:sz="0" w:space="0" w:color="auto"/>
        <w:bottom w:val="none" w:sz="0" w:space="0" w:color="auto"/>
        <w:right w:val="none" w:sz="0" w:space="0" w:color="auto"/>
      </w:divBdr>
    </w:div>
    <w:div w:id="1435130011">
      <w:bodyDiv w:val="1"/>
      <w:marLeft w:val="0"/>
      <w:marRight w:val="0"/>
      <w:marTop w:val="0"/>
      <w:marBottom w:val="0"/>
      <w:divBdr>
        <w:top w:val="none" w:sz="0" w:space="0" w:color="auto"/>
        <w:left w:val="none" w:sz="0" w:space="0" w:color="auto"/>
        <w:bottom w:val="none" w:sz="0" w:space="0" w:color="auto"/>
        <w:right w:val="none" w:sz="0" w:space="0" w:color="auto"/>
      </w:divBdr>
    </w:div>
    <w:div w:id="1763448552">
      <w:bodyDiv w:val="1"/>
      <w:marLeft w:val="0"/>
      <w:marRight w:val="0"/>
      <w:marTop w:val="0"/>
      <w:marBottom w:val="0"/>
      <w:divBdr>
        <w:top w:val="none" w:sz="0" w:space="0" w:color="auto"/>
        <w:left w:val="none" w:sz="0" w:space="0" w:color="auto"/>
        <w:bottom w:val="none" w:sz="0" w:space="0" w:color="auto"/>
        <w:right w:val="none" w:sz="0" w:space="0" w:color="auto"/>
      </w:divBdr>
    </w:div>
    <w:div w:id="1767580180">
      <w:bodyDiv w:val="1"/>
      <w:marLeft w:val="0"/>
      <w:marRight w:val="0"/>
      <w:marTop w:val="0"/>
      <w:marBottom w:val="0"/>
      <w:divBdr>
        <w:top w:val="none" w:sz="0" w:space="0" w:color="auto"/>
        <w:left w:val="none" w:sz="0" w:space="0" w:color="auto"/>
        <w:bottom w:val="none" w:sz="0" w:space="0" w:color="auto"/>
        <w:right w:val="none" w:sz="0" w:space="0" w:color="auto"/>
      </w:divBdr>
      <w:divsChild>
        <w:div w:id="876159288">
          <w:marLeft w:val="0"/>
          <w:marRight w:val="0"/>
          <w:marTop w:val="375"/>
          <w:marBottom w:val="450"/>
          <w:divBdr>
            <w:top w:val="none" w:sz="0" w:space="0" w:color="auto"/>
            <w:left w:val="none" w:sz="0" w:space="0" w:color="auto"/>
            <w:bottom w:val="none" w:sz="0" w:space="0" w:color="auto"/>
            <w:right w:val="none" w:sz="0" w:space="0" w:color="auto"/>
          </w:divBdr>
          <w:divsChild>
            <w:div w:id="964891013">
              <w:marLeft w:val="0"/>
              <w:marRight w:val="0"/>
              <w:marTop w:val="315"/>
              <w:marBottom w:val="0"/>
              <w:divBdr>
                <w:top w:val="none" w:sz="0" w:space="0" w:color="auto"/>
                <w:left w:val="none" w:sz="0" w:space="0" w:color="auto"/>
                <w:bottom w:val="none" w:sz="0" w:space="0" w:color="auto"/>
                <w:right w:val="none" w:sz="0" w:space="0" w:color="auto"/>
              </w:divBdr>
              <w:divsChild>
                <w:div w:id="971985453">
                  <w:marLeft w:val="0"/>
                  <w:marRight w:val="0"/>
                  <w:marTop w:val="0"/>
                  <w:marBottom w:val="0"/>
                  <w:divBdr>
                    <w:top w:val="none" w:sz="0" w:space="0" w:color="auto"/>
                    <w:left w:val="none" w:sz="0" w:space="0" w:color="auto"/>
                    <w:bottom w:val="none" w:sz="0" w:space="0" w:color="auto"/>
                    <w:right w:val="none" w:sz="0" w:space="0" w:color="auto"/>
                  </w:divBdr>
                  <w:divsChild>
                    <w:div w:id="8695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5144">
      <w:bodyDiv w:val="1"/>
      <w:marLeft w:val="0"/>
      <w:marRight w:val="0"/>
      <w:marTop w:val="0"/>
      <w:marBottom w:val="0"/>
      <w:divBdr>
        <w:top w:val="none" w:sz="0" w:space="0" w:color="auto"/>
        <w:left w:val="none" w:sz="0" w:space="0" w:color="auto"/>
        <w:bottom w:val="none" w:sz="0" w:space="0" w:color="auto"/>
        <w:right w:val="none" w:sz="0" w:space="0" w:color="auto"/>
      </w:divBdr>
    </w:div>
    <w:div w:id="2108378612">
      <w:bodyDiv w:val="1"/>
      <w:marLeft w:val="0"/>
      <w:marRight w:val="0"/>
      <w:marTop w:val="0"/>
      <w:marBottom w:val="0"/>
      <w:divBdr>
        <w:top w:val="none" w:sz="0" w:space="0" w:color="auto"/>
        <w:left w:val="none" w:sz="0" w:space="0" w:color="auto"/>
        <w:bottom w:val="none" w:sz="0" w:space="0" w:color="auto"/>
        <w:right w:val="none" w:sz="0" w:space="0" w:color="auto"/>
      </w:divBdr>
      <w:divsChild>
        <w:div w:id="2052534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www.diva-portal.org/smash/get/diva2:20573/FULLTEXT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Cliente\Academico\INOVA&#199;&#195;O\Inova&#231;&#227;o%20em%20servi&#231;os\An&#225;lise%20de%20Cluster\Base%20de%20dados%20-%20analise%20de%20cluster%20-%20categ&#243;rico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liente\Academico\INOVA&#199;&#195;O\Inova&#231;&#227;o%20em%20servi&#231;os\An&#225;lise%20de%20Cluster\Base%20de%20dados%20-%20analise%20de%20cluster%20-%20categ&#243;r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liente\Academico\INOVA&#199;&#195;O\Inova&#231;&#227;o%20em%20servi&#231;os\An&#225;lise%20de%20Cluster\Base%20de%20dados%20-%20analise%20de%20cluster%20-%20categ&#243;r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liente\Academico\INOVA&#199;&#195;O\Inova&#231;&#227;o%20em%20servi&#231;os\An&#225;lise%20de%20Cluster\Base%20de%20dados%20-%20analise%20de%20cluster%20-%20categ&#243;ricos.xlsx" TargetMode="Externa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787111077134774"/>
          <c:y val="0.11189331802274682"/>
          <c:w val="0.54080695443756299"/>
          <c:h val="0.79703302712160951"/>
        </c:manualLayout>
      </c:layout>
      <c:radarChart>
        <c:radarStyle val="marker"/>
        <c:varyColors val="0"/>
        <c:ser>
          <c:idx val="0"/>
          <c:order val="0"/>
          <c:tx>
            <c:strRef>
              <c:f>Motivo.Ward.4!$A$10</c:f>
              <c:strCache>
                <c:ptCount val="1"/>
                <c:pt idx="0">
                  <c:v>Grupo 1</c:v>
                </c:pt>
              </c:strCache>
            </c:strRef>
          </c:tx>
          <c:marker>
            <c:symbol val="none"/>
          </c:marker>
          <c:cat>
            <c:strRef>
              <c:f>Motivo.Ward.4!$C$9:$L$9</c:f>
              <c:strCache>
                <c:ptCount val="10"/>
                <c:pt idx="0">
                  <c:v>Transf. Tecn.</c:v>
                </c:pt>
                <c:pt idx="1">
                  <c:v>Conselho Tecn.</c:v>
                </c:pt>
                <c:pt idx="2">
                  <c:v>Elevar Capacidade de Absorção</c:v>
                </c:pt>
                <c:pt idx="3">
                  <c:v>Info. P&amp;D</c:v>
                </c:pt>
                <c:pt idx="4">
                  <c:v>Pesq. Complem.</c:v>
                </c:pt>
                <c:pt idx="5">
                  <c:v>Pesq. Emp. não faz</c:v>
                </c:pt>
                <c:pt idx="6">
                  <c:v>Contato estud.</c:v>
                </c:pt>
                <c:pt idx="7">
                  <c:v>Recurso univ.</c:v>
                </c:pt>
                <c:pt idx="8">
                  <c:v>Testes</c:v>
                </c:pt>
                <c:pt idx="9">
                  <c:v>Controle qual.</c:v>
                </c:pt>
              </c:strCache>
            </c:strRef>
          </c:cat>
          <c:val>
            <c:numRef>
              <c:f>Motivo.Ward.4!$C$10:$L$10</c:f>
              <c:numCache>
                <c:formatCode>General</c:formatCode>
                <c:ptCount val="10"/>
                <c:pt idx="0">
                  <c:v>0</c:v>
                </c:pt>
                <c:pt idx="1">
                  <c:v>0</c:v>
                </c:pt>
                <c:pt idx="2">
                  <c:v>15.384615384615385</c:v>
                </c:pt>
                <c:pt idx="3">
                  <c:v>30.76923076923077</c:v>
                </c:pt>
                <c:pt idx="4">
                  <c:v>30.76923076923077</c:v>
                </c:pt>
                <c:pt idx="5">
                  <c:v>30.76923076923077</c:v>
                </c:pt>
                <c:pt idx="6">
                  <c:v>46.15384615384589</c:v>
                </c:pt>
                <c:pt idx="7">
                  <c:v>23.076923076922998</c:v>
                </c:pt>
                <c:pt idx="8">
                  <c:v>23.076923076922998</c:v>
                </c:pt>
                <c:pt idx="9">
                  <c:v>0</c:v>
                </c:pt>
              </c:numCache>
            </c:numRef>
          </c:val>
          <c:extLst>
            <c:ext xmlns:c16="http://schemas.microsoft.com/office/drawing/2014/chart" uri="{C3380CC4-5D6E-409C-BE32-E72D297353CC}">
              <c16:uniqueId val="{00000000-49B7-4FE6-BEC0-FE7D7D4BDA17}"/>
            </c:ext>
          </c:extLst>
        </c:ser>
        <c:ser>
          <c:idx val="1"/>
          <c:order val="1"/>
          <c:tx>
            <c:strRef>
              <c:f>Motivo.Ward.4!$A$11</c:f>
              <c:strCache>
                <c:ptCount val="1"/>
                <c:pt idx="0">
                  <c:v>Grupo 2</c:v>
                </c:pt>
              </c:strCache>
            </c:strRef>
          </c:tx>
          <c:marker>
            <c:symbol val="none"/>
          </c:marker>
          <c:cat>
            <c:strRef>
              <c:f>Motivo.Ward.4!$C$9:$L$9</c:f>
              <c:strCache>
                <c:ptCount val="10"/>
                <c:pt idx="0">
                  <c:v>Transf. Tecn.</c:v>
                </c:pt>
                <c:pt idx="1">
                  <c:v>Conselho Tecn.</c:v>
                </c:pt>
                <c:pt idx="2">
                  <c:v>Elevar Capacidade de Absorção</c:v>
                </c:pt>
                <c:pt idx="3">
                  <c:v>Info. P&amp;D</c:v>
                </c:pt>
                <c:pt idx="4">
                  <c:v>Pesq. Complem.</c:v>
                </c:pt>
                <c:pt idx="5">
                  <c:v>Pesq. Emp. não faz</c:v>
                </c:pt>
                <c:pt idx="6">
                  <c:v>Contato estud.</c:v>
                </c:pt>
                <c:pt idx="7">
                  <c:v>Recurso univ.</c:v>
                </c:pt>
                <c:pt idx="8">
                  <c:v>Testes</c:v>
                </c:pt>
                <c:pt idx="9">
                  <c:v>Controle qual.</c:v>
                </c:pt>
              </c:strCache>
            </c:strRef>
          </c:cat>
          <c:val>
            <c:numRef>
              <c:f>Motivo.Ward.4!$C$11:$L$11</c:f>
              <c:numCache>
                <c:formatCode>General</c:formatCode>
                <c:ptCount val="10"/>
                <c:pt idx="0">
                  <c:v>56.25</c:v>
                </c:pt>
                <c:pt idx="1">
                  <c:v>56.25</c:v>
                </c:pt>
                <c:pt idx="2">
                  <c:v>43.75</c:v>
                </c:pt>
                <c:pt idx="3">
                  <c:v>31.25</c:v>
                </c:pt>
                <c:pt idx="4">
                  <c:v>12.5</c:v>
                </c:pt>
                <c:pt idx="5">
                  <c:v>12.5</c:v>
                </c:pt>
                <c:pt idx="6">
                  <c:v>25</c:v>
                </c:pt>
                <c:pt idx="7">
                  <c:v>0</c:v>
                </c:pt>
                <c:pt idx="8">
                  <c:v>0</c:v>
                </c:pt>
                <c:pt idx="9">
                  <c:v>0</c:v>
                </c:pt>
              </c:numCache>
            </c:numRef>
          </c:val>
          <c:extLst>
            <c:ext xmlns:c16="http://schemas.microsoft.com/office/drawing/2014/chart" uri="{C3380CC4-5D6E-409C-BE32-E72D297353CC}">
              <c16:uniqueId val="{00000001-49B7-4FE6-BEC0-FE7D7D4BDA17}"/>
            </c:ext>
          </c:extLst>
        </c:ser>
        <c:ser>
          <c:idx val="2"/>
          <c:order val="2"/>
          <c:tx>
            <c:strRef>
              <c:f>Motivo.Ward.4!$A$12</c:f>
              <c:strCache>
                <c:ptCount val="1"/>
                <c:pt idx="0">
                  <c:v>Grupo 3</c:v>
                </c:pt>
              </c:strCache>
            </c:strRef>
          </c:tx>
          <c:marker>
            <c:symbol val="none"/>
          </c:marker>
          <c:cat>
            <c:strRef>
              <c:f>Motivo.Ward.4!$C$9:$L$9</c:f>
              <c:strCache>
                <c:ptCount val="10"/>
                <c:pt idx="0">
                  <c:v>Transf. Tecn.</c:v>
                </c:pt>
                <c:pt idx="1">
                  <c:v>Conselho Tecn.</c:v>
                </c:pt>
                <c:pt idx="2">
                  <c:v>Elevar Capacidade de Absorção</c:v>
                </c:pt>
                <c:pt idx="3">
                  <c:v>Info. P&amp;D</c:v>
                </c:pt>
                <c:pt idx="4">
                  <c:v>Pesq. Complem.</c:v>
                </c:pt>
                <c:pt idx="5">
                  <c:v>Pesq. Emp. não faz</c:v>
                </c:pt>
                <c:pt idx="6">
                  <c:v>Contato estud.</c:v>
                </c:pt>
                <c:pt idx="7">
                  <c:v>Recurso univ.</c:v>
                </c:pt>
                <c:pt idx="8">
                  <c:v>Testes</c:v>
                </c:pt>
                <c:pt idx="9">
                  <c:v>Controle qual.</c:v>
                </c:pt>
              </c:strCache>
            </c:strRef>
          </c:cat>
          <c:val>
            <c:numRef>
              <c:f>Motivo.Ward.4!$C$12:$L$12</c:f>
              <c:numCache>
                <c:formatCode>General</c:formatCode>
                <c:ptCount val="10"/>
                <c:pt idx="0">
                  <c:v>88.888888888888417</c:v>
                </c:pt>
                <c:pt idx="1">
                  <c:v>44.444444444444194</c:v>
                </c:pt>
                <c:pt idx="2">
                  <c:v>77.777777777777658</c:v>
                </c:pt>
                <c:pt idx="3">
                  <c:v>77.777777777777658</c:v>
                </c:pt>
                <c:pt idx="4">
                  <c:v>77.777777777777658</c:v>
                </c:pt>
                <c:pt idx="5">
                  <c:v>66.666666666666671</c:v>
                </c:pt>
                <c:pt idx="6">
                  <c:v>66.666666666666671</c:v>
                </c:pt>
                <c:pt idx="7">
                  <c:v>66.666666666666671</c:v>
                </c:pt>
                <c:pt idx="8">
                  <c:v>44.444444444444194</c:v>
                </c:pt>
                <c:pt idx="9">
                  <c:v>22.222222222222111</c:v>
                </c:pt>
              </c:numCache>
            </c:numRef>
          </c:val>
          <c:extLst>
            <c:ext xmlns:c16="http://schemas.microsoft.com/office/drawing/2014/chart" uri="{C3380CC4-5D6E-409C-BE32-E72D297353CC}">
              <c16:uniqueId val="{00000002-49B7-4FE6-BEC0-FE7D7D4BDA17}"/>
            </c:ext>
          </c:extLst>
        </c:ser>
        <c:ser>
          <c:idx val="3"/>
          <c:order val="3"/>
          <c:tx>
            <c:strRef>
              <c:f>Motivo.Ward.4!$A$13</c:f>
              <c:strCache>
                <c:ptCount val="1"/>
                <c:pt idx="0">
                  <c:v>Grupo 4</c:v>
                </c:pt>
              </c:strCache>
            </c:strRef>
          </c:tx>
          <c:marker>
            <c:symbol val="none"/>
          </c:marker>
          <c:cat>
            <c:strRef>
              <c:f>Motivo.Ward.4!$C$9:$L$9</c:f>
              <c:strCache>
                <c:ptCount val="10"/>
                <c:pt idx="0">
                  <c:v>Transf. Tecn.</c:v>
                </c:pt>
                <c:pt idx="1">
                  <c:v>Conselho Tecn.</c:v>
                </c:pt>
                <c:pt idx="2">
                  <c:v>Elevar Capacidade de Absorção</c:v>
                </c:pt>
                <c:pt idx="3">
                  <c:v>Info. P&amp;D</c:v>
                </c:pt>
                <c:pt idx="4">
                  <c:v>Pesq. Complem.</c:v>
                </c:pt>
                <c:pt idx="5">
                  <c:v>Pesq. Emp. não faz</c:v>
                </c:pt>
                <c:pt idx="6">
                  <c:v>Contato estud.</c:v>
                </c:pt>
                <c:pt idx="7">
                  <c:v>Recurso univ.</c:v>
                </c:pt>
                <c:pt idx="8">
                  <c:v>Testes</c:v>
                </c:pt>
                <c:pt idx="9">
                  <c:v>Controle qual.</c:v>
                </c:pt>
              </c:strCache>
            </c:strRef>
          </c:cat>
          <c:val>
            <c:numRef>
              <c:f>Motivo.Ward.4!$C$13:$L$13</c:f>
              <c:numCache>
                <c:formatCode>General</c:formatCode>
                <c:ptCount val="10"/>
                <c:pt idx="0">
                  <c:v>10</c:v>
                </c:pt>
                <c:pt idx="1">
                  <c:v>10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3-49B7-4FE6-BEC0-FE7D7D4BDA17}"/>
            </c:ext>
          </c:extLst>
        </c:ser>
        <c:dLbls>
          <c:showLegendKey val="0"/>
          <c:showVal val="0"/>
          <c:showCatName val="0"/>
          <c:showSerName val="0"/>
          <c:showPercent val="0"/>
          <c:showBubbleSize val="0"/>
        </c:dLbls>
        <c:axId val="252185600"/>
        <c:axId val="252203776"/>
      </c:radarChart>
      <c:catAx>
        <c:axId val="252185600"/>
        <c:scaling>
          <c:orientation val="minMax"/>
        </c:scaling>
        <c:delete val="0"/>
        <c:axPos val="b"/>
        <c:majorGridlines/>
        <c:numFmt formatCode="General" sourceLinked="0"/>
        <c:majorTickMark val="none"/>
        <c:minorTickMark val="none"/>
        <c:tickLblPos val="nextTo"/>
        <c:spPr>
          <a:ln w="9525">
            <a:noFill/>
          </a:ln>
        </c:spPr>
        <c:txPr>
          <a:bodyPr/>
          <a:lstStyle/>
          <a:p>
            <a:pPr>
              <a:defRPr sz="900"/>
            </a:pPr>
            <a:endParaRPr lang="pt-BR"/>
          </a:p>
        </c:txPr>
        <c:crossAx val="252203776"/>
        <c:crosses val="autoZero"/>
        <c:auto val="1"/>
        <c:lblAlgn val="ctr"/>
        <c:lblOffset val="100"/>
        <c:noMultiLvlLbl val="0"/>
      </c:catAx>
      <c:valAx>
        <c:axId val="252203776"/>
        <c:scaling>
          <c:orientation val="minMax"/>
        </c:scaling>
        <c:delete val="0"/>
        <c:axPos val="l"/>
        <c:majorGridlines/>
        <c:numFmt formatCode="General" sourceLinked="1"/>
        <c:majorTickMark val="out"/>
        <c:minorTickMark val="none"/>
        <c:tickLblPos val="nextTo"/>
        <c:crossAx val="252185600"/>
        <c:crosses val="autoZero"/>
        <c:crossBetween val="between"/>
      </c:valAx>
    </c:plotArea>
    <c:legend>
      <c:legendPos val="r"/>
      <c:layout>
        <c:manualLayout>
          <c:xMode val="edge"/>
          <c:yMode val="edge"/>
          <c:x val="0.79634931070509385"/>
          <c:y val="0.70403587566708659"/>
          <c:w val="0.18034971842111971"/>
          <c:h val="0.26641750879727039"/>
        </c:manualLayout>
      </c:layout>
      <c:overlay val="0"/>
      <c:txPr>
        <a:bodyPr/>
        <a:lstStyle/>
        <a:p>
          <a:pPr>
            <a:defRPr sz="1000"/>
          </a:pPr>
          <a:endParaRPr lang="pt-BR"/>
        </a:p>
      </c:txPr>
    </c:legend>
    <c:plotVisOnly val="1"/>
    <c:dispBlanksAs val="gap"/>
    <c:showDLblsOverMax val="0"/>
  </c:chart>
  <c:spPr>
    <a:ln>
      <a:solidFill>
        <a:srgbClr val="4F81BD"/>
      </a:solidFill>
    </a:ln>
  </c:spPr>
  <c:txPr>
    <a:bodyPr/>
    <a:lstStyle/>
    <a:p>
      <a:pPr>
        <a:defRPr sz="1050">
          <a:latin typeface="Times New Roman" pitchFamily="18" charset="0"/>
          <a:cs typeface="Times New Roman" pitchFamily="18" charset="0"/>
        </a:defRPr>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939491260533391"/>
          <c:y val="0.10077676941813581"/>
          <c:w val="0.50955898416420742"/>
          <c:h val="0.75067606505518936"/>
        </c:manualLayout>
      </c:layout>
      <c:radarChart>
        <c:radarStyle val="marker"/>
        <c:varyColors val="0"/>
        <c:ser>
          <c:idx val="0"/>
          <c:order val="0"/>
          <c:tx>
            <c:strRef>
              <c:f>Inovação!$A$3</c:f>
              <c:strCache>
                <c:ptCount val="1"/>
                <c:pt idx="0">
                  <c:v>Grupo 1</c:v>
                </c:pt>
              </c:strCache>
            </c:strRef>
          </c:tx>
          <c:marker>
            <c:symbol val="none"/>
          </c:marker>
          <c:cat>
            <c:strRef>
              <c:f>Inovação!$C$2:$G$2</c:f>
              <c:strCache>
                <c:ptCount val="5"/>
                <c:pt idx="0">
                  <c:v>Sem inov.</c:v>
                </c:pt>
                <c:pt idx="1">
                  <c:v>Aperfeiçoar</c:v>
                </c:pt>
                <c:pt idx="2">
                  <c:v>Novo p/ empresa</c:v>
                </c:pt>
                <c:pt idx="3">
                  <c:v>Novo p/ país</c:v>
                </c:pt>
                <c:pt idx="4">
                  <c:v>Novo p/ mundo</c:v>
                </c:pt>
              </c:strCache>
            </c:strRef>
          </c:cat>
          <c:val>
            <c:numRef>
              <c:f>Inovação!$C$3:$G$3</c:f>
              <c:numCache>
                <c:formatCode>0.00</c:formatCode>
                <c:ptCount val="5"/>
                <c:pt idx="0">
                  <c:v>7.6923076923076925</c:v>
                </c:pt>
                <c:pt idx="1">
                  <c:v>61.53846153846154</c:v>
                </c:pt>
                <c:pt idx="2">
                  <c:v>46.15384615384589</c:v>
                </c:pt>
                <c:pt idx="3">
                  <c:v>38.461538461538446</c:v>
                </c:pt>
                <c:pt idx="4">
                  <c:v>15.384615384615385</c:v>
                </c:pt>
              </c:numCache>
            </c:numRef>
          </c:val>
          <c:extLst>
            <c:ext xmlns:c16="http://schemas.microsoft.com/office/drawing/2014/chart" uri="{C3380CC4-5D6E-409C-BE32-E72D297353CC}">
              <c16:uniqueId val="{00000000-25E7-4157-8355-14D8E2D1CDD3}"/>
            </c:ext>
          </c:extLst>
        </c:ser>
        <c:ser>
          <c:idx val="1"/>
          <c:order val="1"/>
          <c:tx>
            <c:strRef>
              <c:f>Inovação!$A$4</c:f>
              <c:strCache>
                <c:ptCount val="1"/>
                <c:pt idx="0">
                  <c:v>Grupo 2</c:v>
                </c:pt>
              </c:strCache>
            </c:strRef>
          </c:tx>
          <c:marker>
            <c:symbol val="none"/>
          </c:marker>
          <c:cat>
            <c:strRef>
              <c:f>Inovação!$C$2:$G$2</c:f>
              <c:strCache>
                <c:ptCount val="5"/>
                <c:pt idx="0">
                  <c:v>Sem inov.</c:v>
                </c:pt>
                <c:pt idx="1">
                  <c:v>Aperfeiçoar</c:v>
                </c:pt>
                <c:pt idx="2">
                  <c:v>Novo p/ empresa</c:v>
                </c:pt>
                <c:pt idx="3">
                  <c:v>Novo p/ país</c:v>
                </c:pt>
                <c:pt idx="4">
                  <c:v>Novo p/ mundo</c:v>
                </c:pt>
              </c:strCache>
            </c:strRef>
          </c:cat>
          <c:val>
            <c:numRef>
              <c:f>Inovação!$C$4:$G$4</c:f>
              <c:numCache>
                <c:formatCode>0.00</c:formatCode>
                <c:ptCount val="5"/>
                <c:pt idx="0">
                  <c:v>6.25</c:v>
                </c:pt>
                <c:pt idx="1">
                  <c:v>84.615384615384357</c:v>
                </c:pt>
                <c:pt idx="2">
                  <c:v>61.53846153846154</c:v>
                </c:pt>
                <c:pt idx="3">
                  <c:v>61.53846153846154</c:v>
                </c:pt>
                <c:pt idx="4">
                  <c:v>7.6923076923076925</c:v>
                </c:pt>
              </c:numCache>
            </c:numRef>
          </c:val>
          <c:extLst>
            <c:ext xmlns:c16="http://schemas.microsoft.com/office/drawing/2014/chart" uri="{C3380CC4-5D6E-409C-BE32-E72D297353CC}">
              <c16:uniqueId val="{00000001-25E7-4157-8355-14D8E2D1CDD3}"/>
            </c:ext>
          </c:extLst>
        </c:ser>
        <c:ser>
          <c:idx val="2"/>
          <c:order val="2"/>
          <c:tx>
            <c:strRef>
              <c:f>Inovação!$A$5</c:f>
              <c:strCache>
                <c:ptCount val="1"/>
                <c:pt idx="0">
                  <c:v>Grupo 3</c:v>
                </c:pt>
              </c:strCache>
            </c:strRef>
          </c:tx>
          <c:marker>
            <c:symbol val="none"/>
          </c:marker>
          <c:cat>
            <c:strRef>
              <c:f>Inovação!$C$2:$G$2</c:f>
              <c:strCache>
                <c:ptCount val="5"/>
                <c:pt idx="0">
                  <c:v>Sem inov.</c:v>
                </c:pt>
                <c:pt idx="1">
                  <c:v>Aperfeiçoar</c:v>
                </c:pt>
                <c:pt idx="2">
                  <c:v>Novo p/ empresa</c:v>
                </c:pt>
                <c:pt idx="3">
                  <c:v>Novo p/ país</c:v>
                </c:pt>
                <c:pt idx="4">
                  <c:v>Novo p/ mundo</c:v>
                </c:pt>
              </c:strCache>
            </c:strRef>
          </c:cat>
          <c:val>
            <c:numRef>
              <c:f>Inovação!$C$5:$G$5</c:f>
              <c:numCache>
                <c:formatCode>0.00</c:formatCode>
                <c:ptCount val="5"/>
                <c:pt idx="0">
                  <c:v>0</c:v>
                </c:pt>
                <c:pt idx="1">
                  <c:v>55.555555555555557</c:v>
                </c:pt>
                <c:pt idx="2">
                  <c:v>55.555555555555557</c:v>
                </c:pt>
                <c:pt idx="3">
                  <c:v>33.333333333333336</c:v>
                </c:pt>
                <c:pt idx="4">
                  <c:v>55.555555555555557</c:v>
                </c:pt>
              </c:numCache>
            </c:numRef>
          </c:val>
          <c:extLst>
            <c:ext xmlns:c16="http://schemas.microsoft.com/office/drawing/2014/chart" uri="{C3380CC4-5D6E-409C-BE32-E72D297353CC}">
              <c16:uniqueId val="{00000002-25E7-4157-8355-14D8E2D1CDD3}"/>
            </c:ext>
          </c:extLst>
        </c:ser>
        <c:ser>
          <c:idx val="3"/>
          <c:order val="3"/>
          <c:tx>
            <c:strRef>
              <c:f>Inovação!$A$6</c:f>
              <c:strCache>
                <c:ptCount val="1"/>
                <c:pt idx="0">
                  <c:v>Grupo 4</c:v>
                </c:pt>
              </c:strCache>
            </c:strRef>
          </c:tx>
          <c:marker>
            <c:symbol val="none"/>
          </c:marker>
          <c:cat>
            <c:strRef>
              <c:f>Inovação!$C$2:$G$2</c:f>
              <c:strCache>
                <c:ptCount val="5"/>
                <c:pt idx="0">
                  <c:v>Sem inov.</c:v>
                </c:pt>
                <c:pt idx="1">
                  <c:v>Aperfeiçoar</c:v>
                </c:pt>
                <c:pt idx="2">
                  <c:v>Novo p/ empresa</c:v>
                </c:pt>
                <c:pt idx="3">
                  <c:v>Novo p/ país</c:v>
                </c:pt>
                <c:pt idx="4">
                  <c:v>Novo p/ mundo</c:v>
                </c:pt>
              </c:strCache>
            </c:strRef>
          </c:cat>
          <c:val>
            <c:numRef>
              <c:f>Inovação!$C$6:$G$6</c:f>
              <c:numCache>
                <c:formatCode>0.00</c:formatCode>
                <c:ptCount val="5"/>
                <c:pt idx="0">
                  <c:v>20</c:v>
                </c:pt>
                <c:pt idx="1">
                  <c:v>70</c:v>
                </c:pt>
                <c:pt idx="2">
                  <c:v>60</c:v>
                </c:pt>
                <c:pt idx="3">
                  <c:v>30</c:v>
                </c:pt>
                <c:pt idx="4">
                  <c:v>0</c:v>
                </c:pt>
              </c:numCache>
            </c:numRef>
          </c:val>
          <c:extLst>
            <c:ext xmlns:c16="http://schemas.microsoft.com/office/drawing/2014/chart" uri="{C3380CC4-5D6E-409C-BE32-E72D297353CC}">
              <c16:uniqueId val="{00000003-25E7-4157-8355-14D8E2D1CDD3}"/>
            </c:ext>
          </c:extLst>
        </c:ser>
        <c:dLbls>
          <c:showLegendKey val="0"/>
          <c:showVal val="0"/>
          <c:showCatName val="0"/>
          <c:showSerName val="0"/>
          <c:showPercent val="0"/>
          <c:showBubbleSize val="0"/>
        </c:dLbls>
        <c:axId val="252215680"/>
        <c:axId val="252217216"/>
      </c:radarChart>
      <c:catAx>
        <c:axId val="252215680"/>
        <c:scaling>
          <c:orientation val="minMax"/>
        </c:scaling>
        <c:delete val="0"/>
        <c:axPos val="b"/>
        <c:majorGridlines/>
        <c:numFmt formatCode="General" sourceLinked="0"/>
        <c:majorTickMark val="none"/>
        <c:minorTickMark val="none"/>
        <c:tickLblPos val="nextTo"/>
        <c:spPr>
          <a:ln w="9525">
            <a:noFill/>
          </a:ln>
        </c:spPr>
        <c:txPr>
          <a:bodyPr/>
          <a:lstStyle/>
          <a:p>
            <a:pPr>
              <a:defRPr sz="1000"/>
            </a:pPr>
            <a:endParaRPr lang="pt-BR"/>
          </a:p>
        </c:txPr>
        <c:crossAx val="252217216"/>
        <c:crosses val="autoZero"/>
        <c:auto val="1"/>
        <c:lblAlgn val="ctr"/>
        <c:lblOffset val="100"/>
        <c:noMultiLvlLbl val="0"/>
      </c:catAx>
      <c:valAx>
        <c:axId val="252217216"/>
        <c:scaling>
          <c:orientation val="minMax"/>
        </c:scaling>
        <c:delete val="0"/>
        <c:axPos val="l"/>
        <c:majorGridlines/>
        <c:numFmt formatCode="0.00" sourceLinked="1"/>
        <c:majorTickMark val="out"/>
        <c:minorTickMark val="none"/>
        <c:tickLblPos val="nextTo"/>
        <c:crossAx val="252215680"/>
        <c:crosses val="autoZero"/>
        <c:crossBetween val="between"/>
      </c:valAx>
    </c:plotArea>
    <c:legend>
      <c:legendPos val="r"/>
      <c:layout>
        <c:manualLayout>
          <c:xMode val="edge"/>
          <c:yMode val="edge"/>
          <c:x val="0.17394283661493437"/>
          <c:y val="0.89505885472224933"/>
          <c:w val="0.66008684837346565"/>
          <c:h val="0.10269974000768255"/>
        </c:manualLayout>
      </c:layout>
      <c:overlay val="0"/>
      <c:txPr>
        <a:bodyPr/>
        <a:lstStyle/>
        <a:p>
          <a:pPr>
            <a:defRPr sz="1000"/>
          </a:pPr>
          <a:endParaRPr lang="pt-BR"/>
        </a:p>
      </c:txPr>
    </c:legend>
    <c:plotVisOnly val="1"/>
    <c:dispBlanksAs val="gap"/>
    <c:showDLblsOverMax val="0"/>
  </c:chart>
  <c:spPr>
    <a:ln>
      <a:solidFill>
        <a:schemeClr val="accent1"/>
      </a:solidFill>
    </a:ln>
  </c:spPr>
  <c:txPr>
    <a:bodyPr/>
    <a:lstStyle/>
    <a:p>
      <a:pPr>
        <a:defRPr sz="1100">
          <a:latin typeface="Times New Roman" pitchFamily="18" charset="0"/>
          <a:cs typeface="Times New Roman" pitchFamily="18" charset="0"/>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138068452361464"/>
          <c:y val="0.12560226611593309"/>
          <c:w val="0.5040550666583119"/>
          <c:h val="0.70923294818839722"/>
        </c:manualLayout>
      </c:layout>
      <c:radarChart>
        <c:radarStyle val="marker"/>
        <c:varyColors val="0"/>
        <c:ser>
          <c:idx val="0"/>
          <c:order val="0"/>
          <c:tx>
            <c:strRef>
              <c:f>Inovação!$I$3</c:f>
              <c:strCache>
                <c:ptCount val="1"/>
                <c:pt idx="0">
                  <c:v>Grupo 1</c:v>
                </c:pt>
              </c:strCache>
            </c:strRef>
          </c:tx>
          <c:marker>
            <c:symbol val="none"/>
          </c:marker>
          <c:cat>
            <c:strRef>
              <c:f>Inovação!$K$2:$O$2</c:f>
              <c:strCache>
                <c:ptCount val="5"/>
                <c:pt idx="0">
                  <c:v>Sem inov.</c:v>
                </c:pt>
                <c:pt idx="1">
                  <c:v>Aperfeiçoar</c:v>
                </c:pt>
                <c:pt idx="2">
                  <c:v>Novo p/ empresa</c:v>
                </c:pt>
                <c:pt idx="3">
                  <c:v>Novo p/ país</c:v>
                </c:pt>
                <c:pt idx="4">
                  <c:v>Novo p/ mundo</c:v>
                </c:pt>
              </c:strCache>
            </c:strRef>
          </c:cat>
          <c:val>
            <c:numRef>
              <c:f>Inovação!$K$3:$O$3</c:f>
              <c:numCache>
                <c:formatCode>0.00</c:formatCode>
                <c:ptCount val="5"/>
                <c:pt idx="0">
                  <c:v>15.384615384615385</c:v>
                </c:pt>
                <c:pt idx="1">
                  <c:v>53.846153846154024</c:v>
                </c:pt>
                <c:pt idx="2">
                  <c:v>38.461538461538446</c:v>
                </c:pt>
                <c:pt idx="3">
                  <c:v>23.076923076922998</c:v>
                </c:pt>
                <c:pt idx="4">
                  <c:v>15.384615384615385</c:v>
                </c:pt>
              </c:numCache>
            </c:numRef>
          </c:val>
          <c:extLst>
            <c:ext xmlns:c16="http://schemas.microsoft.com/office/drawing/2014/chart" uri="{C3380CC4-5D6E-409C-BE32-E72D297353CC}">
              <c16:uniqueId val="{00000000-E33A-4ABE-8C96-96FBEEAAA0D2}"/>
            </c:ext>
          </c:extLst>
        </c:ser>
        <c:ser>
          <c:idx val="1"/>
          <c:order val="1"/>
          <c:tx>
            <c:strRef>
              <c:f>Inovação!$I$4</c:f>
              <c:strCache>
                <c:ptCount val="1"/>
                <c:pt idx="0">
                  <c:v>Grupo 2</c:v>
                </c:pt>
              </c:strCache>
            </c:strRef>
          </c:tx>
          <c:marker>
            <c:symbol val="none"/>
          </c:marker>
          <c:cat>
            <c:strRef>
              <c:f>Inovação!$K$2:$O$2</c:f>
              <c:strCache>
                <c:ptCount val="5"/>
                <c:pt idx="0">
                  <c:v>Sem inov.</c:v>
                </c:pt>
                <c:pt idx="1">
                  <c:v>Aperfeiçoar</c:v>
                </c:pt>
                <c:pt idx="2">
                  <c:v>Novo p/ empresa</c:v>
                </c:pt>
                <c:pt idx="3">
                  <c:v>Novo p/ país</c:v>
                </c:pt>
                <c:pt idx="4">
                  <c:v>Novo p/ mundo</c:v>
                </c:pt>
              </c:strCache>
            </c:strRef>
          </c:cat>
          <c:val>
            <c:numRef>
              <c:f>Inovação!$K$4:$O$4</c:f>
              <c:numCache>
                <c:formatCode>0.00</c:formatCode>
                <c:ptCount val="5"/>
                <c:pt idx="0">
                  <c:v>6.25</c:v>
                </c:pt>
                <c:pt idx="1">
                  <c:v>68.75</c:v>
                </c:pt>
                <c:pt idx="2">
                  <c:v>31.25</c:v>
                </c:pt>
                <c:pt idx="3">
                  <c:v>18.75</c:v>
                </c:pt>
                <c:pt idx="4">
                  <c:v>0</c:v>
                </c:pt>
              </c:numCache>
            </c:numRef>
          </c:val>
          <c:extLst>
            <c:ext xmlns:c16="http://schemas.microsoft.com/office/drawing/2014/chart" uri="{C3380CC4-5D6E-409C-BE32-E72D297353CC}">
              <c16:uniqueId val="{00000001-E33A-4ABE-8C96-96FBEEAAA0D2}"/>
            </c:ext>
          </c:extLst>
        </c:ser>
        <c:ser>
          <c:idx val="2"/>
          <c:order val="2"/>
          <c:tx>
            <c:strRef>
              <c:f>Inovação!$I$5</c:f>
              <c:strCache>
                <c:ptCount val="1"/>
                <c:pt idx="0">
                  <c:v>Grupo 3</c:v>
                </c:pt>
              </c:strCache>
            </c:strRef>
          </c:tx>
          <c:marker>
            <c:symbol val="none"/>
          </c:marker>
          <c:cat>
            <c:strRef>
              <c:f>Inovação!$K$2:$O$2</c:f>
              <c:strCache>
                <c:ptCount val="5"/>
                <c:pt idx="0">
                  <c:v>Sem inov.</c:v>
                </c:pt>
                <c:pt idx="1">
                  <c:v>Aperfeiçoar</c:v>
                </c:pt>
                <c:pt idx="2">
                  <c:v>Novo p/ empresa</c:v>
                </c:pt>
                <c:pt idx="3">
                  <c:v>Novo p/ país</c:v>
                </c:pt>
                <c:pt idx="4">
                  <c:v>Novo p/ mundo</c:v>
                </c:pt>
              </c:strCache>
            </c:strRef>
          </c:cat>
          <c:val>
            <c:numRef>
              <c:f>Inovação!$K$5:$O$5</c:f>
              <c:numCache>
                <c:formatCode>0.00</c:formatCode>
                <c:ptCount val="5"/>
                <c:pt idx="0">
                  <c:v>22.222222222222111</c:v>
                </c:pt>
                <c:pt idx="1">
                  <c:v>66.666666666666671</c:v>
                </c:pt>
                <c:pt idx="2">
                  <c:v>33.333333333333336</c:v>
                </c:pt>
                <c:pt idx="3">
                  <c:v>11.111111111111061</c:v>
                </c:pt>
                <c:pt idx="4">
                  <c:v>33.333333333333336</c:v>
                </c:pt>
              </c:numCache>
            </c:numRef>
          </c:val>
          <c:extLst>
            <c:ext xmlns:c16="http://schemas.microsoft.com/office/drawing/2014/chart" uri="{C3380CC4-5D6E-409C-BE32-E72D297353CC}">
              <c16:uniqueId val="{00000002-E33A-4ABE-8C96-96FBEEAAA0D2}"/>
            </c:ext>
          </c:extLst>
        </c:ser>
        <c:ser>
          <c:idx val="3"/>
          <c:order val="3"/>
          <c:tx>
            <c:strRef>
              <c:f>Inovação!$I$6</c:f>
              <c:strCache>
                <c:ptCount val="1"/>
                <c:pt idx="0">
                  <c:v>Grupo 4</c:v>
                </c:pt>
              </c:strCache>
            </c:strRef>
          </c:tx>
          <c:marker>
            <c:symbol val="none"/>
          </c:marker>
          <c:cat>
            <c:strRef>
              <c:f>Inovação!$K$2:$O$2</c:f>
              <c:strCache>
                <c:ptCount val="5"/>
                <c:pt idx="0">
                  <c:v>Sem inov.</c:v>
                </c:pt>
                <c:pt idx="1">
                  <c:v>Aperfeiçoar</c:v>
                </c:pt>
                <c:pt idx="2">
                  <c:v>Novo p/ empresa</c:v>
                </c:pt>
                <c:pt idx="3">
                  <c:v>Novo p/ país</c:v>
                </c:pt>
                <c:pt idx="4">
                  <c:v>Novo p/ mundo</c:v>
                </c:pt>
              </c:strCache>
            </c:strRef>
          </c:cat>
          <c:val>
            <c:numRef>
              <c:f>Inovação!$K$6:$O$6</c:f>
              <c:numCache>
                <c:formatCode>0.00</c:formatCode>
                <c:ptCount val="5"/>
                <c:pt idx="0">
                  <c:v>20</c:v>
                </c:pt>
                <c:pt idx="1">
                  <c:v>80</c:v>
                </c:pt>
                <c:pt idx="2">
                  <c:v>60</c:v>
                </c:pt>
                <c:pt idx="3">
                  <c:v>0</c:v>
                </c:pt>
                <c:pt idx="4">
                  <c:v>0</c:v>
                </c:pt>
              </c:numCache>
            </c:numRef>
          </c:val>
          <c:extLst>
            <c:ext xmlns:c16="http://schemas.microsoft.com/office/drawing/2014/chart" uri="{C3380CC4-5D6E-409C-BE32-E72D297353CC}">
              <c16:uniqueId val="{00000003-E33A-4ABE-8C96-96FBEEAAA0D2}"/>
            </c:ext>
          </c:extLst>
        </c:ser>
        <c:dLbls>
          <c:showLegendKey val="0"/>
          <c:showVal val="0"/>
          <c:showCatName val="0"/>
          <c:showSerName val="0"/>
          <c:showPercent val="0"/>
          <c:showBubbleSize val="0"/>
        </c:dLbls>
        <c:axId val="252237312"/>
        <c:axId val="252238848"/>
      </c:radarChart>
      <c:catAx>
        <c:axId val="252237312"/>
        <c:scaling>
          <c:orientation val="minMax"/>
        </c:scaling>
        <c:delete val="0"/>
        <c:axPos val="b"/>
        <c:majorGridlines/>
        <c:numFmt formatCode="General" sourceLinked="0"/>
        <c:majorTickMark val="none"/>
        <c:minorTickMark val="none"/>
        <c:tickLblPos val="nextTo"/>
        <c:spPr>
          <a:ln w="9525">
            <a:noFill/>
          </a:ln>
        </c:spPr>
        <c:txPr>
          <a:bodyPr/>
          <a:lstStyle/>
          <a:p>
            <a:pPr>
              <a:defRPr sz="1000"/>
            </a:pPr>
            <a:endParaRPr lang="pt-BR"/>
          </a:p>
        </c:txPr>
        <c:crossAx val="252238848"/>
        <c:crosses val="autoZero"/>
        <c:auto val="1"/>
        <c:lblAlgn val="ctr"/>
        <c:lblOffset val="100"/>
        <c:noMultiLvlLbl val="0"/>
      </c:catAx>
      <c:valAx>
        <c:axId val="252238848"/>
        <c:scaling>
          <c:orientation val="minMax"/>
        </c:scaling>
        <c:delete val="0"/>
        <c:axPos val="l"/>
        <c:majorGridlines/>
        <c:numFmt formatCode="0.00" sourceLinked="1"/>
        <c:majorTickMark val="none"/>
        <c:minorTickMark val="none"/>
        <c:tickLblPos val="nextTo"/>
        <c:crossAx val="252237312"/>
        <c:crosses val="autoZero"/>
        <c:crossBetween val="between"/>
      </c:valAx>
    </c:plotArea>
    <c:legend>
      <c:legendPos val="r"/>
      <c:layout>
        <c:manualLayout>
          <c:xMode val="edge"/>
          <c:yMode val="edge"/>
          <c:x val="0.1087394770888432"/>
          <c:y val="0.86264072112279966"/>
          <c:w val="0.78155577427821532"/>
          <c:h val="0.11278594409605709"/>
        </c:manualLayout>
      </c:layout>
      <c:overlay val="0"/>
      <c:txPr>
        <a:bodyPr/>
        <a:lstStyle/>
        <a:p>
          <a:pPr>
            <a:defRPr sz="1000"/>
          </a:pPr>
          <a:endParaRPr lang="pt-BR"/>
        </a:p>
      </c:txPr>
    </c:legend>
    <c:plotVisOnly val="1"/>
    <c:dispBlanksAs val="gap"/>
    <c:showDLblsOverMax val="0"/>
  </c:chart>
  <c:spPr>
    <a:ln>
      <a:solidFill>
        <a:srgbClr val="4F81BD"/>
      </a:solidFill>
    </a:ln>
  </c:spPr>
  <c:txPr>
    <a:bodyPr/>
    <a:lstStyle/>
    <a:p>
      <a:pPr>
        <a:defRPr sz="1100">
          <a:latin typeface="Times New Roman" pitchFamily="18" charset="0"/>
          <a:cs typeface="Times New Roman" pitchFamily="18" charset="0"/>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10471603853224"/>
          <c:y val="0.10095916837611056"/>
          <c:w val="0.55394016938246438"/>
          <c:h val="0.69990530503293158"/>
        </c:manualLayout>
      </c:layout>
      <c:radarChart>
        <c:radarStyle val="marker"/>
        <c:varyColors val="0"/>
        <c:ser>
          <c:idx val="0"/>
          <c:order val="0"/>
          <c:tx>
            <c:strRef>
              <c:f>'Fonte de informação'!$A$17</c:f>
              <c:strCache>
                <c:ptCount val="1"/>
                <c:pt idx="0">
                  <c:v>Grupo 1</c:v>
                </c:pt>
              </c:strCache>
            </c:strRef>
          </c:tx>
          <c:marker>
            <c:symbol val="none"/>
          </c:marker>
          <c:cat>
            <c:strRef>
              <c:f>'Fonte de informação'!$C$16:$O$16</c:f>
              <c:strCache>
                <c:ptCount val="13"/>
                <c:pt idx="0">
                  <c:v>Linha prod</c:v>
                </c:pt>
                <c:pt idx="1">
                  <c:v>Outra Empr.</c:v>
                </c:pt>
                <c:pt idx="2">
                  <c:v>Fornec.</c:v>
                </c:pt>
                <c:pt idx="3">
                  <c:v>Cliente</c:v>
                </c:pt>
                <c:pt idx="4">
                  <c:v>Univ.</c:v>
                </c:pt>
                <c:pt idx="5">
                  <c:v>IP</c:v>
                </c:pt>
                <c:pt idx="6">
                  <c:v>Concorrente</c:v>
                </c:pt>
                <c:pt idx="7">
                  <c:v>Coop.</c:v>
                </c:pt>
                <c:pt idx="8">
                  <c:v>Consult/Contrat. P&amp;D</c:v>
                </c:pt>
                <c:pt idx="9">
                  <c:v>Feira</c:v>
                </c:pt>
                <c:pt idx="10">
                  <c:v>Publicação</c:v>
                </c:pt>
                <c:pt idx="11">
                  <c:v>Net</c:v>
                </c:pt>
                <c:pt idx="12">
                  <c:v>Conhec. local</c:v>
                </c:pt>
              </c:strCache>
            </c:strRef>
          </c:cat>
          <c:val>
            <c:numRef>
              <c:f>'Fonte de informação'!$C$17:$O$17</c:f>
              <c:numCache>
                <c:formatCode>General</c:formatCode>
                <c:ptCount val="13"/>
                <c:pt idx="0">
                  <c:v>69.230769230769212</c:v>
                </c:pt>
                <c:pt idx="1">
                  <c:v>30.76923076923077</c:v>
                </c:pt>
                <c:pt idx="2">
                  <c:v>30.76923076923077</c:v>
                </c:pt>
                <c:pt idx="3">
                  <c:v>76.923076923076849</c:v>
                </c:pt>
                <c:pt idx="4">
                  <c:v>76.923076923076849</c:v>
                </c:pt>
                <c:pt idx="5">
                  <c:v>69.230769230769212</c:v>
                </c:pt>
                <c:pt idx="6">
                  <c:v>46.15384615384589</c:v>
                </c:pt>
                <c:pt idx="7">
                  <c:v>30.76923076923077</c:v>
                </c:pt>
                <c:pt idx="8">
                  <c:v>15.384615384615385</c:v>
                </c:pt>
                <c:pt idx="9">
                  <c:v>61.53846153846154</c:v>
                </c:pt>
                <c:pt idx="10">
                  <c:v>76.923076923076849</c:v>
                </c:pt>
                <c:pt idx="11">
                  <c:v>69.230769230769212</c:v>
                </c:pt>
                <c:pt idx="12">
                  <c:v>30.76923076923077</c:v>
                </c:pt>
              </c:numCache>
            </c:numRef>
          </c:val>
          <c:extLst>
            <c:ext xmlns:c16="http://schemas.microsoft.com/office/drawing/2014/chart" uri="{C3380CC4-5D6E-409C-BE32-E72D297353CC}">
              <c16:uniqueId val="{00000000-0B9A-46B2-A52D-1E82CA7E5950}"/>
            </c:ext>
          </c:extLst>
        </c:ser>
        <c:ser>
          <c:idx val="1"/>
          <c:order val="1"/>
          <c:tx>
            <c:strRef>
              <c:f>'Fonte de informação'!$A$18</c:f>
              <c:strCache>
                <c:ptCount val="1"/>
                <c:pt idx="0">
                  <c:v>Grupo 2</c:v>
                </c:pt>
              </c:strCache>
            </c:strRef>
          </c:tx>
          <c:marker>
            <c:symbol val="none"/>
          </c:marker>
          <c:cat>
            <c:strRef>
              <c:f>'Fonte de informação'!$C$16:$O$16</c:f>
              <c:strCache>
                <c:ptCount val="13"/>
                <c:pt idx="0">
                  <c:v>Linha prod</c:v>
                </c:pt>
                <c:pt idx="1">
                  <c:v>Outra Empr.</c:v>
                </c:pt>
                <c:pt idx="2">
                  <c:v>Fornec.</c:v>
                </c:pt>
                <c:pt idx="3">
                  <c:v>Cliente</c:v>
                </c:pt>
                <c:pt idx="4">
                  <c:v>Univ.</c:v>
                </c:pt>
                <c:pt idx="5">
                  <c:v>IP</c:v>
                </c:pt>
                <c:pt idx="6">
                  <c:v>Concorrente</c:v>
                </c:pt>
                <c:pt idx="7">
                  <c:v>Coop.</c:v>
                </c:pt>
                <c:pt idx="8">
                  <c:v>Consult/Contrat. P&amp;D</c:v>
                </c:pt>
                <c:pt idx="9">
                  <c:v>Feira</c:v>
                </c:pt>
                <c:pt idx="10">
                  <c:v>Publicação</c:v>
                </c:pt>
                <c:pt idx="11">
                  <c:v>Net</c:v>
                </c:pt>
                <c:pt idx="12">
                  <c:v>Conhec. local</c:v>
                </c:pt>
              </c:strCache>
            </c:strRef>
          </c:cat>
          <c:val>
            <c:numRef>
              <c:f>'Fonte de informação'!$C$18:$O$18</c:f>
              <c:numCache>
                <c:formatCode>General</c:formatCode>
                <c:ptCount val="13"/>
                <c:pt idx="0">
                  <c:v>75</c:v>
                </c:pt>
                <c:pt idx="1">
                  <c:v>68.75</c:v>
                </c:pt>
                <c:pt idx="2">
                  <c:v>31.25</c:v>
                </c:pt>
                <c:pt idx="3">
                  <c:v>81.25</c:v>
                </c:pt>
                <c:pt idx="4">
                  <c:v>87.5</c:v>
                </c:pt>
                <c:pt idx="5">
                  <c:v>43.75</c:v>
                </c:pt>
                <c:pt idx="6">
                  <c:v>43.75</c:v>
                </c:pt>
                <c:pt idx="7">
                  <c:v>37.5</c:v>
                </c:pt>
                <c:pt idx="8">
                  <c:v>18.75</c:v>
                </c:pt>
                <c:pt idx="9">
                  <c:v>68.75</c:v>
                </c:pt>
                <c:pt idx="10">
                  <c:v>50</c:v>
                </c:pt>
                <c:pt idx="11">
                  <c:v>56.25</c:v>
                </c:pt>
                <c:pt idx="12">
                  <c:v>50</c:v>
                </c:pt>
              </c:numCache>
            </c:numRef>
          </c:val>
          <c:extLst>
            <c:ext xmlns:c16="http://schemas.microsoft.com/office/drawing/2014/chart" uri="{C3380CC4-5D6E-409C-BE32-E72D297353CC}">
              <c16:uniqueId val="{00000001-0B9A-46B2-A52D-1E82CA7E5950}"/>
            </c:ext>
          </c:extLst>
        </c:ser>
        <c:ser>
          <c:idx val="2"/>
          <c:order val="2"/>
          <c:tx>
            <c:strRef>
              <c:f>'Fonte de informação'!$A$19</c:f>
              <c:strCache>
                <c:ptCount val="1"/>
                <c:pt idx="0">
                  <c:v>Grupo 3</c:v>
                </c:pt>
              </c:strCache>
            </c:strRef>
          </c:tx>
          <c:marker>
            <c:symbol val="none"/>
          </c:marker>
          <c:cat>
            <c:strRef>
              <c:f>'Fonte de informação'!$C$16:$O$16</c:f>
              <c:strCache>
                <c:ptCount val="13"/>
                <c:pt idx="0">
                  <c:v>Linha prod</c:v>
                </c:pt>
                <c:pt idx="1">
                  <c:v>Outra Empr.</c:v>
                </c:pt>
                <c:pt idx="2">
                  <c:v>Fornec.</c:v>
                </c:pt>
                <c:pt idx="3">
                  <c:v>Cliente</c:v>
                </c:pt>
                <c:pt idx="4">
                  <c:v>Univ.</c:v>
                </c:pt>
                <c:pt idx="5">
                  <c:v>IP</c:v>
                </c:pt>
                <c:pt idx="6">
                  <c:v>Concorrente</c:v>
                </c:pt>
                <c:pt idx="7">
                  <c:v>Coop.</c:v>
                </c:pt>
                <c:pt idx="8">
                  <c:v>Consult/Contrat. P&amp;D</c:v>
                </c:pt>
                <c:pt idx="9">
                  <c:v>Feira</c:v>
                </c:pt>
                <c:pt idx="10">
                  <c:v>Publicação</c:v>
                </c:pt>
                <c:pt idx="11">
                  <c:v>Net</c:v>
                </c:pt>
                <c:pt idx="12">
                  <c:v>Conhec. local</c:v>
                </c:pt>
              </c:strCache>
            </c:strRef>
          </c:cat>
          <c:val>
            <c:numRef>
              <c:f>'Fonte de informação'!$C$19:$O$19</c:f>
              <c:numCache>
                <c:formatCode>General</c:formatCode>
                <c:ptCount val="13"/>
                <c:pt idx="0">
                  <c:v>100</c:v>
                </c:pt>
                <c:pt idx="1">
                  <c:v>66.666666666666671</c:v>
                </c:pt>
                <c:pt idx="2">
                  <c:v>44.444444444444194</c:v>
                </c:pt>
                <c:pt idx="3">
                  <c:v>88.888888888888417</c:v>
                </c:pt>
                <c:pt idx="4">
                  <c:v>100</c:v>
                </c:pt>
                <c:pt idx="5">
                  <c:v>77.777777777777658</c:v>
                </c:pt>
                <c:pt idx="6">
                  <c:v>44.444444444444194</c:v>
                </c:pt>
                <c:pt idx="7">
                  <c:v>66.666666666666671</c:v>
                </c:pt>
                <c:pt idx="8">
                  <c:v>55.555555555555557</c:v>
                </c:pt>
                <c:pt idx="9">
                  <c:v>66.666666666666671</c:v>
                </c:pt>
                <c:pt idx="10">
                  <c:v>77.777777777777658</c:v>
                </c:pt>
                <c:pt idx="11">
                  <c:v>88.888888888888417</c:v>
                </c:pt>
                <c:pt idx="12">
                  <c:v>66.666666666666671</c:v>
                </c:pt>
              </c:numCache>
            </c:numRef>
          </c:val>
          <c:extLst>
            <c:ext xmlns:c16="http://schemas.microsoft.com/office/drawing/2014/chart" uri="{C3380CC4-5D6E-409C-BE32-E72D297353CC}">
              <c16:uniqueId val="{00000002-0B9A-46B2-A52D-1E82CA7E5950}"/>
            </c:ext>
          </c:extLst>
        </c:ser>
        <c:ser>
          <c:idx val="3"/>
          <c:order val="3"/>
          <c:tx>
            <c:strRef>
              <c:f>'Fonte de informação'!$A$20</c:f>
              <c:strCache>
                <c:ptCount val="1"/>
                <c:pt idx="0">
                  <c:v>Grupo 4</c:v>
                </c:pt>
              </c:strCache>
            </c:strRef>
          </c:tx>
          <c:marker>
            <c:symbol val="none"/>
          </c:marker>
          <c:cat>
            <c:strRef>
              <c:f>'Fonte de informação'!$C$16:$O$16</c:f>
              <c:strCache>
                <c:ptCount val="13"/>
                <c:pt idx="0">
                  <c:v>Linha prod</c:v>
                </c:pt>
                <c:pt idx="1">
                  <c:v>Outra Empr.</c:v>
                </c:pt>
                <c:pt idx="2">
                  <c:v>Fornec.</c:v>
                </c:pt>
                <c:pt idx="3">
                  <c:v>Cliente</c:v>
                </c:pt>
                <c:pt idx="4">
                  <c:v>Univ.</c:v>
                </c:pt>
                <c:pt idx="5">
                  <c:v>IP</c:v>
                </c:pt>
                <c:pt idx="6">
                  <c:v>Concorrente</c:v>
                </c:pt>
                <c:pt idx="7">
                  <c:v>Coop.</c:v>
                </c:pt>
                <c:pt idx="8">
                  <c:v>Consult/Contrat. P&amp;D</c:v>
                </c:pt>
                <c:pt idx="9">
                  <c:v>Feira</c:v>
                </c:pt>
                <c:pt idx="10">
                  <c:v>Publicação</c:v>
                </c:pt>
                <c:pt idx="11">
                  <c:v>Net</c:v>
                </c:pt>
                <c:pt idx="12">
                  <c:v>Conhec. local</c:v>
                </c:pt>
              </c:strCache>
            </c:strRef>
          </c:cat>
          <c:val>
            <c:numRef>
              <c:f>'Fonte de informação'!$C$20:$O$20</c:f>
              <c:numCache>
                <c:formatCode>General</c:formatCode>
                <c:ptCount val="13"/>
                <c:pt idx="0">
                  <c:v>70</c:v>
                </c:pt>
                <c:pt idx="1">
                  <c:v>70</c:v>
                </c:pt>
                <c:pt idx="2">
                  <c:v>40</c:v>
                </c:pt>
                <c:pt idx="3">
                  <c:v>60</c:v>
                </c:pt>
                <c:pt idx="4">
                  <c:v>30</c:v>
                </c:pt>
                <c:pt idx="5">
                  <c:v>30</c:v>
                </c:pt>
                <c:pt idx="6">
                  <c:v>60</c:v>
                </c:pt>
                <c:pt idx="7">
                  <c:v>10</c:v>
                </c:pt>
                <c:pt idx="8">
                  <c:v>30</c:v>
                </c:pt>
                <c:pt idx="9">
                  <c:v>60</c:v>
                </c:pt>
                <c:pt idx="10">
                  <c:v>40</c:v>
                </c:pt>
                <c:pt idx="11">
                  <c:v>60</c:v>
                </c:pt>
                <c:pt idx="12">
                  <c:v>50</c:v>
                </c:pt>
              </c:numCache>
            </c:numRef>
          </c:val>
          <c:extLst>
            <c:ext xmlns:c16="http://schemas.microsoft.com/office/drawing/2014/chart" uri="{C3380CC4-5D6E-409C-BE32-E72D297353CC}">
              <c16:uniqueId val="{00000003-0B9A-46B2-A52D-1E82CA7E5950}"/>
            </c:ext>
          </c:extLst>
        </c:ser>
        <c:dLbls>
          <c:showLegendKey val="0"/>
          <c:showVal val="0"/>
          <c:showCatName val="0"/>
          <c:showSerName val="0"/>
          <c:showPercent val="0"/>
          <c:showBubbleSize val="0"/>
        </c:dLbls>
        <c:axId val="252283520"/>
        <c:axId val="252445056"/>
      </c:radarChart>
      <c:catAx>
        <c:axId val="252283520"/>
        <c:scaling>
          <c:orientation val="minMax"/>
        </c:scaling>
        <c:delete val="0"/>
        <c:axPos val="b"/>
        <c:majorGridlines/>
        <c:numFmt formatCode="General" sourceLinked="0"/>
        <c:majorTickMark val="out"/>
        <c:minorTickMark val="none"/>
        <c:tickLblPos val="nextTo"/>
        <c:txPr>
          <a:bodyPr/>
          <a:lstStyle/>
          <a:p>
            <a:pPr>
              <a:defRPr sz="1000"/>
            </a:pPr>
            <a:endParaRPr lang="pt-BR"/>
          </a:p>
        </c:txPr>
        <c:crossAx val="252445056"/>
        <c:crosses val="autoZero"/>
        <c:auto val="1"/>
        <c:lblAlgn val="ctr"/>
        <c:lblOffset val="100"/>
        <c:noMultiLvlLbl val="0"/>
      </c:catAx>
      <c:valAx>
        <c:axId val="252445056"/>
        <c:scaling>
          <c:orientation val="minMax"/>
        </c:scaling>
        <c:delete val="0"/>
        <c:axPos val="l"/>
        <c:majorGridlines/>
        <c:numFmt formatCode="General" sourceLinked="1"/>
        <c:majorTickMark val="cross"/>
        <c:minorTickMark val="none"/>
        <c:tickLblPos val="nextTo"/>
        <c:crossAx val="252283520"/>
        <c:crosses val="autoZero"/>
        <c:crossBetween val="between"/>
      </c:valAx>
    </c:plotArea>
    <c:legend>
      <c:legendPos val="r"/>
      <c:layout>
        <c:manualLayout>
          <c:xMode val="edge"/>
          <c:yMode val="edge"/>
          <c:x val="7.0187533242331832E-2"/>
          <c:y val="0.89667651212354293"/>
          <c:w val="0.87560917690477202"/>
          <c:h val="0.10249334191084165"/>
        </c:manualLayout>
      </c:layout>
      <c:overlay val="0"/>
      <c:txPr>
        <a:bodyPr/>
        <a:lstStyle/>
        <a:p>
          <a:pPr>
            <a:defRPr sz="1000"/>
          </a:pPr>
          <a:endParaRPr lang="pt-BR"/>
        </a:p>
      </c:txPr>
    </c:legend>
    <c:plotVisOnly val="1"/>
    <c:dispBlanksAs val="gap"/>
    <c:showDLblsOverMax val="0"/>
  </c:chart>
  <c:spPr>
    <a:ln>
      <a:solidFill>
        <a:srgbClr val="4F81BD"/>
      </a:solidFill>
    </a:ln>
  </c:spPr>
  <c:txPr>
    <a:bodyPr/>
    <a:lstStyle/>
    <a:p>
      <a:pPr>
        <a:defRPr sz="1050">
          <a:latin typeface="Times New Roman" pitchFamily="18" charset="0"/>
          <a:cs typeface="Times New Roman" pitchFamily="18" charset="0"/>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1304095298032397"/>
          <c:y val="9.4272229129253593E-2"/>
          <c:w val="0.56666110984539053"/>
          <c:h val="0.68047355309399882"/>
        </c:manualLayout>
      </c:layout>
      <c:radarChart>
        <c:radarStyle val="marker"/>
        <c:varyColors val="0"/>
        <c:ser>
          <c:idx val="0"/>
          <c:order val="0"/>
          <c:tx>
            <c:strRef>
              <c:f>Canais!$A$10</c:f>
              <c:strCache>
                <c:ptCount val="1"/>
                <c:pt idx="0">
                  <c:v>Grupo 1</c:v>
                </c:pt>
              </c:strCache>
            </c:strRef>
          </c:tx>
          <c:marker>
            <c:symbol val="none"/>
          </c:marker>
          <c:cat>
            <c:strRef>
              <c:f>Canais!$C$9:$Q$9</c:f>
              <c:strCache>
                <c:ptCount val="15"/>
                <c:pt idx="0">
                  <c:v>Public</c:v>
                </c:pt>
                <c:pt idx="1">
                  <c:v>Conferência</c:v>
                </c:pt>
                <c:pt idx="2">
                  <c:v>Troca. Informal</c:v>
                </c:pt>
                <c:pt idx="3">
                  <c:v>Consult</c:v>
                </c:pt>
                <c:pt idx="4">
                  <c:v>Pesq. Encomendada</c:v>
                </c:pt>
                <c:pt idx="5">
                  <c:v>Pesq. Conj</c:v>
                </c:pt>
                <c:pt idx="6">
                  <c:v>Redes</c:v>
                </c:pt>
                <c:pt idx="7">
                  <c:v>Contratação. Grad/pós-grad.</c:v>
                </c:pt>
                <c:pt idx="8">
                  <c:v>Intercâmbio temp. mdo</c:v>
                </c:pt>
                <c:pt idx="9">
                  <c:v>Incub</c:v>
                </c:pt>
                <c:pt idx="10">
                  <c:v>Parq. C&amp;T</c:v>
                </c:pt>
                <c:pt idx="11">
                  <c:v>Empresa da Univ.</c:v>
                </c:pt>
                <c:pt idx="12">
                  <c:v>Spinoff</c:v>
                </c:pt>
                <c:pt idx="13">
                  <c:v>Patente</c:v>
                </c:pt>
                <c:pt idx="14">
                  <c:v>Licença</c:v>
                </c:pt>
              </c:strCache>
            </c:strRef>
          </c:cat>
          <c:val>
            <c:numRef>
              <c:f>Canais!$C$10:$Q$10</c:f>
              <c:numCache>
                <c:formatCode>0.00</c:formatCode>
                <c:ptCount val="15"/>
                <c:pt idx="0">
                  <c:v>69.230769230769212</c:v>
                </c:pt>
                <c:pt idx="1">
                  <c:v>76.923076923076849</c:v>
                </c:pt>
                <c:pt idx="2">
                  <c:v>61.53846153846154</c:v>
                </c:pt>
                <c:pt idx="3">
                  <c:v>38.461538461538446</c:v>
                </c:pt>
                <c:pt idx="4">
                  <c:v>38.461538461538446</c:v>
                </c:pt>
                <c:pt idx="5">
                  <c:v>69.230769230769212</c:v>
                </c:pt>
                <c:pt idx="6">
                  <c:v>30.76923076923077</c:v>
                </c:pt>
                <c:pt idx="7">
                  <c:v>92.307692307692278</c:v>
                </c:pt>
                <c:pt idx="8">
                  <c:v>23.076923076922998</c:v>
                </c:pt>
                <c:pt idx="9">
                  <c:v>7.6923076923076925</c:v>
                </c:pt>
                <c:pt idx="10">
                  <c:v>38.461538461538446</c:v>
                </c:pt>
                <c:pt idx="11">
                  <c:v>15.384615384615385</c:v>
                </c:pt>
                <c:pt idx="12">
                  <c:v>0</c:v>
                </c:pt>
                <c:pt idx="13">
                  <c:v>15.384615384615385</c:v>
                </c:pt>
                <c:pt idx="14">
                  <c:v>0</c:v>
                </c:pt>
              </c:numCache>
            </c:numRef>
          </c:val>
          <c:extLst>
            <c:ext xmlns:c16="http://schemas.microsoft.com/office/drawing/2014/chart" uri="{C3380CC4-5D6E-409C-BE32-E72D297353CC}">
              <c16:uniqueId val="{00000000-015A-41FF-B107-34FFECB75A2C}"/>
            </c:ext>
          </c:extLst>
        </c:ser>
        <c:ser>
          <c:idx val="1"/>
          <c:order val="1"/>
          <c:tx>
            <c:strRef>
              <c:f>Canais!$A$11</c:f>
              <c:strCache>
                <c:ptCount val="1"/>
                <c:pt idx="0">
                  <c:v>Grupo 2</c:v>
                </c:pt>
              </c:strCache>
            </c:strRef>
          </c:tx>
          <c:marker>
            <c:symbol val="none"/>
          </c:marker>
          <c:cat>
            <c:strRef>
              <c:f>Canais!$C$9:$Q$9</c:f>
              <c:strCache>
                <c:ptCount val="15"/>
                <c:pt idx="0">
                  <c:v>Public</c:v>
                </c:pt>
                <c:pt idx="1">
                  <c:v>Conferência</c:v>
                </c:pt>
                <c:pt idx="2">
                  <c:v>Troca. Informal</c:v>
                </c:pt>
                <c:pt idx="3">
                  <c:v>Consult</c:v>
                </c:pt>
                <c:pt idx="4">
                  <c:v>Pesq. Encomendada</c:v>
                </c:pt>
                <c:pt idx="5">
                  <c:v>Pesq. Conj</c:v>
                </c:pt>
                <c:pt idx="6">
                  <c:v>Redes</c:v>
                </c:pt>
                <c:pt idx="7">
                  <c:v>Contratação. Grad/pós-grad.</c:v>
                </c:pt>
                <c:pt idx="8">
                  <c:v>Intercâmbio temp. mdo</c:v>
                </c:pt>
                <c:pt idx="9">
                  <c:v>Incub</c:v>
                </c:pt>
                <c:pt idx="10">
                  <c:v>Parq. C&amp;T</c:v>
                </c:pt>
                <c:pt idx="11">
                  <c:v>Empresa da Univ.</c:v>
                </c:pt>
                <c:pt idx="12">
                  <c:v>Spinoff</c:v>
                </c:pt>
                <c:pt idx="13">
                  <c:v>Patente</c:v>
                </c:pt>
                <c:pt idx="14">
                  <c:v>Licença</c:v>
                </c:pt>
              </c:strCache>
            </c:strRef>
          </c:cat>
          <c:val>
            <c:numRef>
              <c:f>Canais!$C$11:$Q$11</c:f>
              <c:numCache>
                <c:formatCode>0.00</c:formatCode>
                <c:ptCount val="15"/>
                <c:pt idx="0">
                  <c:v>87.5</c:v>
                </c:pt>
                <c:pt idx="1">
                  <c:v>93.75</c:v>
                </c:pt>
                <c:pt idx="2">
                  <c:v>93.75</c:v>
                </c:pt>
                <c:pt idx="3">
                  <c:v>68.75</c:v>
                </c:pt>
                <c:pt idx="4">
                  <c:v>31.25</c:v>
                </c:pt>
                <c:pt idx="5">
                  <c:v>81.25</c:v>
                </c:pt>
                <c:pt idx="6">
                  <c:v>56.25</c:v>
                </c:pt>
                <c:pt idx="7">
                  <c:v>81.25</c:v>
                </c:pt>
                <c:pt idx="8">
                  <c:v>25</c:v>
                </c:pt>
                <c:pt idx="9">
                  <c:v>25</c:v>
                </c:pt>
                <c:pt idx="10">
                  <c:v>50</c:v>
                </c:pt>
                <c:pt idx="11">
                  <c:v>12.5</c:v>
                </c:pt>
                <c:pt idx="12">
                  <c:v>18.75</c:v>
                </c:pt>
                <c:pt idx="13">
                  <c:v>25</c:v>
                </c:pt>
                <c:pt idx="14">
                  <c:v>31.25</c:v>
                </c:pt>
              </c:numCache>
            </c:numRef>
          </c:val>
          <c:extLst>
            <c:ext xmlns:c16="http://schemas.microsoft.com/office/drawing/2014/chart" uri="{C3380CC4-5D6E-409C-BE32-E72D297353CC}">
              <c16:uniqueId val="{00000001-015A-41FF-B107-34FFECB75A2C}"/>
            </c:ext>
          </c:extLst>
        </c:ser>
        <c:ser>
          <c:idx val="2"/>
          <c:order val="2"/>
          <c:tx>
            <c:strRef>
              <c:f>Canais!$A$12</c:f>
              <c:strCache>
                <c:ptCount val="1"/>
                <c:pt idx="0">
                  <c:v>Grupo 3</c:v>
                </c:pt>
              </c:strCache>
            </c:strRef>
          </c:tx>
          <c:marker>
            <c:symbol val="none"/>
          </c:marker>
          <c:cat>
            <c:strRef>
              <c:f>Canais!$C$9:$Q$9</c:f>
              <c:strCache>
                <c:ptCount val="15"/>
                <c:pt idx="0">
                  <c:v>Public</c:v>
                </c:pt>
                <c:pt idx="1">
                  <c:v>Conferência</c:v>
                </c:pt>
                <c:pt idx="2">
                  <c:v>Troca. Informal</c:v>
                </c:pt>
                <c:pt idx="3">
                  <c:v>Consult</c:v>
                </c:pt>
                <c:pt idx="4">
                  <c:v>Pesq. Encomendada</c:v>
                </c:pt>
                <c:pt idx="5">
                  <c:v>Pesq. Conj</c:v>
                </c:pt>
                <c:pt idx="6">
                  <c:v>Redes</c:v>
                </c:pt>
                <c:pt idx="7">
                  <c:v>Contratação. Grad/pós-grad.</c:v>
                </c:pt>
                <c:pt idx="8">
                  <c:v>Intercâmbio temp. mdo</c:v>
                </c:pt>
                <c:pt idx="9">
                  <c:v>Incub</c:v>
                </c:pt>
                <c:pt idx="10">
                  <c:v>Parq. C&amp;T</c:v>
                </c:pt>
                <c:pt idx="11">
                  <c:v>Empresa da Univ.</c:v>
                </c:pt>
                <c:pt idx="12">
                  <c:v>Spinoff</c:v>
                </c:pt>
                <c:pt idx="13">
                  <c:v>Patente</c:v>
                </c:pt>
                <c:pt idx="14">
                  <c:v>Licença</c:v>
                </c:pt>
              </c:strCache>
            </c:strRef>
          </c:cat>
          <c:val>
            <c:numRef>
              <c:f>Canais!$C$12:$Q$12</c:f>
              <c:numCache>
                <c:formatCode>0.00</c:formatCode>
                <c:ptCount val="15"/>
                <c:pt idx="0">
                  <c:v>100</c:v>
                </c:pt>
                <c:pt idx="1">
                  <c:v>88.888888888888417</c:v>
                </c:pt>
                <c:pt idx="2">
                  <c:v>88.888888888888417</c:v>
                </c:pt>
                <c:pt idx="3">
                  <c:v>100</c:v>
                </c:pt>
                <c:pt idx="4">
                  <c:v>88.888888888888417</c:v>
                </c:pt>
                <c:pt idx="5">
                  <c:v>100</c:v>
                </c:pt>
                <c:pt idx="6">
                  <c:v>100</c:v>
                </c:pt>
                <c:pt idx="7">
                  <c:v>88.888888888888417</c:v>
                </c:pt>
                <c:pt idx="8">
                  <c:v>88.888888888888417</c:v>
                </c:pt>
                <c:pt idx="9">
                  <c:v>77.777777777777658</c:v>
                </c:pt>
                <c:pt idx="10">
                  <c:v>66.666666666666671</c:v>
                </c:pt>
                <c:pt idx="11">
                  <c:v>44.444444444444194</c:v>
                </c:pt>
                <c:pt idx="12">
                  <c:v>77.777777777777658</c:v>
                </c:pt>
                <c:pt idx="13">
                  <c:v>77.777777777777658</c:v>
                </c:pt>
                <c:pt idx="14">
                  <c:v>88.888888888888417</c:v>
                </c:pt>
              </c:numCache>
            </c:numRef>
          </c:val>
          <c:extLst>
            <c:ext xmlns:c16="http://schemas.microsoft.com/office/drawing/2014/chart" uri="{C3380CC4-5D6E-409C-BE32-E72D297353CC}">
              <c16:uniqueId val="{00000002-015A-41FF-B107-34FFECB75A2C}"/>
            </c:ext>
          </c:extLst>
        </c:ser>
        <c:ser>
          <c:idx val="3"/>
          <c:order val="3"/>
          <c:tx>
            <c:strRef>
              <c:f>Canais!$A$13</c:f>
              <c:strCache>
                <c:ptCount val="1"/>
                <c:pt idx="0">
                  <c:v>Grupo 4</c:v>
                </c:pt>
              </c:strCache>
            </c:strRef>
          </c:tx>
          <c:marker>
            <c:symbol val="none"/>
          </c:marker>
          <c:cat>
            <c:strRef>
              <c:f>Canais!$C$9:$Q$9</c:f>
              <c:strCache>
                <c:ptCount val="15"/>
                <c:pt idx="0">
                  <c:v>Public</c:v>
                </c:pt>
                <c:pt idx="1">
                  <c:v>Conferência</c:v>
                </c:pt>
                <c:pt idx="2">
                  <c:v>Troca. Informal</c:v>
                </c:pt>
                <c:pt idx="3">
                  <c:v>Consult</c:v>
                </c:pt>
                <c:pt idx="4">
                  <c:v>Pesq. Encomendada</c:v>
                </c:pt>
                <c:pt idx="5">
                  <c:v>Pesq. Conj</c:v>
                </c:pt>
                <c:pt idx="6">
                  <c:v>Redes</c:v>
                </c:pt>
                <c:pt idx="7">
                  <c:v>Contratação. Grad/pós-grad.</c:v>
                </c:pt>
                <c:pt idx="8">
                  <c:v>Intercâmbio temp. mdo</c:v>
                </c:pt>
                <c:pt idx="9">
                  <c:v>Incub</c:v>
                </c:pt>
                <c:pt idx="10">
                  <c:v>Parq. C&amp;T</c:v>
                </c:pt>
                <c:pt idx="11">
                  <c:v>Empresa da Univ.</c:v>
                </c:pt>
                <c:pt idx="12">
                  <c:v>Spinoff</c:v>
                </c:pt>
                <c:pt idx="13">
                  <c:v>Patente</c:v>
                </c:pt>
                <c:pt idx="14">
                  <c:v>Licença</c:v>
                </c:pt>
              </c:strCache>
            </c:strRef>
          </c:cat>
          <c:val>
            <c:numRef>
              <c:f>Canais!$C$13:$Q$13</c:f>
              <c:numCache>
                <c:formatCode>0.00</c:formatCode>
                <c:ptCount val="15"/>
                <c:pt idx="0">
                  <c:v>30</c:v>
                </c:pt>
                <c:pt idx="1">
                  <c:v>30</c:v>
                </c:pt>
                <c:pt idx="2">
                  <c:v>30</c:v>
                </c:pt>
                <c:pt idx="3">
                  <c:v>0</c:v>
                </c:pt>
                <c:pt idx="4">
                  <c:v>0</c:v>
                </c:pt>
                <c:pt idx="5">
                  <c:v>20</c:v>
                </c:pt>
                <c:pt idx="6">
                  <c:v>0</c:v>
                </c:pt>
                <c:pt idx="7">
                  <c:v>10</c:v>
                </c:pt>
                <c:pt idx="8">
                  <c:v>10</c:v>
                </c:pt>
                <c:pt idx="9">
                  <c:v>0</c:v>
                </c:pt>
                <c:pt idx="10">
                  <c:v>0</c:v>
                </c:pt>
                <c:pt idx="11">
                  <c:v>0</c:v>
                </c:pt>
                <c:pt idx="12">
                  <c:v>0</c:v>
                </c:pt>
                <c:pt idx="13">
                  <c:v>0</c:v>
                </c:pt>
                <c:pt idx="14">
                  <c:v>0</c:v>
                </c:pt>
              </c:numCache>
            </c:numRef>
          </c:val>
          <c:extLst>
            <c:ext xmlns:c16="http://schemas.microsoft.com/office/drawing/2014/chart" uri="{C3380CC4-5D6E-409C-BE32-E72D297353CC}">
              <c16:uniqueId val="{00000003-015A-41FF-B107-34FFECB75A2C}"/>
            </c:ext>
          </c:extLst>
        </c:ser>
        <c:dLbls>
          <c:showLegendKey val="0"/>
          <c:showVal val="0"/>
          <c:showCatName val="0"/>
          <c:showSerName val="0"/>
          <c:showPercent val="0"/>
          <c:showBubbleSize val="0"/>
        </c:dLbls>
        <c:axId val="252108160"/>
        <c:axId val="252109952"/>
      </c:radarChart>
      <c:catAx>
        <c:axId val="252108160"/>
        <c:scaling>
          <c:orientation val="minMax"/>
        </c:scaling>
        <c:delete val="0"/>
        <c:axPos val="b"/>
        <c:majorGridlines/>
        <c:numFmt formatCode="General" sourceLinked="0"/>
        <c:majorTickMark val="out"/>
        <c:minorTickMark val="none"/>
        <c:tickLblPos val="nextTo"/>
        <c:txPr>
          <a:bodyPr/>
          <a:lstStyle/>
          <a:p>
            <a:pPr>
              <a:defRPr sz="1000"/>
            </a:pPr>
            <a:endParaRPr lang="pt-BR"/>
          </a:p>
        </c:txPr>
        <c:crossAx val="252109952"/>
        <c:crosses val="autoZero"/>
        <c:auto val="1"/>
        <c:lblAlgn val="ctr"/>
        <c:lblOffset val="100"/>
        <c:noMultiLvlLbl val="0"/>
      </c:catAx>
      <c:valAx>
        <c:axId val="252109952"/>
        <c:scaling>
          <c:orientation val="minMax"/>
        </c:scaling>
        <c:delete val="0"/>
        <c:axPos val="l"/>
        <c:majorGridlines/>
        <c:numFmt formatCode="0.00" sourceLinked="1"/>
        <c:majorTickMark val="cross"/>
        <c:minorTickMark val="none"/>
        <c:tickLblPos val="nextTo"/>
        <c:crossAx val="252108160"/>
        <c:crosses val="autoZero"/>
        <c:crossBetween val="between"/>
      </c:valAx>
    </c:plotArea>
    <c:legend>
      <c:legendPos val="r"/>
      <c:layout>
        <c:manualLayout>
          <c:xMode val="edge"/>
          <c:yMode val="edge"/>
          <c:x val="0.18930756759099462"/>
          <c:y val="0.85392917990514361"/>
          <c:w val="0.62728788223984555"/>
          <c:h val="9.9916811246051854E-2"/>
        </c:manualLayout>
      </c:layout>
      <c:overlay val="0"/>
      <c:txPr>
        <a:bodyPr/>
        <a:lstStyle/>
        <a:p>
          <a:pPr>
            <a:defRPr sz="1000"/>
          </a:pPr>
          <a:endParaRPr lang="pt-BR"/>
        </a:p>
      </c:txPr>
    </c:legend>
    <c:plotVisOnly val="1"/>
    <c:dispBlanksAs val="gap"/>
    <c:showDLblsOverMax val="0"/>
  </c:chart>
  <c:spPr>
    <a:ln>
      <a:noFill/>
    </a:ln>
  </c:spPr>
  <c:txPr>
    <a:bodyPr/>
    <a:lstStyle/>
    <a:p>
      <a:pPr>
        <a:defRPr sz="1050">
          <a:latin typeface="Times New Roman" pitchFamily="18" charset="0"/>
          <a:cs typeface="Times New Roman" pitchFamily="18" charset="0"/>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D742B-8AD7-46AB-8E48-7E3596BB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8915</Words>
  <Characters>48141</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Vanessa</cp:lastModifiedBy>
  <cp:revision>10</cp:revision>
  <dcterms:created xsi:type="dcterms:W3CDTF">2017-07-20T15:18:00Z</dcterms:created>
  <dcterms:modified xsi:type="dcterms:W3CDTF">2017-07-20T15:48:00Z</dcterms:modified>
</cp:coreProperties>
</file>