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98B06" w14:textId="77777777" w:rsidR="004F338F" w:rsidRDefault="004F338F" w:rsidP="004F338F">
      <w:pPr>
        <w:jc w:val="both"/>
        <w:rPr>
          <w:b/>
          <w:lang w:val="en-US"/>
        </w:rPr>
      </w:pPr>
      <w:r>
        <w:rPr>
          <w:b/>
          <w:lang w:val="en-US"/>
        </w:rPr>
        <w:t>Fewer Children, Shorter Commuting Time: Family Structure and Residential Location in Brazilian Urban Centers</w:t>
      </w:r>
    </w:p>
    <w:p w14:paraId="3EB731D5" w14:textId="77777777" w:rsidR="004F338F" w:rsidRDefault="004F338F" w:rsidP="004F338F">
      <w:pPr>
        <w:jc w:val="both"/>
        <w:rPr>
          <w:b/>
          <w:lang w:val="en-US"/>
        </w:rPr>
      </w:pPr>
    </w:p>
    <w:p w14:paraId="14FF8B41" w14:textId="21DAC772" w:rsidR="004F338F" w:rsidRDefault="004F338F" w:rsidP="004F338F">
      <w:pPr>
        <w:contextualSpacing/>
        <w:jc w:val="both"/>
        <w:rPr>
          <w:lang w:val="en-US"/>
        </w:rPr>
      </w:pPr>
      <w:r w:rsidRPr="007115B7">
        <w:rPr>
          <w:lang w:val="en-US"/>
        </w:rPr>
        <w:t>Raul da</w:t>
      </w:r>
      <w:r w:rsidR="00987E7D">
        <w:rPr>
          <w:lang w:val="en-US"/>
        </w:rPr>
        <w:t xml:space="preserve"> Mota Silveira Neto, PIMES/UFPE</w:t>
      </w:r>
      <w:r w:rsidRPr="007115B7">
        <w:rPr>
          <w:lang w:val="en-US"/>
        </w:rPr>
        <w:t xml:space="preserve"> </w:t>
      </w:r>
    </w:p>
    <w:p w14:paraId="2A8DEC0B" w14:textId="77777777" w:rsidR="004F338F" w:rsidRDefault="004F338F" w:rsidP="004F338F">
      <w:pPr>
        <w:contextualSpacing/>
        <w:jc w:val="both"/>
        <w:rPr>
          <w:lang w:val="en-US"/>
        </w:rPr>
      </w:pPr>
      <w:r w:rsidRPr="007115B7">
        <w:rPr>
          <w:lang w:val="en-US"/>
        </w:rPr>
        <w:t>Gisléia Benini Duarte, PADR/UFRPE</w:t>
      </w:r>
    </w:p>
    <w:p w14:paraId="21A53B03" w14:textId="77777777" w:rsidR="004F338F" w:rsidRDefault="004F338F" w:rsidP="004F338F">
      <w:pPr>
        <w:contextualSpacing/>
        <w:jc w:val="both"/>
        <w:rPr>
          <w:lang w:val="en-US"/>
        </w:rPr>
      </w:pPr>
    </w:p>
    <w:p w14:paraId="5AD5B3D6" w14:textId="791A0D00" w:rsidR="004F338F" w:rsidRDefault="004F338F" w:rsidP="004F338F">
      <w:pPr>
        <w:contextualSpacing/>
        <w:jc w:val="both"/>
        <w:rPr>
          <w:color w:val="000000"/>
        </w:rPr>
      </w:pPr>
      <w:r w:rsidRPr="00924432">
        <w:rPr>
          <w:rStyle w:val="Ttulo2Char"/>
        </w:rPr>
        <w:t>Resumo</w:t>
      </w:r>
      <w:r w:rsidRPr="00924432">
        <w:t xml:space="preserve">: </w:t>
      </w:r>
      <w:r>
        <w:t xml:space="preserve">O trabalho </w:t>
      </w:r>
      <w:r>
        <w:rPr>
          <w:color w:val="000000"/>
        </w:rPr>
        <w:t xml:space="preserve">considera as mudanças demográficas da família brasileira </w:t>
      </w:r>
      <w:r w:rsidR="00F5732B">
        <w:rPr>
          <w:color w:val="000000"/>
        </w:rPr>
        <w:t xml:space="preserve">que apontam para uma forte redução no tamanho das famílias </w:t>
      </w:r>
      <w:r>
        <w:rPr>
          <w:color w:val="000000"/>
        </w:rPr>
        <w:t>e fornece evidências de uma relação causal entre o número de crianças das famílias e o tempo de commuting do chefe, uma relação esperada de acordo com a Economia Urbana tradicional. Para tal, utiliza a variável instrumental associada aos sexos dos dois primeiros filhos, como sugerido por Angrist e Evans (1998), mas não ao tempo de commuting. Os resultados indicam uma robusta relação causal positiva entre número de filhos e o tempo de commuting dos chefes dos domicílios</w:t>
      </w:r>
      <w:r w:rsidR="00F5732B">
        <w:rPr>
          <w:color w:val="000000"/>
        </w:rPr>
        <w:t>, importante para planejamento urbano brasileiro.</w:t>
      </w:r>
      <w:r>
        <w:rPr>
          <w:color w:val="000000"/>
        </w:rPr>
        <w:t xml:space="preserve"> O trabalho também explora os canais de atuação desta relação e provê evidências de que tal efeito</w:t>
      </w:r>
      <w:r w:rsidR="00F5732B">
        <w:rPr>
          <w:color w:val="000000"/>
        </w:rPr>
        <w:t xml:space="preserve"> está associado ao fato de que uma redução do</w:t>
      </w:r>
      <w:r>
        <w:rPr>
          <w:color w:val="000000"/>
        </w:rPr>
        <w:t xml:space="preserve"> número de crianças afeta </w:t>
      </w:r>
      <w:r w:rsidR="00F5732B">
        <w:rPr>
          <w:color w:val="000000"/>
        </w:rPr>
        <w:t>positivamente</w:t>
      </w:r>
      <w:r>
        <w:rPr>
          <w:color w:val="000000"/>
        </w:rPr>
        <w:t xml:space="preserve"> a inserção </w:t>
      </w:r>
      <w:r w:rsidR="00F5732B">
        <w:rPr>
          <w:color w:val="000000"/>
        </w:rPr>
        <w:t>dos membros da família</w:t>
      </w:r>
      <w:r w:rsidR="00F5732B">
        <w:rPr>
          <w:color w:val="000000"/>
        </w:rPr>
        <w:t xml:space="preserve"> </w:t>
      </w:r>
      <w:r>
        <w:rPr>
          <w:color w:val="000000"/>
        </w:rPr>
        <w:t xml:space="preserve">no mercado de trabalho, o que tende a tornar a acessibilidade ao emprego </w:t>
      </w:r>
      <w:r w:rsidR="00F5732B">
        <w:rPr>
          <w:color w:val="000000"/>
        </w:rPr>
        <w:t>mais</w:t>
      </w:r>
      <w:r>
        <w:rPr>
          <w:color w:val="000000"/>
        </w:rPr>
        <w:t xml:space="preserve"> importante.</w:t>
      </w:r>
    </w:p>
    <w:p w14:paraId="5360F919" w14:textId="77777777" w:rsidR="004F338F" w:rsidRPr="00924432" w:rsidRDefault="004F338F" w:rsidP="004F338F">
      <w:pPr>
        <w:contextualSpacing/>
        <w:jc w:val="both"/>
        <w:rPr>
          <w:color w:val="000000"/>
        </w:rPr>
      </w:pPr>
      <w:r>
        <w:rPr>
          <w:color w:val="000000"/>
        </w:rPr>
        <w:t xml:space="preserve"> </w:t>
      </w:r>
    </w:p>
    <w:p w14:paraId="4A41248D" w14:textId="77777777" w:rsidR="004F338F" w:rsidRPr="008D427D" w:rsidRDefault="004F338F" w:rsidP="004F338F">
      <w:pPr>
        <w:contextualSpacing/>
        <w:jc w:val="both"/>
        <w:rPr>
          <w:color w:val="000000"/>
        </w:rPr>
      </w:pPr>
      <w:r w:rsidRPr="008D427D">
        <w:rPr>
          <w:b/>
          <w:color w:val="000000"/>
        </w:rPr>
        <w:t>Palavras-Chave</w:t>
      </w:r>
      <w:r w:rsidRPr="008D427D">
        <w:rPr>
          <w:color w:val="000000"/>
        </w:rPr>
        <w:t xml:space="preserve">: crianças; </w:t>
      </w:r>
      <w:r>
        <w:rPr>
          <w:color w:val="000000"/>
        </w:rPr>
        <w:t>a</w:t>
      </w:r>
      <w:r w:rsidRPr="008D427D">
        <w:rPr>
          <w:color w:val="000000"/>
        </w:rPr>
        <w:t>cessibilidade; tempo de commuting..</w:t>
      </w:r>
    </w:p>
    <w:p w14:paraId="4024015A" w14:textId="77777777" w:rsidR="004F338F" w:rsidRPr="008D427D" w:rsidRDefault="004F338F" w:rsidP="004F338F">
      <w:pPr>
        <w:contextualSpacing/>
        <w:jc w:val="both"/>
        <w:rPr>
          <w:color w:val="000000"/>
        </w:rPr>
      </w:pPr>
    </w:p>
    <w:p w14:paraId="4054A227" w14:textId="10F5096A" w:rsidR="004F338F" w:rsidRPr="002D6617" w:rsidRDefault="004F338F" w:rsidP="004F338F">
      <w:pPr>
        <w:contextualSpacing/>
        <w:jc w:val="both"/>
        <w:rPr>
          <w:lang w:val="en-US"/>
        </w:rPr>
      </w:pPr>
      <w:r w:rsidRPr="00924432">
        <w:rPr>
          <w:rStyle w:val="Ttulo2Char"/>
          <w:lang w:val="en-US"/>
        </w:rPr>
        <w:t>Abstract</w:t>
      </w:r>
      <w:r w:rsidRPr="00924432">
        <w:rPr>
          <w:lang w:val="en-US"/>
        </w:rPr>
        <w:t>:</w:t>
      </w:r>
      <w:r>
        <w:rPr>
          <w:lang w:val="en-US"/>
        </w:rPr>
        <w:t xml:space="preserve"> The work explores the recent demographic changes of Brazilian families and investigates an existence of casual relationship between the families’ number of children the   head commuting time, as expected according to Urban Economic Theory. In order to obtain a causal association, the research uses the same-sex instrumental variable proposed by Angrist and Evans (1998) for the families’ number of families. The results indicate a robust and positive causal relationship between these variables: fewer children, shorter commuting time of the household head. We also show that this relationship is explained by the negative effect of the number of children on the number of families’ members that works. Thus, the </w:t>
      </w:r>
      <w:r w:rsidR="00632B73">
        <w:rPr>
          <w:lang w:val="en-US"/>
        </w:rPr>
        <w:t>smalle</w:t>
      </w:r>
      <w:r>
        <w:rPr>
          <w:lang w:val="en-US"/>
        </w:rPr>
        <w:t xml:space="preserve">r the number of children, the </w:t>
      </w:r>
      <w:r w:rsidR="00632B73">
        <w:rPr>
          <w:lang w:val="en-US"/>
        </w:rPr>
        <w:t>more</w:t>
      </w:r>
      <w:bookmarkStart w:id="0" w:name="_GoBack"/>
      <w:bookmarkEnd w:id="0"/>
      <w:r>
        <w:rPr>
          <w:lang w:val="en-US"/>
        </w:rPr>
        <w:t xml:space="preserve"> important becomes accessibility to jobs.</w:t>
      </w:r>
    </w:p>
    <w:p w14:paraId="09DD7E73" w14:textId="77777777" w:rsidR="004F338F" w:rsidRPr="002D6617" w:rsidRDefault="004F338F" w:rsidP="004F338F">
      <w:pPr>
        <w:contextualSpacing/>
        <w:jc w:val="both"/>
        <w:rPr>
          <w:lang w:val="en-US"/>
        </w:rPr>
      </w:pPr>
    </w:p>
    <w:p w14:paraId="1148B1CF" w14:textId="77777777" w:rsidR="004F338F" w:rsidRPr="005628B8" w:rsidRDefault="004F338F" w:rsidP="004F338F">
      <w:pPr>
        <w:contextualSpacing/>
        <w:jc w:val="both"/>
        <w:rPr>
          <w:color w:val="000000"/>
          <w:lang w:val="en-US"/>
        </w:rPr>
      </w:pPr>
      <w:r w:rsidRPr="005628B8">
        <w:rPr>
          <w:b/>
          <w:color w:val="000000"/>
          <w:lang w:val="en-US"/>
        </w:rPr>
        <w:t>Keywords</w:t>
      </w:r>
      <w:r w:rsidRPr="005628B8">
        <w:rPr>
          <w:color w:val="000000"/>
          <w:lang w:val="en-US"/>
        </w:rPr>
        <w:t xml:space="preserve">: </w:t>
      </w:r>
      <w:r>
        <w:rPr>
          <w:color w:val="000000"/>
          <w:lang w:val="en-US"/>
        </w:rPr>
        <w:t>children;</w:t>
      </w:r>
      <w:r w:rsidRPr="005628B8">
        <w:rPr>
          <w:color w:val="000000"/>
          <w:lang w:val="en-US"/>
        </w:rPr>
        <w:t xml:space="preserve"> accessibility</w:t>
      </w:r>
      <w:r>
        <w:rPr>
          <w:color w:val="000000"/>
          <w:lang w:val="en-US"/>
        </w:rPr>
        <w:t>;</w:t>
      </w:r>
      <w:r w:rsidRPr="005628B8">
        <w:rPr>
          <w:color w:val="000000"/>
          <w:lang w:val="en-US"/>
        </w:rPr>
        <w:t xml:space="preserve"> commuting time.</w:t>
      </w:r>
    </w:p>
    <w:p w14:paraId="2CDA163C" w14:textId="77777777" w:rsidR="004F338F" w:rsidRPr="005628B8" w:rsidRDefault="004F338F" w:rsidP="004F338F">
      <w:pPr>
        <w:contextualSpacing/>
        <w:jc w:val="both"/>
        <w:rPr>
          <w:lang w:val="en-US"/>
        </w:rPr>
      </w:pPr>
    </w:p>
    <w:p w14:paraId="4593D2F0" w14:textId="77777777" w:rsidR="004F338F" w:rsidRPr="00924432" w:rsidRDefault="004F338F" w:rsidP="004F338F">
      <w:pPr>
        <w:contextualSpacing/>
        <w:jc w:val="both"/>
        <w:rPr>
          <w:color w:val="000000"/>
        </w:rPr>
      </w:pPr>
      <w:r w:rsidRPr="00924432">
        <w:rPr>
          <w:color w:val="000000"/>
        </w:rPr>
        <w:t xml:space="preserve">Código JEL: </w:t>
      </w:r>
      <w:r>
        <w:rPr>
          <w:color w:val="000000"/>
        </w:rPr>
        <w:t>R21. R31.</w:t>
      </w:r>
    </w:p>
    <w:p w14:paraId="5310248B" w14:textId="77777777" w:rsidR="001044E7" w:rsidRDefault="001044E7"/>
    <w:p w14:paraId="2D56BCCB" w14:textId="77777777" w:rsidR="004F338F" w:rsidRDefault="004F338F">
      <w:r>
        <w:t xml:space="preserve">Área </w:t>
      </w:r>
      <w:r w:rsidR="00BB03B7">
        <w:t>ANPEC</w:t>
      </w:r>
      <w:r>
        <w:t>: 10- Economia Regional e Urbana</w:t>
      </w:r>
    </w:p>
    <w:p w14:paraId="7395787B" w14:textId="77777777" w:rsidR="004F338F" w:rsidRDefault="004F338F"/>
    <w:p w14:paraId="483C047D" w14:textId="77777777" w:rsidR="004F338F" w:rsidRDefault="004F338F"/>
    <w:p w14:paraId="4185085A" w14:textId="77777777" w:rsidR="004F338F" w:rsidRDefault="004F338F"/>
    <w:p w14:paraId="279E2F7A" w14:textId="77777777" w:rsidR="004F338F" w:rsidRDefault="004F338F"/>
    <w:p w14:paraId="7A90196F" w14:textId="77777777" w:rsidR="004F338F" w:rsidRDefault="004F338F"/>
    <w:p w14:paraId="052CA76C" w14:textId="77777777" w:rsidR="004F338F" w:rsidRDefault="004F338F"/>
    <w:p w14:paraId="1D1F8386" w14:textId="77777777" w:rsidR="004F338F" w:rsidRDefault="004F338F"/>
    <w:p w14:paraId="5D056260" w14:textId="77777777" w:rsidR="004F338F" w:rsidRDefault="004F338F"/>
    <w:p w14:paraId="329BEDA5" w14:textId="77777777" w:rsidR="004F338F" w:rsidRDefault="004F338F"/>
    <w:p w14:paraId="22F89495" w14:textId="77777777" w:rsidR="004F338F" w:rsidRDefault="004F338F"/>
    <w:p w14:paraId="3568D01A" w14:textId="77777777" w:rsidR="004F338F" w:rsidRDefault="004F338F"/>
    <w:p w14:paraId="11044339" w14:textId="77777777" w:rsidR="004F338F" w:rsidRDefault="004F338F"/>
    <w:p w14:paraId="6B93AA03" w14:textId="77777777" w:rsidR="004F338F" w:rsidRDefault="004F338F"/>
    <w:p w14:paraId="1AEE19CC" w14:textId="77777777" w:rsidR="004F338F" w:rsidRDefault="004F338F"/>
    <w:p w14:paraId="3B605F62" w14:textId="77777777" w:rsidR="004F338F" w:rsidRDefault="004F338F"/>
    <w:p w14:paraId="7B37F5E2" w14:textId="77777777" w:rsidR="004F338F" w:rsidRDefault="004F338F"/>
    <w:p w14:paraId="2CE0E3A7" w14:textId="77777777" w:rsidR="004F338F" w:rsidRDefault="004F338F"/>
    <w:p w14:paraId="4A8A3D95" w14:textId="77777777" w:rsidR="004F338F" w:rsidRDefault="004F338F"/>
    <w:p w14:paraId="346954A5" w14:textId="77777777" w:rsidR="004F338F" w:rsidRDefault="004F338F"/>
    <w:p w14:paraId="47E11DC6" w14:textId="77777777" w:rsidR="004F338F" w:rsidRDefault="004F338F"/>
    <w:p w14:paraId="22401AFC" w14:textId="77777777" w:rsidR="004F338F" w:rsidRDefault="004F338F" w:rsidP="004F338F">
      <w:pPr>
        <w:jc w:val="both"/>
        <w:rPr>
          <w:b/>
          <w:lang w:val="en-US"/>
        </w:rPr>
      </w:pPr>
      <w:r>
        <w:rPr>
          <w:b/>
          <w:lang w:val="en-US"/>
        </w:rPr>
        <w:t>Fewer Children, Shorter Commuting Time: Family Structure and Residential Location in Brazilian Urban Centers</w:t>
      </w:r>
    </w:p>
    <w:p w14:paraId="1057F829" w14:textId="77777777" w:rsidR="004F338F" w:rsidRDefault="004F338F" w:rsidP="004F338F">
      <w:pPr>
        <w:rPr>
          <w:b/>
          <w:lang w:val="en-US"/>
        </w:rPr>
      </w:pPr>
    </w:p>
    <w:p w14:paraId="19D802BB" w14:textId="77777777" w:rsidR="004F338F" w:rsidRPr="00C5744E" w:rsidRDefault="004F338F" w:rsidP="004F338F">
      <w:pPr>
        <w:rPr>
          <w:b/>
          <w:lang w:val="en-US"/>
        </w:rPr>
      </w:pPr>
      <w:r w:rsidRPr="00C5744E">
        <w:rPr>
          <w:b/>
          <w:lang w:val="en-US"/>
        </w:rPr>
        <w:t>1. Introduction</w:t>
      </w:r>
    </w:p>
    <w:p w14:paraId="0EED7E81" w14:textId="77777777" w:rsidR="004F338F" w:rsidRDefault="004F338F" w:rsidP="004F338F">
      <w:pPr>
        <w:ind w:firstLine="720"/>
        <w:jc w:val="both"/>
        <w:rPr>
          <w:lang w:val="en-US"/>
        </w:rPr>
      </w:pPr>
    </w:p>
    <w:p w14:paraId="481AC1AD" w14:textId="77777777" w:rsidR="004F338F" w:rsidRPr="00C5744E" w:rsidRDefault="004F338F" w:rsidP="004F338F">
      <w:pPr>
        <w:ind w:firstLine="720"/>
        <w:jc w:val="both"/>
        <w:rPr>
          <w:lang w:val="en-US"/>
        </w:rPr>
      </w:pPr>
      <w:r w:rsidRPr="00C5744E">
        <w:rPr>
          <w:lang w:val="en-US"/>
        </w:rPr>
        <w:t xml:space="preserve">Under the traditional model of Urban Economics perspective, families’ residential location decisions involve dilemmas arising from the importance of accessibility to job and services, the quantity of urban space and local amenities (Fujita, 1989; Arnott e McMillen, 2005). As recognized at least since Beckmann (1973), once it implies distinct necessity of space and accessibility, the structure and the demography of the families play a very important role conditioning the location decision involving the above three dimensions (Fujita, 1989; Fujita and Thisse, 2013). In fact, past and present evidence strongly confirm the importance of family structure and demography as fundamental determinants of residential location and commuting time. Craine (2007), for example, uses official data for American cities to show that the bigger the family size, the longer is the commuting of the household head. More recently, also for American cities Edlund et al. (2015) show that the recent increase of distance gradient is associated with the presence of more skilled young professionals presenting longer work periods and less necessity of space. </w:t>
      </w:r>
    </w:p>
    <w:p w14:paraId="4584E722" w14:textId="77777777" w:rsidR="004F338F" w:rsidRPr="00C5744E" w:rsidRDefault="004F338F" w:rsidP="004F338F">
      <w:pPr>
        <w:ind w:firstLine="720"/>
        <w:jc w:val="both"/>
        <w:rPr>
          <w:lang w:val="en-US"/>
        </w:rPr>
      </w:pPr>
      <w:r w:rsidRPr="00C5744E">
        <w:rPr>
          <w:lang w:val="en-US"/>
        </w:rPr>
        <w:t>From 1970’s on, one of the most important aspects of Brazilian society has been its quick demographic transition. As highlighted by Vasconcelos and Gomes (2012) based on official data, for example, the fertility rate of Brazilian women have drop from 4.4 siblings per woman in 1970 to only 1.9 siblings in 2010, i.e., a drop of more than 50% in 40 years. This decline, of course, implied a significant reduction of Brazilian families’ size and of the presence of siblings; according to the information from PNAD, an official annual household survey, the percentage of siblings living the urban Brazilian residences dropped from. Not surprise, this demography transition of Brazilian society has motivated different studies about its reflects on different social and economic dimension, such as income inequality, labor market and economic growth (Wajnman and Menezes-Filho, 2003; Paiva and Wajnman, 2005; Rios-Neto and Oliveira, 1999).</w:t>
      </w:r>
    </w:p>
    <w:p w14:paraId="16A3E2AA" w14:textId="77777777" w:rsidR="004F338F" w:rsidRPr="00C5744E" w:rsidRDefault="004F338F" w:rsidP="004F338F">
      <w:pPr>
        <w:ind w:firstLine="720"/>
        <w:jc w:val="both"/>
        <w:rPr>
          <w:lang w:val="en-US"/>
        </w:rPr>
      </w:pPr>
      <w:r w:rsidRPr="00C5744E">
        <w:rPr>
          <w:lang w:val="en-US"/>
        </w:rPr>
        <w:t>Very few studies, however, treated of the consequences of Brazilian families demographic changes for urban configuration of the cities. To the best of our knowledge, only Silveira Neto and Duarte (2016) have considered the impact of the number of families’ non-working members on the commuting time of the household head. Based on the traditional urban economic theory, the authors argued that a reduction of the number of non-working members implies a lower demand for space and this allows the families to live closer to the job locations. The authors provide evidence for the City of São Paulo confirming the expectations. However, in addition to only consider a unique Brazilian city, this work use a questionable empirical strategy based on using the religious status an instrumental variable to the numbers of non-working members. Importantly, the authors did not provided any evidence about the economic explanation behind the evidence.</w:t>
      </w:r>
    </w:p>
    <w:p w14:paraId="283B4909" w14:textId="77777777" w:rsidR="004F338F" w:rsidRPr="00C5744E" w:rsidRDefault="004F338F" w:rsidP="004F338F">
      <w:pPr>
        <w:ind w:firstLine="720"/>
        <w:jc w:val="both"/>
        <w:rPr>
          <w:lang w:val="en-US"/>
        </w:rPr>
      </w:pPr>
      <w:r w:rsidRPr="00C5744E">
        <w:rPr>
          <w:lang w:val="en-US"/>
        </w:rPr>
        <w:t>The objective of the present work is to investigate the existence of causal relationships and families’ number of siblings and commuting time of the household for the set of all Brazilian urban centers. Note that, in the current Brazilian context of weaker rural-urban migration, this potential causal effect must implied severe changes in the way Brazilian cities are structured. Much probably, it will generate higher density cities and demand important improvement in public transport system and urban planning.</w:t>
      </w:r>
    </w:p>
    <w:p w14:paraId="056D975E" w14:textId="77777777" w:rsidR="004F338F" w:rsidRPr="00C5744E" w:rsidRDefault="004F338F" w:rsidP="004F338F">
      <w:pPr>
        <w:ind w:firstLine="720"/>
        <w:jc w:val="both"/>
        <w:rPr>
          <w:lang w:val="en-US"/>
        </w:rPr>
      </w:pPr>
      <w:r w:rsidRPr="00C5744E">
        <w:rPr>
          <w:lang w:val="en-US"/>
        </w:rPr>
        <w:t xml:space="preserve">Our strategy relies on using the Angrist and Weiss (1998) ‘s instrumental variable capturing the sex diversity of the first two siblings of the families. As shown by these authors, families with the first tow siblings of the same sex tend to have more siblings than families with the first two siblings of different sex; we use this external information for identifying the impact of the number of children on household’s commuting time. In addition, we also investigate which economic mechanism is behind this relationship; arguably, a positive causal association between number of children and household head commuting time may arise i) because of the higher demand for space, which tend to be cheaper in suburban areas, ii) because of the stronger necessity of living close to schools, generally not close to household head job location, and iii) because a higher number if children tend to affect the partner decision about working time, which may make easier the decision about living in suburban areas.  </w:t>
      </w:r>
    </w:p>
    <w:p w14:paraId="5854B45C" w14:textId="77777777" w:rsidR="004F338F" w:rsidRPr="00C5744E" w:rsidRDefault="004F338F" w:rsidP="004F338F">
      <w:pPr>
        <w:ind w:firstLine="720"/>
        <w:jc w:val="both"/>
        <w:rPr>
          <w:lang w:val="en-US"/>
        </w:rPr>
      </w:pPr>
      <w:r w:rsidRPr="00C5744E">
        <w:rPr>
          <w:lang w:val="en-US"/>
        </w:rPr>
        <w:t xml:space="preserve">Our set of evidence confirms the existence of a strong causal relationship between number of children and household head commuting time; this result is robust to different econometric models (2SLS, IV-probit) and different subsamples (car ownership, residence ownership, non-poor families). In our base line specification, we estimated that one more children increases by 21 percentage points the probability of the household head spends more than 30 minutes of commuting time. Furthermore, the additional investigation favors the influence of the number of children on the labor market insertion of the partners as the channel through what the number of children affects the residence location: as there is a negative influence of the number of children on the partner working time, it makes easier for a family to live more distant form job locations. </w:t>
      </w:r>
    </w:p>
    <w:p w14:paraId="449804A3" w14:textId="77777777" w:rsidR="004F338F" w:rsidRPr="00C5744E" w:rsidRDefault="004F338F" w:rsidP="004F338F">
      <w:pPr>
        <w:ind w:firstLine="720"/>
        <w:jc w:val="both"/>
        <w:rPr>
          <w:lang w:val="en-US"/>
        </w:rPr>
      </w:pPr>
      <w:r w:rsidRPr="00C5744E">
        <w:rPr>
          <w:lang w:val="en-US"/>
        </w:rPr>
        <w:t>In addition to this introduction, the paper is organized in six more sections. In the section two, we provide some evidence about recent urban changes occurring in Brazilian urban centers. In the section three we discuss the theory and a set of evidence about the relation between family size and residential location. In the section four we discuss our data and empirical approach and in the section five we presented our first set of results. Section seven present additional set of evidence about the channels for understanding the effects of the number of children on household head commuting time. Final remarks are presented in the section seven.</w:t>
      </w:r>
    </w:p>
    <w:p w14:paraId="16F6CB8A" w14:textId="77777777" w:rsidR="004F338F" w:rsidRPr="00924432" w:rsidRDefault="004F338F" w:rsidP="004F338F">
      <w:pPr>
        <w:contextualSpacing/>
        <w:jc w:val="both"/>
        <w:rPr>
          <w:color w:val="000000"/>
        </w:rPr>
      </w:pPr>
    </w:p>
    <w:p w14:paraId="14EB3D4F" w14:textId="77777777" w:rsidR="004F338F" w:rsidRPr="00C5744E" w:rsidRDefault="004F338F" w:rsidP="004F338F">
      <w:pPr>
        <w:jc w:val="both"/>
        <w:rPr>
          <w:b/>
          <w:lang w:val="en-US"/>
        </w:rPr>
      </w:pPr>
      <w:r w:rsidRPr="00C5744E">
        <w:rPr>
          <w:b/>
          <w:lang w:val="en-US"/>
        </w:rPr>
        <w:t>2</w:t>
      </w:r>
      <w:r>
        <w:rPr>
          <w:b/>
          <w:lang w:val="en-US"/>
        </w:rPr>
        <w:t xml:space="preserve">. </w:t>
      </w:r>
      <w:r w:rsidRPr="00C5744E">
        <w:rPr>
          <w:b/>
          <w:lang w:val="en-US"/>
        </w:rPr>
        <w:t>Families’ size reduction, residential space and commuting time in Brazilian urban centers: some stylized facts</w:t>
      </w:r>
    </w:p>
    <w:p w14:paraId="1F9BC0D0" w14:textId="77777777" w:rsidR="004F338F" w:rsidRDefault="004F338F" w:rsidP="004F338F">
      <w:pPr>
        <w:jc w:val="both"/>
        <w:rPr>
          <w:b/>
          <w:lang w:val="en-US"/>
        </w:rPr>
      </w:pPr>
      <w:r w:rsidRPr="00C5744E">
        <w:rPr>
          <w:b/>
          <w:lang w:val="en-US"/>
        </w:rPr>
        <w:tab/>
      </w:r>
    </w:p>
    <w:p w14:paraId="3540BF7C" w14:textId="77777777" w:rsidR="004F338F" w:rsidRPr="00C5744E" w:rsidRDefault="004F338F" w:rsidP="004F338F">
      <w:pPr>
        <w:ind w:firstLine="708"/>
        <w:jc w:val="both"/>
        <w:rPr>
          <w:lang w:val="en-US"/>
        </w:rPr>
      </w:pPr>
      <w:r w:rsidRPr="00C5744E">
        <w:rPr>
          <w:lang w:val="en-US"/>
        </w:rPr>
        <w:t>The strong drop in the fertility rate of Brazilian women observed by Vasconcelos and Gomes (2012) from 1970 on, have been producing a significant reduction of families’ size in Brazilian. The reasons behind the drop of the fertility rates in Brazil include dissemination of information through new kind of communication and the increasing the woman schooling and labor market insertion (see, for example, Faria 1989, Faria and Potter 1999, and Cravalho and Brito 2005). In the Figure 1, we show that this movement continued in the 1990s and 2000’s and implied a significant reduction of the share of siblings in the total of household members of Brazilian urban centers. In 2013, this share was around 27.8%, after a monotonic reduction since 1995, when this participation was above 37%. As expected, this strong movement potentially affects households’ economic decisions and choices, including residential locations and the necessity of space.</w:t>
      </w:r>
    </w:p>
    <w:p w14:paraId="0FFEBC4F" w14:textId="77777777" w:rsidR="004F338F" w:rsidRPr="00C5744E" w:rsidRDefault="004F338F" w:rsidP="004F338F">
      <w:pPr>
        <w:rPr>
          <w:b/>
          <w:lang w:val="en-US"/>
        </w:rPr>
      </w:pPr>
      <w:r w:rsidRPr="00C5744E">
        <w:rPr>
          <w:b/>
          <w:lang w:val="en-US"/>
        </w:rPr>
        <w:t xml:space="preserve"> </w:t>
      </w:r>
    </w:p>
    <w:p w14:paraId="3A8AE862" w14:textId="77777777" w:rsidR="004F338F" w:rsidRPr="00C5744E" w:rsidRDefault="004F338F" w:rsidP="004F338F">
      <w:pPr>
        <w:rPr>
          <w:b/>
        </w:rPr>
      </w:pPr>
      <w:r>
        <w:rPr>
          <w:b/>
        </w:rPr>
        <w:t xml:space="preserve">               </w:t>
      </w:r>
      <w:r w:rsidRPr="00C5744E">
        <w:rPr>
          <w:noProof/>
          <w:lang w:val="en-US" w:eastAsia="en-US"/>
        </w:rPr>
        <w:drawing>
          <wp:inline distT="0" distB="0" distL="0" distR="0" wp14:anchorId="0DD080A0" wp14:editId="12E3420F">
            <wp:extent cx="4385733" cy="1761067"/>
            <wp:effectExtent l="0" t="0" r="889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01CE97" w14:textId="77777777" w:rsidR="004F338F" w:rsidRPr="00C5744E" w:rsidRDefault="004F338F" w:rsidP="004F338F">
      <w:pPr>
        <w:rPr>
          <w:lang w:val="en-US"/>
        </w:rPr>
      </w:pPr>
      <w:r w:rsidRPr="00C5744E">
        <w:rPr>
          <w:b/>
          <w:lang w:val="en-US"/>
        </w:rPr>
        <w:t xml:space="preserve">    </w:t>
      </w:r>
      <w:r w:rsidRPr="00C5744E">
        <w:rPr>
          <w:sz w:val="20"/>
          <w:szCs w:val="20"/>
          <w:lang w:val="en-US"/>
        </w:rPr>
        <w:t xml:space="preserve"> </w:t>
      </w:r>
      <w:r>
        <w:rPr>
          <w:sz w:val="20"/>
          <w:szCs w:val="20"/>
          <w:lang w:val="en-US"/>
        </w:rPr>
        <w:t xml:space="preserve">             </w:t>
      </w:r>
      <w:r w:rsidRPr="00C5744E">
        <w:rPr>
          <w:lang w:val="en-US"/>
        </w:rPr>
        <w:t xml:space="preserve">Figure 1 – Mean of the share of siblings (%) of the total household members – </w:t>
      </w:r>
    </w:p>
    <w:p w14:paraId="265F72A4" w14:textId="77777777" w:rsidR="004F338F" w:rsidRDefault="004F338F" w:rsidP="004F338F">
      <w:pPr>
        <w:rPr>
          <w:lang w:val="en-US"/>
        </w:rPr>
      </w:pPr>
      <w:r w:rsidRPr="00C5744E">
        <w:rPr>
          <w:lang w:val="en-US"/>
        </w:rPr>
        <w:t xml:space="preserve">     </w:t>
      </w:r>
      <w:r>
        <w:rPr>
          <w:lang w:val="en-US"/>
        </w:rPr>
        <w:t xml:space="preserve">           </w:t>
      </w:r>
      <w:r w:rsidRPr="00C5744E">
        <w:rPr>
          <w:lang w:val="en-US"/>
        </w:rPr>
        <w:t xml:space="preserve">Brazilian urban centers. </w:t>
      </w:r>
    </w:p>
    <w:p w14:paraId="36BDB3C1" w14:textId="77777777" w:rsidR="004F338F" w:rsidRPr="00D27CFA" w:rsidRDefault="004F338F" w:rsidP="004F338F">
      <w:pPr>
        <w:rPr>
          <w:lang w:val="en-US"/>
        </w:rPr>
      </w:pPr>
    </w:p>
    <w:p w14:paraId="26A5B31B" w14:textId="77777777" w:rsidR="004F338F" w:rsidRDefault="004F338F" w:rsidP="004F338F">
      <w:pPr>
        <w:jc w:val="both"/>
        <w:rPr>
          <w:lang w:val="en-US"/>
        </w:rPr>
      </w:pPr>
      <w:r w:rsidRPr="00C5744E">
        <w:rPr>
          <w:b/>
          <w:lang w:val="en-US"/>
        </w:rPr>
        <w:tab/>
      </w:r>
      <w:r w:rsidRPr="00C5744E">
        <w:rPr>
          <w:lang w:val="en-US"/>
        </w:rPr>
        <w:t>Actually, as can immediately be noted from the number of Figure 2 below, following this reduction of the presence of siblings in the Brazilian families, we perceive a consistent reduction of the average number of bedrooms of urban Brazilian residence from 1995 to 2013. This movement in the direction of smaller residences also happens when considering total number of rooms of the residence (not only bedrooms) and, importantly, occurs during a period of increasing per capita income of the Brazilian families. In fact, as we show in a next section, the apparent reduction of the residential space is not only consistent with the above movement of families’ size reduction, but it is partial and effectively caused by the reduction in the number of children of the Brazilian urban families.</w:t>
      </w:r>
    </w:p>
    <w:p w14:paraId="3DD4CAEE" w14:textId="77777777" w:rsidR="004F338F" w:rsidRPr="00C5744E" w:rsidRDefault="004F338F" w:rsidP="004F338F">
      <w:pPr>
        <w:jc w:val="both"/>
        <w:rPr>
          <w:lang w:val="en-US"/>
        </w:rPr>
      </w:pPr>
    </w:p>
    <w:p w14:paraId="2779E82D" w14:textId="77777777" w:rsidR="004F338F" w:rsidRPr="00C5744E" w:rsidRDefault="004F338F" w:rsidP="004F338F">
      <w:pPr>
        <w:jc w:val="both"/>
        <w:rPr>
          <w:b/>
        </w:rPr>
      </w:pPr>
      <w:r>
        <w:rPr>
          <w:b/>
        </w:rPr>
        <w:t xml:space="preserve">                  </w:t>
      </w:r>
      <w:r w:rsidRPr="00C5744E">
        <w:rPr>
          <w:noProof/>
          <w:lang w:val="en-US" w:eastAsia="en-US"/>
        </w:rPr>
        <w:drawing>
          <wp:inline distT="0" distB="0" distL="0" distR="0" wp14:anchorId="3369FB50" wp14:editId="03DAF8F1">
            <wp:extent cx="4445000" cy="1845734"/>
            <wp:effectExtent l="0" t="0" r="0" b="889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CCC66A" w14:textId="77777777" w:rsidR="004F338F" w:rsidRPr="00C5744E" w:rsidRDefault="004F338F" w:rsidP="004F338F">
      <w:pPr>
        <w:jc w:val="both"/>
        <w:rPr>
          <w:b/>
          <w:lang w:val="en-US"/>
        </w:rPr>
      </w:pPr>
      <w:r w:rsidRPr="00C5744E">
        <w:rPr>
          <w:b/>
          <w:lang w:val="en-US"/>
        </w:rPr>
        <w:t xml:space="preserve">   </w:t>
      </w:r>
      <w:r>
        <w:rPr>
          <w:b/>
          <w:lang w:val="en-US"/>
        </w:rPr>
        <w:t xml:space="preserve">               </w:t>
      </w:r>
      <w:r w:rsidRPr="00C5744E">
        <w:rPr>
          <w:b/>
          <w:lang w:val="en-US"/>
        </w:rPr>
        <w:t xml:space="preserve"> </w:t>
      </w:r>
      <w:r w:rsidRPr="00C5744E">
        <w:rPr>
          <w:lang w:val="en-US"/>
        </w:rPr>
        <w:t>Figure 2 – Mean of the number of bedrooms of Brazilian urban residences</w:t>
      </w:r>
      <w:r w:rsidRPr="00C5744E">
        <w:rPr>
          <w:b/>
          <w:lang w:val="en-US"/>
        </w:rPr>
        <w:t>.</w:t>
      </w:r>
    </w:p>
    <w:p w14:paraId="6CE48F98" w14:textId="77777777" w:rsidR="004F338F" w:rsidRDefault="004F338F" w:rsidP="004F338F">
      <w:pPr>
        <w:jc w:val="both"/>
        <w:rPr>
          <w:b/>
          <w:lang w:val="en-US"/>
        </w:rPr>
      </w:pPr>
      <w:r w:rsidRPr="00C5744E">
        <w:rPr>
          <w:b/>
          <w:lang w:val="en-US"/>
        </w:rPr>
        <w:tab/>
      </w:r>
    </w:p>
    <w:p w14:paraId="1765B82D" w14:textId="77777777" w:rsidR="004F338F" w:rsidRPr="00C5744E" w:rsidRDefault="004F338F" w:rsidP="004F338F">
      <w:pPr>
        <w:ind w:firstLine="708"/>
        <w:jc w:val="both"/>
        <w:rPr>
          <w:lang w:val="en-US"/>
        </w:rPr>
      </w:pPr>
      <w:r w:rsidRPr="00C5744E">
        <w:rPr>
          <w:lang w:val="en-US"/>
        </w:rPr>
        <w:t xml:space="preserve">The reduction of necessity of residential space following the reduction of Brazilian families’ size has potential important implications for urban structure of its cities. Firstly, the smaller the residence, the closer to the jobs locations it tends to be located. This happens because residential space is generally cheaper in the suburban locations of the cities than in the moral central areas (Beckmann, 1973). Second, the fewer the number of children, more active in the labor market tend to be the two households, mainly the wife (Angrist and Wies, 1998). This tends to increase the importance of being located closer to the jobs’ locations. Finally, the greater the number of children, the stronger is the importance of accessing child and young specific services, such as schools. Again, there is here an influence in the residential location. </w:t>
      </w:r>
    </w:p>
    <w:p w14:paraId="345756DD" w14:textId="77777777" w:rsidR="004F338F" w:rsidRPr="00C5744E" w:rsidRDefault="004F338F" w:rsidP="004F338F">
      <w:pPr>
        <w:ind w:firstLine="720"/>
        <w:jc w:val="both"/>
        <w:rPr>
          <w:lang w:val="en-US"/>
        </w:rPr>
      </w:pPr>
      <w:r w:rsidRPr="00C5744E">
        <w:rPr>
          <w:lang w:val="en-US"/>
        </w:rPr>
        <w:t>Our data set does not contain any information about residential location, but we can use information about the household head regular commuting time from residential location to job location to get some suggestion of the influence of these forces. In the following Figure 3, considering only urban families, we show the evolution of the share of household heads living in residence with less than 3 bedrooms (smaller residences) in the total of household heads with less than 30 minutes of commuting time. The evidence indicates a robust increasing of this share and suggests a movement for living in smaller residences closer to the job locations.</w:t>
      </w:r>
      <w:r w:rsidRPr="00C5744E">
        <w:rPr>
          <w:b/>
          <w:lang w:val="en-US"/>
        </w:rPr>
        <w:t xml:space="preserve"> </w:t>
      </w:r>
      <w:r w:rsidRPr="00C5744E">
        <w:rPr>
          <w:lang w:val="en-US"/>
        </w:rPr>
        <w:t>Even been consistent with other demographic tendencies and urban problems, such as getting married later or general increasing importance of accessing job and services</w:t>
      </w:r>
      <w:r w:rsidRPr="00C5744E">
        <w:rPr>
          <w:b/>
          <w:lang w:val="en-US"/>
        </w:rPr>
        <w:t xml:space="preserve"> </w:t>
      </w:r>
      <w:r w:rsidRPr="00C5744E">
        <w:rPr>
          <w:lang w:val="en-US"/>
        </w:rPr>
        <w:t xml:space="preserve">because of commuting cost, it also may reflect the reduction of residential specific locations associated with fewer children.            </w:t>
      </w:r>
    </w:p>
    <w:p w14:paraId="15AC1ED3" w14:textId="77777777" w:rsidR="004F338F" w:rsidRPr="00C5744E" w:rsidRDefault="004F338F" w:rsidP="004F338F">
      <w:pPr>
        <w:rPr>
          <w:b/>
          <w:lang w:val="en-US"/>
        </w:rPr>
      </w:pPr>
    </w:p>
    <w:p w14:paraId="07274385" w14:textId="77777777" w:rsidR="004F338F" w:rsidRPr="00C5744E" w:rsidRDefault="004F338F" w:rsidP="004F338F">
      <w:pPr>
        <w:rPr>
          <w:b/>
        </w:rPr>
      </w:pPr>
      <w:r>
        <w:rPr>
          <w:b/>
        </w:rPr>
        <w:t xml:space="preserve">              </w:t>
      </w:r>
      <w:r w:rsidRPr="00C5744E">
        <w:rPr>
          <w:noProof/>
          <w:lang w:val="en-US" w:eastAsia="en-US"/>
        </w:rPr>
        <w:drawing>
          <wp:inline distT="0" distB="0" distL="0" distR="0" wp14:anchorId="028CF6F8" wp14:editId="74EB2B28">
            <wp:extent cx="4580466" cy="2142067"/>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560802" w14:textId="77777777" w:rsidR="004F338F" w:rsidRPr="00C5744E" w:rsidRDefault="004F338F" w:rsidP="004F338F">
      <w:pPr>
        <w:rPr>
          <w:lang w:val="en-US"/>
        </w:rPr>
      </w:pPr>
      <w:r w:rsidRPr="00C5744E">
        <w:rPr>
          <w:b/>
          <w:lang w:val="en-US"/>
        </w:rPr>
        <w:t xml:space="preserve">          </w:t>
      </w:r>
      <w:r w:rsidRPr="00C5744E">
        <w:rPr>
          <w:lang w:val="en-US"/>
        </w:rPr>
        <w:t xml:space="preserve">Figure 3 – Share of household heads living in residence with less than 3 bedrooms (%) </w:t>
      </w:r>
    </w:p>
    <w:p w14:paraId="677DDB2A" w14:textId="77777777" w:rsidR="004F338F" w:rsidRPr="00C5744E" w:rsidRDefault="004F338F" w:rsidP="004F338F">
      <w:pPr>
        <w:rPr>
          <w:lang w:val="en-US"/>
        </w:rPr>
      </w:pPr>
      <w:r w:rsidRPr="00C5744E">
        <w:rPr>
          <w:lang w:val="en-US"/>
        </w:rPr>
        <w:t xml:space="preserve">          in the total of household heads with less than 30 minutes of commuting time. </w:t>
      </w:r>
    </w:p>
    <w:p w14:paraId="624DBB10" w14:textId="77777777" w:rsidR="004F338F" w:rsidRPr="00C5744E" w:rsidRDefault="004F338F" w:rsidP="004F338F">
      <w:pPr>
        <w:rPr>
          <w:sz w:val="20"/>
          <w:lang w:val="en-US"/>
        </w:rPr>
      </w:pPr>
      <w:r w:rsidRPr="00C5744E">
        <w:rPr>
          <w:b/>
          <w:lang w:val="en-US"/>
        </w:rPr>
        <w:t xml:space="preserve">      </w:t>
      </w:r>
    </w:p>
    <w:p w14:paraId="5B0E48BA" w14:textId="77777777" w:rsidR="004F338F" w:rsidRPr="00C5744E" w:rsidRDefault="004F338F" w:rsidP="004F338F">
      <w:pPr>
        <w:jc w:val="both"/>
        <w:rPr>
          <w:lang w:val="en-US"/>
        </w:rPr>
      </w:pPr>
      <w:r w:rsidRPr="00C5744E">
        <w:rPr>
          <w:b/>
          <w:lang w:val="en-US"/>
        </w:rPr>
        <w:tab/>
      </w:r>
      <w:r w:rsidRPr="00C5744E">
        <w:rPr>
          <w:lang w:val="en-US"/>
        </w:rPr>
        <w:t>This point looks even more probable when we look at the relationship between the number of children of the families and the household head commuting time. In the below Figure 4, we show the shares of the families with household head’s commuting time in the categories of up to 30 minutes (shorter) and more than 30 minutes (longer) for different number of household’s children.  Consistent with the above arguments, the evidence makes clear that the bigger the number of children, the higher is the share of household heads presenting longer commuting time (for example, the share of household head with commuting time longer than 30 minutes increases from 34.5%, for the households with only one children, to 39.3%, for households with six children).</w:t>
      </w:r>
    </w:p>
    <w:p w14:paraId="4E08E155" w14:textId="77777777" w:rsidR="004F338F" w:rsidRPr="00C5744E" w:rsidRDefault="004F338F" w:rsidP="004F338F">
      <w:pPr>
        <w:jc w:val="both"/>
        <w:rPr>
          <w:lang w:val="en-US"/>
        </w:rPr>
      </w:pPr>
      <w:r w:rsidRPr="00C5744E">
        <w:rPr>
          <w:lang w:val="en-US"/>
        </w:rPr>
        <w:tab/>
        <w:t xml:space="preserve">In the next sections we show evidence favoring a causal interpretation of this relationship and discuss the alternative economic mechanisms for explaining it. But we begin, in the next section, discussing more precisely theoretical arguments behind it and </w:t>
      </w:r>
      <w:r>
        <w:rPr>
          <w:lang w:val="en-US"/>
        </w:rPr>
        <w:t>some evidence of the literature.</w:t>
      </w:r>
    </w:p>
    <w:p w14:paraId="45B96AF2" w14:textId="77777777" w:rsidR="004F338F" w:rsidRPr="00D27CFA" w:rsidRDefault="004F338F" w:rsidP="004F338F">
      <w:pPr>
        <w:rPr>
          <w:sz w:val="20"/>
          <w:lang w:val="en-US"/>
        </w:rPr>
      </w:pPr>
      <w:r w:rsidRPr="00C5744E">
        <w:rPr>
          <w:lang w:val="en-US"/>
        </w:rPr>
        <w:t xml:space="preserve">                     </w:t>
      </w:r>
    </w:p>
    <w:p w14:paraId="7548A36C" w14:textId="77777777" w:rsidR="004F338F" w:rsidRDefault="004F338F" w:rsidP="004F338F">
      <w:pPr>
        <w:rPr>
          <w:lang w:val="en-US"/>
        </w:rPr>
      </w:pPr>
      <w:r>
        <w:rPr>
          <w:sz w:val="20"/>
          <w:lang w:val="en-US"/>
        </w:rPr>
        <w:t xml:space="preserve">                         </w:t>
      </w:r>
      <w:r w:rsidRPr="00C5744E">
        <w:rPr>
          <w:noProof/>
          <w:lang w:val="en-US" w:eastAsia="en-US"/>
        </w:rPr>
        <w:drawing>
          <wp:inline distT="0" distB="0" distL="0" distR="0" wp14:anchorId="7CE39E08" wp14:editId="43329D74">
            <wp:extent cx="4766734" cy="2463800"/>
            <wp:effectExtent l="0" t="0" r="889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0"/>
          <w:lang w:val="en-US"/>
        </w:rPr>
        <w:t xml:space="preserve">  </w:t>
      </w:r>
      <w:r w:rsidRPr="00C5744E">
        <w:rPr>
          <w:lang w:val="en-US"/>
        </w:rPr>
        <w:t xml:space="preserve"> </w:t>
      </w:r>
      <w:r>
        <w:rPr>
          <w:lang w:val="en-US"/>
        </w:rPr>
        <w:t xml:space="preserve"> </w:t>
      </w:r>
    </w:p>
    <w:p w14:paraId="7EB25A72" w14:textId="77777777" w:rsidR="004F338F" w:rsidRPr="00D650D9" w:rsidRDefault="004F338F" w:rsidP="004F338F">
      <w:pPr>
        <w:rPr>
          <w:sz w:val="20"/>
          <w:lang w:val="en-US"/>
        </w:rPr>
      </w:pPr>
      <w:r>
        <w:rPr>
          <w:lang w:val="en-US"/>
        </w:rPr>
        <w:t xml:space="preserve">                  </w:t>
      </w:r>
      <w:r w:rsidRPr="00C5744E">
        <w:rPr>
          <w:lang w:val="en-US"/>
        </w:rPr>
        <w:t xml:space="preserve">Figure 4 – Number of siblings and household head commuting time in Brazilian </w:t>
      </w:r>
    </w:p>
    <w:p w14:paraId="1B44BD21" w14:textId="77777777" w:rsidR="004F338F" w:rsidRDefault="004F338F" w:rsidP="004F338F">
      <w:pPr>
        <w:contextualSpacing/>
        <w:jc w:val="both"/>
        <w:rPr>
          <w:lang w:val="en-US"/>
        </w:rPr>
      </w:pPr>
      <w:r w:rsidRPr="00C5744E">
        <w:rPr>
          <w:lang w:val="en-US"/>
        </w:rPr>
        <w:t xml:space="preserve">  </w:t>
      </w:r>
      <w:r>
        <w:rPr>
          <w:lang w:val="en-US"/>
        </w:rPr>
        <w:t xml:space="preserve">                </w:t>
      </w:r>
      <w:r w:rsidRPr="00C5744E">
        <w:rPr>
          <w:lang w:val="en-US"/>
        </w:rPr>
        <w:t xml:space="preserve">urban centers -2013. The numbers represent shares of each category in the total of </w:t>
      </w:r>
      <w:r>
        <w:rPr>
          <w:lang w:val="en-US"/>
        </w:rPr>
        <w:t xml:space="preserve"> </w:t>
      </w:r>
    </w:p>
    <w:p w14:paraId="37185C40" w14:textId="77777777" w:rsidR="004F338F" w:rsidRDefault="004F338F" w:rsidP="004F338F">
      <w:pPr>
        <w:contextualSpacing/>
        <w:jc w:val="both"/>
        <w:rPr>
          <w:lang w:val="en-US"/>
        </w:rPr>
      </w:pPr>
      <w:r>
        <w:rPr>
          <w:lang w:val="en-US"/>
        </w:rPr>
        <w:t xml:space="preserve">                  families.</w:t>
      </w:r>
    </w:p>
    <w:p w14:paraId="3C97E51B" w14:textId="77777777" w:rsidR="004F338F" w:rsidRDefault="004F338F" w:rsidP="004F338F">
      <w:pPr>
        <w:contextualSpacing/>
        <w:jc w:val="both"/>
        <w:rPr>
          <w:lang w:val="en-US"/>
        </w:rPr>
      </w:pPr>
    </w:p>
    <w:p w14:paraId="2A3D1F31" w14:textId="77777777" w:rsidR="004F338F" w:rsidRPr="00C5744E" w:rsidRDefault="004F338F" w:rsidP="004F338F">
      <w:pPr>
        <w:rPr>
          <w:b/>
          <w:lang w:val="en-US"/>
        </w:rPr>
      </w:pPr>
      <w:r w:rsidRPr="00C5744E">
        <w:rPr>
          <w:b/>
          <w:lang w:val="en-US"/>
        </w:rPr>
        <w:t>3. Family structure and commuting time: theory and evidence</w:t>
      </w:r>
    </w:p>
    <w:p w14:paraId="05E2613D" w14:textId="77777777" w:rsidR="004F338F" w:rsidRDefault="004F338F" w:rsidP="004F338F">
      <w:pPr>
        <w:ind w:firstLine="720"/>
        <w:jc w:val="both"/>
        <w:rPr>
          <w:lang w:val="en-US"/>
        </w:rPr>
      </w:pPr>
    </w:p>
    <w:p w14:paraId="58B90ABF" w14:textId="77777777" w:rsidR="004F338F" w:rsidRPr="00C5744E" w:rsidRDefault="004F338F" w:rsidP="004F338F">
      <w:pPr>
        <w:ind w:firstLine="720"/>
        <w:jc w:val="both"/>
        <w:rPr>
          <w:lang w:val="en-US"/>
        </w:rPr>
      </w:pPr>
      <w:r w:rsidRPr="00C5744E">
        <w:rPr>
          <w:lang w:val="en-US"/>
        </w:rPr>
        <w:t>Beckmann (1973) was the first to directly incorporate the family structure as an additional determinant of residential location and, thus, commuting time of the household head. In the simplest formalization, the higher the number of household non-working members, the weaker the valuation of accessibility to job by the household and the stronger the importance of residential space. Thus, being space cheaper in suburban areas, other characteristics equal, a family with more children tend to live much far from CBD or of the job locations than families with fewer children. The model can be extended to incorporate the addition effect of the presence of children associated, for example, with necessity of schools services on household location decision.</w:t>
      </w:r>
    </w:p>
    <w:p w14:paraId="4DDE13F5" w14:textId="77777777" w:rsidR="004F338F" w:rsidRPr="00C5744E" w:rsidRDefault="004F338F" w:rsidP="004F338F">
      <w:pPr>
        <w:ind w:firstLine="720"/>
        <w:jc w:val="both"/>
        <w:rPr>
          <w:lang w:val="en-US"/>
        </w:rPr>
      </w:pPr>
      <w:r w:rsidRPr="00C5744E">
        <w:rPr>
          <w:lang w:val="en-US"/>
        </w:rPr>
        <w:t xml:space="preserve">Fujita (1989) provides a simple formalization of Beckmann’s (1973) initial idea. Assuming that the family structure is characterized by tow parameters, </w:t>
      </w:r>
      <w:r w:rsidRPr="00C5744E">
        <w:rPr>
          <w:i/>
          <w:lang w:val="en-US"/>
        </w:rPr>
        <w:t xml:space="preserve">d </w:t>
      </w:r>
      <w:r w:rsidRPr="00C5744E">
        <w:rPr>
          <w:lang w:val="en-US"/>
        </w:rPr>
        <w:t xml:space="preserve">(the numbers of children of dependents) and </w:t>
      </w:r>
      <w:r w:rsidRPr="00C5744E">
        <w:rPr>
          <w:i/>
          <w:lang w:val="en-US"/>
        </w:rPr>
        <w:t>n</w:t>
      </w:r>
      <w:r w:rsidRPr="00C5744E">
        <w:rPr>
          <w:lang w:val="en-US"/>
        </w:rPr>
        <w:t xml:space="preserve"> (total numbers of components), and an utility function depending of the consumption of composite good (</w:t>
      </w:r>
      <w:r w:rsidRPr="00C5744E">
        <w:rPr>
          <w:i/>
          <w:lang w:val="en-US"/>
        </w:rPr>
        <w:t>z</w:t>
      </w:r>
      <w:r w:rsidRPr="00C5744E">
        <w:rPr>
          <w:lang w:val="en-US"/>
        </w:rPr>
        <w:t>), residential space (</w:t>
      </w:r>
      <w:r w:rsidRPr="00C5744E">
        <w:rPr>
          <w:i/>
          <w:lang w:val="en-US"/>
        </w:rPr>
        <w:t>s</w:t>
      </w:r>
      <w:r w:rsidRPr="00C5744E">
        <w:rPr>
          <w:lang w:val="en-US"/>
        </w:rPr>
        <w:t>), and, of laser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C5744E">
        <w:rPr>
          <w:rFonts w:eastAsiaTheme="minorEastAsia"/>
          <w:lang w:val="en-US"/>
        </w:rPr>
        <w:t>)</w:t>
      </w:r>
      <w:r w:rsidRPr="00C5744E">
        <w:rPr>
          <w:lang w:val="en-US"/>
        </w:rPr>
        <w:t xml:space="preserve">, we have </w:t>
      </w:r>
      <m:oMath>
        <m:r>
          <w:rPr>
            <w:rFonts w:ascii="Cambria Math" w:hAnsi="Cambria Math"/>
            <w:lang w:val="en-US"/>
          </w:rPr>
          <m:t>U</m:t>
        </m:r>
        <m:r>
          <m:rPr>
            <m:sty m:val="p"/>
          </m:rPr>
          <w:rPr>
            <w:rFonts w:ascii="Cambria Math" w:hAnsi="Cambria Math"/>
            <w:lang w:val="en-US"/>
          </w:rPr>
          <m:t>(</m:t>
        </m:r>
        <m:r>
          <w:rPr>
            <w:rFonts w:ascii="Cambria Math" w:hAnsi="Cambria Math"/>
            <w:lang w:val="en-US"/>
          </w:rPr>
          <m:t>z,s,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r>
          <w:rPr>
            <w:rFonts w:ascii="Cambria Math" w:hAnsi="Cambria Math"/>
            <w:lang w:val="en-US"/>
          </w:rPr>
          <m:t>;d,n</m:t>
        </m:r>
        <m:r>
          <m:rPr>
            <m:sty m:val="p"/>
          </m:rPr>
          <w:rPr>
            <w:rFonts w:ascii="Cambria Math" w:hAnsi="Cambria Math"/>
            <w:lang w:val="en-US"/>
          </w:rPr>
          <m:t>)</m:t>
        </m:r>
      </m:oMath>
      <w:r w:rsidRPr="00C5744E">
        <w:rPr>
          <w:lang w:val="en-US"/>
        </w:rPr>
        <w:t>. Thus, for example, the problem of the family can be initially stated as:</w:t>
      </w:r>
    </w:p>
    <w:p w14:paraId="5BB07E49" w14:textId="77777777" w:rsidR="004F338F" w:rsidRPr="00C5744E" w:rsidRDefault="004F338F" w:rsidP="004F338F">
      <w:pPr>
        <w:ind w:firstLine="720"/>
        <w:jc w:val="both"/>
        <w:rPr>
          <w:lang w:val="en-US"/>
        </w:rPr>
      </w:pPr>
    </w:p>
    <w:p w14:paraId="1CE9A005" w14:textId="77777777" w:rsidR="004F338F" w:rsidRDefault="00632B73" w:rsidP="004F338F">
      <w:pPr>
        <w:rPr>
          <w:lang w:val="en-US"/>
        </w:rPr>
      </w:pPr>
      <m:oMath>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r,c,s,</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 xml:space="preserve">l </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w</m:t>
                    </m:r>
                  </m:sub>
                </m:sSub>
              </m:lim>
            </m:limLow>
          </m:fName>
          <m:e>
            <m:r>
              <m:rPr>
                <m:sty m:val="p"/>
              </m:rPr>
              <w:rPr>
                <w:rFonts w:ascii="Cambria Math" w:hAnsi="Cambria Math"/>
                <w:lang w:val="en-US"/>
              </w:rPr>
              <m:t>U(</m:t>
            </m:r>
            <m:r>
              <w:rPr>
                <w:rFonts w:ascii="Cambria Math" w:hAnsi="Cambria Math"/>
                <w:lang w:val="en-US"/>
              </w:rPr>
              <m:t>z,s,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,d,n</m:t>
            </m:r>
            <m:r>
              <m:rPr>
                <m:sty m:val="p"/>
              </m:rPr>
              <w:rPr>
                <w:rFonts w:ascii="Cambria Math" w:hAnsi="Cambria Math"/>
                <w:lang w:val="en-US"/>
              </w:rPr>
              <m:t>)</m:t>
            </m:r>
          </m:e>
        </m:func>
      </m:oMath>
      <w:r w:rsidR="004F338F" w:rsidRPr="00C5744E">
        <w:rPr>
          <w:lang w:val="en-US"/>
        </w:rPr>
        <w:t xml:space="preserve">                                                                                            </w:t>
      </w:r>
      <w:r w:rsidR="004F338F">
        <w:rPr>
          <w:lang w:val="en-US"/>
        </w:rPr>
        <w:t xml:space="preserve">          </w:t>
      </w:r>
      <w:r w:rsidR="004F338F" w:rsidRPr="00C5744E">
        <w:rPr>
          <w:lang w:val="en-US"/>
        </w:rPr>
        <w:t>(1)</w:t>
      </w:r>
    </w:p>
    <w:p w14:paraId="49ACB010" w14:textId="77777777" w:rsidR="004F338F" w:rsidRPr="00C5744E" w:rsidRDefault="004F338F" w:rsidP="004F338F">
      <w:pPr>
        <w:rPr>
          <w:lang w:val="en-US"/>
        </w:rPr>
      </w:pPr>
    </w:p>
    <w:p w14:paraId="00EB4443" w14:textId="77777777" w:rsidR="004F338F" w:rsidRDefault="004F338F" w:rsidP="004F338F">
      <w:pPr>
        <w:rPr>
          <w:lang w:val="en-US"/>
        </w:rPr>
      </w:pPr>
      <w:r w:rsidRPr="00C5744E">
        <w:rPr>
          <w:lang w:val="en-US"/>
        </w:rPr>
        <w:t xml:space="preserve">  </w:t>
      </w:r>
      <m:oMath>
        <m:r>
          <m:rPr>
            <m:sty m:val="p"/>
          </m:rPr>
          <w:rPr>
            <w:rFonts w:ascii="Cambria Math" w:hAnsi="Cambria Math"/>
            <w:lang w:val="en-US"/>
          </w:rPr>
          <m:t xml:space="preserve"> </m:t>
        </m:r>
        <m:r>
          <m:rPr>
            <m:sty m:val="p"/>
          </m:rPr>
          <w:rPr>
            <w:rFonts w:ascii="Cambria Math" w:hAnsi="Cambria Math"/>
          </w:rPr>
          <m:t xml:space="preserve">s. t. </m:t>
        </m:r>
      </m:oMath>
      <w:r w:rsidRPr="00C5744E">
        <w:t xml:space="preserve">  </w:t>
      </w:r>
      <m:oMath>
        <m:r>
          <w:rPr>
            <w:rFonts w:ascii="Cambria Math" w:hAnsi="Cambria Math"/>
            <w:lang w:val="en-US"/>
          </w:rPr>
          <m:t>z</m:t>
        </m:r>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s</m:t>
            </m:r>
          </m:e>
        </m:d>
        <m:r>
          <w:rPr>
            <w:rFonts w:ascii="Cambria Math" w:hAnsi="Cambria Math"/>
            <w:lang w:val="en-US"/>
          </w:rPr>
          <m:t>s</m:t>
        </m:r>
        <m:r>
          <w:rPr>
            <w:rFonts w:ascii="Cambria Math" w:hAnsi="Cambria Math"/>
          </w:rPr>
          <m:t>+</m:t>
        </m:r>
        <m:d>
          <m:dPr>
            <m:ctrlPr>
              <w:rPr>
                <w:rFonts w:ascii="Cambria Math" w:hAnsi="Cambria Math"/>
                <w:i/>
                <w:lang w:val="en-US"/>
              </w:rPr>
            </m:ctrlPr>
          </m:dPr>
          <m:e>
            <m:r>
              <w:rPr>
                <w:rFonts w:ascii="Cambria Math" w:hAnsi="Cambria Math"/>
                <w:lang w:val="en-US"/>
              </w:rPr>
              <m:t>n</m:t>
            </m:r>
            <m:r>
              <w:rPr>
                <w:rFonts w:ascii="Cambria Math" w:hAnsi="Cambria Math"/>
              </w:rPr>
              <m:t>-</m:t>
            </m:r>
            <m:r>
              <w:rPr>
                <w:rFonts w:ascii="Cambria Math" w:hAnsi="Cambria Math"/>
                <w:lang w:val="en-US"/>
              </w:rPr>
              <m:t>d</m:t>
            </m:r>
          </m:e>
        </m:d>
        <m:r>
          <w:rPr>
            <w:rFonts w:ascii="Cambria Math" w:hAnsi="Cambria Math"/>
            <w:lang w:val="en-US"/>
          </w:rPr>
          <m:t>ar</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w</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oMath>
      <w:r w:rsidRPr="00C5744E">
        <w:t xml:space="preserve">     </w:t>
      </w:r>
      <w:r>
        <w:t>and</w:t>
      </w:r>
      <w:r w:rsidRPr="00C5744E">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rPr>
          <m:t>+</m:t>
        </m:r>
        <m:r>
          <w:rPr>
            <w:rFonts w:ascii="Cambria Math" w:hAnsi="Cambria Math"/>
            <w:lang w:val="en-US"/>
          </w:rPr>
          <m:t>br</m:t>
        </m:r>
        <m:r>
          <w:rPr>
            <w:rFonts w:ascii="Cambria Math" w:hAnsi="Cambria Math"/>
          </w:rPr>
          <m:t>=</m:t>
        </m:r>
        <m:r>
          <w:rPr>
            <w:rFonts w:ascii="Cambria Math" w:hAnsi="Cambria Math"/>
            <w:lang w:val="en-US"/>
          </w:rPr>
          <m:t>t</m:t>
        </m:r>
      </m:oMath>
    </w:p>
    <w:p w14:paraId="5CA667C6" w14:textId="77777777" w:rsidR="004F338F" w:rsidRPr="00C5744E" w:rsidRDefault="004F338F" w:rsidP="004F338F"/>
    <w:p w14:paraId="76E801ED" w14:textId="77777777" w:rsidR="004F338F" w:rsidRPr="00C5744E" w:rsidRDefault="004F338F" w:rsidP="004F338F">
      <w:pPr>
        <w:jc w:val="both"/>
        <w:rPr>
          <w:rFonts w:eastAsiaTheme="minorEastAsia"/>
          <w:lang w:val="en-US"/>
        </w:rPr>
      </w:pPr>
      <w:r w:rsidRPr="00C5744E">
        <w:rPr>
          <w:lang w:val="en-US"/>
        </w:rPr>
        <w:t xml:space="preserve">Where the first restriction is the budget of the family and assumes that each worker member has the same commuting costs (pecuniary, denoted by </w:t>
      </w:r>
      <w:r w:rsidRPr="00C5744E">
        <w:rPr>
          <w:i/>
          <w:lang w:val="en-US"/>
        </w:rPr>
        <w:t>ar</w:t>
      </w:r>
      <w:r w:rsidRPr="00C5744E">
        <w:rPr>
          <w:lang w:val="en-US"/>
        </w:rPr>
        <w:t xml:space="preserve">), where </w:t>
      </w:r>
      <w:r w:rsidRPr="00C5744E">
        <w:rPr>
          <w:i/>
          <w:lang w:val="en-US"/>
        </w:rPr>
        <w:t xml:space="preserve">r </w:t>
      </w:r>
      <w:r w:rsidRPr="00C5744E">
        <w:rPr>
          <w:lang w:val="en-US"/>
        </w:rPr>
        <w:t xml:space="preserve">denotes distance form CBD and </w:t>
      </w:r>
      <w:r w:rsidRPr="00C5744E">
        <w:rPr>
          <w:i/>
          <w:lang w:val="en-US"/>
        </w:rPr>
        <w:t xml:space="preserve">a </w:t>
      </w:r>
      <w:r w:rsidRPr="00C5744E">
        <w:rPr>
          <w:lang w:val="en-US"/>
        </w:rPr>
        <w:t>marginal transport cost, and salary (</w:t>
      </w:r>
      <w:r w:rsidRPr="00C5744E">
        <w:rPr>
          <w:i/>
          <w:lang w:val="en-US"/>
        </w:rPr>
        <w:t>w</w:t>
      </w:r>
      <w:r w:rsidRPr="00C5744E">
        <w:rPr>
          <w:lang w:val="en-US"/>
        </w:rPr>
        <w:t>). The second restriction represents de time allocation of each family’s member among work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oMath>
      <w:r w:rsidRPr="00C5744E">
        <w:rPr>
          <w:lang w:val="en-US"/>
        </w:rPr>
        <w:t xml:space="preserve">), laser </w:t>
      </w:r>
      <m:oMath>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r>
          <m:rPr>
            <m:sty m:val="p"/>
          </m:rPr>
          <w:rPr>
            <w:rFonts w:ascii="Cambria Math" w:hAnsi="Cambria Math"/>
            <w:lang w:val="en-US"/>
          </w:rPr>
          <m:t>)</m:t>
        </m:r>
      </m:oMath>
      <w:r w:rsidRPr="00C5744E">
        <w:rPr>
          <w:rFonts w:eastAsiaTheme="minorEastAsia"/>
          <w:lang w:val="en-US"/>
        </w:rPr>
        <w:t>, and the trajectory form home to job location (</w:t>
      </w:r>
      <w:r w:rsidRPr="00C5744E">
        <w:rPr>
          <w:rFonts w:eastAsiaTheme="minorEastAsia"/>
          <w:i/>
          <w:lang w:val="en-US"/>
        </w:rPr>
        <w:t>br</w:t>
      </w:r>
      <w:r w:rsidRPr="00C5744E">
        <w:rPr>
          <w:rFonts w:eastAsiaTheme="minorEastAsia"/>
          <w:lang w:val="en-US"/>
        </w:rPr>
        <w:t xml:space="preserve">, where </w:t>
      </w:r>
      <w:r w:rsidRPr="00C5744E">
        <w:rPr>
          <w:rFonts w:eastAsiaTheme="minorEastAsia"/>
          <w:i/>
          <w:lang w:val="en-US"/>
        </w:rPr>
        <w:t xml:space="preserve">b </w:t>
      </w:r>
      <w:r w:rsidRPr="00C5744E">
        <w:rPr>
          <w:rFonts w:eastAsiaTheme="minorEastAsia"/>
          <w:lang w:val="en-US"/>
        </w:rPr>
        <w:t>is a technology parameter).</w:t>
      </w:r>
    </w:p>
    <w:p w14:paraId="3D9ED516" w14:textId="77777777" w:rsidR="004F338F" w:rsidRPr="00C5744E" w:rsidRDefault="004F338F" w:rsidP="004F338F">
      <w:pPr>
        <w:jc w:val="both"/>
        <w:rPr>
          <w:rFonts w:eastAsiaTheme="minorEastAsia"/>
          <w:lang w:val="en-US"/>
        </w:rPr>
      </w:pPr>
      <w:r w:rsidRPr="00C5744E">
        <w:rPr>
          <w:rFonts w:eastAsiaTheme="minorEastAsia"/>
          <w:lang w:val="en-US"/>
        </w:rPr>
        <w:tab/>
        <w:t xml:space="preserve">Assuming simple function form for the utility function, it is not difficult to show that in the family locational equilibrium we get two important associations (see Fujita, 1989):  </w:t>
      </w:r>
    </w:p>
    <w:p w14:paraId="11618DBA" w14:textId="77777777" w:rsidR="004F338F" w:rsidRPr="00C5744E" w:rsidRDefault="004F338F" w:rsidP="004F338F">
      <w:pPr>
        <w:jc w:val="both"/>
        <w:rPr>
          <w:lang w:val="en-US"/>
        </w:rPr>
      </w:pPr>
    </w:p>
    <w:p w14:paraId="6686DF27" w14:textId="77777777" w:rsidR="004F338F" w:rsidRPr="00C5744E" w:rsidRDefault="004F338F" w:rsidP="004F338F">
      <w:pPr>
        <w:jc w:val="both"/>
        <w:rPr>
          <w:rFonts w:eastAsiaTheme="minorEastAsia"/>
          <w:lang w:val="en-US"/>
        </w:rPr>
      </w:pPr>
      <w:r w:rsidRPr="00C5744E">
        <w:rPr>
          <w:lang w:val="en-US"/>
        </w:rPr>
        <w:tab/>
      </w:r>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∂r</m:t>
            </m:r>
          </m:den>
        </m:f>
        <m:r>
          <w:rPr>
            <w:rFonts w:ascii="Cambria Math" w:hAnsi="Cambria Math"/>
            <w:lang w:val="en-US"/>
          </w:rPr>
          <m:t>&lt;0</m:t>
        </m:r>
      </m:oMath>
      <w:r w:rsidRPr="00C5744E">
        <w:rPr>
          <w:rFonts w:eastAsiaTheme="minorEastAsia"/>
          <w:sz w:val="28"/>
          <w:lang w:val="en-US"/>
        </w:rPr>
        <w:t xml:space="preserve">  </w:t>
      </w:r>
      <w:r w:rsidRPr="00C5744E">
        <w:rPr>
          <w:rFonts w:eastAsiaTheme="minorEastAsia"/>
          <w:lang w:val="en-US"/>
        </w:rPr>
        <w:t xml:space="preserve">and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∂r</m:t>
                    </m:r>
                  </m:den>
                </m:f>
              </m:e>
            </m:d>
          </m:num>
          <m:den>
            <m:r>
              <w:rPr>
                <w:rFonts w:ascii="Cambria Math" w:eastAsiaTheme="minorEastAsia" w:hAnsi="Cambria Math"/>
                <w:lang w:val="en-US"/>
              </w:rPr>
              <m:t>∂(d)</m:t>
            </m:r>
          </m:den>
        </m:f>
        <m:r>
          <w:rPr>
            <w:rFonts w:ascii="Cambria Math" w:eastAsiaTheme="minorEastAsia" w:hAnsi="Cambria Math"/>
            <w:lang w:val="en-US"/>
          </w:rPr>
          <m:t>&gt;0</m:t>
        </m:r>
      </m:oMath>
      <w:r w:rsidRPr="00C5744E">
        <w:rPr>
          <w:rFonts w:eastAsiaTheme="minorEastAsia"/>
          <w:lang w:val="en-US"/>
        </w:rPr>
        <w:t>,                                                                                              (2)</w:t>
      </w:r>
    </w:p>
    <w:p w14:paraId="5F2BB90D" w14:textId="77777777" w:rsidR="004F338F" w:rsidRPr="00C5744E" w:rsidRDefault="004F338F" w:rsidP="004F338F">
      <w:pPr>
        <w:jc w:val="both"/>
        <w:rPr>
          <w:rFonts w:eastAsiaTheme="minorEastAsia"/>
          <w:lang w:val="en-US"/>
        </w:rPr>
      </w:pPr>
    </w:p>
    <w:p w14:paraId="2B67186B" w14:textId="77777777" w:rsidR="004F338F" w:rsidRPr="00C5744E" w:rsidRDefault="004F338F" w:rsidP="004F338F">
      <w:pPr>
        <w:jc w:val="both"/>
        <w:rPr>
          <w:lang w:val="en-US"/>
        </w:rPr>
      </w:pPr>
      <w:r w:rsidRPr="00C5744E">
        <w:rPr>
          <w:rFonts w:eastAsiaTheme="minorEastAsia"/>
          <w:lang w:val="en-US"/>
        </w:rPr>
        <w:t>in other words and respectively, the value of the unit of space decrease with the distance to the CBD (reflecting the traditional urban dilemma between access and space) and an increase in the number of non-working members (children) makes easier for a family to trade access for residential space. This happens because increase the relative importance of residential space in the welfare of the family. Thus, according to this traditional perspective, everything more equal, families with more children would locate more distant from the CBD.</w:t>
      </w:r>
    </w:p>
    <w:p w14:paraId="2D207B8B" w14:textId="77777777" w:rsidR="004F338F" w:rsidRPr="00C5744E" w:rsidRDefault="004F338F" w:rsidP="004F338F">
      <w:pPr>
        <w:jc w:val="both"/>
        <w:rPr>
          <w:lang w:val="en-US"/>
        </w:rPr>
      </w:pPr>
      <w:r w:rsidRPr="00C5744E">
        <w:rPr>
          <w:lang w:val="en-US"/>
        </w:rPr>
        <w:tab/>
        <w:t>The above simple model, however, does not take into account all potential effects of a bigger number of children on the residential location decision of the family. In fact, at least two additional channels can be identified. First, a bigger number of children can also favor a residential location decision closer to schools that, because it demands much spaces, are generally not located in the CBDs of cities. Second, the number of children can also affect the partners’ decision about the degree of labor market insertion. As shown by Angrist and Evans (1998), for example, the bigger the number of siblings, the weaker is the married women active participation in the labor market. This influence, thus, makes less important for more members of the family to be located nearer the jobs locations (CBDs). Importantly, note that both these additional influences also tend to favor a positive association between the number of children and more suburban residential location or household head’s commuting time.</w:t>
      </w:r>
    </w:p>
    <w:p w14:paraId="52303F96" w14:textId="77777777" w:rsidR="004F338F" w:rsidRPr="00C5744E" w:rsidRDefault="004F338F" w:rsidP="004F338F">
      <w:pPr>
        <w:jc w:val="both"/>
        <w:rPr>
          <w:lang w:val="en-US"/>
        </w:rPr>
      </w:pPr>
      <w:r w:rsidRPr="00C5744E">
        <w:rPr>
          <w:lang w:val="en-US"/>
        </w:rPr>
        <w:tab/>
        <w:t xml:space="preserve">The empirical literature is amply favorable to a positive association between family size and more distant residential location or household head’s commuting time. Quigley (1976) and Wienberg (1979), for example, were of the firsts to empirically study the relation for US cities, confirming a positive association, which was interpreted through demand for residential space channel. More recently, for example, </w:t>
      </w:r>
      <w:r w:rsidRPr="000C1AC4">
        <w:rPr>
          <w:lang w:val="en-US"/>
        </w:rPr>
        <w:t xml:space="preserve">Kim et al. (2005) have highlighted the importance of the number of children for residential location choice in the case of Oxfordshire, United King, and Buzar et al. (2005) have discussed more amply the relation between family demography and urban configuration for European west counties. Even more recently, Moos (2015) showed that the bigger the family size, the lower urban density in the case of Canadian cities, and </w:t>
      </w:r>
      <w:r w:rsidRPr="00C5744E">
        <w:rPr>
          <w:lang w:val="en-US"/>
        </w:rPr>
        <w:t>Edlund et al. (2015) provided evidence indicating the importance of the demography for understanding de residential location patterns of American families. In particular, these last authors show families with children tend robust and regularly to live more distant from the CBD of the cities. Junga and Yang (2016) also showed that the bigger the number of children, the higher the probability of suburbia residential location of the household.</w:t>
      </w:r>
    </w:p>
    <w:p w14:paraId="20045142" w14:textId="77777777" w:rsidR="004F338F" w:rsidRDefault="004F338F" w:rsidP="004F338F">
      <w:pPr>
        <w:ind w:firstLine="708"/>
        <w:contextualSpacing/>
        <w:jc w:val="both"/>
        <w:rPr>
          <w:lang w:val="en-US"/>
        </w:rPr>
      </w:pPr>
      <w:r w:rsidRPr="00C5744E">
        <w:rPr>
          <w:lang w:val="en-US"/>
        </w:rPr>
        <w:t>As for Brazilian cities, the association between family structure and commuting time or residential location is barely investigated. Based on information about the city of Belo Horizonte and using a multilevel model, Miranda and Domingues (2010) present evidence favoring a negative relationship between number of children and household’s commuting time. This evidence differs, however, from those obtained more recently by Monsueto et al. (2015), for the state of Goiás, and by Silveira Neto et al.  (2015) and Duarte and Silveira Neto (2016), for the City of São Paulo. In line with international evidence, these authors found evidence favoring a positive relationship between non-working members of the household and household head’s commuting time. Although their importance, none of this works for Brazilian cities, however, presented evidence of a casual relationship between numbers of children and residential location or the commuting time of the household head.</w:t>
      </w:r>
    </w:p>
    <w:p w14:paraId="60AE1CCD" w14:textId="77777777" w:rsidR="004F338F" w:rsidRDefault="004F338F" w:rsidP="004F338F">
      <w:pPr>
        <w:ind w:firstLine="708"/>
        <w:contextualSpacing/>
        <w:jc w:val="both"/>
        <w:rPr>
          <w:lang w:val="en-US"/>
        </w:rPr>
      </w:pPr>
    </w:p>
    <w:p w14:paraId="1293DDC9" w14:textId="77777777" w:rsidR="004F338F" w:rsidRPr="00C5744E" w:rsidRDefault="004F338F" w:rsidP="004F338F">
      <w:pPr>
        <w:jc w:val="both"/>
        <w:rPr>
          <w:lang w:val="en-US"/>
        </w:rPr>
      </w:pPr>
      <w:r w:rsidRPr="00C5744E">
        <w:rPr>
          <w:b/>
          <w:lang w:val="en-US"/>
        </w:rPr>
        <w:t>4. Empirical strategy and data</w:t>
      </w:r>
    </w:p>
    <w:p w14:paraId="4DB01E6B" w14:textId="77777777" w:rsidR="004F338F" w:rsidRDefault="004F338F" w:rsidP="004F338F">
      <w:pPr>
        <w:ind w:firstLine="720"/>
        <w:jc w:val="both"/>
        <w:rPr>
          <w:lang w:val="en-US"/>
        </w:rPr>
      </w:pPr>
    </w:p>
    <w:p w14:paraId="788BC3C3" w14:textId="77777777" w:rsidR="004F338F" w:rsidRPr="00C5744E" w:rsidRDefault="004F338F" w:rsidP="004F338F">
      <w:pPr>
        <w:ind w:firstLine="720"/>
        <w:jc w:val="both"/>
        <w:rPr>
          <w:lang w:val="en-US"/>
        </w:rPr>
      </w:pPr>
      <w:r w:rsidRPr="00C5744E">
        <w:rPr>
          <w:lang w:val="en-US"/>
        </w:rPr>
        <w:t>In order to obtain a estimative of the causal influence of the number of children on the household head’s commuting time we need to consider the challenge posted by two traditional econometric problems, much evident in the case of Brazilian urban centers: the possibility of reverse causality and of omitted variable associated both to the number of children and to the commuting time. More clearly, reverse causality is an obvious problem, once better residential location (in terms of access to job and services) tend to attract familiar members, generating an spurious and weaker association between number of children and household head’s commuting time. Additionally, as in Brazilian urban centers the poorest families simultaneously tend to live at cities’ periphery or suburban locations and have more children, omission of adequate controls variables generates spurious and (now) stronger association between household’s number of children and household head’s commuting time.</w:t>
      </w:r>
    </w:p>
    <w:p w14:paraId="24E20854" w14:textId="77777777" w:rsidR="004F338F" w:rsidRPr="00C5744E" w:rsidRDefault="004F338F" w:rsidP="004F338F">
      <w:pPr>
        <w:ind w:firstLine="720"/>
        <w:jc w:val="both"/>
        <w:rPr>
          <w:lang w:val="en-US"/>
        </w:rPr>
      </w:pPr>
      <w:r w:rsidRPr="00C5744E">
        <w:rPr>
          <w:lang w:val="en-US"/>
        </w:rPr>
        <w:t>Fortunately, in the present specific case, we can use the instrument variable proposed initially by Angrist and Evans (1998) that use the information about the diversity of sex of the two first siblings. As convincingly argued by these authors, when the first two siblings are of the same sex, families tend to have another sibling than when the first two siblings are of different sex. As having the first two siblings of the different of same sex is not a choice of the family, this generates an external source of variation of family number of children. The limitations of the strategy are that it not can be applied when families choice the sex of the siblings, neither it is possible to be applied for families with less than two children. However, the first limitation does not apply in the case of Brazilian families and, as it is shown in the next sections, the second one appears to be empirically unimportant.</w:t>
      </w:r>
    </w:p>
    <w:p w14:paraId="0E6634FE" w14:textId="77777777" w:rsidR="004F338F" w:rsidRPr="00C5744E" w:rsidRDefault="004F338F" w:rsidP="004F338F">
      <w:pPr>
        <w:ind w:firstLine="720"/>
        <w:jc w:val="both"/>
        <w:rPr>
          <w:lang w:val="en-US"/>
        </w:rPr>
      </w:pPr>
      <w:r w:rsidRPr="00C5744E">
        <w:rPr>
          <w:lang w:val="en-US"/>
        </w:rPr>
        <w:t xml:space="preserve">More formally, denoting the number of children of the family </w:t>
      </w:r>
      <w:r w:rsidRPr="00C5744E">
        <w:rPr>
          <w:i/>
          <w:lang w:val="en-US"/>
        </w:rPr>
        <w:t xml:space="preserve">i </w:t>
      </w:r>
      <w:r w:rsidRPr="00C5744E">
        <w:rPr>
          <w:lang w:val="en-US"/>
        </w:rPr>
        <w:t xml:space="preserve">by </w:t>
      </w:r>
      <w:r w:rsidRPr="00C5744E">
        <w:rPr>
          <w:i/>
          <w:lang w:val="en-US"/>
        </w:rPr>
        <w:t>C</w:t>
      </w:r>
      <w:r w:rsidRPr="00C5744E">
        <w:rPr>
          <w:i/>
          <w:vertAlign w:val="subscript"/>
          <w:lang w:val="en-US"/>
        </w:rPr>
        <w:t xml:space="preserve">i </w:t>
      </w:r>
      <w:r w:rsidRPr="00C5744E">
        <w:rPr>
          <w:lang w:val="en-US"/>
        </w:rPr>
        <w:t xml:space="preserve">, an indicator if the two first siblings are of the same sex by </w:t>
      </w:r>
      <w:r w:rsidRPr="00C5744E">
        <w:rPr>
          <w:i/>
          <w:lang w:val="en-US"/>
        </w:rPr>
        <w:t>Samesex</w:t>
      </w:r>
      <w:r w:rsidRPr="00C5744E">
        <w:rPr>
          <w:i/>
          <w:vertAlign w:val="subscript"/>
          <w:lang w:val="en-US"/>
        </w:rPr>
        <w:t>i</w:t>
      </w:r>
      <w:r w:rsidRPr="00C5744E">
        <w:rPr>
          <w:lang w:val="en-US"/>
        </w:rPr>
        <w:t>, a set of control variables by</w:t>
      </w:r>
      <w:r w:rsidRPr="00C5744E">
        <w:rPr>
          <w:i/>
          <w:lang w:val="en-US"/>
        </w:rPr>
        <w:t xml:space="preserve"> X</w:t>
      </w:r>
      <w:r w:rsidRPr="00C5744E">
        <w:rPr>
          <w:i/>
          <w:vertAlign w:val="subscript"/>
          <w:lang w:val="en-US"/>
        </w:rPr>
        <w:t>i</w:t>
      </w:r>
      <w:r w:rsidRPr="00C5744E">
        <w:rPr>
          <w:lang w:val="en-US"/>
        </w:rPr>
        <w:t xml:space="preserve">, and the household head’s commuting time by </w:t>
      </w:r>
      <w:r w:rsidRPr="00C5744E">
        <w:rPr>
          <w:i/>
          <w:lang w:val="en-US"/>
        </w:rPr>
        <w:t>T</w:t>
      </w:r>
      <w:r w:rsidRPr="00C5744E">
        <w:rPr>
          <w:i/>
          <w:vertAlign w:val="subscript"/>
          <w:lang w:val="en-US"/>
        </w:rPr>
        <w:t xml:space="preserve">i </w:t>
      </w:r>
      <w:r w:rsidRPr="00C5744E">
        <w:rPr>
          <w:lang w:val="en-US"/>
        </w:rPr>
        <w:t>, we use 2SL-IV estimator in a system represented by the following specifications:</w:t>
      </w:r>
    </w:p>
    <w:p w14:paraId="020BA9C7" w14:textId="77777777" w:rsidR="004F338F" w:rsidRPr="00C5744E" w:rsidRDefault="004F338F" w:rsidP="004F338F">
      <w:pPr>
        <w:ind w:firstLine="720"/>
        <w:jc w:val="both"/>
        <w:rPr>
          <w:lang w:val="en-US"/>
        </w:rPr>
      </w:pPr>
    </w:p>
    <w:p w14:paraId="147CDEEF" w14:textId="77777777" w:rsidR="004F338F" w:rsidRPr="00C5744E" w:rsidRDefault="00632B73" w:rsidP="004F338F">
      <w:pPr>
        <w:ind w:firstLine="720"/>
        <w:jc w:val="both"/>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Samesex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w:r w:rsidR="004F338F" w:rsidRPr="00C5744E">
        <w:rPr>
          <w:i/>
          <w:lang w:val="en-US"/>
        </w:rPr>
        <w:t xml:space="preserve">                                                                             </w:t>
      </w:r>
      <w:r w:rsidR="004F338F" w:rsidRPr="00C5744E">
        <w:rPr>
          <w:lang w:val="en-US"/>
        </w:rPr>
        <w:t>(1)</w:t>
      </w:r>
    </w:p>
    <w:p w14:paraId="15812DAD" w14:textId="77777777" w:rsidR="004F338F" w:rsidRPr="00C5744E" w:rsidRDefault="004F338F" w:rsidP="004F338F">
      <w:pPr>
        <w:ind w:firstLine="720"/>
        <w:jc w:val="both"/>
        <w:rPr>
          <w:lang w:val="en-US"/>
        </w:rPr>
      </w:pPr>
    </w:p>
    <w:p w14:paraId="17C20ED5" w14:textId="77777777" w:rsidR="004F338F" w:rsidRPr="00C5744E" w:rsidRDefault="00632B73" w:rsidP="004F338F">
      <w:pPr>
        <w:ind w:firstLine="720"/>
        <w:jc w:val="both"/>
        <w:rPr>
          <w:i/>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C</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sidR="004F338F" w:rsidRPr="00C5744E">
        <w:rPr>
          <w:rFonts w:eastAsiaTheme="minorEastAsia"/>
          <w:i/>
          <w:lang w:val="en-US"/>
        </w:rPr>
        <w:t xml:space="preserve">                                                                                           </w:t>
      </w:r>
      <w:r w:rsidR="004F338F" w:rsidRPr="00C5744E">
        <w:rPr>
          <w:rFonts w:eastAsiaTheme="minorEastAsia"/>
          <w:lang w:val="en-US"/>
        </w:rPr>
        <w:t>(2)</w:t>
      </w:r>
    </w:p>
    <w:p w14:paraId="0ABFB1B6" w14:textId="77777777" w:rsidR="004F338F" w:rsidRPr="00C5744E" w:rsidRDefault="004F338F" w:rsidP="004F338F">
      <w:pPr>
        <w:jc w:val="both"/>
        <w:rPr>
          <w:lang w:val="en-US"/>
        </w:rPr>
      </w:pPr>
    </w:p>
    <w:p w14:paraId="77114CA9" w14:textId="77777777" w:rsidR="004F338F" w:rsidRPr="00C5744E" w:rsidRDefault="004F338F" w:rsidP="004F338F">
      <w:pPr>
        <w:jc w:val="both"/>
        <w:rPr>
          <w:lang w:val="en-US"/>
        </w:rPr>
      </w:pPr>
      <w:r w:rsidRPr="00C5744E">
        <w:rPr>
          <w:lang w:val="en-US"/>
        </w:rPr>
        <w:t xml:space="preserve">Where </w:t>
      </w:r>
      <w:r w:rsidRPr="00C5744E">
        <w:rPr>
          <w:i/>
          <w:lang w:val="en-US"/>
        </w:rPr>
        <w:sym w:font="Symbol" w:char="F061"/>
      </w:r>
      <w:r w:rsidRPr="00C5744E">
        <w:rPr>
          <w:i/>
          <w:lang w:val="en-US"/>
        </w:rPr>
        <w:t xml:space="preserve">, </w:t>
      </w:r>
      <w:r w:rsidRPr="00C5744E">
        <w:rPr>
          <w:i/>
          <w:lang w:val="en-US"/>
        </w:rPr>
        <w:sym w:font="Symbol" w:char="F062"/>
      </w:r>
      <w:r w:rsidRPr="00C5744E">
        <w:rPr>
          <w:i/>
          <w:lang w:val="en-US"/>
        </w:rPr>
        <w:t xml:space="preserve">, </w:t>
      </w:r>
      <w:r w:rsidRPr="00C5744E">
        <w:rPr>
          <w:i/>
          <w:lang w:val="en-US"/>
        </w:rPr>
        <w:sym w:font="Symbol" w:char="F067"/>
      </w:r>
      <w:r w:rsidRPr="00C5744E">
        <w:rPr>
          <w:i/>
          <w:lang w:val="en-US"/>
        </w:rPr>
        <w:t xml:space="preserve">, </w:t>
      </w:r>
      <w:r w:rsidRPr="00C5744E">
        <w:rPr>
          <w:i/>
          <w:lang w:val="en-US"/>
        </w:rPr>
        <w:sym w:font="Symbol" w:char="F071"/>
      </w:r>
      <w:r w:rsidRPr="00C5744E">
        <w:rPr>
          <w:i/>
          <w:lang w:val="en-US"/>
        </w:rPr>
        <w:t xml:space="preserve"> </w:t>
      </w:r>
      <w:r w:rsidRPr="00C5744E">
        <w:rPr>
          <w:lang w:val="en-US"/>
        </w:rPr>
        <w:t>e</w:t>
      </w:r>
      <w:r w:rsidRPr="00C5744E">
        <w:rPr>
          <w:i/>
          <w:lang w:val="en-US"/>
        </w:rPr>
        <w:t xml:space="preserve"> </w:t>
      </w:r>
      <w:r w:rsidRPr="00C5744E">
        <w:rPr>
          <w:i/>
          <w:lang w:val="en-US"/>
        </w:rPr>
        <w:sym w:font="Symbol" w:char="F072"/>
      </w:r>
      <w:r w:rsidRPr="00C5744E">
        <w:rPr>
          <w:lang w:val="en-US"/>
        </w:rPr>
        <w:t xml:space="preserve"> are parameters and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w:r w:rsidRPr="00C5744E">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sidRPr="00C5744E">
        <w:rPr>
          <w:rFonts w:eastAsiaTheme="minorEastAsia"/>
          <w:lang w:val="en-US"/>
        </w:rPr>
        <w:t xml:space="preserve"> error terms. Thus, </w:t>
      </w:r>
      <w:r w:rsidRPr="00C5744E">
        <w:rPr>
          <w:lang w:val="en-US"/>
        </w:rPr>
        <w:t>equation (1) represents the first stage specification and equation (2) the second stage.</w:t>
      </w:r>
    </w:p>
    <w:p w14:paraId="6DB6DC6A" w14:textId="77777777" w:rsidR="004F338F" w:rsidRPr="00C5744E" w:rsidRDefault="004F338F" w:rsidP="004F338F">
      <w:pPr>
        <w:jc w:val="both"/>
        <w:rPr>
          <w:lang w:val="en-US"/>
        </w:rPr>
      </w:pPr>
      <w:r w:rsidRPr="00C5744E">
        <w:rPr>
          <w:lang w:val="en-US"/>
        </w:rPr>
        <w:tab/>
        <w:t xml:space="preserve">In order to get reliable estimative (consistency and low bias), we have to have a good instrument (in terms of association between the endogenous variable and the instrument, i.e., </w:t>
      </w:r>
      <m:oMath>
        <m:sSub>
          <m:sSubPr>
            <m:ctrlPr>
              <w:rPr>
                <w:rFonts w:ascii="Cambria Math" w:hAnsi="Cambria Math"/>
                <w:i/>
                <w:lang w:val="en-US"/>
              </w:rPr>
            </m:ctrlPr>
          </m:sSubPr>
          <m:e>
            <m:r>
              <w:rPr>
                <w:rFonts w:ascii="Cambria Math" w:hAnsi="Cambria Math"/>
                <w:lang w:val="en-US"/>
              </w:rPr>
              <m:t xml:space="preserve">Cov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Samese</m:t>
                    </m:r>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≠0)</m:t>
            </m:r>
          </m:e>
          <m:sub/>
        </m:sSub>
      </m:oMath>
      <w:r w:rsidRPr="00C5744E">
        <w:rPr>
          <w:lang w:val="en-US"/>
        </w:rPr>
        <w:t>and the exclusion restriction applied (</w:t>
      </w:r>
      <m:oMath>
        <m:r>
          <w:rPr>
            <w:rFonts w:ascii="Cambria Math" w:hAnsi="Cambria Math"/>
            <w:lang w:val="en-US"/>
          </w:rPr>
          <m:t xml:space="preserve">Cov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Samesex</m:t>
                </m:r>
              </m:e>
              <m:sub>
                <m:r>
                  <w:rPr>
                    <w:rFonts w:ascii="Cambria Math" w:hAnsi="Cambria Math"/>
                    <w:lang w:val="en-US"/>
                  </w:rPr>
                  <m:t>i</m:t>
                </m:r>
              </m:sub>
            </m:sSub>
          </m:e>
        </m:d>
        <m:r>
          <w:rPr>
            <w:rFonts w:ascii="Cambria Math" w:hAnsi="Cambria Math"/>
            <w:lang w:val="en-US"/>
          </w:rPr>
          <m:t>=0</m:t>
        </m:r>
      </m:oMath>
      <w:r w:rsidRPr="00C5744E">
        <w:rPr>
          <w:rFonts w:eastAsiaTheme="minorEastAsia"/>
          <w:lang w:val="en-US"/>
        </w:rPr>
        <w:t>)</w:t>
      </w:r>
      <w:r w:rsidRPr="00C5744E">
        <w:rPr>
          <w:lang w:val="en-US"/>
        </w:rPr>
        <w:t xml:space="preserve">. As we show in the next sections, the first condition is easily obtained. As for the second one, we relied on the fact the extreme majority of Brazilian families does not choice the sex of the siblings and presumably, thus, we have an exogenous source of variation in the number of children of these families. </w:t>
      </w:r>
    </w:p>
    <w:p w14:paraId="1B32B370" w14:textId="77777777" w:rsidR="004F338F" w:rsidRPr="00C5744E" w:rsidRDefault="004F338F" w:rsidP="004F338F">
      <w:pPr>
        <w:jc w:val="both"/>
        <w:rPr>
          <w:lang w:val="en-US"/>
        </w:rPr>
      </w:pPr>
      <w:r w:rsidRPr="00C5744E">
        <w:rPr>
          <w:lang w:val="en-US"/>
        </w:rPr>
        <w:tab/>
        <w:t xml:space="preserve">The set of control variables includes traditional variables used in the empirical literature of determinants of commuting time (Craine, 2007; Silveira Neto et al. 2016). Thus, the variables reflect i) the influence of different kinds of preference with respect to residential location, ii) the influence of the location economic activities and kind of occupation, and iii) urban locations (metropolitan region and state). In first group, we include personal and familiar characteristics, such as sex, race, age, marital status, and per capita income; in the second group, we consider economic sectors and different kinds of occupation; and in the third category we include a set of dummies for the 10 metropolitan regions and for the 27 Brazilian sates. In the next Table </w:t>
      </w:r>
      <w:r>
        <w:rPr>
          <w:lang w:val="en-US"/>
        </w:rPr>
        <w:t>2</w:t>
      </w:r>
      <w:r w:rsidRPr="00C5744E">
        <w:rPr>
          <w:lang w:val="en-US"/>
        </w:rPr>
        <w:t xml:space="preserve">, we </w:t>
      </w:r>
      <w:r>
        <w:rPr>
          <w:lang w:val="en-US"/>
        </w:rPr>
        <w:t xml:space="preserve">present descriptive statistics </w:t>
      </w:r>
      <w:r w:rsidRPr="00C5744E">
        <w:rPr>
          <w:lang w:val="en-US"/>
        </w:rPr>
        <w:t>of these control variables.</w:t>
      </w:r>
    </w:p>
    <w:p w14:paraId="031A9CF1" w14:textId="77777777" w:rsidR="004F338F" w:rsidRPr="00C5744E" w:rsidRDefault="004F338F" w:rsidP="004F338F">
      <w:pPr>
        <w:jc w:val="both"/>
        <w:rPr>
          <w:lang w:val="en-US"/>
        </w:rPr>
      </w:pPr>
      <w:r w:rsidRPr="00C5744E">
        <w:rPr>
          <w:lang w:val="en-US"/>
        </w:rPr>
        <w:tab/>
        <w:t xml:space="preserve">Our data set is obtained from the micro data of PNAD of the year of 2013, an official household survey provide by IBGE (Brazilian Institute of Geography and Statistics). Our final sample from PNAD includes only urban household heads between 18 and 65 years old that worked out of their residence. In addition, in order to maintain families making locational residential choices, we include only families that owner or rent the residence, i.e., we exclude families living in residences due to favors or other motives. The final sample amounts to 44,788 households of Brazilian urban centers and, from these households, the total of households with at least two siblings amounts to 14,033. In the following Table 3 we present some descriptive statistics of these two samples. </w:t>
      </w:r>
    </w:p>
    <w:p w14:paraId="2F038771" w14:textId="77777777" w:rsidR="004F338F" w:rsidRPr="00C5744E" w:rsidRDefault="004F338F" w:rsidP="004F338F">
      <w:pPr>
        <w:jc w:val="both"/>
        <w:rPr>
          <w:lang w:val="en-US"/>
        </w:rPr>
      </w:pPr>
      <w:r w:rsidRPr="00C5744E">
        <w:rPr>
          <w:b/>
          <w:sz w:val="20"/>
          <w:szCs w:val="20"/>
          <w:lang w:val="en-US"/>
        </w:rPr>
        <w:tab/>
      </w:r>
      <w:r w:rsidRPr="00C5744E">
        <w:rPr>
          <w:lang w:val="en-US"/>
        </w:rPr>
        <w:t>As can be n</w:t>
      </w:r>
      <w:r>
        <w:rPr>
          <w:lang w:val="en-US"/>
        </w:rPr>
        <w:t>oted from the numbers of Table 2</w:t>
      </w:r>
      <w:r w:rsidRPr="00C5744E">
        <w:rPr>
          <w:lang w:val="en-US"/>
        </w:rPr>
        <w:t>, the two samples are not very different, except for the fact that the sample of households with at least two children, as expected, present a higher perceptual of married household head (around 75%), lower per capita income, and a bigger number of children (2.7).</w:t>
      </w:r>
    </w:p>
    <w:p w14:paraId="356FD53E" w14:textId="77777777" w:rsidR="004F338F" w:rsidRPr="00C5744E" w:rsidRDefault="004F338F" w:rsidP="004F338F">
      <w:pPr>
        <w:rPr>
          <w:b/>
          <w:lang w:val="en-US"/>
        </w:rPr>
      </w:pPr>
      <w:r w:rsidRPr="00C5744E">
        <w:rPr>
          <w:b/>
          <w:lang w:val="en-US"/>
        </w:rPr>
        <w:t>Table</w:t>
      </w:r>
      <w:r>
        <w:rPr>
          <w:b/>
          <w:lang w:val="en-US"/>
        </w:rPr>
        <w:t xml:space="preserve"> 2</w:t>
      </w:r>
      <w:r w:rsidRPr="00C5744E">
        <w:rPr>
          <w:b/>
          <w:lang w:val="en-US"/>
        </w:rPr>
        <w:t xml:space="preserve"> – Descriptive Statistics</w:t>
      </w:r>
    </w:p>
    <w:tbl>
      <w:tblPr>
        <w:tblW w:w="7369" w:type="dxa"/>
        <w:tblBorders>
          <w:top w:val="single" w:sz="8" w:space="0" w:color="000000"/>
          <w:bottom w:val="single" w:sz="8" w:space="0" w:color="000000"/>
          <w:insideH w:val="single" w:sz="4" w:space="0" w:color="auto"/>
          <w:insideV w:val="single" w:sz="8" w:space="0" w:color="000000"/>
        </w:tblBorders>
        <w:tblLayout w:type="fixed"/>
        <w:tblCellMar>
          <w:left w:w="0" w:type="dxa"/>
          <w:right w:w="0" w:type="dxa"/>
        </w:tblCellMar>
        <w:tblLook w:val="04A0" w:firstRow="1" w:lastRow="0" w:firstColumn="1" w:lastColumn="0" w:noHBand="0" w:noVBand="1"/>
      </w:tblPr>
      <w:tblGrid>
        <w:gridCol w:w="2773"/>
        <w:gridCol w:w="2076"/>
        <w:gridCol w:w="2520"/>
      </w:tblGrid>
      <w:tr w:rsidR="004F338F" w:rsidRPr="00C5744E" w14:paraId="157F6304" w14:textId="77777777" w:rsidTr="00F9765C">
        <w:trPr>
          <w:trHeight w:val="439"/>
        </w:trPr>
        <w:tc>
          <w:tcPr>
            <w:tcW w:w="2773" w:type="dxa"/>
            <w:tcBorders>
              <w:bottom w:val="single" w:sz="4" w:space="0" w:color="auto"/>
            </w:tcBorders>
            <w:shd w:val="clear" w:color="auto" w:fill="auto"/>
            <w:tcMar>
              <w:top w:w="15" w:type="dxa"/>
              <w:left w:w="79" w:type="dxa"/>
              <w:bottom w:w="0" w:type="dxa"/>
              <w:right w:w="79" w:type="dxa"/>
            </w:tcMar>
            <w:hideMark/>
          </w:tcPr>
          <w:p w14:paraId="1E54782D" w14:textId="77777777" w:rsidR="004F338F" w:rsidRPr="00C5744E" w:rsidRDefault="004F338F" w:rsidP="00F9765C">
            <w:pPr>
              <w:rPr>
                <w:b/>
                <w:lang w:val="en-US" w:eastAsia="pt-BR"/>
              </w:rPr>
            </w:pPr>
            <w:r w:rsidRPr="00C5744E">
              <w:rPr>
                <w:rFonts w:eastAsia="Calibri"/>
                <w:b/>
                <w:kern w:val="24"/>
                <w:lang w:val="en-US" w:eastAsia="pt-BR"/>
              </w:rPr>
              <w:t> </w:t>
            </w:r>
          </w:p>
        </w:tc>
        <w:tc>
          <w:tcPr>
            <w:tcW w:w="2076" w:type="dxa"/>
            <w:tcBorders>
              <w:bottom w:val="single" w:sz="4" w:space="0" w:color="auto"/>
            </w:tcBorders>
            <w:shd w:val="clear" w:color="auto" w:fill="auto"/>
            <w:tcMar>
              <w:top w:w="15" w:type="dxa"/>
              <w:left w:w="79" w:type="dxa"/>
              <w:bottom w:w="0" w:type="dxa"/>
              <w:right w:w="79" w:type="dxa"/>
            </w:tcMar>
            <w:hideMark/>
          </w:tcPr>
          <w:p w14:paraId="29932938"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All Families</w:t>
            </w:r>
          </w:p>
          <w:p w14:paraId="0DA11F24" w14:textId="77777777" w:rsidR="004F338F" w:rsidRPr="00C5744E" w:rsidRDefault="004F338F" w:rsidP="00F9765C">
            <w:pPr>
              <w:jc w:val="center"/>
              <w:rPr>
                <w:rFonts w:eastAsia="Calibri"/>
                <w:b/>
                <w:kern w:val="24"/>
                <w:lang w:val="en-US" w:eastAsia="pt-BR"/>
              </w:rPr>
            </w:pPr>
          </w:p>
          <w:p w14:paraId="79345ABA" w14:textId="77777777" w:rsidR="004F338F" w:rsidRPr="00C5744E" w:rsidRDefault="004F338F" w:rsidP="00F9765C">
            <w:pPr>
              <w:jc w:val="center"/>
              <w:rPr>
                <w:b/>
                <w:lang w:val="en-US" w:eastAsia="pt-BR"/>
              </w:rPr>
            </w:pPr>
            <w:r w:rsidRPr="00C5744E">
              <w:rPr>
                <w:rFonts w:eastAsia="Calibri"/>
                <w:b/>
                <w:kern w:val="24"/>
                <w:lang w:val="en-US" w:eastAsia="pt-BR"/>
              </w:rPr>
              <w:t>(1)</w:t>
            </w:r>
          </w:p>
        </w:tc>
        <w:tc>
          <w:tcPr>
            <w:tcW w:w="2520" w:type="dxa"/>
            <w:tcBorders>
              <w:bottom w:val="single" w:sz="4" w:space="0" w:color="auto"/>
            </w:tcBorders>
          </w:tcPr>
          <w:p w14:paraId="688989AE"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Unless two siblings families</w:t>
            </w:r>
          </w:p>
          <w:p w14:paraId="7F73B8A4"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(2)</w:t>
            </w:r>
          </w:p>
        </w:tc>
      </w:tr>
      <w:tr w:rsidR="004F338F" w:rsidRPr="00C5744E" w14:paraId="0DCEF737" w14:textId="77777777" w:rsidTr="00F9765C">
        <w:trPr>
          <w:trHeight w:val="379"/>
        </w:trPr>
        <w:tc>
          <w:tcPr>
            <w:tcW w:w="2773" w:type="dxa"/>
            <w:tcBorders>
              <w:top w:val="single" w:sz="4" w:space="0" w:color="auto"/>
              <w:bottom w:val="nil"/>
            </w:tcBorders>
            <w:shd w:val="clear" w:color="auto" w:fill="auto"/>
            <w:tcMar>
              <w:top w:w="15" w:type="dxa"/>
              <w:left w:w="79" w:type="dxa"/>
              <w:bottom w:w="0" w:type="dxa"/>
              <w:right w:w="79" w:type="dxa"/>
            </w:tcMar>
            <w:hideMark/>
          </w:tcPr>
          <w:p w14:paraId="5306589C" w14:textId="77777777" w:rsidR="004F338F" w:rsidRPr="00C5744E" w:rsidRDefault="004F338F" w:rsidP="00F9765C">
            <w:pPr>
              <w:rPr>
                <w:rFonts w:eastAsia="Calibri"/>
                <w:kern w:val="24"/>
                <w:sz w:val="20"/>
                <w:szCs w:val="20"/>
                <w:lang w:val="en-US" w:eastAsia="pt-BR"/>
              </w:rPr>
            </w:pPr>
            <w:r w:rsidRPr="00C5744E">
              <w:rPr>
                <w:rFonts w:eastAsia="Calibri"/>
                <w:kern w:val="24"/>
                <w:sz w:val="20"/>
                <w:szCs w:val="20"/>
                <w:lang w:val="en-US" w:eastAsia="pt-BR"/>
              </w:rPr>
              <w:t>Married (%)</w:t>
            </w:r>
          </w:p>
        </w:tc>
        <w:tc>
          <w:tcPr>
            <w:tcW w:w="2076" w:type="dxa"/>
            <w:tcBorders>
              <w:top w:val="single" w:sz="4" w:space="0" w:color="auto"/>
              <w:bottom w:val="nil"/>
            </w:tcBorders>
            <w:shd w:val="clear" w:color="auto" w:fill="auto"/>
            <w:tcMar>
              <w:top w:w="15" w:type="dxa"/>
              <w:left w:w="79" w:type="dxa"/>
              <w:bottom w:w="0" w:type="dxa"/>
              <w:right w:w="79" w:type="dxa"/>
            </w:tcMar>
          </w:tcPr>
          <w:p w14:paraId="35822F71"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69.25</w:t>
            </w:r>
          </w:p>
        </w:tc>
        <w:tc>
          <w:tcPr>
            <w:tcW w:w="2520" w:type="dxa"/>
            <w:tcBorders>
              <w:top w:val="single" w:sz="4" w:space="0" w:color="auto"/>
              <w:bottom w:val="nil"/>
            </w:tcBorders>
          </w:tcPr>
          <w:p w14:paraId="5E62C290"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74.55</w:t>
            </w:r>
          </w:p>
        </w:tc>
      </w:tr>
      <w:tr w:rsidR="004F338F" w:rsidRPr="00C5744E" w14:paraId="1A50A0C9" w14:textId="77777777" w:rsidTr="00F9765C">
        <w:trPr>
          <w:trHeight w:val="379"/>
        </w:trPr>
        <w:tc>
          <w:tcPr>
            <w:tcW w:w="2773" w:type="dxa"/>
            <w:tcBorders>
              <w:top w:val="nil"/>
              <w:bottom w:val="nil"/>
            </w:tcBorders>
            <w:shd w:val="clear" w:color="auto" w:fill="auto"/>
            <w:tcMar>
              <w:top w:w="15" w:type="dxa"/>
              <w:left w:w="79" w:type="dxa"/>
              <w:bottom w:w="0" w:type="dxa"/>
              <w:right w:w="79" w:type="dxa"/>
            </w:tcMar>
            <w:hideMark/>
          </w:tcPr>
          <w:p w14:paraId="57EEB7D8" w14:textId="77777777" w:rsidR="004F338F" w:rsidRPr="00C5744E" w:rsidRDefault="004F338F" w:rsidP="00F9765C">
            <w:pPr>
              <w:rPr>
                <w:rFonts w:eastAsia="Calibri"/>
                <w:kern w:val="24"/>
                <w:sz w:val="20"/>
                <w:szCs w:val="20"/>
                <w:lang w:val="en-US" w:eastAsia="pt-BR"/>
              </w:rPr>
            </w:pPr>
            <w:r w:rsidRPr="00C5744E">
              <w:rPr>
                <w:rFonts w:eastAsia="Calibri"/>
                <w:kern w:val="24"/>
                <w:sz w:val="20"/>
                <w:szCs w:val="20"/>
                <w:lang w:val="en-US" w:eastAsia="pt-BR"/>
              </w:rPr>
              <w:t>Woman (%)</w:t>
            </w:r>
          </w:p>
        </w:tc>
        <w:tc>
          <w:tcPr>
            <w:tcW w:w="2076" w:type="dxa"/>
            <w:tcBorders>
              <w:top w:val="nil"/>
              <w:bottom w:val="nil"/>
            </w:tcBorders>
            <w:shd w:val="clear" w:color="auto" w:fill="auto"/>
            <w:tcMar>
              <w:top w:w="15" w:type="dxa"/>
              <w:left w:w="79" w:type="dxa"/>
              <w:bottom w:w="0" w:type="dxa"/>
              <w:right w:w="79" w:type="dxa"/>
            </w:tcMar>
          </w:tcPr>
          <w:p w14:paraId="7C0FC284"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31.55</w:t>
            </w:r>
          </w:p>
        </w:tc>
        <w:tc>
          <w:tcPr>
            <w:tcW w:w="2520" w:type="dxa"/>
            <w:tcBorders>
              <w:top w:val="nil"/>
              <w:bottom w:val="nil"/>
            </w:tcBorders>
          </w:tcPr>
          <w:p w14:paraId="03A6351F"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31.47</w:t>
            </w:r>
          </w:p>
        </w:tc>
      </w:tr>
      <w:tr w:rsidR="004F338F" w:rsidRPr="00C5744E" w14:paraId="472BF1AF" w14:textId="77777777" w:rsidTr="00F9765C">
        <w:trPr>
          <w:trHeight w:val="379"/>
        </w:trPr>
        <w:tc>
          <w:tcPr>
            <w:tcW w:w="2773" w:type="dxa"/>
            <w:tcBorders>
              <w:top w:val="nil"/>
              <w:bottom w:val="nil"/>
            </w:tcBorders>
            <w:shd w:val="clear" w:color="auto" w:fill="auto"/>
            <w:tcMar>
              <w:top w:w="15" w:type="dxa"/>
              <w:left w:w="79" w:type="dxa"/>
              <w:bottom w:w="0" w:type="dxa"/>
              <w:right w:w="79" w:type="dxa"/>
            </w:tcMar>
            <w:hideMark/>
          </w:tcPr>
          <w:p w14:paraId="2234ED2D" w14:textId="77777777" w:rsidR="004F338F" w:rsidRPr="00C5744E" w:rsidRDefault="004F338F" w:rsidP="00F9765C">
            <w:pPr>
              <w:rPr>
                <w:rFonts w:eastAsia="Calibri"/>
                <w:kern w:val="24"/>
                <w:sz w:val="20"/>
                <w:szCs w:val="20"/>
                <w:lang w:val="en-US" w:eastAsia="pt-BR"/>
              </w:rPr>
            </w:pPr>
            <w:r w:rsidRPr="00C5744E">
              <w:rPr>
                <w:rFonts w:eastAsia="Calibri"/>
                <w:kern w:val="24"/>
                <w:sz w:val="20"/>
                <w:szCs w:val="20"/>
                <w:lang w:val="en-US" w:eastAsia="pt-BR"/>
              </w:rPr>
              <w:t>Education1 (%)</w:t>
            </w:r>
          </w:p>
        </w:tc>
        <w:tc>
          <w:tcPr>
            <w:tcW w:w="2076" w:type="dxa"/>
            <w:tcBorders>
              <w:top w:val="nil"/>
              <w:bottom w:val="nil"/>
            </w:tcBorders>
            <w:shd w:val="clear" w:color="auto" w:fill="auto"/>
            <w:tcMar>
              <w:top w:w="15" w:type="dxa"/>
              <w:left w:w="79" w:type="dxa"/>
              <w:bottom w:w="0" w:type="dxa"/>
              <w:right w:w="79" w:type="dxa"/>
            </w:tcMar>
          </w:tcPr>
          <w:p w14:paraId="637BACFD"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10.00</w:t>
            </w:r>
          </w:p>
        </w:tc>
        <w:tc>
          <w:tcPr>
            <w:tcW w:w="2520" w:type="dxa"/>
            <w:tcBorders>
              <w:top w:val="nil"/>
              <w:bottom w:val="nil"/>
            </w:tcBorders>
          </w:tcPr>
          <w:p w14:paraId="1AA8575B"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11.50</w:t>
            </w:r>
          </w:p>
        </w:tc>
      </w:tr>
      <w:tr w:rsidR="004F338F" w:rsidRPr="00C5744E" w14:paraId="44472D27" w14:textId="77777777" w:rsidTr="00F9765C">
        <w:trPr>
          <w:trHeight w:val="379"/>
        </w:trPr>
        <w:tc>
          <w:tcPr>
            <w:tcW w:w="2773" w:type="dxa"/>
            <w:tcBorders>
              <w:top w:val="nil"/>
              <w:bottom w:val="nil"/>
            </w:tcBorders>
            <w:shd w:val="clear" w:color="auto" w:fill="auto"/>
            <w:tcMar>
              <w:top w:w="15" w:type="dxa"/>
              <w:left w:w="79" w:type="dxa"/>
              <w:bottom w:w="0" w:type="dxa"/>
              <w:right w:w="79" w:type="dxa"/>
            </w:tcMar>
            <w:hideMark/>
          </w:tcPr>
          <w:p w14:paraId="7BE3A62E" w14:textId="77777777" w:rsidR="004F338F" w:rsidRPr="00C5744E" w:rsidRDefault="004F338F" w:rsidP="00F9765C">
            <w:pPr>
              <w:rPr>
                <w:rFonts w:eastAsia="Calibri"/>
                <w:kern w:val="24"/>
                <w:sz w:val="20"/>
                <w:szCs w:val="20"/>
                <w:lang w:val="en-US" w:eastAsia="pt-BR"/>
              </w:rPr>
            </w:pPr>
            <w:r w:rsidRPr="00C5744E">
              <w:rPr>
                <w:rFonts w:eastAsia="Calibri"/>
                <w:kern w:val="24"/>
                <w:sz w:val="20"/>
                <w:szCs w:val="20"/>
                <w:lang w:val="en-US" w:eastAsia="pt-BR"/>
              </w:rPr>
              <w:t>Education2 (%)</w:t>
            </w:r>
          </w:p>
        </w:tc>
        <w:tc>
          <w:tcPr>
            <w:tcW w:w="2076" w:type="dxa"/>
            <w:tcBorders>
              <w:top w:val="nil"/>
              <w:bottom w:val="nil"/>
            </w:tcBorders>
            <w:shd w:val="clear" w:color="auto" w:fill="auto"/>
            <w:tcMar>
              <w:top w:w="15" w:type="dxa"/>
              <w:left w:w="79" w:type="dxa"/>
              <w:bottom w:w="0" w:type="dxa"/>
              <w:right w:w="79" w:type="dxa"/>
            </w:tcMar>
          </w:tcPr>
          <w:p w14:paraId="676B2A38"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15.52</w:t>
            </w:r>
          </w:p>
        </w:tc>
        <w:tc>
          <w:tcPr>
            <w:tcW w:w="2520" w:type="dxa"/>
            <w:tcBorders>
              <w:top w:val="nil"/>
              <w:bottom w:val="nil"/>
            </w:tcBorders>
          </w:tcPr>
          <w:p w14:paraId="153F9BC2"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17.32</w:t>
            </w:r>
          </w:p>
        </w:tc>
      </w:tr>
      <w:tr w:rsidR="004F338F" w:rsidRPr="00C5744E" w14:paraId="4D3A5229" w14:textId="77777777" w:rsidTr="00F9765C">
        <w:trPr>
          <w:trHeight w:val="379"/>
        </w:trPr>
        <w:tc>
          <w:tcPr>
            <w:tcW w:w="2773" w:type="dxa"/>
            <w:tcBorders>
              <w:top w:val="nil"/>
              <w:bottom w:val="nil"/>
            </w:tcBorders>
            <w:shd w:val="clear" w:color="auto" w:fill="auto"/>
            <w:tcMar>
              <w:top w:w="15" w:type="dxa"/>
              <w:left w:w="79" w:type="dxa"/>
              <w:bottom w:w="0" w:type="dxa"/>
              <w:right w:w="79" w:type="dxa"/>
            </w:tcMar>
            <w:hideMark/>
          </w:tcPr>
          <w:p w14:paraId="799C1C89" w14:textId="77777777" w:rsidR="004F338F" w:rsidRPr="00C5744E" w:rsidRDefault="004F338F" w:rsidP="00F9765C">
            <w:pPr>
              <w:rPr>
                <w:rFonts w:eastAsia="Calibri"/>
                <w:kern w:val="24"/>
                <w:sz w:val="20"/>
                <w:szCs w:val="20"/>
                <w:lang w:val="en-US" w:eastAsia="pt-BR"/>
              </w:rPr>
            </w:pPr>
            <w:r w:rsidRPr="00C5744E">
              <w:rPr>
                <w:rFonts w:eastAsia="Calibri"/>
                <w:kern w:val="24"/>
                <w:sz w:val="20"/>
                <w:szCs w:val="20"/>
                <w:lang w:val="en-US" w:eastAsia="pt-BR"/>
              </w:rPr>
              <w:t>Education3 (%)</w:t>
            </w:r>
          </w:p>
        </w:tc>
        <w:tc>
          <w:tcPr>
            <w:tcW w:w="2076" w:type="dxa"/>
            <w:tcBorders>
              <w:top w:val="nil"/>
              <w:bottom w:val="nil"/>
            </w:tcBorders>
            <w:shd w:val="clear" w:color="auto" w:fill="auto"/>
            <w:tcMar>
              <w:top w:w="15" w:type="dxa"/>
              <w:left w:w="79" w:type="dxa"/>
              <w:bottom w:w="0" w:type="dxa"/>
              <w:right w:w="79" w:type="dxa"/>
            </w:tcMar>
          </w:tcPr>
          <w:p w14:paraId="74FFBF22"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16.95</w:t>
            </w:r>
          </w:p>
        </w:tc>
        <w:tc>
          <w:tcPr>
            <w:tcW w:w="2520" w:type="dxa"/>
            <w:tcBorders>
              <w:top w:val="nil"/>
              <w:bottom w:val="nil"/>
            </w:tcBorders>
          </w:tcPr>
          <w:p w14:paraId="125475DD"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18.67</w:t>
            </w:r>
          </w:p>
        </w:tc>
      </w:tr>
      <w:tr w:rsidR="004F338F" w:rsidRPr="00C5744E" w14:paraId="711799F1"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516ED58C" w14:textId="77777777" w:rsidR="004F338F" w:rsidRPr="00C5744E" w:rsidRDefault="004F338F" w:rsidP="00F9765C">
            <w:pPr>
              <w:rPr>
                <w:rFonts w:eastAsia="Calibri"/>
                <w:kern w:val="24"/>
                <w:sz w:val="20"/>
                <w:szCs w:val="20"/>
                <w:lang w:val="en-US" w:eastAsia="pt-BR"/>
              </w:rPr>
            </w:pPr>
            <w:r w:rsidRPr="00C5744E">
              <w:rPr>
                <w:rFonts w:eastAsia="Calibri"/>
                <w:kern w:val="24"/>
                <w:sz w:val="20"/>
                <w:szCs w:val="20"/>
                <w:lang w:val="en-US" w:eastAsia="pt-BR"/>
              </w:rPr>
              <w:t>Education4 (%)</w:t>
            </w:r>
          </w:p>
        </w:tc>
        <w:tc>
          <w:tcPr>
            <w:tcW w:w="2076" w:type="dxa"/>
            <w:tcBorders>
              <w:top w:val="nil"/>
              <w:bottom w:val="nil"/>
            </w:tcBorders>
            <w:shd w:val="clear" w:color="auto" w:fill="auto"/>
            <w:tcMar>
              <w:top w:w="15" w:type="dxa"/>
              <w:left w:w="79" w:type="dxa"/>
              <w:bottom w:w="0" w:type="dxa"/>
              <w:right w:w="79" w:type="dxa"/>
            </w:tcMar>
          </w:tcPr>
          <w:p w14:paraId="24032FDB"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57.53</w:t>
            </w:r>
          </w:p>
        </w:tc>
        <w:tc>
          <w:tcPr>
            <w:tcW w:w="2520" w:type="dxa"/>
            <w:tcBorders>
              <w:top w:val="nil"/>
              <w:bottom w:val="nil"/>
            </w:tcBorders>
          </w:tcPr>
          <w:p w14:paraId="294FAFCA"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52.51</w:t>
            </w:r>
          </w:p>
        </w:tc>
      </w:tr>
      <w:tr w:rsidR="004F338F" w:rsidRPr="00C5744E" w14:paraId="31FDFE76"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3179B048"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Age1 (%)</w:t>
            </w:r>
          </w:p>
        </w:tc>
        <w:tc>
          <w:tcPr>
            <w:tcW w:w="2076" w:type="dxa"/>
            <w:tcBorders>
              <w:top w:val="nil"/>
              <w:bottom w:val="nil"/>
            </w:tcBorders>
            <w:shd w:val="clear" w:color="auto" w:fill="auto"/>
            <w:tcMar>
              <w:top w:w="15" w:type="dxa"/>
              <w:left w:w="79" w:type="dxa"/>
              <w:bottom w:w="0" w:type="dxa"/>
              <w:right w:w="79" w:type="dxa"/>
            </w:tcMar>
          </w:tcPr>
          <w:p w14:paraId="246C8C34" w14:textId="77777777" w:rsidR="004F338F" w:rsidRPr="00C5744E" w:rsidRDefault="004F338F" w:rsidP="00F9765C">
            <w:pPr>
              <w:jc w:val="center"/>
              <w:rPr>
                <w:sz w:val="20"/>
                <w:szCs w:val="20"/>
                <w:lang w:val="en-US" w:eastAsia="pt-BR"/>
              </w:rPr>
            </w:pPr>
            <w:r w:rsidRPr="00C5744E">
              <w:rPr>
                <w:sz w:val="20"/>
                <w:szCs w:val="20"/>
                <w:lang w:val="en-US" w:eastAsia="pt-BR"/>
              </w:rPr>
              <w:t>6.92</w:t>
            </w:r>
          </w:p>
        </w:tc>
        <w:tc>
          <w:tcPr>
            <w:tcW w:w="2520" w:type="dxa"/>
            <w:tcBorders>
              <w:top w:val="nil"/>
              <w:bottom w:val="nil"/>
            </w:tcBorders>
          </w:tcPr>
          <w:p w14:paraId="734B7CC1" w14:textId="77777777" w:rsidR="004F338F" w:rsidRPr="00C5744E" w:rsidRDefault="004F338F" w:rsidP="00F9765C">
            <w:pPr>
              <w:jc w:val="center"/>
              <w:rPr>
                <w:sz w:val="20"/>
                <w:szCs w:val="20"/>
                <w:lang w:val="en-US" w:eastAsia="pt-BR"/>
              </w:rPr>
            </w:pPr>
            <w:r w:rsidRPr="00C5744E">
              <w:rPr>
                <w:sz w:val="20"/>
                <w:szCs w:val="20"/>
                <w:lang w:val="en-US" w:eastAsia="pt-BR"/>
              </w:rPr>
              <w:t>4.69</w:t>
            </w:r>
          </w:p>
        </w:tc>
      </w:tr>
      <w:tr w:rsidR="004F338F" w:rsidRPr="00C5744E" w14:paraId="0D05EC4A"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7817C291"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Age2 (%)</w:t>
            </w:r>
          </w:p>
        </w:tc>
        <w:tc>
          <w:tcPr>
            <w:tcW w:w="2076" w:type="dxa"/>
            <w:tcBorders>
              <w:top w:val="nil"/>
              <w:bottom w:val="nil"/>
            </w:tcBorders>
            <w:shd w:val="clear" w:color="auto" w:fill="auto"/>
            <w:tcMar>
              <w:top w:w="15" w:type="dxa"/>
              <w:left w:w="79" w:type="dxa"/>
              <w:bottom w:w="0" w:type="dxa"/>
              <w:right w:w="79" w:type="dxa"/>
            </w:tcMar>
          </w:tcPr>
          <w:p w14:paraId="42901C60" w14:textId="77777777" w:rsidR="004F338F" w:rsidRPr="00C5744E" w:rsidRDefault="004F338F" w:rsidP="00F9765C">
            <w:pPr>
              <w:jc w:val="center"/>
              <w:rPr>
                <w:sz w:val="20"/>
                <w:szCs w:val="20"/>
                <w:lang w:val="en-US" w:eastAsia="pt-BR"/>
              </w:rPr>
            </w:pPr>
            <w:r w:rsidRPr="00C5744E">
              <w:rPr>
                <w:sz w:val="20"/>
                <w:szCs w:val="20"/>
                <w:lang w:val="en-US" w:eastAsia="pt-BR"/>
              </w:rPr>
              <w:t>26.24</w:t>
            </w:r>
          </w:p>
        </w:tc>
        <w:tc>
          <w:tcPr>
            <w:tcW w:w="2520" w:type="dxa"/>
            <w:tcBorders>
              <w:top w:val="nil"/>
              <w:bottom w:val="nil"/>
            </w:tcBorders>
          </w:tcPr>
          <w:p w14:paraId="2D9D77B3" w14:textId="77777777" w:rsidR="004F338F" w:rsidRPr="00C5744E" w:rsidRDefault="004F338F" w:rsidP="00F9765C">
            <w:pPr>
              <w:jc w:val="center"/>
              <w:rPr>
                <w:sz w:val="20"/>
                <w:szCs w:val="20"/>
                <w:lang w:val="en-US" w:eastAsia="pt-BR"/>
              </w:rPr>
            </w:pPr>
            <w:r w:rsidRPr="00C5744E">
              <w:rPr>
                <w:sz w:val="20"/>
                <w:szCs w:val="20"/>
                <w:lang w:val="en-US" w:eastAsia="pt-BR"/>
              </w:rPr>
              <w:t>24.88</w:t>
            </w:r>
          </w:p>
        </w:tc>
      </w:tr>
      <w:tr w:rsidR="004F338F" w:rsidRPr="00C5744E" w14:paraId="64428FB5"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374699B1"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Age3 (%)</w:t>
            </w:r>
          </w:p>
        </w:tc>
        <w:tc>
          <w:tcPr>
            <w:tcW w:w="2076" w:type="dxa"/>
            <w:tcBorders>
              <w:top w:val="nil"/>
              <w:bottom w:val="nil"/>
            </w:tcBorders>
            <w:shd w:val="clear" w:color="auto" w:fill="auto"/>
            <w:tcMar>
              <w:top w:w="15" w:type="dxa"/>
              <w:left w:w="79" w:type="dxa"/>
              <w:bottom w:w="0" w:type="dxa"/>
              <w:right w:w="79" w:type="dxa"/>
            </w:tcMar>
          </w:tcPr>
          <w:p w14:paraId="2A82E7BB" w14:textId="77777777" w:rsidR="004F338F" w:rsidRPr="00C5744E" w:rsidRDefault="004F338F" w:rsidP="00F9765C">
            <w:pPr>
              <w:jc w:val="center"/>
              <w:rPr>
                <w:sz w:val="20"/>
                <w:szCs w:val="20"/>
                <w:lang w:val="en-US" w:eastAsia="pt-BR"/>
              </w:rPr>
            </w:pPr>
            <w:r w:rsidRPr="00C5744E">
              <w:rPr>
                <w:sz w:val="20"/>
                <w:szCs w:val="20"/>
                <w:lang w:val="en-US" w:eastAsia="pt-BR"/>
              </w:rPr>
              <w:t>44.17</w:t>
            </w:r>
          </w:p>
        </w:tc>
        <w:tc>
          <w:tcPr>
            <w:tcW w:w="2520" w:type="dxa"/>
            <w:tcBorders>
              <w:top w:val="nil"/>
              <w:bottom w:val="nil"/>
            </w:tcBorders>
          </w:tcPr>
          <w:p w14:paraId="7B00AEE5" w14:textId="77777777" w:rsidR="004F338F" w:rsidRPr="00C5744E" w:rsidRDefault="004F338F" w:rsidP="00F9765C">
            <w:pPr>
              <w:jc w:val="center"/>
              <w:rPr>
                <w:sz w:val="20"/>
                <w:szCs w:val="20"/>
                <w:lang w:val="en-US" w:eastAsia="pt-BR"/>
              </w:rPr>
            </w:pPr>
            <w:r w:rsidRPr="00C5744E">
              <w:rPr>
                <w:sz w:val="20"/>
                <w:szCs w:val="20"/>
                <w:lang w:val="en-US" w:eastAsia="pt-BR"/>
              </w:rPr>
              <w:t>49.87</w:t>
            </w:r>
          </w:p>
        </w:tc>
      </w:tr>
      <w:tr w:rsidR="004F338F" w:rsidRPr="00C5744E" w14:paraId="3C947D98"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68901128"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Age4 (%)</w:t>
            </w:r>
          </w:p>
        </w:tc>
        <w:tc>
          <w:tcPr>
            <w:tcW w:w="2076" w:type="dxa"/>
            <w:tcBorders>
              <w:top w:val="nil"/>
              <w:bottom w:val="nil"/>
            </w:tcBorders>
            <w:shd w:val="clear" w:color="auto" w:fill="auto"/>
            <w:tcMar>
              <w:top w:w="15" w:type="dxa"/>
              <w:left w:w="79" w:type="dxa"/>
              <w:bottom w:w="0" w:type="dxa"/>
              <w:right w:w="79" w:type="dxa"/>
            </w:tcMar>
          </w:tcPr>
          <w:p w14:paraId="79EF15C7" w14:textId="77777777" w:rsidR="004F338F" w:rsidRPr="00C5744E" w:rsidRDefault="004F338F" w:rsidP="00F9765C">
            <w:pPr>
              <w:jc w:val="center"/>
              <w:rPr>
                <w:sz w:val="20"/>
                <w:szCs w:val="20"/>
                <w:lang w:val="en-US" w:eastAsia="pt-BR"/>
              </w:rPr>
            </w:pPr>
            <w:r w:rsidRPr="00C5744E">
              <w:rPr>
                <w:sz w:val="20"/>
                <w:szCs w:val="20"/>
                <w:lang w:val="en-US" w:eastAsia="pt-BR"/>
              </w:rPr>
              <w:t>22.66</w:t>
            </w:r>
          </w:p>
        </w:tc>
        <w:tc>
          <w:tcPr>
            <w:tcW w:w="2520" w:type="dxa"/>
            <w:tcBorders>
              <w:top w:val="nil"/>
              <w:bottom w:val="nil"/>
            </w:tcBorders>
          </w:tcPr>
          <w:p w14:paraId="642362DC" w14:textId="77777777" w:rsidR="004F338F" w:rsidRPr="00C5744E" w:rsidRDefault="004F338F" w:rsidP="00F9765C">
            <w:pPr>
              <w:jc w:val="center"/>
              <w:rPr>
                <w:sz w:val="20"/>
                <w:szCs w:val="20"/>
                <w:lang w:val="en-US" w:eastAsia="pt-BR"/>
              </w:rPr>
            </w:pPr>
            <w:r w:rsidRPr="00C5744E">
              <w:rPr>
                <w:sz w:val="20"/>
                <w:szCs w:val="20"/>
                <w:lang w:val="en-US" w:eastAsia="pt-BR"/>
              </w:rPr>
              <w:t>20.56</w:t>
            </w:r>
          </w:p>
        </w:tc>
      </w:tr>
      <w:tr w:rsidR="004F338F" w:rsidRPr="00C5744E" w14:paraId="1843F7B9" w14:textId="77777777" w:rsidTr="00F9765C">
        <w:trPr>
          <w:trHeight w:val="325"/>
        </w:trPr>
        <w:tc>
          <w:tcPr>
            <w:tcW w:w="2773" w:type="dxa"/>
            <w:tcBorders>
              <w:top w:val="nil"/>
              <w:bottom w:val="nil"/>
            </w:tcBorders>
            <w:shd w:val="clear" w:color="auto" w:fill="auto"/>
            <w:tcMar>
              <w:top w:w="15" w:type="dxa"/>
              <w:left w:w="79" w:type="dxa"/>
              <w:bottom w:w="0" w:type="dxa"/>
              <w:right w:w="79" w:type="dxa"/>
            </w:tcMar>
          </w:tcPr>
          <w:p w14:paraId="27A30ABC"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White (%)</w:t>
            </w:r>
          </w:p>
        </w:tc>
        <w:tc>
          <w:tcPr>
            <w:tcW w:w="2076" w:type="dxa"/>
            <w:tcBorders>
              <w:top w:val="nil"/>
              <w:bottom w:val="nil"/>
            </w:tcBorders>
            <w:shd w:val="clear" w:color="auto" w:fill="auto"/>
            <w:tcMar>
              <w:top w:w="15" w:type="dxa"/>
              <w:left w:w="79" w:type="dxa"/>
              <w:bottom w:w="0" w:type="dxa"/>
              <w:right w:w="79" w:type="dxa"/>
            </w:tcMar>
          </w:tcPr>
          <w:p w14:paraId="34DF91F5" w14:textId="77777777" w:rsidR="004F338F" w:rsidRPr="00C5744E" w:rsidRDefault="004F338F" w:rsidP="00F9765C">
            <w:pPr>
              <w:jc w:val="center"/>
              <w:rPr>
                <w:sz w:val="20"/>
                <w:szCs w:val="20"/>
                <w:lang w:val="en-US" w:eastAsia="pt-BR"/>
              </w:rPr>
            </w:pPr>
            <w:r w:rsidRPr="00C5744E">
              <w:rPr>
                <w:sz w:val="20"/>
                <w:szCs w:val="20"/>
                <w:lang w:val="en-US" w:eastAsia="pt-BR"/>
              </w:rPr>
              <w:t>44.70</w:t>
            </w:r>
          </w:p>
        </w:tc>
        <w:tc>
          <w:tcPr>
            <w:tcW w:w="2520" w:type="dxa"/>
            <w:tcBorders>
              <w:top w:val="nil"/>
              <w:bottom w:val="nil"/>
            </w:tcBorders>
          </w:tcPr>
          <w:p w14:paraId="7FEF3EAA" w14:textId="77777777" w:rsidR="004F338F" w:rsidRPr="00C5744E" w:rsidRDefault="004F338F" w:rsidP="00F9765C">
            <w:pPr>
              <w:jc w:val="center"/>
              <w:rPr>
                <w:rFonts w:eastAsia="Calibri"/>
                <w:kern w:val="24"/>
                <w:sz w:val="20"/>
                <w:szCs w:val="20"/>
                <w:lang w:val="en-US" w:eastAsia="pt-BR"/>
              </w:rPr>
            </w:pPr>
            <w:r w:rsidRPr="00C5744E">
              <w:rPr>
                <w:rFonts w:eastAsia="Calibri"/>
                <w:kern w:val="24"/>
                <w:sz w:val="20"/>
                <w:szCs w:val="20"/>
                <w:lang w:val="en-US" w:eastAsia="pt-BR"/>
              </w:rPr>
              <w:t>40.90</w:t>
            </w:r>
          </w:p>
        </w:tc>
      </w:tr>
      <w:tr w:rsidR="004F338F" w:rsidRPr="00C5744E" w14:paraId="7FC41D25"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02832058"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Fulltime (%)</w:t>
            </w:r>
          </w:p>
        </w:tc>
        <w:tc>
          <w:tcPr>
            <w:tcW w:w="2076" w:type="dxa"/>
            <w:tcBorders>
              <w:top w:val="nil"/>
              <w:bottom w:val="nil"/>
            </w:tcBorders>
            <w:shd w:val="clear" w:color="auto" w:fill="auto"/>
            <w:tcMar>
              <w:top w:w="15" w:type="dxa"/>
              <w:left w:w="79" w:type="dxa"/>
              <w:bottom w:w="0" w:type="dxa"/>
              <w:right w:w="79" w:type="dxa"/>
            </w:tcMar>
          </w:tcPr>
          <w:p w14:paraId="7B7C82EB" w14:textId="77777777" w:rsidR="004F338F" w:rsidRPr="00C5744E" w:rsidRDefault="004F338F" w:rsidP="00F9765C">
            <w:pPr>
              <w:jc w:val="center"/>
              <w:rPr>
                <w:sz w:val="20"/>
                <w:szCs w:val="20"/>
                <w:lang w:val="en-US" w:eastAsia="pt-BR"/>
              </w:rPr>
            </w:pPr>
            <w:r w:rsidRPr="00C5744E">
              <w:rPr>
                <w:sz w:val="20"/>
                <w:szCs w:val="20"/>
                <w:lang w:val="en-US" w:eastAsia="pt-BR"/>
              </w:rPr>
              <w:t>82.48</w:t>
            </w:r>
          </w:p>
        </w:tc>
        <w:tc>
          <w:tcPr>
            <w:tcW w:w="2520" w:type="dxa"/>
            <w:tcBorders>
              <w:top w:val="nil"/>
              <w:bottom w:val="nil"/>
            </w:tcBorders>
          </w:tcPr>
          <w:p w14:paraId="72B75EFE" w14:textId="77777777" w:rsidR="004F338F" w:rsidRPr="00C5744E" w:rsidRDefault="004F338F" w:rsidP="00F9765C">
            <w:pPr>
              <w:jc w:val="center"/>
              <w:rPr>
                <w:sz w:val="20"/>
                <w:szCs w:val="20"/>
                <w:lang w:val="en-US" w:eastAsia="pt-BR"/>
              </w:rPr>
            </w:pPr>
            <w:r w:rsidRPr="00C5744E">
              <w:rPr>
                <w:sz w:val="20"/>
                <w:szCs w:val="20"/>
                <w:lang w:val="en-US" w:eastAsia="pt-BR"/>
              </w:rPr>
              <w:t>82.22</w:t>
            </w:r>
          </w:p>
        </w:tc>
      </w:tr>
      <w:tr w:rsidR="004F338F" w:rsidRPr="00C5744E" w14:paraId="0EE63DAD"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219F23C8"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Commerce (%)</w:t>
            </w:r>
          </w:p>
        </w:tc>
        <w:tc>
          <w:tcPr>
            <w:tcW w:w="2076" w:type="dxa"/>
            <w:tcBorders>
              <w:top w:val="nil"/>
              <w:bottom w:val="nil"/>
            </w:tcBorders>
            <w:shd w:val="clear" w:color="auto" w:fill="auto"/>
            <w:tcMar>
              <w:top w:w="15" w:type="dxa"/>
              <w:left w:w="79" w:type="dxa"/>
              <w:bottom w:w="0" w:type="dxa"/>
              <w:right w:w="79" w:type="dxa"/>
            </w:tcMar>
          </w:tcPr>
          <w:p w14:paraId="712C7590" w14:textId="77777777" w:rsidR="004F338F" w:rsidRPr="00C5744E" w:rsidRDefault="004F338F" w:rsidP="00F9765C">
            <w:pPr>
              <w:jc w:val="center"/>
              <w:rPr>
                <w:sz w:val="20"/>
                <w:szCs w:val="20"/>
                <w:lang w:val="en-US" w:eastAsia="pt-BR"/>
              </w:rPr>
            </w:pPr>
            <w:r w:rsidRPr="00C5744E">
              <w:rPr>
                <w:sz w:val="20"/>
                <w:szCs w:val="20"/>
                <w:lang w:val="en-US" w:eastAsia="pt-BR"/>
              </w:rPr>
              <w:t>17.88</w:t>
            </w:r>
          </w:p>
        </w:tc>
        <w:tc>
          <w:tcPr>
            <w:tcW w:w="2520" w:type="dxa"/>
            <w:tcBorders>
              <w:top w:val="nil"/>
              <w:bottom w:val="nil"/>
            </w:tcBorders>
          </w:tcPr>
          <w:p w14:paraId="51A70135" w14:textId="77777777" w:rsidR="004F338F" w:rsidRPr="00C5744E" w:rsidRDefault="004F338F" w:rsidP="00F9765C">
            <w:pPr>
              <w:jc w:val="center"/>
              <w:rPr>
                <w:sz w:val="20"/>
                <w:szCs w:val="20"/>
                <w:lang w:val="en-US" w:eastAsia="pt-BR"/>
              </w:rPr>
            </w:pPr>
            <w:r w:rsidRPr="00C5744E">
              <w:rPr>
                <w:sz w:val="20"/>
                <w:szCs w:val="20"/>
                <w:lang w:val="en-US" w:eastAsia="pt-BR"/>
              </w:rPr>
              <w:t>17.21</w:t>
            </w:r>
          </w:p>
        </w:tc>
      </w:tr>
      <w:tr w:rsidR="004F338F" w:rsidRPr="00C5744E" w14:paraId="284EFC90"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31D8CD25"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Services (%)</w:t>
            </w:r>
          </w:p>
        </w:tc>
        <w:tc>
          <w:tcPr>
            <w:tcW w:w="2076" w:type="dxa"/>
            <w:tcBorders>
              <w:top w:val="nil"/>
              <w:bottom w:val="nil"/>
            </w:tcBorders>
            <w:shd w:val="clear" w:color="auto" w:fill="auto"/>
            <w:tcMar>
              <w:top w:w="15" w:type="dxa"/>
              <w:left w:w="79" w:type="dxa"/>
              <w:bottom w:w="0" w:type="dxa"/>
              <w:right w:w="79" w:type="dxa"/>
            </w:tcMar>
          </w:tcPr>
          <w:p w14:paraId="6542E03A" w14:textId="77777777" w:rsidR="004F338F" w:rsidRPr="00C5744E" w:rsidRDefault="004F338F" w:rsidP="00F9765C">
            <w:pPr>
              <w:jc w:val="center"/>
              <w:rPr>
                <w:sz w:val="20"/>
                <w:szCs w:val="20"/>
                <w:lang w:val="en-US" w:eastAsia="pt-BR"/>
              </w:rPr>
            </w:pPr>
            <w:r w:rsidRPr="00C5744E">
              <w:rPr>
                <w:sz w:val="20"/>
                <w:szCs w:val="20"/>
                <w:lang w:val="en-US" w:eastAsia="pt-BR"/>
              </w:rPr>
              <w:t>54.59</w:t>
            </w:r>
          </w:p>
        </w:tc>
        <w:tc>
          <w:tcPr>
            <w:tcW w:w="2520" w:type="dxa"/>
            <w:tcBorders>
              <w:top w:val="nil"/>
              <w:bottom w:val="nil"/>
            </w:tcBorders>
          </w:tcPr>
          <w:p w14:paraId="51A0FE77" w14:textId="77777777" w:rsidR="004F338F" w:rsidRPr="00C5744E" w:rsidRDefault="004F338F" w:rsidP="00F9765C">
            <w:pPr>
              <w:jc w:val="center"/>
              <w:rPr>
                <w:sz w:val="20"/>
                <w:szCs w:val="20"/>
                <w:lang w:val="en-US" w:eastAsia="pt-BR"/>
              </w:rPr>
            </w:pPr>
            <w:r w:rsidRPr="00C5744E">
              <w:rPr>
                <w:sz w:val="20"/>
                <w:szCs w:val="20"/>
                <w:lang w:val="en-US" w:eastAsia="pt-BR"/>
              </w:rPr>
              <w:t>53.87</w:t>
            </w:r>
          </w:p>
        </w:tc>
      </w:tr>
      <w:tr w:rsidR="004F338F" w:rsidRPr="00C5744E" w14:paraId="3F7BA12A"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793BF846"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Manufacturing (%)</w:t>
            </w:r>
          </w:p>
        </w:tc>
        <w:tc>
          <w:tcPr>
            <w:tcW w:w="2076" w:type="dxa"/>
            <w:tcBorders>
              <w:top w:val="nil"/>
              <w:bottom w:val="nil"/>
            </w:tcBorders>
            <w:shd w:val="clear" w:color="auto" w:fill="auto"/>
            <w:tcMar>
              <w:top w:w="15" w:type="dxa"/>
              <w:left w:w="79" w:type="dxa"/>
              <w:bottom w:w="0" w:type="dxa"/>
              <w:right w:w="79" w:type="dxa"/>
            </w:tcMar>
          </w:tcPr>
          <w:p w14:paraId="0CB09F14" w14:textId="77777777" w:rsidR="004F338F" w:rsidRPr="00C5744E" w:rsidRDefault="004F338F" w:rsidP="00F9765C">
            <w:pPr>
              <w:jc w:val="center"/>
              <w:rPr>
                <w:sz w:val="20"/>
                <w:szCs w:val="20"/>
                <w:lang w:val="en-US" w:eastAsia="pt-BR"/>
              </w:rPr>
            </w:pPr>
            <w:r w:rsidRPr="00C5744E">
              <w:rPr>
                <w:sz w:val="20"/>
                <w:szCs w:val="20"/>
                <w:lang w:val="en-US" w:eastAsia="pt-BR"/>
              </w:rPr>
              <w:t>14.04</w:t>
            </w:r>
          </w:p>
        </w:tc>
        <w:tc>
          <w:tcPr>
            <w:tcW w:w="2520" w:type="dxa"/>
            <w:tcBorders>
              <w:top w:val="nil"/>
              <w:bottom w:val="nil"/>
            </w:tcBorders>
          </w:tcPr>
          <w:p w14:paraId="6ED3694D" w14:textId="77777777" w:rsidR="004F338F" w:rsidRPr="00C5744E" w:rsidRDefault="004F338F" w:rsidP="00F9765C">
            <w:pPr>
              <w:jc w:val="center"/>
              <w:rPr>
                <w:sz w:val="20"/>
                <w:szCs w:val="20"/>
                <w:lang w:val="en-US" w:eastAsia="pt-BR"/>
              </w:rPr>
            </w:pPr>
            <w:r w:rsidRPr="00C5744E">
              <w:rPr>
                <w:sz w:val="20"/>
                <w:szCs w:val="20"/>
                <w:lang w:val="en-US" w:eastAsia="pt-BR"/>
              </w:rPr>
              <w:t>14.17</w:t>
            </w:r>
          </w:p>
        </w:tc>
      </w:tr>
      <w:tr w:rsidR="004F338F" w:rsidRPr="00C5744E" w14:paraId="146C1B70"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04E29B35" w14:textId="77777777" w:rsidR="004F338F" w:rsidRPr="00C5744E" w:rsidRDefault="004F338F" w:rsidP="00F9765C">
            <w:pPr>
              <w:rPr>
                <w:sz w:val="20"/>
                <w:szCs w:val="20"/>
                <w:lang w:val="en-US" w:eastAsia="pt-BR"/>
              </w:rPr>
            </w:pPr>
            <w:r w:rsidRPr="00C5744E">
              <w:rPr>
                <w:rFonts w:eastAsia="Calibri"/>
                <w:kern w:val="24"/>
                <w:sz w:val="20"/>
                <w:szCs w:val="20"/>
                <w:lang w:val="en-US" w:eastAsia="pt-BR"/>
              </w:rPr>
              <w:t>Civil Building (%)</w:t>
            </w:r>
          </w:p>
        </w:tc>
        <w:tc>
          <w:tcPr>
            <w:tcW w:w="2076" w:type="dxa"/>
            <w:tcBorders>
              <w:top w:val="nil"/>
              <w:bottom w:val="nil"/>
            </w:tcBorders>
            <w:shd w:val="clear" w:color="auto" w:fill="auto"/>
            <w:tcMar>
              <w:top w:w="15" w:type="dxa"/>
              <w:left w:w="79" w:type="dxa"/>
              <w:bottom w:w="0" w:type="dxa"/>
              <w:right w:w="79" w:type="dxa"/>
            </w:tcMar>
          </w:tcPr>
          <w:p w14:paraId="0468F6A8" w14:textId="77777777" w:rsidR="004F338F" w:rsidRPr="00C5744E" w:rsidRDefault="004F338F" w:rsidP="00F9765C">
            <w:pPr>
              <w:jc w:val="center"/>
              <w:rPr>
                <w:sz w:val="20"/>
                <w:szCs w:val="20"/>
                <w:lang w:val="en-US" w:eastAsia="pt-BR"/>
              </w:rPr>
            </w:pPr>
            <w:r w:rsidRPr="00C5744E">
              <w:rPr>
                <w:sz w:val="20"/>
                <w:szCs w:val="20"/>
                <w:lang w:val="en-US" w:eastAsia="pt-BR"/>
              </w:rPr>
              <w:t>13.50</w:t>
            </w:r>
          </w:p>
        </w:tc>
        <w:tc>
          <w:tcPr>
            <w:tcW w:w="2520" w:type="dxa"/>
            <w:tcBorders>
              <w:top w:val="nil"/>
              <w:bottom w:val="nil"/>
            </w:tcBorders>
          </w:tcPr>
          <w:p w14:paraId="49CB3990" w14:textId="77777777" w:rsidR="004F338F" w:rsidRPr="00C5744E" w:rsidRDefault="004F338F" w:rsidP="00F9765C">
            <w:pPr>
              <w:jc w:val="center"/>
              <w:rPr>
                <w:sz w:val="20"/>
                <w:szCs w:val="20"/>
                <w:lang w:val="en-US" w:eastAsia="pt-BR"/>
              </w:rPr>
            </w:pPr>
            <w:r w:rsidRPr="00C5744E">
              <w:rPr>
                <w:sz w:val="20"/>
                <w:szCs w:val="20"/>
                <w:lang w:val="en-US" w:eastAsia="pt-BR"/>
              </w:rPr>
              <w:t>14.75</w:t>
            </w:r>
          </w:p>
        </w:tc>
      </w:tr>
      <w:tr w:rsidR="004F338F" w:rsidRPr="00C5744E" w14:paraId="446B0B88"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12654E2A" w14:textId="77777777" w:rsidR="004F338F" w:rsidRPr="00C5744E" w:rsidRDefault="004F338F" w:rsidP="00F9765C">
            <w:pPr>
              <w:rPr>
                <w:sz w:val="20"/>
                <w:szCs w:val="20"/>
                <w:lang w:val="en-US" w:eastAsia="pt-BR"/>
              </w:rPr>
            </w:pPr>
            <w:r w:rsidRPr="00C5744E">
              <w:rPr>
                <w:rFonts w:eastAsia="Calibri"/>
                <w:bCs/>
                <w:kern w:val="24"/>
                <w:sz w:val="20"/>
                <w:szCs w:val="20"/>
                <w:lang w:val="en-US" w:eastAsia="pt-BR"/>
              </w:rPr>
              <w:t>Working members</w:t>
            </w:r>
          </w:p>
        </w:tc>
        <w:tc>
          <w:tcPr>
            <w:tcW w:w="2076" w:type="dxa"/>
            <w:tcBorders>
              <w:top w:val="nil"/>
              <w:bottom w:val="nil"/>
            </w:tcBorders>
            <w:shd w:val="clear" w:color="auto" w:fill="auto"/>
            <w:tcMar>
              <w:top w:w="15" w:type="dxa"/>
              <w:left w:w="79" w:type="dxa"/>
              <w:bottom w:w="0" w:type="dxa"/>
              <w:right w:w="79" w:type="dxa"/>
            </w:tcMar>
          </w:tcPr>
          <w:p w14:paraId="537456C1" w14:textId="77777777" w:rsidR="004F338F" w:rsidRPr="00C5744E" w:rsidRDefault="004F338F" w:rsidP="00F9765C">
            <w:pPr>
              <w:jc w:val="center"/>
              <w:rPr>
                <w:sz w:val="20"/>
                <w:szCs w:val="20"/>
                <w:lang w:val="en-US" w:eastAsia="pt-BR"/>
              </w:rPr>
            </w:pPr>
            <w:r w:rsidRPr="00C5744E">
              <w:rPr>
                <w:sz w:val="20"/>
                <w:szCs w:val="20"/>
                <w:lang w:val="en-US" w:eastAsia="pt-BR"/>
              </w:rPr>
              <w:t>1.8</w:t>
            </w:r>
          </w:p>
        </w:tc>
        <w:tc>
          <w:tcPr>
            <w:tcW w:w="2520" w:type="dxa"/>
            <w:tcBorders>
              <w:top w:val="nil"/>
              <w:bottom w:val="nil"/>
            </w:tcBorders>
          </w:tcPr>
          <w:p w14:paraId="31311E7A" w14:textId="77777777" w:rsidR="004F338F" w:rsidRPr="00C5744E" w:rsidRDefault="004F338F" w:rsidP="00F9765C">
            <w:pPr>
              <w:jc w:val="center"/>
              <w:rPr>
                <w:sz w:val="20"/>
                <w:szCs w:val="20"/>
                <w:lang w:val="en-US" w:eastAsia="pt-BR"/>
              </w:rPr>
            </w:pPr>
            <w:r w:rsidRPr="00C5744E">
              <w:rPr>
                <w:sz w:val="20"/>
                <w:szCs w:val="20"/>
                <w:lang w:val="en-US" w:eastAsia="pt-BR"/>
              </w:rPr>
              <w:t>2.3</w:t>
            </w:r>
          </w:p>
        </w:tc>
      </w:tr>
      <w:tr w:rsidR="004F338F" w:rsidRPr="00C5744E" w14:paraId="27E452C7" w14:textId="77777777" w:rsidTr="00F9765C">
        <w:trPr>
          <w:trHeight w:val="325"/>
        </w:trPr>
        <w:tc>
          <w:tcPr>
            <w:tcW w:w="2773" w:type="dxa"/>
            <w:tcBorders>
              <w:top w:val="nil"/>
              <w:bottom w:val="nil"/>
            </w:tcBorders>
            <w:shd w:val="clear" w:color="auto" w:fill="auto"/>
            <w:tcMar>
              <w:top w:w="15" w:type="dxa"/>
              <w:left w:w="79" w:type="dxa"/>
              <w:bottom w:w="0" w:type="dxa"/>
              <w:right w:w="79" w:type="dxa"/>
            </w:tcMar>
            <w:hideMark/>
          </w:tcPr>
          <w:p w14:paraId="59A638BF" w14:textId="77777777" w:rsidR="004F338F" w:rsidRPr="00C5744E" w:rsidRDefault="004F338F" w:rsidP="00F9765C">
            <w:pPr>
              <w:rPr>
                <w:sz w:val="20"/>
                <w:szCs w:val="20"/>
                <w:lang w:eastAsia="pt-BR"/>
              </w:rPr>
            </w:pPr>
            <w:r w:rsidRPr="00C5744E">
              <w:rPr>
                <w:rFonts w:eastAsia="Calibri"/>
                <w:kern w:val="24"/>
                <w:sz w:val="20"/>
                <w:szCs w:val="20"/>
                <w:lang w:eastAsia="pt-BR"/>
              </w:rPr>
              <w:t>Per capita familiar income (R$)</w:t>
            </w:r>
          </w:p>
        </w:tc>
        <w:tc>
          <w:tcPr>
            <w:tcW w:w="2076" w:type="dxa"/>
            <w:tcBorders>
              <w:top w:val="nil"/>
              <w:bottom w:val="nil"/>
            </w:tcBorders>
            <w:shd w:val="clear" w:color="auto" w:fill="auto"/>
            <w:tcMar>
              <w:top w:w="15" w:type="dxa"/>
              <w:left w:w="79" w:type="dxa"/>
              <w:bottom w:w="0" w:type="dxa"/>
              <w:right w:w="79" w:type="dxa"/>
            </w:tcMar>
          </w:tcPr>
          <w:p w14:paraId="58DBD725" w14:textId="77777777" w:rsidR="004F338F" w:rsidRPr="00C5744E" w:rsidRDefault="004F338F" w:rsidP="00F9765C">
            <w:pPr>
              <w:jc w:val="center"/>
              <w:rPr>
                <w:sz w:val="20"/>
                <w:szCs w:val="20"/>
                <w:lang w:val="en-US" w:eastAsia="pt-BR"/>
              </w:rPr>
            </w:pPr>
            <w:r w:rsidRPr="00C5744E">
              <w:rPr>
                <w:sz w:val="20"/>
                <w:szCs w:val="20"/>
                <w:lang w:val="en-US" w:eastAsia="pt-BR"/>
              </w:rPr>
              <w:t>1,361.58</w:t>
            </w:r>
          </w:p>
        </w:tc>
        <w:tc>
          <w:tcPr>
            <w:tcW w:w="2520" w:type="dxa"/>
            <w:tcBorders>
              <w:top w:val="nil"/>
              <w:bottom w:val="nil"/>
            </w:tcBorders>
          </w:tcPr>
          <w:p w14:paraId="04D98588" w14:textId="77777777" w:rsidR="004F338F" w:rsidRPr="00C5744E" w:rsidRDefault="004F338F" w:rsidP="00F9765C">
            <w:pPr>
              <w:jc w:val="center"/>
              <w:rPr>
                <w:sz w:val="20"/>
                <w:szCs w:val="20"/>
                <w:lang w:val="en-US" w:eastAsia="pt-BR"/>
              </w:rPr>
            </w:pPr>
            <w:r w:rsidRPr="00C5744E">
              <w:rPr>
                <w:sz w:val="20"/>
                <w:szCs w:val="20"/>
                <w:lang w:val="en-US" w:eastAsia="pt-BR"/>
              </w:rPr>
              <w:t>1,031,85</w:t>
            </w:r>
          </w:p>
        </w:tc>
      </w:tr>
      <w:tr w:rsidR="004F338F" w:rsidRPr="00C5744E" w14:paraId="59D8A2DA" w14:textId="77777777" w:rsidTr="00F9765C">
        <w:trPr>
          <w:trHeight w:val="325"/>
        </w:trPr>
        <w:tc>
          <w:tcPr>
            <w:tcW w:w="2773" w:type="dxa"/>
            <w:tcBorders>
              <w:top w:val="nil"/>
              <w:bottom w:val="nil"/>
            </w:tcBorders>
            <w:shd w:val="clear" w:color="auto" w:fill="auto"/>
            <w:tcMar>
              <w:top w:w="15" w:type="dxa"/>
              <w:left w:w="79" w:type="dxa"/>
              <w:bottom w:w="0" w:type="dxa"/>
              <w:right w:w="79" w:type="dxa"/>
            </w:tcMar>
          </w:tcPr>
          <w:p w14:paraId="7D4861C0"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Formal (%)</w:t>
            </w:r>
          </w:p>
        </w:tc>
        <w:tc>
          <w:tcPr>
            <w:tcW w:w="2076" w:type="dxa"/>
            <w:tcBorders>
              <w:top w:val="nil"/>
              <w:bottom w:val="nil"/>
            </w:tcBorders>
            <w:shd w:val="clear" w:color="auto" w:fill="auto"/>
            <w:tcMar>
              <w:top w:w="15" w:type="dxa"/>
              <w:left w:w="79" w:type="dxa"/>
              <w:bottom w:w="0" w:type="dxa"/>
              <w:right w:w="79" w:type="dxa"/>
            </w:tcMar>
          </w:tcPr>
          <w:p w14:paraId="5CDAEB33" w14:textId="77777777" w:rsidR="004F338F" w:rsidRPr="00C5744E" w:rsidRDefault="004F338F" w:rsidP="00F9765C">
            <w:pPr>
              <w:jc w:val="center"/>
              <w:rPr>
                <w:sz w:val="20"/>
                <w:szCs w:val="20"/>
                <w:lang w:val="en-US" w:eastAsia="pt-BR"/>
              </w:rPr>
            </w:pPr>
            <w:r w:rsidRPr="00C5744E">
              <w:rPr>
                <w:sz w:val="20"/>
                <w:szCs w:val="20"/>
                <w:lang w:val="en-US" w:eastAsia="pt-BR"/>
              </w:rPr>
              <w:t>61.32</w:t>
            </w:r>
          </w:p>
        </w:tc>
        <w:tc>
          <w:tcPr>
            <w:tcW w:w="2520" w:type="dxa"/>
            <w:tcBorders>
              <w:top w:val="nil"/>
              <w:bottom w:val="nil"/>
            </w:tcBorders>
          </w:tcPr>
          <w:p w14:paraId="557DE575" w14:textId="77777777" w:rsidR="004F338F" w:rsidRPr="00C5744E" w:rsidRDefault="004F338F" w:rsidP="00F9765C">
            <w:pPr>
              <w:jc w:val="center"/>
              <w:rPr>
                <w:sz w:val="20"/>
                <w:szCs w:val="20"/>
                <w:lang w:val="en-US" w:eastAsia="pt-BR"/>
              </w:rPr>
            </w:pPr>
            <w:r w:rsidRPr="00C5744E">
              <w:rPr>
                <w:sz w:val="20"/>
                <w:szCs w:val="20"/>
                <w:lang w:val="en-US" w:eastAsia="pt-BR"/>
              </w:rPr>
              <w:t>59.90</w:t>
            </w:r>
          </w:p>
        </w:tc>
      </w:tr>
      <w:tr w:rsidR="004F338F" w:rsidRPr="00C5744E" w14:paraId="507B26EC" w14:textId="77777777" w:rsidTr="00F9765C">
        <w:trPr>
          <w:trHeight w:val="325"/>
        </w:trPr>
        <w:tc>
          <w:tcPr>
            <w:tcW w:w="2773" w:type="dxa"/>
            <w:tcBorders>
              <w:top w:val="nil"/>
              <w:bottom w:val="nil"/>
            </w:tcBorders>
            <w:shd w:val="clear" w:color="auto" w:fill="auto"/>
            <w:tcMar>
              <w:top w:w="15" w:type="dxa"/>
              <w:left w:w="79" w:type="dxa"/>
              <w:bottom w:w="0" w:type="dxa"/>
              <w:right w:w="79" w:type="dxa"/>
            </w:tcMar>
          </w:tcPr>
          <w:p w14:paraId="66EC6DDE"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Informal (%)</w:t>
            </w:r>
          </w:p>
        </w:tc>
        <w:tc>
          <w:tcPr>
            <w:tcW w:w="2076" w:type="dxa"/>
            <w:tcBorders>
              <w:top w:val="nil"/>
              <w:bottom w:val="nil"/>
            </w:tcBorders>
            <w:shd w:val="clear" w:color="auto" w:fill="auto"/>
            <w:tcMar>
              <w:top w:w="15" w:type="dxa"/>
              <w:left w:w="79" w:type="dxa"/>
              <w:bottom w:w="0" w:type="dxa"/>
              <w:right w:w="79" w:type="dxa"/>
            </w:tcMar>
          </w:tcPr>
          <w:p w14:paraId="173FD456" w14:textId="77777777" w:rsidR="004F338F" w:rsidRPr="00C5744E" w:rsidRDefault="004F338F" w:rsidP="00F9765C">
            <w:pPr>
              <w:jc w:val="center"/>
              <w:rPr>
                <w:sz w:val="20"/>
                <w:szCs w:val="20"/>
                <w:lang w:val="en-US" w:eastAsia="pt-BR"/>
              </w:rPr>
            </w:pPr>
            <w:r w:rsidRPr="00C5744E">
              <w:rPr>
                <w:sz w:val="20"/>
                <w:szCs w:val="20"/>
                <w:lang w:val="en-US" w:eastAsia="pt-BR"/>
              </w:rPr>
              <w:t>16.98</w:t>
            </w:r>
          </w:p>
        </w:tc>
        <w:tc>
          <w:tcPr>
            <w:tcW w:w="2520" w:type="dxa"/>
            <w:tcBorders>
              <w:top w:val="nil"/>
              <w:bottom w:val="nil"/>
            </w:tcBorders>
          </w:tcPr>
          <w:p w14:paraId="06C1B64C" w14:textId="77777777" w:rsidR="004F338F" w:rsidRPr="00C5744E" w:rsidRDefault="004F338F" w:rsidP="00F9765C">
            <w:pPr>
              <w:jc w:val="center"/>
              <w:rPr>
                <w:sz w:val="20"/>
                <w:szCs w:val="20"/>
                <w:lang w:val="en-US" w:eastAsia="pt-BR"/>
              </w:rPr>
            </w:pPr>
            <w:r w:rsidRPr="00C5744E">
              <w:rPr>
                <w:sz w:val="20"/>
                <w:szCs w:val="20"/>
                <w:lang w:val="en-US" w:eastAsia="pt-BR"/>
              </w:rPr>
              <w:t>18.21</w:t>
            </w:r>
          </w:p>
        </w:tc>
      </w:tr>
      <w:tr w:rsidR="004F338F" w:rsidRPr="00C5744E" w14:paraId="40477EEB" w14:textId="77777777" w:rsidTr="00F9765C">
        <w:trPr>
          <w:trHeight w:val="325"/>
        </w:trPr>
        <w:tc>
          <w:tcPr>
            <w:tcW w:w="2773" w:type="dxa"/>
            <w:tcBorders>
              <w:top w:val="nil"/>
              <w:bottom w:val="nil"/>
            </w:tcBorders>
            <w:shd w:val="clear" w:color="auto" w:fill="auto"/>
            <w:tcMar>
              <w:top w:w="15" w:type="dxa"/>
              <w:left w:w="79" w:type="dxa"/>
              <w:bottom w:w="0" w:type="dxa"/>
              <w:right w:w="79" w:type="dxa"/>
            </w:tcMar>
          </w:tcPr>
          <w:p w14:paraId="1F91171C"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Employer (%)</w:t>
            </w:r>
          </w:p>
        </w:tc>
        <w:tc>
          <w:tcPr>
            <w:tcW w:w="2076" w:type="dxa"/>
            <w:tcBorders>
              <w:top w:val="nil"/>
              <w:bottom w:val="nil"/>
            </w:tcBorders>
            <w:shd w:val="clear" w:color="auto" w:fill="auto"/>
            <w:tcMar>
              <w:top w:w="15" w:type="dxa"/>
              <w:left w:w="79" w:type="dxa"/>
              <w:bottom w:w="0" w:type="dxa"/>
              <w:right w:w="79" w:type="dxa"/>
            </w:tcMar>
          </w:tcPr>
          <w:p w14:paraId="1C304BD0" w14:textId="77777777" w:rsidR="004F338F" w:rsidRPr="00C5744E" w:rsidRDefault="004F338F" w:rsidP="00F9765C">
            <w:pPr>
              <w:jc w:val="center"/>
              <w:rPr>
                <w:sz w:val="20"/>
                <w:szCs w:val="20"/>
                <w:lang w:val="en-US" w:eastAsia="pt-BR"/>
              </w:rPr>
            </w:pPr>
            <w:r w:rsidRPr="00C5744E">
              <w:rPr>
                <w:sz w:val="20"/>
                <w:szCs w:val="20"/>
                <w:lang w:val="en-US" w:eastAsia="pt-BR"/>
              </w:rPr>
              <w:t>5.02</w:t>
            </w:r>
          </w:p>
        </w:tc>
        <w:tc>
          <w:tcPr>
            <w:tcW w:w="2520" w:type="dxa"/>
            <w:tcBorders>
              <w:top w:val="nil"/>
              <w:bottom w:val="nil"/>
            </w:tcBorders>
          </w:tcPr>
          <w:p w14:paraId="03D93EB6" w14:textId="77777777" w:rsidR="004F338F" w:rsidRPr="00C5744E" w:rsidRDefault="004F338F" w:rsidP="00F9765C">
            <w:pPr>
              <w:jc w:val="center"/>
              <w:rPr>
                <w:sz w:val="20"/>
                <w:szCs w:val="20"/>
                <w:lang w:val="en-US" w:eastAsia="pt-BR"/>
              </w:rPr>
            </w:pPr>
            <w:r w:rsidRPr="00C5744E">
              <w:rPr>
                <w:sz w:val="20"/>
                <w:szCs w:val="20"/>
                <w:lang w:val="en-US" w:eastAsia="pt-BR"/>
              </w:rPr>
              <w:t>4.87</w:t>
            </w:r>
          </w:p>
        </w:tc>
      </w:tr>
      <w:tr w:rsidR="004F338F" w:rsidRPr="00C5744E" w14:paraId="22620F79" w14:textId="77777777" w:rsidTr="00F9765C">
        <w:trPr>
          <w:trHeight w:val="325"/>
        </w:trPr>
        <w:tc>
          <w:tcPr>
            <w:tcW w:w="2773" w:type="dxa"/>
            <w:tcBorders>
              <w:top w:val="nil"/>
              <w:bottom w:val="nil"/>
            </w:tcBorders>
            <w:shd w:val="clear" w:color="auto" w:fill="auto"/>
            <w:tcMar>
              <w:top w:w="15" w:type="dxa"/>
              <w:left w:w="79" w:type="dxa"/>
              <w:bottom w:w="0" w:type="dxa"/>
              <w:right w:w="79" w:type="dxa"/>
            </w:tcMar>
          </w:tcPr>
          <w:p w14:paraId="11DCDD0F"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Self-employed (%)</w:t>
            </w:r>
          </w:p>
        </w:tc>
        <w:tc>
          <w:tcPr>
            <w:tcW w:w="2076" w:type="dxa"/>
            <w:tcBorders>
              <w:top w:val="nil"/>
              <w:bottom w:val="nil"/>
            </w:tcBorders>
            <w:shd w:val="clear" w:color="auto" w:fill="auto"/>
            <w:tcMar>
              <w:top w:w="15" w:type="dxa"/>
              <w:left w:w="79" w:type="dxa"/>
              <w:bottom w:w="0" w:type="dxa"/>
              <w:right w:w="79" w:type="dxa"/>
            </w:tcMar>
          </w:tcPr>
          <w:p w14:paraId="61193A33" w14:textId="77777777" w:rsidR="004F338F" w:rsidRPr="00C5744E" w:rsidRDefault="004F338F" w:rsidP="00F9765C">
            <w:pPr>
              <w:jc w:val="center"/>
              <w:rPr>
                <w:sz w:val="20"/>
                <w:szCs w:val="20"/>
                <w:lang w:val="en-US" w:eastAsia="pt-BR"/>
              </w:rPr>
            </w:pPr>
            <w:r w:rsidRPr="00C5744E">
              <w:rPr>
                <w:sz w:val="20"/>
                <w:szCs w:val="20"/>
                <w:lang w:val="en-US" w:eastAsia="pt-BR"/>
              </w:rPr>
              <w:t>16.69</w:t>
            </w:r>
          </w:p>
        </w:tc>
        <w:tc>
          <w:tcPr>
            <w:tcW w:w="2520" w:type="dxa"/>
            <w:tcBorders>
              <w:top w:val="nil"/>
              <w:bottom w:val="nil"/>
            </w:tcBorders>
          </w:tcPr>
          <w:p w14:paraId="1FDAA7BF" w14:textId="77777777" w:rsidR="004F338F" w:rsidRPr="00C5744E" w:rsidRDefault="004F338F" w:rsidP="00F9765C">
            <w:pPr>
              <w:jc w:val="center"/>
              <w:rPr>
                <w:sz w:val="20"/>
                <w:szCs w:val="20"/>
                <w:lang w:val="en-US" w:eastAsia="pt-BR"/>
              </w:rPr>
            </w:pPr>
            <w:r w:rsidRPr="00C5744E">
              <w:rPr>
                <w:sz w:val="20"/>
                <w:szCs w:val="20"/>
                <w:lang w:val="en-US" w:eastAsia="pt-BR"/>
              </w:rPr>
              <w:t>17.01</w:t>
            </w:r>
          </w:p>
        </w:tc>
      </w:tr>
      <w:tr w:rsidR="004F338F" w:rsidRPr="00C5744E" w14:paraId="173E2ED7" w14:textId="77777777" w:rsidTr="00F9765C">
        <w:trPr>
          <w:trHeight w:val="325"/>
        </w:trPr>
        <w:tc>
          <w:tcPr>
            <w:tcW w:w="2773" w:type="dxa"/>
            <w:tcBorders>
              <w:top w:val="nil"/>
              <w:bottom w:val="nil"/>
            </w:tcBorders>
            <w:shd w:val="clear" w:color="auto" w:fill="auto"/>
            <w:tcMar>
              <w:top w:w="15" w:type="dxa"/>
              <w:left w:w="79" w:type="dxa"/>
              <w:bottom w:w="0" w:type="dxa"/>
              <w:right w:w="79" w:type="dxa"/>
            </w:tcMar>
          </w:tcPr>
          <w:p w14:paraId="26F85A91"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Children (numbers)</w:t>
            </w:r>
          </w:p>
        </w:tc>
        <w:tc>
          <w:tcPr>
            <w:tcW w:w="2076" w:type="dxa"/>
            <w:tcBorders>
              <w:top w:val="nil"/>
              <w:bottom w:val="nil"/>
            </w:tcBorders>
            <w:shd w:val="clear" w:color="auto" w:fill="auto"/>
            <w:tcMar>
              <w:top w:w="15" w:type="dxa"/>
              <w:left w:w="79" w:type="dxa"/>
              <w:bottom w:w="0" w:type="dxa"/>
              <w:right w:w="79" w:type="dxa"/>
            </w:tcMar>
          </w:tcPr>
          <w:p w14:paraId="20B73CB4" w14:textId="77777777" w:rsidR="004F338F" w:rsidRPr="00C5744E" w:rsidRDefault="004F338F" w:rsidP="00F9765C">
            <w:pPr>
              <w:jc w:val="center"/>
              <w:rPr>
                <w:sz w:val="20"/>
                <w:szCs w:val="20"/>
                <w:lang w:val="en-US" w:eastAsia="pt-BR"/>
              </w:rPr>
            </w:pPr>
            <w:r w:rsidRPr="00C5744E">
              <w:rPr>
                <w:sz w:val="20"/>
                <w:szCs w:val="20"/>
                <w:lang w:val="en-US" w:eastAsia="pt-BR"/>
              </w:rPr>
              <w:t>1.2</w:t>
            </w:r>
          </w:p>
        </w:tc>
        <w:tc>
          <w:tcPr>
            <w:tcW w:w="2520" w:type="dxa"/>
            <w:tcBorders>
              <w:top w:val="nil"/>
              <w:bottom w:val="nil"/>
            </w:tcBorders>
          </w:tcPr>
          <w:p w14:paraId="30A07891" w14:textId="77777777" w:rsidR="004F338F" w:rsidRPr="00C5744E" w:rsidRDefault="004F338F" w:rsidP="00F9765C">
            <w:pPr>
              <w:jc w:val="center"/>
              <w:rPr>
                <w:sz w:val="20"/>
                <w:szCs w:val="20"/>
                <w:lang w:val="en-US" w:eastAsia="pt-BR"/>
              </w:rPr>
            </w:pPr>
            <w:r w:rsidRPr="00C5744E">
              <w:rPr>
                <w:sz w:val="20"/>
                <w:szCs w:val="20"/>
                <w:lang w:val="en-US" w:eastAsia="pt-BR"/>
              </w:rPr>
              <w:t>2.7</w:t>
            </w:r>
          </w:p>
        </w:tc>
      </w:tr>
      <w:tr w:rsidR="004F338F" w:rsidRPr="00C5744E" w14:paraId="1DF9D6E8" w14:textId="77777777" w:rsidTr="00F9765C">
        <w:trPr>
          <w:trHeight w:val="325"/>
        </w:trPr>
        <w:tc>
          <w:tcPr>
            <w:tcW w:w="2773" w:type="dxa"/>
            <w:tcBorders>
              <w:top w:val="nil"/>
              <w:bottom w:val="single" w:sz="4" w:space="0" w:color="auto"/>
            </w:tcBorders>
            <w:shd w:val="clear" w:color="auto" w:fill="auto"/>
            <w:tcMar>
              <w:top w:w="15" w:type="dxa"/>
              <w:left w:w="79" w:type="dxa"/>
              <w:bottom w:w="0" w:type="dxa"/>
              <w:right w:w="79" w:type="dxa"/>
            </w:tcMar>
          </w:tcPr>
          <w:p w14:paraId="4797B19E"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Commuting time (%)</w:t>
            </w:r>
          </w:p>
        </w:tc>
        <w:tc>
          <w:tcPr>
            <w:tcW w:w="2076" w:type="dxa"/>
            <w:tcBorders>
              <w:top w:val="nil"/>
              <w:bottom w:val="single" w:sz="4" w:space="0" w:color="auto"/>
            </w:tcBorders>
            <w:shd w:val="clear" w:color="auto" w:fill="auto"/>
            <w:tcMar>
              <w:top w:w="15" w:type="dxa"/>
              <w:left w:w="79" w:type="dxa"/>
              <w:bottom w:w="0" w:type="dxa"/>
              <w:right w:w="79" w:type="dxa"/>
            </w:tcMar>
          </w:tcPr>
          <w:p w14:paraId="2185C721" w14:textId="77777777" w:rsidR="004F338F" w:rsidRPr="00C5744E" w:rsidRDefault="004F338F" w:rsidP="00F9765C">
            <w:pPr>
              <w:jc w:val="center"/>
              <w:rPr>
                <w:sz w:val="20"/>
                <w:szCs w:val="20"/>
                <w:lang w:val="en-US" w:eastAsia="pt-BR"/>
              </w:rPr>
            </w:pPr>
            <w:r w:rsidRPr="00C5744E">
              <w:rPr>
                <w:sz w:val="20"/>
                <w:szCs w:val="20"/>
                <w:lang w:val="en-US" w:eastAsia="pt-BR"/>
              </w:rPr>
              <w:t>34.59</w:t>
            </w:r>
          </w:p>
        </w:tc>
        <w:tc>
          <w:tcPr>
            <w:tcW w:w="2520" w:type="dxa"/>
            <w:tcBorders>
              <w:top w:val="nil"/>
              <w:bottom w:val="single" w:sz="4" w:space="0" w:color="auto"/>
            </w:tcBorders>
          </w:tcPr>
          <w:p w14:paraId="2434F077" w14:textId="77777777" w:rsidR="004F338F" w:rsidRPr="00C5744E" w:rsidRDefault="004F338F" w:rsidP="00F9765C">
            <w:pPr>
              <w:jc w:val="center"/>
              <w:rPr>
                <w:sz w:val="20"/>
                <w:szCs w:val="20"/>
                <w:lang w:val="en-US" w:eastAsia="pt-BR"/>
              </w:rPr>
            </w:pPr>
            <w:r w:rsidRPr="00C5744E">
              <w:rPr>
                <w:sz w:val="20"/>
                <w:szCs w:val="20"/>
                <w:lang w:val="en-US" w:eastAsia="pt-BR"/>
              </w:rPr>
              <w:t>35.35</w:t>
            </w:r>
          </w:p>
        </w:tc>
      </w:tr>
      <w:tr w:rsidR="004F338F" w:rsidRPr="00C5744E" w14:paraId="6AD7F72C" w14:textId="77777777" w:rsidTr="00F9765C">
        <w:trPr>
          <w:trHeight w:val="325"/>
        </w:trPr>
        <w:tc>
          <w:tcPr>
            <w:tcW w:w="2773" w:type="dxa"/>
            <w:tcBorders>
              <w:top w:val="nil"/>
              <w:bottom w:val="single" w:sz="4" w:space="0" w:color="auto"/>
            </w:tcBorders>
            <w:shd w:val="clear" w:color="auto" w:fill="auto"/>
            <w:tcMar>
              <w:top w:w="15" w:type="dxa"/>
              <w:left w:w="79" w:type="dxa"/>
              <w:bottom w:w="0" w:type="dxa"/>
              <w:right w:w="79" w:type="dxa"/>
            </w:tcMar>
          </w:tcPr>
          <w:p w14:paraId="14B6354F" w14:textId="77777777" w:rsidR="004F338F" w:rsidRPr="00C5744E" w:rsidRDefault="004F338F" w:rsidP="00F9765C">
            <w:pPr>
              <w:rPr>
                <w:rFonts w:eastAsia="Calibri"/>
                <w:bCs/>
                <w:kern w:val="24"/>
                <w:sz w:val="20"/>
                <w:szCs w:val="20"/>
                <w:lang w:val="en-US" w:eastAsia="pt-BR"/>
              </w:rPr>
            </w:pPr>
            <w:r w:rsidRPr="00C5744E">
              <w:rPr>
                <w:rFonts w:eastAsia="Calibri"/>
                <w:bCs/>
                <w:kern w:val="24"/>
                <w:sz w:val="20"/>
                <w:szCs w:val="20"/>
                <w:lang w:val="en-US" w:eastAsia="pt-BR"/>
              </w:rPr>
              <w:t>Observations</w:t>
            </w:r>
          </w:p>
        </w:tc>
        <w:tc>
          <w:tcPr>
            <w:tcW w:w="2076" w:type="dxa"/>
            <w:tcBorders>
              <w:top w:val="nil"/>
              <w:bottom w:val="single" w:sz="4" w:space="0" w:color="auto"/>
            </w:tcBorders>
            <w:shd w:val="clear" w:color="auto" w:fill="auto"/>
            <w:tcMar>
              <w:top w:w="15" w:type="dxa"/>
              <w:left w:w="79" w:type="dxa"/>
              <w:bottom w:w="0" w:type="dxa"/>
              <w:right w:w="79" w:type="dxa"/>
            </w:tcMar>
          </w:tcPr>
          <w:p w14:paraId="2D27E5ED" w14:textId="77777777" w:rsidR="004F338F" w:rsidRPr="00C5744E" w:rsidRDefault="004F338F" w:rsidP="00F9765C">
            <w:pPr>
              <w:jc w:val="center"/>
              <w:rPr>
                <w:sz w:val="20"/>
                <w:szCs w:val="20"/>
                <w:lang w:val="en-US" w:eastAsia="pt-BR"/>
              </w:rPr>
            </w:pPr>
            <w:r w:rsidRPr="00C5744E">
              <w:rPr>
                <w:sz w:val="20"/>
                <w:szCs w:val="20"/>
                <w:lang w:val="en-US" w:eastAsia="pt-BR"/>
              </w:rPr>
              <w:t>44,788</w:t>
            </w:r>
          </w:p>
        </w:tc>
        <w:tc>
          <w:tcPr>
            <w:tcW w:w="2520" w:type="dxa"/>
            <w:tcBorders>
              <w:top w:val="nil"/>
              <w:bottom w:val="single" w:sz="4" w:space="0" w:color="auto"/>
            </w:tcBorders>
          </w:tcPr>
          <w:p w14:paraId="6EAC80D9" w14:textId="77777777" w:rsidR="004F338F" w:rsidRPr="00C5744E" w:rsidRDefault="004F338F" w:rsidP="00F9765C">
            <w:pPr>
              <w:jc w:val="center"/>
              <w:rPr>
                <w:sz w:val="20"/>
                <w:szCs w:val="20"/>
                <w:lang w:val="en-US" w:eastAsia="pt-BR"/>
              </w:rPr>
            </w:pPr>
            <w:r w:rsidRPr="00C5744E">
              <w:rPr>
                <w:sz w:val="20"/>
                <w:szCs w:val="20"/>
                <w:lang w:val="en-US" w:eastAsia="pt-BR"/>
              </w:rPr>
              <w:t>14,033</w:t>
            </w:r>
          </w:p>
        </w:tc>
      </w:tr>
    </w:tbl>
    <w:p w14:paraId="7A323403" w14:textId="77777777" w:rsidR="004F338F" w:rsidRPr="00C5744E" w:rsidRDefault="004F338F" w:rsidP="004F338F">
      <w:pPr>
        <w:rPr>
          <w:sz w:val="20"/>
          <w:szCs w:val="20"/>
          <w:lang w:val="en-US"/>
        </w:rPr>
      </w:pPr>
      <w:r w:rsidRPr="00C5744E">
        <w:rPr>
          <w:sz w:val="20"/>
          <w:szCs w:val="20"/>
          <w:lang w:val="en-US"/>
        </w:rPr>
        <w:t xml:space="preserve">Source: Authors’ calculation using data from the PNAD 2013. Commuting time indicates the share </w:t>
      </w:r>
    </w:p>
    <w:p w14:paraId="73025FFB" w14:textId="77777777" w:rsidR="004F338F" w:rsidRPr="00C5744E" w:rsidRDefault="004F338F" w:rsidP="004F338F">
      <w:pPr>
        <w:rPr>
          <w:sz w:val="20"/>
          <w:szCs w:val="20"/>
          <w:lang w:val="en-US"/>
        </w:rPr>
      </w:pPr>
      <w:r w:rsidRPr="00C5744E">
        <w:rPr>
          <w:sz w:val="20"/>
          <w:szCs w:val="20"/>
          <w:lang w:val="en-US"/>
        </w:rPr>
        <w:t>with more than 30 minutes in the trajectory from residence location to job location.</w:t>
      </w:r>
    </w:p>
    <w:p w14:paraId="3D291AFE" w14:textId="77777777" w:rsidR="004F338F" w:rsidRPr="00C5744E" w:rsidRDefault="004F338F" w:rsidP="004F338F">
      <w:pPr>
        <w:rPr>
          <w:b/>
          <w:lang w:val="en-US"/>
        </w:rPr>
      </w:pPr>
      <w:r w:rsidRPr="00C5744E">
        <w:rPr>
          <w:b/>
          <w:lang w:val="en-US"/>
        </w:rPr>
        <w:tab/>
      </w:r>
    </w:p>
    <w:p w14:paraId="6CFD5105" w14:textId="77777777" w:rsidR="004F338F" w:rsidRDefault="004F338F" w:rsidP="004F338F">
      <w:pPr>
        <w:jc w:val="both"/>
        <w:rPr>
          <w:lang w:val="en-US"/>
        </w:rPr>
      </w:pPr>
      <w:r w:rsidRPr="00C5744E">
        <w:rPr>
          <w:b/>
          <w:lang w:val="en-US"/>
        </w:rPr>
        <w:tab/>
      </w:r>
      <w:r w:rsidRPr="00C5744E">
        <w:rPr>
          <w:lang w:val="en-US"/>
        </w:rPr>
        <w:t>As discussed above</w:t>
      </w:r>
      <w:r w:rsidRPr="00C5744E">
        <w:rPr>
          <w:b/>
          <w:lang w:val="en-US"/>
        </w:rPr>
        <w:t xml:space="preserve">, </w:t>
      </w:r>
      <w:r w:rsidRPr="00C5744E">
        <w:rPr>
          <w:lang w:val="en-US"/>
        </w:rPr>
        <w:t>our instrumental variable is presumably exogenous with respect the conditionings of commuting time (apart from the influence through the number of children), something, of course, difficult to prove. The numbers of the</w:t>
      </w:r>
      <w:r>
        <w:rPr>
          <w:lang w:val="en-US"/>
        </w:rPr>
        <w:t xml:space="preserve"> next Table 3</w:t>
      </w:r>
      <w:r w:rsidRPr="00C5744E">
        <w:rPr>
          <w:lang w:val="en-US"/>
        </w:rPr>
        <w:t>, that presents descriptive statistics for groups of household with the first two siblings of the same sex (column (1)) and with the first two siblings of different sex (column (2)), however, indicates that our instrumental variable does a good job in balancing the variables among the two samples. In other words, there is no any important difference between the groups on the distribution of the variables. The balance of the set of variables between the two groups, thus, mimics what we would expect from a random distribution of them between the two kinds of households; this favors using the variable as an instrument for the number of children.</w:t>
      </w:r>
    </w:p>
    <w:p w14:paraId="4D1A2959" w14:textId="77777777" w:rsidR="004F338F" w:rsidRDefault="004F338F" w:rsidP="004F338F">
      <w:pPr>
        <w:jc w:val="both"/>
        <w:rPr>
          <w:lang w:val="en-US"/>
        </w:rPr>
      </w:pPr>
    </w:p>
    <w:p w14:paraId="7FB110F9" w14:textId="77777777" w:rsidR="004F338F" w:rsidRDefault="004F338F" w:rsidP="004F338F">
      <w:pPr>
        <w:jc w:val="both"/>
        <w:rPr>
          <w:lang w:val="en-US"/>
        </w:rPr>
      </w:pPr>
    </w:p>
    <w:p w14:paraId="46E511E6" w14:textId="77777777" w:rsidR="004F338F" w:rsidRDefault="004F338F" w:rsidP="004F338F">
      <w:pPr>
        <w:jc w:val="both"/>
        <w:rPr>
          <w:lang w:val="en-US"/>
        </w:rPr>
      </w:pPr>
    </w:p>
    <w:p w14:paraId="5CEC7EB1" w14:textId="77777777" w:rsidR="004F338F" w:rsidRDefault="004F338F" w:rsidP="004F338F">
      <w:pPr>
        <w:jc w:val="both"/>
        <w:rPr>
          <w:lang w:val="en-US"/>
        </w:rPr>
      </w:pPr>
    </w:p>
    <w:p w14:paraId="77C539D8" w14:textId="77777777" w:rsidR="004F338F" w:rsidRPr="00C5744E" w:rsidRDefault="004F338F" w:rsidP="004F338F">
      <w:pPr>
        <w:jc w:val="both"/>
        <w:rPr>
          <w:lang w:val="en-US"/>
        </w:rPr>
      </w:pPr>
    </w:p>
    <w:p w14:paraId="644902BC" w14:textId="77777777" w:rsidR="004F338F" w:rsidRPr="00C5744E" w:rsidRDefault="004F338F" w:rsidP="004F338F">
      <w:pPr>
        <w:rPr>
          <w:b/>
          <w:lang w:val="en-US"/>
        </w:rPr>
      </w:pPr>
      <w:r>
        <w:rPr>
          <w:b/>
          <w:lang w:val="en-US"/>
        </w:rPr>
        <w:t>Table 3</w:t>
      </w:r>
      <w:r w:rsidRPr="00C5744E">
        <w:rPr>
          <w:b/>
          <w:lang w:val="en-US"/>
        </w:rPr>
        <w:t xml:space="preserve"> – Descriptive Statistics – Households with at least two siblings </w:t>
      </w:r>
    </w:p>
    <w:tbl>
      <w:tblPr>
        <w:tblW w:w="8159" w:type="dxa"/>
        <w:tblBorders>
          <w:top w:val="single" w:sz="8" w:space="0" w:color="000000"/>
          <w:bottom w:val="single" w:sz="8" w:space="0" w:color="000000"/>
          <w:insideH w:val="single" w:sz="4" w:space="0" w:color="auto"/>
          <w:insideV w:val="single" w:sz="8" w:space="0" w:color="000000"/>
        </w:tblBorders>
        <w:tblLayout w:type="fixed"/>
        <w:tblCellMar>
          <w:left w:w="0" w:type="dxa"/>
          <w:right w:w="0" w:type="dxa"/>
        </w:tblCellMar>
        <w:tblLook w:val="04A0" w:firstRow="1" w:lastRow="0" w:firstColumn="1" w:lastColumn="0" w:noHBand="0" w:noVBand="1"/>
      </w:tblPr>
      <w:tblGrid>
        <w:gridCol w:w="3198"/>
        <w:gridCol w:w="2551"/>
        <w:gridCol w:w="2410"/>
      </w:tblGrid>
      <w:tr w:rsidR="004F338F" w:rsidRPr="00C5744E" w14:paraId="3F62541E" w14:textId="77777777" w:rsidTr="00F9765C">
        <w:trPr>
          <w:trHeight w:val="439"/>
        </w:trPr>
        <w:tc>
          <w:tcPr>
            <w:tcW w:w="3198" w:type="dxa"/>
            <w:tcBorders>
              <w:bottom w:val="single" w:sz="4" w:space="0" w:color="auto"/>
            </w:tcBorders>
            <w:shd w:val="clear" w:color="auto" w:fill="auto"/>
            <w:tcMar>
              <w:top w:w="15" w:type="dxa"/>
              <w:left w:w="79" w:type="dxa"/>
              <w:bottom w:w="0" w:type="dxa"/>
              <w:right w:w="79" w:type="dxa"/>
            </w:tcMar>
            <w:hideMark/>
          </w:tcPr>
          <w:p w14:paraId="5FFADC75" w14:textId="77777777" w:rsidR="004F338F" w:rsidRPr="00C5744E" w:rsidRDefault="004F338F" w:rsidP="00F9765C">
            <w:pPr>
              <w:rPr>
                <w:b/>
                <w:lang w:val="en-US" w:eastAsia="pt-BR"/>
              </w:rPr>
            </w:pPr>
            <w:r w:rsidRPr="00C5744E">
              <w:rPr>
                <w:rFonts w:eastAsia="Calibri"/>
                <w:b/>
                <w:kern w:val="24"/>
                <w:lang w:val="en-US" w:eastAsia="pt-BR"/>
              </w:rPr>
              <w:t> </w:t>
            </w:r>
          </w:p>
        </w:tc>
        <w:tc>
          <w:tcPr>
            <w:tcW w:w="2551" w:type="dxa"/>
            <w:tcBorders>
              <w:bottom w:val="single" w:sz="4" w:space="0" w:color="auto"/>
            </w:tcBorders>
          </w:tcPr>
          <w:p w14:paraId="35E85F81"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First two siblings of the same sex</w:t>
            </w:r>
          </w:p>
          <w:p w14:paraId="2EA49A07"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(1)</w:t>
            </w:r>
          </w:p>
        </w:tc>
        <w:tc>
          <w:tcPr>
            <w:tcW w:w="2410" w:type="dxa"/>
            <w:tcBorders>
              <w:bottom w:val="single" w:sz="4" w:space="0" w:color="auto"/>
            </w:tcBorders>
          </w:tcPr>
          <w:p w14:paraId="7BB5C0ED"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 xml:space="preserve">First two siblings of different sex </w:t>
            </w:r>
          </w:p>
          <w:p w14:paraId="06B741C2" w14:textId="77777777" w:rsidR="004F338F" w:rsidRPr="00C5744E" w:rsidRDefault="004F338F" w:rsidP="00F9765C">
            <w:pPr>
              <w:jc w:val="center"/>
              <w:rPr>
                <w:rFonts w:eastAsia="Calibri"/>
                <w:b/>
                <w:kern w:val="24"/>
                <w:lang w:val="en-US" w:eastAsia="pt-BR"/>
              </w:rPr>
            </w:pPr>
            <w:r w:rsidRPr="00C5744E">
              <w:rPr>
                <w:rFonts w:eastAsia="Calibri"/>
                <w:b/>
                <w:kern w:val="24"/>
                <w:lang w:val="en-US" w:eastAsia="pt-BR"/>
              </w:rPr>
              <w:t>(2)</w:t>
            </w:r>
          </w:p>
        </w:tc>
      </w:tr>
      <w:tr w:rsidR="004F338F" w:rsidRPr="00C5744E" w14:paraId="0D90B0D8" w14:textId="77777777" w:rsidTr="00F9765C">
        <w:trPr>
          <w:trHeight w:val="265"/>
        </w:trPr>
        <w:tc>
          <w:tcPr>
            <w:tcW w:w="3198" w:type="dxa"/>
            <w:tcBorders>
              <w:top w:val="nil"/>
              <w:bottom w:val="nil"/>
            </w:tcBorders>
            <w:shd w:val="clear" w:color="auto" w:fill="auto"/>
            <w:tcMar>
              <w:top w:w="15" w:type="dxa"/>
              <w:left w:w="79" w:type="dxa"/>
              <w:bottom w:w="0" w:type="dxa"/>
              <w:right w:w="79" w:type="dxa"/>
            </w:tcMar>
            <w:hideMark/>
          </w:tcPr>
          <w:p w14:paraId="3A41D5EB" w14:textId="77777777" w:rsidR="004F338F" w:rsidRPr="00C5744E" w:rsidRDefault="004F338F" w:rsidP="00F9765C">
            <w:pPr>
              <w:rPr>
                <w:rFonts w:eastAsia="Calibri"/>
                <w:kern w:val="24"/>
                <w:lang w:val="en-US" w:eastAsia="pt-BR"/>
              </w:rPr>
            </w:pPr>
            <w:r w:rsidRPr="00C5744E">
              <w:rPr>
                <w:rFonts w:eastAsia="Calibri"/>
                <w:kern w:val="24"/>
                <w:lang w:val="en-US" w:eastAsia="pt-BR"/>
              </w:rPr>
              <w:t>Education (years of schooling)</w:t>
            </w:r>
          </w:p>
        </w:tc>
        <w:tc>
          <w:tcPr>
            <w:tcW w:w="2551" w:type="dxa"/>
            <w:tcBorders>
              <w:top w:val="nil"/>
              <w:bottom w:val="nil"/>
            </w:tcBorders>
          </w:tcPr>
          <w:p w14:paraId="0AB87C1B" w14:textId="77777777" w:rsidR="004F338F" w:rsidRPr="00C5744E" w:rsidRDefault="004F338F" w:rsidP="00F9765C">
            <w:pPr>
              <w:jc w:val="center"/>
              <w:rPr>
                <w:rFonts w:eastAsia="Calibri"/>
                <w:kern w:val="24"/>
                <w:lang w:val="en-US" w:eastAsia="pt-BR"/>
              </w:rPr>
            </w:pPr>
            <w:r w:rsidRPr="00C5744E">
              <w:rPr>
                <w:rFonts w:eastAsia="Calibri"/>
                <w:kern w:val="24"/>
                <w:lang w:val="en-US" w:eastAsia="pt-BR"/>
              </w:rPr>
              <w:t>9.4</w:t>
            </w:r>
          </w:p>
        </w:tc>
        <w:tc>
          <w:tcPr>
            <w:tcW w:w="2410" w:type="dxa"/>
            <w:tcBorders>
              <w:top w:val="nil"/>
              <w:bottom w:val="nil"/>
            </w:tcBorders>
          </w:tcPr>
          <w:p w14:paraId="627DC237" w14:textId="77777777" w:rsidR="004F338F" w:rsidRPr="00C5744E" w:rsidRDefault="004F338F" w:rsidP="00F9765C">
            <w:pPr>
              <w:jc w:val="center"/>
              <w:rPr>
                <w:rFonts w:eastAsia="Calibri"/>
                <w:kern w:val="24"/>
                <w:lang w:val="en-US" w:eastAsia="pt-BR"/>
              </w:rPr>
            </w:pPr>
            <w:r w:rsidRPr="00C5744E">
              <w:rPr>
                <w:rFonts w:eastAsia="Calibri"/>
                <w:kern w:val="24"/>
                <w:lang w:val="en-US" w:eastAsia="pt-BR"/>
              </w:rPr>
              <w:t>9.9</w:t>
            </w:r>
          </w:p>
        </w:tc>
      </w:tr>
      <w:tr w:rsidR="004F338F" w:rsidRPr="00C5744E" w14:paraId="69633AFC" w14:textId="77777777" w:rsidTr="00F9765C">
        <w:trPr>
          <w:trHeight w:val="325"/>
        </w:trPr>
        <w:tc>
          <w:tcPr>
            <w:tcW w:w="3198" w:type="dxa"/>
            <w:tcBorders>
              <w:top w:val="nil"/>
              <w:bottom w:val="nil"/>
            </w:tcBorders>
            <w:shd w:val="clear" w:color="auto" w:fill="auto"/>
            <w:tcMar>
              <w:top w:w="15" w:type="dxa"/>
              <w:left w:w="79" w:type="dxa"/>
              <w:bottom w:w="0" w:type="dxa"/>
              <w:right w:w="79" w:type="dxa"/>
            </w:tcMar>
            <w:hideMark/>
          </w:tcPr>
          <w:p w14:paraId="02DD016D" w14:textId="77777777" w:rsidR="004F338F" w:rsidRPr="00C5744E" w:rsidRDefault="004F338F" w:rsidP="00F9765C">
            <w:pPr>
              <w:rPr>
                <w:lang w:val="en-US" w:eastAsia="pt-BR"/>
              </w:rPr>
            </w:pPr>
            <w:r w:rsidRPr="00C5744E">
              <w:rPr>
                <w:rFonts w:eastAsia="Calibri"/>
                <w:kern w:val="24"/>
                <w:lang w:val="en-US" w:eastAsia="pt-BR"/>
              </w:rPr>
              <w:t>Age (years)</w:t>
            </w:r>
          </w:p>
        </w:tc>
        <w:tc>
          <w:tcPr>
            <w:tcW w:w="2551" w:type="dxa"/>
            <w:tcBorders>
              <w:top w:val="nil"/>
              <w:bottom w:val="nil"/>
            </w:tcBorders>
          </w:tcPr>
          <w:p w14:paraId="738C537D" w14:textId="77777777" w:rsidR="004F338F" w:rsidRPr="00C5744E" w:rsidRDefault="004F338F" w:rsidP="00F9765C">
            <w:pPr>
              <w:jc w:val="center"/>
              <w:rPr>
                <w:lang w:val="en-US" w:eastAsia="pt-BR"/>
              </w:rPr>
            </w:pPr>
            <w:r w:rsidRPr="00C5744E">
              <w:rPr>
                <w:lang w:val="en-US" w:eastAsia="pt-BR"/>
              </w:rPr>
              <w:t>45.8</w:t>
            </w:r>
          </w:p>
        </w:tc>
        <w:tc>
          <w:tcPr>
            <w:tcW w:w="2410" w:type="dxa"/>
            <w:tcBorders>
              <w:top w:val="nil"/>
              <w:bottom w:val="nil"/>
            </w:tcBorders>
          </w:tcPr>
          <w:p w14:paraId="696BD8A6" w14:textId="77777777" w:rsidR="004F338F" w:rsidRPr="00C5744E" w:rsidRDefault="004F338F" w:rsidP="00F9765C">
            <w:pPr>
              <w:jc w:val="center"/>
              <w:rPr>
                <w:lang w:val="en-US" w:eastAsia="pt-BR"/>
              </w:rPr>
            </w:pPr>
            <w:r w:rsidRPr="00C5744E">
              <w:rPr>
                <w:lang w:val="en-US" w:eastAsia="pt-BR"/>
              </w:rPr>
              <w:t>41.3</w:t>
            </w:r>
          </w:p>
        </w:tc>
      </w:tr>
      <w:tr w:rsidR="004F338F" w:rsidRPr="00C5744E" w14:paraId="70C06772" w14:textId="77777777" w:rsidTr="00F9765C">
        <w:trPr>
          <w:trHeight w:val="325"/>
        </w:trPr>
        <w:tc>
          <w:tcPr>
            <w:tcW w:w="3198" w:type="dxa"/>
            <w:tcBorders>
              <w:top w:val="nil"/>
              <w:bottom w:val="nil"/>
            </w:tcBorders>
            <w:shd w:val="clear" w:color="auto" w:fill="auto"/>
            <w:tcMar>
              <w:top w:w="15" w:type="dxa"/>
              <w:left w:w="79" w:type="dxa"/>
              <w:bottom w:w="0" w:type="dxa"/>
              <w:right w:w="79" w:type="dxa"/>
            </w:tcMar>
          </w:tcPr>
          <w:p w14:paraId="1EDAB7DB" w14:textId="77777777" w:rsidR="004F338F" w:rsidRPr="00C5744E" w:rsidRDefault="004F338F" w:rsidP="00F9765C">
            <w:pPr>
              <w:rPr>
                <w:lang w:val="en-US" w:eastAsia="pt-BR"/>
              </w:rPr>
            </w:pPr>
            <w:r w:rsidRPr="00C5744E">
              <w:rPr>
                <w:rFonts w:eastAsia="Calibri"/>
                <w:kern w:val="24"/>
                <w:lang w:val="en-US" w:eastAsia="pt-BR"/>
              </w:rPr>
              <w:t>White (%)</w:t>
            </w:r>
          </w:p>
        </w:tc>
        <w:tc>
          <w:tcPr>
            <w:tcW w:w="2551" w:type="dxa"/>
            <w:tcBorders>
              <w:top w:val="nil"/>
              <w:bottom w:val="nil"/>
            </w:tcBorders>
          </w:tcPr>
          <w:p w14:paraId="47CC0C06" w14:textId="77777777" w:rsidR="004F338F" w:rsidRPr="00C5744E" w:rsidRDefault="004F338F" w:rsidP="00F9765C">
            <w:pPr>
              <w:jc w:val="center"/>
              <w:rPr>
                <w:rFonts w:eastAsia="Calibri"/>
                <w:kern w:val="24"/>
                <w:lang w:val="en-US" w:eastAsia="pt-BR"/>
              </w:rPr>
            </w:pPr>
            <w:r w:rsidRPr="00C5744E">
              <w:rPr>
                <w:rFonts w:eastAsia="Calibri"/>
                <w:kern w:val="24"/>
                <w:lang w:val="en-US" w:eastAsia="pt-BR"/>
              </w:rPr>
              <w:t>39.78</w:t>
            </w:r>
          </w:p>
        </w:tc>
        <w:tc>
          <w:tcPr>
            <w:tcW w:w="2410" w:type="dxa"/>
            <w:tcBorders>
              <w:top w:val="nil"/>
              <w:bottom w:val="nil"/>
            </w:tcBorders>
          </w:tcPr>
          <w:p w14:paraId="79F6163F" w14:textId="77777777" w:rsidR="004F338F" w:rsidRPr="00C5744E" w:rsidRDefault="004F338F" w:rsidP="00F9765C">
            <w:pPr>
              <w:jc w:val="center"/>
              <w:rPr>
                <w:rFonts w:eastAsia="Calibri"/>
                <w:kern w:val="24"/>
                <w:lang w:val="en-US" w:eastAsia="pt-BR"/>
              </w:rPr>
            </w:pPr>
            <w:r w:rsidRPr="00C5744E">
              <w:rPr>
                <w:rFonts w:eastAsia="Calibri"/>
                <w:kern w:val="24"/>
                <w:lang w:val="en-US" w:eastAsia="pt-BR"/>
              </w:rPr>
              <w:t>40,99</w:t>
            </w:r>
          </w:p>
        </w:tc>
      </w:tr>
      <w:tr w:rsidR="004F338F" w:rsidRPr="00C5744E" w14:paraId="7DFE2BED" w14:textId="77777777" w:rsidTr="00F9765C">
        <w:trPr>
          <w:trHeight w:val="325"/>
        </w:trPr>
        <w:tc>
          <w:tcPr>
            <w:tcW w:w="3198" w:type="dxa"/>
            <w:tcBorders>
              <w:top w:val="nil"/>
              <w:bottom w:val="nil"/>
            </w:tcBorders>
            <w:shd w:val="clear" w:color="auto" w:fill="auto"/>
            <w:tcMar>
              <w:top w:w="15" w:type="dxa"/>
              <w:left w:w="79" w:type="dxa"/>
              <w:bottom w:w="0" w:type="dxa"/>
              <w:right w:w="79" w:type="dxa"/>
            </w:tcMar>
            <w:hideMark/>
          </w:tcPr>
          <w:p w14:paraId="204D644C" w14:textId="77777777" w:rsidR="004F338F" w:rsidRPr="00C5744E" w:rsidRDefault="004F338F" w:rsidP="00F9765C">
            <w:pPr>
              <w:rPr>
                <w:lang w:val="en-US" w:eastAsia="pt-BR"/>
              </w:rPr>
            </w:pPr>
            <w:r w:rsidRPr="00C5744E">
              <w:rPr>
                <w:rFonts w:eastAsia="Calibri"/>
                <w:kern w:val="24"/>
                <w:lang w:val="en-US" w:eastAsia="pt-BR"/>
              </w:rPr>
              <w:t>Fulltime (%)</w:t>
            </w:r>
          </w:p>
        </w:tc>
        <w:tc>
          <w:tcPr>
            <w:tcW w:w="2551" w:type="dxa"/>
            <w:tcBorders>
              <w:top w:val="nil"/>
              <w:bottom w:val="nil"/>
            </w:tcBorders>
          </w:tcPr>
          <w:p w14:paraId="540D7008" w14:textId="77777777" w:rsidR="004F338F" w:rsidRPr="00C5744E" w:rsidRDefault="004F338F" w:rsidP="00F9765C">
            <w:pPr>
              <w:jc w:val="center"/>
              <w:rPr>
                <w:lang w:val="en-US" w:eastAsia="pt-BR"/>
              </w:rPr>
            </w:pPr>
            <w:r w:rsidRPr="00C5744E">
              <w:rPr>
                <w:lang w:val="en-US" w:eastAsia="pt-BR"/>
              </w:rPr>
              <w:t>81.33</w:t>
            </w:r>
          </w:p>
        </w:tc>
        <w:tc>
          <w:tcPr>
            <w:tcW w:w="2410" w:type="dxa"/>
            <w:tcBorders>
              <w:top w:val="nil"/>
              <w:bottom w:val="nil"/>
            </w:tcBorders>
          </w:tcPr>
          <w:p w14:paraId="228FB421" w14:textId="77777777" w:rsidR="004F338F" w:rsidRPr="00C5744E" w:rsidRDefault="004F338F" w:rsidP="00F9765C">
            <w:pPr>
              <w:jc w:val="center"/>
              <w:rPr>
                <w:lang w:val="en-US" w:eastAsia="pt-BR"/>
              </w:rPr>
            </w:pPr>
            <w:r w:rsidRPr="00C5744E">
              <w:rPr>
                <w:lang w:val="en-US" w:eastAsia="pt-BR"/>
              </w:rPr>
              <w:t>82.51</w:t>
            </w:r>
          </w:p>
        </w:tc>
      </w:tr>
      <w:tr w:rsidR="004F338F" w:rsidRPr="00C5744E" w14:paraId="0A78BB60" w14:textId="77777777" w:rsidTr="00F9765C">
        <w:trPr>
          <w:trHeight w:val="325"/>
        </w:trPr>
        <w:tc>
          <w:tcPr>
            <w:tcW w:w="3198" w:type="dxa"/>
            <w:tcBorders>
              <w:top w:val="nil"/>
              <w:bottom w:val="nil"/>
            </w:tcBorders>
            <w:shd w:val="clear" w:color="auto" w:fill="auto"/>
            <w:tcMar>
              <w:top w:w="15" w:type="dxa"/>
              <w:left w:w="79" w:type="dxa"/>
              <w:bottom w:w="0" w:type="dxa"/>
              <w:right w:w="79" w:type="dxa"/>
            </w:tcMar>
            <w:hideMark/>
          </w:tcPr>
          <w:p w14:paraId="1AE8306A" w14:textId="77777777" w:rsidR="004F338F" w:rsidRPr="00C5744E" w:rsidRDefault="004F338F" w:rsidP="00F9765C">
            <w:pPr>
              <w:rPr>
                <w:lang w:val="en-US" w:eastAsia="pt-BR"/>
              </w:rPr>
            </w:pPr>
            <w:r w:rsidRPr="00C5744E">
              <w:rPr>
                <w:rFonts w:eastAsia="Calibri"/>
                <w:kern w:val="24"/>
                <w:lang w:val="en-US" w:eastAsia="pt-BR"/>
              </w:rPr>
              <w:t>Commerce (%)</w:t>
            </w:r>
          </w:p>
        </w:tc>
        <w:tc>
          <w:tcPr>
            <w:tcW w:w="2551" w:type="dxa"/>
            <w:tcBorders>
              <w:top w:val="nil"/>
              <w:bottom w:val="nil"/>
            </w:tcBorders>
          </w:tcPr>
          <w:p w14:paraId="58961C29" w14:textId="77777777" w:rsidR="004F338F" w:rsidRPr="00C5744E" w:rsidRDefault="004F338F" w:rsidP="00F9765C">
            <w:pPr>
              <w:jc w:val="center"/>
              <w:rPr>
                <w:lang w:val="en-US" w:eastAsia="pt-BR"/>
              </w:rPr>
            </w:pPr>
            <w:r w:rsidRPr="00C5744E">
              <w:rPr>
                <w:lang w:val="en-US" w:eastAsia="pt-BR"/>
              </w:rPr>
              <w:t>16.99</w:t>
            </w:r>
          </w:p>
        </w:tc>
        <w:tc>
          <w:tcPr>
            <w:tcW w:w="2410" w:type="dxa"/>
            <w:tcBorders>
              <w:top w:val="nil"/>
              <w:bottom w:val="nil"/>
            </w:tcBorders>
          </w:tcPr>
          <w:p w14:paraId="11C33FF1" w14:textId="77777777" w:rsidR="004F338F" w:rsidRPr="00C5744E" w:rsidRDefault="004F338F" w:rsidP="00F9765C">
            <w:pPr>
              <w:jc w:val="center"/>
              <w:rPr>
                <w:lang w:val="en-US" w:eastAsia="pt-BR"/>
              </w:rPr>
            </w:pPr>
            <w:r w:rsidRPr="00C5744E">
              <w:rPr>
                <w:lang w:val="en-US" w:eastAsia="pt-BR"/>
              </w:rPr>
              <w:t>17.23</w:t>
            </w:r>
          </w:p>
        </w:tc>
      </w:tr>
      <w:tr w:rsidR="004F338F" w:rsidRPr="00C5744E" w14:paraId="73408B92" w14:textId="77777777" w:rsidTr="00F9765C">
        <w:trPr>
          <w:trHeight w:val="325"/>
        </w:trPr>
        <w:tc>
          <w:tcPr>
            <w:tcW w:w="3198" w:type="dxa"/>
            <w:tcBorders>
              <w:top w:val="nil"/>
              <w:bottom w:val="nil"/>
            </w:tcBorders>
            <w:shd w:val="clear" w:color="auto" w:fill="auto"/>
            <w:tcMar>
              <w:top w:w="15" w:type="dxa"/>
              <w:left w:w="79" w:type="dxa"/>
              <w:bottom w:w="0" w:type="dxa"/>
              <w:right w:w="79" w:type="dxa"/>
            </w:tcMar>
            <w:hideMark/>
          </w:tcPr>
          <w:p w14:paraId="54B8F58A" w14:textId="77777777" w:rsidR="004F338F" w:rsidRPr="00C5744E" w:rsidRDefault="004F338F" w:rsidP="00F9765C">
            <w:pPr>
              <w:rPr>
                <w:lang w:val="en-US" w:eastAsia="pt-BR"/>
              </w:rPr>
            </w:pPr>
            <w:r w:rsidRPr="00C5744E">
              <w:rPr>
                <w:rFonts w:eastAsia="Calibri"/>
                <w:kern w:val="24"/>
                <w:lang w:val="en-US" w:eastAsia="pt-BR"/>
              </w:rPr>
              <w:t>Services (%)</w:t>
            </w:r>
          </w:p>
        </w:tc>
        <w:tc>
          <w:tcPr>
            <w:tcW w:w="2551" w:type="dxa"/>
            <w:tcBorders>
              <w:top w:val="nil"/>
              <w:bottom w:val="nil"/>
            </w:tcBorders>
          </w:tcPr>
          <w:p w14:paraId="56B09AA7" w14:textId="77777777" w:rsidR="004F338F" w:rsidRPr="00C5744E" w:rsidRDefault="004F338F" w:rsidP="00F9765C">
            <w:pPr>
              <w:jc w:val="center"/>
              <w:rPr>
                <w:lang w:val="en-US" w:eastAsia="pt-BR"/>
              </w:rPr>
            </w:pPr>
            <w:r w:rsidRPr="00C5744E">
              <w:rPr>
                <w:lang w:val="en-US" w:eastAsia="pt-BR"/>
              </w:rPr>
              <w:t>54.53</w:t>
            </w:r>
          </w:p>
        </w:tc>
        <w:tc>
          <w:tcPr>
            <w:tcW w:w="2410" w:type="dxa"/>
            <w:tcBorders>
              <w:top w:val="nil"/>
              <w:bottom w:val="nil"/>
            </w:tcBorders>
          </w:tcPr>
          <w:p w14:paraId="5029EB9B" w14:textId="77777777" w:rsidR="004F338F" w:rsidRPr="00C5744E" w:rsidRDefault="004F338F" w:rsidP="00F9765C">
            <w:pPr>
              <w:jc w:val="center"/>
              <w:rPr>
                <w:lang w:val="en-US" w:eastAsia="pt-BR"/>
              </w:rPr>
            </w:pPr>
            <w:r w:rsidRPr="00C5744E">
              <w:rPr>
                <w:lang w:val="en-US" w:eastAsia="pt-BR"/>
              </w:rPr>
              <w:t>53.82</w:t>
            </w:r>
          </w:p>
        </w:tc>
      </w:tr>
      <w:tr w:rsidR="004F338F" w:rsidRPr="00C5744E" w14:paraId="1ED8DD2B" w14:textId="77777777" w:rsidTr="00F9765C">
        <w:trPr>
          <w:trHeight w:val="325"/>
        </w:trPr>
        <w:tc>
          <w:tcPr>
            <w:tcW w:w="3198" w:type="dxa"/>
            <w:tcBorders>
              <w:top w:val="nil"/>
              <w:bottom w:val="nil"/>
            </w:tcBorders>
            <w:shd w:val="clear" w:color="auto" w:fill="auto"/>
            <w:tcMar>
              <w:top w:w="15" w:type="dxa"/>
              <w:left w:w="79" w:type="dxa"/>
              <w:bottom w:w="0" w:type="dxa"/>
              <w:right w:w="79" w:type="dxa"/>
            </w:tcMar>
            <w:hideMark/>
          </w:tcPr>
          <w:p w14:paraId="0E376052" w14:textId="77777777" w:rsidR="004F338F" w:rsidRPr="00C5744E" w:rsidRDefault="004F338F" w:rsidP="00F9765C">
            <w:pPr>
              <w:rPr>
                <w:lang w:val="en-US" w:eastAsia="pt-BR"/>
              </w:rPr>
            </w:pPr>
            <w:r w:rsidRPr="00C5744E">
              <w:rPr>
                <w:rFonts w:eastAsia="Calibri"/>
                <w:kern w:val="24"/>
                <w:lang w:val="en-US" w:eastAsia="pt-BR"/>
              </w:rPr>
              <w:t>Manufacturing (%)</w:t>
            </w:r>
          </w:p>
        </w:tc>
        <w:tc>
          <w:tcPr>
            <w:tcW w:w="2551" w:type="dxa"/>
            <w:tcBorders>
              <w:top w:val="nil"/>
              <w:bottom w:val="nil"/>
            </w:tcBorders>
          </w:tcPr>
          <w:p w14:paraId="7D76DC10" w14:textId="77777777" w:rsidR="004F338F" w:rsidRPr="00C5744E" w:rsidRDefault="004F338F" w:rsidP="00F9765C">
            <w:pPr>
              <w:jc w:val="center"/>
              <w:rPr>
                <w:lang w:val="en-US" w:eastAsia="pt-BR"/>
              </w:rPr>
            </w:pPr>
            <w:r w:rsidRPr="00C5744E">
              <w:rPr>
                <w:lang w:val="en-US" w:eastAsia="pt-BR"/>
              </w:rPr>
              <w:t>15.03</w:t>
            </w:r>
          </w:p>
        </w:tc>
        <w:tc>
          <w:tcPr>
            <w:tcW w:w="2410" w:type="dxa"/>
            <w:tcBorders>
              <w:top w:val="nil"/>
              <w:bottom w:val="nil"/>
            </w:tcBorders>
          </w:tcPr>
          <w:p w14:paraId="53E54D71" w14:textId="77777777" w:rsidR="004F338F" w:rsidRPr="00C5744E" w:rsidRDefault="004F338F" w:rsidP="00F9765C">
            <w:pPr>
              <w:jc w:val="center"/>
              <w:rPr>
                <w:lang w:val="en-US" w:eastAsia="pt-BR"/>
              </w:rPr>
            </w:pPr>
            <w:r w:rsidRPr="00C5744E">
              <w:rPr>
                <w:lang w:val="en-US" w:eastAsia="pt-BR"/>
              </w:rPr>
              <w:t>14.10</w:t>
            </w:r>
          </w:p>
        </w:tc>
      </w:tr>
      <w:tr w:rsidR="004F338F" w:rsidRPr="00C5744E" w14:paraId="007F9BB2" w14:textId="77777777" w:rsidTr="00F9765C">
        <w:trPr>
          <w:trHeight w:val="325"/>
        </w:trPr>
        <w:tc>
          <w:tcPr>
            <w:tcW w:w="3198" w:type="dxa"/>
            <w:tcBorders>
              <w:top w:val="nil"/>
              <w:bottom w:val="nil"/>
            </w:tcBorders>
            <w:shd w:val="clear" w:color="auto" w:fill="auto"/>
            <w:tcMar>
              <w:top w:w="15" w:type="dxa"/>
              <w:left w:w="79" w:type="dxa"/>
              <w:bottom w:w="0" w:type="dxa"/>
              <w:right w:w="79" w:type="dxa"/>
            </w:tcMar>
            <w:hideMark/>
          </w:tcPr>
          <w:p w14:paraId="00A96A6E" w14:textId="77777777" w:rsidR="004F338F" w:rsidRPr="00C5744E" w:rsidRDefault="004F338F" w:rsidP="00F9765C">
            <w:pPr>
              <w:rPr>
                <w:lang w:val="en-US" w:eastAsia="pt-BR"/>
              </w:rPr>
            </w:pPr>
            <w:r w:rsidRPr="00C5744E">
              <w:rPr>
                <w:rFonts w:eastAsia="Calibri"/>
                <w:kern w:val="24"/>
                <w:lang w:val="en-US" w:eastAsia="pt-BR"/>
              </w:rPr>
              <w:t>Civil Building (%)</w:t>
            </w:r>
          </w:p>
        </w:tc>
        <w:tc>
          <w:tcPr>
            <w:tcW w:w="2551" w:type="dxa"/>
            <w:tcBorders>
              <w:top w:val="nil"/>
              <w:bottom w:val="nil"/>
            </w:tcBorders>
          </w:tcPr>
          <w:p w14:paraId="7E64AD16" w14:textId="77777777" w:rsidR="004F338F" w:rsidRPr="00C5744E" w:rsidRDefault="004F338F" w:rsidP="00F9765C">
            <w:pPr>
              <w:jc w:val="center"/>
              <w:rPr>
                <w:lang w:val="en-US" w:eastAsia="pt-BR"/>
              </w:rPr>
            </w:pPr>
            <w:r w:rsidRPr="00C5744E">
              <w:rPr>
                <w:lang w:val="en-US" w:eastAsia="pt-BR"/>
              </w:rPr>
              <w:t>13.45</w:t>
            </w:r>
          </w:p>
        </w:tc>
        <w:tc>
          <w:tcPr>
            <w:tcW w:w="2410" w:type="dxa"/>
            <w:tcBorders>
              <w:top w:val="nil"/>
              <w:bottom w:val="nil"/>
            </w:tcBorders>
          </w:tcPr>
          <w:p w14:paraId="77512EDC" w14:textId="77777777" w:rsidR="004F338F" w:rsidRPr="00C5744E" w:rsidRDefault="004F338F" w:rsidP="00F9765C">
            <w:pPr>
              <w:jc w:val="center"/>
              <w:rPr>
                <w:lang w:val="en-US" w:eastAsia="pt-BR"/>
              </w:rPr>
            </w:pPr>
            <w:r w:rsidRPr="00C5744E">
              <w:rPr>
                <w:lang w:val="en-US" w:eastAsia="pt-BR"/>
              </w:rPr>
              <w:t>14.86</w:t>
            </w:r>
          </w:p>
        </w:tc>
      </w:tr>
      <w:tr w:rsidR="004F338F" w:rsidRPr="00C5744E" w14:paraId="62157E77" w14:textId="77777777" w:rsidTr="00F9765C">
        <w:trPr>
          <w:trHeight w:val="325"/>
        </w:trPr>
        <w:tc>
          <w:tcPr>
            <w:tcW w:w="3198" w:type="dxa"/>
            <w:tcBorders>
              <w:top w:val="nil"/>
              <w:bottom w:val="nil"/>
            </w:tcBorders>
            <w:shd w:val="clear" w:color="auto" w:fill="auto"/>
            <w:tcMar>
              <w:top w:w="15" w:type="dxa"/>
              <w:left w:w="79" w:type="dxa"/>
              <w:bottom w:w="0" w:type="dxa"/>
              <w:right w:w="79" w:type="dxa"/>
            </w:tcMar>
          </w:tcPr>
          <w:p w14:paraId="3A84B330" w14:textId="77777777" w:rsidR="004F338F" w:rsidRPr="00C5744E" w:rsidRDefault="004F338F" w:rsidP="00F9765C">
            <w:pPr>
              <w:rPr>
                <w:rFonts w:eastAsia="Calibri"/>
                <w:bCs/>
                <w:kern w:val="24"/>
                <w:lang w:val="en-US" w:eastAsia="pt-BR"/>
              </w:rPr>
            </w:pPr>
            <w:r w:rsidRPr="00C5744E">
              <w:rPr>
                <w:rFonts w:eastAsia="Calibri"/>
                <w:bCs/>
                <w:kern w:val="24"/>
                <w:lang w:val="en-US" w:eastAsia="pt-BR"/>
              </w:rPr>
              <w:t>Formal (%)</w:t>
            </w:r>
          </w:p>
        </w:tc>
        <w:tc>
          <w:tcPr>
            <w:tcW w:w="2551" w:type="dxa"/>
            <w:tcBorders>
              <w:top w:val="nil"/>
              <w:bottom w:val="nil"/>
            </w:tcBorders>
          </w:tcPr>
          <w:p w14:paraId="0FDB02C5" w14:textId="77777777" w:rsidR="004F338F" w:rsidRPr="00C5744E" w:rsidRDefault="004F338F" w:rsidP="00F9765C">
            <w:pPr>
              <w:jc w:val="center"/>
              <w:rPr>
                <w:lang w:val="en-US" w:eastAsia="pt-BR"/>
              </w:rPr>
            </w:pPr>
            <w:r w:rsidRPr="00C5744E">
              <w:rPr>
                <w:lang w:val="en-US" w:eastAsia="pt-BR"/>
              </w:rPr>
              <w:t>60.41</w:t>
            </w:r>
          </w:p>
        </w:tc>
        <w:tc>
          <w:tcPr>
            <w:tcW w:w="2410" w:type="dxa"/>
            <w:tcBorders>
              <w:top w:val="nil"/>
              <w:bottom w:val="nil"/>
            </w:tcBorders>
          </w:tcPr>
          <w:p w14:paraId="600605B3" w14:textId="77777777" w:rsidR="004F338F" w:rsidRPr="00C5744E" w:rsidRDefault="004F338F" w:rsidP="00F9765C">
            <w:pPr>
              <w:jc w:val="center"/>
              <w:rPr>
                <w:lang w:val="en-US" w:eastAsia="pt-BR"/>
              </w:rPr>
            </w:pPr>
            <w:r w:rsidRPr="00C5744E">
              <w:rPr>
                <w:lang w:val="en-US" w:eastAsia="pt-BR"/>
              </w:rPr>
              <w:t>59.86</w:t>
            </w:r>
          </w:p>
        </w:tc>
      </w:tr>
      <w:tr w:rsidR="004F338F" w:rsidRPr="00C5744E" w14:paraId="094DFDC4" w14:textId="77777777" w:rsidTr="00F9765C">
        <w:trPr>
          <w:trHeight w:val="325"/>
        </w:trPr>
        <w:tc>
          <w:tcPr>
            <w:tcW w:w="3198" w:type="dxa"/>
            <w:tcBorders>
              <w:top w:val="nil"/>
              <w:bottom w:val="nil"/>
            </w:tcBorders>
            <w:shd w:val="clear" w:color="auto" w:fill="auto"/>
            <w:tcMar>
              <w:top w:w="15" w:type="dxa"/>
              <w:left w:w="79" w:type="dxa"/>
              <w:bottom w:w="0" w:type="dxa"/>
              <w:right w:w="79" w:type="dxa"/>
            </w:tcMar>
          </w:tcPr>
          <w:p w14:paraId="6DA17E49" w14:textId="77777777" w:rsidR="004F338F" w:rsidRPr="00C5744E" w:rsidRDefault="004F338F" w:rsidP="00F9765C">
            <w:pPr>
              <w:rPr>
                <w:rFonts w:eastAsia="Calibri"/>
                <w:bCs/>
                <w:kern w:val="24"/>
                <w:lang w:val="en-US" w:eastAsia="pt-BR"/>
              </w:rPr>
            </w:pPr>
            <w:r w:rsidRPr="00C5744E">
              <w:rPr>
                <w:rFonts w:eastAsia="Calibri"/>
                <w:bCs/>
                <w:kern w:val="24"/>
                <w:lang w:val="en-US" w:eastAsia="pt-BR"/>
              </w:rPr>
              <w:t>Informal (%)</w:t>
            </w:r>
          </w:p>
        </w:tc>
        <w:tc>
          <w:tcPr>
            <w:tcW w:w="2551" w:type="dxa"/>
            <w:tcBorders>
              <w:top w:val="nil"/>
              <w:bottom w:val="nil"/>
            </w:tcBorders>
          </w:tcPr>
          <w:p w14:paraId="6776954D" w14:textId="77777777" w:rsidR="004F338F" w:rsidRPr="00C5744E" w:rsidRDefault="004F338F" w:rsidP="00F9765C">
            <w:pPr>
              <w:jc w:val="center"/>
              <w:rPr>
                <w:lang w:val="en-US" w:eastAsia="pt-BR"/>
              </w:rPr>
            </w:pPr>
            <w:r w:rsidRPr="00C5744E">
              <w:rPr>
                <w:lang w:val="en-US" w:eastAsia="pt-BR"/>
              </w:rPr>
              <w:t>17.83</w:t>
            </w:r>
          </w:p>
        </w:tc>
        <w:tc>
          <w:tcPr>
            <w:tcW w:w="2410" w:type="dxa"/>
            <w:tcBorders>
              <w:top w:val="nil"/>
              <w:bottom w:val="nil"/>
            </w:tcBorders>
          </w:tcPr>
          <w:p w14:paraId="4B4AA2A2" w14:textId="77777777" w:rsidR="004F338F" w:rsidRPr="00C5744E" w:rsidRDefault="004F338F" w:rsidP="00F9765C">
            <w:pPr>
              <w:jc w:val="center"/>
              <w:rPr>
                <w:lang w:val="en-US" w:eastAsia="pt-BR"/>
              </w:rPr>
            </w:pPr>
            <w:r w:rsidRPr="00C5744E">
              <w:rPr>
                <w:lang w:val="en-US" w:eastAsia="pt-BR"/>
              </w:rPr>
              <w:t>18.85</w:t>
            </w:r>
          </w:p>
        </w:tc>
      </w:tr>
      <w:tr w:rsidR="004F338F" w:rsidRPr="00C5744E" w14:paraId="6F3DAE54" w14:textId="77777777" w:rsidTr="00F9765C">
        <w:trPr>
          <w:trHeight w:val="325"/>
        </w:trPr>
        <w:tc>
          <w:tcPr>
            <w:tcW w:w="3198" w:type="dxa"/>
            <w:tcBorders>
              <w:top w:val="nil"/>
              <w:bottom w:val="nil"/>
            </w:tcBorders>
            <w:shd w:val="clear" w:color="auto" w:fill="auto"/>
            <w:tcMar>
              <w:top w:w="15" w:type="dxa"/>
              <w:left w:w="79" w:type="dxa"/>
              <w:bottom w:w="0" w:type="dxa"/>
              <w:right w:w="79" w:type="dxa"/>
            </w:tcMar>
          </w:tcPr>
          <w:p w14:paraId="100D04AC" w14:textId="77777777" w:rsidR="004F338F" w:rsidRPr="00C5744E" w:rsidRDefault="004F338F" w:rsidP="00F9765C">
            <w:pPr>
              <w:rPr>
                <w:rFonts w:eastAsia="Calibri"/>
                <w:bCs/>
                <w:kern w:val="24"/>
                <w:lang w:val="en-US" w:eastAsia="pt-BR"/>
              </w:rPr>
            </w:pPr>
            <w:r w:rsidRPr="00C5744E">
              <w:rPr>
                <w:rFonts w:eastAsia="Calibri"/>
                <w:bCs/>
                <w:kern w:val="24"/>
                <w:lang w:val="en-US" w:eastAsia="pt-BR"/>
              </w:rPr>
              <w:t>Employer (%)</w:t>
            </w:r>
          </w:p>
        </w:tc>
        <w:tc>
          <w:tcPr>
            <w:tcW w:w="2551" w:type="dxa"/>
            <w:tcBorders>
              <w:top w:val="nil"/>
              <w:bottom w:val="nil"/>
            </w:tcBorders>
          </w:tcPr>
          <w:p w14:paraId="5E79045D" w14:textId="77777777" w:rsidR="004F338F" w:rsidRPr="00C5744E" w:rsidRDefault="004F338F" w:rsidP="00F9765C">
            <w:pPr>
              <w:jc w:val="center"/>
              <w:rPr>
                <w:lang w:val="en-US" w:eastAsia="pt-BR"/>
              </w:rPr>
            </w:pPr>
            <w:r w:rsidRPr="00C5744E">
              <w:rPr>
                <w:lang w:val="en-US" w:eastAsia="pt-BR"/>
              </w:rPr>
              <w:t>4.48</w:t>
            </w:r>
          </w:p>
        </w:tc>
        <w:tc>
          <w:tcPr>
            <w:tcW w:w="2410" w:type="dxa"/>
            <w:tcBorders>
              <w:top w:val="nil"/>
              <w:bottom w:val="nil"/>
            </w:tcBorders>
          </w:tcPr>
          <w:p w14:paraId="63A9415E" w14:textId="77777777" w:rsidR="004F338F" w:rsidRPr="00C5744E" w:rsidRDefault="004F338F" w:rsidP="00F9765C">
            <w:pPr>
              <w:jc w:val="center"/>
              <w:rPr>
                <w:lang w:val="en-US" w:eastAsia="pt-BR"/>
              </w:rPr>
            </w:pPr>
            <w:r w:rsidRPr="00C5744E">
              <w:rPr>
                <w:lang w:val="en-US" w:eastAsia="pt-BR"/>
              </w:rPr>
              <w:t>4.91</w:t>
            </w:r>
          </w:p>
        </w:tc>
      </w:tr>
      <w:tr w:rsidR="004F338F" w:rsidRPr="00C5744E" w14:paraId="7F4AFD7D" w14:textId="77777777" w:rsidTr="00F9765C">
        <w:trPr>
          <w:trHeight w:val="325"/>
        </w:trPr>
        <w:tc>
          <w:tcPr>
            <w:tcW w:w="3198" w:type="dxa"/>
            <w:tcBorders>
              <w:top w:val="nil"/>
              <w:bottom w:val="nil"/>
            </w:tcBorders>
            <w:shd w:val="clear" w:color="auto" w:fill="auto"/>
            <w:tcMar>
              <w:top w:w="15" w:type="dxa"/>
              <w:left w:w="79" w:type="dxa"/>
              <w:bottom w:w="0" w:type="dxa"/>
              <w:right w:w="79" w:type="dxa"/>
            </w:tcMar>
          </w:tcPr>
          <w:p w14:paraId="2C55BE09" w14:textId="77777777" w:rsidR="004F338F" w:rsidRPr="00C5744E" w:rsidRDefault="004F338F" w:rsidP="00F9765C">
            <w:pPr>
              <w:rPr>
                <w:rFonts w:eastAsia="Calibri"/>
                <w:bCs/>
                <w:kern w:val="24"/>
                <w:lang w:val="en-US" w:eastAsia="pt-BR"/>
              </w:rPr>
            </w:pPr>
            <w:r w:rsidRPr="00C5744E">
              <w:rPr>
                <w:rFonts w:eastAsia="Calibri"/>
                <w:bCs/>
                <w:kern w:val="24"/>
                <w:lang w:val="en-US" w:eastAsia="pt-BR"/>
              </w:rPr>
              <w:t>Self-employed (%)</w:t>
            </w:r>
          </w:p>
        </w:tc>
        <w:tc>
          <w:tcPr>
            <w:tcW w:w="2551" w:type="dxa"/>
            <w:tcBorders>
              <w:top w:val="nil"/>
              <w:bottom w:val="nil"/>
            </w:tcBorders>
          </w:tcPr>
          <w:p w14:paraId="706819F0" w14:textId="77777777" w:rsidR="004F338F" w:rsidRPr="00C5744E" w:rsidRDefault="004F338F" w:rsidP="00F9765C">
            <w:pPr>
              <w:jc w:val="center"/>
              <w:rPr>
                <w:lang w:val="en-US" w:eastAsia="pt-BR"/>
              </w:rPr>
            </w:pPr>
            <w:r w:rsidRPr="00C5744E">
              <w:rPr>
                <w:lang w:val="en-US" w:eastAsia="pt-BR"/>
              </w:rPr>
              <w:t>17.25</w:t>
            </w:r>
          </w:p>
        </w:tc>
        <w:tc>
          <w:tcPr>
            <w:tcW w:w="2410" w:type="dxa"/>
            <w:tcBorders>
              <w:top w:val="nil"/>
              <w:bottom w:val="nil"/>
            </w:tcBorders>
          </w:tcPr>
          <w:p w14:paraId="64B7EEA4" w14:textId="77777777" w:rsidR="004F338F" w:rsidRPr="00C5744E" w:rsidRDefault="004F338F" w:rsidP="00F9765C">
            <w:pPr>
              <w:jc w:val="center"/>
              <w:rPr>
                <w:lang w:val="en-US" w:eastAsia="pt-BR"/>
              </w:rPr>
            </w:pPr>
            <w:r w:rsidRPr="00C5744E">
              <w:rPr>
                <w:lang w:val="en-US" w:eastAsia="pt-BR"/>
              </w:rPr>
              <w:t>16.99</w:t>
            </w:r>
          </w:p>
        </w:tc>
      </w:tr>
      <w:tr w:rsidR="004F338F" w:rsidRPr="00C5744E" w14:paraId="380C7E1E" w14:textId="77777777" w:rsidTr="00F9765C">
        <w:trPr>
          <w:trHeight w:val="325"/>
        </w:trPr>
        <w:tc>
          <w:tcPr>
            <w:tcW w:w="3198" w:type="dxa"/>
            <w:tcBorders>
              <w:top w:val="nil"/>
              <w:bottom w:val="nil"/>
            </w:tcBorders>
            <w:shd w:val="clear" w:color="auto" w:fill="auto"/>
            <w:tcMar>
              <w:top w:w="15" w:type="dxa"/>
              <w:left w:w="79" w:type="dxa"/>
              <w:bottom w:w="0" w:type="dxa"/>
              <w:right w:w="79" w:type="dxa"/>
            </w:tcMar>
          </w:tcPr>
          <w:p w14:paraId="7AEBA489" w14:textId="77777777" w:rsidR="004F338F" w:rsidRPr="00C5744E" w:rsidRDefault="004F338F" w:rsidP="00F9765C">
            <w:pPr>
              <w:rPr>
                <w:rFonts w:eastAsia="Calibri"/>
                <w:bCs/>
                <w:kern w:val="24"/>
                <w:lang w:val="en-US" w:eastAsia="pt-BR"/>
              </w:rPr>
            </w:pPr>
            <w:r w:rsidRPr="00C5744E">
              <w:rPr>
                <w:rFonts w:eastAsia="Calibri"/>
                <w:bCs/>
                <w:kern w:val="24"/>
                <w:lang w:val="en-US" w:eastAsia="pt-BR"/>
              </w:rPr>
              <w:t>Children (numbers)</w:t>
            </w:r>
          </w:p>
        </w:tc>
        <w:tc>
          <w:tcPr>
            <w:tcW w:w="2551" w:type="dxa"/>
            <w:tcBorders>
              <w:top w:val="nil"/>
              <w:bottom w:val="nil"/>
            </w:tcBorders>
          </w:tcPr>
          <w:p w14:paraId="3D140CFD" w14:textId="77777777" w:rsidR="004F338F" w:rsidRPr="00C5744E" w:rsidRDefault="004F338F" w:rsidP="00F9765C">
            <w:pPr>
              <w:jc w:val="center"/>
              <w:rPr>
                <w:lang w:val="en-US" w:eastAsia="pt-BR"/>
              </w:rPr>
            </w:pPr>
            <w:r w:rsidRPr="00C5744E">
              <w:rPr>
                <w:lang w:val="en-US" w:eastAsia="pt-BR"/>
              </w:rPr>
              <w:t>3.0</w:t>
            </w:r>
          </w:p>
        </w:tc>
        <w:tc>
          <w:tcPr>
            <w:tcW w:w="2410" w:type="dxa"/>
            <w:tcBorders>
              <w:top w:val="nil"/>
              <w:bottom w:val="nil"/>
            </w:tcBorders>
          </w:tcPr>
          <w:p w14:paraId="45430B12" w14:textId="77777777" w:rsidR="004F338F" w:rsidRPr="00C5744E" w:rsidRDefault="004F338F" w:rsidP="00F9765C">
            <w:pPr>
              <w:jc w:val="center"/>
              <w:rPr>
                <w:lang w:val="en-US" w:eastAsia="pt-BR"/>
              </w:rPr>
            </w:pPr>
            <w:r w:rsidRPr="00C5744E">
              <w:rPr>
                <w:lang w:val="en-US" w:eastAsia="pt-BR"/>
              </w:rPr>
              <w:t>2.5</w:t>
            </w:r>
          </w:p>
        </w:tc>
      </w:tr>
      <w:tr w:rsidR="004F338F" w:rsidRPr="00C5744E" w14:paraId="0E113795" w14:textId="77777777" w:rsidTr="00F9765C">
        <w:trPr>
          <w:trHeight w:val="325"/>
        </w:trPr>
        <w:tc>
          <w:tcPr>
            <w:tcW w:w="3198" w:type="dxa"/>
            <w:tcBorders>
              <w:top w:val="nil"/>
              <w:bottom w:val="single" w:sz="4" w:space="0" w:color="auto"/>
            </w:tcBorders>
            <w:shd w:val="clear" w:color="auto" w:fill="auto"/>
            <w:tcMar>
              <w:top w:w="15" w:type="dxa"/>
              <w:left w:w="79" w:type="dxa"/>
              <w:bottom w:w="0" w:type="dxa"/>
              <w:right w:w="79" w:type="dxa"/>
            </w:tcMar>
          </w:tcPr>
          <w:p w14:paraId="524F10CD" w14:textId="77777777" w:rsidR="004F338F" w:rsidRPr="00C5744E" w:rsidRDefault="004F338F" w:rsidP="00F9765C">
            <w:pPr>
              <w:rPr>
                <w:rFonts w:eastAsia="Calibri"/>
                <w:bCs/>
                <w:kern w:val="24"/>
                <w:lang w:val="en-US" w:eastAsia="pt-BR"/>
              </w:rPr>
            </w:pPr>
            <w:r w:rsidRPr="00C5744E">
              <w:rPr>
                <w:rFonts w:eastAsia="Calibri"/>
                <w:bCs/>
                <w:kern w:val="24"/>
                <w:lang w:val="en-US" w:eastAsia="pt-BR"/>
              </w:rPr>
              <w:t>Commuting time (%)</w:t>
            </w:r>
          </w:p>
        </w:tc>
        <w:tc>
          <w:tcPr>
            <w:tcW w:w="2551" w:type="dxa"/>
            <w:tcBorders>
              <w:top w:val="nil"/>
              <w:bottom w:val="single" w:sz="4" w:space="0" w:color="auto"/>
            </w:tcBorders>
          </w:tcPr>
          <w:p w14:paraId="3E446263" w14:textId="77777777" w:rsidR="004F338F" w:rsidRPr="00C5744E" w:rsidRDefault="004F338F" w:rsidP="00F9765C">
            <w:pPr>
              <w:jc w:val="center"/>
              <w:rPr>
                <w:lang w:val="en-US" w:eastAsia="pt-BR"/>
              </w:rPr>
            </w:pPr>
            <w:r w:rsidRPr="00C5744E">
              <w:rPr>
                <w:lang w:val="en-US" w:eastAsia="pt-BR"/>
              </w:rPr>
              <w:t>36.80</w:t>
            </w:r>
          </w:p>
        </w:tc>
        <w:tc>
          <w:tcPr>
            <w:tcW w:w="2410" w:type="dxa"/>
            <w:tcBorders>
              <w:top w:val="nil"/>
              <w:bottom w:val="single" w:sz="4" w:space="0" w:color="auto"/>
            </w:tcBorders>
          </w:tcPr>
          <w:p w14:paraId="607F489A" w14:textId="77777777" w:rsidR="004F338F" w:rsidRPr="00C5744E" w:rsidRDefault="004F338F" w:rsidP="00F9765C">
            <w:pPr>
              <w:jc w:val="center"/>
              <w:rPr>
                <w:lang w:val="en-US" w:eastAsia="pt-BR"/>
              </w:rPr>
            </w:pPr>
            <w:r w:rsidRPr="00C5744E">
              <w:rPr>
                <w:lang w:val="en-US" w:eastAsia="pt-BR"/>
              </w:rPr>
              <w:t>35.17</w:t>
            </w:r>
          </w:p>
        </w:tc>
      </w:tr>
    </w:tbl>
    <w:p w14:paraId="458DF75E" w14:textId="77777777" w:rsidR="004F338F" w:rsidRPr="00C5744E" w:rsidRDefault="004F338F" w:rsidP="004F338F">
      <w:pPr>
        <w:rPr>
          <w:sz w:val="20"/>
          <w:szCs w:val="20"/>
          <w:lang w:val="en-US"/>
        </w:rPr>
      </w:pPr>
      <w:r w:rsidRPr="00C5744E">
        <w:rPr>
          <w:sz w:val="20"/>
          <w:szCs w:val="20"/>
          <w:lang w:val="en-US"/>
        </w:rPr>
        <w:t xml:space="preserve">Source: Authors’ calculation using data from the PNAD 2013. Commuting time indicates the share </w:t>
      </w:r>
    </w:p>
    <w:p w14:paraId="72579960" w14:textId="77777777" w:rsidR="004F338F" w:rsidRPr="00C5744E" w:rsidRDefault="004F338F" w:rsidP="004F338F">
      <w:pPr>
        <w:rPr>
          <w:sz w:val="20"/>
          <w:szCs w:val="20"/>
          <w:lang w:val="en-US"/>
        </w:rPr>
      </w:pPr>
      <w:r w:rsidRPr="00C5744E">
        <w:rPr>
          <w:sz w:val="20"/>
          <w:szCs w:val="20"/>
          <w:lang w:val="en-US"/>
        </w:rPr>
        <w:t>with more than 30 minutes in the trajectory from residence location to job location.</w:t>
      </w:r>
    </w:p>
    <w:p w14:paraId="25A3FBFA" w14:textId="77777777" w:rsidR="004F338F" w:rsidRDefault="004F338F" w:rsidP="004F338F">
      <w:pPr>
        <w:ind w:firstLine="708"/>
        <w:contextualSpacing/>
        <w:jc w:val="both"/>
        <w:rPr>
          <w:color w:val="000000"/>
        </w:rPr>
      </w:pPr>
    </w:p>
    <w:p w14:paraId="1F06624A" w14:textId="77777777" w:rsidR="004F338F" w:rsidRPr="00C5744E" w:rsidRDefault="004F338F" w:rsidP="004F338F">
      <w:pPr>
        <w:rPr>
          <w:b/>
          <w:lang w:val="en-US"/>
        </w:rPr>
      </w:pPr>
      <w:r w:rsidRPr="00C5744E">
        <w:rPr>
          <w:b/>
          <w:lang w:val="en-US"/>
        </w:rPr>
        <w:t>5. Results</w:t>
      </w:r>
    </w:p>
    <w:p w14:paraId="52F57AC3" w14:textId="77777777" w:rsidR="004F338F" w:rsidRDefault="004F338F" w:rsidP="004F338F">
      <w:pPr>
        <w:jc w:val="both"/>
        <w:rPr>
          <w:b/>
          <w:lang w:val="en-US"/>
        </w:rPr>
      </w:pPr>
      <w:r w:rsidRPr="00C5744E">
        <w:rPr>
          <w:b/>
          <w:lang w:val="en-US"/>
        </w:rPr>
        <w:tab/>
      </w:r>
    </w:p>
    <w:p w14:paraId="2E73686D" w14:textId="77777777" w:rsidR="004F338F" w:rsidRDefault="004F338F" w:rsidP="004F338F">
      <w:pPr>
        <w:ind w:firstLine="708"/>
        <w:jc w:val="both"/>
        <w:rPr>
          <w:lang w:val="en-US"/>
        </w:rPr>
      </w:pPr>
      <w:r w:rsidRPr="00C5744E">
        <w:rPr>
          <w:lang w:val="en-US"/>
        </w:rPr>
        <w:t>In this section, we present estimative of the impact of the number of children of the household on the commuting time of its head, i.e., on time it takes daily form residence to job location. In order to highlight the importance of our strategy, we start presenting traditional OLS and Probit estimations that, as discussed before, hardly can be taken as a good approximation of the effects we look for. Thus, in second subsection, we present our base line estimation that relies on using an indicator of the siblings’ sex diversity of the two first siblings as instrument for the number of children. We finish the section presenting some robustness checks for this base line result; the tests involve obtaining new estimation by varying the econometric IV estimator, by adding new controls variables, and by considering specific samples.</w:t>
      </w:r>
    </w:p>
    <w:p w14:paraId="1C79F26B" w14:textId="77777777" w:rsidR="004F338F" w:rsidRPr="00C5744E" w:rsidRDefault="004F338F" w:rsidP="004F338F">
      <w:pPr>
        <w:jc w:val="both"/>
        <w:rPr>
          <w:lang w:val="en-US"/>
        </w:rPr>
      </w:pPr>
    </w:p>
    <w:p w14:paraId="0D55BE07" w14:textId="77777777" w:rsidR="004F338F" w:rsidRPr="00C5744E" w:rsidRDefault="004F338F" w:rsidP="004F338F">
      <w:pPr>
        <w:rPr>
          <w:b/>
          <w:lang w:val="en-US"/>
        </w:rPr>
      </w:pPr>
      <w:r w:rsidRPr="00C5744E">
        <w:rPr>
          <w:b/>
          <w:lang w:val="en-US"/>
        </w:rPr>
        <w:t>5.1 Exploratory evidence: OLS and probit estimative</w:t>
      </w:r>
    </w:p>
    <w:p w14:paraId="2D67CD23" w14:textId="77777777" w:rsidR="004F338F" w:rsidRDefault="004F338F" w:rsidP="004F338F">
      <w:pPr>
        <w:jc w:val="both"/>
        <w:rPr>
          <w:lang w:val="en-US"/>
        </w:rPr>
      </w:pPr>
      <w:r w:rsidRPr="00C5744E">
        <w:rPr>
          <w:lang w:val="en-US"/>
        </w:rPr>
        <w:tab/>
      </w:r>
    </w:p>
    <w:p w14:paraId="02359335" w14:textId="77777777" w:rsidR="004F338F" w:rsidRPr="00C5744E" w:rsidRDefault="004F338F" w:rsidP="004F338F">
      <w:pPr>
        <w:ind w:firstLine="708"/>
        <w:jc w:val="both"/>
        <w:rPr>
          <w:lang w:val="en-US"/>
        </w:rPr>
      </w:pPr>
      <w:r w:rsidRPr="00C5744E">
        <w:rPr>
          <w:lang w:val="en-US"/>
        </w:rPr>
        <w:t>In th</w:t>
      </w:r>
      <w:r>
        <w:rPr>
          <w:lang w:val="en-US"/>
        </w:rPr>
        <w:t>e following Table 4</w:t>
      </w:r>
      <w:r w:rsidRPr="00C5744E">
        <w:rPr>
          <w:lang w:val="en-US"/>
        </w:rPr>
        <w:t xml:space="preserve">, we present the estimation of the impact of number of children on household head commuting time using traditional Linear Probabilty Model (OLS estimator) and Probit model (ML estimator), both considering all kind of families (columns (1) and (3)) and only families with at least two siblings (columns (2) and (4)). In all cases we use an dummy indicator for the fact that the household spend more than 30 minutes of commuting time as dependent variable and the set of control variables presented in Table 2. </w:t>
      </w:r>
    </w:p>
    <w:p w14:paraId="5C5D0369" w14:textId="77777777" w:rsidR="004F338F" w:rsidRPr="00C5744E" w:rsidRDefault="004F338F" w:rsidP="004F338F">
      <w:pPr>
        <w:ind w:firstLine="720"/>
        <w:jc w:val="both"/>
        <w:rPr>
          <w:lang w:val="en-US"/>
        </w:rPr>
      </w:pPr>
      <w:r w:rsidRPr="00C5744E">
        <w:rPr>
          <w:lang w:val="en-US"/>
        </w:rPr>
        <w:t xml:space="preserve">As can be immediately noted from any of the four estimative, the results indicate a positive association between the number of children and household head commuting time. The association, nevertheless, appears not very important; for the OLS estimative using all kinds of families, for example, the result indicate that an additional children increases by only 0.8 perceptual point the probability of spending more than 30 minutes, value that is the same when using only families with at least two siblings. The estimative obtained using probit model is higher (a 2.5% perceptual points impact), but still no so important, and again we get similar value for the reduced sample. </w:t>
      </w:r>
    </w:p>
    <w:p w14:paraId="7758C4F6" w14:textId="77777777" w:rsidR="004F338F" w:rsidRPr="00C5744E" w:rsidRDefault="004F338F" w:rsidP="004F338F">
      <w:pPr>
        <w:ind w:firstLine="720"/>
        <w:jc w:val="both"/>
        <w:rPr>
          <w:lang w:val="en-US"/>
        </w:rPr>
      </w:pPr>
      <w:r w:rsidRPr="00C5744E">
        <w:rPr>
          <w:lang w:val="en-US"/>
        </w:rPr>
        <w:t>Note that the not so important associations between the two variables obtained using both models are consistent with a potential endogeneity arising form reverse causality discussed before: as the residential locations are nearer to job locations, they are probably closer to other kind of services that matter for other components of the household, what tends to make the residential locations attractive to these components, including children. This fact favors an underestimation of the influence of children on household head’s commuting time. Perceive, in addition, that the fact that using different samples generates similar results is welcome; it suggests that the potential bias acts in the same way on the estimative and provides some confident that our results using IV estimator and the reduced sample probably presents some validness in a more general context.</w:t>
      </w:r>
    </w:p>
    <w:p w14:paraId="2388FED7" w14:textId="77777777" w:rsidR="004F338F" w:rsidRDefault="004F338F" w:rsidP="004F338F">
      <w:pPr>
        <w:rPr>
          <w:b/>
          <w:lang w:val="en-US"/>
        </w:rPr>
      </w:pPr>
    </w:p>
    <w:p w14:paraId="59A5401E" w14:textId="77777777" w:rsidR="004F338F" w:rsidRPr="00C5744E" w:rsidRDefault="004F338F" w:rsidP="004F338F">
      <w:pPr>
        <w:rPr>
          <w:b/>
          <w:lang w:val="en-US"/>
        </w:rPr>
      </w:pPr>
      <w:r w:rsidRPr="00C5744E">
        <w:rPr>
          <w:b/>
          <w:lang w:val="en-US"/>
        </w:rPr>
        <w:t>Table</w:t>
      </w:r>
      <w:r>
        <w:rPr>
          <w:b/>
          <w:lang w:val="en-US"/>
        </w:rPr>
        <w:t xml:space="preserve"> 4</w:t>
      </w:r>
      <w:r w:rsidRPr="00C5744E">
        <w:rPr>
          <w:b/>
          <w:lang w:val="en-US"/>
        </w:rPr>
        <w:t xml:space="preserve"> - The influence of the number of children on the household head’s commuting time – Brazilian cities – The dependent variable is an indicator of more than 30 minutes of commuting time.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093"/>
        <w:gridCol w:w="1737"/>
        <w:gridCol w:w="2090"/>
        <w:gridCol w:w="1740"/>
        <w:gridCol w:w="1916"/>
      </w:tblGrid>
      <w:tr w:rsidR="004F338F" w:rsidRPr="00C5744E" w14:paraId="4227F1ED" w14:textId="77777777" w:rsidTr="00F9765C">
        <w:tc>
          <w:tcPr>
            <w:tcW w:w="2093" w:type="dxa"/>
          </w:tcPr>
          <w:p w14:paraId="339999B6" w14:textId="77777777" w:rsidR="004F338F" w:rsidRPr="00C5744E" w:rsidRDefault="004F338F" w:rsidP="00F9765C">
            <w:pPr>
              <w:jc w:val="both"/>
            </w:pPr>
          </w:p>
        </w:tc>
        <w:tc>
          <w:tcPr>
            <w:tcW w:w="3827" w:type="dxa"/>
            <w:gridSpan w:val="2"/>
          </w:tcPr>
          <w:p w14:paraId="26AABAA7" w14:textId="77777777" w:rsidR="004F338F" w:rsidRPr="00C5744E" w:rsidRDefault="004F338F" w:rsidP="00F9765C">
            <w:pPr>
              <w:jc w:val="center"/>
            </w:pPr>
            <w:r w:rsidRPr="00C5744E">
              <w:rPr>
                <w:b/>
              </w:rPr>
              <w:t>LPM – OLS</w:t>
            </w:r>
          </w:p>
        </w:tc>
        <w:tc>
          <w:tcPr>
            <w:tcW w:w="3656" w:type="dxa"/>
            <w:gridSpan w:val="2"/>
          </w:tcPr>
          <w:p w14:paraId="7EC762D8" w14:textId="77777777" w:rsidR="004F338F" w:rsidRPr="00C5744E" w:rsidRDefault="004F338F" w:rsidP="00F9765C">
            <w:pPr>
              <w:jc w:val="center"/>
            </w:pPr>
            <w:r w:rsidRPr="00C5744E">
              <w:rPr>
                <w:b/>
              </w:rPr>
              <w:t>Probit</w:t>
            </w:r>
            <w:r w:rsidRPr="00C5744E">
              <w:rPr>
                <w:b/>
                <w:i/>
              </w:rPr>
              <w:t xml:space="preserve"> – </w:t>
            </w:r>
            <w:r w:rsidRPr="00C5744E">
              <w:rPr>
                <w:b/>
              </w:rPr>
              <w:t>ML</w:t>
            </w:r>
          </w:p>
        </w:tc>
      </w:tr>
      <w:tr w:rsidR="004F338F" w:rsidRPr="00C5744E" w14:paraId="6244A1E5" w14:textId="77777777" w:rsidTr="00F9765C">
        <w:tc>
          <w:tcPr>
            <w:tcW w:w="2093" w:type="dxa"/>
            <w:tcBorders>
              <w:bottom w:val="single" w:sz="4" w:space="0" w:color="auto"/>
            </w:tcBorders>
          </w:tcPr>
          <w:p w14:paraId="1178FBE0" w14:textId="77777777" w:rsidR="004F338F" w:rsidRPr="00C5744E" w:rsidRDefault="004F338F" w:rsidP="00F9765C">
            <w:pPr>
              <w:jc w:val="both"/>
            </w:pPr>
          </w:p>
        </w:tc>
        <w:tc>
          <w:tcPr>
            <w:tcW w:w="1737" w:type="dxa"/>
            <w:tcBorders>
              <w:bottom w:val="single" w:sz="4" w:space="0" w:color="auto"/>
            </w:tcBorders>
          </w:tcPr>
          <w:p w14:paraId="69636DA1" w14:textId="77777777" w:rsidR="004F338F" w:rsidRPr="00C5744E" w:rsidRDefault="004F338F" w:rsidP="00F9765C">
            <w:pPr>
              <w:jc w:val="center"/>
              <w:rPr>
                <w:b/>
              </w:rPr>
            </w:pPr>
            <w:r w:rsidRPr="00C5744E">
              <w:rPr>
                <w:b/>
              </w:rPr>
              <w:t xml:space="preserve">All </w:t>
            </w:r>
          </w:p>
          <w:p w14:paraId="2671AE9A" w14:textId="77777777" w:rsidR="004F338F" w:rsidRPr="00C5744E" w:rsidRDefault="004F338F" w:rsidP="00F9765C">
            <w:pPr>
              <w:jc w:val="center"/>
              <w:rPr>
                <w:b/>
              </w:rPr>
            </w:pPr>
            <w:r w:rsidRPr="00C5744E">
              <w:rPr>
                <w:b/>
              </w:rPr>
              <w:t>Families</w:t>
            </w:r>
          </w:p>
          <w:p w14:paraId="7244201C" w14:textId="77777777" w:rsidR="004F338F" w:rsidRPr="00C5744E" w:rsidRDefault="004F338F" w:rsidP="00F9765C">
            <w:pPr>
              <w:jc w:val="center"/>
            </w:pPr>
            <w:r w:rsidRPr="00C5744E">
              <w:rPr>
                <w:b/>
              </w:rPr>
              <w:t>(1)</w:t>
            </w:r>
          </w:p>
        </w:tc>
        <w:tc>
          <w:tcPr>
            <w:tcW w:w="2090" w:type="dxa"/>
            <w:tcBorders>
              <w:bottom w:val="single" w:sz="4" w:space="0" w:color="auto"/>
            </w:tcBorders>
          </w:tcPr>
          <w:p w14:paraId="3A90CE07" w14:textId="77777777" w:rsidR="004F338F" w:rsidRPr="00C5744E" w:rsidRDefault="004F338F" w:rsidP="00F9765C">
            <w:pPr>
              <w:jc w:val="center"/>
              <w:rPr>
                <w:b/>
              </w:rPr>
            </w:pPr>
            <w:r w:rsidRPr="00C5744E">
              <w:rPr>
                <w:b/>
              </w:rPr>
              <w:t>Two or more siblings</w:t>
            </w:r>
          </w:p>
          <w:p w14:paraId="603CC61F" w14:textId="77777777" w:rsidR="004F338F" w:rsidRPr="00C5744E" w:rsidRDefault="004F338F" w:rsidP="00F9765C">
            <w:pPr>
              <w:jc w:val="center"/>
            </w:pPr>
            <w:r w:rsidRPr="00C5744E">
              <w:rPr>
                <w:b/>
              </w:rPr>
              <w:t>(2)</w:t>
            </w:r>
          </w:p>
        </w:tc>
        <w:tc>
          <w:tcPr>
            <w:tcW w:w="1740" w:type="dxa"/>
            <w:tcBorders>
              <w:bottom w:val="single" w:sz="4" w:space="0" w:color="auto"/>
            </w:tcBorders>
          </w:tcPr>
          <w:p w14:paraId="16897C77" w14:textId="77777777" w:rsidR="004F338F" w:rsidRPr="00C5744E" w:rsidRDefault="004F338F" w:rsidP="00F9765C">
            <w:pPr>
              <w:jc w:val="center"/>
              <w:rPr>
                <w:b/>
              </w:rPr>
            </w:pPr>
            <w:r w:rsidRPr="00C5744E">
              <w:rPr>
                <w:b/>
              </w:rPr>
              <w:t xml:space="preserve">All </w:t>
            </w:r>
          </w:p>
          <w:p w14:paraId="3378959B" w14:textId="77777777" w:rsidR="004F338F" w:rsidRPr="00C5744E" w:rsidRDefault="004F338F" w:rsidP="00F9765C">
            <w:pPr>
              <w:jc w:val="center"/>
              <w:rPr>
                <w:b/>
              </w:rPr>
            </w:pPr>
            <w:r w:rsidRPr="00C5744E">
              <w:rPr>
                <w:b/>
              </w:rPr>
              <w:t>Families</w:t>
            </w:r>
          </w:p>
          <w:p w14:paraId="341033E0" w14:textId="77777777" w:rsidR="004F338F" w:rsidRPr="00C5744E" w:rsidRDefault="004F338F" w:rsidP="00F9765C">
            <w:pPr>
              <w:jc w:val="center"/>
            </w:pPr>
            <w:r w:rsidRPr="00C5744E">
              <w:rPr>
                <w:b/>
              </w:rPr>
              <w:t>(3)</w:t>
            </w:r>
          </w:p>
        </w:tc>
        <w:tc>
          <w:tcPr>
            <w:tcW w:w="1916" w:type="dxa"/>
            <w:tcBorders>
              <w:bottom w:val="single" w:sz="4" w:space="0" w:color="auto"/>
            </w:tcBorders>
          </w:tcPr>
          <w:p w14:paraId="6CA2E6AC" w14:textId="77777777" w:rsidR="004F338F" w:rsidRPr="00C5744E" w:rsidRDefault="004F338F" w:rsidP="00F9765C">
            <w:pPr>
              <w:jc w:val="center"/>
              <w:rPr>
                <w:b/>
              </w:rPr>
            </w:pPr>
            <w:r w:rsidRPr="00C5744E">
              <w:rPr>
                <w:b/>
              </w:rPr>
              <w:t>Two or more siblings</w:t>
            </w:r>
          </w:p>
          <w:p w14:paraId="40784D92" w14:textId="77777777" w:rsidR="004F338F" w:rsidRPr="00C5744E" w:rsidRDefault="004F338F" w:rsidP="00F9765C">
            <w:pPr>
              <w:jc w:val="center"/>
            </w:pPr>
            <w:r w:rsidRPr="00C5744E">
              <w:rPr>
                <w:b/>
              </w:rPr>
              <w:t>(4)</w:t>
            </w:r>
          </w:p>
        </w:tc>
      </w:tr>
      <w:tr w:rsidR="004F338F" w:rsidRPr="00C5744E" w14:paraId="0C28A0BB" w14:textId="77777777" w:rsidTr="00F9765C">
        <w:tc>
          <w:tcPr>
            <w:tcW w:w="2093" w:type="dxa"/>
            <w:tcBorders>
              <w:top w:val="nil"/>
              <w:bottom w:val="nil"/>
            </w:tcBorders>
          </w:tcPr>
          <w:p w14:paraId="7E03AF72" w14:textId="77777777" w:rsidR="004F338F" w:rsidRPr="00C5744E" w:rsidRDefault="004F338F" w:rsidP="00F9765C">
            <w:pPr>
              <w:jc w:val="both"/>
            </w:pPr>
            <w:r w:rsidRPr="00C5744E">
              <w:t>Children</w:t>
            </w:r>
          </w:p>
        </w:tc>
        <w:tc>
          <w:tcPr>
            <w:tcW w:w="1737" w:type="dxa"/>
            <w:tcBorders>
              <w:top w:val="nil"/>
              <w:bottom w:val="nil"/>
            </w:tcBorders>
          </w:tcPr>
          <w:p w14:paraId="6E6E9FC6" w14:textId="77777777" w:rsidR="004F338F" w:rsidRPr="00C5744E" w:rsidRDefault="004F338F" w:rsidP="00F9765C">
            <w:pPr>
              <w:jc w:val="center"/>
            </w:pPr>
            <w:r w:rsidRPr="00C5744E">
              <w:t>0.008**</w:t>
            </w:r>
          </w:p>
          <w:p w14:paraId="24F45668" w14:textId="77777777" w:rsidR="004F338F" w:rsidRPr="00C5744E" w:rsidRDefault="004F338F" w:rsidP="00F9765C">
            <w:pPr>
              <w:jc w:val="center"/>
            </w:pPr>
            <w:r w:rsidRPr="00C5744E">
              <w:t>(0.002)</w:t>
            </w:r>
          </w:p>
        </w:tc>
        <w:tc>
          <w:tcPr>
            <w:tcW w:w="2090" w:type="dxa"/>
            <w:tcBorders>
              <w:top w:val="nil"/>
              <w:bottom w:val="nil"/>
            </w:tcBorders>
            <w:vAlign w:val="bottom"/>
          </w:tcPr>
          <w:p w14:paraId="4CA3A7C7" w14:textId="77777777" w:rsidR="004F338F" w:rsidRPr="00C5744E" w:rsidRDefault="004F338F" w:rsidP="00F9765C">
            <w:pPr>
              <w:jc w:val="center"/>
            </w:pPr>
            <w:r w:rsidRPr="00C5744E">
              <w:t>0.008**</w:t>
            </w:r>
          </w:p>
          <w:p w14:paraId="3D684885" w14:textId="77777777" w:rsidR="004F338F" w:rsidRPr="00C5744E" w:rsidRDefault="004F338F" w:rsidP="00F9765C">
            <w:pPr>
              <w:jc w:val="center"/>
            </w:pPr>
            <w:r w:rsidRPr="00C5744E">
              <w:t>(0.004)</w:t>
            </w:r>
          </w:p>
        </w:tc>
        <w:tc>
          <w:tcPr>
            <w:tcW w:w="1740" w:type="dxa"/>
            <w:tcBorders>
              <w:top w:val="nil"/>
              <w:bottom w:val="nil"/>
            </w:tcBorders>
            <w:vAlign w:val="bottom"/>
          </w:tcPr>
          <w:p w14:paraId="64B2FE3D" w14:textId="77777777" w:rsidR="004F338F" w:rsidRPr="00C5744E" w:rsidRDefault="004F338F" w:rsidP="00F9765C">
            <w:pPr>
              <w:jc w:val="center"/>
            </w:pPr>
            <w:r w:rsidRPr="00C5744E">
              <w:t>0.024**</w:t>
            </w:r>
          </w:p>
          <w:p w14:paraId="41D067E4" w14:textId="77777777" w:rsidR="004F338F" w:rsidRPr="00C5744E" w:rsidRDefault="004F338F" w:rsidP="00F9765C">
            <w:pPr>
              <w:jc w:val="center"/>
            </w:pPr>
            <w:r w:rsidRPr="00C5744E">
              <w:t>(0.006)</w:t>
            </w:r>
          </w:p>
        </w:tc>
        <w:tc>
          <w:tcPr>
            <w:tcW w:w="1916" w:type="dxa"/>
            <w:tcBorders>
              <w:top w:val="nil"/>
              <w:bottom w:val="nil"/>
            </w:tcBorders>
            <w:vAlign w:val="bottom"/>
          </w:tcPr>
          <w:p w14:paraId="732E67B9" w14:textId="77777777" w:rsidR="004F338F" w:rsidRPr="00C5744E" w:rsidRDefault="004F338F" w:rsidP="00F9765C">
            <w:pPr>
              <w:jc w:val="center"/>
            </w:pPr>
            <w:r w:rsidRPr="00C5744E">
              <w:t>0.025**</w:t>
            </w:r>
          </w:p>
          <w:p w14:paraId="564E1280" w14:textId="77777777" w:rsidR="004F338F" w:rsidRPr="00C5744E" w:rsidRDefault="004F338F" w:rsidP="00F9765C">
            <w:pPr>
              <w:jc w:val="center"/>
            </w:pPr>
            <w:r w:rsidRPr="00C5744E">
              <w:t>(0.011)</w:t>
            </w:r>
          </w:p>
        </w:tc>
      </w:tr>
      <w:tr w:rsidR="004F338F" w:rsidRPr="00C5744E" w14:paraId="7D760057" w14:textId="77777777" w:rsidTr="00F9765C">
        <w:tc>
          <w:tcPr>
            <w:tcW w:w="2093" w:type="dxa"/>
            <w:tcBorders>
              <w:top w:val="nil"/>
              <w:bottom w:val="single" w:sz="4" w:space="0" w:color="auto"/>
            </w:tcBorders>
          </w:tcPr>
          <w:p w14:paraId="0DAACC73" w14:textId="77777777" w:rsidR="004F338F" w:rsidRPr="00C5744E" w:rsidRDefault="004F338F" w:rsidP="00F9765C">
            <w:pPr>
              <w:jc w:val="both"/>
            </w:pPr>
            <w:r w:rsidRPr="00C5744E">
              <w:t>Controls</w:t>
            </w:r>
          </w:p>
        </w:tc>
        <w:tc>
          <w:tcPr>
            <w:tcW w:w="1737" w:type="dxa"/>
            <w:tcBorders>
              <w:top w:val="nil"/>
              <w:bottom w:val="single" w:sz="4" w:space="0" w:color="auto"/>
            </w:tcBorders>
          </w:tcPr>
          <w:p w14:paraId="6C721930" w14:textId="77777777" w:rsidR="004F338F" w:rsidRPr="00C5744E" w:rsidRDefault="004F338F" w:rsidP="00F9765C">
            <w:pPr>
              <w:jc w:val="center"/>
            </w:pPr>
            <w:r w:rsidRPr="00C5744E">
              <w:t>Yes</w:t>
            </w:r>
          </w:p>
        </w:tc>
        <w:tc>
          <w:tcPr>
            <w:tcW w:w="2090" w:type="dxa"/>
            <w:tcBorders>
              <w:top w:val="nil"/>
              <w:bottom w:val="single" w:sz="4" w:space="0" w:color="auto"/>
            </w:tcBorders>
            <w:vAlign w:val="bottom"/>
          </w:tcPr>
          <w:p w14:paraId="703D363A" w14:textId="77777777" w:rsidR="004F338F" w:rsidRPr="00C5744E" w:rsidRDefault="004F338F" w:rsidP="00F9765C">
            <w:pPr>
              <w:jc w:val="center"/>
            </w:pPr>
            <w:r w:rsidRPr="00C5744E">
              <w:t>Yes</w:t>
            </w:r>
          </w:p>
        </w:tc>
        <w:tc>
          <w:tcPr>
            <w:tcW w:w="1740" w:type="dxa"/>
            <w:tcBorders>
              <w:top w:val="nil"/>
              <w:bottom w:val="single" w:sz="4" w:space="0" w:color="auto"/>
            </w:tcBorders>
            <w:vAlign w:val="bottom"/>
          </w:tcPr>
          <w:p w14:paraId="77564F92" w14:textId="77777777" w:rsidR="004F338F" w:rsidRPr="00C5744E" w:rsidRDefault="004F338F" w:rsidP="00F9765C">
            <w:pPr>
              <w:jc w:val="center"/>
            </w:pPr>
            <w:r w:rsidRPr="00C5744E">
              <w:t>Yes</w:t>
            </w:r>
          </w:p>
        </w:tc>
        <w:tc>
          <w:tcPr>
            <w:tcW w:w="1916" w:type="dxa"/>
            <w:tcBorders>
              <w:top w:val="nil"/>
              <w:bottom w:val="single" w:sz="4" w:space="0" w:color="auto"/>
            </w:tcBorders>
            <w:vAlign w:val="bottom"/>
          </w:tcPr>
          <w:p w14:paraId="453781A9" w14:textId="77777777" w:rsidR="004F338F" w:rsidRPr="00C5744E" w:rsidRDefault="004F338F" w:rsidP="00F9765C">
            <w:pPr>
              <w:jc w:val="center"/>
            </w:pPr>
            <w:r w:rsidRPr="00C5744E">
              <w:t>Yes</w:t>
            </w:r>
          </w:p>
        </w:tc>
      </w:tr>
      <w:tr w:rsidR="004F338F" w:rsidRPr="00C5744E" w14:paraId="68F2363C" w14:textId="77777777" w:rsidTr="00F9765C">
        <w:tc>
          <w:tcPr>
            <w:tcW w:w="2093" w:type="dxa"/>
            <w:tcBorders>
              <w:bottom w:val="nil"/>
            </w:tcBorders>
          </w:tcPr>
          <w:p w14:paraId="32F8028A" w14:textId="77777777" w:rsidR="004F338F" w:rsidRPr="00C5744E" w:rsidRDefault="004F338F" w:rsidP="00F9765C">
            <w:pPr>
              <w:jc w:val="both"/>
            </w:pPr>
            <w:r w:rsidRPr="00C5744E">
              <w:t>R2/Pseudo R2</w:t>
            </w:r>
          </w:p>
        </w:tc>
        <w:tc>
          <w:tcPr>
            <w:tcW w:w="1737" w:type="dxa"/>
            <w:tcBorders>
              <w:bottom w:val="nil"/>
            </w:tcBorders>
          </w:tcPr>
          <w:p w14:paraId="6F864890" w14:textId="77777777" w:rsidR="004F338F" w:rsidRPr="00C5744E" w:rsidRDefault="004F338F" w:rsidP="00F9765C">
            <w:pPr>
              <w:jc w:val="center"/>
            </w:pPr>
            <w:r w:rsidRPr="00C5744E">
              <w:t>0.0767</w:t>
            </w:r>
          </w:p>
        </w:tc>
        <w:tc>
          <w:tcPr>
            <w:tcW w:w="2090" w:type="dxa"/>
            <w:tcBorders>
              <w:bottom w:val="nil"/>
            </w:tcBorders>
          </w:tcPr>
          <w:p w14:paraId="0D9AB3C0" w14:textId="77777777" w:rsidR="004F338F" w:rsidRPr="00C5744E" w:rsidRDefault="004F338F" w:rsidP="00F9765C">
            <w:pPr>
              <w:jc w:val="center"/>
            </w:pPr>
            <w:r w:rsidRPr="00C5744E">
              <w:t>0.0764</w:t>
            </w:r>
          </w:p>
        </w:tc>
        <w:tc>
          <w:tcPr>
            <w:tcW w:w="1740" w:type="dxa"/>
            <w:tcBorders>
              <w:bottom w:val="nil"/>
            </w:tcBorders>
          </w:tcPr>
          <w:p w14:paraId="02EE94E9" w14:textId="77777777" w:rsidR="004F338F" w:rsidRPr="00C5744E" w:rsidRDefault="004F338F" w:rsidP="00F9765C">
            <w:pPr>
              <w:jc w:val="center"/>
            </w:pPr>
            <w:r w:rsidRPr="00C5744E">
              <w:t>0.0626</w:t>
            </w:r>
          </w:p>
        </w:tc>
        <w:tc>
          <w:tcPr>
            <w:tcW w:w="1916" w:type="dxa"/>
            <w:tcBorders>
              <w:bottom w:val="nil"/>
            </w:tcBorders>
          </w:tcPr>
          <w:p w14:paraId="15D35F0D" w14:textId="77777777" w:rsidR="004F338F" w:rsidRPr="00C5744E" w:rsidRDefault="004F338F" w:rsidP="00F9765C">
            <w:pPr>
              <w:jc w:val="center"/>
            </w:pPr>
            <w:r w:rsidRPr="00C5744E">
              <w:t>0.0617</w:t>
            </w:r>
          </w:p>
        </w:tc>
      </w:tr>
      <w:tr w:rsidR="004F338F" w:rsidRPr="00C5744E" w14:paraId="332E5561" w14:textId="77777777" w:rsidTr="00F9765C">
        <w:tc>
          <w:tcPr>
            <w:tcW w:w="2093" w:type="dxa"/>
            <w:tcBorders>
              <w:top w:val="nil"/>
              <w:bottom w:val="nil"/>
            </w:tcBorders>
          </w:tcPr>
          <w:p w14:paraId="2F179BB3" w14:textId="77777777" w:rsidR="004F338F" w:rsidRPr="00C5744E" w:rsidRDefault="004F338F" w:rsidP="00F9765C">
            <w:pPr>
              <w:jc w:val="both"/>
            </w:pPr>
            <w:r w:rsidRPr="00C5744E">
              <w:t>F/Wald</w:t>
            </w:r>
          </w:p>
        </w:tc>
        <w:tc>
          <w:tcPr>
            <w:tcW w:w="1737" w:type="dxa"/>
            <w:tcBorders>
              <w:top w:val="nil"/>
              <w:bottom w:val="nil"/>
            </w:tcBorders>
          </w:tcPr>
          <w:p w14:paraId="37BCFE31" w14:textId="77777777" w:rsidR="004F338F" w:rsidRPr="00C5744E" w:rsidRDefault="004F338F" w:rsidP="00F9765C">
            <w:pPr>
              <w:jc w:val="center"/>
            </w:pPr>
            <w:r w:rsidRPr="00C5744E">
              <w:t>96.72**</w:t>
            </w:r>
          </w:p>
        </w:tc>
        <w:tc>
          <w:tcPr>
            <w:tcW w:w="2090" w:type="dxa"/>
            <w:tcBorders>
              <w:top w:val="nil"/>
              <w:bottom w:val="nil"/>
            </w:tcBorders>
          </w:tcPr>
          <w:p w14:paraId="6870614F" w14:textId="77777777" w:rsidR="004F338F" w:rsidRPr="00C5744E" w:rsidRDefault="004F338F" w:rsidP="00F9765C">
            <w:pPr>
              <w:jc w:val="center"/>
            </w:pPr>
            <w:r w:rsidRPr="00C5744E">
              <w:t>30.31**</w:t>
            </w:r>
          </w:p>
        </w:tc>
        <w:tc>
          <w:tcPr>
            <w:tcW w:w="1740" w:type="dxa"/>
            <w:tcBorders>
              <w:top w:val="nil"/>
              <w:bottom w:val="nil"/>
            </w:tcBorders>
          </w:tcPr>
          <w:p w14:paraId="3A5206CA" w14:textId="77777777" w:rsidR="004F338F" w:rsidRPr="00C5744E" w:rsidRDefault="004F338F" w:rsidP="00F9765C">
            <w:pPr>
              <w:jc w:val="center"/>
            </w:pPr>
            <w:r w:rsidRPr="00C5744E">
              <w:t>3278.87**</w:t>
            </w:r>
          </w:p>
        </w:tc>
        <w:tc>
          <w:tcPr>
            <w:tcW w:w="1916" w:type="dxa"/>
            <w:tcBorders>
              <w:top w:val="nil"/>
              <w:bottom w:val="nil"/>
            </w:tcBorders>
          </w:tcPr>
          <w:p w14:paraId="77DB4D38" w14:textId="77777777" w:rsidR="004F338F" w:rsidRPr="00C5744E" w:rsidRDefault="004F338F" w:rsidP="00F9765C">
            <w:pPr>
              <w:jc w:val="center"/>
            </w:pPr>
            <w:r w:rsidRPr="00C5744E">
              <w:t>1023.93**</w:t>
            </w:r>
          </w:p>
        </w:tc>
      </w:tr>
      <w:tr w:rsidR="004F338F" w:rsidRPr="00C5744E" w14:paraId="2A0E9FE5" w14:textId="77777777" w:rsidTr="00F9765C">
        <w:tc>
          <w:tcPr>
            <w:tcW w:w="2093" w:type="dxa"/>
            <w:tcBorders>
              <w:top w:val="nil"/>
            </w:tcBorders>
          </w:tcPr>
          <w:p w14:paraId="138E43C8" w14:textId="77777777" w:rsidR="004F338F" w:rsidRPr="00C5744E" w:rsidRDefault="004F338F" w:rsidP="00F9765C">
            <w:pPr>
              <w:jc w:val="both"/>
            </w:pPr>
            <w:r w:rsidRPr="00C5744E">
              <w:t>Observations</w:t>
            </w:r>
          </w:p>
        </w:tc>
        <w:tc>
          <w:tcPr>
            <w:tcW w:w="1737" w:type="dxa"/>
            <w:tcBorders>
              <w:top w:val="nil"/>
            </w:tcBorders>
          </w:tcPr>
          <w:p w14:paraId="53CB0574" w14:textId="77777777" w:rsidR="004F338F" w:rsidRPr="00C5744E" w:rsidRDefault="004F338F" w:rsidP="00F9765C">
            <w:pPr>
              <w:jc w:val="center"/>
            </w:pPr>
            <w:r w:rsidRPr="00C5744E">
              <w:t>44,788</w:t>
            </w:r>
          </w:p>
        </w:tc>
        <w:tc>
          <w:tcPr>
            <w:tcW w:w="2090" w:type="dxa"/>
            <w:tcBorders>
              <w:top w:val="nil"/>
            </w:tcBorders>
          </w:tcPr>
          <w:p w14:paraId="2E9D1D04" w14:textId="77777777" w:rsidR="004F338F" w:rsidRPr="00C5744E" w:rsidRDefault="004F338F" w:rsidP="00F9765C">
            <w:pPr>
              <w:jc w:val="center"/>
            </w:pPr>
            <w:r w:rsidRPr="00C5744E">
              <w:t>14,033</w:t>
            </w:r>
          </w:p>
        </w:tc>
        <w:tc>
          <w:tcPr>
            <w:tcW w:w="1740" w:type="dxa"/>
            <w:tcBorders>
              <w:top w:val="nil"/>
            </w:tcBorders>
          </w:tcPr>
          <w:p w14:paraId="5C6EEF2E" w14:textId="77777777" w:rsidR="004F338F" w:rsidRPr="00C5744E" w:rsidRDefault="004F338F" w:rsidP="00F9765C">
            <w:pPr>
              <w:jc w:val="center"/>
            </w:pPr>
            <w:r w:rsidRPr="00C5744E">
              <w:t>44,788</w:t>
            </w:r>
          </w:p>
        </w:tc>
        <w:tc>
          <w:tcPr>
            <w:tcW w:w="1916" w:type="dxa"/>
            <w:tcBorders>
              <w:top w:val="nil"/>
            </w:tcBorders>
          </w:tcPr>
          <w:p w14:paraId="26DA918D" w14:textId="77777777" w:rsidR="004F338F" w:rsidRPr="00C5744E" w:rsidRDefault="004F338F" w:rsidP="00F9765C">
            <w:pPr>
              <w:jc w:val="center"/>
            </w:pPr>
            <w:r w:rsidRPr="00C5744E">
              <w:t>14,033</w:t>
            </w:r>
          </w:p>
        </w:tc>
      </w:tr>
    </w:tbl>
    <w:p w14:paraId="0E18ED96" w14:textId="77777777" w:rsidR="004F338F" w:rsidRDefault="004F338F" w:rsidP="004F338F">
      <w:pPr>
        <w:rPr>
          <w:sz w:val="20"/>
          <w:lang w:val="en-US"/>
        </w:rPr>
      </w:pPr>
      <w:r w:rsidRPr="00C5744E">
        <w:rPr>
          <w:sz w:val="20"/>
          <w:lang w:val="en-US"/>
        </w:rPr>
        <w:t>Obs.: Robust standardized error in parenthesis. ** p &lt; 0.05, * p &lt; 0.1. Controls include all the variables presented in Table 3.</w:t>
      </w:r>
    </w:p>
    <w:p w14:paraId="6D5F3B5A" w14:textId="77777777" w:rsidR="004F338F" w:rsidRPr="00C5744E" w:rsidRDefault="004F338F" w:rsidP="004F338F">
      <w:pPr>
        <w:rPr>
          <w:sz w:val="16"/>
          <w:szCs w:val="20"/>
          <w:lang w:val="en-US"/>
        </w:rPr>
      </w:pPr>
    </w:p>
    <w:p w14:paraId="7974DDCF" w14:textId="77777777" w:rsidR="004F338F" w:rsidRPr="00C5744E" w:rsidRDefault="004F338F" w:rsidP="004F338F">
      <w:pPr>
        <w:rPr>
          <w:b/>
          <w:lang w:val="en-US"/>
        </w:rPr>
      </w:pPr>
      <w:r w:rsidRPr="00C5744E">
        <w:rPr>
          <w:b/>
          <w:lang w:val="en-US"/>
        </w:rPr>
        <w:t>5.2 IV estimative</w:t>
      </w:r>
    </w:p>
    <w:p w14:paraId="136E409E" w14:textId="77777777" w:rsidR="004F338F" w:rsidRDefault="004F338F" w:rsidP="004F338F">
      <w:pPr>
        <w:jc w:val="both"/>
        <w:rPr>
          <w:b/>
          <w:lang w:val="en-US"/>
        </w:rPr>
      </w:pPr>
      <w:r w:rsidRPr="00C5744E">
        <w:rPr>
          <w:b/>
          <w:lang w:val="en-US"/>
        </w:rPr>
        <w:tab/>
      </w:r>
    </w:p>
    <w:p w14:paraId="07B1AEF7" w14:textId="77777777" w:rsidR="004F338F" w:rsidRPr="00C5744E" w:rsidRDefault="004F338F" w:rsidP="004F338F">
      <w:pPr>
        <w:ind w:firstLine="708"/>
        <w:jc w:val="both"/>
        <w:rPr>
          <w:b/>
          <w:lang w:val="en-US"/>
        </w:rPr>
      </w:pPr>
      <w:r w:rsidRPr="00C5744E">
        <w:rPr>
          <w:lang w:val="en-US"/>
        </w:rPr>
        <w:t>We now present our IV estimative for the influence of the number of children on the household head’s commuting time. As discussed, this evidence is obtained using the “same-sex” variable as instrument for the number of children, once, presumably, this variable affect the number of children of the couple and it is not associated with the commuting time of the household head though a different channel than the number of children. The estimative are pr</w:t>
      </w:r>
      <w:r>
        <w:rPr>
          <w:lang w:val="en-US"/>
        </w:rPr>
        <w:t>esented in the following Table 4</w:t>
      </w:r>
      <w:r w:rsidRPr="00C5744E">
        <w:rPr>
          <w:lang w:val="en-US"/>
        </w:rPr>
        <w:t>, both for the reduced form (column (1))) and or the structural form (column (2)). Again, all the estimative ere obtained considering the set controls presented in Table 2.</w:t>
      </w:r>
    </w:p>
    <w:p w14:paraId="4691EABC" w14:textId="77777777" w:rsidR="004F338F" w:rsidRPr="00C5744E" w:rsidRDefault="004F338F" w:rsidP="004F338F">
      <w:pPr>
        <w:jc w:val="both"/>
        <w:rPr>
          <w:lang w:val="en-US"/>
        </w:rPr>
      </w:pPr>
      <w:r w:rsidRPr="00C5744E">
        <w:rPr>
          <w:b/>
          <w:lang w:val="en-US"/>
        </w:rPr>
        <w:t xml:space="preserve">         </w:t>
      </w:r>
      <w:r w:rsidRPr="00C5744E">
        <w:rPr>
          <w:lang w:val="en-US"/>
        </w:rPr>
        <w:t xml:space="preserve"> From the </w:t>
      </w:r>
      <w:r>
        <w:rPr>
          <w:lang w:val="en-US"/>
        </w:rPr>
        <w:t>first column of Table 5</w:t>
      </w:r>
      <w:r w:rsidRPr="00C5744E">
        <w:rPr>
          <w:lang w:val="en-US"/>
        </w:rPr>
        <w:t xml:space="preserve">, we note that there is a positive and statically significant association between the instrument (indicator if the first two siblings are of the same sex) and the dependent variable (indicator of more than 30 minutes of commuting time), something welcomed for getting confident in using the variable as instrument. </w:t>
      </w:r>
    </w:p>
    <w:p w14:paraId="66E70031" w14:textId="77777777" w:rsidR="004F338F" w:rsidRPr="00C5744E" w:rsidRDefault="004F338F" w:rsidP="004F338F">
      <w:pPr>
        <w:ind w:firstLine="720"/>
        <w:jc w:val="both"/>
        <w:rPr>
          <w:lang w:val="en-US"/>
        </w:rPr>
      </w:pPr>
      <w:r w:rsidRPr="00C5744E">
        <w:rPr>
          <w:lang w:val="en-US"/>
        </w:rPr>
        <w:t>In the column (2) we present both first and second stages of the IV regression (using 2SLS). First of all, note that both Durbin and Wu-Hausman statistics indicate rejection of the null hypothesis of exogeneity of the variable represented by the number of children. Thus, IV estimator is preferable to OLS estimator</w:t>
      </w:r>
      <w:r w:rsidRPr="00C5744E">
        <w:rPr>
          <w:rStyle w:val="FootnoteReference"/>
          <w:lang w:val="en-US"/>
        </w:rPr>
        <w:footnoteReference w:id="1"/>
      </w:r>
      <w:r w:rsidRPr="00C5744E">
        <w:rPr>
          <w:lang w:val="en-US"/>
        </w:rPr>
        <w:t xml:space="preserve">. In addition, the results of the first stage provides confident for using the proposed instrument; using the Same-sex variable as a regressor for the number of children we obtained a positive and statistically influence of the instrument on the number of children: by having the tow first sibling of the same sex increases the number of children by 0.17, which is an important effect, considering the number of children of Brazilian urban families. </w:t>
      </w:r>
    </w:p>
    <w:p w14:paraId="46FF4618" w14:textId="77777777" w:rsidR="004F338F" w:rsidRPr="00C5744E" w:rsidRDefault="004F338F" w:rsidP="004F338F">
      <w:pPr>
        <w:ind w:firstLine="720"/>
        <w:jc w:val="both"/>
        <w:rPr>
          <w:lang w:val="en-US"/>
        </w:rPr>
      </w:pPr>
      <w:r w:rsidRPr="00C5744E">
        <w:rPr>
          <w:lang w:val="en-US"/>
        </w:rPr>
        <w:t xml:space="preserve">In fact, the set of statistics presented for evaluating the instrument provides strong confident for using it. First, note the </w:t>
      </w:r>
      <w:r w:rsidRPr="00C5744E">
        <w:rPr>
          <w:i/>
          <w:lang w:val="en-US"/>
        </w:rPr>
        <w:t xml:space="preserve">F </w:t>
      </w:r>
      <w:r w:rsidRPr="00C5744E">
        <w:rPr>
          <w:lang w:val="en-US"/>
        </w:rPr>
        <w:t>statistic for the first stage is statistically significant and assume a value that easily exceeds 10, the cutoff value suggested by Stock, Wright, and Yogo (2002). Second, by comparing the Cragg-Donald statistic for testing the weakness of the instrument with the values proposed by Stock and Yogo (2005) for a rejection rate of Wald test of 5% of no more than 10%, we reject the null hypothesis of a weak instrument.</w:t>
      </w:r>
    </w:p>
    <w:p w14:paraId="4A30EEF2" w14:textId="77777777" w:rsidR="004F338F" w:rsidRPr="00C5744E" w:rsidRDefault="004F338F" w:rsidP="004F338F">
      <w:pPr>
        <w:ind w:firstLine="720"/>
        <w:jc w:val="both"/>
        <w:rPr>
          <w:lang w:val="en-US"/>
        </w:rPr>
      </w:pPr>
      <w:r w:rsidRPr="00C5744E">
        <w:rPr>
          <w:lang w:val="en-US"/>
        </w:rPr>
        <w:t>The results for the second stage of the IV SLS strategy are present in the seco</w:t>
      </w:r>
      <w:r>
        <w:rPr>
          <w:lang w:val="en-US"/>
        </w:rPr>
        <w:t>nd part of column (2) of Table 5</w:t>
      </w:r>
      <w:r w:rsidRPr="00C5744E">
        <w:rPr>
          <w:lang w:val="en-US"/>
        </w:rPr>
        <w:t xml:space="preserve">. The estimative indicates now a significant impact of the number of children on the probability of the household spends more than 30 minutes of commuting time: for families with at least two children, one more children increase this probability by 21.3 perceptual points. This effect is statically significant eve using the AR (Anderson and Rubin) robust statistic proposed by Finlay and Magnusson (2009) when the instrument is weak. Consistent with previous expectation, we note that this estimative is considerably higher than the one obtained by the OLS regression and suggest that the family structure is a substantive factor conditioning household residential location in Brazilian urban centers. </w:t>
      </w:r>
    </w:p>
    <w:p w14:paraId="524B86CA" w14:textId="77777777" w:rsidR="004F338F" w:rsidRPr="00C5744E" w:rsidRDefault="004F338F" w:rsidP="004F338F">
      <w:pPr>
        <w:ind w:firstLine="720"/>
        <w:rPr>
          <w:b/>
          <w:lang w:val="en-US"/>
        </w:rPr>
      </w:pPr>
    </w:p>
    <w:p w14:paraId="367EDB29" w14:textId="77777777" w:rsidR="004F338F" w:rsidRPr="00C5744E" w:rsidRDefault="004F338F" w:rsidP="004F338F">
      <w:pPr>
        <w:rPr>
          <w:b/>
          <w:lang w:val="en-US"/>
        </w:rPr>
      </w:pPr>
      <w:r>
        <w:rPr>
          <w:b/>
          <w:lang w:val="en-US"/>
        </w:rPr>
        <w:t>Table 5</w:t>
      </w:r>
      <w:r w:rsidRPr="00C5744E">
        <w:rPr>
          <w:b/>
          <w:lang w:val="en-US"/>
        </w:rPr>
        <w:t xml:space="preserve"> - The influence of the number of children on the household head’s commuting time – Brazilian cities – Base line.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369"/>
        <w:gridCol w:w="2693"/>
        <w:gridCol w:w="2693"/>
      </w:tblGrid>
      <w:tr w:rsidR="004F338F" w:rsidRPr="00C5744E" w14:paraId="7CA3FF8A" w14:textId="77777777" w:rsidTr="00F9765C">
        <w:tc>
          <w:tcPr>
            <w:tcW w:w="3369" w:type="dxa"/>
            <w:tcBorders>
              <w:top w:val="single" w:sz="4" w:space="0" w:color="auto"/>
              <w:bottom w:val="nil"/>
            </w:tcBorders>
          </w:tcPr>
          <w:p w14:paraId="3BAA7D53" w14:textId="77777777" w:rsidR="004F338F" w:rsidRPr="00C5744E" w:rsidRDefault="004F338F" w:rsidP="00F9765C">
            <w:pPr>
              <w:rPr>
                <w:i/>
              </w:rPr>
            </w:pPr>
          </w:p>
        </w:tc>
        <w:tc>
          <w:tcPr>
            <w:tcW w:w="2693" w:type="dxa"/>
            <w:tcBorders>
              <w:top w:val="single" w:sz="4" w:space="0" w:color="auto"/>
              <w:bottom w:val="nil"/>
            </w:tcBorders>
          </w:tcPr>
          <w:p w14:paraId="1696B34B" w14:textId="77777777" w:rsidR="004F338F" w:rsidRPr="00C5744E" w:rsidRDefault="004F338F" w:rsidP="00F9765C">
            <w:pPr>
              <w:jc w:val="center"/>
              <w:rPr>
                <w:b/>
              </w:rPr>
            </w:pPr>
            <w:r w:rsidRPr="00C5744E">
              <w:rPr>
                <w:b/>
              </w:rPr>
              <w:t>Reduced form – OLS</w:t>
            </w:r>
          </w:p>
          <w:p w14:paraId="2E690B6E" w14:textId="77777777" w:rsidR="004F338F" w:rsidRPr="00C5744E" w:rsidRDefault="004F338F" w:rsidP="00F9765C">
            <w:pPr>
              <w:jc w:val="center"/>
              <w:rPr>
                <w:b/>
              </w:rPr>
            </w:pPr>
            <w:r w:rsidRPr="00C5744E">
              <w:rPr>
                <w:b/>
              </w:rPr>
              <w:t>(1)</w:t>
            </w:r>
          </w:p>
        </w:tc>
        <w:tc>
          <w:tcPr>
            <w:tcW w:w="2693" w:type="dxa"/>
            <w:tcBorders>
              <w:top w:val="single" w:sz="4" w:space="0" w:color="auto"/>
              <w:bottom w:val="nil"/>
            </w:tcBorders>
            <w:vAlign w:val="bottom"/>
          </w:tcPr>
          <w:p w14:paraId="0EE843DF" w14:textId="77777777" w:rsidR="004F338F" w:rsidRPr="00C5744E" w:rsidRDefault="004F338F" w:rsidP="00F9765C">
            <w:pPr>
              <w:jc w:val="center"/>
              <w:rPr>
                <w:b/>
              </w:rPr>
            </w:pPr>
            <w:r w:rsidRPr="00C5744E">
              <w:rPr>
                <w:b/>
              </w:rPr>
              <w:t>IV - 2SLS</w:t>
            </w:r>
          </w:p>
          <w:p w14:paraId="7F806B5E" w14:textId="77777777" w:rsidR="004F338F" w:rsidRPr="00C5744E" w:rsidRDefault="004F338F" w:rsidP="00F9765C">
            <w:pPr>
              <w:jc w:val="center"/>
              <w:rPr>
                <w:b/>
              </w:rPr>
            </w:pPr>
            <w:r w:rsidRPr="00C5744E">
              <w:rPr>
                <w:b/>
              </w:rPr>
              <w:t>(2)</w:t>
            </w:r>
          </w:p>
        </w:tc>
      </w:tr>
      <w:tr w:rsidR="004F338F" w:rsidRPr="00C5744E" w14:paraId="192BF774" w14:textId="77777777" w:rsidTr="00F9765C">
        <w:tc>
          <w:tcPr>
            <w:tcW w:w="3369" w:type="dxa"/>
            <w:tcBorders>
              <w:top w:val="single" w:sz="4" w:space="0" w:color="auto"/>
              <w:bottom w:val="nil"/>
            </w:tcBorders>
          </w:tcPr>
          <w:p w14:paraId="3A8F3DDB" w14:textId="77777777" w:rsidR="004F338F" w:rsidRPr="00C5744E" w:rsidRDefault="004F338F" w:rsidP="00F9765C">
            <w:pPr>
              <w:rPr>
                <w:b/>
                <w:i/>
              </w:rPr>
            </w:pPr>
          </w:p>
        </w:tc>
        <w:tc>
          <w:tcPr>
            <w:tcW w:w="2693" w:type="dxa"/>
            <w:tcBorders>
              <w:top w:val="single" w:sz="4" w:space="0" w:color="auto"/>
              <w:bottom w:val="nil"/>
            </w:tcBorders>
          </w:tcPr>
          <w:p w14:paraId="2444C39E" w14:textId="77777777" w:rsidR="004F338F" w:rsidRPr="00C5744E" w:rsidRDefault="004F338F" w:rsidP="00F9765C">
            <w:pPr>
              <w:jc w:val="center"/>
              <w:rPr>
                <w:b/>
              </w:rPr>
            </w:pPr>
          </w:p>
        </w:tc>
        <w:tc>
          <w:tcPr>
            <w:tcW w:w="2693" w:type="dxa"/>
            <w:tcBorders>
              <w:top w:val="single" w:sz="4" w:space="0" w:color="auto"/>
              <w:bottom w:val="nil"/>
            </w:tcBorders>
            <w:vAlign w:val="bottom"/>
          </w:tcPr>
          <w:p w14:paraId="7D113BB1" w14:textId="77777777" w:rsidR="004F338F" w:rsidRPr="00C5744E" w:rsidRDefault="004F338F" w:rsidP="00F9765C">
            <w:pPr>
              <w:jc w:val="center"/>
              <w:rPr>
                <w:b/>
              </w:rPr>
            </w:pPr>
            <w:r w:rsidRPr="00C5744E">
              <w:rPr>
                <w:i/>
              </w:rPr>
              <w:t>First Stage</w:t>
            </w:r>
          </w:p>
        </w:tc>
      </w:tr>
      <w:tr w:rsidR="004F338F" w:rsidRPr="00C5744E" w14:paraId="676402A7" w14:textId="77777777" w:rsidTr="00F9765C">
        <w:tc>
          <w:tcPr>
            <w:tcW w:w="3369" w:type="dxa"/>
            <w:tcBorders>
              <w:top w:val="nil"/>
              <w:bottom w:val="nil"/>
            </w:tcBorders>
          </w:tcPr>
          <w:p w14:paraId="46C0E43F" w14:textId="77777777" w:rsidR="004F338F" w:rsidRPr="00C5744E" w:rsidRDefault="004F338F" w:rsidP="00F9765C">
            <w:pPr>
              <w:rPr>
                <w:b/>
              </w:rPr>
            </w:pPr>
            <w:r w:rsidRPr="00C5744E">
              <w:t>Same-sex</w:t>
            </w:r>
          </w:p>
        </w:tc>
        <w:tc>
          <w:tcPr>
            <w:tcW w:w="2693" w:type="dxa"/>
            <w:tcBorders>
              <w:top w:val="nil"/>
              <w:bottom w:val="nil"/>
            </w:tcBorders>
          </w:tcPr>
          <w:p w14:paraId="71012D2F" w14:textId="77777777" w:rsidR="004F338F" w:rsidRPr="00C5744E" w:rsidRDefault="004F338F" w:rsidP="00F9765C">
            <w:pPr>
              <w:jc w:val="center"/>
            </w:pPr>
            <w:r w:rsidRPr="00C5744E">
              <w:t>0.036**</w:t>
            </w:r>
          </w:p>
          <w:p w14:paraId="552F5E48" w14:textId="77777777" w:rsidR="004F338F" w:rsidRPr="00C5744E" w:rsidRDefault="004F338F" w:rsidP="00F9765C">
            <w:pPr>
              <w:jc w:val="center"/>
              <w:rPr>
                <w:b/>
              </w:rPr>
            </w:pPr>
            <w:r w:rsidRPr="00C5744E">
              <w:t>(0.016)</w:t>
            </w:r>
          </w:p>
        </w:tc>
        <w:tc>
          <w:tcPr>
            <w:tcW w:w="2693" w:type="dxa"/>
            <w:tcBorders>
              <w:top w:val="nil"/>
              <w:bottom w:val="nil"/>
            </w:tcBorders>
            <w:vAlign w:val="bottom"/>
          </w:tcPr>
          <w:p w14:paraId="1540D3E4" w14:textId="77777777" w:rsidR="004F338F" w:rsidRPr="00C5744E" w:rsidRDefault="004F338F" w:rsidP="00F9765C">
            <w:pPr>
              <w:jc w:val="center"/>
            </w:pPr>
            <w:r w:rsidRPr="00C5744E">
              <w:t>0.170**</w:t>
            </w:r>
          </w:p>
          <w:p w14:paraId="730D7C3C" w14:textId="77777777" w:rsidR="004F338F" w:rsidRPr="00C5744E" w:rsidRDefault="004F338F" w:rsidP="00F9765C">
            <w:pPr>
              <w:jc w:val="center"/>
              <w:rPr>
                <w:b/>
              </w:rPr>
            </w:pPr>
            <w:r w:rsidRPr="00C5744E">
              <w:t>(0.038)</w:t>
            </w:r>
          </w:p>
        </w:tc>
      </w:tr>
      <w:tr w:rsidR="004F338F" w:rsidRPr="00C5744E" w14:paraId="02C06DBF" w14:textId="77777777" w:rsidTr="00F9765C">
        <w:tc>
          <w:tcPr>
            <w:tcW w:w="3369" w:type="dxa"/>
            <w:tcBorders>
              <w:top w:val="nil"/>
              <w:bottom w:val="nil"/>
            </w:tcBorders>
          </w:tcPr>
          <w:p w14:paraId="02C6C06D" w14:textId="77777777" w:rsidR="004F338F" w:rsidRPr="00C5744E" w:rsidRDefault="004F338F" w:rsidP="00F9765C">
            <w:r w:rsidRPr="00C5744E">
              <w:t xml:space="preserve">Controls </w:t>
            </w:r>
          </w:p>
        </w:tc>
        <w:tc>
          <w:tcPr>
            <w:tcW w:w="2693" w:type="dxa"/>
            <w:tcBorders>
              <w:top w:val="nil"/>
              <w:bottom w:val="nil"/>
            </w:tcBorders>
          </w:tcPr>
          <w:p w14:paraId="1DD0BD76" w14:textId="77777777" w:rsidR="004F338F" w:rsidRPr="00C5744E" w:rsidRDefault="004F338F" w:rsidP="00F9765C">
            <w:pPr>
              <w:jc w:val="center"/>
            </w:pPr>
            <w:r w:rsidRPr="00C5744E">
              <w:t>Yes</w:t>
            </w:r>
          </w:p>
        </w:tc>
        <w:tc>
          <w:tcPr>
            <w:tcW w:w="2693" w:type="dxa"/>
            <w:tcBorders>
              <w:top w:val="nil"/>
              <w:bottom w:val="nil"/>
            </w:tcBorders>
            <w:vAlign w:val="bottom"/>
          </w:tcPr>
          <w:p w14:paraId="6C01239F" w14:textId="77777777" w:rsidR="004F338F" w:rsidRPr="00C5744E" w:rsidRDefault="004F338F" w:rsidP="00F9765C">
            <w:pPr>
              <w:jc w:val="center"/>
            </w:pPr>
            <w:r w:rsidRPr="00C5744E">
              <w:t>Yes</w:t>
            </w:r>
          </w:p>
        </w:tc>
      </w:tr>
      <w:tr w:rsidR="004F338F" w:rsidRPr="00C5744E" w14:paraId="4785D1F1" w14:textId="77777777" w:rsidTr="00F9765C">
        <w:tc>
          <w:tcPr>
            <w:tcW w:w="3369" w:type="dxa"/>
            <w:tcBorders>
              <w:top w:val="nil"/>
              <w:bottom w:val="nil"/>
            </w:tcBorders>
          </w:tcPr>
          <w:p w14:paraId="2B3EE9EA" w14:textId="77777777" w:rsidR="004F338F" w:rsidRPr="00C5744E" w:rsidRDefault="004F338F" w:rsidP="00F9765C">
            <w:pPr>
              <w:rPr>
                <w:i/>
              </w:rPr>
            </w:pPr>
            <w:r w:rsidRPr="00C5744E">
              <w:rPr>
                <w:i/>
              </w:rPr>
              <w:t>F</w:t>
            </w:r>
          </w:p>
        </w:tc>
        <w:tc>
          <w:tcPr>
            <w:tcW w:w="2693" w:type="dxa"/>
            <w:tcBorders>
              <w:top w:val="nil"/>
              <w:bottom w:val="nil"/>
            </w:tcBorders>
          </w:tcPr>
          <w:p w14:paraId="27A09253" w14:textId="77777777" w:rsidR="004F338F" w:rsidRPr="00C5744E" w:rsidRDefault="004F338F" w:rsidP="00F9765C">
            <w:pPr>
              <w:jc w:val="center"/>
            </w:pPr>
            <w:r w:rsidRPr="00C5744E">
              <w:t>30.25**</w:t>
            </w:r>
          </w:p>
        </w:tc>
        <w:tc>
          <w:tcPr>
            <w:tcW w:w="2693" w:type="dxa"/>
            <w:tcBorders>
              <w:top w:val="nil"/>
              <w:bottom w:val="nil"/>
            </w:tcBorders>
            <w:vAlign w:val="bottom"/>
          </w:tcPr>
          <w:p w14:paraId="561A3C3D" w14:textId="77777777" w:rsidR="004F338F" w:rsidRPr="00C5744E" w:rsidRDefault="004F338F" w:rsidP="00F9765C">
            <w:pPr>
              <w:jc w:val="center"/>
            </w:pPr>
            <w:r w:rsidRPr="00C5744E">
              <w:t>17.79**</w:t>
            </w:r>
          </w:p>
        </w:tc>
      </w:tr>
      <w:tr w:rsidR="004F338F" w:rsidRPr="00C5744E" w14:paraId="577045AE" w14:textId="77777777" w:rsidTr="00F9765C">
        <w:tc>
          <w:tcPr>
            <w:tcW w:w="3369" w:type="dxa"/>
            <w:tcBorders>
              <w:top w:val="nil"/>
              <w:bottom w:val="single" w:sz="4" w:space="0" w:color="auto"/>
            </w:tcBorders>
          </w:tcPr>
          <w:p w14:paraId="73D3E5F6" w14:textId="77777777" w:rsidR="004F338F" w:rsidRPr="00C5744E" w:rsidRDefault="004F338F" w:rsidP="00F9765C">
            <w:pPr>
              <w:rPr>
                <w:vertAlign w:val="superscript"/>
              </w:rPr>
            </w:pPr>
            <w:r w:rsidRPr="00C5744E">
              <w:t>R</w:t>
            </w:r>
            <w:r w:rsidRPr="00C5744E">
              <w:rPr>
                <w:vertAlign w:val="superscript"/>
              </w:rPr>
              <w:t>2</w:t>
            </w:r>
          </w:p>
        </w:tc>
        <w:tc>
          <w:tcPr>
            <w:tcW w:w="2693" w:type="dxa"/>
            <w:tcBorders>
              <w:top w:val="nil"/>
              <w:bottom w:val="single" w:sz="4" w:space="0" w:color="auto"/>
            </w:tcBorders>
          </w:tcPr>
          <w:p w14:paraId="2329FF49" w14:textId="77777777" w:rsidR="004F338F" w:rsidRPr="00C5744E" w:rsidRDefault="004F338F" w:rsidP="00F9765C">
            <w:pPr>
              <w:jc w:val="center"/>
            </w:pPr>
            <w:r w:rsidRPr="00C5744E">
              <w:t>0.0764</w:t>
            </w:r>
          </w:p>
        </w:tc>
        <w:tc>
          <w:tcPr>
            <w:tcW w:w="2693" w:type="dxa"/>
            <w:tcBorders>
              <w:top w:val="nil"/>
              <w:bottom w:val="single" w:sz="4" w:space="0" w:color="auto"/>
            </w:tcBorders>
            <w:vAlign w:val="bottom"/>
          </w:tcPr>
          <w:p w14:paraId="1D33632C" w14:textId="77777777" w:rsidR="004F338F" w:rsidRPr="00C5744E" w:rsidRDefault="004F338F" w:rsidP="00F9765C">
            <w:pPr>
              <w:jc w:val="center"/>
            </w:pPr>
            <w:r w:rsidRPr="00C5744E">
              <w:t>0.0801</w:t>
            </w:r>
          </w:p>
        </w:tc>
      </w:tr>
      <w:tr w:rsidR="004F338F" w:rsidRPr="00C5744E" w14:paraId="647C37E6" w14:textId="77777777" w:rsidTr="00F9765C">
        <w:trPr>
          <w:trHeight w:val="164"/>
        </w:trPr>
        <w:tc>
          <w:tcPr>
            <w:tcW w:w="3369" w:type="dxa"/>
            <w:tcBorders>
              <w:top w:val="single" w:sz="4" w:space="0" w:color="auto"/>
              <w:bottom w:val="nil"/>
            </w:tcBorders>
          </w:tcPr>
          <w:p w14:paraId="092E14FB" w14:textId="77777777" w:rsidR="004F338F" w:rsidRPr="00C5744E" w:rsidRDefault="004F338F" w:rsidP="00F9765C">
            <w:pPr>
              <w:rPr>
                <w:b/>
                <w:i/>
              </w:rPr>
            </w:pPr>
          </w:p>
        </w:tc>
        <w:tc>
          <w:tcPr>
            <w:tcW w:w="2693" w:type="dxa"/>
            <w:tcBorders>
              <w:top w:val="single" w:sz="4" w:space="0" w:color="auto"/>
              <w:bottom w:val="nil"/>
            </w:tcBorders>
          </w:tcPr>
          <w:p w14:paraId="47E7A2D2" w14:textId="77777777" w:rsidR="004F338F" w:rsidRPr="00C5744E" w:rsidRDefault="004F338F" w:rsidP="00F9765C">
            <w:pPr>
              <w:jc w:val="center"/>
            </w:pPr>
          </w:p>
        </w:tc>
        <w:tc>
          <w:tcPr>
            <w:tcW w:w="2693" w:type="dxa"/>
            <w:tcBorders>
              <w:top w:val="single" w:sz="4" w:space="0" w:color="auto"/>
              <w:bottom w:val="nil"/>
            </w:tcBorders>
            <w:vAlign w:val="bottom"/>
          </w:tcPr>
          <w:p w14:paraId="1C5E30A0" w14:textId="77777777" w:rsidR="004F338F" w:rsidRPr="00C5744E" w:rsidRDefault="004F338F" w:rsidP="00F9765C">
            <w:pPr>
              <w:jc w:val="center"/>
            </w:pPr>
            <w:r w:rsidRPr="00C5744E">
              <w:rPr>
                <w:i/>
              </w:rPr>
              <w:t>Second Stage</w:t>
            </w:r>
          </w:p>
        </w:tc>
      </w:tr>
      <w:tr w:rsidR="004F338F" w:rsidRPr="00C5744E" w14:paraId="06E230BD" w14:textId="77777777" w:rsidTr="00F9765C">
        <w:tc>
          <w:tcPr>
            <w:tcW w:w="3369" w:type="dxa"/>
            <w:tcBorders>
              <w:top w:val="nil"/>
              <w:bottom w:val="nil"/>
            </w:tcBorders>
          </w:tcPr>
          <w:p w14:paraId="0C79613A" w14:textId="77777777" w:rsidR="004F338F" w:rsidRPr="00C5744E" w:rsidRDefault="004F338F" w:rsidP="00F9765C">
            <w:r w:rsidRPr="00C5744E">
              <w:t>Children</w:t>
            </w:r>
          </w:p>
        </w:tc>
        <w:tc>
          <w:tcPr>
            <w:tcW w:w="2693" w:type="dxa"/>
            <w:tcBorders>
              <w:top w:val="nil"/>
              <w:bottom w:val="nil"/>
            </w:tcBorders>
          </w:tcPr>
          <w:p w14:paraId="2793AC6A" w14:textId="77777777" w:rsidR="004F338F" w:rsidRPr="00C5744E" w:rsidRDefault="004F338F" w:rsidP="00F9765C">
            <w:pPr>
              <w:jc w:val="center"/>
              <w:rPr>
                <w:b/>
              </w:rPr>
            </w:pPr>
            <w:r w:rsidRPr="00C5744E">
              <w:rPr>
                <w:b/>
              </w:rPr>
              <w:t>-</w:t>
            </w:r>
          </w:p>
        </w:tc>
        <w:tc>
          <w:tcPr>
            <w:tcW w:w="2693" w:type="dxa"/>
            <w:tcBorders>
              <w:top w:val="nil"/>
              <w:bottom w:val="nil"/>
            </w:tcBorders>
          </w:tcPr>
          <w:p w14:paraId="674A16C7" w14:textId="77777777" w:rsidR="004F338F" w:rsidRPr="00C5744E" w:rsidRDefault="004F338F" w:rsidP="00F9765C">
            <w:pPr>
              <w:jc w:val="center"/>
            </w:pPr>
            <w:r w:rsidRPr="00C5744E">
              <w:t>0.213**</w:t>
            </w:r>
          </w:p>
          <w:p w14:paraId="2058B9F2" w14:textId="77777777" w:rsidR="004F338F" w:rsidRPr="00C5744E" w:rsidRDefault="004F338F" w:rsidP="00F9765C">
            <w:pPr>
              <w:jc w:val="center"/>
              <w:rPr>
                <w:b/>
              </w:rPr>
            </w:pPr>
            <w:r w:rsidRPr="00C5744E">
              <w:t>(0.107)</w:t>
            </w:r>
          </w:p>
        </w:tc>
      </w:tr>
      <w:tr w:rsidR="004F338F" w:rsidRPr="00C5744E" w14:paraId="5DC793BD" w14:textId="77777777" w:rsidTr="00F9765C">
        <w:tc>
          <w:tcPr>
            <w:tcW w:w="3369" w:type="dxa"/>
            <w:tcBorders>
              <w:top w:val="nil"/>
              <w:bottom w:val="nil"/>
            </w:tcBorders>
          </w:tcPr>
          <w:p w14:paraId="2E748280" w14:textId="77777777" w:rsidR="004F338F" w:rsidRPr="00C5744E" w:rsidRDefault="004F338F" w:rsidP="00F9765C">
            <w:r w:rsidRPr="00C5744E">
              <w:t>Controls</w:t>
            </w:r>
          </w:p>
        </w:tc>
        <w:tc>
          <w:tcPr>
            <w:tcW w:w="2693" w:type="dxa"/>
            <w:tcBorders>
              <w:top w:val="nil"/>
              <w:bottom w:val="nil"/>
            </w:tcBorders>
          </w:tcPr>
          <w:p w14:paraId="46BF390C" w14:textId="77777777" w:rsidR="004F338F" w:rsidRPr="00C5744E" w:rsidRDefault="004F338F" w:rsidP="00F9765C">
            <w:pPr>
              <w:jc w:val="center"/>
            </w:pPr>
            <w:r w:rsidRPr="00C5744E">
              <w:t>-</w:t>
            </w:r>
          </w:p>
        </w:tc>
        <w:tc>
          <w:tcPr>
            <w:tcW w:w="2693" w:type="dxa"/>
            <w:tcBorders>
              <w:top w:val="nil"/>
              <w:bottom w:val="nil"/>
            </w:tcBorders>
          </w:tcPr>
          <w:p w14:paraId="30FC6551" w14:textId="77777777" w:rsidR="004F338F" w:rsidRPr="00C5744E" w:rsidRDefault="004F338F" w:rsidP="00F9765C">
            <w:pPr>
              <w:jc w:val="center"/>
            </w:pPr>
            <w:r w:rsidRPr="00C5744E">
              <w:t>Yes</w:t>
            </w:r>
          </w:p>
        </w:tc>
      </w:tr>
      <w:tr w:rsidR="004F338F" w:rsidRPr="00C5744E" w14:paraId="278D1F97" w14:textId="77777777" w:rsidTr="00F9765C">
        <w:tc>
          <w:tcPr>
            <w:tcW w:w="3369" w:type="dxa"/>
            <w:tcBorders>
              <w:top w:val="nil"/>
              <w:bottom w:val="single" w:sz="4" w:space="0" w:color="auto"/>
            </w:tcBorders>
          </w:tcPr>
          <w:p w14:paraId="4C7BA628" w14:textId="77777777" w:rsidR="004F338F" w:rsidRPr="00C5744E" w:rsidRDefault="004F338F" w:rsidP="00F9765C">
            <w:r w:rsidRPr="00C5744E">
              <w:t>Wald</w:t>
            </w:r>
          </w:p>
        </w:tc>
        <w:tc>
          <w:tcPr>
            <w:tcW w:w="2693" w:type="dxa"/>
            <w:tcBorders>
              <w:top w:val="nil"/>
              <w:bottom w:val="single" w:sz="4" w:space="0" w:color="auto"/>
            </w:tcBorders>
          </w:tcPr>
          <w:p w14:paraId="3EA226F8" w14:textId="77777777" w:rsidR="004F338F" w:rsidRPr="00C5744E" w:rsidRDefault="004F338F" w:rsidP="00F9765C">
            <w:pPr>
              <w:jc w:val="center"/>
              <w:rPr>
                <w:b/>
              </w:rPr>
            </w:pPr>
          </w:p>
        </w:tc>
        <w:tc>
          <w:tcPr>
            <w:tcW w:w="2693" w:type="dxa"/>
            <w:tcBorders>
              <w:top w:val="nil"/>
              <w:bottom w:val="single" w:sz="4" w:space="0" w:color="auto"/>
            </w:tcBorders>
          </w:tcPr>
          <w:p w14:paraId="6DBDDB26" w14:textId="77777777" w:rsidR="004F338F" w:rsidRPr="00C5744E" w:rsidRDefault="004F338F" w:rsidP="00F9765C">
            <w:pPr>
              <w:jc w:val="center"/>
            </w:pPr>
            <w:r w:rsidRPr="00C5744E">
              <w:t>1169.38**</w:t>
            </w:r>
          </w:p>
        </w:tc>
      </w:tr>
      <w:tr w:rsidR="004F338F" w:rsidRPr="00C5744E" w14:paraId="082348F7" w14:textId="77777777" w:rsidTr="00F9765C">
        <w:tc>
          <w:tcPr>
            <w:tcW w:w="3369" w:type="dxa"/>
            <w:tcBorders>
              <w:top w:val="single" w:sz="4" w:space="0" w:color="auto"/>
              <w:bottom w:val="nil"/>
            </w:tcBorders>
          </w:tcPr>
          <w:p w14:paraId="6C01B526" w14:textId="77777777" w:rsidR="004F338F" w:rsidRPr="00C5744E" w:rsidRDefault="004F338F" w:rsidP="00F9765C">
            <w:pPr>
              <w:rPr>
                <w:i/>
              </w:rPr>
            </w:pPr>
            <w:r w:rsidRPr="00C5744E">
              <w:rPr>
                <w:i/>
              </w:rPr>
              <w:t xml:space="preserve">F </w:t>
            </w:r>
          </w:p>
        </w:tc>
        <w:tc>
          <w:tcPr>
            <w:tcW w:w="2693" w:type="dxa"/>
            <w:tcBorders>
              <w:top w:val="single" w:sz="4" w:space="0" w:color="auto"/>
              <w:bottom w:val="nil"/>
            </w:tcBorders>
          </w:tcPr>
          <w:p w14:paraId="188F7615" w14:textId="77777777" w:rsidR="004F338F" w:rsidRPr="00C5744E" w:rsidRDefault="004F338F" w:rsidP="00F9765C">
            <w:pPr>
              <w:jc w:val="center"/>
            </w:pPr>
            <w:r w:rsidRPr="00C5744E">
              <w:t>-</w:t>
            </w:r>
          </w:p>
        </w:tc>
        <w:tc>
          <w:tcPr>
            <w:tcW w:w="2693" w:type="dxa"/>
            <w:tcBorders>
              <w:top w:val="single" w:sz="4" w:space="0" w:color="auto"/>
              <w:bottom w:val="nil"/>
            </w:tcBorders>
          </w:tcPr>
          <w:p w14:paraId="52B1C018" w14:textId="77777777" w:rsidR="004F338F" w:rsidRPr="00C5744E" w:rsidRDefault="004F338F" w:rsidP="00F9765C">
            <w:pPr>
              <w:jc w:val="center"/>
            </w:pPr>
            <w:r w:rsidRPr="00C5744E">
              <w:t>19.37**</w:t>
            </w:r>
          </w:p>
        </w:tc>
      </w:tr>
      <w:tr w:rsidR="004F338F" w:rsidRPr="00C5744E" w14:paraId="2DA3A9C6" w14:textId="77777777" w:rsidTr="00F9765C">
        <w:tc>
          <w:tcPr>
            <w:tcW w:w="3369" w:type="dxa"/>
            <w:tcBorders>
              <w:top w:val="nil"/>
              <w:bottom w:val="nil"/>
            </w:tcBorders>
          </w:tcPr>
          <w:p w14:paraId="4CB2E2F4" w14:textId="77777777" w:rsidR="004F338F" w:rsidRPr="00C5744E" w:rsidRDefault="004F338F" w:rsidP="00F9765C">
            <w:r w:rsidRPr="00C5744E">
              <w:t xml:space="preserve">Durbin (score, </w:t>
            </w:r>
            <w:r w:rsidRPr="00C5744E">
              <w:rPr>
                <w:i/>
              </w:rPr>
              <w:t>Chi</w:t>
            </w:r>
            <w:r w:rsidRPr="00C5744E">
              <w:t>)</w:t>
            </w:r>
          </w:p>
        </w:tc>
        <w:tc>
          <w:tcPr>
            <w:tcW w:w="2693" w:type="dxa"/>
            <w:tcBorders>
              <w:top w:val="nil"/>
              <w:bottom w:val="nil"/>
            </w:tcBorders>
          </w:tcPr>
          <w:p w14:paraId="05B97F77" w14:textId="77777777" w:rsidR="004F338F" w:rsidRPr="00C5744E" w:rsidRDefault="004F338F" w:rsidP="00F9765C">
            <w:pPr>
              <w:jc w:val="center"/>
            </w:pPr>
            <w:r w:rsidRPr="00C5744E">
              <w:t>-</w:t>
            </w:r>
          </w:p>
        </w:tc>
        <w:tc>
          <w:tcPr>
            <w:tcW w:w="2693" w:type="dxa"/>
            <w:tcBorders>
              <w:top w:val="nil"/>
              <w:bottom w:val="nil"/>
            </w:tcBorders>
          </w:tcPr>
          <w:p w14:paraId="385B9D05" w14:textId="77777777" w:rsidR="004F338F" w:rsidRPr="00C5744E" w:rsidRDefault="004F338F" w:rsidP="00F9765C">
            <w:pPr>
              <w:jc w:val="center"/>
            </w:pPr>
            <w:r w:rsidRPr="00C5744E">
              <w:t>4.540**</w:t>
            </w:r>
          </w:p>
        </w:tc>
      </w:tr>
      <w:tr w:rsidR="004F338F" w:rsidRPr="00C5744E" w14:paraId="180D9DE9" w14:textId="77777777" w:rsidTr="00F9765C">
        <w:tc>
          <w:tcPr>
            <w:tcW w:w="3369" w:type="dxa"/>
            <w:tcBorders>
              <w:top w:val="nil"/>
              <w:bottom w:val="nil"/>
            </w:tcBorders>
          </w:tcPr>
          <w:p w14:paraId="7AB4EC6A" w14:textId="77777777" w:rsidR="004F338F" w:rsidRPr="00C5744E" w:rsidRDefault="004F338F" w:rsidP="00F9765C">
            <w:pPr>
              <w:rPr>
                <w:b/>
              </w:rPr>
            </w:pPr>
            <w:r w:rsidRPr="00C5744E">
              <w:t>Wu-Hausman (</w:t>
            </w:r>
            <w:r w:rsidRPr="00C5744E">
              <w:rPr>
                <w:i/>
              </w:rPr>
              <w:t>F</w:t>
            </w:r>
            <w:r w:rsidRPr="00C5744E">
              <w:t>)</w:t>
            </w:r>
          </w:p>
        </w:tc>
        <w:tc>
          <w:tcPr>
            <w:tcW w:w="2693" w:type="dxa"/>
            <w:tcBorders>
              <w:top w:val="nil"/>
              <w:bottom w:val="nil"/>
            </w:tcBorders>
          </w:tcPr>
          <w:p w14:paraId="09DE9666" w14:textId="77777777" w:rsidR="004F338F" w:rsidRPr="00C5744E" w:rsidRDefault="004F338F" w:rsidP="00F9765C">
            <w:pPr>
              <w:jc w:val="center"/>
            </w:pPr>
            <w:r w:rsidRPr="00C5744E">
              <w:t>-</w:t>
            </w:r>
          </w:p>
        </w:tc>
        <w:tc>
          <w:tcPr>
            <w:tcW w:w="2693" w:type="dxa"/>
            <w:tcBorders>
              <w:top w:val="nil"/>
              <w:bottom w:val="nil"/>
            </w:tcBorders>
          </w:tcPr>
          <w:p w14:paraId="3B3C6C25" w14:textId="77777777" w:rsidR="004F338F" w:rsidRPr="00C5744E" w:rsidRDefault="004F338F" w:rsidP="00F9765C">
            <w:pPr>
              <w:jc w:val="center"/>
            </w:pPr>
            <w:r w:rsidRPr="00C5744E">
              <w:t>4.544**</w:t>
            </w:r>
          </w:p>
        </w:tc>
      </w:tr>
      <w:tr w:rsidR="004F338F" w:rsidRPr="00C5744E" w14:paraId="221316E0" w14:textId="77777777" w:rsidTr="00F9765C">
        <w:tc>
          <w:tcPr>
            <w:tcW w:w="3369" w:type="dxa"/>
            <w:tcBorders>
              <w:top w:val="nil"/>
              <w:bottom w:val="nil"/>
            </w:tcBorders>
          </w:tcPr>
          <w:p w14:paraId="5D6FBEA5" w14:textId="77777777" w:rsidR="004F338F" w:rsidRPr="00C5744E" w:rsidRDefault="004F338F" w:rsidP="00F9765C">
            <w:r w:rsidRPr="00C5744E">
              <w:t>Cragg-Donald</w:t>
            </w:r>
          </w:p>
        </w:tc>
        <w:tc>
          <w:tcPr>
            <w:tcW w:w="2693" w:type="dxa"/>
            <w:tcBorders>
              <w:top w:val="nil"/>
              <w:bottom w:val="nil"/>
            </w:tcBorders>
          </w:tcPr>
          <w:p w14:paraId="22F1B954" w14:textId="77777777" w:rsidR="004F338F" w:rsidRPr="00C5744E" w:rsidRDefault="004F338F" w:rsidP="00F9765C">
            <w:pPr>
              <w:jc w:val="center"/>
            </w:pPr>
            <w:r w:rsidRPr="00C5744E">
              <w:t>-</w:t>
            </w:r>
          </w:p>
        </w:tc>
        <w:tc>
          <w:tcPr>
            <w:tcW w:w="2693" w:type="dxa"/>
            <w:tcBorders>
              <w:top w:val="nil"/>
              <w:bottom w:val="nil"/>
            </w:tcBorders>
          </w:tcPr>
          <w:p w14:paraId="2E5F88E2" w14:textId="77777777" w:rsidR="004F338F" w:rsidRPr="00C5744E" w:rsidRDefault="004F338F" w:rsidP="00F9765C">
            <w:pPr>
              <w:jc w:val="center"/>
            </w:pPr>
            <w:r w:rsidRPr="00C5744E">
              <w:t>26.296**</w:t>
            </w:r>
          </w:p>
        </w:tc>
      </w:tr>
      <w:tr w:rsidR="004F338F" w:rsidRPr="00C5744E" w14:paraId="10658DCE" w14:textId="77777777" w:rsidTr="00F9765C">
        <w:tc>
          <w:tcPr>
            <w:tcW w:w="3369" w:type="dxa"/>
            <w:tcBorders>
              <w:top w:val="nil"/>
              <w:bottom w:val="single" w:sz="4" w:space="0" w:color="auto"/>
            </w:tcBorders>
          </w:tcPr>
          <w:p w14:paraId="516161DF" w14:textId="77777777" w:rsidR="004F338F" w:rsidRPr="00C5744E" w:rsidRDefault="004F338F" w:rsidP="00F9765C">
            <w:r w:rsidRPr="00C5744E">
              <w:t>AR robust</w:t>
            </w:r>
          </w:p>
        </w:tc>
        <w:tc>
          <w:tcPr>
            <w:tcW w:w="2693" w:type="dxa"/>
            <w:tcBorders>
              <w:top w:val="nil"/>
              <w:bottom w:val="single" w:sz="4" w:space="0" w:color="auto"/>
            </w:tcBorders>
          </w:tcPr>
          <w:p w14:paraId="1FF48154" w14:textId="77777777" w:rsidR="004F338F" w:rsidRPr="00C5744E" w:rsidRDefault="004F338F" w:rsidP="00F9765C">
            <w:pPr>
              <w:jc w:val="center"/>
            </w:pPr>
            <w:r w:rsidRPr="00C5744E">
              <w:t>-</w:t>
            </w:r>
          </w:p>
        </w:tc>
        <w:tc>
          <w:tcPr>
            <w:tcW w:w="2693" w:type="dxa"/>
            <w:tcBorders>
              <w:top w:val="nil"/>
              <w:bottom w:val="single" w:sz="4" w:space="0" w:color="auto"/>
            </w:tcBorders>
          </w:tcPr>
          <w:p w14:paraId="02123AC7" w14:textId="77777777" w:rsidR="004F338F" w:rsidRPr="00C5744E" w:rsidRDefault="004F338F" w:rsidP="00F9765C">
            <w:pPr>
              <w:jc w:val="center"/>
            </w:pPr>
            <w:r w:rsidRPr="00C5744E">
              <w:t>4.95**</w:t>
            </w:r>
          </w:p>
        </w:tc>
      </w:tr>
      <w:tr w:rsidR="004F338F" w:rsidRPr="00C5744E" w14:paraId="035691E4" w14:textId="77777777" w:rsidTr="00F9765C">
        <w:tc>
          <w:tcPr>
            <w:tcW w:w="3369" w:type="dxa"/>
            <w:tcBorders>
              <w:top w:val="nil"/>
              <w:bottom w:val="single" w:sz="4" w:space="0" w:color="auto"/>
            </w:tcBorders>
          </w:tcPr>
          <w:p w14:paraId="22FDE371" w14:textId="77777777" w:rsidR="004F338F" w:rsidRPr="00C5744E" w:rsidRDefault="004F338F" w:rsidP="00F9765C">
            <w:r w:rsidRPr="00C5744E">
              <w:t>Observations</w:t>
            </w:r>
          </w:p>
        </w:tc>
        <w:tc>
          <w:tcPr>
            <w:tcW w:w="2693" w:type="dxa"/>
            <w:tcBorders>
              <w:top w:val="nil"/>
              <w:bottom w:val="single" w:sz="4" w:space="0" w:color="auto"/>
            </w:tcBorders>
          </w:tcPr>
          <w:p w14:paraId="010B3B19" w14:textId="77777777" w:rsidR="004F338F" w:rsidRPr="00C5744E" w:rsidRDefault="004F338F" w:rsidP="00F9765C">
            <w:pPr>
              <w:jc w:val="center"/>
            </w:pPr>
            <w:r w:rsidRPr="00C5744E">
              <w:t>14,033</w:t>
            </w:r>
          </w:p>
        </w:tc>
        <w:tc>
          <w:tcPr>
            <w:tcW w:w="2693" w:type="dxa"/>
            <w:tcBorders>
              <w:top w:val="nil"/>
              <w:bottom w:val="single" w:sz="4" w:space="0" w:color="auto"/>
            </w:tcBorders>
          </w:tcPr>
          <w:p w14:paraId="26E6E7C7" w14:textId="77777777" w:rsidR="004F338F" w:rsidRPr="00C5744E" w:rsidRDefault="004F338F" w:rsidP="00F9765C">
            <w:pPr>
              <w:jc w:val="center"/>
            </w:pPr>
            <w:r w:rsidRPr="00C5744E">
              <w:t>14,033</w:t>
            </w:r>
          </w:p>
        </w:tc>
      </w:tr>
    </w:tbl>
    <w:p w14:paraId="2B279994" w14:textId="77777777" w:rsidR="004F338F" w:rsidRPr="00C5744E" w:rsidRDefault="004F338F" w:rsidP="004F338F">
      <w:pPr>
        <w:rPr>
          <w:sz w:val="20"/>
          <w:lang w:val="en-US"/>
        </w:rPr>
      </w:pPr>
      <w:r w:rsidRPr="00C5744E">
        <w:rPr>
          <w:sz w:val="20"/>
          <w:lang w:val="en-US"/>
        </w:rPr>
        <w:t xml:space="preserve">Obs.: Robust standardized error in parenthesis. ** p &lt; 0.05, * p &lt; 0.1. Controls includes all the variables </w:t>
      </w:r>
    </w:p>
    <w:p w14:paraId="293B985F" w14:textId="77777777" w:rsidR="004F338F" w:rsidRPr="00C5744E" w:rsidRDefault="004F338F" w:rsidP="004F338F">
      <w:pPr>
        <w:rPr>
          <w:sz w:val="20"/>
          <w:lang w:val="en-US"/>
        </w:rPr>
      </w:pPr>
      <w:r w:rsidRPr="00C5744E">
        <w:rPr>
          <w:sz w:val="20"/>
          <w:lang w:val="en-US"/>
        </w:rPr>
        <w:t>presented in Table 3. The instrumented variable is the number of siblings (“Children”) and the excluded instrument is an indicator of having the first two children of the same sex (“Same-sex”).</w:t>
      </w:r>
    </w:p>
    <w:p w14:paraId="6E514F49" w14:textId="77777777" w:rsidR="004F338F" w:rsidRPr="00C5744E" w:rsidRDefault="004F338F" w:rsidP="004F338F">
      <w:pPr>
        <w:rPr>
          <w:lang w:val="en-US"/>
        </w:rPr>
      </w:pPr>
    </w:p>
    <w:p w14:paraId="405B92C0" w14:textId="77777777" w:rsidR="004F338F" w:rsidRPr="00C5744E" w:rsidRDefault="004F338F" w:rsidP="004F338F">
      <w:pPr>
        <w:rPr>
          <w:b/>
          <w:lang w:val="en-US"/>
        </w:rPr>
      </w:pPr>
      <w:r w:rsidRPr="00C5744E">
        <w:rPr>
          <w:b/>
          <w:lang w:val="en-US"/>
        </w:rPr>
        <w:t xml:space="preserve">5.3 Robustness checks </w:t>
      </w:r>
    </w:p>
    <w:p w14:paraId="1419AF49" w14:textId="77777777" w:rsidR="004F338F" w:rsidRDefault="004F338F" w:rsidP="004F338F">
      <w:pPr>
        <w:jc w:val="both"/>
        <w:rPr>
          <w:szCs w:val="20"/>
          <w:lang w:val="en-US"/>
        </w:rPr>
      </w:pPr>
      <w:r w:rsidRPr="00C5744E">
        <w:rPr>
          <w:szCs w:val="20"/>
          <w:lang w:val="en-US"/>
        </w:rPr>
        <w:tab/>
      </w:r>
    </w:p>
    <w:p w14:paraId="38664DB3" w14:textId="77777777" w:rsidR="004F338F" w:rsidRPr="00C5744E" w:rsidRDefault="004F338F" w:rsidP="004F338F">
      <w:pPr>
        <w:ind w:firstLine="708"/>
        <w:jc w:val="both"/>
        <w:rPr>
          <w:szCs w:val="20"/>
          <w:lang w:val="en-US"/>
        </w:rPr>
      </w:pPr>
      <w:r w:rsidRPr="00C5744E">
        <w:rPr>
          <w:szCs w:val="20"/>
          <w:lang w:val="en-US"/>
        </w:rPr>
        <w:t>We now consider two kinds of robustness checks for the above results. First, by assuming a specific distribution for the error component of equation (2) and (3) (Normal distribution), we obtain evidence of the impact of the number of children on the household head’s commuting time by implementing two different IV-probit approaches. As highlighted by Angrist and Pristich (2009), this implies using more restrictive approaches once an additional hypothesis is assumed. Nevertheless, it is useful here just to test if our base line results are not specifically associated with the specific econometric model we used to get it. The second kind of test relies on considering specific subsamples and additional control variable. The idea if to verify is our results are due to the influence or presence of families with specific characteristics.</w:t>
      </w:r>
    </w:p>
    <w:p w14:paraId="47BF9F1F" w14:textId="77777777" w:rsidR="004F338F" w:rsidRPr="00C5744E" w:rsidRDefault="004F338F" w:rsidP="004F338F">
      <w:pPr>
        <w:jc w:val="both"/>
        <w:rPr>
          <w:szCs w:val="20"/>
          <w:lang w:val="en-US"/>
        </w:rPr>
      </w:pPr>
      <w:r>
        <w:rPr>
          <w:szCs w:val="20"/>
          <w:lang w:val="en-US"/>
        </w:rPr>
        <w:tab/>
        <w:t>In the following Table 6</w:t>
      </w:r>
      <w:r w:rsidRPr="00C5744E">
        <w:rPr>
          <w:szCs w:val="20"/>
          <w:lang w:val="en-US"/>
        </w:rPr>
        <w:t xml:space="preserve"> we present our estimative for two different approaches using IV-Probit estimator considering as dependent variable an indicator for household head’s commuting time longer than 30 minutes (the same as before). The results in column (1) shows the results obtained by ML estimator when </w:t>
      </w:r>
      <w:r w:rsidRPr="00C5744E">
        <w:rPr>
          <w:lang w:val="en-US"/>
        </w:rPr>
        <w:t>the parameters of the relation between the endogenous regressor and the instruments are estimated jointly with the parameters of the probit model. On the other hand, the results in column (2) are</w:t>
      </w:r>
      <w:r w:rsidRPr="00C5744E">
        <w:rPr>
          <w:szCs w:val="20"/>
          <w:lang w:val="en-US"/>
        </w:rPr>
        <w:t xml:space="preserve"> obtained by using </w:t>
      </w:r>
      <w:r w:rsidRPr="00C5744E">
        <w:rPr>
          <w:lang w:val="en-US"/>
        </w:rPr>
        <w:t>Newey’s (1987) minimum chi-squared estimator that is based on Rivers and Vuong’s (1988) two-step estimator, which tends to be less inefficient than the ML estimator</w:t>
      </w:r>
      <w:r w:rsidRPr="00C5744E">
        <w:rPr>
          <w:rStyle w:val="FootnoteReference"/>
          <w:lang w:val="en-US"/>
        </w:rPr>
        <w:footnoteReference w:id="2"/>
      </w:r>
      <w:r w:rsidRPr="00C5744E">
        <w:rPr>
          <w:lang w:val="en-US"/>
        </w:rPr>
        <w:t>.</w:t>
      </w:r>
      <w:r w:rsidRPr="00C5744E">
        <w:rPr>
          <w:szCs w:val="20"/>
          <w:lang w:val="en-US"/>
        </w:rPr>
        <w:t xml:space="preserve">  </w:t>
      </w:r>
    </w:p>
    <w:p w14:paraId="1D4852F6" w14:textId="77777777" w:rsidR="004F338F" w:rsidRPr="00C5744E" w:rsidRDefault="004F338F" w:rsidP="004F338F">
      <w:pPr>
        <w:jc w:val="both"/>
        <w:rPr>
          <w:szCs w:val="20"/>
          <w:lang w:val="en-US"/>
        </w:rPr>
      </w:pPr>
      <w:r w:rsidRPr="00C5744E">
        <w:rPr>
          <w:szCs w:val="20"/>
          <w:lang w:val="en-US"/>
        </w:rPr>
        <w:tab/>
        <w:t>The estimated coefficient obtained using the two approaches are not immediately comparable, once the second approach provides an estimative normalized by the conditional variance of error term, but both estimated associated with number of children indicate a positive effect of it on the probability of a household head to spend more than 30 minutes of commuting time. In column (1), for example, we get an increase on this probability about 52.2 perceptual points, an effect much higher than the previous one obtained using 2SLS-IV estimator. Note that, based on the Wald statistic, in both cases we also reject the null hypothesis of the exogeneity of the instrumented variable and the null hypothesis of non-effect of the instrumented variable on the household head’s probability of a longer commuting time when using a weak instrument robust statistic. Thus, this set of evidence indicates that previous result qualitatively continuous valid when using traditional models for discrete dependent variable.</w:t>
      </w:r>
    </w:p>
    <w:p w14:paraId="7AA37404" w14:textId="77777777" w:rsidR="004F338F" w:rsidRPr="00C5744E" w:rsidRDefault="004F338F" w:rsidP="004F338F">
      <w:pPr>
        <w:rPr>
          <w:b/>
          <w:lang w:val="en-US"/>
        </w:rPr>
      </w:pPr>
    </w:p>
    <w:p w14:paraId="6BA6B6AF" w14:textId="77777777" w:rsidR="004F338F" w:rsidRPr="00C5744E" w:rsidRDefault="004F338F" w:rsidP="004F338F">
      <w:pPr>
        <w:rPr>
          <w:b/>
          <w:lang w:val="en-US"/>
        </w:rPr>
      </w:pPr>
      <w:r>
        <w:rPr>
          <w:b/>
          <w:lang w:val="en-US"/>
        </w:rPr>
        <w:t>Table 6</w:t>
      </w:r>
      <w:r w:rsidRPr="00C5744E">
        <w:rPr>
          <w:b/>
          <w:lang w:val="en-US"/>
        </w:rPr>
        <w:t xml:space="preserve"> - The influence of the number of children on the household head’s commuting time – Brazilian cities – IV estimative – Robustness checks I: different IV estimators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081"/>
        <w:gridCol w:w="2697"/>
        <w:gridCol w:w="2694"/>
      </w:tblGrid>
      <w:tr w:rsidR="004F338F" w:rsidRPr="00C5744E" w14:paraId="75ABECBE" w14:textId="77777777" w:rsidTr="00F9765C">
        <w:tc>
          <w:tcPr>
            <w:tcW w:w="3081" w:type="dxa"/>
            <w:tcBorders>
              <w:top w:val="single" w:sz="4" w:space="0" w:color="auto"/>
              <w:bottom w:val="single" w:sz="4" w:space="0" w:color="auto"/>
            </w:tcBorders>
          </w:tcPr>
          <w:p w14:paraId="75BB53E1" w14:textId="77777777" w:rsidR="004F338F" w:rsidRPr="00C5744E" w:rsidRDefault="004F338F" w:rsidP="00F9765C">
            <w:pPr>
              <w:rPr>
                <w:i/>
              </w:rPr>
            </w:pPr>
          </w:p>
        </w:tc>
        <w:tc>
          <w:tcPr>
            <w:tcW w:w="2697" w:type="dxa"/>
            <w:tcBorders>
              <w:top w:val="single" w:sz="4" w:space="0" w:color="auto"/>
              <w:bottom w:val="single" w:sz="4" w:space="0" w:color="auto"/>
            </w:tcBorders>
          </w:tcPr>
          <w:p w14:paraId="2E8DC5C4" w14:textId="77777777" w:rsidR="004F338F" w:rsidRPr="00C5744E" w:rsidRDefault="004F338F" w:rsidP="00F9765C">
            <w:pPr>
              <w:jc w:val="center"/>
              <w:rPr>
                <w:b/>
              </w:rPr>
            </w:pPr>
            <w:r w:rsidRPr="00C5744E">
              <w:rPr>
                <w:b/>
              </w:rPr>
              <w:t>IV-Probit</w:t>
            </w:r>
          </w:p>
          <w:p w14:paraId="0FE8C0C1" w14:textId="77777777" w:rsidR="004F338F" w:rsidRPr="00C5744E" w:rsidRDefault="004F338F" w:rsidP="00F9765C">
            <w:pPr>
              <w:jc w:val="center"/>
              <w:rPr>
                <w:b/>
              </w:rPr>
            </w:pPr>
            <w:r w:rsidRPr="00C5744E">
              <w:rPr>
                <w:b/>
              </w:rPr>
              <w:t>(1)</w:t>
            </w:r>
          </w:p>
        </w:tc>
        <w:tc>
          <w:tcPr>
            <w:tcW w:w="2694" w:type="dxa"/>
            <w:tcBorders>
              <w:top w:val="single" w:sz="4" w:space="0" w:color="auto"/>
              <w:bottom w:val="single" w:sz="4" w:space="0" w:color="auto"/>
            </w:tcBorders>
            <w:vAlign w:val="bottom"/>
          </w:tcPr>
          <w:p w14:paraId="6F3769B4" w14:textId="77777777" w:rsidR="004F338F" w:rsidRPr="00C5744E" w:rsidRDefault="004F338F" w:rsidP="00F9765C">
            <w:pPr>
              <w:jc w:val="center"/>
              <w:rPr>
                <w:b/>
              </w:rPr>
            </w:pPr>
            <w:r w:rsidRPr="00C5744E">
              <w:rPr>
                <w:b/>
              </w:rPr>
              <w:t>2S-IV-Probit</w:t>
            </w:r>
          </w:p>
          <w:p w14:paraId="3BDF0412" w14:textId="77777777" w:rsidR="004F338F" w:rsidRPr="00C5744E" w:rsidRDefault="004F338F" w:rsidP="00F9765C">
            <w:pPr>
              <w:jc w:val="center"/>
              <w:rPr>
                <w:b/>
              </w:rPr>
            </w:pPr>
            <w:r w:rsidRPr="00C5744E">
              <w:rPr>
                <w:b/>
              </w:rPr>
              <w:t>(2)</w:t>
            </w:r>
          </w:p>
        </w:tc>
      </w:tr>
      <w:tr w:rsidR="004F338F" w:rsidRPr="00C5744E" w14:paraId="71191932" w14:textId="77777777" w:rsidTr="00F9765C">
        <w:tc>
          <w:tcPr>
            <w:tcW w:w="3081" w:type="dxa"/>
            <w:tcBorders>
              <w:top w:val="single" w:sz="4" w:space="0" w:color="auto"/>
              <w:bottom w:val="nil"/>
            </w:tcBorders>
          </w:tcPr>
          <w:p w14:paraId="5FA63CCB" w14:textId="77777777" w:rsidR="004F338F" w:rsidRPr="00C5744E" w:rsidRDefault="004F338F" w:rsidP="00F9765C">
            <w:r w:rsidRPr="00C5744E">
              <w:t>Children</w:t>
            </w:r>
          </w:p>
        </w:tc>
        <w:tc>
          <w:tcPr>
            <w:tcW w:w="2697" w:type="dxa"/>
            <w:tcBorders>
              <w:top w:val="single" w:sz="4" w:space="0" w:color="auto"/>
              <w:bottom w:val="nil"/>
            </w:tcBorders>
          </w:tcPr>
          <w:p w14:paraId="077716AF" w14:textId="77777777" w:rsidR="004F338F" w:rsidRPr="00C5744E" w:rsidRDefault="004F338F" w:rsidP="00F9765C">
            <w:pPr>
              <w:jc w:val="center"/>
            </w:pPr>
            <w:r w:rsidRPr="00C5744E">
              <w:t>0.522**</w:t>
            </w:r>
          </w:p>
          <w:p w14:paraId="7EADF05E" w14:textId="77777777" w:rsidR="004F338F" w:rsidRPr="00C5744E" w:rsidRDefault="004F338F" w:rsidP="00F9765C">
            <w:pPr>
              <w:jc w:val="center"/>
              <w:rPr>
                <w:b/>
              </w:rPr>
            </w:pPr>
            <w:r w:rsidRPr="00C5744E">
              <w:t>(0.209)</w:t>
            </w:r>
          </w:p>
        </w:tc>
        <w:tc>
          <w:tcPr>
            <w:tcW w:w="2694" w:type="dxa"/>
            <w:tcBorders>
              <w:top w:val="single" w:sz="4" w:space="0" w:color="auto"/>
              <w:bottom w:val="nil"/>
            </w:tcBorders>
          </w:tcPr>
          <w:p w14:paraId="71EB3A36" w14:textId="77777777" w:rsidR="004F338F" w:rsidRPr="00C5744E" w:rsidRDefault="004F338F" w:rsidP="00F9765C">
            <w:pPr>
              <w:jc w:val="center"/>
            </w:pPr>
            <w:r w:rsidRPr="00C5744E">
              <w:t>0.589**</w:t>
            </w:r>
          </w:p>
          <w:p w14:paraId="68251164" w14:textId="77777777" w:rsidR="004F338F" w:rsidRPr="00C5744E" w:rsidRDefault="004F338F" w:rsidP="00F9765C">
            <w:pPr>
              <w:jc w:val="center"/>
              <w:rPr>
                <w:b/>
              </w:rPr>
            </w:pPr>
            <w:r w:rsidRPr="00C5744E">
              <w:t>(0.107)</w:t>
            </w:r>
          </w:p>
        </w:tc>
      </w:tr>
      <w:tr w:rsidR="004F338F" w:rsidRPr="00C5744E" w14:paraId="25A0683C" w14:textId="77777777" w:rsidTr="00F9765C">
        <w:tc>
          <w:tcPr>
            <w:tcW w:w="3081" w:type="dxa"/>
            <w:tcBorders>
              <w:top w:val="nil"/>
              <w:bottom w:val="nil"/>
            </w:tcBorders>
          </w:tcPr>
          <w:p w14:paraId="6AE87445" w14:textId="77777777" w:rsidR="004F338F" w:rsidRPr="00C5744E" w:rsidRDefault="004F338F" w:rsidP="00F9765C">
            <w:r w:rsidRPr="00C5744E">
              <w:t>Controls</w:t>
            </w:r>
          </w:p>
        </w:tc>
        <w:tc>
          <w:tcPr>
            <w:tcW w:w="2697" w:type="dxa"/>
            <w:tcBorders>
              <w:top w:val="nil"/>
              <w:bottom w:val="nil"/>
            </w:tcBorders>
          </w:tcPr>
          <w:p w14:paraId="72C1647D" w14:textId="77777777" w:rsidR="004F338F" w:rsidRPr="00C5744E" w:rsidRDefault="004F338F" w:rsidP="00F9765C">
            <w:pPr>
              <w:jc w:val="center"/>
            </w:pPr>
            <w:r w:rsidRPr="00C5744E">
              <w:t>Yes</w:t>
            </w:r>
          </w:p>
        </w:tc>
        <w:tc>
          <w:tcPr>
            <w:tcW w:w="2694" w:type="dxa"/>
            <w:tcBorders>
              <w:top w:val="nil"/>
              <w:bottom w:val="nil"/>
            </w:tcBorders>
          </w:tcPr>
          <w:p w14:paraId="0038FF22" w14:textId="77777777" w:rsidR="004F338F" w:rsidRPr="00C5744E" w:rsidRDefault="004F338F" w:rsidP="00F9765C">
            <w:pPr>
              <w:jc w:val="center"/>
            </w:pPr>
            <w:r w:rsidRPr="00C5744E">
              <w:t>Yes</w:t>
            </w:r>
          </w:p>
        </w:tc>
      </w:tr>
      <w:tr w:rsidR="004F338F" w:rsidRPr="00C5744E" w14:paraId="76EB784F" w14:textId="77777777" w:rsidTr="00F9765C">
        <w:tc>
          <w:tcPr>
            <w:tcW w:w="3081" w:type="dxa"/>
            <w:tcBorders>
              <w:top w:val="nil"/>
              <w:bottom w:val="single" w:sz="4" w:space="0" w:color="auto"/>
            </w:tcBorders>
          </w:tcPr>
          <w:p w14:paraId="15CB9813" w14:textId="77777777" w:rsidR="004F338F" w:rsidRPr="00C5744E" w:rsidRDefault="004F338F" w:rsidP="00F9765C">
            <w:r w:rsidRPr="00C5744E">
              <w:t>Wald</w:t>
            </w:r>
          </w:p>
        </w:tc>
        <w:tc>
          <w:tcPr>
            <w:tcW w:w="2697" w:type="dxa"/>
            <w:tcBorders>
              <w:top w:val="nil"/>
              <w:bottom w:val="single" w:sz="4" w:space="0" w:color="auto"/>
            </w:tcBorders>
          </w:tcPr>
          <w:p w14:paraId="3E95BD56" w14:textId="77777777" w:rsidR="004F338F" w:rsidRPr="00C5744E" w:rsidRDefault="004F338F" w:rsidP="00F9765C">
            <w:pPr>
              <w:jc w:val="center"/>
            </w:pPr>
            <w:r w:rsidRPr="00C5744E">
              <w:t>1472.97**</w:t>
            </w:r>
          </w:p>
        </w:tc>
        <w:tc>
          <w:tcPr>
            <w:tcW w:w="2694" w:type="dxa"/>
            <w:tcBorders>
              <w:top w:val="nil"/>
              <w:bottom w:val="single" w:sz="4" w:space="0" w:color="auto"/>
            </w:tcBorders>
          </w:tcPr>
          <w:p w14:paraId="118D5B12" w14:textId="77777777" w:rsidR="004F338F" w:rsidRPr="00C5744E" w:rsidRDefault="004F338F" w:rsidP="00F9765C">
            <w:pPr>
              <w:jc w:val="center"/>
            </w:pPr>
            <w:r w:rsidRPr="00C5744E">
              <w:t>914.53**</w:t>
            </w:r>
          </w:p>
        </w:tc>
      </w:tr>
      <w:tr w:rsidR="004F338F" w:rsidRPr="00C5744E" w14:paraId="75554AFA" w14:textId="77777777" w:rsidTr="00F9765C">
        <w:tc>
          <w:tcPr>
            <w:tcW w:w="3081" w:type="dxa"/>
            <w:tcBorders>
              <w:top w:val="single" w:sz="4" w:space="0" w:color="auto"/>
              <w:bottom w:val="nil"/>
            </w:tcBorders>
          </w:tcPr>
          <w:p w14:paraId="4273666F" w14:textId="77777777" w:rsidR="004F338F" w:rsidRPr="00C5744E" w:rsidRDefault="004F338F" w:rsidP="00F9765C">
            <w:pPr>
              <w:rPr>
                <w:i/>
              </w:rPr>
            </w:pPr>
            <w:r w:rsidRPr="00C5744E">
              <w:t>Wald (exogeneity)</w:t>
            </w:r>
          </w:p>
        </w:tc>
        <w:tc>
          <w:tcPr>
            <w:tcW w:w="2697" w:type="dxa"/>
            <w:tcBorders>
              <w:top w:val="single" w:sz="4" w:space="0" w:color="auto"/>
              <w:bottom w:val="nil"/>
            </w:tcBorders>
          </w:tcPr>
          <w:p w14:paraId="602D945A" w14:textId="77777777" w:rsidR="004F338F" w:rsidRPr="00C5744E" w:rsidRDefault="004F338F" w:rsidP="00F9765C">
            <w:pPr>
              <w:jc w:val="center"/>
            </w:pPr>
            <w:r w:rsidRPr="00C5744E">
              <w:t>4.02**</w:t>
            </w:r>
          </w:p>
        </w:tc>
        <w:tc>
          <w:tcPr>
            <w:tcW w:w="2694" w:type="dxa"/>
            <w:tcBorders>
              <w:top w:val="single" w:sz="4" w:space="0" w:color="auto"/>
              <w:bottom w:val="nil"/>
            </w:tcBorders>
          </w:tcPr>
          <w:p w14:paraId="4FA12D57" w14:textId="77777777" w:rsidR="004F338F" w:rsidRPr="00C5744E" w:rsidRDefault="004F338F" w:rsidP="00F9765C">
            <w:pPr>
              <w:jc w:val="center"/>
            </w:pPr>
            <w:r w:rsidRPr="00C5744E">
              <w:t>4.19**</w:t>
            </w:r>
          </w:p>
        </w:tc>
      </w:tr>
      <w:tr w:rsidR="004F338F" w:rsidRPr="00C5744E" w14:paraId="335FBB5B" w14:textId="77777777" w:rsidTr="00F9765C">
        <w:tc>
          <w:tcPr>
            <w:tcW w:w="3081" w:type="dxa"/>
            <w:tcBorders>
              <w:top w:val="nil"/>
              <w:bottom w:val="single" w:sz="4" w:space="0" w:color="auto"/>
            </w:tcBorders>
          </w:tcPr>
          <w:p w14:paraId="642A59FF" w14:textId="77777777" w:rsidR="004F338F" w:rsidRPr="00C5744E" w:rsidRDefault="004F338F" w:rsidP="00F9765C">
            <w:r w:rsidRPr="00C5744E">
              <w:t>AR robust</w:t>
            </w:r>
          </w:p>
        </w:tc>
        <w:tc>
          <w:tcPr>
            <w:tcW w:w="2697" w:type="dxa"/>
            <w:tcBorders>
              <w:top w:val="nil"/>
              <w:bottom w:val="single" w:sz="4" w:space="0" w:color="auto"/>
            </w:tcBorders>
          </w:tcPr>
          <w:p w14:paraId="47CB6B2C" w14:textId="77777777" w:rsidR="004F338F" w:rsidRPr="00C5744E" w:rsidRDefault="004F338F" w:rsidP="00F9765C">
            <w:pPr>
              <w:jc w:val="center"/>
            </w:pPr>
            <w:r w:rsidRPr="00C5744E">
              <w:t>4.56**</w:t>
            </w:r>
          </w:p>
        </w:tc>
        <w:tc>
          <w:tcPr>
            <w:tcW w:w="2694" w:type="dxa"/>
            <w:tcBorders>
              <w:top w:val="nil"/>
              <w:bottom w:val="single" w:sz="4" w:space="0" w:color="auto"/>
            </w:tcBorders>
          </w:tcPr>
          <w:p w14:paraId="61DB4129" w14:textId="77777777" w:rsidR="004F338F" w:rsidRPr="00C5744E" w:rsidRDefault="004F338F" w:rsidP="00F9765C">
            <w:pPr>
              <w:jc w:val="center"/>
            </w:pPr>
            <w:r w:rsidRPr="00C5744E">
              <w:t>4.56**</w:t>
            </w:r>
          </w:p>
        </w:tc>
      </w:tr>
      <w:tr w:rsidR="004F338F" w:rsidRPr="00C5744E" w14:paraId="6BB0FCC4" w14:textId="77777777" w:rsidTr="00F9765C">
        <w:tc>
          <w:tcPr>
            <w:tcW w:w="3081" w:type="dxa"/>
            <w:tcBorders>
              <w:top w:val="nil"/>
              <w:bottom w:val="single" w:sz="4" w:space="0" w:color="auto"/>
            </w:tcBorders>
          </w:tcPr>
          <w:p w14:paraId="7AA35664" w14:textId="77777777" w:rsidR="004F338F" w:rsidRPr="00C5744E" w:rsidRDefault="004F338F" w:rsidP="00F9765C">
            <w:r w:rsidRPr="00C5744E">
              <w:t>Observations</w:t>
            </w:r>
          </w:p>
        </w:tc>
        <w:tc>
          <w:tcPr>
            <w:tcW w:w="2697" w:type="dxa"/>
            <w:tcBorders>
              <w:top w:val="nil"/>
              <w:bottom w:val="single" w:sz="4" w:space="0" w:color="auto"/>
            </w:tcBorders>
          </w:tcPr>
          <w:p w14:paraId="67362D57" w14:textId="77777777" w:rsidR="004F338F" w:rsidRPr="00C5744E" w:rsidRDefault="004F338F" w:rsidP="00F9765C">
            <w:pPr>
              <w:jc w:val="center"/>
            </w:pPr>
            <w:r w:rsidRPr="00C5744E">
              <w:t>14,033</w:t>
            </w:r>
          </w:p>
        </w:tc>
        <w:tc>
          <w:tcPr>
            <w:tcW w:w="2694" w:type="dxa"/>
            <w:tcBorders>
              <w:top w:val="nil"/>
              <w:bottom w:val="single" w:sz="4" w:space="0" w:color="auto"/>
            </w:tcBorders>
          </w:tcPr>
          <w:p w14:paraId="24765BEB" w14:textId="77777777" w:rsidR="004F338F" w:rsidRPr="00C5744E" w:rsidRDefault="004F338F" w:rsidP="00F9765C">
            <w:pPr>
              <w:jc w:val="center"/>
            </w:pPr>
            <w:r w:rsidRPr="00C5744E">
              <w:t>14,033</w:t>
            </w:r>
          </w:p>
        </w:tc>
      </w:tr>
    </w:tbl>
    <w:p w14:paraId="7FDDE675" w14:textId="77777777" w:rsidR="004F338F" w:rsidRPr="00C5744E" w:rsidRDefault="004F338F" w:rsidP="004F338F">
      <w:pPr>
        <w:rPr>
          <w:sz w:val="20"/>
          <w:lang w:val="en-US"/>
        </w:rPr>
      </w:pPr>
      <w:r w:rsidRPr="00C5744E">
        <w:rPr>
          <w:sz w:val="20"/>
          <w:lang w:val="en-US"/>
        </w:rPr>
        <w:t xml:space="preserve">Obs.: Standardized error in parenthesis. ** p &lt; 0.05, * p &lt; 0.1. Controls includes all the variables </w:t>
      </w:r>
    </w:p>
    <w:p w14:paraId="7EDF0F0F" w14:textId="77777777" w:rsidR="004F338F" w:rsidRPr="00C5744E" w:rsidRDefault="004F338F" w:rsidP="004F338F">
      <w:pPr>
        <w:rPr>
          <w:b/>
          <w:lang w:val="en-US"/>
        </w:rPr>
      </w:pPr>
      <w:r w:rsidRPr="00C5744E">
        <w:rPr>
          <w:sz w:val="20"/>
          <w:lang w:val="en-US"/>
        </w:rPr>
        <w:t>presented in Table 3. The instrumented variable is the number of siblings (“Children”) and the excluded instrument is an indicator of having the first two children of the same sex (“Same-sex”).</w:t>
      </w:r>
    </w:p>
    <w:p w14:paraId="4E51BCB1" w14:textId="77777777" w:rsidR="004F338F" w:rsidRPr="00C5744E" w:rsidRDefault="004F338F" w:rsidP="004F338F">
      <w:pPr>
        <w:rPr>
          <w:b/>
          <w:lang w:val="en-US"/>
        </w:rPr>
      </w:pPr>
    </w:p>
    <w:p w14:paraId="30C0B116" w14:textId="77777777" w:rsidR="004F338F" w:rsidRPr="00C5744E" w:rsidRDefault="004F338F" w:rsidP="004F338F">
      <w:pPr>
        <w:jc w:val="both"/>
        <w:rPr>
          <w:lang w:val="en-US"/>
        </w:rPr>
      </w:pPr>
      <w:r w:rsidRPr="00C5744E">
        <w:rPr>
          <w:b/>
          <w:lang w:val="en-US"/>
        </w:rPr>
        <w:tab/>
      </w:r>
      <w:r w:rsidRPr="00C5744E">
        <w:rPr>
          <w:lang w:val="en-US"/>
        </w:rPr>
        <w:t>Now we investigate if the results of the previous sections can be attributed to the presence of particular kind of families. First, we consider the effects of car ownership and of residential ownership. Arguably, the number of children can affect the decision about to own or not a car and thus to affect the household head’s commuting time. Controlling for this channel provides additional evidence about the influence of the number of the children on household residential location in a broader scenario. On the other hand, we also expect that residence ownership reflects more long run locational decisions that are associated with structural factors, such as number of siblings of the family. Families that rent the housing service presents more facility of moving but they residence condition may reflect more short run factors, such as temporary job opportunities. These new results are presented in columns (1) a</w:t>
      </w:r>
      <w:r>
        <w:rPr>
          <w:lang w:val="en-US"/>
        </w:rPr>
        <w:t>nd (2), respectively, of Table 7</w:t>
      </w:r>
      <w:r w:rsidRPr="00C5744E">
        <w:rPr>
          <w:lang w:val="en-US"/>
        </w:rPr>
        <w:t>.</w:t>
      </w:r>
    </w:p>
    <w:p w14:paraId="6B566A36" w14:textId="77777777" w:rsidR="004F338F" w:rsidRPr="00C5744E" w:rsidRDefault="004F338F" w:rsidP="004F338F">
      <w:pPr>
        <w:ind w:firstLine="720"/>
        <w:jc w:val="both"/>
        <w:rPr>
          <w:lang w:val="en-US"/>
        </w:rPr>
      </w:pPr>
      <w:r w:rsidRPr="00C5744E">
        <w:rPr>
          <w:lang w:val="en-US"/>
        </w:rPr>
        <w:t>Second, due to their clear spatial location in Brazilian cities, we obtain additional evidence considering a sample of non-poor (or richer) families. As poor-families have many children and live in suburban locations of Brazilian cities, where residential infrastructure services conditions are much worse (Feitosa et al., 2007; Oliveira and Silveira Neto, 2015), this, as discussed before, could be a source of problem due to a spurious association between residential location (and so commuting time) and the number of children. In addition of using familiar income as control, our instrumental variable approach, how ever, is capable of ruling out this kind of influence. In order to make this point clearer, we provided specific evidence of the effect of the number of children on the household head’s probability of having a longer commuting time for two specific samples: a sample of residences with access to a complete set of infrastructure services (garbage regular collection, sewage, piped water,</w:t>
      </w:r>
      <w:r w:rsidRPr="00C5744E">
        <w:rPr>
          <w:sz w:val="20"/>
          <w:lang w:val="en-US"/>
        </w:rPr>
        <w:t xml:space="preserve"> </w:t>
      </w:r>
      <w:r w:rsidRPr="00C5744E">
        <w:rPr>
          <w:lang w:val="en-US"/>
        </w:rPr>
        <w:t>and brick walls) and a sample composed excluding the 25% poorest families (measure by per capita family income). These new results are presented, respectively, in columns (3) and (4) of Table 6.</w:t>
      </w:r>
    </w:p>
    <w:p w14:paraId="6D3595EC" w14:textId="77777777" w:rsidR="004F338F" w:rsidRPr="00C5744E" w:rsidRDefault="004F338F" w:rsidP="004F338F">
      <w:pPr>
        <w:ind w:firstLine="720"/>
        <w:jc w:val="both"/>
        <w:rPr>
          <w:lang w:val="en-US"/>
        </w:rPr>
      </w:pPr>
      <w:r w:rsidRPr="00C5744E">
        <w:rPr>
          <w:lang w:val="en-US"/>
        </w:rPr>
        <w:t>The results presented in column (1) of Table 1 indicate that controlling for car ownership does not affect the result obtained in the previous section. The new diagnostic tests for exogeneity and for weakness of the instrument also present similar results. In fact, the estimated coefficient for the number of children is practically the same with or without controlling for car ownership, which suggest that the effect of this family variable on the household head’s commuting time does not depend on the way the household head use to move from residence to job location. The results for residence ownership are presented in column (2) of Table 6 also look similar to the previous one. Note, however, that here we get a higher effect for the influence of the number of children on residential location (a 34.3% perceptual point effect on the probability of the household head’s present a longer commuting time). Consistent with previous expectations, this evidence suggests stronger adjustment to the number of children for this kind of families.</w:t>
      </w:r>
    </w:p>
    <w:p w14:paraId="3BC565C3" w14:textId="77777777" w:rsidR="004F338F" w:rsidRPr="00C5744E" w:rsidRDefault="004F338F" w:rsidP="004F338F">
      <w:pPr>
        <w:ind w:firstLine="720"/>
        <w:jc w:val="both"/>
        <w:rPr>
          <w:lang w:val="en-US"/>
        </w:rPr>
      </w:pPr>
      <w:r w:rsidRPr="00C5744E">
        <w:rPr>
          <w:lang w:val="en-US"/>
        </w:rPr>
        <w:t>Finally, the set of evidence fro</w:t>
      </w:r>
      <w:r>
        <w:rPr>
          <w:lang w:val="en-US"/>
        </w:rPr>
        <w:t>m columns (2) and (3) of Table 7</w:t>
      </w:r>
      <w:r w:rsidRPr="00C5744E">
        <w:rPr>
          <w:lang w:val="en-US"/>
        </w:rPr>
        <w:t xml:space="preserve"> indicates our previous results do not qualitatively change when considering residences with complete residential infrastructure services and richer families. In fact the new estimated coefficients for the influence of the number of children is a little higher, which is consistent with stronger locational arbitrage capacity of these families. More important, these new evidence confirm that our strategy ruled out spurious association between the number of children and household head’s commuting time that could arises from the poorest families (which tend to have more children) living in Brazilian cities’ periphery.</w:t>
      </w:r>
    </w:p>
    <w:p w14:paraId="1EDDBA64" w14:textId="77777777" w:rsidR="004F338F" w:rsidRPr="00C5744E" w:rsidRDefault="004F338F" w:rsidP="004F338F">
      <w:pPr>
        <w:ind w:firstLine="720"/>
        <w:jc w:val="both"/>
        <w:rPr>
          <w:lang w:val="en-US"/>
        </w:rPr>
      </w:pPr>
    </w:p>
    <w:p w14:paraId="3B444BEB" w14:textId="77777777" w:rsidR="004F338F" w:rsidRPr="00C5744E" w:rsidRDefault="004F338F" w:rsidP="004F338F">
      <w:pPr>
        <w:rPr>
          <w:b/>
          <w:lang w:val="en-US"/>
        </w:rPr>
      </w:pPr>
      <w:r>
        <w:rPr>
          <w:b/>
          <w:lang w:val="en-US"/>
        </w:rPr>
        <w:t>Table 7</w:t>
      </w:r>
      <w:r w:rsidRPr="00C5744E">
        <w:rPr>
          <w:b/>
          <w:lang w:val="en-US"/>
        </w:rPr>
        <w:t xml:space="preserve"> - The influence of the number of children on the household head’s commuting time – Brazilian cities – IV estimative – Robustness checks II: different controls or samples.</w:t>
      </w:r>
    </w:p>
    <w:tbl>
      <w:tblPr>
        <w:tblStyle w:val="TableGrid"/>
        <w:tblW w:w="8755" w:type="dxa"/>
        <w:tblBorders>
          <w:left w:val="none" w:sz="0" w:space="0" w:color="auto"/>
          <w:right w:val="none" w:sz="0" w:space="0" w:color="auto"/>
        </w:tblBorders>
        <w:tblLayout w:type="fixed"/>
        <w:tblLook w:val="04A0" w:firstRow="1" w:lastRow="0" w:firstColumn="1" w:lastColumn="0" w:noHBand="0" w:noVBand="1"/>
      </w:tblPr>
      <w:tblGrid>
        <w:gridCol w:w="2063"/>
        <w:gridCol w:w="1447"/>
        <w:gridCol w:w="1843"/>
        <w:gridCol w:w="1843"/>
        <w:gridCol w:w="1559"/>
      </w:tblGrid>
      <w:tr w:rsidR="004F338F" w:rsidRPr="00C5744E" w14:paraId="215DC223" w14:textId="77777777" w:rsidTr="00F9765C">
        <w:tc>
          <w:tcPr>
            <w:tcW w:w="2063" w:type="dxa"/>
            <w:tcBorders>
              <w:top w:val="single" w:sz="4" w:space="0" w:color="auto"/>
              <w:bottom w:val="single" w:sz="4" w:space="0" w:color="auto"/>
            </w:tcBorders>
          </w:tcPr>
          <w:p w14:paraId="46215C0C" w14:textId="77777777" w:rsidR="004F338F" w:rsidRPr="00C5744E" w:rsidRDefault="004F338F" w:rsidP="00F9765C">
            <w:pPr>
              <w:rPr>
                <w:i/>
              </w:rPr>
            </w:pPr>
          </w:p>
        </w:tc>
        <w:tc>
          <w:tcPr>
            <w:tcW w:w="1447" w:type="dxa"/>
            <w:tcBorders>
              <w:top w:val="single" w:sz="4" w:space="0" w:color="auto"/>
              <w:bottom w:val="single" w:sz="4" w:space="0" w:color="auto"/>
            </w:tcBorders>
          </w:tcPr>
          <w:p w14:paraId="08D524DC" w14:textId="77777777" w:rsidR="004F338F" w:rsidRPr="00C5744E" w:rsidRDefault="004F338F" w:rsidP="00F9765C">
            <w:pPr>
              <w:jc w:val="center"/>
              <w:rPr>
                <w:b/>
              </w:rPr>
            </w:pPr>
            <w:r w:rsidRPr="00C5744E">
              <w:rPr>
                <w:b/>
              </w:rPr>
              <w:t>Car</w:t>
            </w:r>
          </w:p>
          <w:p w14:paraId="73F3BFFF" w14:textId="77777777" w:rsidR="004F338F" w:rsidRPr="00C5744E" w:rsidRDefault="004F338F" w:rsidP="00F9765C">
            <w:pPr>
              <w:jc w:val="center"/>
              <w:rPr>
                <w:b/>
              </w:rPr>
            </w:pPr>
            <w:r w:rsidRPr="00C5744E">
              <w:rPr>
                <w:b/>
              </w:rPr>
              <w:t xml:space="preserve"> Ownership</w:t>
            </w:r>
          </w:p>
          <w:p w14:paraId="69197CB1" w14:textId="77777777" w:rsidR="004F338F" w:rsidRPr="00C5744E" w:rsidRDefault="004F338F" w:rsidP="00F9765C">
            <w:pPr>
              <w:jc w:val="center"/>
              <w:rPr>
                <w:b/>
              </w:rPr>
            </w:pPr>
            <w:r w:rsidRPr="00C5744E">
              <w:rPr>
                <w:b/>
              </w:rPr>
              <w:t>(1)</w:t>
            </w:r>
          </w:p>
        </w:tc>
        <w:tc>
          <w:tcPr>
            <w:tcW w:w="1843" w:type="dxa"/>
            <w:tcBorders>
              <w:top w:val="single" w:sz="4" w:space="0" w:color="auto"/>
              <w:bottom w:val="single" w:sz="4" w:space="0" w:color="auto"/>
            </w:tcBorders>
          </w:tcPr>
          <w:p w14:paraId="11D1713D" w14:textId="77777777" w:rsidR="004F338F" w:rsidRPr="00C5744E" w:rsidRDefault="004F338F" w:rsidP="00F9765C">
            <w:pPr>
              <w:jc w:val="center"/>
              <w:rPr>
                <w:b/>
              </w:rPr>
            </w:pPr>
            <w:r w:rsidRPr="00C5744E">
              <w:rPr>
                <w:b/>
              </w:rPr>
              <w:t>Residence Ownership</w:t>
            </w:r>
          </w:p>
          <w:p w14:paraId="2AF1E9F5" w14:textId="77777777" w:rsidR="004F338F" w:rsidRPr="00C5744E" w:rsidRDefault="004F338F" w:rsidP="00F9765C">
            <w:pPr>
              <w:jc w:val="center"/>
              <w:rPr>
                <w:b/>
              </w:rPr>
            </w:pPr>
            <w:r w:rsidRPr="00C5744E">
              <w:rPr>
                <w:b/>
              </w:rPr>
              <w:t>(2)</w:t>
            </w:r>
          </w:p>
        </w:tc>
        <w:tc>
          <w:tcPr>
            <w:tcW w:w="1843" w:type="dxa"/>
            <w:tcBorders>
              <w:top w:val="single" w:sz="4" w:space="0" w:color="auto"/>
              <w:bottom w:val="single" w:sz="4" w:space="0" w:color="auto"/>
            </w:tcBorders>
            <w:vAlign w:val="bottom"/>
          </w:tcPr>
          <w:p w14:paraId="1DA929B5" w14:textId="77777777" w:rsidR="004F338F" w:rsidRPr="00C5744E" w:rsidRDefault="004F338F" w:rsidP="00F9765C">
            <w:pPr>
              <w:jc w:val="center"/>
              <w:rPr>
                <w:b/>
              </w:rPr>
            </w:pPr>
            <w:r w:rsidRPr="00C5744E">
              <w:rPr>
                <w:b/>
              </w:rPr>
              <w:t>Complete Infrastructure</w:t>
            </w:r>
          </w:p>
          <w:p w14:paraId="7DB1C617" w14:textId="77777777" w:rsidR="004F338F" w:rsidRPr="00C5744E" w:rsidRDefault="004F338F" w:rsidP="00F9765C">
            <w:pPr>
              <w:jc w:val="center"/>
              <w:rPr>
                <w:b/>
              </w:rPr>
            </w:pPr>
            <w:r w:rsidRPr="00C5744E">
              <w:rPr>
                <w:b/>
              </w:rPr>
              <w:t>(3)</w:t>
            </w:r>
          </w:p>
        </w:tc>
        <w:tc>
          <w:tcPr>
            <w:tcW w:w="1559" w:type="dxa"/>
            <w:tcBorders>
              <w:top w:val="single" w:sz="4" w:space="0" w:color="auto"/>
              <w:bottom w:val="single" w:sz="4" w:space="0" w:color="auto"/>
            </w:tcBorders>
          </w:tcPr>
          <w:p w14:paraId="2809492F" w14:textId="77777777" w:rsidR="004F338F" w:rsidRPr="00C5744E" w:rsidRDefault="004F338F" w:rsidP="00F9765C">
            <w:pPr>
              <w:jc w:val="center"/>
              <w:rPr>
                <w:b/>
              </w:rPr>
            </w:pPr>
            <w:r w:rsidRPr="00C5744E">
              <w:rPr>
                <w:b/>
              </w:rPr>
              <w:t>Non-poor Families</w:t>
            </w:r>
          </w:p>
          <w:p w14:paraId="0749480D" w14:textId="77777777" w:rsidR="004F338F" w:rsidRPr="00C5744E" w:rsidRDefault="004F338F" w:rsidP="00F9765C">
            <w:pPr>
              <w:jc w:val="center"/>
              <w:rPr>
                <w:b/>
              </w:rPr>
            </w:pPr>
            <w:r w:rsidRPr="00C5744E">
              <w:rPr>
                <w:b/>
              </w:rPr>
              <w:t xml:space="preserve"> (4)</w:t>
            </w:r>
          </w:p>
        </w:tc>
      </w:tr>
      <w:tr w:rsidR="004F338F" w:rsidRPr="00C5744E" w14:paraId="5646C510" w14:textId="77777777" w:rsidTr="00F9765C">
        <w:tc>
          <w:tcPr>
            <w:tcW w:w="2063" w:type="dxa"/>
            <w:tcBorders>
              <w:top w:val="single" w:sz="4" w:space="0" w:color="auto"/>
              <w:bottom w:val="nil"/>
            </w:tcBorders>
          </w:tcPr>
          <w:p w14:paraId="24ED8106" w14:textId="77777777" w:rsidR="004F338F" w:rsidRPr="00C5744E" w:rsidRDefault="004F338F" w:rsidP="00F9765C">
            <w:r w:rsidRPr="00C5744E">
              <w:t>Children</w:t>
            </w:r>
          </w:p>
        </w:tc>
        <w:tc>
          <w:tcPr>
            <w:tcW w:w="1447" w:type="dxa"/>
            <w:tcBorders>
              <w:top w:val="single" w:sz="4" w:space="0" w:color="auto"/>
              <w:bottom w:val="nil"/>
            </w:tcBorders>
          </w:tcPr>
          <w:p w14:paraId="467B8185" w14:textId="77777777" w:rsidR="004F338F" w:rsidRPr="00C5744E" w:rsidRDefault="004F338F" w:rsidP="00F9765C">
            <w:pPr>
              <w:jc w:val="center"/>
            </w:pPr>
            <w:r w:rsidRPr="00C5744E">
              <w:t>0.230**</w:t>
            </w:r>
          </w:p>
          <w:p w14:paraId="0B24A9F4" w14:textId="77777777" w:rsidR="004F338F" w:rsidRPr="00C5744E" w:rsidRDefault="004F338F" w:rsidP="00F9765C">
            <w:pPr>
              <w:jc w:val="center"/>
              <w:rPr>
                <w:b/>
              </w:rPr>
            </w:pPr>
            <w:r w:rsidRPr="00C5744E">
              <w:t>(0.108)</w:t>
            </w:r>
          </w:p>
        </w:tc>
        <w:tc>
          <w:tcPr>
            <w:tcW w:w="1843" w:type="dxa"/>
            <w:tcBorders>
              <w:top w:val="single" w:sz="4" w:space="0" w:color="auto"/>
              <w:bottom w:val="nil"/>
            </w:tcBorders>
          </w:tcPr>
          <w:p w14:paraId="1898B8EE" w14:textId="77777777" w:rsidR="004F338F" w:rsidRPr="00C5744E" w:rsidRDefault="004F338F" w:rsidP="00F9765C">
            <w:pPr>
              <w:jc w:val="center"/>
            </w:pPr>
            <w:r w:rsidRPr="00C5744E">
              <w:t>0.343**</w:t>
            </w:r>
          </w:p>
          <w:p w14:paraId="35FB3A49" w14:textId="77777777" w:rsidR="004F338F" w:rsidRPr="00C5744E" w:rsidRDefault="004F338F" w:rsidP="00F9765C">
            <w:pPr>
              <w:jc w:val="center"/>
            </w:pPr>
            <w:r w:rsidRPr="00C5744E">
              <w:t>(0.151)</w:t>
            </w:r>
          </w:p>
        </w:tc>
        <w:tc>
          <w:tcPr>
            <w:tcW w:w="1843" w:type="dxa"/>
            <w:tcBorders>
              <w:top w:val="single" w:sz="4" w:space="0" w:color="auto"/>
              <w:bottom w:val="nil"/>
            </w:tcBorders>
          </w:tcPr>
          <w:p w14:paraId="01F7C25D" w14:textId="77777777" w:rsidR="004F338F" w:rsidRPr="00C5744E" w:rsidRDefault="004F338F" w:rsidP="00F9765C">
            <w:pPr>
              <w:jc w:val="center"/>
            </w:pPr>
            <w:r w:rsidRPr="00C5744E">
              <w:t>0.358**</w:t>
            </w:r>
          </w:p>
          <w:p w14:paraId="18E813F9" w14:textId="77777777" w:rsidR="004F338F" w:rsidRPr="00C5744E" w:rsidRDefault="004F338F" w:rsidP="00F9765C">
            <w:pPr>
              <w:jc w:val="center"/>
            </w:pPr>
            <w:r w:rsidRPr="00C5744E">
              <w:t>(0.178)</w:t>
            </w:r>
          </w:p>
        </w:tc>
        <w:tc>
          <w:tcPr>
            <w:tcW w:w="1559" w:type="dxa"/>
            <w:tcBorders>
              <w:top w:val="single" w:sz="4" w:space="0" w:color="auto"/>
              <w:bottom w:val="nil"/>
            </w:tcBorders>
          </w:tcPr>
          <w:p w14:paraId="1A52F50E" w14:textId="77777777" w:rsidR="004F338F" w:rsidRPr="00C5744E" w:rsidRDefault="004F338F" w:rsidP="00F9765C">
            <w:pPr>
              <w:jc w:val="center"/>
            </w:pPr>
            <w:r w:rsidRPr="00C5744E">
              <w:t>0.365*</w:t>
            </w:r>
          </w:p>
          <w:p w14:paraId="7B8FCA09" w14:textId="77777777" w:rsidR="004F338F" w:rsidRPr="00C5744E" w:rsidRDefault="004F338F" w:rsidP="00F9765C">
            <w:pPr>
              <w:jc w:val="center"/>
            </w:pPr>
            <w:r w:rsidRPr="00C5744E">
              <w:t>(0.189)</w:t>
            </w:r>
          </w:p>
        </w:tc>
      </w:tr>
      <w:tr w:rsidR="004F338F" w:rsidRPr="00C5744E" w14:paraId="3C499E25" w14:textId="77777777" w:rsidTr="00F9765C">
        <w:tc>
          <w:tcPr>
            <w:tcW w:w="2063" w:type="dxa"/>
            <w:tcBorders>
              <w:top w:val="nil"/>
              <w:bottom w:val="nil"/>
            </w:tcBorders>
          </w:tcPr>
          <w:p w14:paraId="7402D226" w14:textId="77777777" w:rsidR="004F338F" w:rsidRPr="00C5744E" w:rsidRDefault="004F338F" w:rsidP="00F9765C">
            <w:r w:rsidRPr="00C5744E">
              <w:t>Controls</w:t>
            </w:r>
          </w:p>
        </w:tc>
        <w:tc>
          <w:tcPr>
            <w:tcW w:w="1447" w:type="dxa"/>
            <w:tcBorders>
              <w:top w:val="nil"/>
              <w:bottom w:val="nil"/>
            </w:tcBorders>
          </w:tcPr>
          <w:p w14:paraId="2B44E5C1" w14:textId="77777777" w:rsidR="004F338F" w:rsidRPr="00C5744E" w:rsidRDefault="004F338F" w:rsidP="00F9765C">
            <w:pPr>
              <w:jc w:val="center"/>
            </w:pPr>
            <w:r w:rsidRPr="00C5744E">
              <w:t>Yes</w:t>
            </w:r>
          </w:p>
        </w:tc>
        <w:tc>
          <w:tcPr>
            <w:tcW w:w="1843" w:type="dxa"/>
            <w:tcBorders>
              <w:top w:val="nil"/>
              <w:bottom w:val="nil"/>
            </w:tcBorders>
          </w:tcPr>
          <w:p w14:paraId="0D2EF0F6" w14:textId="77777777" w:rsidR="004F338F" w:rsidRPr="00C5744E" w:rsidRDefault="004F338F" w:rsidP="00F9765C">
            <w:pPr>
              <w:jc w:val="center"/>
            </w:pPr>
            <w:r w:rsidRPr="00C5744E">
              <w:t>Yes</w:t>
            </w:r>
          </w:p>
        </w:tc>
        <w:tc>
          <w:tcPr>
            <w:tcW w:w="1843" w:type="dxa"/>
            <w:tcBorders>
              <w:top w:val="nil"/>
              <w:bottom w:val="nil"/>
            </w:tcBorders>
          </w:tcPr>
          <w:p w14:paraId="5CDECAA8" w14:textId="77777777" w:rsidR="004F338F" w:rsidRPr="00C5744E" w:rsidRDefault="004F338F" w:rsidP="00F9765C">
            <w:pPr>
              <w:jc w:val="center"/>
            </w:pPr>
            <w:r w:rsidRPr="00C5744E">
              <w:t>Yes</w:t>
            </w:r>
          </w:p>
        </w:tc>
        <w:tc>
          <w:tcPr>
            <w:tcW w:w="1559" w:type="dxa"/>
            <w:tcBorders>
              <w:top w:val="nil"/>
              <w:bottom w:val="nil"/>
            </w:tcBorders>
          </w:tcPr>
          <w:p w14:paraId="6A117F32" w14:textId="77777777" w:rsidR="004F338F" w:rsidRPr="00C5744E" w:rsidRDefault="004F338F" w:rsidP="00F9765C">
            <w:pPr>
              <w:jc w:val="center"/>
            </w:pPr>
            <w:r w:rsidRPr="00C5744E">
              <w:t>Yes</w:t>
            </w:r>
          </w:p>
        </w:tc>
      </w:tr>
      <w:tr w:rsidR="004F338F" w:rsidRPr="00C5744E" w14:paraId="7A128430" w14:textId="77777777" w:rsidTr="00F9765C">
        <w:tc>
          <w:tcPr>
            <w:tcW w:w="2063" w:type="dxa"/>
            <w:tcBorders>
              <w:top w:val="nil"/>
              <w:bottom w:val="single" w:sz="4" w:space="0" w:color="auto"/>
            </w:tcBorders>
          </w:tcPr>
          <w:p w14:paraId="6F44CA61" w14:textId="77777777" w:rsidR="004F338F" w:rsidRPr="00C5744E" w:rsidRDefault="004F338F" w:rsidP="00F9765C">
            <w:r w:rsidRPr="00C5744E">
              <w:t>Wald</w:t>
            </w:r>
          </w:p>
        </w:tc>
        <w:tc>
          <w:tcPr>
            <w:tcW w:w="1447" w:type="dxa"/>
            <w:tcBorders>
              <w:top w:val="nil"/>
              <w:bottom w:val="single" w:sz="4" w:space="0" w:color="auto"/>
            </w:tcBorders>
          </w:tcPr>
          <w:p w14:paraId="3D14DC61" w14:textId="77777777" w:rsidR="004F338F" w:rsidRPr="00C5744E" w:rsidRDefault="004F338F" w:rsidP="00F9765C">
            <w:pPr>
              <w:jc w:val="center"/>
            </w:pPr>
            <w:r w:rsidRPr="00C5744E">
              <w:t>1336.77**</w:t>
            </w:r>
          </w:p>
        </w:tc>
        <w:tc>
          <w:tcPr>
            <w:tcW w:w="1843" w:type="dxa"/>
            <w:tcBorders>
              <w:top w:val="nil"/>
              <w:bottom w:val="single" w:sz="4" w:space="0" w:color="auto"/>
            </w:tcBorders>
          </w:tcPr>
          <w:p w14:paraId="645759DD" w14:textId="77777777" w:rsidR="004F338F" w:rsidRPr="00C5744E" w:rsidRDefault="004F338F" w:rsidP="00F9765C">
            <w:pPr>
              <w:jc w:val="center"/>
            </w:pPr>
            <w:r w:rsidRPr="00C5744E">
              <w:t>730.00**</w:t>
            </w:r>
          </w:p>
        </w:tc>
        <w:tc>
          <w:tcPr>
            <w:tcW w:w="1843" w:type="dxa"/>
            <w:tcBorders>
              <w:top w:val="nil"/>
              <w:bottom w:val="single" w:sz="4" w:space="0" w:color="auto"/>
            </w:tcBorders>
          </w:tcPr>
          <w:p w14:paraId="061F7152" w14:textId="77777777" w:rsidR="004F338F" w:rsidRPr="00C5744E" w:rsidRDefault="004F338F" w:rsidP="00F9765C">
            <w:pPr>
              <w:jc w:val="center"/>
            </w:pPr>
            <w:r w:rsidRPr="00C5744E">
              <w:t>686.02**</w:t>
            </w:r>
          </w:p>
        </w:tc>
        <w:tc>
          <w:tcPr>
            <w:tcW w:w="1559" w:type="dxa"/>
            <w:tcBorders>
              <w:top w:val="nil"/>
              <w:bottom w:val="single" w:sz="4" w:space="0" w:color="auto"/>
            </w:tcBorders>
          </w:tcPr>
          <w:p w14:paraId="7F4AF7D4" w14:textId="77777777" w:rsidR="004F338F" w:rsidRPr="00C5744E" w:rsidRDefault="004F338F" w:rsidP="00F9765C">
            <w:pPr>
              <w:jc w:val="center"/>
            </w:pPr>
            <w:r w:rsidRPr="00C5744E">
              <w:t>752.75**</w:t>
            </w:r>
          </w:p>
        </w:tc>
      </w:tr>
      <w:tr w:rsidR="004F338F" w:rsidRPr="00C5744E" w14:paraId="3B608134" w14:textId="77777777" w:rsidTr="00F9765C">
        <w:tc>
          <w:tcPr>
            <w:tcW w:w="2063" w:type="dxa"/>
            <w:tcBorders>
              <w:top w:val="single" w:sz="4" w:space="0" w:color="auto"/>
              <w:bottom w:val="nil"/>
            </w:tcBorders>
          </w:tcPr>
          <w:p w14:paraId="33660F2A" w14:textId="77777777" w:rsidR="004F338F" w:rsidRPr="00C5744E" w:rsidRDefault="004F338F" w:rsidP="00F9765C">
            <w:pPr>
              <w:rPr>
                <w:i/>
              </w:rPr>
            </w:pPr>
            <w:r w:rsidRPr="00C5744E">
              <w:rPr>
                <w:i/>
              </w:rPr>
              <w:t xml:space="preserve">F </w:t>
            </w:r>
          </w:p>
        </w:tc>
        <w:tc>
          <w:tcPr>
            <w:tcW w:w="1447" w:type="dxa"/>
            <w:tcBorders>
              <w:top w:val="single" w:sz="4" w:space="0" w:color="auto"/>
              <w:bottom w:val="nil"/>
            </w:tcBorders>
          </w:tcPr>
          <w:p w14:paraId="6D607D1F" w14:textId="77777777" w:rsidR="004F338F" w:rsidRPr="00C5744E" w:rsidRDefault="004F338F" w:rsidP="00F9765C">
            <w:pPr>
              <w:jc w:val="center"/>
            </w:pPr>
            <w:r w:rsidRPr="00C5744E">
              <w:t>19.78**</w:t>
            </w:r>
          </w:p>
        </w:tc>
        <w:tc>
          <w:tcPr>
            <w:tcW w:w="1843" w:type="dxa"/>
            <w:tcBorders>
              <w:top w:val="single" w:sz="4" w:space="0" w:color="auto"/>
              <w:bottom w:val="nil"/>
            </w:tcBorders>
          </w:tcPr>
          <w:p w14:paraId="29ACF750" w14:textId="77777777" w:rsidR="004F338F" w:rsidRPr="00C5744E" w:rsidRDefault="004F338F" w:rsidP="00F9765C">
            <w:pPr>
              <w:jc w:val="center"/>
            </w:pPr>
            <w:r w:rsidRPr="00C5744E">
              <w:t>13.03**</w:t>
            </w:r>
          </w:p>
        </w:tc>
        <w:tc>
          <w:tcPr>
            <w:tcW w:w="1843" w:type="dxa"/>
            <w:tcBorders>
              <w:top w:val="single" w:sz="4" w:space="0" w:color="auto"/>
              <w:bottom w:val="nil"/>
            </w:tcBorders>
          </w:tcPr>
          <w:p w14:paraId="6B988503" w14:textId="77777777" w:rsidR="004F338F" w:rsidRPr="00C5744E" w:rsidRDefault="004F338F" w:rsidP="00F9765C">
            <w:pPr>
              <w:jc w:val="center"/>
            </w:pPr>
            <w:r w:rsidRPr="00C5744E">
              <w:t>10.48**</w:t>
            </w:r>
          </w:p>
        </w:tc>
        <w:tc>
          <w:tcPr>
            <w:tcW w:w="1559" w:type="dxa"/>
            <w:tcBorders>
              <w:top w:val="single" w:sz="4" w:space="0" w:color="auto"/>
              <w:bottom w:val="nil"/>
            </w:tcBorders>
          </w:tcPr>
          <w:p w14:paraId="5533B2D5" w14:textId="77777777" w:rsidR="004F338F" w:rsidRPr="00C5744E" w:rsidRDefault="004F338F" w:rsidP="00F9765C">
            <w:pPr>
              <w:jc w:val="center"/>
            </w:pPr>
            <w:r w:rsidRPr="00C5744E">
              <w:t>13.63**</w:t>
            </w:r>
          </w:p>
        </w:tc>
      </w:tr>
      <w:tr w:rsidR="004F338F" w:rsidRPr="00C5744E" w14:paraId="52F6F4CA" w14:textId="77777777" w:rsidTr="00F9765C">
        <w:tc>
          <w:tcPr>
            <w:tcW w:w="2063" w:type="dxa"/>
            <w:tcBorders>
              <w:top w:val="nil"/>
              <w:bottom w:val="nil"/>
            </w:tcBorders>
          </w:tcPr>
          <w:p w14:paraId="004969FB" w14:textId="77777777" w:rsidR="004F338F" w:rsidRPr="00C5744E" w:rsidRDefault="004F338F" w:rsidP="00F9765C">
            <w:r w:rsidRPr="00C5744E">
              <w:t xml:space="preserve">Durbin (score, </w:t>
            </w:r>
            <w:r w:rsidRPr="00C5744E">
              <w:rPr>
                <w:i/>
              </w:rPr>
              <w:t>Chi</w:t>
            </w:r>
            <w:r w:rsidRPr="00C5744E">
              <w:t>)</w:t>
            </w:r>
          </w:p>
        </w:tc>
        <w:tc>
          <w:tcPr>
            <w:tcW w:w="1447" w:type="dxa"/>
            <w:tcBorders>
              <w:top w:val="nil"/>
              <w:bottom w:val="nil"/>
            </w:tcBorders>
          </w:tcPr>
          <w:p w14:paraId="1B737D9B" w14:textId="77777777" w:rsidR="004F338F" w:rsidRPr="00C5744E" w:rsidRDefault="004F338F" w:rsidP="00F9765C">
            <w:pPr>
              <w:jc w:val="center"/>
            </w:pPr>
            <w:r w:rsidRPr="00C5744E">
              <w:t>5.61**</w:t>
            </w:r>
          </w:p>
        </w:tc>
        <w:tc>
          <w:tcPr>
            <w:tcW w:w="1843" w:type="dxa"/>
            <w:tcBorders>
              <w:top w:val="nil"/>
              <w:bottom w:val="nil"/>
            </w:tcBorders>
          </w:tcPr>
          <w:p w14:paraId="38A6585C" w14:textId="77777777" w:rsidR="004F338F" w:rsidRPr="00C5744E" w:rsidRDefault="004F338F" w:rsidP="00F9765C">
            <w:pPr>
              <w:jc w:val="center"/>
            </w:pPr>
            <w:r w:rsidRPr="00C5744E">
              <w:t>8.27**</w:t>
            </w:r>
          </w:p>
        </w:tc>
        <w:tc>
          <w:tcPr>
            <w:tcW w:w="1843" w:type="dxa"/>
            <w:tcBorders>
              <w:top w:val="nil"/>
              <w:bottom w:val="nil"/>
            </w:tcBorders>
          </w:tcPr>
          <w:p w14:paraId="60989A5C" w14:textId="77777777" w:rsidR="004F338F" w:rsidRPr="00C5744E" w:rsidRDefault="004F338F" w:rsidP="00F9765C">
            <w:pPr>
              <w:jc w:val="center"/>
            </w:pPr>
            <w:r w:rsidRPr="00C5744E">
              <w:t>6.34**</w:t>
            </w:r>
          </w:p>
        </w:tc>
        <w:tc>
          <w:tcPr>
            <w:tcW w:w="1559" w:type="dxa"/>
            <w:tcBorders>
              <w:top w:val="nil"/>
              <w:bottom w:val="nil"/>
            </w:tcBorders>
          </w:tcPr>
          <w:p w14:paraId="5966AC90" w14:textId="77777777" w:rsidR="004F338F" w:rsidRPr="00C5744E" w:rsidRDefault="004F338F" w:rsidP="00F9765C">
            <w:pPr>
              <w:jc w:val="center"/>
            </w:pPr>
            <w:r w:rsidRPr="00C5744E">
              <w:t>5.59**</w:t>
            </w:r>
          </w:p>
        </w:tc>
      </w:tr>
      <w:tr w:rsidR="004F338F" w:rsidRPr="00C5744E" w14:paraId="63F542FD" w14:textId="77777777" w:rsidTr="00F9765C">
        <w:tc>
          <w:tcPr>
            <w:tcW w:w="2063" w:type="dxa"/>
            <w:tcBorders>
              <w:top w:val="nil"/>
              <w:bottom w:val="nil"/>
            </w:tcBorders>
          </w:tcPr>
          <w:p w14:paraId="6719D979" w14:textId="77777777" w:rsidR="004F338F" w:rsidRPr="00C5744E" w:rsidRDefault="004F338F" w:rsidP="00F9765C">
            <w:pPr>
              <w:rPr>
                <w:b/>
              </w:rPr>
            </w:pPr>
            <w:r w:rsidRPr="00C5744E">
              <w:t>Wu-Hausman (</w:t>
            </w:r>
            <w:r w:rsidRPr="00C5744E">
              <w:rPr>
                <w:i/>
              </w:rPr>
              <w:t>F</w:t>
            </w:r>
            <w:r w:rsidRPr="00C5744E">
              <w:t>)</w:t>
            </w:r>
          </w:p>
        </w:tc>
        <w:tc>
          <w:tcPr>
            <w:tcW w:w="1447" w:type="dxa"/>
            <w:tcBorders>
              <w:top w:val="nil"/>
              <w:bottom w:val="nil"/>
            </w:tcBorders>
          </w:tcPr>
          <w:p w14:paraId="65B8ECF8" w14:textId="77777777" w:rsidR="004F338F" w:rsidRPr="00C5744E" w:rsidRDefault="004F338F" w:rsidP="00F9765C">
            <w:pPr>
              <w:jc w:val="center"/>
            </w:pPr>
            <w:r w:rsidRPr="00C5744E">
              <w:t>5.62**</w:t>
            </w:r>
          </w:p>
        </w:tc>
        <w:tc>
          <w:tcPr>
            <w:tcW w:w="1843" w:type="dxa"/>
            <w:tcBorders>
              <w:top w:val="nil"/>
              <w:bottom w:val="nil"/>
            </w:tcBorders>
          </w:tcPr>
          <w:p w14:paraId="0267C329" w14:textId="77777777" w:rsidR="004F338F" w:rsidRPr="00C5744E" w:rsidRDefault="004F338F" w:rsidP="00F9765C">
            <w:pPr>
              <w:jc w:val="center"/>
            </w:pPr>
            <w:r w:rsidRPr="00C5744E">
              <w:t>8.31**</w:t>
            </w:r>
          </w:p>
        </w:tc>
        <w:tc>
          <w:tcPr>
            <w:tcW w:w="1843" w:type="dxa"/>
            <w:tcBorders>
              <w:top w:val="nil"/>
              <w:bottom w:val="nil"/>
            </w:tcBorders>
          </w:tcPr>
          <w:p w14:paraId="61B69FEF" w14:textId="77777777" w:rsidR="004F338F" w:rsidRPr="00C5744E" w:rsidRDefault="004F338F" w:rsidP="00F9765C">
            <w:pPr>
              <w:jc w:val="center"/>
            </w:pPr>
            <w:r w:rsidRPr="00C5744E">
              <w:t>6.36**</w:t>
            </w:r>
          </w:p>
        </w:tc>
        <w:tc>
          <w:tcPr>
            <w:tcW w:w="1559" w:type="dxa"/>
            <w:tcBorders>
              <w:top w:val="nil"/>
              <w:bottom w:val="nil"/>
            </w:tcBorders>
          </w:tcPr>
          <w:p w14:paraId="36227BD4" w14:textId="77777777" w:rsidR="004F338F" w:rsidRPr="00C5744E" w:rsidRDefault="004F338F" w:rsidP="00F9765C">
            <w:pPr>
              <w:jc w:val="center"/>
            </w:pPr>
            <w:r w:rsidRPr="00C5744E">
              <w:t>5.60**</w:t>
            </w:r>
          </w:p>
        </w:tc>
      </w:tr>
      <w:tr w:rsidR="004F338F" w:rsidRPr="00C5744E" w14:paraId="7E0FC9DF" w14:textId="77777777" w:rsidTr="00F9765C">
        <w:tc>
          <w:tcPr>
            <w:tcW w:w="2063" w:type="dxa"/>
            <w:tcBorders>
              <w:top w:val="nil"/>
              <w:bottom w:val="nil"/>
            </w:tcBorders>
          </w:tcPr>
          <w:p w14:paraId="5317CEFB" w14:textId="77777777" w:rsidR="004F338F" w:rsidRPr="00C5744E" w:rsidRDefault="004F338F" w:rsidP="00F9765C">
            <w:r w:rsidRPr="00C5744E">
              <w:t>Cragg-Donald</w:t>
            </w:r>
          </w:p>
        </w:tc>
        <w:tc>
          <w:tcPr>
            <w:tcW w:w="1447" w:type="dxa"/>
            <w:tcBorders>
              <w:top w:val="nil"/>
              <w:bottom w:val="nil"/>
            </w:tcBorders>
          </w:tcPr>
          <w:p w14:paraId="536C62AD" w14:textId="77777777" w:rsidR="004F338F" w:rsidRPr="00C5744E" w:rsidRDefault="004F338F" w:rsidP="00F9765C">
            <w:pPr>
              <w:jc w:val="center"/>
            </w:pPr>
            <w:r w:rsidRPr="00C5744E">
              <w:t>26.87**</w:t>
            </w:r>
          </w:p>
        </w:tc>
        <w:tc>
          <w:tcPr>
            <w:tcW w:w="1843" w:type="dxa"/>
            <w:tcBorders>
              <w:top w:val="nil"/>
              <w:bottom w:val="nil"/>
            </w:tcBorders>
          </w:tcPr>
          <w:p w14:paraId="00126B7B" w14:textId="77777777" w:rsidR="004F338F" w:rsidRPr="00C5744E" w:rsidRDefault="004F338F" w:rsidP="00F9765C">
            <w:pPr>
              <w:jc w:val="center"/>
            </w:pPr>
            <w:r w:rsidRPr="00C5744E">
              <w:t>17.84**</w:t>
            </w:r>
          </w:p>
        </w:tc>
        <w:tc>
          <w:tcPr>
            <w:tcW w:w="1843" w:type="dxa"/>
            <w:tcBorders>
              <w:top w:val="nil"/>
              <w:bottom w:val="nil"/>
            </w:tcBorders>
          </w:tcPr>
          <w:p w14:paraId="5DB1FEFC" w14:textId="77777777" w:rsidR="004F338F" w:rsidRPr="00C5744E" w:rsidRDefault="004F338F" w:rsidP="00F9765C">
            <w:pPr>
              <w:jc w:val="center"/>
            </w:pPr>
            <w:r w:rsidRPr="00C5744E">
              <w:t>14.63*</w:t>
            </w:r>
          </w:p>
        </w:tc>
        <w:tc>
          <w:tcPr>
            <w:tcW w:w="1559" w:type="dxa"/>
            <w:tcBorders>
              <w:top w:val="nil"/>
              <w:bottom w:val="nil"/>
            </w:tcBorders>
          </w:tcPr>
          <w:p w14:paraId="108FF752" w14:textId="77777777" w:rsidR="004F338F" w:rsidRPr="00C5744E" w:rsidRDefault="004F338F" w:rsidP="00F9765C">
            <w:pPr>
              <w:jc w:val="center"/>
            </w:pPr>
            <w:r w:rsidRPr="00C5744E">
              <w:t>13.39*</w:t>
            </w:r>
          </w:p>
        </w:tc>
      </w:tr>
      <w:tr w:rsidR="004F338F" w:rsidRPr="00C5744E" w14:paraId="2F1482B4" w14:textId="77777777" w:rsidTr="00F9765C">
        <w:tc>
          <w:tcPr>
            <w:tcW w:w="2063" w:type="dxa"/>
            <w:tcBorders>
              <w:top w:val="nil"/>
              <w:bottom w:val="single" w:sz="4" w:space="0" w:color="auto"/>
            </w:tcBorders>
          </w:tcPr>
          <w:p w14:paraId="3EC05BFC" w14:textId="77777777" w:rsidR="004F338F" w:rsidRPr="00C5744E" w:rsidRDefault="004F338F" w:rsidP="00F9765C">
            <w:r w:rsidRPr="00C5744E">
              <w:t>AR robust</w:t>
            </w:r>
          </w:p>
        </w:tc>
        <w:tc>
          <w:tcPr>
            <w:tcW w:w="1447" w:type="dxa"/>
            <w:tcBorders>
              <w:top w:val="nil"/>
              <w:bottom w:val="single" w:sz="4" w:space="0" w:color="auto"/>
            </w:tcBorders>
          </w:tcPr>
          <w:p w14:paraId="7495A2A4" w14:textId="77777777" w:rsidR="004F338F" w:rsidRPr="00C5744E" w:rsidRDefault="004F338F" w:rsidP="00F9765C">
            <w:pPr>
              <w:jc w:val="center"/>
            </w:pPr>
            <w:r w:rsidRPr="00C5744E">
              <w:t>5.99**</w:t>
            </w:r>
          </w:p>
        </w:tc>
        <w:tc>
          <w:tcPr>
            <w:tcW w:w="1843" w:type="dxa"/>
            <w:tcBorders>
              <w:top w:val="nil"/>
              <w:bottom w:val="single" w:sz="4" w:space="0" w:color="auto"/>
            </w:tcBorders>
          </w:tcPr>
          <w:p w14:paraId="2B8D7473" w14:textId="77777777" w:rsidR="004F338F" w:rsidRPr="00C5744E" w:rsidRDefault="004F338F" w:rsidP="00F9765C">
            <w:pPr>
              <w:jc w:val="center"/>
            </w:pPr>
            <w:r w:rsidRPr="00C5744E">
              <w:t>8.87**</w:t>
            </w:r>
          </w:p>
        </w:tc>
        <w:tc>
          <w:tcPr>
            <w:tcW w:w="1843" w:type="dxa"/>
            <w:tcBorders>
              <w:top w:val="nil"/>
              <w:bottom w:val="single" w:sz="4" w:space="0" w:color="auto"/>
            </w:tcBorders>
          </w:tcPr>
          <w:p w14:paraId="6CB937D1" w14:textId="77777777" w:rsidR="004F338F" w:rsidRPr="00C5744E" w:rsidRDefault="004F338F" w:rsidP="00F9765C">
            <w:pPr>
              <w:jc w:val="center"/>
            </w:pPr>
            <w:r w:rsidRPr="00C5744E">
              <w:t>6.80**</w:t>
            </w:r>
          </w:p>
        </w:tc>
        <w:tc>
          <w:tcPr>
            <w:tcW w:w="1559" w:type="dxa"/>
            <w:tcBorders>
              <w:top w:val="nil"/>
              <w:bottom w:val="single" w:sz="4" w:space="0" w:color="auto"/>
            </w:tcBorders>
          </w:tcPr>
          <w:p w14:paraId="189F372D" w14:textId="77777777" w:rsidR="004F338F" w:rsidRPr="00C5744E" w:rsidRDefault="004F338F" w:rsidP="00F9765C">
            <w:pPr>
              <w:jc w:val="center"/>
            </w:pPr>
            <w:r w:rsidRPr="00C5744E">
              <w:t>5.96**</w:t>
            </w:r>
          </w:p>
        </w:tc>
      </w:tr>
      <w:tr w:rsidR="004F338F" w:rsidRPr="00C5744E" w14:paraId="6E8745F3" w14:textId="77777777" w:rsidTr="00F9765C">
        <w:tc>
          <w:tcPr>
            <w:tcW w:w="2063" w:type="dxa"/>
            <w:tcBorders>
              <w:top w:val="nil"/>
              <w:bottom w:val="single" w:sz="4" w:space="0" w:color="auto"/>
            </w:tcBorders>
          </w:tcPr>
          <w:p w14:paraId="40E70690" w14:textId="77777777" w:rsidR="004F338F" w:rsidRPr="00C5744E" w:rsidRDefault="004F338F" w:rsidP="00F9765C">
            <w:r w:rsidRPr="00C5744E">
              <w:t>Observations</w:t>
            </w:r>
          </w:p>
        </w:tc>
        <w:tc>
          <w:tcPr>
            <w:tcW w:w="1447" w:type="dxa"/>
            <w:tcBorders>
              <w:top w:val="nil"/>
              <w:bottom w:val="single" w:sz="4" w:space="0" w:color="auto"/>
            </w:tcBorders>
          </w:tcPr>
          <w:p w14:paraId="79F38D9D" w14:textId="77777777" w:rsidR="004F338F" w:rsidRPr="00C5744E" w:rsidRDefault="004F338F" w:rsidP="00F9765C">
            <w:pPr>
              <w:jc w:val="center"/>
            </w:pPr>
            <w:r w:rsidRPr="00C5744E">
              <w:t>14,033</w:t>
            </w:r>
          </w:p>
        </w:tc>
        <w:tc>
          <w:tcPr>
            <w:tcW w:w="1843" w:type="dxa"/>
            <w:tcBorders>
              <w:top w:val="nil"/>
              <w:bottom w:val="single" w:sz="4" w:space="0" w:color="auto"/>
            </w:tcBorders>
          </w:tcPr>
          <w:p w14:paraId="0F8CAEEF" w14:textId="77777777" w:rsidR="004F338F" w:rsidRPr="00C5744E" w:rsidRDefault="004F338F" w:rsidP="00F9765C">
            <w:pPr>
              <w:jc w:val="center"/>
            </w:pPr>
            <w:r w:rsidRPr="00C5744E">
              <w:t>10,752</w:t>
            </w:r>
          </w:p>
        </w:tc>
        <w:tc>
          <w:tcPr>
            <w:tcW w:w="1843" w:type="dxa"/>
            <w:tcBorders>
              <w:top w:val="nil"/>
              <w:bottom w:val="single" w:sz="4" w:space="0" w:color="auto"/>
            </w:tcBorders>
          </w:tcPr>
          <w:p w14:paraId="231FB3B5" w14:textId="77777777" w:rsidR="004F338F" w:rsidRPr="00C5744E" w:rsidRDefault="004F338F" w:rsidP="00F9765C">
            <w:pPr>
              <w:jc w:val="center"/>
            </w:pPr>
            <w:r w:rsidRPr="00C5744E">
              <w:t>10,726</w:t>
            </w:r>
          </w:p>
        </w:tc>
        <w:tc>
          <w:tcPr>
            <w:tcW w:w="1559" w:type="dxa"/>
            <w:tcBorders>
              <w:top w:val="nil"/>
              <w:bottom w:val="single" w:sz="4" w:space="0" w:color="auto"/>
            </w:tcBorders>
          </w:tcPr>
          <w:p w14:paraId="123DF907" w14:textId="77777777" w:rsidR="004F338F" w:rsidRPr="00C5744E" w:rsidRDefault="004F338F" w:rsidP="00F9765C">
            <w:pPr>
              <w:jc w:val="center"/>
            </w:pPr>
            <w:r w:rsidRPr="00C5744E">
              <w:t>10,515</w:t>
            </w:r>
          </w:p>
        </w:tc>
      </w:tr>
    </w:tbl>
    <w:p w14:paraId="56937542" w14:textId="77777777" w:rsidR="004F338F" w:rsidRPr="00C5744E" w:rsidRDefault="004F338F" w:rsidP="004F338F">
      <w:pPr>
        <w:rPr>
          <w:sz w:val="20"/>
          <w:lang w:val="en-US"/>
        </w:rPr>
      </w:pPr>
      <w:r w:rsidRPr="00C5744E">
        <w:rPr>
          <w:sz w:val="20"/>
          <w:lang w:val="en-US"/>
        </w:rPr>
        <w:t>Obs.: Robust standardized error in parenthesis. ** p &lt; 0.05, * p &lt; 0.1. Controls include all the variables presented in Table 3. The instrumented variable is the number of siblings (“Children”) and the excluded instrument is an indicator of having the first two children of the same sex (“Same-sex”). The “Car ownership” specification includes am additional control for car ownership; the “Complete Infrastructure” specification considers only a sample of residences with sewage general net access and brick walls; “Non-poor families” specification excludes the 25% poorest families; and “Residence Ownership” specification includes only families that are proprietary of the residence (excludes families that rent they housing service).</w:t>
      </w:r>
    </w:p>
    <w:p w14:paraId="72065A16" w14:textId="77777777" w:rsidR="004F338F" w:rsidRPr="00C5744E" w:rsidRDefault="004F338F" w:rsidP="004F338F">
      <w:pPr>
        <w:rPr>
          <w:sz w:val="20"/>
          <w:lang w:val="en-US"/>
        </w:rPr>
      </w:pPr>
    </w:p>
    <w:p w14:paraId="78BAFA85" w14:textId="77777777" w:rsidR="004F338F" w:rsidRDefault="004F338F" w:rsidP="004F338F">
      <w:pPr>
        <w:ind w:firstLine="708"/>
        <w:contextualSpacing/>
        <w:jc w:val="both"/>
        <w:rPr>
          <w:lang w:val="en-US"/>
        </w:rPr>
      </w:pPr>
      <w:r w:rsidRPr="00C5744E">
        <w:rPr>
          <w:lang w:val="en-US"/>
        </w:rPr>
        <w:t>The set of evidence prese</w:t>
      </w:r>
      <w:r>
        <w:rPr>
          <w:lang w:val="en-US"/>
        </w:rPr>
        <w:t>nted in Tables 5-7</w:t>
      </w:r>
      <w:r w:rsidRPr="00C5744E">
        <w:rPr>
          <w:lang w:val="en-US"/>
        </w:rPr>
        <w:t>, thus, are clearly favorable to our previous result that there is causal association between the number of children of the families and the commuting time of the household head for the Brazilian urban centers: the bigger the number of families, the higher the chance of a household head presents a longer commuting time. But identifying this casual association does not mean clear knowledge about the economic mechanism through it operates. We try to deal with this point in the next section.</w:t>
      </w:r>
    </w:p>
    <w:p w14:paraId="3829BC53" w14:textId="77777777" w:rsidR="004F338F" w:rsidRDefault="004F338F" w:rsidP="004F338F">
      <w:pPr>
        <w:ind w:firstLine="708"/>
        <w:contextualSpacing/>
        <w:jc w:val="both"/>
        <w:rPr>
          <w:lang w:val="en-US"/>
        </w:rPr>
      </w:pPr>
    </w:p>
    <w:p w14:paraId="342A874E" w14:textId="77777777" w:rsidR="004F338F" w:rsidRPr="00C5744E" w:rsidRDefault="004F338F" w:rsidP="004F338F">
      <w:pPr>
        <w:rPr>
          <w:b/>
          <w:lang w:val="en-US"/>
        </w:rPr>
      </w:pPr>
      <w:r w:rsidRPr="00C5744E">
        <w:rPr>
          <w:b/>
          <w:lang w:val="en-US"/>
        </w:rPr>
        <w:t>6. Fewer children and longer commuting time: smaller residence or weaker partner labor activity?</w:t>
      </w:r>
    </w:p>
    <w:p w14:paraId="5E959C4B" w14:textId="77777777" w:rsidR="004F338F" w:rsidRDefault="004F338F" w:rsidP="004F338F">
      <w:pPr>
        <w:jc w:val="both"/>
        <w:rPr>
          <w:b/>
          <w:lang w:val="en-US"/>
        </w:rPr>
      </w:pPr>
      <w:r w:rsidRPr="00C5744E">
        <w:rPr>
          <w:b/>
          <w:lang w:val="en-US"/>
        </w:rPr>
        <w:tab/>
      </w:r>
    </w:p>
    <w:p w14:paraId="2C99C4BC" w14:textId="77777777" w:rsidR="004F338F" w:rsidRPr="00C5744E" w:rsidRDefault="004F338F" w:rsidP="004F338F">
      <w:pPr>
        <w:ind w:firstLine="708"/>
        <w:jc w:val="both"/>
        <w:rPr>
          <w:lang w:val="en-US"/>
        </w:rPr>
      </w:pPr>
      <w:r w:rsidRPr="00C5744E">
        <w:rPr>
          <w:lang w:val="en-US"/>
        </w:rPr>
        <w:t>Traditional Urban Economic Theory identify a clear channel for the impact of the number of children on household residential location and, thus, on household head commuting time (Fujita, 1989, Fujita and Thisse, 2013): as the number of non-working member of family increases, the stronger is the demand for residential space and more distant from jobs location is the family residence, once space is cheaper is locations of less favorable access. However, as we agued before, this is not the only channel for a positive association between number of children and household commuting time. Fewer children can also turn weaker the necessity of being near some services that needs space, such as schools; this effect can make the household head commuting shorter, once the residential location becomes less dependent of other members necessity. In addition, fewer children can make weaker the necessity of executing household tasks by the partners (in Brazil, probably, the wife) and affect the supply of labor by the couple. This last effect can also favor more central (close to jobs) residential locations and, thus, generate shorter the commuting time. In this section we provided evidence of the importance of two of these mechanisms for the case of Brazilian urban centers.</w:t>
      </w:r>
    </w:p>
    <w:p w14:paraId="221D31D2" w14:textId="77777777" w:rsidR="004F338F" w:rsidRPr="00C5744E" w:rsidRDefault="004F338F" w:rsidP="004F338F">
      <w:pPr>
        <w:jc w:val="both"/>
        <w:rPr>
          <w:lang w:val="en-US"/>
        </w:rPr>
      </w:pPr>
      <w:r w:rsidRPr="00C5744E">
        <w:rPr>
          <w:b/>
          <w:lang w:val="en-US"/>
        </w:rPr>
        <w:tab/>
      </w:r>
      <w:r w:rsidRPr="00C5744E">
        <w:rPr>
          <w:lang w:val="en-US"/>
        </w:rPr>
        <w:t>Although there is abundant evidence of the importance of schools location for the residential location of families in the case of US and European cities (see, for example, Black, 1999; Bogart and Cromwell, 2000; Gibbon and Machin, 2005), the available evidence for Brazilian cities are scarce. To the best of our knowledge, Amrein (2010) is the unique study about the question and specifically try to investigate the proprieties price capitalization associated to the proximity of schools in the city of São Paulo. The evidence obtained form this work indicates no effect of proximity of schools on propriety price. The scarcity of the investigation and the evidence form this specific work are probably explain by the fact that in Brazil there is no institutional link between residential location and school attendance. Thus, we decide to focus on the importance of the other two mechanisms, i.e., to study the importance of residential space and of the effect on the couple labor supply associated with the number of children.</w:t>
      </w:r>
    </w:p>
    <w:p w14:paraId="550D10BE" w14:textId="77777777" w:rsidR="004F338F" w:rsidRPr="00C5744E" w:rsidRDefault="004F338F" w:rsidP="004F338F">
      <w:pPr>
        <w:jc w:val="both"/>
        <w:rPr>
          <w:lang w:val="en-US"/>
        </w:rPr>
      </w:pPr>
      <w:r w:rsidRPr="00C5744E">
        <w:rPr>
          <w:lang w:val="en-US"/>
        </w:rPr>
        <w:tab/>
        <w:t>To begin with, using the same IV approach for identifying the effect of the number of children on the commutin</w:t>
      </w:r>
      <w:r>
        <w:rPr>
          <w:lang w:val="en-US"/>
        </w:rPr>
        <w:t>g time, in the following Table 8</w:t>
      </w:r>
      <w:r w:rsidRPr="00C5744E">
        <w:rPr>
          <w:lang w:val="en-US"/>
        </w:rPr>
        <w:t xml:space="preserve"> we present evidence of the influence of the number of children on the numbers of rooms and bedrooms (proxies for residential space) (columns (1) and (2)) and on the number of household workers (column (3)). Only the second stage results are presented but results for the first one can be available upon request.</w:t>
      </w:r>
    </w:p>
    <w:p w14:paraId="71481F7D" w14:textId="77777777" w:rsidR="004F338F" w:rsidRPr="00C5744E" w:rsidRDefault="004F338F" w:rsidP="004F338F">
      <w:pPr>
        <w:jc w:val="both"/>
        <w:rPr>
          <w:lang w:val="en-US"/>
        </w:rPr>
      </w:pPr>
      <w:r w:rsidRPr="00C5744E">
        <w:rPr>
          <w:lang w:val="en-US"/>
        </w:rPr>
        <w:tab/>
        <w:t>From the numbers of columns of Tab</w:t>
      </w:r>
      <w:r>
        <w:rPr>
          <w:lang w:val="en-US"/>
        </w:rPr>
        <w:t>le 8</w:t>
      </w:r>
      <w:r w:rsidRPr="00C5744E">
        <w:rPr>
          <w:lang w:val="en-US"/>
        </w:rPr>
        <w:t>, we note that all the estimative present expected signals: a higher number of children affect positively the number of bedrooms and rooms and negatively the number of household workers</w:t>
      </w:r>
      <w:r w:rsidRPr="00C5744E">
        <w:rPr>
          <w:rStyle w:val="FootnoteReference"/>
          <w:lang w:val="en-US"/>
        </w:rPr>
        <w:footnoteReference w:id="3"/>
      </w:r>
      <w:r w:rsidRPr="00C5744E">
        <w:rPr>
          <w:lang w:val="en-US"/>
        </w:rPr>
        <w:t xml:space="preserve">. Thus, this set evidence favor the ideas that the higher the number of children, both the bigger are the residential space and the lower the number of partners working. </w:t>
      </w:r>
    </w:p>
    <w:p w14:paraId="76ECEFC6" w14:textId="77777777" w:rsidR="004F338F" w:rsidRPr="00C5744E" w:rsidRDefault="004F338F" w:rsidP="004F338F">
      <w:pPr>
        <w:rPr>
          <w:b/>
          <w:lang w:val="en-US"/>
        </w:rPr>
      </w:pPr>
    </w:p>
    <w:p w14:paraId="7AB77863" w14:textId="77777777" w:rsidR="004F338F" w:rsidRPr="00C5744E" w:rsidRDefault="004F338F" w:rsidP="004F338F">
      <w:pPr>
        <w:rPr>
          <w:b/>
          <w:lang w:val="en-US"/>
        </w:rPr>
      </w:pPr>
      <w:r>
        <w:rPr>
          <w:b/>
          <w:lang w:val="en-US"/>
        </w:rPr>
        <w:t>Table 8</w:t>
      </w:r>
      <w:r w:rsidRPr="00C5744E">
        <w:rPr>
          <w:b/>
          <w:lang w:val="en-US"/>
        </w:rPr>
        <w:t xml:space="preserve"> - The influence of the number of children on residential space size and on the </w:t>
      </w:r>
    </w:p>
    <w:p w14:paraId="6B9258BC" w14:textId="77777777" w:rsidR="004F338F" w:rsidRPr="00C5744E" w:rsidRDefault="004F338F" w:rsidP="004F338F">
      <w:pPr>
        <w:rPr>
          <w:b/>
          <w:lang w:val="en-US"/>
        </w:rPr>
      </w:pPr>
      <w:r w:rsidRPr="00C5744E">
        <w:rPr>
          <w:b/>
          <w:lang w:val="en-US"/>
        </w:rPr>
        <w:t>numbers of household workers– Brazilian cities – IV-2SLS and OLS estimative.</w:t>
      </w:r>
    </w:p>
    <w:tbl>
      <w:tblPr>
        <w:tblStyle w:val="TableGrid"/>
        <w:tblW w:w="9039" w:type="dxa"/>
        <w:tblBorders>
          <w:left w:val="none" w:sz="0" w:space="0" w:color="auto"/>
          <w:right w:val="none" w:sz="0" w:space="0" w:color="auto"/>
        </w:tblBorders>
        <w:tblLayout w:type="fixed"/>
        <w:tblLook w:val="04A0" w:firstRow="1" w:lastRow="0" w:firstColumn="1" w:lastColumn="0" w:noHBand="0" w:noVBand="1"/>
      </w:tblPr>
      <w:tblGrid>
        <w:gridCol w:w="1526"/>
        <w:gridCol w:w="2126"/>
        <w:gridCol w:w="2268"/>
        <w:gridCol w:w="3119"/>
      </w:tblGrid>
      <w:tr w:rsidR="004F338F" w:rsidRPr="00C5744E" w14:paraId="144934E2" w14:textId="77777777" w:rsidTr="004F338F">
        <w:tc>
          <w:tcPr>
            <w:tcW w:w="1526" w:type="dxa"/>
            <w:tcBorders>
              <w:top w:val="single" w:sz="4" w:space="0" w:color="auto"/>
              <w:bottom w:val="single" w:sz="4" w:space="0" w:color="auto"/>
            </w:tcBorders>
          </w:tcPr>
          <w:p w14:paraId="68631E5A" w14:textId="77777777" w:rsidR="004F338F" w:rsidRPr="00C5744E" w:rsidRDefault="004F338F" w:rsidP="00F9765C">
            <w:pPr>
              <w:rPr>
                <w:i/>
              </w:rPr>
            </w:pPr>
          </w:p>
        </w:tc>
        <w:tc>
          <w:tcPr>
            <w:tcW w:w="2126" w:type="dxa"/>
            <w:tcBorders>
              <w:top w:val="single" w:sz="4" w:space="0" w:color="auto"/>
              <w:bottom w:val="single" w:sz="4" w:space="0" w:color="auto"/>
            </w:tcBorders>
          </w:tcPr>
          <w:p w14:paraId="3D905EDA" w14:textId="77777777" w:rsidR="004F338F" w:rsidRPr="00C5744E" w:rsidRDefault="004F338F" w:rsidP="004F338F">
            <w:pPr>
              <w:jc w:val="center"/>
              <w:rPr>
                <w:b/>
              </w:rPr>
            </w:pPr>
            <w:r w:rsidRPr="00C5744E">
              <w:rPr>
                <w:b/>
              </w:rPr>
              <w:t>Bedrooms</w:t>
            </w:r>
          </w:p>
          <w:p w14:paraId="6693AA35" w14:textId="77777777" w:rsidR="004F338F" w:rsidRDefault="004F338F" w:rsidP="00F9765C">
            <w:pPr>
              <w:jc w:val="center"/>
              <w:rPr>
                <w:b/>
              </w:rPr>
            </w:pPr>
          </w:p>
          <w:p w14:paraId="49F5AB5D" w14:textId="77777777" w:rsidR="004F338F" w:rsidRPr="00C5744E" w:rsidRDefault="004F338F" w:rsidP="00F9765C">
            <w:pPr>
              <w:jc w:val="center"/>
              <w:rPr>
                <w:b/>
              </w:rPr>
            </w:pPr>
            <w:r w:rsidRPr="00C5744E">
              <w:rPr>
                <w:b/>
              </w:rPr>
              <w:t>(1)</w:t>
            </w:r>
          </w:p>
        </w:tc>
        <w:tc>
          <w:tcPr>
            <w:tcW w:w="2268" w:type="dxa"/>
            <w:tcBorders>
              <w:top w:val="single" w:sz="4" w:space="0" w:color="auto"/>
              <w:bottom w:val="single" w:sz="4" w:space="0" w:color="auto"/>
            </w:tcBorders>
            <w:vAlign w:val="bottom"/>
          </w:tcPr>
          <w:p w14:paraId="70BBEF24" w14:textId="77777777" w:rsidR="004F338F" w:rsidRDefault="004F338F" w:rsidP="004F338F">
            <w:pPr>
              <w:jc w:val="center"/>
              <w:rPr>
                <w:b/>
              </w:rPr>
            </w:pPr>
            <w:r w:rsidRPr="00C5744E">
              <w:rPr>
                <w:b/>
              </w:rPr>
              <w:t>Rooms</w:t>
            </w:r>
          </w:p>
          <w:p w14:paraId="74D2288B" w14:textId="77777777" w:rsidR="004F338F" w:rsidRDefault="004F338F" w:rsidP="004F338F">
            <w:pPr>
              <w:jc w:val="center"/>
              <w:rPr>
                <w:b/>
              </w:rPr>
            </w:pPr>
          </w:p>
          <w:p w14:paraId="3D6A4F10" w14:textId="77777777" w:rsidR="004F338F" w:rsidRPr="00C5744E" w:rsidRDefault="004F338F" w:rsidP="004F338F">
            <w:pPr>
              <w:jc w:val="center"/>
              <w:rPr>
                <w:b/>
              </w:rPr>
            </w:pPr>
            <w:r w:rsidRPr="00C5744E">
              <w:rPr>
                <w:b/>
              </w:rPr>
              <w:t>(2)</w:t>
            </w:r>
          </w:p>
        </w:tc>
        <w:tc>
          <w:tcPr>
            <w:tcW w:w="3119" w:type="dxa"/>
            <w:tcBorders>
              <w:top w:val="single" w:sz="4" w:space="0" w:color="auto"/>
              <w:bottom w:val="single" w:sz="4" w:space="0" w:color="auto"/>
            </w:tcBorders>
          </w:tcPr>
          <w:p w14:paraId="3267E850" w14:textId="77777777" w:rsidR="004F338F" w:rsidRPr="00C5744E" w:rsidRDefault="004F338F" w:rsidP="00F9765C">
            <w:pPr>
              <w:jc w:val="center"/>
              <w:rPr>
                <w:b/>
              </w:rPr>
            </w:pPr>
            <w:r w:rsidRPr="00C5744E">
              <w:rPr>
                <w:b/>
              </w:rPr>
              <w:t>Household partners</w:t>
            </w:r>
          </w:p>
          <w:p w14:paraId="57481430" w14:textId="77777777" w:rsidR="004F338F" w:rsidRPr="00C5744E" w:rsidRDefault="004F338F" w:rsidP="00F9765C">
            <w:pPr>
              <w:jc w:val="center"/>
              <w:rPr>
                <w:b/>
              </w:rPr>
            </w:pPr>
            <w:r w:rsidRPr="00C5744E">
              <w:rPr>
                <w:b/>
              </w:rPr>
              <w:t>working</w:t>
            </w:r>
          </w:p>
          <w:p w14:paraId="033B4816" w14:textId="77777777" w:rsidR="004F338F" w:rsidRPr="00C5744E" w:rsidRDefault="004F338F" w:rsidP="00F9765C">
            <w:pPr>
              <w:jc w:val="center"/>
              <w:rPr>
                <w:b/>
              </w:rPr>
            </w:pPr>
            <w:r w:rsidRPr="00C5744E">
              <w:rPr>
                <w:b/>
              </w:rPr>
              <w:t>(3)</w:t>
            </w:r>
          </w:p>
        </w:tc>
      </w:tr>
      <w:tr w:rsidR="004F338F" w:rsidRPr="00C5744E" w14:paraId="4CE8F41F" w14:textId="77777777" w:rsidTr="004F338F">
        <w:tc>
          <w:tcPr>
            <w:tcW w:w="1526" w:type="dxa"/>
            <w:tcBorders>
              <w:top w:val="single" w:sz="4" w:space="0" w:color="auto"/>
              <w:bottom w:val="nil"/>
            </w:tcBorders>
          </w:tcPr>
          <w:p w14:paraId="577E811E" w14:textId="77777777" w:rsidR="004F338F" w:rsidRPr="00C5744E" w:rsidRDefault="004F338F" w:rsidP="00F9765C">
            <w:r w:rsidRPr="00C5744E">
              <w:t>Children</w:t>
            </w:r>
          </w:p>
        </w:tc>
        <w:tc>
          <w:tcPr>
            <w:tcW w:w="2126" w:type="dxa"/>
            <w:tcBorders>
              <w:top w:val="single" w:sz="4" w:space="0" w:color="auto"/>
              <w:bottom w:val="nil"/>
            </w:tcBorders>
          </w:tcPr>
          <w:p w14:paraId="2B2C4387" w14:textId="77777777" w:rsidR="004F338F" w:rsidRPr="00C5744E" w:rsidRDefault="004F338F" w:rsidP="00F9765C">
            <w:pPr>
              <w:jc w:val="center"/>
            </w:pPr>
            <w:r w:rsidRPr="00C5744E">
              <w:t>0.238**</w:t>
            </w:r>
          </w:p>
          <w:p w14:paraId="5C274D89" w14:textId="77777777" w:rsidR="004F338F" w:rsidRPr="00C5744E" w:rsidRDefault="004F338F" w:rsidP="00F9765C">
            <w:pPr>
              <w:jc w:val="center"/>
              <w:rPr>
                <w:b/>
              </w:rPr>
            </w:pPr>
            <w:r w:rsidRPr="00C5744E">
              <w:t>(0.062)</w:t>
            </w:r>
          </w:p>
        </w:tc>
        <w:tc>
          <w:tcPr>
            <w:tcW w:w="2268" w:type="dxa"/>
            <w:tcBorders>
              <w:top w:val="single" w:sz="4" w:space="0" w:color="auto"/>
              <w:bottom w:val="nil"/>
            </w:tcBorders>
          </w:tcPr>
          <w:p w14:paraId="6AD66326" w14:textId="77777777" w:rsidR="004F338F" w:rsidRPr="00C5744E" w:rsidRDefault="004F338F" w:rsidP="00F9765C">
            <w:pPr>
              <w:jc w:val="center"/>
            </w:pPr>
            <w:r w:rsidRPr="00C5744E">
              <w:t>0.045**</w:t>
            </w:r>
          </w:p>
          <w:p w14:paraId="3DA6959A" w14:textId="77777777" w:rsidR="004F338F" w:rsidRPr="00C5744E" w:rsidRDefault="004F338F" w:rsidP="00F9765C">
            <w:pPr>
              <w:jc w:val="center"/>
            </w:pPr>
            <w:r w:rsidRPr="00C5744E">
              <w:t>(0.015)</w:t>
            </w:r>
          </w:p>
        </w:tc>
        <w:tc>
          <w:tcPr>
            <w:tcW w:w="3119" w:type="dxa"/>
            <w:tcBorders>
              <w:top w:val="single" w:sz="4" w:space="0" w:color="auto"/>
              <w:bottom w:val="nil"/>
            </w:tcBorders>
          </w:tcPr>
          <w:p w14:paraId="3AC604E5" w14:textId="77777777" w:rsidR="004F338F" w:rsidRPr="00C5744E" w:rsidRDefault="004F338F" w:rsidP="00F9765C">
            <w:pPr>
              <w:jc w:val="center"/>
            </w:pPr>
            <w:r w:rsidRPr="00C5744E">
              <w:t>-0.128**</w:t>
            </w:r>
          </w:p>
          <w:p w14:paraId="59B697C3" w14:textId="77777777" w:rsidR="004F338F" w:rsidRPr="00C5744E" w:rsidRDefault="004F338F" w:rsidP="00F9765C">
            <w:pPr>
              <w:jc w:val="center"/>
            </w:pPr>
            <w:r w:rsidRPr="00C5744E">
              <w:t>(0.042)</w:t>
            </w:r>
          </w:p>
        </w:tc>
      </w:tr>
      <w:tr w:rsidR="004F338F" w:rsidRPr="00C5744E" w14:paraId="2C3000DD" w14:textId="77777777" w:rsidTr="004F338F">
        <w:tc>
          <w:tcPr>
            <w:tcW w:w="1526" w:type="dxa"/>
            <w:tcBorders>
              <w:top w:val="nil"/>
              <w:bottom w:val="nil"/>
            </w:tcBorders>
          </w:tcPr>
          <w:p w14:paraId="1FEA32C3" w14:textId="77777777" w:rsidR="004F338F" w:rsidRPr="00C5744E" w:rsidRDefault="004F338F" w:rsidP="00F9765C">
            <w:r w:rsidRPr="00C5744E">
              <w:t>Controls</w:t>
            </w:r>
          </w:p>
        </w:tc>
        <w:tc>
          <w:tcPr>
            <w:tcW w:w="2126" w:type="dxa"/>
            <w:tcBorders>
              <w:top w:val="nil"/>
              <w:bottom w:val="nil"/>
            </w:tcBorders>
          </w:tcPr>
          <w:p w14:paraId="76AA3316" w14:textId="77777777" w:rsidR="004F338F" w:rsidRPr="00C5744E" w:rsidRDefault="004F338F" w:rsidP="00F9765C">
            <w:pPr>
              <w:jc w:val="center"/>
            </w:pPr>
            <w:r w:rsidRPr="00C5744E">
              <w:t>Yes</w:t>
            </w:r>
          </w:p>
        </w:tc>
        <w:tc>
          <w:tcPr>
            <w:tcW w:w="2268" w:type="dxa"/>
            <w:tcBorders>
              <w:top w:val="nil"/>
              <w:bottom w:val="nil"/>
            </w:tcBorders>
          </w:tcPr>
          <w:p w14:paraId="7A76C16F" w14:textId="77777777" w:rsidR="004F338F" w:rsidRPr="00C5744E" w:rsidRDefault="004F338F" w:rsidP="00F9765C">
            <w:pPr>
              <w:jc w:val="center"/>
            </w:pPr>
            <w:r w:rsidRPr="00C5744E">
              <w:t>Yes</w:t>
            </w:r>
          </w:p>
        </w:tc>
        <w:tc>
          <w:tcPr>
            <w:tcW w:w="3119" w:type="dxa"/>
            <w:tcBorders>
              <w:top w:val="nil"/>
              <w:bottom w:val="nil"/>
            </w:tcBorders>
          </w:tcPr>
          <w:p w14:paraId="38E7B5A3" w14:textId="77777777" w:rsidR="004F338F" w:rsidRPr="00C5744E" w:rsidRDefault="004F338F" w:rsidP="00F9765C">
            <w:pPr>
              <w:jc w:val="center"/>
            </w:pPr>
            <w:r w:rsidRPr="00C5744E">
              <w:t>Yes</w:t>
            </w:r>
          </w:p>
        </w:tc>
      </w:tr>
      <w:tr w:rsidR="004F338F" w:rsidRPr="00C5744E" w14:paraId="6CE89AF2" w14:textId="77777777" w:rsidTr="004F338F">
        <w:tc>
          <w:tcPr>
            <w:tcW w:w="1526" w:type="dxa"/>
            <w:tcBorders>
              <w:top w:val="nil"/>
              <w:bottom w:val="single" w:sz="4" w:space="0" w:color="auto"/>
            </w:tcBorders>
          </w:tcPr>
          <w:p w14:paraId="489DDF2C" w14:textId="77777777" w:rsidR="004F338F" w:rsidRPr="00C5744E" w:rsidRDefault="004F338F" w:rsidP="00F9765C">
            <w:r w:rsidRPr="00C5744E">
              <w:t>Wald/F</w:t>
            </w:r>
          </w:p>
        </w:tc>
        <w:tc>
          <w:tcPr>
            <w:tcW w:w="2126" w:type="dxa"/>
            <w:tcBorders>
              <w:top w:val="nil"/>
              <w:bottom w:val="single" w:sz="4" w:space="0" w:color="auto"/>
            </w:tcBorders>
          </w:tcPr>
          <w:p w14:paraId="6B87805C" w14:textId="77777777" w:rsidR="004F338F" w:rsidRPr="00C5744E" w:rsidRDefault="004F338F" w:rsidP="00F9765C">
            <w:pPr>
              <w:jc w:val="center"/>
            </w:pPr>
            <w:r w:rsidRPr="00C5744E">
              <w:t>2468.18**</w:t>
            </w:r>
          </w:p>
        </w:tc>
        <w:tc>
          <w:tcPr>
            <w:tcW w:w="2268" w:type="dxa"/>
            <w:tcBorders>
              <w:top w:val="nil"/>
              <w:bottom w:val="single" w:sz="4" w:space="0" w:color="auto"/>
            </w:tcBorders>
          </w:tcPr>
          <w:p w14:paraId="48544068" w14:textId="77777777" w:rsidR="004F338F" w:rsidRPr="00C5744E" w:rsidRDefault="004F338F" w:rsidP="00F9765C">
            <w:pPr>
              <w:jc w:val="center"/>
            </w:pPr>
            <w:r w:rsidRPr="00C5744E">
              <w:t>92.24**</w:t>
            </w:r>
          </w:p>
        </w:tc>
        <w:tc>
          <w:tcPr>
            <w:tcW w:w="3119" w:type="dxa"/>
            <w:tcBorders>
              <w:top w:val="nil"/>
              <w:bottom w:val="single" w:sz="4" w:space="0" w:color="auto"/>
            </w:tcBorders>
          </w:tcPr>
          <w:p w14:paraId="6337C0B4" w14:textId="77777777" w:rsidR="004F338F" w:rsidRPr="00C5744E" w:rsidRDefault="004F338F" w:rsidP="00F9765C">
            <w:pPr>
              <w:jc w:val="center"/>
            </w:pPr>
            <w:r w:rsidRPr="00C5744E">
              <w:t>1459.54**</w:t>
            </w:r>
          </w:p>
        </w:tc>
      </w:tr>
      <w:tr w:rsidR="004F338F" w:rsidRPr="00C5744E" w14:paraId="2E56D231" w14:textId="77777777" w:rsidTr="004F338F">
        <w:tc>
          <w:tcPr>
            <w:tcW w:w="1526" w:type="dxa"/>
            <w:tcBorders>
              <w:top w:val="single" w:sz="4" w:space="0" w:color="auto"/>
              <w:bottom w:val="nil"/>
            </w:tcBorders>
          </w:tcPr>
          <w:p w14:paraId="328D22C9" w14:textId="77777777" w:rsidR="004F338F" w:rsidRPr="00C5744E" w:rsidRDefault="004F338F" w:rsidP="00F9765C">
            <w:pPr>
              <w:rPr>
                <w:i/>
              </w:rPr>
            </w:pPr>
            <w:r w:rsidRPr="00C5744E">
              <w:rPr>
                <w:i/>
              </w:rPr>
              <w:t xml:space="preserve">F </w:t>
            </w:r>
          </w:p>
        </w:tc>
        <w:tc>
          <w:tcPr>
            <w:tcW w:w="2126" w:type="dxa"/>
            <w:tcBorders>
              <w:top w:val="single" w:sz="4" w:space="0" w:color="auto"/>
              <w:bottom w:val="nil"/>
            </w:tcBorders>
          </w:tcPr>
          <w:p w14:paraId="6B7C5002" w14:textId="77777777" w:rsidR="004F338F" w:rsidRPr="00C5744E" w:rsidRDefault="004F338F" w:rsidP="00F9765C">
            <w:pPr>
              <w:jc w:val="center"/>
            </w:pPr>
            <w:r w:rsidRPr="00C5744E">
              <w:t>142.88**</w:t>
            </w:r>
          </w:p>
        </w:tc>
        <w:tc>
          <w:tcPr>
            <w:tcW w:w="2268" w:type="dxa"/>
            <w:tcBorders>
              <w:top w:val="single" w:sz="4" w:space="0" w:color="auto"/>
              <w:bottom w:val="nil"/>
            </w:tcBorders>
          </w:tcPr>
          <w:p w14:paraId="1B165883" w14:textId="77777777" w:rsidR="004F338F" w:rsidRPr="00C5744E" w:rsidRDefault="004F338F" w:rsidP="00F9765C">
            <w:pPr>
              <w:jc w:val="center"/>
            </w:pPr>
            <w:r w:rsidRPr="00C5744E">
              <w:t>-</w:t>
            </w:r>
          </w:p>
        </w:tc>
        <w:tc>
          <w:tcPr>
            <w:tcW w:w="3119" w:type="dxa"/>
            <w:tcBorders>
              <w:top w:val="single" w:sz="4" w:space="0" w:color="auto"/>
              <w:bottom w:val="nil"/>
            </w:tcBorders>
          </w:tcPr>
          <w:p w14:paraId="434E4FC3" w14:textId="77777777" w:rsidR="004F338F" w:rsidRPr="00C5744E" w:rsidRDefault="004F338F" w:rsidP="00F9765C">
            <w:pPr>
              <w:jc w:val="center"/>
            </w:pPr>
            <w:r w:rsidRPr="00C5744E">
              <w:t>157.89**</w:t>
            </w:r>
          </w:p>
        </w:tc>
      </w:tr>
      <w:tr w:rsidR="004F338F" w:rsidRPr="00C5744E" w14:paraId="41D66477" w14:textId="77777777" w:rsidTr="004F338F">
        <w:tc>
          <w:tcPr>
            <w:tcW w:w="1526" w:type="dxa"/>
            <w:tcBorders>
              <w:top w:val="nil"/>
              <w:bottom w:val="nil"/>
            </w:tcBorders>
          </w:tcPr>
          <w:p w14:paraId="53CA8049" w14:textId="77777777" w:rsidR="004F338F" w:rsidRPr="00C5744E" w:rsidRDefault="004F338F" w:rsidP="00F9765C">
            <w:r w:rsidRPr="00C5744E">
              <w:t>Durbin (score)</w:t>
            </w:r>
          </w:p>
        </w:tc>
        <w:tc>
          <w:tcPr>
            <w:tcW w:w="2126" w:type="dxa"/>
            <w:tcBorders>
              <w:top w:val="nil"/>
              <w:bottom w:val="nil"/>
            </w:tcBorders>
          </w:tcPr>
          <w:p w14:paraId="1AA84C3C" w14:textId="77777777" w:rsidR="004F338F" w:rsidRPr="00C5744E" w:rsidRDefault="004F338F" w:rsidP="00F9765C">
            <w:pPr>
              <w:jc w:val="center"/>
            </w:pPr>
            <w:r w:rsidRPr="00C5744E">
              <w:t>9.04**</w:t>
            </w:r>
          </w:p>
        </w:tc>
        <w:tc>
          <w:tcPr>
            <w:tcW w:w="2268" w:type="dxa"/>
            <w:tcBorders>
              <w:top w:val="nil"/>
              <w:bottom w:val="nil"/>
            </w:tcBorders>
          </w:tcPr>
          <w:p w14:paraId="458159DC" w14:textId="77777777" w:rsidR="004F338F" w:rsidRPr="00C5744E" w:rsidRDefault="004F338F" w:rsidP="00F9765C">
            <w:pPr>
              <w:jc w:val="center"/>
            </w:pPr>
            <w:r w:rsidRPr="00C5744E">
              <w:t>0.12</w:t>
            </w:r>
          </w:p>
        </w:tc>
        <w:tc>
          <w:tcPr>
            <w:tcW w:w="3119" w:type="dxa"/>
            <w:tcBorders>
              <w:top w:val="nil"/>
              <w:bottom w:val="nil"/>
            </w:tcBorders>
          </w:tcPr>
          <w:p w14:paraId="0E613261" w14:textId="77777777" w:rsidR="004F338F" w:rsidRPr="00C5744E" w:rsidRDefault="004F338F" w:rsidP="00F9765C">
            <w:pPr>
              <w:jc w:val="center"/>
            </w:pPr>
            <w:r w:rsidRPr="00C5744E">
              <w:t>17.55**</w:t>
            </w:r>
          </w:p>
        </w:tc>
      </w:tr>
      <w:tr w:rsidR="004F338F" w:rsidRPr="00C5744E" w14:paraId="0FAD994F" w14:textId="77777777" w:rsidTr="004F338F">
        <w:tc>
          <w:tcPr>
            <w:tcW w:w="1526" w:type="dxa"/>
            <w:tcBorders>
              <w:top w:val="nil"/>
              <w:bottom w:val="nil"/>
            </w:tcBorders>
          </w:tcPr>
          <w:p w14:paraId="58D91008" w14:textId="77777777" w:rsidR="004F338F" w:rsidRPr="00C5744E" w:rsidRDefault="004F338F" w:rsidP="00F9765C">
            <w:pPr>
              <w:rPr>
                <w:b/>
              </w:rPr>
            </w:pPr>
            <w:r w:rsidRPr="00C5744E">
              <w:t xml:space="preserve">Wu-Hausman </w:t>
            </w:r>
          </w:p>
        </w:tc>
        <w:tc>
          <w:tcPr>
            <w:tcW w:w="2126" w:type="dxa"/>
            <w:tcBorders>
              <w:top w:val="nil"/>
              <w:bottom w:val="nil"/>
            </w:tcBorders>
          </w:tcPr>
          <w:p w14:paraId="1A48E4D7" w14:textId="77777777" w:rsidR="004F338F" w:rsidRPr="00C5744E" w:rsidRDefault="004F338F" w:rsidP="00F9765C">
            <w:pPr>
              <w:jc w:val="center"/>
            </w:pPr>
            <w:r w:rsidRPr="00C5744E">
              <w:t>9.06**</w:t>
            </w:r>
          </w:p>
        </w:tc>
        <w:tc>
          <w:tcPr>
            <w:tcW w:w="2268" w:type="dxa"/>
            <w:tcBorders>
              <w:top w:val="nil"/>
              <w:bottom w:val="nil"/>
            </w:tcBorders>
          </w:tcPr>
          <w:p w14:paraId="797FCF17" w14:textId="77777777" w:rsidR="004F338F" w:rsidRPr="00C5744E" w:rsidRDefault="004F338F" w:rsidP="00F9765C">
            <w:pPr>
              <w:jc w:val="center"/>
            </w:pPr>
            <w:r w:rsidRPr="00C5744E">
              <w:t>0.12</w:t>
            </w:r>
          </w:p>
        </w:tc>
        <w:tc>
          <w:tcPr>
            <w:tcW w:w="3119" w:type="dxa"/>
            <w:tcBorders>
              <w:top w:val="nil"/>
              <w:bottom w:val="nil"/>
            </w:tcBorders>
          </w:tcPr>
          <w:p w14:paraId="37388E08" w14:textId="77777777" w:rsidR="004F338F" w:rsidRPr="00C5744E" w:rsidRDefault="004F338F" w:rsidP="00F9765C">
            <w:pPr>
              <w:jc w:val="center"/>
            </w:pPr>
            <w:r w:rsidRPr="00C5744E">
              <w:t>17.96**</w:t>
            </w:r>
          </w:p>
        </w:tc>
      </w:tr>
      <w:tr w:rsidR="004F338F" w:rsidRPr="00C5744E" w14:paraId="5F1CF59E" w14:textId="77777777" w:rsidTr="004F338F">
        <w:tc>
          <w:tcPr>
            <w:tcW w:w="1526" w:type="dxa"/>
            <w:tcBorders>
              <w:top w:val="nil"/>
              <w:bottom w:val="nil"/>
            </w:tcBorders>
          </w:tcPr>
          <w:p w14:paraId="11DF1B5B" w14:textId="77777777" w:rsidR="004F338F" w:rsidRPr="00C5744E" w:rsidRDefault="004F338F" w:rsidP="00F9765C">
            <w:r w:rsidRPr="00C5744E">
              <w:t>Cragg-Donald</w:t>
            </w:r>
          </w:p>
        </w:tc>
        <w:tc>
          <w:tcPr>
            <w:tcW w:w="2126" w:type="dxa"/>
            <w:tcBorders>
              <w:top w:val="nil"/>
              <w:bottom w:val="nil"/>
            </w:tcBorders>
          </w:tcPr>
          <w:p w14:paraId="3729399E" w14:textId="77777777" w:rsidR="004F338F" w:rsidRPr="00C5744E" w:rsidRDefault="004F338F" w:rsidP="00F9765C">
            <w:pPr>
              <w:jc w:val="center"/>
            </w:pPr>
            <w:r w:rsidRPr="00C5744E">
              <w:t>203.61**</w:t>
            </w:r>
          </w:p>
        </w:tc>
        <w:tc>
          <w:tcPr>
            <w:tcW w:w="2268" w:type="dxa"/>
            <w:tcBorders>
              <w:top w:val="nil"/>
              <w:bottom w:val="nil"/>
            </w:tcBorders>
          </w:tcPr>
          <w:p w14:paraId="439427C8" w14:textId="77777777" w:rsidR="004F338F" w:rsidRPr="00C5744E" w:rsidRDefault="004F338F" w:rsidP="00F9765C">
            <w:pPr>
              <w:jc w:val="center"/>
            </w:pPr>
            <w:r w:rsidRPr="00C5744E">
              <w:t>-</w:t>
            </w:r>
          </w:p>
        </w:tc>
        <w:tc>
          <w:tcPr>
            <w:tcW w:w="3119" w:type="dxa"/>
            <w:tcBorders>
              <w:top w:val="nil"/>
              <w:bottom w:val="nil"/>
            </w:tcBorders>
          </w:tcPr>
          <w:p w14:paraId="25C70524" w14:textId="77777777" w:rsidR="004F338F" w:rsidRPr="00C5744E" w:rsidRDefault="004F338F" w:rsidP="00F9765C">
            <w:pPr>
              <w:jc w:val="center"/>
            </w:pPr>
            <w:r w:rsidRPr="00C5744E">
              <w:t>227.46**</w:t>
            </w:r>
          </w:p>
        </w:tc>
      </w:tr>
      <w:tr w:rsidR="004F338F" w:rsidRPr="00C5744E" w14:paraId="58055D2F" w14:textId="77777777" w:rsidTr="004F338F">
        <w:tc>
          <w:tcPr>
            <w:tcW w:w="1526" w:type="dxa"/>
            <w:tcBorders>
              <w:top w:val="nil"/>
              <w:bottom w:val="single" w:sz="4" w:space="0" w:color="auto"/>
            </w:tcBorders>
          </w:tcPr>
          <w:p w14:paraId="7507896F" w14:textId="77777777" w:rsidR="004F338F" w:rsidRPr="00C5744E" w:rsidRDefault="004F338F" w:rsidP="00F9765C">
            <w:r w:rsidRPr="00C5744E">
              <w:t>AR robust</w:t>
            </w:r>
          </w:p>
        </w:tc>
        <w:tc>
          <w:tcPr>
            <w:tcW w:w="2126" w:type="dxa"/>
            <w:tcBorders>
              <w:top w:val="nil"/>
              <w:bottom w:val="single" w:sz="4" w:space="0" w:color="auto"/>
            </w:tcBorders>
          </w:tcPr>
          <w:p w14:paraId="3D305BC3" w14:textId="77777777" w:rsidR="004F338F" w:rsidRPr="00C5744E" w:rsidRDefault="004F338F" w:rsidP="00F9765C">
            <w:pPr>
              <w:jc w:val="center"/>
            </w:pPr>
            <w:r w:rsidRPr="00C5744E">
              <w:t>15.59**</w:t>
            </w:r>
          </w:p>
        </w:tc>
        <w:tc>
          <w:tcPr>
            <w:tcW w:w="2268" w:type="dxa"/>
            <w:tcBorders>
              <w:top w:val="nil"/>
              <w:bottom w:val="single" w:sz="4" w:space="0" w:color="auto"/>
            </w:tcBorders>
          </w:tcPr>
          <w:p w14:paraId="033D2C2C" w14:textId="77777777" w:rsidR="004F338F" w:rsidRPr="00C5744E" w:rsidRDefault="004F338F" w:rsidP="00F9765C">
            <w:pPr>
              <w:jc w:val="center"/>
            </w:pPr>
            <w:r w:rsidRPr="00C5744E">
              <w:t>-</w:t>
            </w:r>
          </w:p>
        </w:tc>
        <w:tc>
          <w:tcPr>
            <w:tcW w:w="3119" w:type="dxa"/>
            <w:tcBorders>
              <w:top w:val="nil"/>
              <w:bottom w:val="single" w:sz="4" w:space="0" w:color="auto"/>
            </w:tcBorders>
          </w:tcPr>
          <w:p w14:paraId="5CD44FC7" w14:textId="77777777" w:rsidR="004F338F" w:rsidRPr="00C5744E" w:rsidRDefault="004F338F" w:rsidP="00F9765C">
            <w:pPr>
              <w:jc w:val="center"/>
            </w:pPr>
            <w:r w:rsidRPr="00C5744E">
              <w:t>10.46**</w:t>
            </w:r>
          </w:p>
        </w:tc>
      </w:tr>
      <w:tr w:rsidR="004F338F" w:rsidRPr="00C5744E" w14:paraId="2FCD7A32" w14:textId="77777777" w:rsidTr="004F338F">
        <w:tc>
          <w:tcPr>
            <w:tcW w:w="1526" w:type="dxa"/>
            <w:tcBorders>
              <w:top w:val="nil"/>
              <w:bottom w:val="single" w:sz="4" w:space="0" w:color="auto"/>
            </w:tcBorders>
          </w:tcPr>
          <w:p w14:paraId="60D4C763" w14:textId="77777777" w:rsidR="004F338F" w:rsidRPr="00C5744E" w:rsidRDefault="004F338F" w:rsidP="00F9765C">
            <w:r w:rsidRPr="00C5744E">
              <w:t>Observations</w:t>
            </w:r>
          </w:p>
        </w:tc>
        <w:tc>
          <w:tcPr>
            <w:tcW w:w="2126" w:type="dxa"/>
            <w:tcBorders>
              <w:top w:val="nil"/>
              <w:bottom w:val="single" w:sz="4" w:space="0" w:color="auto"/>
            </w:tcBorders>
          </w:tcPr>
          <w:p w14:paraId="5DF20FB5" w14:textId="77777777" w:rsidR="004F338F" w:rsidRPr="00C5744E" w:rsidRDefault="004F338F" w:rsidP="00F9765C">
            <w:pPr>
              <w:jc w:val="center"/>
            </w:pPr>
            <w:r w:rsidRPr="00C5744E">
              <w:t>14,033</w:t>
            </w:r>
          </w:p>
        </w:tc>
        <w:tc>
          <w:tcPr>
            <w:tcW w:w="2268" w:type="dxa"/>
            <w:tcBorders>
              <w:top w:val="nil"/>
              <w:bottom w:val="single" w:sz="4" w:space="0" w:color="auto"/>
            </w:tcBorders>
          </w:tcPr>
          <w:p w14:paraId="2A517E6D" w14:textId="77777777" w:rsidR="004F338F" w:rsidRPr="00C5744E" w:rsidRDefault="004F338F" w:rsidP="00F9765C">
            <w:pPr>
              <w:jc w:val="center"/>
            </w:pPr>
            <w:r w:rsidRPr="00C5744E">
              <w:t>14,033</w:t>
            </w:r>
          </w:p>
        </w:tc>
        <w:tc>
          <w:tcPr>
            <w:tcW w:w="3119" w:type="dxa"/>
            <w:tcBorders>
              <w:top w:val="nil"/>
              <w:bottom w:val="single" w:sz="4" w:space="0" w:color="auto"/>
            </w:tcBorders>
          </w:tcPr>
          <w:p w14:paraId="136BF61D" w14:textId="77777777" w:rsidR="004F338F" w:rsidRPr="00C5744E" w:rsidRDefault="004F338F" w:rsidP="00F9765C">
            <w:pPr>
              <w:jc w:val="center"/>
            </w:pPr>
            <w:r w:rsidRPr="00C5744E">
              <w:t>14,033</w:t>
            </w:r>
          </w:p>
        </w:tc>
      </w:tr>
    </w:tbl>
    <w:p w14:paraId="78D5AAD3" w14:textId="77777777" w:rsidR="004F338F" w:rsidRPr="00C5744E" w:rsidRDefault="004F338F" w:rsidP="004F338F">
      <w:pPr>
        <w:rPr>
          <w:sz w:val="20"/>
          <w:szCs w:val="20"/>
          <w:lang w:val="en-US"/>
        </w:rPr>
      </w:pPr>
      <w:r w:rsidRPr="00C5744E">
        <w:rPr>
          <w:sz w:val="20"/>
          <w:szCs w:val="20"/>
          <w:lang w:val="en-US"/>
        </w:rPr>
        <w:t>Obs.: Robust standardized error in parenthesis. ** p &lt; 0.05, * p &lt; 0.1. “Bedrooms” indicates the</w:t>
      </w:r>
    </w:p>
    <w:p w14:paraId="3807589D" w14:textId="77777777" w:rsidR="004F338F" w:rsidRPr="00C5744E" w:rsidRDefault="004F338F" w:rsidP="004F338F">
      <w:pPr>
        <w:rPr>
          <w:sz w:val="20"/>
          <w:szCs w:val="20"/>
          <w:lang w:val="en-US"/>
        </w:rPr>
      </w:pPr>
      <w:r w:rsidRPr="00C5744E">
        <w:rPr>
          <w:sz w:val="20"/>
          <w:szCs w:val="20"/>
          <w:lang w:val="en-US"/>
        </w:rPr>
        <w:t>number of bedrooms of the residence, “Rooms” indicates the number of rooms, and “Household workers”</w:t>
      </w:r>
    </w:p>
    <w:p w14:paraId="0CDF5189" w14:textId="77777777" w:rsidR="004F338F" w:rsidRPr="00C5744E" w:rsidRDefault="004F338F" w:rsidP="004F338F">
      <w:pPr>
        <w:rPr>
          <w:sz w:val="20"/>
          <w:szCs w:val="20"/>
          <w:lang w:val="en-US"/>
        </w:rPr>
      </w:pPr>
      <w:r w:rsidRPr="00C5744E">
        <w:rPr>
          <w:sz w:val="20"/>
          <w:szCs w:val="20"/>
          <w:lang w:val="en-US"/>
        </w:rPr>
        <w:t xml:space="preserve"> indicates the number of the non-siblings workers in the household. “Controls” includes all the variables</w:t>
      </w:r>
    </w:p>
    <w:p w14:paraId="6E47A7B8" w14:textId="77777777" w:rsidR="004F338F" w:rsidRPr="00C5744E" w:rsidRDefault="004F338F" w:rsidP="004F338F">
      <w:pPr>
        <w:rPr>
          <w:sz w:val="20"/>
          <w:szCs w:val="20"/>
          <w:lang w:val="en-US"/>
        </w:rPr>
      </w:pPr>
      <w:r w:rsidRPr="00C5744E">
        <w:rPr>
          <w:sz w:val="20"/>
          <w:szCs w:val="20"/>
          <w:lang w:val="en-US"/>
        </w:rPr>
        <w:t xml:space="preserve"> presented in Table 3. In specifications (1) and (3), the instrumented variable is the number of siblings</w:t>
      </w:r>
    </w:p>
    <w:p w14:paraId="4DFA2B77" w14:textId="77777777" w:rsidR="004F338F" w:rsidRPr="00C5744E" w:rsidRDefault="004F338F" w:rsidP="004F338F">
      <w:pPr>
        <w:rPr>
          <w:sz w:val="20"/>
          <w:szCs w:val="20"/>
          <w:lang w:val="en-US"/>
        </w:rPr>
      </w:pPr>
      <w:r w:rsidRPr="00C5744E">
        <w:rPr>
          <w:sz w:val="20"/>
          <w:szCs w:val="20"/>
          <w:lang w:val="en-US"/>
        </w:rPr>
        <w:t xml:space="preserve"> (“Children”) and the excluded instrument is an indicator of having the first two children of the same sex</w:t>
      </w:r>
    </w:p>
    <w:p w14:paraId="1162442F" w14:textId="77777777" w:rsidR="004F338F" w:rsidRPr="00C5744E" w:rsidRDefault="004F338F" w:rsidP="004F338F">
      <w:pPr>
        <w:rPr>
          <w:sz w:val="20"/>
          <w:szCs w:val="20"/>
          <w:lang w:val="en-US"/>
        </w:rPr>
      </w:pPr>
      <w:r w:rsidRPr="00C5744E">
        <w:rPr>
          <w:sz w:val="20"/>
          <w:szCs w:val="20"/>
          <w:lang w:val="en-US"/>
        </w:rPr>
        <w:t xml:space="preserve"> (“Same-sex”). </w:t>
      </w:r>
    </w:p>
    <w:p w14:paraId="01DE6B49" w14:textId="77777777" w:rsidR="004F338F" w:rsidRPr="00C5744E" w:rsidRDefault="004F338F" w:rsidP="004F338F">
      <w:pPr>
        <w:ind w:firstLine="720"/>
        <w:jc w:val="both"/>
        <w:rPr>
          <w:lang w:val="en-US"/>
        </w:rPr>
      </w:pPr>
    </w:p>
    <w:p w14:paraId="4CC68970" w14:textId="77777777" w:rsidR="004F338F" w:rsidRPr="00C5744E" w:rsidRDefault="004F338F" w:rsidP="004F338F">
      <w:pPr>
        <w:ind w:firstLine="720"/>
        <w:jc w:val="both"/>
        <w:rPr>
          <w:lang w:val="en-US"/>
        </w:rPr>
      </w:pPr>
      <w:r w:rsidRPr="00C5744E">
        <w:rPr>
          <w:lang w:val="en-US"/>
        </w:rPr>
        <w:t xml:space="preserve">In order to evaluate the importance of these effects as mechanism behind the effect of the numbers on the household head chance of presenting a longer commuting time, we addition these variables as new control variables in our initial specification used to measure this association. The set of new evidence is presented </w:t>
      </w:r>
      <w:r>
        <w:rPr>
          <w:lang w:val="en-US"/>
        </w:rPr>
        <w:t>in the following Table 9</w:t>
      </w:r>
      <w:r w:rsidRPr="00C5744E">
        <w:rPr>
          <w:lang w:val="en-US"/>
        </w:rPr>
        <w:t>; the columns (1)-(3) present evidence considering the residential space variables and the column (4) presents the estimative when considering the number of working partners as an additional explanatory variable. Again, for space reasons, only second stage coefficient estimative for the number of children is presented.</w:t>
      </w:r>
    </w:p>
    <w:p w14:paraId="77937730" w14:textId="77777777" w:rsidR="004F338F" w:rsidRPr="00C5744E" w:rsidRDefault="004F338F" w:rsidP="004F338F">
      <w:pPr>
        <w:ind w:firstLine="720"/>
        <w:jc w:val="both"/>
        <w:rPr>
          <w:lang w:val="en-US"/>
        </w:rPr>
      </w:pPr>
      <w:r w:rsidRPr="00C5744E">
        <w:rPr>
          <w:lang w:val="en-US"/>
        </w:rPr>
        <w:t>As can be immediately noted form the estimative for the coefficients of specifications (1)-(3), the value obtained for the number of children barely change when compared to our base line estimative (see Table 5). On the other hand, the addition of the variable capturing the number of working partners of the household to our initial specification turn the coefficient for the number of children statistically insig</w:t>
      </w:r>
      <w:r>
        <w:rPr>
          <w:lang w:val="en-US"/>
        </w:rPr>
        <w:t>nificant (column (4) of Table 9</w:t>
      </w:r>
      <w:r w:rsidRPr="00C5744E">
        <w:rPr>
          <w:lang w:val="en-US"/>
        </w:rPr>
        <w:t xml:space="preserve">). Thus, the set of evidence of Table 8 indicates that although a higher number of children appears to increase the demand to space, this effect is not enough for families trade-off accessibility for residential space. Nevertheless, a higher number of children appear to affect the household head’s commuting time thought its effect on the household partners labor market insertion; together with the evidence of Table 9, this result is consistent with weaker (stronger) necessity of home services associated with lower (higher) number of children and, thus, with more (less) importance of accessibility to jobs when deciding the residential location.    </w:t>
      </w:r>
    </w:p>
    <w:p w14:paraId="6F5053B0" w14:textId="77777777" w:rsidR="004F338F" w:rsidRPr="00C5744E" w:rsidRDefault="004F338F" w:rsidP="004F338F">
      <w:pPr>
        <w:rPr>
          <w:b/>
          <w:lang w:val="en-US"/>
        </w:rPr>
      </w:pPr>
    </w:p>
    <w:p w14:paraId="77A76C76" w14:textId="77777777" w:rsidR="004F338F" w:rsidRPr="00C5744E" w:rsidRDefault="004F338F" w:rsidP="004F338F">
      <w:pPr>
        <w:rPr>
          <w:b/>
          <w:lang w:val="en-US"/>
        </w:rPr>
      </w:pPr>
      <w:r>
        <w:rPr>
          <w:b/>
          <w:lang w:val="en-US"/>
        </w:rPr>
        <w:t>Table 9</w:t>
      </w:r>
      <w:r w:rsidRPr="00C5744E">
        <w:rPr>
          <w:b/>
          <w:lang w:val="en-US"/>
        </w:rPr>
        <w:t xml:space="preserve"> - The influence of the number of children on residential space size and on the chance of a longer commuting time– Brazilian cities – IV-2SLS.</w:t>
      </w:r>
    </w:p>
    <w:tbl>
      <w:tblPr>
        <w:tblStyle w:val="TableGrid"/>
        <w:tblW w:w="8755" w:type="dxa"/>
        <w:tblBorders>
          <w:left w:val="none" w:sz="0" w:space="0" w:color="auto"/>
          <w:right w:val="none" w:sz="0" w:space="0" w:color="auto"/>
        </w:tblBorders>
        <w:tblLayout w:type="fixed"/>
        <w:tblLook w:val="04A0" w:firstRow="1" w:lastRow="0" w:firstColumn="1" w:lastColumn="0" w:noHBand="0" w:noVBand="1"/>
      </w:tblPr>
      <w:tblGrid>
        <w:gridCol w:w="2802"/>
        <w:gridCol w:w="1417"/>
        <w:gridCol w:w="1418"/>
        <w:gridCol w:w="1559"/>
        <w:gridCol w:w="1559"/>
      </w:tblGrid>
      <w:tr w:rsidR="004F338F" w:rsidRPr="00C5744E" w14:paraId="082E6DFF" w14:textId="77777777" w:rsidTr="00F9765C">
        <w:tc>
          <w:tcPr>
            <w:tcW w:w="2802" w:type="dxa"/>
            <w:tcBorders>
              <w:top w:val="single" w:sz="4" w:space="0" w:color="auto"/>
              <w:bottom w:val="single" w:sz="4" w:space="0" w:color="auto"/>
            </w:tcBorders>
          </w:tcPr>
          <w:p w14:paraId="6CF8EFDD" w14:textId="77777777" w:rsidR="004F338F" w:rsidRPr="00C5744E" w:rsidRDefault="004F338F" w:rsidP="00F9765C">
            <w:pPr>
              <w:rPr>
                <w:i/>
              </w:rPr>
            </w:pPr>
          </w:p>
        </w:tc>
        <w:tc>
          <w:tcPr>
            <w:tcW w:w="1417" w:type="dxa"/>
            <w:tcBorders>
              <w:top w:val="single" w:sz="4" w:space="0" w:color="auto"/>
              <w:bottom w:val="single" w:sz="4" w:space="0" w:color="auto"/>
            </w:tcBorders>
          </w:tcPr>
          <w:p w14:paraId="2516DB03" w14:textId="77777777" w:rsidR="004F338F" w:rsidRPr="00C5744E" w:rsidRDefault="004F338F" w:rsidP="00F9765C">
            <w:pPr>
              <w:jc w:val="center"/>
              <w:rPr>
                <w:b/>
              </w:rPr>
            </w:pPr>
            <w:r w:rsidRPr="00C5744E">
              <w:rPr>
                <w:b/>
              </w:rPr>
              <w:t xml:space="preserve"> (1)</w:t>
            </w:r>
          </w:p>
        </w:tc>
        <w:tc>
          <w:tcPr>
            <w:tcW w:w="1418" w:type="dxa"/>
            <w:tcBorders>
              <w:top w:val="single" w:sz="4" w:space="0" w:color="auto"/>
              <w:bottom w:val="single" w:sz="4" w:space="0" w:color="auto"/>
            </w:tcBorders>
          </w:tcPr>
          <w:p w14:paraId="78DCC0F4" w14:textId="77777777" w:rsidR="004F338F" w:rsidRPr="00C5744E" w:rsidRDefault="004F338F" w:rsidP="00F9765C">
            <w:pPr>
              <w:jc w:val="center"/>
              <w:rPr>
                <w:b/>
              </w:rPr>
            </w:pPr>
            <w:r w:rsidRPr="00C5744E">
              <w:rPr>
                <w:b/>
              </w:rPr>
              <w:t xml:space="preserve"> (2)</w:t>
            </w:r>
          </w:p>
        </w:tc>
        <w:tc>
          <w:tcPr>
            <w:tcW w:w="1559" w:type="dxa"/>
            <w:tcBorders>
              <w:top w:val="single" w:sz="4" w:space="0" w:color="auto"/>
              <w:bottom w:val="single" w:sz="4" w:space="0" w:color="auto"/>
            </w:tcBorders>
          </w:tcPr>
          <w:p w14:paraId="47E339B1" w14:textId="77777777" w:rsidR="004F338F" w:rsidRPr="00C5744E" w:rsidRDefault="004F338F" w:rsidP="00F9765C">
            <w:pPr>
              <w:jc w:val="center"/>
              <w:rPr>
                <w:b/>
              </w:rPr>
            </w:pPr>
            <w:r w:rsidRPr="00C5744E">
              <w:rPr>
                <w:b/>
              </w:rPr>
              <w:t xml:space="preserve"> (3)</w:t>
            </w:r>
          </w:p>
        </w:tc>
        <w:tc>
          <w:tcPr>
            <w:tcW w:w="1559" w:type="dxa"/>
            <w:tcBorders>
              <w:top w:val="single" w:sz="4" w:space="0" w:color="auto"/>
              <w:bottom w:val="single" w:sz="4" w:space="0" w:color="auto"/>
            </w:tcBorders>
          </w:tcPr>
          <w:p w14:paraId="73290840" w14:textId="77777777" w:rsidR="004F338F" w:rsidRPr="00C5744E" w:rsidRDefault="004F338F" w:rsidP="00F9765C">
            <w:pPr>
              <w:jc w:val="center"/>
              <w:rPr>
                <w:b/>
              </w:rPr>
            </w:pPr>
            <w:r w:rsidRPr="00C5744E">
              <w:rPr>
                <w:b/>
              </w:rPr>
              <w:t xml:space="preserve"> (4)</w:t>
            </w:r>
          </w:p>
        </w:tc>
      </w:tr>
      <w:tr w:rsidR="004F338F" w:rsidRPr="00C5744E" w14:paraId="11F207AD" w14:textId="77777777" w:rsidTr="00F9765C">
        <w:tc>
          <w:tcPr>
            <w:tcW w:w="2802" w:type="dxa"/>
            <w:tcBorders>
              <w:top w:val="single" w:sz="4" w:space="0" w:color="auto"/>
              <w:bottom w:val="nil"/>
            </w:tcBorders>
          </w:tcPr>
          <w:p w14:paraId="783E9518" w14:textId="77777777" w:rsidR="004F338F" w:rsidRPr="00C5744E" w:rsidRDefault="004F338F" w:rsidP="00F9765C">
            <w:r w:rsidRPr="00C5744E">
              <w:t>Children</w:t>
            </w:r>
          </w:p>
        </w:tc>
        <w:tc>
          <w:tcPr>
            <w:tcW w:w="1417" w:type="dxa"/>
            <w:tcBorders>
              <w:top w:val="single" w:sz="4" w:space="0" w:color="auto"/>
              <w:bottom w:val="nil"/>
            </w:tcBorders>
          </w:tcPr>
          <w:p w14:paraId="13EAA22C" w14:textId="77777777" w:rsidR="004F338F" w:rsidRPr="00C5744E" w:rsidRDefault="004F338F" w:rsidP="00F9765C">
            <w:pPr>
              <w:jc w:val="center"/>
            </w:pPr>
            <w:r w:rsidRPr="00C5744E">
              <w:t>0.220**</w:t>
            </w:r>
          </w:p>
          <w:p w14:paraId="2B5C2D8E" w14:textId="77777777" w:rsidR="004F338F" w:rsidRPr="00C5744E" w:rsidRDefault="004F338F" w:rsidP="00F9765C">
            <w:pPr>
              <w:jc w:val="center"/>
            </w:pPr>
            <w:r w:rsidRPr="00C5744E">
              <w:t>(0.110)</w:t>
            </w:r>
          </w:p>
        </w:tc>
        <w:tc>
          <w:tcPr>
            <w:tcW w:w="1418" w:type="dxa"/>
            <w:tcBorders>
              <w:top w:val="single" w:sz="4" w:space="0" w:color="auto"/>
              <w:bottom w:val="nil"/>
            </w:tcBorders>
          </w:tcPr>
          <w:p w14:paraId="0A4C6393" w14:textId="77777777" w:rsidR="004F338F" w:rsidRPr="00C5744E" w:rsidRDefault="004F338F" w:rsidP="00F9765C">
            <w:pPr>
              <w:jc w:val="center"/>
            </w:pPr>
            <w:r w:rsidRPr="00C5744E">
              <w:t>0.211**</w:t>
            </w:r>
          </w:p>
          <w:p w14:paraId="2F94C0B7" w14:textId="77777777" w:rsidR="004F338F" w:rsidRPr="00C5744E" w:rsidRDefault="004F338F" w:rsidP="00F9765C">
            <w:pPr>
              <w:jc w:val="center"/>
            </w:pPr>
            <w:r w:rsidRPr="00C5744E">
              <w:t>(0.107)</w:t>
            </w:r>
          </w:p>
        </w:tc>
        <w:tc>
          <w:tcPr>
            <w:tcW w:w="1559" w:type="dxa"/>
            <w:tcBorders>
              <w:top w:val="single" w:sz="4" w:space="0" w:color="auto"/>
              <w:bottom w:val="nil"/>
            </w:tcBorders>
          </w:tcPr>
          <w:p w14:paraId="78B1FCCD" w14:textId="77777777" w:rsidR="004F338F" w:rsidRPr="00C5744E" w:rsidRDefault="004F338F" w:rsidP="00F9765C">
            <w:pPr>
              <w:jc w:val="center"/>
            </w:pPr>
            <w:r w:rsidRPr="00C5744E">
              <w:t>0.215*</w:t>
            </w:r>
          </w:p>
          <w:p w14:paraId="5F3C39E2" w14:textId="77777777" w:rsidR="004F338F" w:rsidRPr="00C5744E" w:rsidRDefault="004F338F" w:rsidP="00F9765C">
            <w:pPr>
              <w:jc w:val="center"/>
            </w:pPr>
            <w:r w:rsidRPr="00C5744E">
              <w:t>(0.110)</w:t>
            </w:r>
          </w:p>
        </w:tc>
        <w:tc>
          <w:tcPr>
            <w:tcW w:w="1559" w:type="dxa"/>
            <w:tcBorders>
              <w:top w:val="single" w:sz="4" w:space="0" w:color="auto"/>
              <w:bottom w:val="nil"/>
            </w:tcBorders>
          </w:tcPr>
          <w:p w14:paraId="24858538" w14:textId="77777777" w:rsidR="004F338F" w:rsidRPr="00C5744E" w:rsidRDefault="004F338F" w:rsidP="00F9765C">
            <w:pPr>
              <w:jc w:val="center"/>
            </w:pPr>
            <w:r w:rsidRPr="00C5744E">
              <w:t>0.281</w:t>
            </w:r>
          </w:p>
          <w:p w14:paraId="31548152" w14:textId="77777777" w:rsidR="004F338F" w:rsidRPr="00C5744E" w:rsidRDefault="004F338F" w:rsidP="00F9765C">
            <w:pPr>
              <w:jc w:val="center"/>
            </w:pPr>
            <w:r w:rsidRPr="00C5744E">
              <w:t>(0.180)</w:t>
            </w:r>
          </w:p>
        </w:tc>
      </w:tr>
      <w:tr w:rsidR="004F338F" w:rsidRPr="00C5744E" w14:paraId="5E3B767C" w14:textId="77777777" w:rsidTr="00F9765C">
        <w:tc>
          <w:tcPr>
            <w:tcW w:w="2802" w:type="dxa"/>
            <w:tcBorders>
              <w:top w:val="nil"/>
              <w:bottom w:val="nil"/>
            </w:tcBorders>
          </w:tcPr>
          <w:p w14:paraId="0D1D2602" w14:textId="77777777" w:rsidR="004F338F" w:rsidRPr="00C5744E" w:rsidRDefault="004F338F" w:rsidP="00F9765C">
            <w:r w:rsidRPr="00C5744E">
              <w:t>Controls</w:t>
            </w:r>
          </w:p>
        </w:tc>
        <w:tc>
          <w:tcPr>
            <w:tcW w:w="1417" w:type="dxa"/>
            <w:tcBorders>
              <w:top w:val="nil"/>
              <w:bottom w:val="nil"/>
            </w:tcBorders>
          </w:tcPr>
          <w:p w14:paraId="3247CA02" w14:textId="77777777" w:rsidR="004F338F" w:rsidRPr="00C5744E" w:rsidRDefault="004F338F" w:rsidP="00F9765C">
            <w:pPr>
              <w:jc w:val="center"/>
            </w:pPr>
            <w:r w:rsidRPr="00C5744E">
              <w:t>Yes</w:t>
            </w:r>
          </w:p>
        </w:tc>
        <w:tc>
          <w:tcPr>
            <w:tcW w:w="1418" w:type="dxa"/>
            <w:tcBorders>
              <w:top w:val="nil"/>
              <w:bottom w:val="nil"/>
            </w:tcBorders>
          </w:tcPr>
          <w:p w14:paraId="071D79CF" w14:textId="77777777" w:rsidR="004F338F" w:rsidRPr="00C5744E" w:rsidRDefault="004F338F" w:rsidP="00F9765C">
            <w:pPr>
              <w:jc w:val="center"/>
            </w:pPr>
            <w:r w:rsidRPr="00C5744E">
              <w:t>Yes</w:t>
            </w:r>
          </w:p>
        </w:tc>
        <w:tc>
          <w:tcPr>
            <w:tcW w:w="1559" w:type="dxa"/>
            <w:tcBorders>
              <w:top w:val="nil"/>
              <w:bottom w:val="nil"/>
            </w:tcBorders>
          </w:tcPr>
          <w:p w14:paraId="10D6ADD4" w14:textId="77777777" w:rsidR="004F338F" w:rsidRPr="00C5744E" w:rsidRDefault="004F338F" w:rsidP="00F9765C">
            <w:pPr>
              <w:jc w:val="center"/>
            </w:pPr>
            <w:r w:rsidRPr="00C5744E">
              <w:t>Yes</w:t>
            </w:r>
          </w:p>
        </w:tc>
        <w:tc>
          <w:tcPr>
            <w:tcW w:w="1559" w:type="dxa"/>
            <w:tcBorders>
              <w:top w:val="nil"/>
              <w:bottom w:val="nil"/>
            </w:tcBorders>
          </w:tcPr>
          <w:p w14:paraId="16D75744" w14:textId="77777777" w:rsidR="004F338F" w:rsidRPr="00C5744E" w:rsidRDefault="004F338F" w:rsidP="00F9765C">
            <w:pPr>
              <w:jc w:val="center"/>
            </w:pPr>
            <w:r w:rsidRPr="00C5744E">
              <w:t>Yes</w:t>
            </w:r>
          </w:p>
        </w:tc>
      </w:tr>
      <w:tr w:rsidR="004F338F" w:rsidRPr="00C5744E" w14:paraId="2C76C1D2" w14:textId="77777777" w:rsidTr="00F9765C">
        <w:tc>
          <w:tcPr>
            <w:tcW w:w="2802" w:type="dxa"/>
            <w:tcBorders>
              <w:top w:val="nil"/>
              <w:bottom w:val="nil"/>
            </w:tcBorders>
          </w:tcPr>
          <w:p w14:paraId="2A3D6863" w14:textId="77777777" w:rsidR="004F338F" w:rsidRPr="00C5744E" w:rsidRDefault="004F338F" w:rsidP="00F9765C">
            <w:r w:rsidRPr="00C5744E">
              <w:t>Bedrooms</w:t>
            </w:r>
          </w:p>
        </w:tc>
        <w:tc>
          <w:tcPr>
            <w:tcW w:w="1417" w:type="dxa"/>
            <w:tcBorders>
              <w:top w:val="nil"/>
              <w:bottom w:val="nil"/>
            </w:tcBorders>
          </w:tcPr>
          <w:p w14:paraId="10DA62AD" w14:textId="77777777" w:rsidR="004F338F" w:rsidRPr="00C5744E" w:rsidRDefault="004F338F" w:rsidP="00F9765C">
            <w:pPr>
              <w:jc w:val="center"/>
            </w:pPr>
            <w:r w:rsidRPr="00C5744E">
              <w:t>Yes</w:t>
            </w:r>
          </w:p>
        </w:tc>
        <w:tc>
          <w:tcPr>
            <w:tcW w:w="1418" w:type="dxa"/>
            <w:tcBorders>
              <w:top w:val="nil"/>
              <w:bottom w:val="nil"/>
            </w:tcBorders>
          </w:tcPr>
          <w:p w14:paraId="25084FFB" w14:textId="77777777" w:rsidR="004F338F" w:rsidRPr="00C5744E" w:rsidRDefault="004F338F" w:rsidP="00F9765C">
            <w:pPr>
              <w:jc w:val="center"/>
            </w:pPr>
            <w:r w:rsidRPr="00C5744E">
              <w:t>No</w:t>
            </w:r>
          </w:p>
        </w:tc>
        <w:tc>
          <w:tcPr>
            <w:tcW w:w="1559" w:type="dxa"/>
            <w:tcBorders>
              <w:top w:val="nil"/>
              <w:bottom w:val="nil"/>
            </w:tcBorders>
          </w:tcPr>
          <w:p w14:paraId="4AF10E73" w14:textId="77777777" w:rsidR="004F338F" w:rsidRPr="00C5744E" w:rsidRDefault="004F338F" w:rsidP="00F9765C">
            <w:pPr>
              <w:jc w:val="center"/>
            </w:pPr>
            <w:r w:rsidRPr="00C5744E">
              <w:t>Yes</w:t>
            </w:r>
          </w:p>
        </w:tc>
        <w:tc>
          <w:tcPr>
            <w:tcW w:w="1559" w:type="dxa"/>
            <w:tcBorders>
              <w:top w:val="nil"/>
              <w:bottom w:val="nil"/>
            </w:tcBorders>
          </w:tcPr>
          <w:p w14:paraId="1CC42972" w14:textId="77777777" w:rsidR="004F338F" w:rsidRPr="00C5744E" w:rsidRDefault="004F338F" w:rsidP="00F9765C">
            <w:pPr>
              <w:jc w:val="center"/>
            </w:pPr>
            <w:r w:rsidRPr="00C5744E">
              <w:t>No</w:t>
            </w:r>
          </w:p>
        </w:tc>
      </w:tr>
      <w:tr w:rsidR="004F338F" w:rsidRPr="00C5744E" w14:paraId="5BB6EC98" w14:textId="77777777" w:rsidTr="00F9765C">
        <w:tc>
          <w:tcPr>
            <w:tcW w:w="2802" w:type="dxa"/>
            <w:tcBorders>
              <w:top w:val="nil"/>
              <w:bottom w:val="nil"/>
            </w:tcBorders>
          </w:tcPr>
          <w:p w14:paraId="62F67319" w14:textId="77777777" w:rsidR="004F338F" w:rsidRPr="00C5744E" w:rsidRDefault="004F338F" w:rsidP="00F9765C">
            <w:r w:rsidRPr="00C5744E">
              <w:t>Rooms</w:t>
            </w:r>
          </w:p>
        </w:tc>
        <w:tc>
          <w:tcPr>
            <w:tcW w:w="1417" w:type="dxa"/>
            <w:tcBorders>
              <w:top w:val="nil"/>
              <w:bottom w:val="nil"/>
            </w:tcBorders>
          </w:tcPr>
          <w:p w14:paraId="23AA6FCF" w14:textId="77777777" w:rsidR="004F338F" w:rsidRPr="00C5744E" w:rsidRDefault="004F338F" w:rsidP="00F9765C">
            <w:pPr>
              <w:jc w:val="center"/>
            </w:pPr>
            <w:r w:rsidRPr="00C5744E">
              <w:t>No</w:t>
            </w:r>
          </w:p>
        </w:tc>
        <w:tc>
          <w:tcPr>
            <w:tcW w:w="1418" w:type="dxa"/>
            <w:tcBorders>
              <w:top w:val="nil"/>
              <w:bottom w:val="nil"/>
            </w:tcBorders>
          </w:tcPr>
          <w:p w14:paraId="5C9016FD" w14:textId="77777777" w:rsidR="004F338F" w:rsidRPr="00C5744E" w:rsidRDefault="004F338F" w:rsidP="00F9765C">
            <w:pPr>
              <w:jc w:val="center"/>
            </w:pPr>
            <w:r w:rsidRPr="00C5744E">
              <w:t>Yes</w:t>
            </w:r>
          </w:p>
        </w:tc>
        <w:tc>
          <w:tcPr>
            <w:tcW w:w="1559" w:type="dxa"/>
            <w:tcBorders>
              <w:top w:val="nil"/>
              <w:bottom w:val="nil"/>
            </w:tcBorders>
          </w:tcPr>
          <w:p w14:paraId="1ECEC9FE" w14:textId="77777777" w:rsidR="004F338F" w:rsidRPr="00C5744E" w:rsidRDefault="004F338F" w:rsidP="00F9765C">
            <w:pPr>
              <w:jc w:val="center"/>
            </w:pPr>
            <w:r w:rsidRPr="00C5744E">
              <w:t>Yes</w:t>
            </w:r>
          </w:p>
        </w:tc>
        <w:tc>
          <w:tcPr>
            <w:tcW w:w="1559" w:type="dxa"/>
            <w:tcBorders>
              <w:top w:val="nil"/>
              <w:bottom w:val="nil"/>
            </w:tcBorders>
          </w:tcPr>
          <w:p w14:paraId="7E27E631" w14:textId="77777777" w:rsidR="004F338F" w:rsidRPr="00C5744E" w:rsidRDefault="004F338F" w:rsidP="00F9765C">
            <w:pPr>
              <w:jc w:val="center"/>
            </w:pPr>
            <w:r w:rsidRPr="00C5744E">
              <w:t>No</w:t>
            </w:r>
          </w:p>
        </w:tc>
      </w:tr>
      <w:tr w:rsidR="004F338F" w:rsidRPr="00C5744E" w14:paraId="1D9D9ED8" w14:textId="77777777" w:rsidTr="00F9765C">
        <w:tc>
          <w:tcPr>
            <w:tcW w:w="2802" w:type="dxa"/>
            <w:tcBorders>
              <w:top w:val="nil"/>
              <w:bottom w:val="nil"/>
            </w:tcBorders>
          </w:tcPr>
          <w:p w14:paraId="139F7ABB" w14:textId="77777777" w:rsidR="004F338F" w:rsidRPr="00C5744E" w:rsidRDefault="004F338F" w:rsidP="00F9765C">
            <w:r w:rsidRPr="00C5744E">
              <w:t>Household partners workers</w:t>
            </w:r>
          </w:p>
        </w:tc>
        <w:tc>
          <w:tcPr>
            <w:tcW w:w="1417" w:type="dxa"/>
            <w:tcBorders>
              <w:top w:val="nil"/>
              <w:bottom w:val="nil"/>
            </w:tcBorders>
          </w:tcPr>
          <w:p w14:paraId="683426E8" w14:textId="77777777" w:rsidR="004F338F" w:rsidRPr="00C5744E" w:rsidRDefault="004F338F" w:rsidP="00F9765C">
            <w:pPr>
              <w:jc w:val="center"/>
            </w:pPr>
            <w:r w:rsidRPr="00C5744E">
              <w:t>No</w:t>
            </w:r>
          </w:p>
        </w:tc>
        <w:tc>
          <w:tcPr>
            <w:tcW w:w="1418" w:type="dxa"/>
            <w:tcBorders>
              <w:top w:val="nil"/>
              <w:bottom w:val="nil"/>
            </w:tcBorders>
          </w:tcPr>
          <w:p w14:paraId="33C57D5B" w14:textId="77777777" w:rsidR="004F338F" w:rsidRPr="00C5744E" w:rsidRDefault="004F338F" w:rsidP="00F9765C">
            <w:pPr>
              <w:jc w:val="center"/>
            </w:pPr>
            <w:r w:rsidRPr="00C5744E">
              <w:t>No</w:t>
            </w:r>
          </w:p>
        </w:tc>
        <w:tc>
          <w:tcPr>
            <w:tcW w:w="1559" w:type="dxa"/>
            <w:tcBorders>
              <w:top w:val="nil"/>
              <w:bottom w:val="nil"/>
            </w:tcBorders>
          </w:tcPr>
          <w:p w14:paraId="3A66D530" w14:textId="77777777" w:rsidR="004F338F" w:rsidRPr="00C5744E" w:rsidRDefault="004F338F" w:rsidP="00F9765C">
            <w:pPr>
              <w:jc w:val="center"/>
            </w:pPr>
            <w:r w:rsidRPr="00C5744E">
              <w:t>No</w:t>
            </w:r>
          </w:p>
        </w:tc>
        <w:tc>
          <w:tcPr>
            <w:tcW w:w="1559" w:type="dxa"/>
            <w:tcBorders>
              <w:top w:val="nil"/>
              <w:bottom w:val="nil"/>
            </w:tcBorders>
          </w:tcPr>
          <w:p w14:paraId="160D7712" w14:textId="77777777" w:rsidR="004F338F" w:rsidRPr="00C5744E" w:rsidRDefault="004F338F" w:rsidP="00F9765C">
            <w:pPr>
              <w:jc w:val="center"/>
            </w:pPr>
            <w:r w:rsidRPr="00C5744E">
              <w:t>Yes</w:t>
            </w:r>
          </w:p>
        </w:tc>
      </w:tr>
      <w:tr w:rsidR="004F338F" w:rsidRPr="00C5744E" w14:paraId="08C53D3C" w14:textId="77777777" w:rsidTr="00F9765C">
        <w:tc>
          <w:tcPr>
            <w:tcW w:w="2802" w:type="dxa"/>
            <w:tcBorders>
              <w:top w:val="nil"/>
              <w:bottom w:val="single" w:sz="4" w:space="0" w:color="auto"/>
            </w:tcBorders>
          </w:tcPr>
          <w:p w14:paraId="42E38BE0" w14:textId="77777777" w:rsidR="004F338F" w:rsidRPr="00C5744E" w:rsidRDefault="004F338F" w:rsidP="00F9765C">
            <w:r w:rsidRPr="00C5744E">
              <w:t>Wald/F</w:t>
            </w:r>
          </w:p>
        </w:tc>
        <w:tc>
          <w:tcPr>
            <w:tcW w:w="1417" w:type="dxa"/>
            <w:tcBorders>
              <w:top w:val="nil"/>
              <w:bottom w:val="single" w:sz="4" w:space="0" w:color="auto"/>
            </w:tcBorders>
          </w:tcPr>
          <w:p w14:paraId="2E79EE30" w14:textId="77777777" w:rsidR="004F338F" w:rsidRPr="00C5744E" w:rsidRDefault="004F338F" w:rsidP="00F9765C">
            <w:pPr>
              <w:jc w:val="center"/>
            </w:pPr>
            <w:r w:rsidRPr="00C5744E">
              <w:t>1164.27**</w:t>
            </w:r>
          </w:p>
        </w:tc>
        <w:tc>
          <w:tcPr>
            <w:tcW w:w="1418" w:type="dxa"/>
            <w:tcBorders>
              <w:top w:val="nil"/>
              <w:bottom w:val="single" w:sz="4" w:space="0" w:color="auto"/>
            </w:tcBorders>
          </w:tcPr>
          <w:p w14:paraId="16B36ACD" w14:textId="77777777" w:rsidR="004F338F" w:rsidRPr="00C5744E" w:rsidRDefault="004F338F" w:rsidP="00F9765C">
            <w:pPr>
              <w:jc w:val="center"/>
            </w:pPr>
            <w:r w:rsidRPr="00C5744E">
              <w:t>1213.60**</w:t>
            </w:r>
          </w:p>
        </w:tc>
        <w:tc>
          <w:tcPr>
            <w:tcW w:w="1559" w:type="dxa"/>
            <w:tcBorders>
              <w:top w:val="nil"/>
              <w:bottom w:val="single" w:sz="4" w:space="0" w:color="auto"/>
            </w:tcBorders>
          </w:tcPr>
          <w:p w14:paraId="7C14F942" w14:textId="77777777" w:rsidR="004F338F" w:rsidRPr="00C5744E" w:rsidRDefault="004F338F" w:rsidP="00F9765C">
            <w:pPr>
              <w:jc w:val="center"/>
            </w:pPr>
            <w:r w:rsidRPr="00C5744E">
              <w:t>1206.65**</w:t>
            </w:r>
          </w:p>
        </w:tc>
        <w:tc>
          <w:tcPr>
            <w:tcW w:w="1559" w:type="dxa"/>
            <w:tcBorders>
              <w:top w:val="nil"/>
              <w:bottom w:val="single" w:sz="4" w:space="0" w:color="auto"/>
            </w:tcBorders>
          </w:tcPr>
          <w:p w14:paraId="4BAB616C" w14:textId="77777777" w:rsidR="004F338F" w:rsidRPr="00C5744E" w:rsidRDefault="004F338F" w:rsidP="00F9765C">
            <w:pPr>
              <w:jc w:val="center"/>
            </w:pPr>
            <w:r w:rsidRPr="00C5744E">
              <w:t>1039.99**</w:t>
            </w:r>
          </w:p>
        </w:tc>
      </w:tr>
      <w:tr w:rsidR="004F338F" w:rsidRPr="00C5744E" w14:paraId="2054BDE1" w14:textId="77777777" w:rsidTr="00F9765C">
        <w:tc>
          <w:tcPr>
            <w:tcW w:w="2802" w:type="dxa"/>
            <w:tcBorders>
              <w:top w:val="single" w:sz="4" w:space="0" w:color="auto"/>
              <w:bottom w:val="nil"/>
            </w:tcBorders>
          </w:tcPr>
          <w:p w14:paraId="11CAE7D6" w14:textId="77777777" w:rsidR="004F338F" w:rsidRPr="00C5744E" w:rsidRDefault="004F338F" w:rsidP="00F9765C">
            <w:pPr>
              <w:rPr>
                <w:i/>
              </w:rPr>
            </w:pPr>
            <w:r w:rsidRPr="00C5744E">
              <w:rPr>
                <w:i/>
              </w:rPr>
              <w:t xml:space="preserve">F </w:t>
            </w:r>
          </w:p>
        </w:tc>
        <w:tc>
          <w:tcPr>
            <w:tcW w:w="1417" w:type="dxa"/>
            <w:tcBorders>
              <w:top w:val="single" w:sz="4" w:space="0" w:color="auto"/>
              <w:bottom w:val="nil"/>
            </w:tcBorders>
          </w:tcPr>
          <w:p w14:paraId="302CC9B2" w14:textId="77777777" w:rsidR="004F338F" w:rsidRPr="00C5744E" w:rsidRDefault="004F338F" w:rsidP="00F9765C">
            <w:pPr>
              <w:jc w:val="center"/>
            </w:pPr>
            <w:r w:rsidRPr="00C5744E">
              <w:t>18.68**</w:t>
            </w:r>
          </w:p>
        </w:tc>
        <w:tc>
          <w:tcPr>
            <w:tcW w:w="1418" w:type="dxa"/>
            <w:tcBorders>
              <w:top w:val="single" w:sz="4" w:space="0" w:color="auto"/>
              <w:bottom w:val="nil"/>
            </w:tcBorders>
          </w:tcPr>
          <w:p w14:paraId="41427A0C" w14:textId="77777777" w:rsidR="004F338F" w:rsidRPr="00C5744E" w:rsidRDefault="004F338F" w:rsidP="00F9765C">
            <w:pPr>
              <w:jc w:val="center"/>
            </w:pPr>
            <w:r w:rsidRPr="00C5744E">
              <w:t>19.43**</w:t>
            </w:r>
          </w:p>
        </w:tc>
        <w:tc>
          <w:tcPr>
            <w:tcW w:w="1559" w:type="dxa"/>
            <w:tcBorders>
              <w:top w:val="single" w:sz="4" w:space="0" w:color="auto"/>
              <w:bottom w:val="nil"/>
            </w:tcBorders>
          </w:tcPr>
          <w:p w14:paraId="2E50E3AB" w14:textId="77777777" w:rsidR="004F338F" w:rsidRPr="00C5744E" w:rsidRDefault="004F338F" w:rsidP="00F9765C">
            <w:pPr>
              <w:jc w:val="center"/>
            </w:pPr>
            <w:r w:rsidRPr="00C5744E">
              <w:t>18.52**</w:t>
            </w:r>
          </w:p>
        </w:tc>
        <w:tc>
          <w:tcPr>
            <w:tcW w:w="1559" w:type="dxa"/>
            <w:tcBorders>
              <w:top w:val="single" w:sz="4" w:space="0" w:color="auto"/>
              <w:bottom w:val="nil"/>
            </w:tcBorders>
          </w:tcPr>
          <w:p w14:paraId="703AF1A2" w14:textId="77777777" w:rsidR="004F338F" w:rsidRPr="00C5744E" w:rsidRDefault="004F338F" w:rsidP="00F9765C">
            <w:pPr>
              <w:jc w:val="center"/>
            </w:pPr>
            <w:r w:rsidRPr="00C5744E">
              <w:t>7.82**</w:t>
            </w:r>
          </w:p>
        </w:tc>
      </w:tr>
      <w:tr w:rsidR="004F338F" w:rsidRPr="00C5744E" w14:paraId="12ADD335" w14:textId="77777777" w:rsidTr="00F9765C">
        <w:tc>
          <w:tcPr>
            <w:tcW w:w="2802" w:type="dxa"/>
            <w:tcBorders>
              <w:top w:val="nil"/>
              <w:bottom w:val="nil"/>
            </w:tcBorders>
          </w:tcPr>
          <w:p w14:paraId="6E05151C" w14:textId="77777777" w:rsidR="004F338F" w:rsidRPr="00C5744E" w:rsidRDefault="004F338F" w:rsidP="00F9765C">
            <w:r w:rsidRPr="00C5744E">
              <w:t>Durbin (score)</w:t>
            </w:r>
          </w:p>
        </w:tc>
        <w:tc>
          <w:tcPr>
            <w:tcW w:w="1417" w:type="dxa"/>
            <w:tcBorders>
              <w:top w:val="nil"/>
              <w:bottom w:val="nil"/>
            </w:tcBorders>
          </w:tcPr>
          <w:p w14:paraId="5407D219" w14:textId="77777777" w:rsidR="004F338F" w:rsidRPr="00C5744E" w:rsidRDefault="004F338F" w:rsidP="00F9765C">
            <w:pPr>
              <w:jc w:val="center"/>
            </w:pPr>
            <w:r w:rsidRPr="00C5744E">
              <w:t>4.67**</w:t>
            </w:r>
          </w:p>
        </w:tc>
        <w:tc>
          <w:tcPr>
            <w:tcW w:w="1418" w:type="dxa"/>
            <w:tcBorders>
              <w:top w:val="nil"/>
              <w:bottom w:val="nil"/>
            </w:tcBorders>
          </w:tcPr>
          <w:p w14:paraId="4B13FDE5" w14:textId="77777777" w:rsidR="004F338F" w:rsidRPr="00C5744E" w:rsidRDefault="004F338F" w:rsidP="00F9765C">
            <w:pPr>
              <w:jc w:val="center"/>
            </w:pPr>
            <w:r w:rsidRPr="00C5744E">
              <w:t>4.42**</w:t>
            </w:r>
          </w:p>
        </w:tc>
        <w:tc>
          <w:tcPr>
            <w:tcW w:w="1559" w:type="dxa"/>
            <w:tcBorders>
              <w:top w:val="nil"/>
              <w:bottom w:val="nil"/>
            </w:tcBorders>
          </w:tcPr>
          <w:p w14:paraId="59001AD9" w14:textId="77777777" w:rsidR="004F338F" w:rsidRPr="00C5744E" w:rsidRDefault="004F338F" w:rsidP="00F9765C">
            <w:pPr>
              <w:jc w:val="center"/>
            </w:pPr>
            <w:r w:rsidRPr="00C5744E">
              <w:t>4.42**</w:t>
            </w:r>
          </w:p>
        </w:tc>
        <w:tc>
          <w:tcPr>
            <w:tcW w:w="1559" w:type="dxa"/>
            <w:tcBorders>
              <w:top w:val="nil"/>
              <w:bottom w:val="nil"/>
            </w:tcBorders>
          </w:tcPr>
          <w:p w14:paraId="7412DCCE" w14:textId="77777777" w:rsidR="004F338F" w:rsidRPr="00C5744E" w:rsidRDefault="004F338F" w:rsidP="00F9765C">
            <w:pPr>
              <w:jc w:val="center"/>
            </w:pPr>
            <w:r w:rsidRPr="00C5744E">
              <w:t>3.35*</w:t>
            </w:r>
          </w:p>
        </w:tc>
      </w:tr>
      <w:tr w:rsidR="004F338F" w:rsidRPr="00C5744E" w14:paraId="7E1236F2" w14:textId="77777777" w:rsidTr="00F9765C">
        <w:tc>
          <w:tcPr>
            <w:tcW w:w="2802" w:type="dxa"/>
            <w:tcBorders>
              <w:top w:val="nil"/>
              <w:bottom w:val="nil"/>
            </w:tcBorders>
          </w:tcPr>
          <w:p w14:paraId="318C6236" w14:textId="77777777" w:rsidR="004F338F" w:rsidRPr="00C5744E" w:rsidRDefault="004F338F" w:rsidP="00F9765C">
            <w:pPr>
              <w:rPr>
                <w:b/>
              </w:rPr>
            </w:pPr>
            <w:r w:rsidRPr="00C5744E">
              <w:t xml:space="preserve">Wu-Hausman </w:t>
            </w:r>
          </w:p>
        </w:tc>
        <w:tc>
          <w:tcPr>
            <w:tcW w:w="1417" w:type="dxa"/>
            <w:tcBorders>
              <w:top w:val="nil"/>
              <w:bottom w:val="nil"/>
            </w:tcBorders>
          </w:tcPr>
          <w:p w14:paraId="71A06FCE" w14:textId="77777777" w:rsidR="004F338F" w:rsidRPr="00C5744E" w:rsidRDefault="004F338F" w:rsidP="00F9765C">
            <w:pPr>
              <w:jc w:val="center"/>
            </w:pPr>
            <w:r w:rsidRPr="00C5744E">
              <w:t>4.68**</w:t>
            </w:r>
          </w:p>
        </w:tc>
        <w:tc>
          <w:tcPr>
            <w:tcW w:w="1418" w:type="dxa"/>
            <w:tcBorders>
              <w:top w:val="nil"/>
              <w:bottom w:val="nil"/>
            </w:tcBorders>
          </w:tcPr>
          <w:p w14:paraId="32EE28E6" w14:textId="77777777" w:rsidR="004F338F" w:rsidRPr="00C5744E" w:rsidRDefault="004F338F" w:rsidP="00F9765C">
            <w:pPr>
              <w:jc w:val="center"/>
            </w:pPr>
            <w:r w:rsidRPr="00C5744E">
              <w:t>4.42**</w:t>
            </w:r>
          </w:p>
        </w:tc>
        <w:tc>
          <w:tcPr>
            <w:tcW w:w="1559" w:type="dxa"/>
            <w:tcBorders>
              <w:top w:val="nil"/>
              <w:bottom w:val="nil"/>
            </w:tcBorders>
          </w:tcPr>
          <w:p w14:paraId="75A3CB28" w14:textId="77777777" w:rsidR="004F338F" w:rsidRPr="00C5744E" w:rsidRDefault="004F338F" w:rsidP="00F9765C">
            <w:pPr>
              <w:jc w:val="center"/>
            </w:pPr>
            <w:r w:rsidRPr="00C5744E">
              <w:t>4.43**</w:t>
            </w:r>
          </w:p>
        </w:tc>
        <w:tc>
          <w:tcPr>
            <w:tcW w:w="1559" w:type="dxa"/>
            <w:tcBorders>
              <w:top w:val="nil"/>
              <w:bottom w:val="nil"/>
            </w:tcBorders>
          </w:tcPr>
          <w:p w14:paraId="27B5A1F0" w14:textId="77777777" w:rsidR="004F338F" w:rsidRPr="00C5744E" w:rsidRDefault="004F338F" w:rsidP="00F9765C">
            <w:pPr>
              <w:jc w:val="center"/>
            </w:pPr>
            <w:r w:rsidRPr="00C5744E">
              <w:t>3.34*</w:t>
            </w:r>
          </w:p>
        </w:tc>
      </w:tr>
      <w:tr w:rsidR="004F338F" w:rsidRPr="00C5744E" w14:paraId="74624E63" w14:textId="77777777" w:rsidTr="00F9765C">
        <w:tc>
          <w:tcPr>
            <w:tcW w:w="2802" w:type="dxa"/>
            <w:tcBorders>
              <w:top w:val="nil"/>
              <w:bottom w:val="nil"/>
            </w:tcBorders>
          </w:tcPr>
          <w:p w14:paraId="1BD2DC0D" w14:textId="77777777" w:rsidR="004F338F" w:rsidRPr="00C5744E" w:rsidRDefault="004F338F" w:rsidP="00F9765C">
            <w:r w:rsidRPr="00C5744E">
              <w:t>Cragg-Donald</w:t>
            </w:r>
          </w:p>
        </w:tc>
        <w:tc>
          <w:tcPr>
            <w:tcW w:w="1417" w:type="dxa"/>
            <w:tcBorders>
              <w:top w:val="nil"/>
              <w:bottom w:val="nil"/>
            </w:tcBorders>
          </w:tcPr>
          <w:p w14:paraId="03509533" w14:textId="77777777" w:rsidR="004F338F" w:rsidRPr="00C5744E" w:rsidRDefault="004F338F" w:rsidP="00F9765C">
            <w:pPr>
              <w:jc w:val="center"/>
            </w:pPr>
            <w:r w:rsidRPr="00C5744E">
              <w:t>25.45**</w:t>
            </w:r>
          </w:p>
        </w:tc>
        <w:tc>
          <w:tcPr>
            <w:tcW w:w="1418" w:type="dxa"/>
            <w:tcBorders>
              <w:top w:val="nil"/>
              <w:bottom w:val="nil"/>
            </w:tcBorders>
          </w:tcPr>
          <w:p w14:paraId="45787B07" w14:textId="77777777" w:rsidR="004F338F" w:rsidRPr="00C5744E" w:rsidRDefault="004F338F" w:rsidP="00F9765C">
            <w:pPr>
              <w:jc w:val="center"/>
            </w:pPr>
            <w:r w:rsidRPr="00C5744E">
              <w:t>26.39**</w:t>
            </w:r>
          </w:p>
        </w:tc>
        <w:tc>
          <w:tcPr>
            <w:tcW w:w="1559" w:type="dxa"/>
            <w:tcBorders>
              <w:top w:val="nil"/>
              <w:bottom w:val="nil"/>
            </w:tcBorders>
          </w:tcPr>
          <w:p w14:paraId="3A14898C" w14:textId="77777777" w:rsidR="004F338F" w:rsidRPr="00C5744E" w:rsidRDefault="004F338F" w:rsidP="00F9765C">
            <w:pPr>
              <w:jc w:val="center"/>
            </w:pPr>
            <w:r w:rsidRPr="00C5744E">
              <w:t>25.24**</w:t>
            </w:r>
          </w:p>
        </w:tc>
        <w:tc>
          <w:tcPr>
            <w:tcW w:w="1559" w:type="dxa"/>
            <w:tcBorders>
              <w:top w:val="nil"/>
              <w:bottom w:val="nil"/>
            </w:tcBorders>
          </w:tcPr>
          <w:p w14:paraId="40ED8DB6" w14:textId="77777777" w:rsidR="004F338F" w:rsidRPr="00C5744E" w:rsidRDefault="004F338F" w:rsidP="00F9765C">
            <w:pPr>
              <w:jc w:val="center"/>
            </w:pPr>
            <w:r w:rsidRPr="00C5744E">
              <w:t>10.90</w:t>
            </w:r>
          </w:p>
        </w:tc>
      </w:tr>
      <w:tr w:rsidR="004F338F" w:rsidRPr="00C5744E" w14:paraId="247D19F7" w14:textId="77777777" w:rsidTr="00F9765C">
        <w:tc>
          <w:tcPr>
            <w:tcW w:w="2802" w:type="dxa"/>
            <w:tcBorders>
              <w:top w:val="nil"/>
              <w:bottom w:val="single" w:sz="4" w:space="0" w:color="auto"/>
            </w:tcBorders>
          </w:tcPr>
          <w:p w14:paraId="7A6632E8" w14:textId="77777777" w:rsidR="004F338F" w:rsidRPr="00C5744E" w:rsidRDefault="004F338F" w:rsidP="00F9765C">
            <w:r w:rsidRPr="00C5744E">
              <w:t>AR robust</w:t>
            </w:r>
          </w:p>
        </w:tc>
        <w:tc>
          <w:tcPr>
            <w:tcW w:w="1417" w:type="dxa"/>
            <w:tcBorders>
              <w:top w:val="nil"/>
              <w:bottom w:val="single" w:sz="4" w:space="0" w:color="auto"/>
            </w:tcBorders>
          </w:tcPr>
          <w:p w14:paraId="3DBBF3BB" w14:textId="77777777" w:rsidR="004F338F" w:rsidRPr="00C5744E" w:rsidRDefault="004F338F" w:rsidP="00F9765C">
            <w:pPr>
              <w:jc w:val="center"/>
            </w:pPr>
            <w:r w:rsidRPr="00C5744E">
              <w:t>5.13**</w:t>
            </w:r>
          </w:p>
        </w:tc>
        <w:tc>
          <w:tcPr>
            <w:tcW w:w="1418" w:type="dxa"/>
            <w:tcBorders>
              <w:top w:val="nil"/>
              <w:bottom w:val="single" w:sz="4" w:space="0" w:color="auto"/>
            </w:tcBorders>
          </w:tcPr>
          <w:p w14:paraId="6E8213BD" w14:textId="77777777" w:rsidR="004F338F" w:rsidRPr="00C5744E" w:rsidRDefault="004F338F" w:rsidP="00F9765C">
            <w:pPr>
              <w:jc w:val="center"/>
            </w:pPr>
            <w:r w:rsidRPr="00C5744E">
              <w:t>4.85**</w:t>
            </w:r>
          </w:p>
        </w:tc>
        <w:tc>
          <w:tcPr>
            <w:tcW w:w="1559" w:type="dxa"/>
            <w:tcBorders>
              <w:top w:val="nil"/>
              <w:bottom w:val="single" w:sz="4" w:space="0" w:color="auto"/>
            </w:tcBorders>
          </w:tcPr>
          <w:p w14:paraId="0F3C2C74" w14:textId="77777777" w:rsidR="004F338F" w:rsidRPr="00C5744E" w:rsidRDefault="004F338F" w:rsidP="00F9765C">
            <w:pPr>
              <w:jc w:val="center"/>
            </w:pPr>
            <w:r w:rsidRPr="00C5744E">
              <w:t>4.85**</w:t>
            </w:r>
          </w:p>
        </w:tc>
        <w:tc>
          <w:tcPr>
            <w:tcW w:w="1559" w:type="dxa"/>
            <w:tcBorders>
              <w:top w:val="nil"/>
              <w:bottom w:val="single" w:sz="4" w:space="0" w:color="auto"/>
            </w:tcBorders>
          </w:tcPr>
          <w:p w14:paraId="12821C1C" w14:textId="77777777" w:rsidR="004F338F" w:rsidRPr="00C5744E" w:rsidRDefault="004F338F" w:rsidP="00F9765C">
            <w:pPr>
              <w:jc w:val="center"/>
            </w:pPr>
            <w:r w:rsidRPr="00C5744E">
              <w:t>3.57*</w:t>
            </w:r>
          </w:p>
        </w:tc>
      </w:tr>
      <w:tr w:rsidR="004F338F" w:rsidRPr="00C5744E" w14:paraId="2B9DF29A" w14:textId="77777777" w:rsidTr="00F9765C">
        <w:tc>
          <w:tcPr>
            <w:tcW w:w="2802" w:type="dxa"/>
            <w:tcBorders>
              <w:top w:val="nil"/>
              <w:bottom w:val="single" w:sz="4" w:space="0" w:color="auto"/>
            </w:tcBorders>
          </w:tcPr>
          <w:p w14:paraId="6E59F09E" w14:textId="77777777" w:rsidR="004F338F" w:rsidRPr="00C5744E" w:rsidRDefault="004F338F" w:rsidP="00F9765C">
            <w:r w:rsidRPr="00C5744E">
              <w:t>Observations</w:t>
            </w:r>
          </w:p>
        </w:tc>
        <w:tc>
          <w:tcPr>
            <w:tcW w:w="1417" w:type="dxa"/>
            <w:tcBorders>
              <w:top w:val="nil"/>
              <w:bottom w:val="single" w:sz="4" w:space="0" w:color="auto"/>
            </w:tcBorders>
          </w:tcPr>
          <w:p w14:paraId="0B70E014" w14:textId="77777777" w:rsidR="004F338F" w:rsidRPr="00C5744E" w:rsidRDefault="004F338F" w:rsidP="00F9765C">
            <w:pPr>
              <w:jc w:val="center"/>
            </w:pPr>
            <w:r w:rsidRPr="00C5744E">
              <w:t>14,033</w:t>
            </w:r>
          </w:p>
        </w:tc>
        <w:tc>
          <w:tcPr>
            <w:tcW w:w="1418" w:type="dxa"/>
            <w:tcBorders>
              <w:top w:val="nil"/>
              <w:bottom w:val="single" w:sz="4" w:space="0" w:color="auto"/>
            </w:tcBorders>
          </w:tcPr>
          <w:p w14:paraId="04510A5A" w14:textId="77777777" w:rsidR="004F338F" w:rsidRPr="00C5744E" w:rsidRDefault="004F338F" w:rsidP="00F9765C">
            <w:pPr>
              <w:jc w:val="center"/>
            </w:pPr>
            <w:r w:rsidRPr="00C5744E">
              <w:t>14,033</w:t>
            </w:r>
          </w:p>
        </w:tc>
        <w:tc>
          <w:tcPr>
            <w:tcW w:w="1559" w:type="dxa"/>
            <w:tcBorders>
              <w:top w:val="nil"/>
              <w:bottom w:val="single" w:sz="4" w:space="0" w:color="auto"/>
            </w:tcBorders>
          </w:tcPr>
          <w:p w14:paraId="3406E32E" w14:textId="77777777" w:rsidR="004F338F" w:rsidRPr="00C5744E" w:rsidRDefault="004F338F" w:rsidP="00F9765C">
            <w:pPr>
              <w:jc w:val="center"/>
            </w:pPr>
            <w:r w:rsidRPr="00C5744E">
              <w:t>14,033</w:t>
            </w:r>
          </w:p>
        </w:tc>
        <w:tc>
          <w:tcPr>
            <w:tcW w:w="1559" w:type="dxa"/>
            <w:tcBorders>
              <w:top w:val="nil"/>
              <w:bottom w:val="single" w:sz="4" w:space="0" w:color="auto"/>
            </w:tcBorders>
          </w:tcPr>
          <w:p w14:paraId="0746364E" w14:textId="77777777" w:rsidR="004F338F" w:rsidRPr="00C5744E" w:rsidRDefault="004F338F" w:rsidP="00F9765C">
            <w:pPr>
              <w:jc w:val="center"/>
            </w:pPr>
            <w:r w:rsidRPr="00C5744E">
              <w:t>14,033</w:t>
            </w:r>
          </w:p>
        </w:tc>
      </w:tr>
    </w:tbl>
    <w:p w14:paraId="6570D47C" w14:textId="77777777" w:rsidR="004F338F" w:rsidRPr="00C5744E" w:rsidRDefault="004F338F" w:rsidP="004F338F">
      <w:pPr>
        <w:rPr>
          <w:b/>
          <w:lang w:val="en-US"/>
        </w:rPr>
      </w:pPr>
      <w:r w:rsidRPr="00C5744E">
        <w:rPr>
          <w:sz w:val="20"/>
          <w:lang w:val="en-US"/>
        </w:rPr>
        <w:t xml:space="preserve">Obs.: Robust standardized error in parenthesis. ** p &lt; 0.05, * p &lt; 0.1. “Bedrooms” indicates the number of bedrooms of the residence and “Rooms” indicates the number of rooms. In the specifications of columns (1) and (2) controls include all the variables presented in Table 3, except the economic activity and occupation variables; for the specifications of columns (3)-(5), controls includes the variables of Table3 plus “bedrooms” and/or “rooms” according to the table indication. In all specifications, the instrumented variable is the number of siblings (“Children”) and the excluded instrument is an indicator of having the first two children of the same sex (“Same-sex”). </w:t>
      </w:r>
    </w:p>
    <w:p w14:paraId="34949162" w14:textId="77777777" w:rsidR="004F338F" w:rsidRPr="00C5744E" w:rsidRDefault="004F338F" w:rsidP="004F338F">
      <w:pPr>
        <w:rPr>
          <w:b/>
          <w:lang w:val="en-US"/>
        </w:rPr>
      </w:pPr>
    </w:p>
    <w:p w14:paraId="429A2B80" w14:textId="77777777" w:rsidR="004F338F" w:rsidRPr="00C5744E" w:rsidRDefault="004F338F" w:rsidP="004F338F">
      <w:pPr>
        <w:rPr>
          <w:b/>
          <w:lang w:val="en-US"/>
        </w:rPr>
      </w:pPr>
      <w:r w:rsidRPr="00C5744E">
        <w:rPr>
          <w:b/>
        </w:rPr>
        <w:t xml:space="preserve">7. Final </w:t>
      </w:r>
      <w:r w:rsidRPr="00C5744E">
        <w:rPr>
          <w:b/>
          <w:lang w:val="en-US"/>
        </w:rPr>
        <w:t>Remarks</w:t>
      </w:r>
    </w:p>
    <w:p w14:paraId="2F83B19B" w14:textId="77777777" w:rsidR="004F338F" w:rsidRDefault="004F338F" w:rsidP="004F338F">
      <w:pPr>
        <w:jc w:val="both"/>
      </w:pPr>
      <w:r w:rsidRPr="00C5744E">
        <w:tab/>
      </w:r>
    </w:p>
    <w:p w14:paraId="6A41548F" w14:textId="77777777" w:rsidR="004F338F" w:rsidRPr="00C5744E" w:rsidRDefault="004F338F" w:rsidP="004F338F">
      <w:pPr>
        <w:ind w:firstLine="708"/>
        <w:jc w:val="both"/>
        <w:rPr>
          <w:lang w:val="en-US"/>
        </w:rPr>
      </w:pPr>
      <w:r w:rsidRPr="00C5744E">
        <w:rPr>
          <w:lang w:val="en-US"/>
        </w:rPr>
        <w:t>In the last decades, Brazilian society experienced a substantive reduction of the family size, with fertility rates dropping from 4.4 siblings per woman in 1970 to 1.9 siblings in 2010. As the family size is an important determinant of household residential location, once it affects the demand for space, it is much surprise that the consequences of this demographic change for cities configuration was virtually not studied. In this paper we investigated the causal impact of the number of children on the household head commuting time in Brazilian cities and explore the potential economic channels.</w:t>
      </w:r>
    </w:p>
    <w:p w14:paraId="6755D634" w14:textId="77777777" w:rsidR="004F338F" w:rsidRPr="00C5744E" w:rsidRDefault="004F338F" w:rsidP="004F338F">
      <w:pPr>
        <w:jc w:val="both"/>
        <w:rPr>
          <w:lang w:val="en-US"/>
        </w:rPr>
      </w:pPr>
      <w:r w:rsidRPr="00C5744E">
        <w:rPr>
          <w:lang w:val="en-US"/>
        </w:rPr>
        <w:tab/>
        <w:t>In order to deal with potential endogeneity (good location, for example, can attract people), the main set of evidence was obtained using the “same-sex” indicator proposed by Angrist and Evans (1998) as an instrumental variable for the number of children of the household. Our base line result indicates that one more children increases by 21.3 perceptual points the probability of a household head presents a commuting time of more than 30 minutes, a very significant influence. This result survives to a set of robustness checks, including using different econometric models (ex. IV-Porbit) and specific subsamples (ex: considering only families owners of car or residence and non-poor families).</w:t>
      </w:r>
    </w:p>
    <w:p w14:paraId="63076414" w14:textId="77777777" w:rsidR="004F338F" w:rsidRPr="00C5744E" w:rsidRDefault="004F338F" w:rsidP="004F338F">
      <w:pPr>
        <w:jc w:val="both"/>
        <w:rPr>
          <w:lang w:val="en-US"/>
        </w:rPr>
      </w:pPr>
      <w:r w:rsidRPr="00C5744E">
        <w:rPr>
          <w:lang w:val="en-US"/>
        </w:rPr>
        <w:tab/>
        <w:t>We also provided evidence about the channels through which the variation in the number of children affects the household head commuting time. Although our evidence indicates that the fewer the number of children, the smaller the residential space and the stronger the labor market involvement of both partners, only the second effect appears explain the above initial result. In other words, here our results strongly suggest that the fewer the number of children, the stronger families’ members in the labor market and thus more important becomes accessibility to jobs when deciding about residential location.</w:t>
      </w:r>
    </w:p>
    <w:p w14:paraId="2D972F47" w14:textId="77777777" w:rsidR="004F338F" w:rsidRPr="00924432" w:rsidRDefault="004F338F" w:rsidP="004F338F">
      <w:pPr>
        <w:ind w:firstLine="708"/>
        <w:contextualSpacing/>
        <w:jc w:val="both"/>
      </w:pPr>
      <w:r w:rsidRPr="00C5744E">
        <w:rPr>
          <w:lang w:val="en-US"/>
        </w:rPr>
        <w:t>As in the next years we will probably continue to have a decreasing in the Brazilian rural-urban migration, the size of families living in urban areas will become even more important to understand space Brazilian cities configuration. Thus, our set of evidence indicates that we will continue to experience an economic force favoring within cities movements to more central areas, what certainly can increase cities’ density and generate more intense use of urban infrastructure (including worsening traffic congestion and sewage deficit). If the urban planning of Brazilian cities does not take in account this movement, there is a good chance of decreasing our urban quality of life</w:t>
      </w:r>
      <w:r>
        <w:rPr>
          <w:color w:val="000000"/>
        </w:rPr>
        <w:t xml:space="preserve"> </w:t>
      </w:r>
    </w:p>
    <w:p w14:paraId="1BFD92BC" w14:textId="77777777" w:rsidR="004F338F" w:rsidRDefault="004F338F" w:rsidP="004F338F">
      <w:pPr>
        <w:contextualSpacing/>
        <w:jc w:val="both"/>
        <w:rPr>
          <w:rFonts w:ascii="Arial" w:hAnsi="Arial" w:cs="Arial"/>
          <w:sz w:val="20"/>
          <w:szCs w:val="20"/>
        </w:rPr>
      </w:pPr>
    </w:p>
    <w:p w14:paraId="69F2E4E6" w14:textId="77777777" w:rsidR="004F338F" w:rsidRDefault="004F338F" w:rsidP="004F338F">
      <w:pPr>
        <w:rPr>
          <w:b/>
          <w:lang w:val="en-US"/>
        </w:rPr>
      </w:pPr>
    </w:p>
    <w:p w14:paraId="26444B02" w14:textId="77777777" w:rsidR="004F338F" w:rsidRDefault="004F338F" w:rsidP="004F338F">
      <w:pPr>
        <w:rPr>
          <w:b/>
          <w:lang w:val="en-US"/>
        </w:rPr>
      </w:pPr>
      <w:r w:rsidRPr="00C5744E">
        <w:rPr>
          <w:b/>
          <w:lang w:val="en-US"/>
        </w:rPr>
        <w:t>Reference</w:t>
      </w:r>
      <w:r>
        <w:rPr>
          <w:b/>
          <w:lang w:val="en-US"/>
        </w:rPr>
        <w:t>s</w:t>
      </w:r>
    </w:p>
    <w:p w14:paraId="24FE6472" w14:textId="77777777" w:rsidR="004F338F" w:rsidRDefault="004F338F" w:rsidP="004F338F">
      <w:pPr>
        <w:rPr>
          <w:b/>
          <w:lang w:val="en-US"/>
        </w:rPr>
      </w:pPr>
    </w:p>
    <w:p w14:paraId="4E601F49" w14:textId="77777777" w:rsidR="004F338F" w:rsidRDefault="004F338F" w:rsidP="004F338F">
      <w:r w:rsidRPr="00C5744E">
        <w:t>Amrein, C.J. (2010) “Capital Humano e Capital Urbano: o Impacto das Escolas nos Preços dos Im;oveis no Município de São Paulo”, Master dissertation, University of São Paulo, São Paulo.</w:t>
      </w:r>
    </w:p>
    <w:p w14:paraId="589D245C" w14:textId="77777777" w:rsidR="004F338F" w:rsidRPr="00D650D9" w:rsidRDefault="004F338F" w:rsidP="004F338F">
      <w:pPr>
        <w:rPr>
          <w:b/>
          <w:lang w:val="en-US"/>
        </w:rPr>
      </w:pPr>
    </w:p>
    <w:p w14:paraId="1F88CC65" w14:textId="77777777" w:rsidR="004F338F" w:rsidRPr="00C5744E" w:rsidRDefault="004F338F" w:rsidP="004F338F">
      <w:pPr>
        <w:widowControl w:val="0"/>
        <w:autoSpaceDE w:val="0"/>
        <w:autoSpaceDN w:val="0"/>
        <w:adjustRightInd w:val="0"/>
        <w:jc w:val="both"/>
        <w:rPr>
          <w:lang w:val="en-US"/>
        </w:rPr>
      </w:pPr>
      <w:r w:rsidRPr="00C5744E">
        <w:rPr>
          <w:lang w:val="en-US"/>
        </w:rPr>
        <w:t>Angrist, J. and Evans, W. (1998). “Children and their parents' labor supply: Evidence from</w:t>
      </w:r>
    </w:p>
    <w:p w14:paraId="5E15F28A" w14:textId="77777777" w:rsidR="004F338F" w:rsidRDefault="004F338F" w:rsidP="004F338F">
      <w:pPr>
        <w:widowControl w:val="0"/>
        <w:autoSpaceDE w:val="0"/>
        <w:autoSpaceDN w:val="0"/>
        <w:adjustRightInd w:val="0"/>
        <w:jc w:val="both"/>
        <w:rPr>
          <w:lang w:val="en-US"/>
        </w:rPr>
      </w:pPr>
      <w:r w:rsidRPr="00C5744E">
        <w:rPr>
          <w:lang w:val="en-US"/>
        </w:rPr>
        <w:t>exogenous variation in family size. The American Economic Review, 88(3): 450-477.</w:t>
      </w:r>
    </w:p>
    <w:p w14:paraId="0B068CA6" w14:textId="77777777" w:rsidR="004F338F" w:rsidRPr="00C5744E" w:rsidRDefault="004F338F" w:rsidP="004F338F">
      <w:pPr>
        <w:widowControl w:val="0"/>
        <w:autoSpaceDE w:val="0"/>
        <w:autoSpaceDN w:val="0"/>
        <w:adjustRightInd w:val="0"/>
        <w:jc w:val="both"/>
        <w:rPr>
          <w:lang w:val="en-US"/>
        </w:rPr>
      </w:pPr>
    </w:p>
    <w:p w14:paraId="154E8117" w14:textId="77777777" w:rsidR="004F338F" w:rsidRDefault="004F338F" w:rsidP="004F338F">
      <w:pPr>
        <w:widowControl w:val="0"/>
        <w:autoSpaceDE w:val="0"/>
        <w:autoSpaceDN w:val="0"/>
        <w:adjustRightInd w:val="0"/>
        <w:rPr>
          <w:lang w:val="en-US"/>
        </w:rPr>
      </w:pPr>
      <w:r w:rsidRPr="00C5744E">
        <w:rPr>
          <w:lang w:val="en-US"/>
        </w:rPr>
        <w:t>Black, S. (1999) “Do Better Schools Matter? Parental Valuation of Elementary Education”, Quarterly Journal of Economics, 114: 578-599.</w:t>
      </w:r>
    </w:p>
    <w:p w14:paraId="7FBB1F73" w14:textId="77777777" w:rsidR="004F338F" w:rsidRPr="00D650D9" w:rsidRDefault="004F338F" w:rsidP="004F338F">
      <w:pPr>
        <w:widowControl w:val="0"/>
        <w:autoSpaceDE w:val="0"/>
        <w:autoSpaceDN w:val="0"/>
        <w:adjustRightInd w:val="0"/>
        <w:rPr>
          <w:lang w:val="en-US"/>
        </w:rPr>
      </w:pPr>
    </w:p>
    <w:p w14:paraId="48B285A6" w14:textId="77777777" w:rsidR="004F338F" w:rsidRDefault="004F338F" w:rsidP="004F338F">
      <w:pPr>
        <w:widowControl w:val="0"/>
        <w:autoSpaceDE w:val="0"/>
        <w:autoSpaceDN w:val="0"/>
        <w:adjustRightInd w:val="0"/>
        <w:rPr>
          <w:lang w:val="en-US"/>
        </w:rPr>
      </w:pPr>
      <w:r w:rsidRPr="00C5744E">
        <w:rPr>
          <w:lang w:val="en-US"/>
        </w:rPr>
        <w:t>Bogart, W. and B. Cromwell (2000) ‘How much is a Neighborhood School Worth?’, Journal of Urban Economics, 47: 280-305.</w:t>
      </w:r>
    </w:p>
    <w:p w14:paraId="03BE0959" w14:textId="77777777" w:rsidR="004F338F" w:rsidRPr="00C5744E" w:rsidRDefault="004F338F" w:rsidP="004F338F">
      <w:pPr>
        <w:widowControl w:val="0"/>
        <w:autoSpaceDE w:val="0"/>
        <w:autoSpaceDN w:val="0"/>
        <w:adjustRightInd w:val="0"/>
        <w:rPr>
          <w:lang w:val="en-US"/>
        </w:rPr>
      </w:pPr>
    </w:p>
    <w:p w14:paraId="2C795F38" w14:textId="77777777" w:rsidR="004F338F" w:rsidRDefault="004F338F" w:rsidP="004F338F">
      <w:pPr>
        <w:widowControl w:val="0"/>
        <w:autoSpaceDE w:val="0"/>
        <w:autoSpaceDN w:val="0"/>
        <w:adjustRightInd w:val="0"/>
        <w:rPr>
          <w:lang w:val="en-US"/>
        </w:rPr>
      </w:pPr>
      <w:r w:rsidRPr="00C5744E">
        <w:rPr>
          <w:lang w:val="en-US"/>
        </w:rPr>
        <w:t>Buzar, S., Ogden, P.E., Hall, R. (2005) “Household matters: the quiet demography of urban transformation”, 29(4): 413-436.</w:t>
      </w:r>
    </w:p>
    <w:p w14:paraId="4746B08C" w14:textId="77777777" w:rsidR="004F338F" w:rsidRPr="00C5744E" w:rsidRDefault="004F338F" w:rsidP="004F338F">
      <w:pPr>
        <w:widowControl w:val="0"/>
        <w:autoSpaceDE w:val="0"/>
        <w:autoSpaceDN w:val="0"/>
        <w:adjustRightInd w:val="0"/>
        <w:rPr>
          <w:lang w:val="en-US"/>
        </w:rPr>
      </w:pPr>
    </w:p>
    <w:p w14:paraId="7DEFD674" w14:textId="77777777" w:rsidR="004F338F" w:rsidRDefault="004F338F" w:rsidP="004F338F">
      <w:pPr>
        <w:widowControl w:val="0"/>
        <w:autoSpaceDE w:val="0"/>
        <w:autoSpaceDN w:val="0"/>
        <w:adjustRightInd w:val="0"/>
        <w:jc w:val="both"/>
        <w:rPr>
          <w:szCs w:val="20"/>
          <w:lang w:val="en-US"/>
        </w:rPr>
      </w:pPr>
      <w:r w:rsidRPr="00C5744E">
        <w:rPr>
          <w:szCs w:val="20"/>
          <w:lang w:val="en-US"/>
        </w:rPr>
        <w:t>Crane, R. (2007) “Is There a Quiet Revolution in Women’s Travel? Revisiting the Gender Gap in Commuting”, Journal of the American Planning Association, Summer 2007, 73: 298-316.</w:t>
      </w:r>
    </w:p>
    <w:p w14:paraId="75031A0C" w14:textId="77777777" w:rsidR="004F338F" w:rsidRPr="00C5744E" w:rsidRDefault="004F338F" w:rsidP="004F338F">
      <w:pPr>
        <w:widowControl w:val="0"/>
        <w:autoSpaceDE w:val="0"/>
        <w:autoSpaceDN w:val="0"/>
        <w:adjustRightInd w:val="0"/>
        <w:jc w:val="both"/>
        <w:rPr>
          <w:szCs w:val="20"/>
          <w:lang w:val="en-US"/>
        </w:rPr>
      </w:pPr>
    </w:p>
    <w:p w14:paraId="130B2C95" w14:textId="77777777" w:rsidR="004F338F" w:rsidRDefault="004F338F" w:rsidP="004F338F">
      <w:pPr>
        <w:widowControl w:val="0"/>
        <w:autoSpaceDE w:val="0"/>
        <w:autoSpaceDN w:val="0"/>
        <w:adjustRightInd w:val="0"/>
        <w:jc w:val="both"/>
        <w:rPr>
          <w:szCs w:val="20"/>
        </w:rPr>
      </w:pPr>
      <w:r w:rsidRPr="00C5744E">
        <w:rPr>
          <w:szCs w:val="20"/>
        </w:rPr>
        <w:t>Duarte, G., Silveira Neto, R. (2016) “Estrutura Familiar e Escolha de Localização de Residência nas Cidades, uma Análise Empírica para o Caso da Região Metropolitan de São Paulo”, Desenvolvimento em Questão, 33: 41-64.</w:t>
      </w:r>
    </w:p>
    <w:p w14:paraId="2EBA0B19" w14:textId="77777777" w:rsidR="004F338F" w:rsidRPr="00C5744E" w:rsidRDefault="004F338F" w:rsidP="004F338F">
      <w:pPr>
        <w:widowControl w:val="0"/>
        <w:autoSpaceDE w:val="0"/>
        <w:autoSpaceDN w:val="0"/>
        <w:adjustRightInd w:val="0"/>
        <w:jc w:val="both"/>
        <w:rPr>
          <w:szCs w:val="20"/>
        </w:rPr>
      </w:pPr>
    </w:p>
    <w:p w14:paraId="3248960D"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Edlund, L., Machado, L., Sviatschi, M.M. (2015) “Bright Minds, Big Rents: Gentrification and the Rising Returns to Skills”, NBER Working Papers Series 21729, </w:t>
      </w:r>
      <w:hyperlink r:id="rId11" w:history="1">
        <w:r w:rsidRPr="00EE314C">
          <w:rPr>
            <w:rStyle w:val="Hyperlink"/>
            <w:szCs w:val="20"/>
            <w:lang w:val="en-US"/>
          </w:rPr>
          <w:t>http://www.nber.org/papers/w21729</w:t>
        </w:r>
      </w:hyperlink>
      <w:r w:rsidRPr="00C5744E">
        <w:rPr>
          <w:szCs w:val="20"/>
          <w:lang w:val="en-US"/>
        </w:rPr>
        <w:t>.</w:t>
      </w:r>
    </w:p>
    <w:p w14:paraId="25B12DA4" w14:textId="77777777" w:rsidR="004F338F" w:rsidRPr="00C5744E" w:rsidRDefault="004F338F" w:rsidP="004F338F">
      <w:pPr>
        <w:widowControl w:val="0"/>
        <w:autoSpaceDE w:val="0"/>
        <w:autoSpaceDN w:val="0"/>
        <w:adjustRightInd w:val="0"/>
        <w:jc w:val="both"/>
        <w:rPr>
          <w:szCs w:val="20"/>
          <w:lang w:val="en-US"/>
        </w:rPr>
      </w:pPr>
    </w:p>
    <w:p w14:paraId="1930B9E8"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Ericksen, J. (1977) “An analysis of the journey to work for woman”, </w:t>
      </w:r>
      <w:r w:rsidRPr="00C5744E">
        <w:rPr>
          <w:i/>
          <w:szCs w:val="20"/>
          <w:lang w:val="en-US"/>
        </w:rPr>
        <w:t>Social Problems</w:t>
      </w:r>
      <w:r w:rsidRPr="00C5744E">
        <w:rPr>
          <w:szCs w:val="20"/>
          <w:lang w:val="en-US"/>
        </w:rPr>
        <w:t>, 24: 428</w:t>
      </w:r>
      <w:r>
        <w:rPr>
          <w:szCs w:val="20"/>
          <w:lang w:val="en-US"/>
        </w:rPr>
        <w:t>-</w:t>
      </w:r>
      <w:r w:rsidRPr="00C5744E">
        <w:rPr>
          <w:szCs w:val="20"/>
          <w:lang w:val="en-US"/>
        </w:rPr>
        <w:t>435</w:t>
      </w:r>
      <w:r>
        <w:rPr>
          <w:szCs w:val="20"/>
          <w:lang w:val="en-US"/>
        </w:rPr>
        <w:t>.</w:t>
      </w:r>
    </w:p>
    <w:p w14:paraId="7D58BE23" w14:textId="77777777" w:rsidR="004F338F" w:rsidRPr="00C5744E" w:rsidRDefault="004F338F" w:rsidP="004F338F">
      <w:pPr>
        <w:widowControl w:val="0"/>
        <w:autoSpaceDE w:val="0"/>
        <w:autoSpaceDN w:val="0"/>
        <w:adjustRightInd w:val="0"/>
        <w:jc w:val="both"/>
        <w:rPr>
          <w:szCs w:val="20"/>
          <w:lang w:val="en-US"/>
        </w:rPr>
      </w:pPr>
    </w:p>
    <w:p w14:paraId="50834225" w14:textId="77777777" w:rsidR="004F338F" w:rsidRDefault="004F338F" w:rsidP="004F338F">
      <w:pPr>
        <w:widowControl w:val="0"/>
        <w:autoSpaceDE w:val="0"/>
        <w:autoSpaceDN w:val="0"/>
        <w:adjustRightInd w:val="0"/>
        <w:jc w:val="both"/>
        <w:rPr>
          <w:szCs w:val="20"/>
          <w:lang w:val="en-US"/>
        </w:rPr>
      </w:pPr>
      <w:r w:rsidRPr="00C5744E">
        <w:rPr>
          <w:szCs w:val="20"/>
          <w:lang w:val="en-US"/>
        </w:rPr>
        <w:t>Fagnani, J. (1983) “Women’s commuting patterns in the Paris region”, Tijdschrift voor Economische en sociale geografie, 74(1): 12-24.</w:t>
      </w:r>
    </w:p>
    <w:p w14:paraId="568D61FA" w14:textId="77777777" w:rsidR="004F338F" w:rsidRPr="00C5744E" w:rsidRDefault="004F338F" w:rsidP="004F338F">
      <w:pPr>
        <w:widowControl w:val="0"/>
        <w:autoSpaceDE w:val="0"/>
        <w:autoSpaceDN w:val="0"/>
        <w:adjustRightInd w:val="0"/>
        <w:jc w:val="both"/>
        <w:rPr>
          <w:szCs w:val="20"/>
          <w:lang w:val="en-US"/>
        </w:rPr>
      </w:pPr>
    </w:p>
    <w:p w14:paraId="08F49A2D" w14:textId="77777777" w:rsidR="004F338F" w:rsidRDefault="004F338F" w:rsidP="004F338F">
      <w:pPr>
        <w:widowControl w:val="0"/>
        <w:autoSpaceDE w:val="0"/>
        <w:autoSpaceDN w:val="0"/>
        <w:adjustRightInd w:val="0"/>
        <w:jc w:val="both"/>
        <w:rPr>
          <w:szCs w:val="20"/>
          <w:lang w:val="en-US"/>
        </w:rPr>
      </w:pPr>
      <w:r w:rsidRPr="00C5744E">
        <w:rPr>
          <w:szCs w:val="20"/>
        </w:rPr>
        <w:t xml:space="preserve">Feitosa, F. F. et al. </w:t>
      </w:r>
      <w:r w:rsidRPr="00C5744E">
        <w:rPr>
          <w:szCs w:val="20"/>
          <w:lang w:val="en-US"/>
        </w:rPr>
        <w:t>(2007) “Global and local spatial indices of urban segregation”, International Journal of Geographica lInformation Science, 21(3): 299-323.</w:t>
      </w:r>
    </w:p>
    <w:p w14:paraId="2ACB6878" w14:textId="77777777" w:rsidR="004F338F" w:rsidRPr="00C5744E" w:rsidRDefault="004F338F" w:rsidP="004F338F">
      <w:pPr>
        <w:widowControl w:val="0"/>
        <w:autoSpaceDE w:val="0"/>
        <w:autoSpaceDN w:val="0"/>
        <w:adjustRightInd w:val="0"/>
        <w:jc w:val="both"/>
        <w:rPr>
          <w:szCs w:val="20"/>
          <w:lang w:val="en-US"/>
        </w:rPr>
      </w:pPr>
    </w:p>
    <w:p w14:paraId="58739F4E" w14:textId="77777777" w:rsidR="004F338F" w:rsidRDefault="004F338F" w:rsidP="004F338F">
      <w:pPr>
        <w:widowControl w:val="0"/>
        <w:autoSpaceDE w:val="0"/>
        <w:autoSpaceDN w:val="0"/>
        <w:adjustRightInd w:val="0"/>
        <w:jc w:val="both"/>
        <w:rPr>
          <w:szCs w:val="20"/>
          <w:lang w:val="en-US"/>
        </w:rPr>
      </w:pPr>
      <w:r w:rsidRPr="00C5744E">
        <w:rPr>
          <w:szCs w:val="20"/>
          <w:lang w:val="en-US"/>
        </w:rPr>
        <w:t>Gibbon, S., Machin, S. (2005) “Paying for primary schools: admission constraints, school popularity or congestion?”, mimeo.</w:t>
      </w:r>
    </w:p>
    <w:p w14:paraId="66B359C3" w14:textId="77777777" w:rsidR="004F338F" w:rsidRPr="00C5744E" w:rsidRDefault="004F338F" w:rsidP="004F338F">
      <w:pPr>
        <w:widowControl w:val="0"/>
        <w:autoSpaceDE w:val="0"/>
        <w:autoSpaceDN w:val="0"/>
        <w:adjustRightInd w:val="0"/>
        <w:jc w:val="both"/>
        <w:rPr>
          <w:szCs w:val="20"/>
          <w:lang w:val="en-US"/>
        </w:rPr>
      </w:pPr>
    </w:p>
    <w:p w14:paraId="0987734C"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Giuliano, G. (1998)  “Information technology, work patterns and intrametropolitan location: a case study, </w:t>
      </w:r>
      <w:r w:rsidRPr="00C5744E">
        <w:rPr>
          <w:i/>
          <w:szCs w:val="20"/>
          <w:lang w:val="en-US"/>
        </w:rPr>
        <w:t>Urban Studies</w:t>
      </w:r>
      <w:r w:rsidRPr="00C5744E">
        <w:rPr>
          <w:szCs w:val="20"/>
          <w:lang w:val="en-US"/>
        </w:rPr>
        <w:t>, 35: 1077-1095.</w:t>
      </w:r>
    </w:p>
    <w:p w14:paraId="2C5EDBD7" w14:textId="77777777" w:rsidR="004F338F" w:rsidRPr="00C5744E" w:rsidRDefault="004F338F" w:rsidP="004F338F">
      <w:pPr>
        <w:widowControl w:val="0"/>
        <w:autoSpaceDE w:val="0"/>
        <w:autoSpaceDN w:val="0"/>
        <w:adjustRightInd w:val="0"/>
        <w:jc w:val="both"/>
        <w:rPr>
          <w:szCs w:val="20"/>
          <w:lang w:val="en-US"/>
        </w:rPr>
      </w:pPr>
    </w:p>
    <w:p w14:paraId="4E24878B"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Hanson, S. and Johnston, I. (1985) “Gender differences in work-trip lengh: explanation and implications”, </w:t>
      </w:r>
      <w:r w:rsidRPr="00C5744E">
        <w:rPr>
          <w:i/>
          <w:szCs w:val="20"/>
          <w:lang w:val="en-US"/>
        </w:rPr>
        <w:t>Urban Geography</w:t>
      </w:r>
      <w:r w:rsidRPr="00C5744E">
        <w:rPr>
          <w:szCs w:val="20"/>
          <w:lang w:val="en-US"/>
        </w:rPr>
        <w:t>, 6: 193-219.</w:t>
      </w:r>
    </w:p>
    <w:p w14:paraId="6A70C16D" w14:textId="77777777" w:rsidR="004F338F" w:rsidRPr="00C5744E" w:rsidRDefault="004F338F" w:rsidP="004F338F">
      <w:pPr>
        <w:widowControl w:val="0"/>
        <w:autoSpaceDE w:val="0"/>
        <w:autoSpaceDN w:val="0"/>
        <w:adjustRightInd w:val="0"/>
        <w:jc w:val="both"/>
        <w:rPr>
          <w:szCs w:val="20"/>
          <w:lang w:val="en-US"/>
        </w:rPr>
      </w:pPr>
    </w:p>
    <w:p w14:paraId="02B95BF3"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Johnston-Anumonwo, I. (1992) “The influence of household type on gender differences in work trip distance, </w:t>
      </w:r>
      <w:r w:rsidRPr="00C5744E">
        <w:rPr>
          <w:i/>
          <w:szCs w:val="20"/>
          <w:lang w:val="en-US"/>
        </w:rPr>
        <w:t>professional geographer</w:t>
      </w:r>
      <w:r w:rsidRPr="00C5744E">
        <w:rPr>
          <w:szCs w:val="20"/>
          <w:lang w:val="en-US"/>
        </w:rPr>
        <w:t>, 44(2), pp.161-169.</w:t>
      </w:r>
    </w:p>
    <w:p w14:paraId="1C093B97" w14:textId="77777777" w:rsidR="004F338F" w:rsidRPr="00C5744E" w:rsidRDefault="004F338F" w:rsidP="004F338F">
      <w:pPr>
        <w:widowControl w:val="0"/>
        <w:autoSpaceDE w:val="0"/>
        <w:autoSpaceDN w:val="0"/>
        <w:adjustRightInd w:val="0"/>
        <w:jc w:val="both"/>
        <w:rPr>
          <w:szCs w:val="20"/>
          <w:lang w:val="en-US"/>
        </w:rPr>
      </w:pPr>
    </w:p>
    <w:p w14:paraId="293FE02F" w14:textId="77777777" w:rsidR="004F338F" w:rsidRDefault="004F338F" w:rsidP="004F338F">
      <w:pPr>
        <w:widowControl w:val="0"/>
        <w:autoSpaceDE w:val="0"/>
        <w:autoSpaceDN w:val="0"/>
        <w:adjustRightInd w:val="0"/>
        <w:jc w:val="both"/>
        <w:rPr>
          <w:szCs w:val="20"/>
          <w:lang w:val="en-US"/>
        </w:rPr>
      </w:pPr>
      <w:r w:rsidRPr="00C5744E">
        <w:rPr>
          <w:szCs w:val="20"/>
          <w:lang w:val="en-US"/>
        </w:rPr>
        <w:t>Jung, G., Yang, T-C (2016) “Household Structure and Suburbia Residence in U.S. Metropolitan Areas: Evidence from the American Household Survey”, Social Sciences, 5, 74: 1-17.</w:t>
      </w:r>
    </w:p>
    <w:p w14:paraId="12882AC4" w14:textId="77777777" w:rsidR="004F338F" w:rsidRPr="00C5744E" w:rsidRDefault="004F338F" w:rsidP="004F338F">
      <w:pPr>
        <w:widowControl w:val="0"/>
        <w:autoSpaceDE w:val="0"/>
        <w:autoSpaceDN w:val="0"/>
        <w:adjustRightInd w:val="0"/>
        <w:jc w:val="both"/>
        <w:rPr>
          <w:szCs w:val="20"/>
          <w:lang w:val="en-US"/>
        </w:rPr>
      </w:pPr>
    </w:p>
    <w:p w14:paraId="0CDD63D1" w14:textId="77777777" w:rsidR="004F338F" w:rsidRDefault="004F338F" w:rsidP="004F338F">
      <w:pPr>
        <w:widowControl w:val="0"/>
        <w:autoSpaceDE w:val="0"/>
        <w:autoSpaceDN w:val="0"/>
        <w:adjustRightInd w:val="0"/>
        <w:jc w:val="both"/>
        <w:rPr>
          <w:szCs w:val="20"/>
          <w:lang w:val="en-US"/>
        </w:rPr>
      </w:pPr>
      <w:r w:rsidRPr="00C5744E">
        <w:rPr>
          <w:szCs w:val="20"/>
          <w:lang w:val="en-US"/>
        </w:rPr>
        <w:t>Kim, J.H, Pagliara, F., Preston, J. (2005) “The Intention to Move and Residential Location Choice Behavior”, Urban Studies, 42(9): 1621-1636.</w:t>
      </w:r>
    </w:p>
    <w:p w14:paraId="244B0EC3" w14:textId="77777777" w:rsidR="004F338F" w:rsidRPr="00C5744E" w:rsidRDefault="004F338F" w:rsidP="004F338F">
      <w:pPr>
        <w:widowControl w:val="0"/>
        <w:autoSpaceDE w:val="0"/>
        <w:autoSpaceDN w:val="0"/>
        <w:adjustRightInd w:val="0"/>
        <w:jc w:val="both"/>
        <w:rPr>
          <w:szCs w:val="20"/>
          <w:lang w:val="en-US"/>
        </w:rPr>
      </w:pPr>
    </w:p>
    <w:p w14:paraId="6E820D67"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Lee B. Song and MacDonald J. F. (2003) “Determinants of commuting time and distance for Seoul Residents: The impact of family status on the commuting of women”,  </w:t>
      </w:r>
      <w:r>
        <w:rPr>
          <w:szCs w:val="20"/>
          <w:lang w:val="en-US"/>
        </w:rPr>
        <w:t>Urban Studies, 40(7): 1283-1302.</w:t>
      </w:r>
    </w:p>
    <w:p w14:paraId="0E491BF6" w14:textId="77777777" w:rsidR="004F338F" w:rsidRPr="00C5744E" w:rsidRDefault="004F338F" w:rsidP="004F338F">
      <w:pPr>
        <w:widowControl w:val="0"/>
        <w:autoSpaceDE w:val="0"/>
        <w:autoSpaceDN w:val="0"/>
        <w:adjustRightInd w:val="0"/>
        <w:jc w:val="both"/>
        <w:rPr>
          <w:szCs w:val="20"/>
          <w:lang w:val="en-US"/>
        </w:rPr>
      </w:pPr>
    </w:p>
    <w:p w14:paraId="25C26371" w14:textId="77777777" w:rsidR="004F338F" w:rsidRDefault="004F338F" w:rsidP="004F338F">
      <w:pPr>
        <w:widowControl w:val="0"/>
        <w:autoSpaceDE w:val="0"/>
        <w:autoSpaceDN w:val="0"/>
        <w:adjustRightInd w:val="0"/>
        <w:jc w:val="both"/>
        <w:rPr>
          <w:szCs w:val="20"/>
          <w:lang w:val="en-US"/>
        </w:rPr>
      </w:pPr>
      <w:r w:rsidRPr="00C5744E">
        <w:rPr>
          <w:szCs w:val="20"/>
          <w:lang w:val="en-US"/>
        </w:rPr>
        <w:t>MacDonald, H. (1999). “Women’s employment and commuting: Explaining the links”, Journal of Planning Literature, 13 (3), 267–283.</w:t>
      </w:r>
    </w:p>
    <w:p w14:paraId="2D6DACEF" w14:textId="77777777" w:rsidR="004F338F" w:rsidRPr="00C5744E" w:rsidRDefault="004F338F" w:rsidP="004F338F">
      <w:pPr>
        <w:widowControl w:val="0"/>
        <w:autoSpaceDE w:val="0"/>
        <w:autoSpaceDN w:val="0"/>
        <w:adjustRightInd w:val="0"/>
        <w:jc w:val="both"/>
        <w:rPr>
          <w:szCs w:val="20"/>
          <w:lang w:val="en-US"/>
        </w:rPr>
      </w:pPr>
    </w:p>
    <w:p w14:paraId="63902038" w14:textId="77777777" w:rsidR="004F338F" w:rsidRDefault="004F338F" w:rsidP="004F338F">
      <w:pPr>
        <w:widowControl w:val="0"/>
        <w:autoSpaceDE w:val="0"/>
        <w:autoSpaceDN w:val="0"/>
        <w:adjustRightInd w:val="0"/>
        <w:jc w:val="both"/>
        <w:rPr>
          <w:szCs w:val="20"/>
          <w:lang w:val="en-US"/>
        </w:rPr>
      </w:pPr>
      <w:r w:rsidRPr="00C5744E">
        <w:rPr>
          <w:szCs w:val="20"/>
          <w:lang w:val="en-US"/>
        </w:rPr>
        <w:t xml:space="preserve">Madden, J. (1981) “Why women work closer to home”, </w:t>
      </w:r>
      <w:r w:rsidRPr="00C5744E">
        <w:rPr>
          <w:i/>
          <w:szCs w:val="20"/>
          <w:lang w:val="en-US"/>
        </w:rPr>
        <w:t>Urban Studies</w:t>
      </w:r>
      <w:r w:rsidRPr="00C5744E">
        <w:rPr>
          <w:szCs w:val="20"/>
          <w:lang w:val="en-US"/>
        </w:rPr>
        <w:t>, 18, pp. 181-194.</w:t>
      </w:r>
    </w:p>
    <w:p w14:paraId="2B30E48E" w14:textId="77777777" w:rsidR="004F338F" w:rsidRPr="00C5744E" w:rsidRDefault="004F338F" w:rsidP="004F338F">
      <w:pPr>
        <w:widowControl w:val="0"/>
        <w:autoSpaceDE w:val="0"/>
        <w:autoSpaceDN w:val="0"/>
        <w:adjustRightInd w:val="0"/>
        <w:jc w:val="both"/>
        <w:rPr>
          <w:szCs w:val="20"/>
          <w:lang w:val="en-US"/>
        </w:rPr>
      </w:pPr>
    </w:p>
    <w:p w14:paraId="0DBCD7C2" w14:textId="77777777" w:rsidR="004F338F" w:rsidRDefault="004F338F" w:rsidP="004F338F">
      <w:pPr>
        <w:widowControl w:val="0"/>
        <w:autoSpaceDE w:val="0"/>
        <w:autoSpaceDN w:val="0"/>
        <w:adjustRightInd w:val="0"/>
        <w:jc w:val="both"/>
        <w:rPr>
          <w:szCs w:val="20"/>
          <w:lang w:val="en-US"/>
        </w:rPr>
      </w:pPr>
      <w:r w:rsidRPr="00C5744E">
        <w:rPr>
          <w:szCs w:val="20"/>
          <w:lang w:val="en-US"/>
        </w:rPr>
        <w:t>Miranda, R. A., Domingues, E. (2010) “Commuting to work and residential choices in the metropolitan area of Belo Horizonte, Brazil”, 12: 41-71.</w:t>
      </w:r>
    </w:p>
    <w:p w14:paraId="20ADDB7C" w14:textId="77777777" w:rsidR="004F338F" w:rsidRPr="00C5744E" w:rsidRDefault="004F338F" w:rsidP="004F338F">
      <w:pPr>
        <w:widowControl w:val="0"/>
        <w:autoSpaceDE w:val="0"/>
        <w:autoSpaceDN w:val="0"/>
        <w:adjustRightInd w:val="0"/>
        <w:jc w:val="both"/>
        <w:rPr>
          <w:szCs w:val="20"/>
          <w:lang w:val="en-US"/>
        </w:rPr>
      </w:pPr>
    </w:p>
    <w:p w14:paraId="48C9EBC1" w14:textId="77777777" w:rsidR="004F338F" w:rsidRDefault="004F338F" w:rsidP="004F338F">
      <w:pPr>
        <w:widowControl w:val="0"/>
        <w:autoSpaceDE w:val="0"/>
        <w:autoSpaceDN w:val="0"/>
        <w:adjustRightInd w:val="0"/>
        <w:jc w:val="both"/>
        <w:rPr>
          <w:szCs w:val="20"/>
        </w:rPr>
      </w:pPr>
      <w:r w:rsidRPr="00C5744E">
        <w:rPr>
          <w:szCs w:val="20"/>
        </w:rPr>
        <w:t>Monsueto, S. E., Goveia, J.M.A., Carrijo, B.C.P.S. (2014) “Tempo de deslocamento do domicílio até o trabalho e salaries em Goiás, Brasil”, VI Congreso de la Asociación Latinoamericana de Población, Lima, Peru.</w:t>
      </w:r>
    </w:p>
    <w:p w14:paraId="05661E70" w14:textId="77777777" w:rsidR="004F338F" w:rsidRPr="00C5744E" w:rsidRDefault="004F338F" w:rsidP="004F338F">
      <w:pPr>
        <w:widowControl w:val="0"/>
        <w:autoSpaceDE w:val="0"/>
        <w:autoSpaceDN w:val="0"/>
        <w:adjustRightInd w:val="0"/>
        <w:jc w:val="both"/>
        <w:rPr>
          <w:szCs w:val="20"/>
        </w:rPr>
      </w:pPr>
    </w:p>
    <w:p w14:paraId="39AA6191" w14:textId="77777777" w:rsidR="004F338F" w:rsidRDefault="004F338F" w:rsidP="004F338F">
      <w:pPr>
        <w:widowControl w:val="0"/>
        <w:autoSpaceDE w:val="0"/>
        <w:autoSpaceDN w:val="0"/>
        <w:adjustRightInd w:val="0"/>
        <w:jc w:val="both"/>
        <w:rPr>
          <w:szCs w:val="20"/>
          <w:lang w:val="en-US"/>
        </w:rPr>
      </w:pPr>
      <w:r w:rsidRPr="00C5744E">
        <w:rPr>
          <w:szCs w:val="20"/>
          <w:lang w:val="en-US"/>
        </w:rPr>
        <w:t>Moon, M. (2015) “From gentrification to youngthification? The increasing importance of  young age in delineating high-density living”, Urban Studies, 53(14): 1-18.</w:t>
      </w:r>
    </w:p>
    <w:p w14:paraId="586DB7F7" w14:textId="77777777" w:rsidR="004F338F" w:rsidRPr="00C5744E" w:rsidRDefault="004F338F" w:rsidP="004F338F">
      <w:pPr>
        <w:widowControl w:val="0"/>
        <w:autoSpaceDE w:val="0"/>
        <w:autoSpaceDN w:val="0"/>
        <w:adjustRightInd w:val="0"/>
        <w:jc w:val="both"/>
        <w:rPr>
          <w:szCs w:val="20"/>
          <w:lang w:val="en-US"/>
        </w:rPr>
      </w:pPr>
    </w:p>
    <w:p w14:paraId="043752BB" w14:textId="77777777" w:rsidR="004F338F" w:rsidRDefault="004F338F" w:rsidP="004F338F">
      <w:pPr>
        <w:widowControl w:val="0"/>
        <w:autoSpaceDE w:val="0"/>
        <w:autoSpaceDN w:val="0"/>
        <w:adjustRightInd w:val="0"/>
        <w:jc w:val="both"/>
        <w:rPr>
          <w:szCs w:val="20"/>
          <w:lang w:val="en-US"/>
        </w:rPr>
      </w:pPr>
      <w:r w:rsidRPr="00C5744E">
        <w:rPr>
          <w:szCs w:val="20"/>
          <w:lang w:val="en-US"/>
        </w:rPr>
        <w:t>Newey, W. K. (1987). “Efficient estimation of limited dependent variable models with endogenous explanatory variables”, Journal of Econometrics 36: 231–250.</w:t>
      </w:r>
    </w:p>
    <w:p w14:paraId="596D74CC" w14:textId="77777777" w:rsidR="004F338F" w:rsidRPr="00C5744E" w:rsidRDefault="004F338F" w:rsidP="004F338F">
      <w:pPr>
        <w:widowControl w:val="0"/>
        <w:autoSpaceDE w:val="0"/>
        <w:autoSpaceDN w:val="0"/>
        <w:adjustRightInd w:val="0"/>
        <w:jc w:val="both"/>
        <w:rPr>
          <w:szCs w:val="20"/>
          <w:lang w:val="en-US"/>
        </w:rPr>
      </w:pPr>
    </w:p>
    <w:p w14:paraId="57269E09" w14:textId="77777777" w:rsidR="004F338F" w:rsidRDefault="004F338F" w:rsidP="004F338F">
      <w:pPr>
        <w:widowControl w:val="0"/>
        <w:autoSpaceDE w:val="0"/>
        <w:autoSpaceDN w:val="0"/>
        <w:adjustRightInd w:val="0"/>
        <w:jc w:val="both"/>
        <w:rPr>
          <w:szCs w:val="20"/>
        </w:rPr>
      </w:pPr>
      <w:r w:rsidRPr="00C5744E">
        <w:rPr>
          <w:szCs w:val="20"/>
        </w:rPr>
        <w:t>Oliveira, T., Silveira Neto, R. (2015) “Segregação Residencial na Cidade do Recife: um estudo de sua Configuração”, Revista Brasileira de Estudos Reg</w:t>
      </w:r>
      <w:r>
        <w:rPr>
          <w:szCs w:val="20"/>
        </w:rPr>
        <w:t xml:space="preserve">ionais e Urbanos, 9(1), 71-92. </w:t>
      </w:r>
    </w:p>
    <w:p w14:paraId="7F8996A2" w14:textId="77777777" w:rsidR="004F338F" w:rsidRPr="00D650D9" w:rsidRDefault="004F338F" w:rsidP="004F338F">
      <w:pPr>
        <w:widowControl w:val="0"/>
        <w:autoSpaceDE w:val="0"/>
        <w:autoSpaceDN w:val="0"/>
        <w:adjustRightInd w:val="0"/>
        <w:jc w:val="both"/>
        <w:rPr>
          <w:szCs w:val="20"/>
        </w:rPr>
      </w:pPr>
    </w:p>
    <w:p w14:paraId="5C64BD1C" w14:textId="77777777" w:rsidR="004F338F" w:rsidRDefault="004F338F" w:rsidP="004F338F">
      <w:pPr>
        <w:widowControl w:val="0"/>
        <w:autoSpaceDE w:val="0"/>
        <w:autoSpaceDN w:val="0"/>
        <w:adjustRightInd w:val="0"/>
        <w:jc w:val="both"/>
        <w:rPr>
          <w:lang w:val="en-US"/>
        </w:rPr>
      </w:pPr>
      <w:r w:rsidRPr="00C5744E">
        <w:rPr>
          <w:lang w:val="en-US"/>
        </w:rPr>
        <w:t>Quigley, J. (1976) “Housing Demand in the Short Run: an Analysis of Polytomous Choice”, in NBER (ed.), Explorations in Economic Research, Volume 3, number1.</w:t>
      </w:r>
    </w:p>
    <w:p w14:paraId="1FB7C98B" w14:textId="77777777" w:rsidR="004F338F" w:rsidRPr="00C5744E" w:rsidRDefault="004F338F" w:rsidP="004F338F">
      <w:pPr>
        <w:widowControl w:val="0"/>
        <w:autoSpaceDE w:val="0"/>
        <w:autoSpaceDN w:val="0"/>
        <w:adjustRightInd w:val="0"/>
        <w:jc w:val="both"/>
        <w:rPr>
          <w:szCs w:val="20"/>
          <w:lang w:val="en-US"/>
        </w:rPr>
      </w:pPr>
    </w:p>
    <w:p w14:paraId="68BBA253" w14:textId="77777777" w:rsidR="004F338F" w:rsidRDefault="004F338F" w:rsidP="004F338F">
      <w:pPr>
        <w:widowControl w:val="0"/>
        <w:autoSpaceDE w:val="0"/>
        <w:autoSpaceDN w:val="0"/>
        <w:adjustRightInd w:val="0"/>
        <w:jc w:val="both"/>
        <w:rPr>
          <w:szCs w:val="20"/>
          <w:lang w:val="en-US"/>
        </w:rPr>
      </w:pPr>
      <w:r w:rsidRPr="00C5744E">
        <w:rPr>
          <w:szCs w:val="20"/>
          <w:lang w:val="en-US"/>
        </w:rPr>
        <w:t>Rivers, D., and Q. H. Vuong. (1988). “Limited information estimators and exogeneity tests for simultaneous probit models.” Journal of Econometrics 39: 347–366.</w:t>
      </w:r>
    </w:p>
    <w:p w14:paraId="014F3946" w14:textId="77777777" w:rsidR="004F338F" w:rsidRPr="00C5744E" w:rsidRDefault="004F338F" w:rsidP="004F338F">
      <w:pPr>
        <w:widowControl w:val="0"/>
        <w:autoSpaceDE w:val="0"/>
        <w:autoSpaceDN w:val="0"/>
        <w:adjustRightInd w:val="0"/>
        <w:jc w:val="both"/>
        <w:rPr>
          <w:szCs w:val="20"/>
          <w:lang w:val="en-US"/>
        </w:rPr>
      </w:pPr>
    </w:p>
    <w:p w14:paraId="5754F437" w14:textId="77777777" w:rsidR="004F338F" w:rsidRDefault="004F338F" w:rsidP="004F338F">
      <w:pPr>
        <w:widowControl w:val="0"/>
        <w:autoSpaceDE w:val="0"/>
        <w:autoSpaceDN w:val="0"/>
        <w:adjustRightInd w:val="0"/>
        <w:jc w:val="both"/>
        <w:rPr>
          <w:szCs w:val="20"/>
          <w:lang w:val="en-US"/>
        </w:rPr>
      </w:pPr>
      <w:r w:rsidRPr="00C5744E">
        <w:rPr>
          <w:szCs w:val="20"/>
          <w:lang w:val="en-US"/>
        </w:rPr>
        <w:t>Silveira Neto, R., Duarte, G., Paéz, A. (2015) “Gender and commuting time in São Paulo metropolitan region”, Urban Studies, 52(2): 298-313.</w:t>
      </w:r>
    </w:p>
    <w:p w14:paraId="7129CE40" w14:textId="77777777" w:rsidR="004F338F" w:rsidRPr="00C5744E" w:rsidRDefault="004F338F" w:rsidP="004F338F">
      <w:pPr>
        <w:widowControl w:val="0"/>
        <w:autoSpaceDE w:val="0"/>
        <w:autoSpaceDN w:val="0"/>
        <w:adjustRightInd w:val="0"/>
        <w:jc w:val="both"/>
        <w:rPr>
          <w:szCs w:val="20"/>
          <w:lang w:val="en-US"/>
        </w:rPr>
      </w:pPr>
    </w:p>
    <w:p w14:paraId="6BDA649C" w14:textId="77777777" w:rsidR="004F338F" w:rsidRDefault="004F338F" w:rsidP="004F338F">
      <w:pPr>
        <w:widowControl w:val="0"/>
        <w:autoSpaceDE w:val="0"/>
        <w:autoSpaceDN w:val="0"/>
        <w:adjustRightInd w:val="0"/>
        <w:jc w:val="both"/>
        <w:rPr>
          <w:szCs w:val="20"/>
          <w:lang w:val="en-US"/>
        </w:rPr>
      </w:pPr>
      <w:r w:rsidRPr="00C5744E">
        <w:rPr>
          <w:szCs w:val="20"/>
          <w:lang w:val="en-US"/>
        </w:rPr>
        <w:t>Wooldridge, J. M. (2010). Econometric Analysis of Cross Section and Panel Data. 2nd ed. Cambridge, MA: MIT Press.</w:t>
      </w:r>
    </w:p>
    <w:p w14:paraId="34529C26" w14:textId="77777777" w:rsidR="004F338F" w:rsidRPr="00C5744E" w:rsidRDefault="004F338F" w:rsidP="004F338F">
      <w:pPr>
        <w:widowControl w:val="0"/>
        <w:autoSpaceDE w:val="0"/>
        <w:autoSpaceDN w:val="0"/>
        <w:adjustRightInd w:val="0"/>
        <w:jc w:val="both"/>
        <w:rPr>
          <w:szCs w:val="20"/>
          <w:lang w:val="en-US"/>
        </w:rPr>
      </w:pPr>
    </w:p>
    <w:p w14:paraId="603D31CC" w14:textId="77777777" w:rsidR="004F338F" w:rsidRPr="00C5744E" w:rsidRDefault="004F338F" w:rsidP="004F338F">
      <w:pPr>
        <w:widowControl w:val="0"/>
        <w:autoSpaceDE w:val="0"/>
        <w:autoSpaceDN w:val="0"/>
        <w:adjustRightInd w:val="0"/>
        <w:jc w:val="both"/>
        <w:rPr>
          <w:szCs w:val="20"/>
          <w:lang w:val="en-US"/>
        </w:rPr>
      </w:pPr>
      <w:r w:rsidRPr="00C5744E">
        <w:rPr>
          <w:szCs w:val="20"/>
          <w:lang w:val="en-US"/>
        </w:rPr>
        <w:t>Turner, T. and Niemeier, D. (1997) Travel to work and household responsibility: new evidence</w:t>
      </w:r>
      <w:r w:rsidRPr="00C5744E">
        <w:rPr>
          <w:i/>
          <w:szCs w:val="20"/>
          <w:lang w:val="en-US"/>
        </w:rPr>
        <w:t>, transportation</w:t>
      </w:r>
      <w:r w:rsidRPr="00C5744E">
        <w:rPr>
          <w:szCs w:val="20"/>
          <w:lang w:val="en-US"/>
        </w:rPr>
        <w:t>, 24, pp. 397-419.</w:t>
      </w:r>
    </w:p>
    <w:p w14:paraId="26AC50B4" w14:textId="77777777" w:rsidR="004F338F" w:rsidRPr="00C5744E" w:rsidRDefault="004F338F" w:rsidP="004F338F">
      <w:pPr>
        <w:widowControl w:val="0"/>
        <w:autoSpaceDE w:val="0"/>
        <w:autoSpaceDN w:val="0"/>
        <w:adjustRightInd w:val="0"/>
        <w:jc w:val="both"/>
        <w:rPr>
          <w:szCs w:val="20"/>
          <w:lang w:val="en-US"/>
        </w:rPr>
      </w:pPr>
      <w:r w:rsidRPr="00C5744E">
        <w:rPr>
          <w:szCs w:val="20"/>
          <w:lang w:val="en-US"/>
        </w:rPr>
        <w:t xml:space="preserve">White, M. (1986) Sex differences in urban commuting patterns, </w:t>
      </w:r>
      <w:r w:rsidRPr="00C5744E">
        <w:rPr>
          <w:i/>
          <w:szCs w:val="20"/>
          <w:lang w:val="en-US"/>
        </w:rPr>
        <w:t>American Economic Review</w:t>
      </w:r>
      <w:r w:rsidRPr="00C5744E">
        <w:rPr>
          <w:szCs w:val="20"/>
          <w:lang w:val="en-US"/>
        </w:rPr>
        <w:t>, 76 (2), pp. 368-372.</w:t>
      </w:r>
    </w:p>
    <w:p w14:paraId="3BA0CAF4" w14:textId="77777777" w:rsidR="004F338F" w:rsidRDefault="004F338F"/>
    <w:p w14:paraId="2296CA02" w14:textId="77777777" w:rsidR="004F338F" w:rsidRDefault="004F338F"/>
    <w:sectPr w:rsidR="004F338F" w:rsidSect="004F338F">
      <w:pgSz w:w="11900" w:h="16840"/>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843DE" w14:textId="77777777" w:rsidR="004F338F" w:rsidRDefault="004F338F" w:rsidP="004F338F">
      <w:r>
        <w:separator/>
      </w:r>
    </w:p>
  </w:endnote>
  <w:endnote w:type="continuationSeparator" w:id="0">
    <w:p w14:paraId="00F84E67" w14:textId="77777777" w:rsidR="004F338F" w:rsidRDefault="004F338F" w:rsidP="004F3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F516C" w14:textId="77777777" w:rsidR="004F338F" w:rsidRDefault="004F338F" w:rsidP="004F338F">
      <w:r>
        <w:separator/>
      </w:r>
    </w:p>
  </w:footnote>
  <w:footnote w:type="continuationSeparator" w:id="0">
    <w:p w14:paraId="5D6CAECC" w14:textId="77777777" w:rsidR="004F338F" w:rsidRDefault="004F338F" w:rsidP="004F338F">
      <w:r>
        <w:continuationSeparator/>
      </w:r>
    </w:p>
  </w:footnote>
  <w:footnote w:id="1">
    <w:p w14:paraId="65D7AD9D" w14:textId="77777777" w:rsidR="004F338F" w:rsidRPr="001E6B7E" w:rsidRDefault="004F338F" w:rsidP="004F338F">
      <w:pPr>
        <w:pStyle w:val="FootnoteText"/>
        <w:jc w:val="both"/>
        <w:rPr>
          <w:rFonts w:ascii="Times New Roman" w:hAnsi="Times New Roman" w:cs="Times New Roman"/>
          <w:lang w:val="en-US"/>
        </w:rPr>
      </w:pPr>
      <w:r>
        <w:rPr>
          <w:rStyle w:val="FootnoteReference"/>
        </w:rPr>
        <w:footnoteRef/>
      </w:r>
      <w:r w:rsidRPr="00A05D04">
        <w:rPr>
          <w:lang w:val="en-US"/>
        </w:rPr>
        <w:t xml:space="preserve"> </w:t>
      </w:r>
      <w:r>
        <w:rPr>
          <w:rFonts w:ascii="Times New Roman" w:hAnsi="Times New Roman" w:cs="Times New Roman"/>
          <w:lang w:val="en-US"/>
        </w:rPr>
        <w:t>Both estimators a biased in this situation, but only IV can generate consistent estimative.</w:t>
      </w:r>
    </w:p>
  </w:footnote>
  <w:footnote w:id="2">
    <w:p w14:paraId="1E2C5A05" w14:textId="77777777" w:rsidR="004F338F" w:rsidRPr="007C0DC2" w:rsidRDefault="004F338F" w:rsidP="004F338F">
      <w:pPr>
        <w:pStyle w:val="FootnoteText"/>
        <w:rPr>
          <w:rFonts w:ascii="Times New Roman" w:hAnsi="Times New Roman" w:cs="Times New Roman"/>
          <w:lang w:val="en-US"/>
        </w:rPr>
      </w:pPr>
      <w:r>
        <w:rPr>
          <w:rStyle w:val="FootnoteReference"/>
        </w:rPr>
        <w:footnoteRef/>
      </w:r>
      <w:r w:rsidRPr="00A05D04">
        <w:rPr>
          <w:lang w:val="en-US"/>
        </w:rPr>
        <w:t xml:space="preserve"> </w:t>
      </w:r>
      <w:r>
        <w:rPr>
          <w:rFonts w:ascii="Times New Roman" w:hAnsi="Times New Roman" w:cs="Times New Roman"/>
          <w:lang w:val="en-US"/>
        </w:rPr>
        <w:t>See Wooldridge (2010) for a detailed discussion of these approaches.</w:t>
      </w:r>
    </w:p>
  </w:footnote>
  <w:footnote w:id="3">
    <w:p w14:paraId="26864091" w14:textId="77777777" w:rsidR="004F338F" w:rsidRPr="00767571" w:rsidRDefault="004F338F" w:rsidP="004F338F">
      <w:pPr>
        <w:pStyle w:val="FootnoteText"/>
        <w:jc w:val="both"/>
        <w:rPr>
          <w:rFonts w:ascii="Times New Roman" w:hAnsi="Times New Roman"/>
          <w:lang w:val="en-US"/>
        </w:rPr>
      </w:pPr>
      <w:r w:rsidRPr="00FC7514">
        <w:rPr>
          <w:rStyle w:val="FootnoteReference"/>
        </w:rPr>
        <w:footnoteRef/>
      </w:r>
      <w:r w:rsidRPr="00FC7514">
        <w:rPr>
          <w:lang w:val="en-US"/>
        </w:rPr>
        <w:t xml:space="preserve"> </w:t>
      </w:r>
      <w:r w:rsidRPr="00FC7514">
        <w:rPr>
          <w:rFonts w:ascii="Times New Roman" w:hAnsi="Times New Roman" w:cs="Times New Roman"/>
          <w:lang w:val="en-US"/>
        </w:rPr>
        <w:t>Note that for the number of rooms we do not reject the hypothesis of erogeneity of the variable associated with the numbers of children, thus we use OLS estimator. For the other two variables, all diagnostic tests for exogeneity and instrument weakness present strong evidence favoring IV estimator (the same applies to the specification of Table 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8F"/>
    <w:rsid w:val="001044E7"/>
    <w:rsid w:val="004F338F"/>
    <w:rsid w:val="00632B73"/>
    <w:rsid w:val="00987E7D"/>
    <w:rsid w:val="00A1665F"/>
    <w:rsid w:val="00BB03B7"/>
    <w:rsid w:val="00F5732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D4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8F"/>
    <w:pPr>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2Char">
    <w:name w:val="Título 2 Char"/>
    <w:rsid w:val="004F338F"/>
    <w:rPr>
      <w:rFonts w:cs="Times New Roman"/>
      <w:b/>
      <w:bCs/>
      <w:sz w:val="24"/>
      <w:szCs w:val="24"/>
      <w:lang w:val="pt-BR"/>
    </w:rPr>
  </w:style>
  <w:style w:type="paragraph" w:styleId="BalloonText">
    <w:name w:val="Balloon Text"/>
    <w:basedOn w:val="Normal"/>
    <w:link w:val="BalloonTextChar"/>
    <w:uiPriority w:val="99"/>
    <w:semiHidden/>
    <w:unhideWhenUsed/>
    <w:rsid w:val="004F3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8F"/>
    <w:rPr>
      <w:rFonts w:ascii="Lucida Grande" w:eastAsia="Times New Roman" w:hAnsi="Lucida Grande" w:cs="Lucida Grande"/>
      <w:sz w:val="18"/>
      <w:szCs w:val="18"/>
      <w:lang w:eastAsia="zh-CN"/>
    </w:rPr>
  </w:style>
  <w:style w:type="table" w:styleId="TableGrid">
    <w:name w:val="Table Grid"/>
    <w:basedOn w:val="TableNormal"/>
    <w:uiPriority w:val="59"/>
    <w:rsid w:val="004F338F"/>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F338F"/>
    <w:pPr>
      <w:suppressAutoHyphens w:val="0"/>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4F338F"/>
    <w:rPr>
      <w:rFonts w:eastAsiaTheme="minorHAnsi"/>
      <w:sz w:val="20"/>
      <w:szCs w:val="20"/>
    </w:rPr>
  </w:style>
  <w:style w:type="character" w:styleId="FootnoteReference">
    <w:name w:val="footnote reference"/>
    <w:basedOn w:val="DefaultParagraphFont"/>
    <w:uiPriority w:val="99"/>
    <w:unhideWhenUsed/>
    <w:rsid w:val="004F338F"/>
    <w:rPr>
      <w:vertAlign w:val="superscript"/>
    </w:rPr>
  </w:style>
  <w:style w:type="character" w:styleId="Hyperlink">
    <w:name w:val="Hyperlink"/>
    <w:basedOn w:val="DefaultParagraphFont"/>
    <w:uiPriority w:val="99"/>
    <w:unhideWhenUsed/>
    <w:rsid w:val="004F33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8F"/>
    <w:pPr>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2Char">
    <w:name w:val="Título 2 Char"/>
    <w:rsid w:val="004F338F"/>
    <w:rPr>
      <w:rFonts w:cs="Times New Roman"/>
      <w:b/>
      <w:bCs/>
      <w:sz w:val="24"/>
      <w:szCs w:val="24"/>
      <w:lang w:val="pt-BR"/>
    </w:rPr>
  </w:style>
  <w:style w:type="paragraph" w:styleId="BalloonText">
    <w:name w:val="Balloon Text"/>
    <w:basedOn w:val="Normal"/>
    <w:link w:val="BalloonTextChar"/>
    <w:uiPriority w:val="99"/>
    <w:semiHidden/>
    <w:unhideWhenUsed/>
    <w:rsid w:val="004F3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8F"/>
    <w:rPr>
      <w:rFonts w:ascii="Lucida Grande" w:eastAsia="Times New Roman" w:hAnsi="Lucida Grande" w:cs="Lucida Grande"/>
      <w:sz w:val="18"/>
      <w:szCs w:val="18"/>
      <w:lang w:eastAsia="zh-CN"/>
    </w:rPr>
  </w:style>
  <w:style w:type="table" w:styleId="TableGrid">
    <w:name w:val="Table Grid"/>
    <w:basedOn w:val="TableNormal"/>
    <w:uiPriority w:val="59"/>
    <w:rsid w:val="004F338F"/>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F338F"/>
    <w:pPr>
      <w:suppressAutoHyphens w:val="0"/>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4F338F"/>
    <w:rPr>
      <w:rFonts w:eastAsiaTheme="minorHAnsi"/>
      <w:sz w:val="20"/>
      <w:szCs w:val="20"/>
    </w:rPr>
  </w:style>
  <w:style w:type="character" w:styleId="FootnoteReference">
    <w:name w:val="footnote reference"/>
    <w:basedOn w:val="DefaultParagraphFont"/>
    <w:uiPriority w:val="99"/>
    <w:unhideWhenUsed/>
    <w:rsid w:val="004F338F"/>
    <w:rPr>
      <w:vertAlign w:val="superscript"/>
    </w:rPr>
  </w:style>
  <w:style w:type="character" w:styleId="Hyperlink">
    <w:name w:val="Hyperlink"/>
    <w:basedOn w:val="DefaultParagraphFont"/>
    <w:uiPriority w:val="99"/>
    <w:unhideWhenUsed/>
    <w:rsid w:val="004F33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ber.org/papers/w2172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os%2006%20mar&#231;o%202017\Artigos%20pr&#243;prios\L&#233;a\Estrutura%20familiar\Estrutura%20familiar\Novas%20Estat&#237;sticas%20Descritiv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os%2006%20mar&#231;o%202017\Artigos%20pr&#243;prios\L&#233;a\Estrutura%20familiar\Estrutura%20familiar\Novas%20Estat&#237;sticas%20Descritiv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os%2006%20mar&#231;o%202017\Artigos%20pr&#243;prios\L&#233;a\Estrutura%20familiar\Estrutura%20familiar\Novas%20Estat&#237;sticas%20Descritiv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OSHIBA%20EXT:Documentos%2006%20mar&#231;o%202017:Artigos%20pr&#243;prios:L&#233;a:Estrutura%20familiar:Estrutura%20familiar:Novas%20Estat&#237;sticas%20Descritiv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881066948684438"/>
          <c:y val="0.0612193765846658"/>
          <c:w val="0.850939237287446"/>
          <c:h val="0.772843527872816"/>
        </c:manualLayout>
      </c:layout>
      <c:lineChart>
        <c:grouping val="standard"/>
        <c:varyColors val="0"/>
        <c:ser>
          <c:idx val="0"/>
          <c:order val="0"/>
          <c:tx>
            <c:strRef>
              <c:f>Sheet2!$D$4</c:f>
              <c:strCache>
                <c:ptCount val="1"/>
                <c:pt idx="0">
                  <c:v>Children</c:v>
                </c:pt>
              </c:strCache>
            </c:strRef>
          </c:tx>
          <c:spPr>
            <a:ln w="25400" cmpd="sng">
              <a:solidFill>
                <a:schemeClr val="tx1"/>
              </a:solidFill>
            </a:ln>
          </c:spPr>
          <c:marker>
            <c:symbol val="none"/>
          </c:marker>
          <c:cat>
            <c:numRef>
              <c:f>Sheet2!$E$3:$N$3</c:f>
              <c:numCache>
                <c:formatCode>General</c:formatCode>
                <c:ptCount val="10"/>
                <c:pt idx="0">
                  <c:v>1995.0</c:v>
                </c:pt>
                <c:pt idx="1">
                  <c:v>1997.0</c:v>
                </c:pt>
                <c:pt idx="2">
                  <c:v>1999.0</c:v>
                </c:pt>
                <c:pt idx="3">
                  <c:v>2001.0</c:v>
                </c:pt>
                <c:pt idx="4">
                  <c:v>2003.0</c:v>
                </c:pt>
                <c:pt idx="5">
                  <c:v>2005.0</c:v>
                </c:pt>
                <c:pt idx="6">
                  <c:v>2007.0</c:v>
                </c:pt>
                <c:pt idx="7">
                  <c:v>2009.0</c:v>
                </c:pt>
                <c:pt idx="8">
                  <c:v>2011.0</c:v>
                </c:pt>
                <c:pt idx="9">
                  <c:v>2013.0</c:v>
                </c:pt>
              </c:numCache>
            </c:numRef>
          </c:cat>
          <c:val>
            <c:numRef>
              <c:f>Sheet2!$E$4:$N$4</c:f>
              <c:numCache>
                <c:formatCode>General</c:formatCode>
                <c:ptCount val="10"/>
                <c:pt idx="0">
                  <c:v>37.16</c:v>
                </c:pt>
                <c:pt idx="1">
                  <c:v>36.68</c:v>
                </c:pt>
                <c:pt idx="2">
                  <c:v>35.5</c:v>
                </c:pt>
                <c:pt idx="3">
                  <c:v>34.32</c:v>
                </c:pt>
                <c:pt idx="4">
                  <c:v>33.49</c:v>
                </c:pt>
                <c:pt idx="5">
                  <c:v>32.52</c:v>
                </c:pt>
                <c:pt idx="6">
                  <c:v>31.23</c:v>
                </c:pt>
                <c:pt idx="7">
                  <c:v>30.345</c:v>
                </c:pt>
                <c:pt idx="8">
                  <c:v>29.46</c:v>
                </c:pt>
                <c:pt idx="9">
                  <c:v>27.84</c:v>
                </c:pt>
              </c:numCache>
            </c:numRef>
          </c:val>
          <c:smooth val="0"/>
        </c:ser>
        <c:dLbls>
          <c:showLegendKey val="0"/>
          <c:showVal val="0"/>
          <c:showCatName val="0"/>
          <c:showSerName val="0"/>
          <c:showPercent val="0"/>
          <c:showBubbleSize val="0"/>
        </c:dLbls>
        <c:marker val="1"/>
        <c:smooth val="0"/>
        <c:axId val="-2146585880"/>
        <c:axId val="-2147250040"/>
      </c:lineChart>
      <c:catAx>
        <c:axId val="-2146585880"/>
        <c:scaling>
          <c:orientation val="minMax"/>
        </c:scaling>
        <c:delete val="0"/>
        <c:axPos val="b"/>
        <c:numFmt formatCode="General" sourceLinked="1"/>
        <c:majorTickMark val="out"/>
        <c:minorTickMark val="none"/>
        <c:tickLblPos val="nextTo"/>
        <c:txPr>
          <a:bodyPr/>
          <a:lstStyle/>
          <a:p>
            <a:pPr>
              <a:defRPr sz="1000"/>
            </a:pPr>
            <a:endParaRPr lang="en-US"/>
          </a:p>
        </c:txPr>
        <c:crossAx val="-2147250040"/>
        <c:crosses val="autoZero"/>
        <c:auto val="1"/>
        <c:lblAlgn val="ctr"/>
        <c:lblOffset val="100"/>
        <c:noMultiLvlLbl val="0"/>
      </c:catAx>
      <c:valAx>
        <c:axId val="-2147250040"/>
        <c:scaling>
          <c:orientation val="minMax"/>
          <c:min val="25.0"/>
        </c:scaling>
        <c:delete val="0"/>
        <c:axPos val="l"/>
        <c:majorGridlines/>
        <c:numFmt formatCode="General" sourceLinked="1"/>
        <c:majorTickMark val="out"/>
        <c:minorTickMark val="none"/>
        <c:tickLblPos val="nextTo"/>
        <c:txPr>
          <a:bodyPr/>
          <a:lstStyle/>
          <a:p>
            <a:pPr>
              <a:defRPr sz="1000"/>
            </a:pPr>
            <a:endParaRPr lang="en-US"/>
          </a:p>
        </c:txPr>
        <c:crossAx val="-214658588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817338198578836"/>
          <c:y val="0.0529898750854412"/>
          <c:w val="0.891436911849433"/>
          <c:h val="0.810380158135609"/>
        </c:manualLayout>
      </c:layout>
      <c:lineChart>
        <c:grouping val="standard"/>
        <c:varyColors val="0"/>
        <c:ser>
          <c:idx val="0"/>
          <c:order val="0"/>
          <c:tx>
            <c:strRef>
              <c:f>Sheet2!$D$9</c:f>
              <c:strCache>
                <c:ptCount val="1"/>
                <c:pt idx="0">
                  <c:v>Bedrooms</c:v>
                </c:pt>
              </c:strCache>
            </c:strRef>
          </c:tx>
          <c:spPr>
            <a:ln w="25400">
              <a:solidFill>
                <a:schemeClr val="tx1"/>
              </a:solidFill>
            </a:ln>
          </c:spPr>
          <c:marker>
            <c:symbol val="none"/>
          </c:marker>
          <c:cat>
            <c:numRef>
              <c:f>Sheet2!$E$8:$N$8</c:f>
              <c:numCache>
                <c:formatCode>General</c:formatCode>
                <c:ptCount val="10"/>
                <c:pt idx="0">
                  <c:v>1995.0</c:v>
                </c:pt>
                <c:pt idx="1">
                  <c:v>1997.0</c:v>
                </c:pt>
                <c:pt idx="2">
                  <c:v>1999.0</c:v>
                </c:pt>
                <c:pt idx="3">
                  <c:v>2001.0</c:v>
                </c:pt>
                <c:pt idx="4">
                  <c:v>2003.0</c:v>
                </c:pt>
                <c:pt idx="5">
                  <c:v>2005.0</c:v>
                </c:pt>
                <c:pt idx="6">
                  <c:v>2007.0</c:v>
                </c:pt>
                <c:pt idx="7">
                  <c:v>2009.0</c:v>
                </c:pt>
                <c:pt idx="8">
                  <c:v>2011.0</c:v>
                </c:pt>
                <c:pt idx="9">
                  <c:v>2013.0</c:v>
                </c:pt>
              </c:numCache>
            </c:numRef>
          </c:cat>
          <c:val>
            <c:numRef>
              <c:f>Sheet2!$E$9:$N$9</c:f>
              <c:numCache>
                <c:formatCode>General</c:formatCode>
                <c:ptCount val="10"/>
                <c:pt idx="0">
                  <c:v>1.96</c:v>
                </c:pt>
                <c:pt idx="1">
                  <c:v>1.97</c:v>
                </c:pt>
                <c:pt idx="2">
                  <c:v>1.96</c:v>
                </c:pt>
                <c:pt idx="3">
                  <c:v>1.95</c:v>
                </c:pt>
                <c:pt idx="4">
                  <c:v>1.93</c:v>
                </c:pt>
                <c:pt idx="5">
                  <c:v>1.91</c:v>
                </c:pt>
                <c:pt idx="6">
                  <c:v>1.9</c:v>
                </c:pt>
                <c:pt idx="7">
                  <c:v>1.895</c:v>
                </c:pt>
                <c:pt idx="8">
                  <c:v>1.89</c:v>
                </c:pt>
                <c:pt idx="9">
                  <c:v>1.85</c:v>
                </c:pt>
              </c:numCache>
            </c:numRef>
          </c:val>
          <c:smooth val="0"/>
        </c:ser>
        <c:dLbls>
          <c:showLegendKey val="0"/>
          <c:showVal val="0"/>
          <c:showCatName val="0"/>
          <c:showSerName val="0"/>
          <c:showPercent val="0"/>
          <c:showBubbleSize val="0"/>
        </c:dLbls>
        <c:marker val="1"/>
        <c:smooth val="0"/>
        <c:axId val="-2147232120"/>
        <c:axId val="2072236968"/>
      </c:lineChart>
      <c:catAx>
        <c:axId val="-2147232120"/>
        <c:scaling>
          <c:orientation val="minMax"/>
        </c:scaling>
        <c:delete val="0"/>
        <c:axPos val="b"/>
        <c:numFmt formatCode="General" sourceLinked="1"/>
        <c:majorTickMark val="out"/>
        <c:minorTickMark val="none"/>
        <c:tickLblPos val="nextTo"/>
        <c:txPr>
          <a:bodyPr/>
          <a:lstStyle/>
          <a:p>
            <a:pPr>
              <a:defRPr sz="1000"/>
            </a:pPr>
            <a:endParaRPr lang="en-US"/>
          </a:p>
        </c:txPr>
        <c:crossAx val="2072236968"/>
        <c:crosses val="autoZero"/>
        <c:auto val="1"/>
        <c:lblAlgn val="ctr"/>
        <c:lblOffset val="100"/>
        <c:noMultiLvlLbl val="0"/>
      </c:catAx>
      <c:valAx>
        <c:axId val="2072236968"/>
        <c:scaling>
          <c:orientation val="minMax"/>
        </c:scaling>
        <c:delete val="0"/>
        <c:axPos val="l"/>
        <c:majorGridlines/>
        <c:numFmt formatCode="General" sourceLinked="1"/>
        <c:majorTickMark val="out"/>
        <c:minorTickMark val="none"/>
        <c:tickLblPos val="nextTo"/>
        <c:txPr>
          <a:bodyPr/>
          <a:lstStyle/>
          <a:p>
            <a:pPr>
              <a:defRPr sz="1000"/>
            </a:pPr>
            <a:endParaRPr lang="en-US"/>
          </a:p>
        </c:txPr>
        <c:crossAx val="-214723212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958852643419572"/>
          <c:y val="0.0301656929562005"/>
          <c:w val="0.904114735658043"/>
          <c:h val="0.821313782940988"/>
        </c:manualLayout>
      </c:layout>
      <c:lineChart>
        <c:grouping val="standard"/>
        <c:varyColors val="0"/>
        <c:ser>
          <c:idx val="0"/>
          <c:order val="0"/>
          <c:tx>
            <c:strRef>
              <c:f>Sheet1!$N$18</c:f>
              <c:strCache>
                <c:ptCount val="1"/>
                <c:pt idx="0">
                  <c:v>Share of household heads of smaller residence in the total of heads with up to 30 min. of commuting time</c:v>
                </c:pt>
              </c:strCache>
            </c:strRef>
          </c:tx>
          <c:spPr>
            <a:ln w="25400">
              <a:solidFill>
                <a:schemeClr val="tx1"/>
              </a:solidFill>
            </a:ln>
          </c:spPr>
          <c:marker>
            <c:symbol val="none"/>
          </c:marker>
          <c:cat>
            <c:numRef>
              <c:f>Sheet1!$O$17:$X$17</c:f>
              <c:numCache>
                <c:formatCode>General</c:formatCode>
                <c:ptCount val="10"/>
                <c:pt idx="0">
                  <c:v>1995.0</c:v>
                </c:pt>
                <c:pt idx="1">
                  <c:v>1997.0</c:v>
                </c:pt>
                <c:pt idx="2">
                  <c:v>1999.0</c:v>
                </c:pt>
                <c:pt idx="3">
                  <c:v>2001.0</c:v>
                </c:pt>
                <c:pt idx="4">
                  <c:v>2003.0</c:v>
                </c:pt>
                <c:pt idx="5">
                  <c:v>2005.0</c:v>
                </c:pt>
                <c:pt idx="6">
                  <c:v>2007.0</c:v>
                </c:pt>
                <c:pt idx="7">
                  <c:v>2009.0</c:v>
                </c:pt>
                <c:pt idx="8">
                  <c:v>2011.0</c:v>
                </c:pt>
                <c:pt idx="9">
                  <c:v>2013.0</c:v>
                </c:pt>
              </c:numCache>
            </c:numRef>
          </c:cat>
          <c:val>
            <c:numRef>
              <c:f>Sheet1!$O$18:$X$18</c:f>
              <c:numCache>
                <c:formatCode>General</c:formatCode>
                <c:ptCount val="10"/>
                <c:pt idx="0">
                  <c:v>75.1</c:v>
                </c:pt>
                <c:pt idx="1">
                  <c:v>75.4</c:v>
                </c:pt>
                <c:pt idx="2">
                  <c:v>75.7</c:v>
                </c:pt>
                <c:pt idx="3">
                  <c:v>77.36</c:v>
                </c:pt>
                <c:pt idx="4">
                  <c:v>77.83</c:v>
                </c:pt>
                <c:pt idx="5">
                  <c:v>78.5</c:v>
                </c:pt>
                <c:pt idx="6">
                  <c:v>79.14</c:v>
                </c:pt>
                <c:pt idx="7">
                  <c:v>80.51</c:v>
                </c:pt>
                <c:pt idx="8">
                  <c:v>81.6</c:v>
                </c:pt>
                <c:pt idx="9">
                  <c:v>79.7</c:v>
                </c:pt>
              </c:numCache>
            </c:numRef>
          </c:val>
          <c:smooth val="0"/>
        </c:ser>
        <c:dLbls>
          <c:showLegendKey val="0"/>
          <c:showVal val="0"/>
          <c:showCatName val="0"/>
          <c:showSerName val="0"/>
          <c:showPercent val="0"/>
          <c:showBubbleSize val="0"/>
        </c:dLbls>
        <c:marker val="1"/>
        <c:smooth val="0"/>
        <c:axId val="-2147244840"/>
        <c:axId val="-2147409240"/>
      </c:lineChart>
      <c:catAx>
        <c:axId val="-2147244840"/>
        <c:scaling>
          <c:orientation val="minMax"/>
        </c:scaling>
        <c:delete val="0"/>
        <c:axPos val="b"/>
        <c:numFmt formatCode="General" sourceLinked="1"/>
        <c:majorTickMark val="out"/>
        <c:minorTickMark val="none"/>
        <c:tickLblPos val="nextTo"/>
        <c:txPr>
          <a:bodyPr/>
          <a:lstStyle/>
          <a:p>
            <a:pPr>
              <a:defRPr sz="1000"/>
            </a:pPr>
            <a:endParaRPr lang="en-US"/>
          </a:p>
        </c:txPr>
        <c:crossAx val="-2147409240"/>
        <c:crosses val="autoZero"/>
        <c:auto val="1"/>
        <c:lblAlgn val="ctr"/>
        <c:lblOffset val="100"/>
        <c:noMultiLvlLbl val="0"/>
      </c:catAx>
      <c:valAx>
        <c:axId val="-2147409240"/>
        <c:scaling>
          <c:orientation val="minMax"/>
        </c:scaling>
        <c:delete val="0"/>
        <c:axPos val="l"/>
        <c:majorGridlines/>
        <c:numFmt formatCode="General" sourceLinked="1"/>
        <c:majorTickMark val="out"/>
        <c:minorTickMark val="none"/>
        <c:tickLblPos val="nextTo"/>
        <c:txPr>
          <a:bodyPr/>
          <a:lstStyle/>
          <a:p>
            <a:pPr>
              <a:defRPr sz="1000"/>
            </a:pPr>
            <a:endParaRPr lang="en-US"/>
          </a:p>
        </c:txPr>
        <c:crossAx val="-2147244840"/>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677410225956392"/>
          <c:y val="0.0465116279069767"/>
          <c:w val="0.825599495593777"/>
          <c:h val="0.677936697984308"/>
        </c:manualLayout>
      </c:layout>
      <c:barChart>
        <c:barDir val="col"/>
        <c:grouping val="stacked"/>
        <c:varyColors val="0"/>
        <c:ser>
          <c:idx val="0"/>
          <c:order val="0"/>
          <c:tx>
            <c:strRef>
              <c:f>Sheet2!$D$45</c:f>
              <c:strCache>
                <c:ptCount val="1"/>
                <c:pt idx="0">
                  <c:v>Up to 30 min.</c:v>
                </c:pt>
              </c:strCache>
            </c:strRef>
          </c:tx>
          <c:spPr>
            <a:solidFill>
              <a:schemeClr val="bg1"/>
            </a:solidFill>
          </c:spPr>
          <c:invertIfNegative val="0"/>
          <c:dLbls>
            <c:dLbl>
              <c:idx val="1"/>
              <c:showLegendKey val="0"/>
              <c:showVal val="1"/>
              <c:showCatName val="0"/>
              <c:showSerName val="0"/>
              <c:showPercent val="0"/>
              <c:showBubbleSize val="0"/>
            </c:dLbl>
            <c:dLbl>
              <c:idx val="6"/>
              <c:showLegendKey val="0"/>
              <c:showVal val="1"/>
              <c:showCatName val="0"/>
              <c:showSerName val="0"/>
              <c:showPercent val="0"/>
              <c:showBubbleSize val="0"/>
            </c:dLbl>
            <c:txPr>
              <a:bodyPr/>
              <a:lstStyle/>
              <a:p>
                <a:pPr>
                  <a:defRPr sz="1000"/>
                </a:pPr>
                <a:endParaRPr lang="en-US"/>
              </a:p>
            </c:txPr>
            <c:showLegendKey val="0"/>
            <c:showVal val="0"/>
            <c:showCatName val="0"/>
            <c:showSerName val="0"/>
            <c:showPercent val="0"/>
            <c:showBubbleSize val="0"/>
          </c:dLbls>
          <c:cat>
            <c:numRef>
              <c:f>Sheet2!$E$44:$L$44</c:f>
              <c:numCache>
                <c:formatCode>General</c:formatCode>
                <c:ptCount val="8"/>
                <c:pt idx="0">
                  <c:v>0.0</c:v>
                </c:pt>
                <c:pt idx="1">
                  <c:v>1.0</c:v>
                </c:pt>
                <c:pt idx="2">
                  <c:v>2.0</c:v>
                </c:pt>
                <c:pt idx="3">
                  <c:v>3.0</c:v>
                </c:pt>
                <c:pt idx="4">
                  <c:v>4.0</c:v>
                </c:pt>
                <c:pt idx="5">
                  <c:v>5.0</c:v>
                </c:pt>
                <c:pt idx="6">
                  <c:v>6.0</c:v>
                </c:pt>
                <c:pt idx="7">
                  <c:v>7.0</c:v>
                </c:pt>
              </c:numCache>
            </c:numRef>
          </c:cat>
          <c:val>
            <c:numRef>
              <c:f>Sheet2!$E$45:$L$45</c:f>
              <c:numCache>
                <c:formatCode>General</c:formatCode>
                <c:ptCount val="8"/>
                <c:pt idx="0">
                  <c:v>66.16</c:v>
                </c:pt>
                <c:pt idx="1">
                  <c:v>65.45</c:v>
                </c:pt>
                <c:pt idx="2">
                  <c:v>65.44</c:v>
                </c:pt>
                <c:pt idx="3">
                  <c:v>64.69</c:v>
                </c:pt>
                <c:pt idx="4">
                  <c:v>65.03</c:v>
                </c:pt>
                <c:pt idx="5">
                  <c:v>59.36</c:v>
                </c:pt>
                <c:pt idx="6">
                  <c:v>60.67</c:v>
                </c:pt>
                <c:pt idx="7">
                  <c:v>62.07</c:v>
                </c:pt>
              </c:numCache>
            </c:numRef>
          </c:val>
        </c:ser>
        <c:ser>
          <c:idx val="1"/>
          <c:order val="1"/>
          <c:tx>
            <c:strRef>
              <c:f>Sheet2!$D$46</c:f>
              <c:strCache>
                <c:ptCount val="1"/>
                <c:pt idx="0">
                  <c:v>More than 30 min.</c:v>
                </c:pt>
              </c:strCache>
            </c:strRef>
          </c:tx>
          <c:spPr>
            <a:solidFill>
              <a:schemeClr val="tx1"/>
            </a:solidFill>
          </c:spPr>
          <c:invertIfNegative val="0"/>
          <c:cat>
            <c:numRef>
              <c:f>Sheet2!$E$44:$L$44</c:f>
              <c:numCache>
                <c:formatCode>General</c:formatCode>
                <c:ptCount val="8"/>
                <c:pt idx="0">
                  <c:v>0.0</c:v>
                </c:pt>
                <c:pt idx="1">
                  <c:v>1.0</c:v>
                </c:pt>
                <c:pt idx="2">
                  <c:v>2.0</c:v>
                </c:pt>
                <c:pt idx="3">
                  <c:v>3.0</c:v>
                </c:pt>
                <c:pt idx="4">
                  <c:v>4.0</c:v>
                </c:pt>
                <c:pt idx="5">
                  <c:v>5.0</c:v>
                </c:pt>
                <c:pt idx="6">
                  <c:v>6.0</c:v>
                </c:pt>
                <c:pt idx="7">
                  <c:v>7.0</c:v>
                </c:pt>
              </c:numCache>
            </c:numRef>
          </c:cat>
          <c:val>
            <c:numRef>
              <c:f>Sheet2!$E$46:$L$46</c:f>
              <c:numCache>
                <c:formatCode>General</c:formatCode>
                <c:ptCount val="8"/>
                <c:pt idx="0">
                  <c:v>33.84</c:v>
                </c:pt>
                <c:pt idx="1">
                  <c:v>34.55</c:v>
                </c:pt>
                <c:pt idx="2">
                  <c:v>34.56</c:v>
                </c:pt>
                <c:pt idx="3">
                  <c:v>35.31</c:v>
                </c:pt>
                <c:pt idx="4">
                  <c:v>34.97</c:v>
                </c:pt>
                <c:pt idx="5">
                  <c:v>40.64</c:v>
                </c:pt>
                <c:pt idx="6">
                  <c:v>39.33</c:v>
                </c:pt>
                <c:pt idx="7">
                  <c:v>37.93</c:v>
                </c:pt>
              </c:numCache>
            </c:numRef>
          </c:val>
        </c:ser>
        <c:dLbls>
          <c:showLegendKey val="0"/>
          <c:showVal val="0"/>
          <c:showCatName val="0"/>
          <c:showSerName val="0"/>
          <c:showPercent val="0"/>
          <c:showBubbleSize val="0"/>
        </c:dLbls>
        <c:gapWidth val="150"/>
        <c:overlap val="100"/>
        <c:axId val="2134840584"/>
        <c:axId val="-2146498664"/>
      </c:barChart>
      <c:catAx>
        <c:axId val="2134840584"/>
        <c:scaling>
          <c:orientation val="minMax"/>
        </c:scaling>
        <c:delete val="0"/>
        <c:axPos val="b"/>
        <c:numFmt formatCode="General" sourceLinked="1"/>
        <c:majorTickMark val="out"/>
        <c:minorTickMark val="none"/>
        <c:tickLblPos val="nextTo"/>
        <c:txPr>
          <a:bodyPr/>
          <a:lstStyle/>
          <a:p>
            <a:pPr>
              <a:defRPr sz="1000"/>
            </a:pPr>
            <a:endParaRPr lang="en-US"/>
          </a:p>
        </c:txPr>
        <c:crossAx val="-2146498664"/>
        <c:crosses val="autoZero"/>
        <c:auto val="1"/>
        <c:lblAlgn val="ctr"/>
        <c:lblOffset val="100"/>
        <c:noMultiLvlLbl val="0"/>
      </c:catAx>
      <c:valAx>
        <c:axId val="-2146498664"/>
        <c:scaling>
          <c:orientation val="minMax"/>
          <c:max val="100.0"/>
        </c:scaling>
        <c:delete val="0"/>
        <c:axPos val="l"/>
        <c:majorGridlines/>
        <c:numFmt formatCode="General" sourceLinked="1"/>
        <c:majorTickMark val="out"/>
        <c:minorTickMark val="none"/>
        <c:tickLblPos val="nextTo"/>
        <c:txPr>
          <a:bodyPr/>
          <a:lstStyle/>
          <a:p>
            <a:pPr>
              <a:defRPr sz="1000"/>
            </a:pPr>
            <a:endParaRPr lang="en-US"/>
          </a:p>
        </c:txPr>
        <c:crossAx val="2134840584"/>
        <c:crosses val="autoZero"/>
        <c:crossBetween val="between"/>
      </c:valAx>
    </c:plotArea>
    <c:legend>
      <c:legendPos val="r"/>
      <c:layout>
        <c:manualLayout>
          <c:xMode val="edge"/>
          <c:yMode val="edge"/>
          <c:x val="0.124252994911949"/>
          <c:y val="0.838109109348809"/>
          <c:w val="0.616901567471664"/>
          <c:h val="0.160991083627963"/>
        </c:manualLayout>
      </c:layout>
      <c:overlay val="0"/>
      <c:txPr>
        <a:bodyPr/>
        <a:lstStyle/>
        <a:p>
          <a:pPr>
            <a:defRPr sz="1000">
              <a:latin typeface="Times New Roman"/>
              <a:cs typeface="Times New Roman"/>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8841</Words>
  <Characters>50396</Characters>
  <Application>Microsoft Macintosh Word</Application>
  <DocSecurity>0</DocSecurity>
  <Lines>419</Lines>
  <Paragraphs>118</Paragraphs>
  <ScaleCrop>false</ScaleCrop>
  <Company/>
  <LinksUpToDate>false</LinksUpToDate>
  <CharactersWithSpaces>59119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Silveira Neto</dc:creator>
  <cp:keywords/>
  <dc:description/>
  <cp:lastModifiedBy>Raul Silveira Neto</cp:lastModifiedBy>
  <cp:revision>6</cp:revision>
  <dcterms:created xsi:type="dcterms:W3CDTF">2017-07-16T12:54:00Z</dcterms:created>
  <dcterms:modified xsi:type="dcterms:W3CDTF">2017-07-16T13:22:00Z</dcterms:modified>
</cp:coreProperties>
</file>