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3BA" w:rsidRDefault="001623BA" w:rsidP="00E436AF">
      <w:pPr>
        <w:jc w:val="center"/>
        <w:rPr>
          <w:rFonts w:ascii="Times New Roman" w:hAnsi="Times New Roman" w:cs="Times New Roman"/>
          <w:b/>
          <w:sz w:val="24"/>
          <w:szCs w:val="24"/>
        </w:rPr>
      </w:pPr>
      <w:r w:rsidRPr="00E436AF">
        <w:rPr>
          <w:rFonts w:ascii="Times New Roman" w:hAnsi="Times New Roman" w:cs="Times New Roman"/>
          <w:b/>
          <w:sz w:val="24"/>
          <w:szCs w:val="24"/>
        </w:rPr>
        <w:t>Dissuasão e Incapacitação:  A lei</w:t>
      </w:r>
      <w:r>
        <w:rPr>
          <w:rFonts w:ascii="Times New Roman" w:hAnsi="Times New Roman" w:cs="Times New Roman"/>
          <w:b/>
          <w:sz w:val="24"/>
          <w:szCs w:val="24"/>
        </w:rPr>
        <w:t xml:space="preserve"> nº </w:t>
      </w:r>
      <w:r w:rsidRPr="00E436AF">
        <w:rPr>
          <w:rFonts w:ascii="Times New Roman" w:hAnsi="Times New Roman" w:cs="Times New Roman"/>
          <w:b/>
          <w:sz w:val="24"/>
          <w:szCs w:val="24"/>
        </w:rPr>
        <w:t>12</w:t>
      </w:r>
      <w:r>
        <w:rPr>
          <w:rFonts w:ascii="Times New Roman" w:hAnsi="Times New Roman" w:cs="Times New Roman"/>
          <w:b/>
          <w:sz w:val="24"/>
          <w:szCs w:val="24"/>
        </w:rPr>
        <w:t>.</w:t>
      </w:r>
      <w:r w:rsidRPr="00E436AF">
        <w:rPr>
          <w:rFonts w:ascii="Times New Roman" w:hAnsi="Times New Roman" w:cs="Times New Roman"/>
          <w:b/>
          <w:sz w:val="24"/>
          <w:szCs w:val="24"/>
        </w:rPr>
        <w:t>403/11 e os Crimes Contra o Patrimônio</w:t>
      </w:r>
    </w:p>
    <w:p w:rsidR="001623BA" w:rsidRPr="001623BA" w:rsidRDefault="001623BA" w:rsidP="001623BA">
      <w:pPr>
        <w:jc w:val="right"/>
        <w:rPr>
          <w:rFonts w:ascii="Times New Roman" w:hAnsi="Times New Roman" w:cs="Times New Roman"/>
          <w:sz w:val="24"/>
          <w:szCs w:val="24"/>
        </w:rPr>
      </w:pPr>
      <w:r>
        <w:rPr>
          <w:rFonts w:ascii="Times New Roman" w:hAnsi="Times New Roman" w:cs="Times New Roman"/>
          <w:i/>
          <w:sz w:val="24"/>
          <w:szCs w:val="24"/>
        </w:rPr>
        <w:t>Bruno Ottoni</w:t>
      </w:r>
      <w:r>
        <w:rPr>
          <w:rFonts w:ascii="Times New Roman" w:hAnsi="Times New Roman" w:cs="Times New Roman"/>
          <w:i/>
          <w:sz w:val="24"/>
          <w:szCs w:val="24"/>
        </w:rPr>
        <w:br/>
      </w:r>
      <w:r>
        <w:rPr>
          <w:rFonts w:ascii="Times New Roman" w:hAnsi="Times New Roman" w:cs="Times New Roman"/>
          <w:sz w:val="24"/>
          <w:szCs w:val="24"/>
        </w:rPr>
        <w:t>Pesquisador do Instituto Brasileiro de Economia da Fundação Getúlio Vargas (IBRE/FGV)</w:t>
      </w:r>
    </w:p>
    <w:p w:rsidR="001623BA" w:rsidRDefault="001623BA" w:rsidP="001623BA">
      <w:pPr>
        <w:jc w:val="both"/>
        <w:rPr>
          <w:rFonts w:ascii="Times New Roman" w:hAnsi="Times New Roman" w:cs="Times New Roman"/>
          <w:szCs w:val="24"/>
        </w:rPr>
      </w:pPr>
    </w:p>
    <w:p w:rsidR="001623BA" w:rsidRPr="00DA68F9" w:rsidRDefault="001623BA" w:rsidP="00DA68F9">
      <w:pPr>
        <w:jc w:val="both"/>
        <w:rPr>
          <w:rFonts w:ascii="Times New Roman" w:hAnsi="Times New Roman" w:cs="Times New Roman"/>
          <w:sz w:val="24"/>
          <w:szCs w:val="24"/>
        </w:rPr>
      </w:pPr>
      <w:r w:rsidRPr="001623BA">
        <w:rPr>
          <w:rFonts w:ascii="Times New Roman" w:hAnsi="Times New Roman" w:cs="Times New Roman"/>
          <w:b/>
          <w:sz w:val="24"/>
          <w:szCs w:val="24"/>
        </w:rPr>
        <w:t xml:space="preserve">Resumo: </w:t>
      </w:r>
      <w:r w:rsidRPr="001623BA">
        <w:rPr>
          <w:rFonts w:ascii="Times New Roman" w:hAnsi="Times New Roman" w:cs="Times New Roman"/>
          <w:sz w:val="24"/>
          <w:szCs w:val="24"/>
        </w:rPr>
        <w:t xml:space="preserve">A relação entre crime e justiça tem sido amplamente estudada. A maior parte da literatura se concentra nos países desenvolvidos e </w:t>
      </w:r>
      <w:r w:rsidR="00C71D2A">
        <w:rPr>
          <w:rFonts w:ascii="Times New Roman" w:hAnsi="Times New Roman" w:cs="Times New Roman"/>
          <w:sz w:val="24"/>
          <w:szCs w:val="24"/>
        </w:rPr>
        <w:t>sugere</w:t>
      </w:r>
      <w:r w:rsidRPr="001623BA">
        <w:rPr>
          <w:rFonts w:ascii="Times New Roman" w:hAnsi="Times New Roman" w:cs="Times New Roman"/>
          <w:sz w:val="24"/>
          <w:szCs w:val="24"/>
        </w:rPr>
        <w:t xml:space="preserve"> que os crimes são afetados pelo </w:t>
      </w:r>
      <w:r w:rsidR="00FE79E2">
        <w:rPr>
          <w:rFonts w:ascii="Times New Roman" w:hAnsi="Times New Roman" w:cs="Times New Roman"/>
          <w:sz w:val="24"/>
          <w:szCs w:val="24"/>
        </w:rPr>
        <w:t xml:space="preserve">funcionamento do </w:t>
      </w:r>
      <w:r w:rsidRPr="001623BA">
        <w:rPr>
          <w:rFonts w:ascii="Times New Roman" w:hAnsi="Times New Roman" w:cs="Times New Roman"/>
          <w:sz w:val="24"/>
          <w:szCs w:val="24"/>
        </w:rPr>
        <w:t xml:space="preserve">sistema </w:t>
      </w:r>
      <w:r>
        <w:rPr>
          <w:rFonts w:ascii="Times New Roman" w:hAnsi="Times New Roman" w:cs="Times New Roman"/>
          <w:sz w:val="24"/>
          <w:szCs w:val="24"/>
        </w:rPr>
        <w:t>jurídico</w:t>
      </w:r>
      <w:r w:rsidRPr="001623BA">
        <w:rPr>
          <w:rFonts w:ascii="Times New Roman" w:hAnsi="Times New Roman" w:cs="Times New Roman"/>
          <w:sz w:val="24"/>
          <w:szCs w:val="24"/>
        </w:rPr>
        <w:t xml:space="preserve">. No entanto, </w:t>
      </w:r>
      <w:r w:rsidR="00C71D2A">
        <w:rPr>
          <w:rFonts w:ascii="Times New Roman" w:hAnsi="Times New Roman" w:cs="Times New Roman"/>
          <w:sz w:val="24"/>
          <w:szCs w:val="24"/>
        </w:rPr>
        <w:t>as leis</w:t>
      </w:r>
      <w:r w:rsidRPr="001623BA">
        <w:rPr>
          <w:rFonts w:ascii="Times New Roman" w:hAnsi="Times New Roman" w:cs="Times New Roman"/>
          <w:sz w:val="24"/>
          <w:szCs w:val="24"/>
        </w:rPr>
        <w:t xml:space="preserve"> pode</w:t>
      </w:r>
      <w:r w:rsidR="00C71D2A">
        <w:rPr>
          <w:rFonts w:ascii="Times New Roman" w:hAnsi="Times New Roman" w:cs="Times New Roman"/>
          <w:sz w:val="24"/>
          <w:szCs w:val="24"/>
        </w:rPr>
        <w:t>m</w:t>
      </w:r>
      <w:r w:rsidRPr="001623BA">
        <w:rPr>
          <w:rFonts w:ascii="Times New Roman" w:hAnsi="Times New Roman" w:cs="Times New Roman"/>
          <w:sz w:val="24"/>
          <w:szCs w:val="24"/>
        </w:rPr>
        <w:t xml:space="preserve"> ser menos eficaz</w:t>
      </w:r>
      <w:r w:rsidR="00C71D2A">
        <w:rPr>
          <w:rFonts w:ascii="Times New Roman" w:hAnsi="Times New Roman" w:cs="Times New Roman"/>
          <w:sz w:val="24"/>
          <w:szCs w:val="24"/>
        </w:rPr>
        <w:t>es</w:t>
      </w:r>
      <w:r w:rsidRPr="001623BA">
        <w:rPr>
          <w:rFonts w:ascii="Times New Roman" w:hAnsi="Times New Roman" w:cs="Times New Roman"/>
          <w:sz w:val="24"/>
          <w:szCs w:val="24"/>
        </w:rPr>
        <w:t xml:space="preserve"> na alteração do comportamento criminal nos países em desenvolvimento, por exemplo, devido aos maiores níveis de corrupção observados </w:t>
      </w:r>
      <w:r w:rsidR="00C71D2A">
        <w:rPr>
          <w:rFonts w:ascii="Times New Roman" w:hAnsi="Times New Roman" w:cs="Times New Roman"/>
          <w:sz w:val="24"/>
          <w:szCs w:val="24"/>
        </w:rPr>
        <w:t>nessas regiões</w:t>
      </w:r>
      <w:r w:rsidRPr="001623BA">
        <w:rPr>
          <w:rFonts w:ascii="Times New Roman" w:hAnsi="Times New Roman" w:cs="Times New Roman"/>
          <w:sz w:val="24"/>
          <w:szCs w:val="24"/>
        </w:rPr>
        <w:t xml:space="preserve">. </w:t>
      </w:r>
      <w:r w:rsidR="00DA68F9" w:rsidRPr="00DA68F9">
        <w:rPr>
          <w:rFonts w:ascii="Times New Roman" w:hAnsi="Times New Roman" w:cs="Times New Roman"/>
          <w:sz w:val="24"/>
          <w:szCs w:val="24"/>
        </w:rPr>
        <w:t xml:space="preserve">Este artigo analisa o </w:t>
      </w:r>
      <w:r w:rsidR="00DA68F9">
        <w:rPr>
          <w:rFonts w:ascii="Times New Roman" w:hAnsi="Times New Roman" w:cs="Times New Roman"/>
          <w:sz w:val="24"/>
          <w:szCs w:val="24"/>
        </w:rPr>
        <w:t xml:space="preserve">impacto da lei nº 12403, </w:t>
      </w:r>
      <w:r w:rsidR="00DA68F9" w:rsidRPr="00DA68F9">
        <w:rPr>
          <w:rFonts w:ascii="Times New Roman" w:hAnsi="Times New Roman" w:cs="Times New Roman"/>
          <w:sz w:val="24"/>
          <w:szCs w:val="24"/>
        </w:rPr>
        <w:t xml:space="preserve">que </w:t>
      </w:r>
      <w:r w:rsidR="00DA68F9">
        <w:rPr>
          <w:rFonts w:ascii="Times New Roman" w:hAnsi="Times New Roman" w:cs="Times New Roman"/>
          <w:sz w:val="24"/>
          <w:szCs w:val="24"/>
        </w:rPr>
        <w:t xml:space="preserve">reduziu substancialmente a </w:t>
      </w:r>
      <w:r w:rsidR="00DA68F9" w:rsidRPr="00DA68F9">
        <w:rPr>
          <w:rFonts w:ascii="Times New Roman" w:hAnsi="Times New Roman" w:cs="Times New Roman"/>
          <w:sz w:val="24"/>
          <w:szCs w:val="24"/>
        </w:rPr>
        <w:t>prob</w:t>
      </w:r>
      <w:r w:rsidR="00DA68F9">
        <w:rPr>
          <w:rFonts w:ascii="Times New Roman" w:hAnsi="Times New Roman" w:cs="Times New Roman"/>
          <w:sz w:val="24"/>
          <w:szCs w:val="24"/>
        </w:rPr>
        <w:t>abilidade de prisão preventiva,</w:t>
      </w:r>
      <w:r w:rsidR="00DA68F9" w:rsidRPr="00DA68F9">
        <w:rPr>
          <w:rFonts w:ascii="Times New Roman" w:hAnsi="Times New Roman" w:cs="Times New Roman"/>
          <w:sz w:val="24"/>
          <w:szCs w:val="24"/>
        </w:rPr>
        <w:t xml:space="preserve"> nos furtos e roubos. O trabalh</w:t>
      </w:r>
      <w:r w:rsidR="00DA68F9">
        <w:rPr>
          <w:rFonts w:ascii="Times New Roman" w:hAnsi="Times New Roman" w:cs="Times New Roman"/>
          <w:sz w:val="24"/>
          <w:szCs w:val="24"/>
        </w:rPr>
        <w:t xml:space="preserve">o explora o fato que a nova lei </w:t>
      </w:r>
      <w:r w:rsidR="00DA68F9" w:rsidRPr="00DA68F9">
        <w:rPr>
          <w:rFonts w:ascii="Times New Roman" w:hAnsi="Times New Roman" w:cs="Times New Roman"/>
          <w:sz w:val="24"/>
          <w:szCs w:val="24"/>
        </w:rPr>
        <w:t>altera o código penal para adultos, mas não muda o sistema criminal infanto-juvenil. U</w:t>
      </w:r>
      <w:r w:rsidR="00DA68F9">
        <w:rPr>
          <w:rFonts w:ascii="Times New Roman" w:hAnsi="Times New Roman" w:cs="Times New Roman"/>
          <w:sz w:val="24"/>
          <w:szCs w:val="24"/>
        </w:rPr>
        <w:t>tilizando</w:t>
      </w:r>
      <w:r w:rsidR="00DA68F9" w:rsidRPr="00DA68F9">
        <w:rPr>
          <w:rFonts w:ascii="Times New Roman" w:hAnsi="Times New Roman" w:cs="Times New Roman"/>
          <w:sz w:val="24"/>
          <w:szCs w:val="24"/>
        </w:rPr>
        <w:t xml:space="preserve"> </w:t>
      </w:r>
      <w:r w:rsidR="00DA68F9">
        <w:rPr>
          <w:rFonts w:ascii="Times New Roman" w:hAnsi="Times New Roman" w:cs="Times New Roman"/>
          <w:sz w:val="24"/>
          <w:szCs w:val="24"/>
        </w:rPr>
        <w:t xml:space="preserve">o </w:t>
      </w:r>
      <w:r w:rsidR="00DA68F9" w:rsidRPr="00DA68F9">
        <w:rPr>
          <w:rFonts w:ascii="Times New Roman" w:hAnsi="Times New Roman" w:cs="Times New Roman"/>
          <w:sz w:val="24"/>
          <w:szCs w:val="24"/>
        </w:rPr>
        <w:t>método de diferenças-em-diferença</w:t>
      </w:r>
      <w:r w:rsidR="00DA68F9">
        <w:rPr>
          <w:rFonts w:ascii="Times New Roman" w:hAnsi="Times New Roman" w:cs="Times New Roman"/>
          <w:sz w:val="24"/>
          <w:szCs w:val="24"/>
        </w:rPr>
        <w:t>,</w:t>
      </w:r>
      <w:r w:rsidR="00DA68F9" w:rsidRPr="00DA68F9">
        <w:rPr>
          <w:rFonts w:ascii="Times New Roman" w:hAnsi="Times New Roman" w:cs="Times New Roman"/>
          <w:sz w:val="24"/>
          <w:szCs w:val="24"/>
        </w:rPr>
        <w:t xml:space="preserve"> compara-se adultos e jo</w:t>
      </w:r>
      <w:r w:rsidR="00DA68F9">
        <w:rPr>
          <w:rFonts w:ascii="Times New Roman" w:hAnsi="Times New Roman" w:cs="Times New Roman"/>
          <w:sz w:val="24"/>
          <w:szCs w:val="24"/>
        </w:rPr>
        <w:t xml:space="preserve">vens. Como resultado, o trabalho </w:t>
      </w:r>
      <w:r w:rsidR="00DA68F9" w:rsidRPr="00DA68F9">
        <w:rPr>
          <w:rFonts w:ascii="Times New Roman" w:hAnsi="Times New Roman" w:cs="Times New Roman"/>
          <w:sz w:val="24"/>
          <w:szCs w:val="24"/>
        </w:rPr>
        <w:t xml:space="preserve">mostra que </w:t>
      </w:r>
      <w:r w:rsidR="00DA68F9">
        <w:rPr>
          <w:rFonts w:ascii="Times New Roman" w:hAnsi="Times New Roman" w:cs="Times New Roman"/>
          <w:sz w:val="24"/>
          <w:szCs w:val="24"/>
        </w:rPr>
        <w:t xml:space="preserve">a </w:t>
      </w:r>
      <w:r w:rsidR="00DA68F9" w:rsidRPr="00DA68F9">
        <w:rPr>
          <w:rFonts w:ascii="Times New Roman" w:hAnsi="Times New Roman" w:cs="Times New Roman"/>
          <w:sz w:val="24"/>
          <w:szCs w:val="24"/>
        </w:rPr>
        <w:t>lei acarreta em um crescimento de 30% na probabilidad</w:t>
      </w:r>
      <w:r w:rsidR="00DA68F9">
        <w:rPr>
          <w:rFonts w:ascii="Times New Roman" w:hAnsi="Times New Roman" w:cs="Times New Roman"/>
          <w:sz w:val="24"/>
          <w:szCs w:val="24"/>
        </w:rPr>
        <w:t xml:space="preserve">e de ocorrência de furtos e não </w:t>
      </w:r>
      <w:r w:rsidR="00DA68F9" w:rsidRPr="00DA68F9">
        <w:rPr>
          <w:rFonts w:ascii="Times New Roman" w:hAnsi="Times New Roman" w:cs="Times New Roman"/>
          <w:sz w:val="24"/>
          <w:szCs w:val="24"/>
        </w:rPr>
        <w:t xml:space="preserve">tem impacto </w:t>
      </w:r>
      <w:r w:rsidR="00DA68F9">
        <w:rPr>
          <w:rFonts w:ascii="Times New Roman" w:hAnsi="Times New Roman" w:cs="Times New Roman"/>
          <w:sz w:val="24"/>
          <w:szCs w:val="24"/>
        </w:rPr>
        <w:t>sobre os</w:t>
      </w:r>
      <w:r w:rsidR="00DA68F9" w:rsidRPr="00DA68F9">
        <w:rPr>
          <w:rFonts w:ascii="Times New Roman" w:hAnsi="Times New Roman" w:cs="Times New Roman"/>
          <w:sz w:val="24"/>
          <w:szCs w:val="24"/>
        </w:rPr>
        <w:t xml:space="preserve"> roubos</w:t>
      </w:r>
      <w:r w:rsidR="00DA68F9">
        <w:rPr>
          <w:rFonts w:ascii="Times New Roman" w:hAnsi="Times New Roman" w:cs="Times New Roman"/>
          <w:sz w:val="24"/>
          <w:szCs w:val="24"/>
        </w:rPr>
        <w:t>.</w:t>
      </w:r>
    </w:p>
    <w:p w:rsidR="001623BA" w:rsidRPr="001623BA" w:rsidRDefault="001623BA" w:rsidP="001623BA">
      <w:pPr>
        <w:jc w:val="both"/>
        <w:rPr>
          <w:rFonts w:ascii="Times New Roman" w:hAnsi="Times New Roman" w:cs="Times New Roman"/>
          <w:sz w:val="24"/>
          <w:szCs w:val="24"/>
          <w:lang w:val="en-US"/>
        </w:rPr>
      </w:pPr>
      <w:r w:rsidRPr="001623BA">
        <w:rPr>
          <w:rFonts w:ascii="Times New Roman" w:hAnsi="Times New Roman" w:cs="Times New Roman"/>
          <w:b/>
          <w:sz w:val="24"/>
          <w:szCs w:val="24"/>
          <w:lang w:val="en-US"/>
        </w:rPr>
        <w:t>Abstract:</w:t>
      </w:r>
      <w:r w:rsidRPr="001623BA">
        <w:rPr>
          <w:rFonts w:ascii="Times New Roman" w:hAnsi="Times New Roman" w:cs="Times New Roman"/>
          <w:sz w:val="24"/>
          <w:szCs w:val="24"/>
          <w:lang w:val="en-US"/>
        </w:rPr>
        <w:t xml:space="preserve"> The relationship between crime and justice </w:t>
      </w:r>
      <w:proofErr w:type="gramStart"/>
      <w:r w:rsidRPr="001623BA">
        <w:rPr>
          <w:rFonts w:ascii="Times New Roman" w:hAnsi="Times New Roman" w:cs="Times New Roman"/>
          <w:sz w:val="24"/>
          <w:szCs w:val="24"/>
          <w:lang w:val="en-US"/>
        </w:rPr>
        <w:t>has been extensively studied</w:t>
      </w:r>
      <w:proofErr w:type="gramEnd"/>
      <w:r w:rsidRPr="001623BA">
        <w:rPr>
          <w:rFonts w:ascii="Times New Roman" w:hAnsi="Times New Roman" w:cs="Times New Roman"/>
          <w:sz w:val="24"/>
          <w:szCs w:val="24"/>
          <w:lang w:val="en-US"/>
        </w:rPr>
        <w:t xml:space="preserve">. Most of the literature focuses on developed countries and finds that crimes </w:t>
      </w:r>
      <w:proofErr w:type="gramStart"/>
      <w:r w:rsidRPr="001623BA">
        <w:rPr>
          <w:rFonts w:ascii="Times New Roman" w:hAnsi="Times New Roman" w:cs="Times New Roman"/>
          <w:sz w:val="24"/>
          <w:szCs w:val="24"/>
          <w:lang w:val="en-US"/>
        </w:rPr>
        <w:t>are affected</w:t>
      </w:r>
      <w:proofErr w:type="gramEnd"/>
      <w:r w:rsidRPr="001623BA">
        <w:rPr>
          <w:rFonts w:ascii="Times New Roman" w:hAnsi="Times New Roman" w:cs="Times New Roman"/>
          <w:sz w:val="24"/>
          <w:szCs w:val="24"/>
          <w:lang w:val="en-US"/>
        </w:rPr>
        <w:t xml:space="preserve"> by the legal system. However, justice maybe less effective in altering criminal behavior in developing countries, for instance, due to the higher levels of corruption observed in these </w:t>
      </w:r>
      <w:r w:rsidR="00C71D2A">
        <w:rPr>
          <w:rFonts w:ascii="Times New Roman" w:hAnsi="Times New Roman" w:cs="Times New Roman"/>
          <w:sz w:val="24"/>
          <w:szCs w:val="24"/>
          <w:lang w:val="en-US"/>
        </w:rPr>
        <w:t>regions</w:t>
      </w:r>
      <w:r w:rsidRPr="001623BA">
        <w:rPr>
          <w:rFonts w:ascii="Times New Roman" w:hAnsi="Times New Roman" w:cs="Times New Roman"/>
          <w:sz w:val="24"/>
          <w:szCs w:val="24"/>
          <w:lang w:val="en-US"/>
        </w:rPr>
        <w:t>. This paper analyzes the im</w:t>
      </w:r>
      <w:r w:rsidR="006F76F8">
        <w:rPr>
          <w:rFonts w:ascii="Times New Roman" w:hAnsi="Times New Roman" w:cs="Times New Roman"/>
          <w:sz w:val="24"/>
          <w:szCs w:val="24"/>
          <w:lang w:val="en-US"/>
        </w:rPr>
        <w:t>pact of Brazilian law number 12</w:t>
      </w:r>
      <w:r w:rsidRPr="001623BA">
        <w:rPr>
          <w:rFonts w:ascii="Times New Roman" w:hAnsi="Times New Roman" w:cs="Times New Roman"/>
          <w:sz w:val="24"/>
          <w:szCs w:val="24"/>
          <w:lang w:val="en-US"/>
        </w:rPr>
        <w:t>403 - which caused a substantial reduction in the likelihood of preventive detention - on both theft and robbery. I explore the fact that the new law altered the adult penal code but left the juvenile criminal system unchanged. Using a difference-in-difference strategy that compares adults to juveniles, I find that the law is consistent with an increase of 30% in theft and has no impact on robberies.</w:t>
      </w:r>
    </w:p>
    <w:p w:rsidR="001623BA" w:rsidRPr="001623BA" w:rsidRDefault="001623BA" w:rsidP="001623BA">
      <w:pPr>
        <w:jc w:val="both"/>
        <w:rPr>
          <w:rFonts w:ascii="Times New Roman" w:hAnsi="Times New Roman" w:cs="Times New Roman"/>
          <w:sz w:val="24"/>
          <w:szCs w:val="24"/>
        </w:rPr>
      </w:pPr>
      <w:r w:rsidRPr="001623BA">
        <w:rPr>
          <w:rFonts w:ascii="Times New Roman" w:hAnsi="Times New Roman" w:cs="Times New Roman"/>
          <w:b/>
          <w:sz w:val="24"/>
          <w:szCs w:val="24"/>
        </w:rPr>
        <w:t>Palavras chave:</w:t>
      </w:r>
      <w:r w:rsidR="00C71D2A">
        <w:rPr>
          <w:rFonts w:ascii="Times New Roman" w:hAnsi="Times New Roman" w:cs="Times New Roman"/>
          <w:sz w:val="24"/>
          <w:szCs w:val="24"/>
        </w:rPr>
        <w:t xml:space="preserve"> crime, dissuasão, i</w:t>
      </w:r>
      <w:r w:rsidRPr="001623BA">
        <w:rPr>
          <w:rFonts w:ascii="Times New Roman" w:hAnsi="Times New Roman" w:cs="Times New Roman"/>
          <w:sz w:val="24"/>
          <w:szCs w:val="24"/>
        </w:rPr>
        <w:t xml:space="preserve">ncapacitação, </w:t>
      </w:r>
      <w:r w:rsidR="00C71D2A">
        <w:rPr>
          <w:rFonts w:ascii="Times New Roman" w:hAnsi="Times New Roman" w:cs="Times New Roman"/>
          <w:sz w:val="24"/>
          <w:szCs w:val="24"/>
        </w:rPr>
        <w:t>l</w:t>
      </w:r>
      <w:r w:rsidRPr="001623BA">
        <w:rPr>
          <w:rFonts w:ascii="Times New Roman" w:hAnsi="Times New Roman" w:cs="Times New Roman"/>
          <w:sz w:val="24"/>
          <w:szCs w:val="24"/>
        </w:rPr>
        <w:t>ei nº 12403</w:t>
      </w:r>
    </w:p>
    <w:p w:rsidR="001623BA" w:rsidRPr="001623BA" w:rsidRDefault="001623BA" w:rsidP="001623BA">
      <w:pPr>
        <w:jc w:val="both"/>
        <w:rPr>
          <w:rFonts w:ascii="Times New Roman" w:hAnsi="Times New Roman" w:cs="Times New Roman"/>
          <w:sz w:val="24"/>
          <w:szCs w:val="24"/>
          <w:lang w:val="en-US"/>
        </w:rPr>
      </w:pPr>
      <w:r w:rsidRPr="001623BA">
        <w:rPr>
          <w:rFonts w:ascii="Times New Roman" w:hAnsi="Times New Roman" w:cs="Times New Roman"/>
          <w:b/>
          <w:sz w:val="24"/>
          <w:szCs w:val="24"/>
          <w:lang w:val="en-US"/>
        </w:rPr>
        <w:t xml:space="preserve">Keywords: </w:t>
      </w:r>
      <w:r w:rsidRPr="001623BA">
        <w:rPr>
          <w:rFonts w:ascii="Times New Roman" w:hAnsi="Times New Roman" w:cs="Times New Roman"/>
          <w:sz w:val="24"/>
          <w:szCs w:val="24"/>
          <w:lang w:val="en-US"/>
        </w:rPr>
        <w:t xml:space="preserve">crime, </w:t>
      </w:r>
      <w:r w:rsidR="00C71D2A">
        <w:rPr>
          <w:rFonts w:ascii="Times New Roman" w:hAnsi="Times New Roman" w:cs="Times New Roman"/>
          <w:sz w:val="24"/>
          <w:szCs w:val="24"/>
          <w:lang w:val="en-US"/>
        </w:rPr>
        <w:t>deterrence</w:t>
      </w:r>
      <w:r w:rsidRPr="001623BA">
        <w:rPr>
          <w:rFonts w:ascii="Times New Roman" w:hAnsi="Times New Roman" w:cs="Times New Roman"/>
          <w:sz w:val="24"/>
          <w:szCs w:val="24"/>
          <w:lang w:val="en-US"/>
        </w:rPr>
        <w:t>, incapacitation, law nº 12</w:t>
      </w:r>
      <w:bookmarkStart w:id="0" w:name="_GoBack"/>
      <w:bookmarkEnd w:id="0"/>
      <w:r w:rsidRPr="001623BA">
        <w:rPr>
          <w:rFonts w:ascii="Times New Roman" w:hAnsi="Times New Roman" w:cs="Times New Roman"/>
          <w:sz w:val="24"/>
          <w:szCs w:val="24"/>
          <w:lang w:val="en-US"/>
        </w:rPr>
        <w:t>403</w:t>
      </w:r>
    </w:p>
    <w:p w:rsidR="001623BA" w:rsidRPr="001623BA" w:rsidRDefault="001623BA" w:rsidP="001623BA">
      <w:pPr>
        <w:jc w:val="both"/>
        <w:rPr>
          <w:rFonts w:ascii="Times New Roman" w:hAnsi="Times New Roman" w:cs="Times New Roman"/>
          <w:sz w:val="24"/>
          <w:szCs w:val="24"/>
        </w:rPr>
      </w:pPr>
      <w:r>
        <w:rPr>
          <w:rFonts w:ascii="Times New Roman" w:hAnsi="Times New Roman" w:cs="Times New Roman"/>
          <w:b/>
          <w:sz w:val="24"/>
          <w:szCs w:val="24"/>
        </w:rPr>
        <w:t xml:space="preserve">Área ANPEC: </w:t>
      </w:r>
      <w:r w:rsidR="00C71D2A" w:rsidRPr="00C71D2A">
        <w:rPr>
          <w:rFonts w:ascii="Times New Roman" w:hAnsi="Times New Roman" w:cs="Times New Roman"/>
          <w:sz w:val="24"/>
          <w:szCs w:val="24"/>
        </w:rPr>
        <w:t>12 – Economia social e demografia econômica</w:t>
      </w:r>
      <w:r w:rsidR="00C71D2A">
        <w:rPr>
          <w:rFonts w:ascii="Times New Roman" w:hAnsi="Times New Roman" w:cs="Times New Roman"/>
          <w:sz w:val="24"/>
          <w:szCs w:val="24"/>
        </w:rPr>
        <w:t>.</w:t>
      </w:r>
    </w:p>
    <w:p w:rsidR="001623BA" w:rsidRPr="001623BA" w:rsidRDefault="001623BA" w:rsidP="001623BA">
      <w:pPr>
        <w:jc w:val="both"/>
        <w:rPr>
          <w:rFonts w:ascii="Times New Roman" w:hAnsi="Times New Roman" w:cs="Times New Roman"/>
          <w:sz w:val="24"/>
          <w:szCs w:val="24"/>
        </w:rPr>
      </w:pPr>
      <w:r w:rsidRPr="001623BA">
        <w:rPr>
          <w:rFonts w:ascii="Times New Roman" w:hAnsi="Times New Roman" w:cs="Times New Roman"/>
          <w:b/>
          <w:sz w:val="24"/>
          <w:szCs w:val="24"/>
        </w:rPr>
        <w:t>JEL:</w:t>
      </w:r>
      <w:r w:rsidRPr="001623BA">
        <w:rPr>
          <w:rFonts w:ascii="Times New Roman" w:hAnsi="Times New Roman" w:cs="Times New Roman"/>
          <w:sz w:val="24"/>
          <w:szCs w:val="24"/>
        </w:rPr>
        <w:t xml:space="preserve"> K14, K42</w:t>
      </w:r>
    </w:p>
    <w:p w:rsidR="001623BA" w:rsidRDefault="001623BA">
      <w:pPr>
        <w:rPr>
          <w:rFonts w:ascii="Times New Roman" w:hAnsi="Times New Roman" w:cs="Times New Roman"/>
          <w:b/>
          <w:sz w:val="24"/>
          <w:szCs w:val="24"/>
        </w:rPr>
      </w:pPr>
      <w:r>
        <w:rPr>
          <w:rFonts w:ascii="Times New Roman" w:hAnsi="Times New Roman" w:cs="Times New Roman"/>
          <w:b/>
          <w:sz w:val="24"/>
          <w:szCs w:val="24"/>
        </w:rPr>
        <w:br w:type="page"/>
      </w:r>
    </w:p>
    <w:p w:rsidR="00A12DAE" w:rsidRDefault="00A12DAE" w:rsidP="00E436AF">
      <w:pPr>
        <w:jc w:val="center"/>
        <w:rPr>
          <w:rFonts w:ascii="Times New Roman" w:hAnsi="Times New Roman" w:cs="Times New Roman"/>
          <w:b/>
          <w:sz w:val="24"/>
          <w:szCs w:val="24"/>
        </w:rPr>
      </w:pPr>
      <w:r w:rsidRPr="00E436AF">
        <w:rPr>
          <w:rFonts w:ascii="Times New Roman" w:hAnsi="Times New Roman" w:cs="Times New Roman"/>
          <w:b/>
          <w:sz w:val="24"/>
          <w:szCs w:val="24"/>
        </w:rPr>
        <w:lastRenderedPageBreak/>
        <w:t>Dissuasão e Incapacitação:  A lei</w:t>
      </w:r>
      <w:r w:rsidR="004F5590">
        <w:rPr>
          <w:rFonts w:ascii="Times New Roman" w:hAnsi="Times New Roman" w:cs="Times New Roman"/>
          <w:b/>
          <w:sz w:val="24"/>
          <w:szCs w:val="24"/>
        </w:rPr>
        <w:t xml:space="preserve"> nº </w:t>
      </w:r>
      <w:r w:rsidRPr="00E436AF">
        <w:rPr>
          <w:rFonts w:ascii="Times New Roman" w:hAnsi="Times New Roman" w:cs="Times New Roman"/>
          <w:b/>
          <w:sz w:val="24"/>
          <w:szCs w:val="24"/>
        </w:rPr>
        <w:t>12</w:t>
      </w:r>
      <w:r w:rsidR="004F5590">
        <w:rPr>
          <w:rFonts w:ascii="Times New Roman" w:hAnsi="Times New Roman" w:cs="Times New Roman"/>
          <w:b/>
          <w:sz w:val="24"/>
          <w:szCs w:val="24"/>
        </w:rPr>
        <w:t>.</w:t>
      </w:r>
      <w:r w:rsidRPr="00E436AF">
        <w:rPr>
          <w:rFonts w:ascii="Times New Roman" w:hAnsi="Times New Roman" w:cs="Times New Roman"/>
          <w:b/>
          <w:sz w:val="24"/>
          <w:szCs w:val="24"/>
        </w:rPr>
        <w:t>403/11 e os Crimes Contra o Patrimônio</w:t>
      </w:r>
    </w:p>
    <w:p w:rsidR="00FE79E2" w:rsidRPr="00FE79E2" w:rsidRDefault="00FE79E2" w:rsidP="00FE79E2">
      <w:pPr>
        <w:jc w:val="right"/>
        <w:rPr>
          <w:rFonts w:ascii="Times New Roman" w:hAnsi="Times New Roman" w:cs="Times New Roman"/>
          <w:i/>
          <w:sz w:val="24"/>
          <w:szCs w:val="24"/>
        </w:rPr>
      </w:pPr>
      <w:r w:rsidRPr="00FE79E2">
        <w:rPr>
          <w:rFonts w:ascii="Times New Roman" w:hAnsi="Times New Roman" w:cs="Times New Roman"/>
          <w:i/>
          <w:sz w:val="24"/>
          <w:szCs w:val="24"/>
        </w:rPr>
        <w:t>Bruno Ottoni</w:t>
      </w:r>
      <w:r>
        <w:rPr>
          <w:rStyle w:val="Refdenotaderodap"/>
          <w:rFonts w:ascii="Times New Roman" w:hAnsi="Times New Roman" w:cs="Times New Roman"/>
          <w:i/>
          <w:sz w:val="24"/>
          <w:szCs w:val="24"/>
        </w:rPr>
        <w:footnoteReference w:id="1"/>
      </w:r>
    </w:p>
    <w:p w:rsidR="00CF1370" w:rsidRPr="00E436AF" w:rsidRDefault="00CF1370" w:rsidP="007778FE">
      <w:pPr>
        <w:spacing w:before="240" w:line="360" w:lineRule="auto"/>
        <w:ind w:firstLine="708"/>
        <w:jc w:val="both"/>
        <w:rPr>
          <w:rFonts w:ascii="Times New Roman" w:hAnsi="Times New Roman" w:cs="Times New Roman"/>
          <w:b/>
          <w:sz w:val="24"/>
          <w:szCs w:val="24"/>
        </w:rPr>
      </w:pPr>
      <w:r w:rsidRPr="00E436AF">
        <w:rPr>
          <w:rFonts w:ascii="Times New Roman" w:hAnsi="Times New Roman" w:cs="Times New Roman"/>
          <w:b/>
          <w:sz w:val="24"/>
          <w:szCs w:val="24"/>
        </w:rPr>
        <w:t>1. Introdução</w:t>
      </w:r>
    </w:p>
    <w:p w:rsidR="00CF1370" w:rsidRDefault="00CF1370" w:rsidP="00610E2B">
      <w:pPr>
        <w:spacing w:line="240" w:lineRule="auto"/>
        <w:ind w:firstLine="708"/>
        <w:jc w:val="both"/>
        <w:rPr>
          <w:rFonts w:ascii="Times New Roman" w:hAnsi="Times New Roman" w:cs="Times New Roman"/>
          <w:sz w:val="24"/>
          <w:szCs w:val="24"/>
        </w:rPr>
      </w:pPr>
      <w:r w:rsidRPr="00CF1370">
        <w:rPr>
          <w:rFonts w:ascii="Times New Roman" w:hAnsi="Times New Roman" w:cs="Times New Roman"/>
          <w:sz w:val="24"/>
          <w:szCs w:val="24"/>
        </w:rPr>
        <w:t>Recentemente, houve um grande aumento dos crimes contra o patrimônio não só no Rio de Janeiro como em inúmeros estados do Brasil. A Figura 1 mostra a evolução recente dos roubos em um conjunto selecionado de estados. Pode-se perceber que o ano de 2011 marca uma reversão na tendência de queda que vinha sendo observada na maioria dos estados. A linha vertical está inserida justamente entre os anos de 2010 e de 2011 para indicar o momento em que se observa a mudança na trajetória dos roubos.</w:t>
      </w:r>
    </w:p>
    <w:p w:rsidR="006C3FE7" w:rsidRDefault="00CF1370" w:rsidP="00610E2B">
      <w:pPr>
        <w:spacing w:after="0"/>
        <w:jc w:val="center"/>
        <w:rPr>
          <w:rFonts w:ascii="Times New Roman" w:hAnsi="Times New Roman" w:cs="Times New Roman"/>
          <w:sz w:val="24"/>
          <w:szCs w:val="24"/>
        </w:rPr>
      </w:pPr>
      <w:r w:rsidRPr="00CF1370">
        <w:rPr>
          <w:rFonts w:ascii="Times New Roman" w:hAnsi="Times New Roman" w:cs="Times New Roman"/>
          <w:sz w:val="24"/>
          <w:szCs w:val="24"/>
        </w:rPr>
        <w:t xml:space="preserve">Figura 1: Evolução dos Roubos em Estados </w:t>
      </w:r>
      <w:r w:rsidR="006C3FE7" w:rsidRPr="00CF1370">
        <w:rPr>
          <w:rFonts w:ascii="Times New Roman" w:hAnsi="Times New Roman" w:cs="Times New Roman"/>
          <w:sz w:val="24"/>
          <w:szCs w:val="24"/>
        </w:rPr>
        <w:t>Selecionados</w:t>
      </w:r>
      <w:r w:rsidR="006C3FE7">
        <w:rPr>
          <w:rFonts w:ascii="Times New Roman" w:hAnsi="Times New Roman" w:cs="Times New Roman"/>
          <w:sz w:val="24"/>
          <w:szCs w:val="24"/>
        </w:rPr>
        <w:t xml:space="preserve"> </w:t>
      </w:r>
      <w:r w:rsidR="006C3FE7">
        <w:rPr>
          <w:rFonts w:ascii="Times New Roman" w:hAnsi="Times New Roman" w:cs="Times New Roman"/>
          <w:sz w:val="24"/>
          <w:szCs w:val="24"/>
        </w:rPr>
        <w:br/>
        <w:t>(Dados do DGTIT/PCERJ)</w:t>
      </w:r>
    </w:p>
    <w:p w:rsidR="00CF1370" w:rsidRDefault="00CF1370" w:rsidP="004F5590">
      <w:pPr>
        <w:jc w:val="center"/>
        <w:rPr>
          <w:rFonts w:ascii="Times New Roman" w:hAnsi="Times New Roman" w:cs="Times New Roman"/>
          <w:sz w:val="24"/>
          <w:szCs w:val="24"/>
        </w:rPr>
      </w:pPr>
      <w:r w:rsidRPr="004F5590">
        <w:rPr>
          <w:rFonts w:ascii="Times New Roman" w:hAnsi="Times New Roman" w:cs="Times New Roman"/>
          <w:noProof/>
          <w:lang w:eastAsia="pt-BR"/>
        </w:rPr>
        <w:drawing>
          <wp:inline distT="0" distB="0" distL="0" distR="0" wp14:anchorId="2A1F8DE9" wp14:editId="1793FEE9">
            <wp:extent cx="4343400" cy="25613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3563" cy="2620386"/>
                    </a:xfrm>
                    <a:prstGeom prst="rect">
                      <a:avLst/>
                    </a:prstGeom>
                    <a:noFill/>
                    <a:ln>
                      <a:noFill/>
                    </a:ln>
                  </pic:spPr>
                </pic:pic>
              </a:graphicData>
            </a:graphic>
          </wp:inline>
        </w:drawing>
      </w:r>
    </w:p>
    <w:p w:rsidR="00CF1370" w:rsidRPr="00FB0282" w:rsidRDefault="00CF1370" w:rsidP="00CF1370">
      <w:pPr>
        <w:jc w:val="both"/>
        <w:rPr>
          <w:rFonts w:ascii="Times New Roman" w:hAnsi="Times New Roman" w:cs="Times New Roman"/>
          <w:sz w:val="18"/>
          <w:szCs w:val="24"/>
        </w:rPr>
      </w:pPr>
      <w:r w:rsidRPr="00FB0282">
        <w:rPr>
          <w:rFonts w:ascii="Times New Roman" w:hAnsi="Times New Roman" w:cs="Times New Roman"/>
          <w:sz w:val="18"/>
          <w:szCs w:val="24"/>
        </w:rPr>
        <w:t>Notas. Esta figura apresenta a evolução anual da taxa de roubos por 100 mil habitantes para os seguintes estados: (i) Rio de Janeiro (RJ), (</w:t>
      </w:r>
      <w:proofErr w:type="spellStart"/>
      <w:r w:rsidRPr="00FB0282">
        <w:rPr>
          <w:rFonts w:ascii="Times New Roman" w:hAnsi="Times New Roman" w:cs="Times New Roman"/>
          <w:sz w:val="18"/>
          <w:szCs w:val="24"/>
        </w:rPr>
        <w:t>ii</w:t>
      </w:r>
      <w:proofErr w:type="spellEnd"/>
      <w:r w:rsidRPr="00FB0282">
        <w:rPr>
          <w:rFonts w:ascii="Times New Roman" w:hAnsi="Times New Roman" w:cs="Times New Roman"/>
          <w:sz w:val="18"/>
          <w:szCs w:val="24"/>
        </w:rPr>
        <w:t>) Rio Grande do Sul (RS), (</w:t>
      </w:r>
      <w:proofErr w:type="spellStart"/>
      <w:r w:rsidRPr="00FB0282">
        <w:rPr>
          <w:rFonts w:ascii="Times New Roman" w:hAnsi="Times New Roman" w:cs="Times New Roman"/>
          <w:sz w:val="18"/>
          <w:szCs w:val="24"/>
        </w:rPr>
        <w:t>iii</w:t>
      </w:r>
      <w:proofErr w:type="spellEnd"/>
      <w:r w:rsidRPr="00FB0282">
        <w:rPr>
          <w:rFonts w:ascii="Times New Roman" w:hAnsi="Times New Roman" w:cs="Times New Roman"/>
          <w:sz w:val="18"/>
          <w:szCs w:val="24"/>
        </w:rPr>
        <w:t>) Mato Grosso do Sul (MS), (</w:t>
      </w:r>
      <w:proofErr w:type="spellStart"/>
      <w:r w:rsidRPr="00FB0282">
        <w:rPr>
          <w:rFonts w:ascii="Times New Roman" w:hAnsi="Times New Roman" w:cs="Times New Roman"/>
          <w:sz w:val="18"/>
          <w:szCs w:val="24"/>
        </w:rPr>
        <w:t>iv</w:t>
      </w:r>
      <w:proofErr w:type="spellEnd"/>
      <w:r w:rsidRPr="00FB0282">
        <w:rPr>
          <w:rFonts w:ascii="Times New Roman" w:hAnsi="Times New Roman" w:cs="Times New Roman"/>
          <w:sz w:val="18"/>
          <w:szCs w:val="24"/>
        </w:rPr>
        <w:t>) São Paulo (SP) e (v) Goiás (GO). Os dados do Rio de Janeiro são provenientes da Polícia Civil. As secretarias de segurança disponibilizam as informações referentes aos demais estados. A linha vertical aparece entre 2010 e 2011 para ressaltar o momento imediatamente anterior à entrada em vigor da lei</w:t>
      </w:r>
      <w:r w:rsidR="004F5590" w:rsidRPr="00FB0282">
        <w:rPr>
          <w:rFonts w:ascii="Times New Roman" w:hAnsi="Times New Roman" w:cs="Times New Roman"/>
          <w:sz w:val="18"/>
          <w:szCs w:val="24"/>
        </w:rPr>
        <w:t xml:space="preserve"> nº</w:t>
      </w:r>
      <w:r w:rsidRPr="00FB0282">
        <w:rPr>
          <w:rFonts w:ascii="Times New Roman" w:hAnsi="Times New Roman" w:cs="Times New Roman"/>
          <w:sz w:val="18"/>
          <w:szCs w:val="24"/>
        </w:rPr>
        <w:t xml:space="preserve"> 12</w:t>
      </w:r>
      <w:r w:rsidR="004F5590" w:rsidRPr="00FB0282">
        <w:rPr>
          <w:rFonts w:ascii="Times New Roman" w:hAnsi="Times New Roman" w:cs="Times New Roman"/>
          <w:sz w:val="18"/>
          <w:szCs w:val="24"/>
        </w:rPr>
        <w:t>.</w:t>
      </w:r>
      <w:r w:rsidRPr="00FB0282">
        <w:rPr>
          <w:rFonts w:ascii="Times New Roman" w:hAnsi="Times New Roman" w:cs="Times New Roman"/>
          <w:sz w:val="18"/>
          <w:szCs w:val="24"/>
        </w:rPr>
        <w:t>403.</w:t>
      </w:r>
    </w:p>
    <w:p w:rsidR="00CF1370" w:rsidRPr="00CF1370" w:rsidRDefault="00CF1370" w:rsidP="00610E2B">
      <w:pPr>
        <w:spacing w:line="240" w:lineRule="auto"/>
        <w:ind w:firstLine="708"/>
        <w:jc w:val="both"/>
        <w:rPr>
          <w:rFonts w:ascii="Times New Roman" w:hAnsi="Times New Roman" w:cs="Times New Roman"/>
          <w:sz w:val="24"/>
          <w:szCs w:val="24"/>
        </w:rPr>
      </w:pPr>
      <w:r w:rsidRPr="00CF1370">
        <w:rPr>
          <w:rFonts w:ascii="Times New Roman" w:hAnsi="Times New Roman" w:cs="Times New Roman"/>
          <w:sz w:val="24"/>
          <w:szCs w:val="24"/>
        </w:rPr>
        <w:t>Especula-se que o crescimento observado nos crimes contra o patrimônio tenha sido causado pela implementação da lei</w:t>
      </w:r>
      <w:r w:rsidR="004F5590">
        <w:rPr>
          <w:rFonts w:ascii="Times New Roman" w:hAnsi="Times New Roman" w:cs="Times New Roman"/>
          <w:sz w:val="24"/>
          <w:szCs w:val="24"/>
        </w:rPr>
        <w:t xml:space="preserve"> n°</w:t>
      </w:r>
      <w:r w:rsidRPr="00CF1370">
        <w:rPr>
          <w:rFonts w:ascii="Times New Roman" w:hAnsi="Times New Roman" w:cs="Times New Roman"/>
          <w:sz w:val="24"/>
          <w:szCs w:val="24"/>
        </w:rPr>
        <w:t xml:space="preserve"> 12</w:t>
      </w:r>
      <w:r w:rsidR="004F5590">
        <w:rPr>
          <w:rFonts w:ascii="Times New Roman" w:hAnsi="Times New Roman" w:cs="Times New Roman"/>
          <w:sz w:val="24"/>
          <w:szCs w:val="24"/>
        </w:rPr>
        <w:t>.</w:t>
      </w:r>
      <w:r w:rsidRPr="00CF1370">
        <w:rPr>
          <w:rFonts w:ascii="Times New Roman" w:hAnsi="Times New Roman" w:cs="Times New Roman"/>
          <w:sz w:val="24"/>
          <w:szCs w:val="24"/>
        </w:rPr>
        <w:t>403, em julho de 2011. Ao desestimular o uso da prisão provisória</w:t>
      </w:r>
      <w:r w:rsidR="001D61F6">
        <w:rPr>
          <w:rFonts w:ascii="Times New Roman" w:hAnsi="Times New Roman" w:cs="Times New Roman"/>
          <w:sz w:val="24"/>
          <w:szCs w:val="24"/>
        </w:rPr>
        <w:t>,</w:t>
      </w:r>
      <w:r w:rsidRPr="00CF1370">
        <w:rPr>
          <w:rFonts w:ascii="Times New Roman" w:hAnsi="Times New Roman" w:cs="Times New Roman"/>
          <w:sz w:val="24"/>
          <w:szCs w:val="24"/>
        </w:rPr>
        <w:t xml:space="preserve"> a nova lei representaria um abrandamento do código penal brasileiro e resultaria em um aumento do estoque de criminosos nas ruas. O maior número de criminosos respondendo por seus crimes em liberdade seria então o principal responsável pelo crescimento nos crimes contra o patrimônio.</w:t>
      </w:r>
    </w:p>
    <w:p w:rsidR="00CF1370" w:rsidRDefault="00CF1370" w:rsidP="00610E2B">
      <w:pPr>
        <w:spacing w:line="240" w:lineRule="auto"/>
        <w:ind w:firstLine="708"/>
        <w:jc w:val="both"/>
        <w:rPr>
          <w:rFonts w:ascii="Times New Roman" w:hAnsi="Times New Roman" w:cs="Times New Roman"/>
          <w:sz w:val="24"/>
          <w:szCs w:val="24"/>
        </w:rPr>
      </w:pPr>
      <w:r w:rsidRPr="00CF1370">
        <w:rPr>
          <w:rFonts w:ascii="Times New Roman" w:hAnsi="Times New Roman" w:cs="Times New Roman"/>
          <w:sz w:val="24"/>
          <w:szCs w:val="24"/>
        </w:rPr>
        <w:t xml:space="preserve">A lei </w:t>
      </w:r>
      <w:r w:rsidR="00E436AF">
        <w:rPr>
          <w:rFonts w:ascii="Times New Roman" w:hAnsi="Times New Roman" w:cs="Times New Roman"/>
          <w:sz w:val="24"/>
          <w:szCs w:val="24"/>
        </w:rPr>
        <w:t xml:space="preserve">nº </w:t>
      </w:r>
      <w:r w:rsidRPr="00CF1370">
        <w:rPr>
          <w:rFonts w:ascii="Times New Roman" w:hAnsi="Times New Roman" w:cs="Times New Roman"/>
          <w:sz w:val="24"/>
          <w:szCs w:val="24"/>
        </w:rPr>
        <w:t>12</w:t>
      </w:r>
      <w:r w:rsidR="00E436AF">
        <w:rPr>
          <w:rFonts w:ascii="Times New Roman" w:hAnsi="Times New Roman" w:cs="Times New Roman"/>
          <w:sz w:val="24"/>
          <w:szCs w:val="24"/>
        </w:rPr>
        <w:t>.</w:t>
      </w:r>
      <w:r w:rsidRPr="00CF1370">
        <w:rPr>
          <w:rFonts w:ascii="Times New Roman" w:hAnsi="Times New Roman" w:cs="Times New Roman"/>
          <w:sz w:val="24"/>
          <w:szCs w:val="24"/>
        </w:rPr>
        <w:t>403 trouxe inúmeras alterações no tratamento conferido pela justiça aos presos. Dentre as modi</w:t>
      </w:r>
      <w:r>
        <w:rPr>
          <w:rFonts w:ascii="Times New Roman" w:hAnsi="Times New Roman" w:cs="Times New Roman"/>
          <w:sz w:val="24"/>
          <w:szCs w:val="24"/>
        </w:rPr>
        <w:t>fi</w:t>
      </w:r>
      <w:r w:rsidRPr="00CF1370">
        <w:rPr>
          <w:rFonts w:ascii="Times New Roman" w:hAnsi="Times New Roman" w:cs="Times New Roman"/>
          <w:sz w:val="24"/>
          <w:szCs w:val="24"/>
        </w:rPr>
        <w:t>cações, duas se destacam como potencialmente mais relevantes para o comportamento dos crimes contra o patrimônio. Em primeiro lugar, a lei proibiu a prisão provisória por crimes com pena máxima de quatro anos ou menos. Ademais, a lei incentivou a adoção de medidas cautelares alternativas à prisão provisória, para todos os tipos de crime</w:t>
      </w:r>
      <w:r w:rsidR="00321777">
        <w:rPr>
          <w:rFonts w:ascii="Times New Roman" w:hAnsi="Times New Roman" w:cs="Times New Roman"/>
          <w:sz w:val="24"/>
          <w:szCs w:val="24"/>
        </w:rPr>
        <w:t>.</w:t>
      </w:r>
      <w:r>
        <w:rPr>
          <w:rStyle w:val="Refdenotaderodap"/>
          <w:rFonts w:ascii="Times New Roman" w:hAnsi="Times New Roman" w:cs="Times New Roman"/>
          <w:sz w:val="24"/>
          <w:szCs w:val="24"/>
        </w:rPr>
        <w:footnoteReference w:id="2"/>
      </w:r>
      <w:r w:rsidRPr="00CF1370">
        <w:rPr>
          <w:rFonts w:ascii="Times New Roman" w:hAnsi="Times New Roman" w:cs="Times New Roman"/>
          <w:sz w:val="24"/>
          <w:szCs w:val="24"/>
        </w:rPr>
        <w:t xml:space="preserve"> Portanto, os furtos, cuja pena máxima é menor do que quatro anos, devem ser fortemente afetados pela lei, dado que estão sujeitos a ambas as alterações da legislação</w:t>
      </w:r>
      <w:r w:rsidR="00321777">
        <w:rPr>
          <w:rFonts w:ascii="Times New Roman" w:hAnsi="Times New Roman" w:cs="Times New Roman"/>
          <w:sz w:val="24"/>
          <w:szCs w:val="24"/>
        </w:rPr>
        <w:t>.</w:t>
      </w:r>
      <w:r>
        <w:rPr>
          <w:rStyle w:val="Refdenotaderodap"/>
          <w:rFonts w:ascii="Times New Roman" w:hAnsi="Times New Roman" w:cs="Times New Roman"/>
          <w:sz w:val="24"/>
          <w:szCs w:val="24"/>
        </w:rPr>
        <w:footnoteReference w:id="3"/>
      </w:r>
      <w:r w:rsidRPr="00CF1370">
        <w:rPr>
          <w:rFonts w:ascii="Times New Roman" w:hAnsi="Times New Roman" w:cs="Times New Roman"/>
          <w:sz w:val="24"/>
          <w:szCs w:val="24"/>
        </w:rPr>
        <w:t xml:space="preserve"> Por </w:t>
      </w:r>
      <w:r w:rsidRPr="00CF1370">
        <w:rPr>
          <w:rFonts w:ascii="Times New Roman" w:hAnsi="Times New Roman" w:cs="Times New Roman"/>
          <w:sz w:val="24"/>
          <w:szCs w:val="24"/>
        </w:rPr>
        <w:lastRenderedPageBreak/>
        <w:t>outro lado, conjectura-se um impacto pouco expressivo da lei sobre os roubos, cuja pena máxima é maior do que quatro anos, dado que apenas a segunda modi</w:t>
      </w:r>
      <w:r>
        <w:rPr>
          <w:rFonts w:ascii="Times New Roman" w:hAnsi="Times New Roman" w:cs="Times New Roman"/>
          <w:sz w:val="24"/>
          <w:szCs w:val="24"/>
        </w:rPr>
        <w:t>fi</w:t>
      </w:r>
      <w:r w:rsidRPr="00CF1370">
        <w:rPr>
          <w:rFonts w:ascii="Times New Roman" w:hAnsi="Times New Roman" w:cs="Times New Roman"/>
          <w:sz w:val="24"/>
          <w:szCs w:val="24"/>
        </w:rPr>
        <w:t>cação deve afetar este tipo de crime</w:t>
      </w:r>
      <w:r w:rsidR="00321777">
        <w:rPr>
          <w:rFonts w:ascii="Times New Roman" w:hAnsi="Times New Roman" w:cs="Times New Roman"/>
          <w:sz w:val="24"/>
          <w:szCs w:val="24"/>
        </w:rPr>
        <w:t>.</w:t>
      </w:r>
      <w:r>
        <w:rPr>
          <w:rStyle w:val="Refdenotaderodap"/>
          <w:rFonts w:ascii="Times New Roman" w:hAnsi="Times New Roman" w:cs="Times New Roman"/>
          <w:sz w:val="24"/>
          <w:szCs w:val="24"/>
        </w:rPr>
        <w:footnoteReference w:id="4"/>
      </w:r>
      <w:r w:rsidRPr="00CF1370">
        <w:rPr>
          <w:rFonts w:ascii="Times New Roman" w:hAnsi="Times New Roman" w:cs="Times New Roman"/>
          <w:sz w:val="24"/>
          <w:szCs w:val="24"/>
        </w:rPr>
        <w:t xml:space="preserve">  Finalmente, em ambos os casos </w:t>
      </w:r>
      <w:proofErr w:type="gramStart"/>
      <w:r w:rsidR="006C7DF7" w:rsidRPr="00CF1370">
        <w:rPr>
          <w:rFonts w:ascii="Times New Roman" w:hAnsi="Times New Roman" w:cs="Times New Roman"/>
          <w:sz w:val="24"/>
          <w:szCs w:val="24"/>
        </w:rPr>
        <w:t>espera</w:t>
      </w:r>
      <w:r w:rsidR="000C3126">
        <w:rPr>
          <w:rFonts w:ascii="Times New Roman" w:hAnsi="Times New Roman" w:cs="Times New Roman"/>
          <w:sz w:val="24"/>
          <w:szCs w:val="24"/>
        </w:rPr>
        <w:t>-se</w:t>
      </w:r>
      <w:proofErr w:type="gramEnd"/>
      <w:r w:rsidRPr="00CF1370">
        <w:rPr>
          <w:rFonts w:ascii="Times New Roman" w:hAnsi="Times New Roman" w:cs="Times New Roman"/>
          <w:sz w:val="24"/>
          <w:szCs w:val="24"/>
        </w:rPr>
        <w:t xml:space="preserve"> que a lei tenha efeitos defasados, em função do tempo necessário para que os criminosos aprendam que houve uma redução na probabilidade de responderem por seus crimes na prisão.</w:t>
      </w:r>
    </w:p>
    <w:p w:rsidR="00304B9C" w:rsidRDefault="00304B9C" w:rsidP="00610E2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 teoria econômica do crime teve seus primeiros fundamentos elaborados no artigo seminal de Becker (1968), o qual estabelece os criminosos como agentes racionais, capazes de comparar seus benefícios e custos para decidir se atuam ou não em atividades ilícitas</w:t>
      </w:r>
      <w:r w:rsidR="00321777">
        <w:rPr>
          <w:rFonts w:ascii="Times New Roman" w:hAnsi="Times New Roman" w:cs="Times New Roman"/>
          <w:sz w:val="24"/>
          <w:szCs w:val="24"/>
        </w:rPr>
        <w:t>.</w:t>
      </w:r>
      <w:r>
        <w:rPr>
          <w:rStyle w:val="Refdenotaderodap"/>
          <w:rFonts w:ascii="Times New Roman" w:hAnsi="Times New Roman" w:cs="Times New Roman"/>
          <w:sz w:val="24"/>
          <w:szCs w:val="24"/>
        </w:rPr>
        <w:footnoteReference w:id="5"/>
      </w:r>
      <w:r>
        <w:rPr>
          <w:rFonts w:ascii="Times New Roman" w:hAnsi="Times New Roman" w:cs="Times New Roman"/>
          <w:sz w:val="24"/>
          <w:szCs w:val="24"/>
        </w:rPr>
        <w:t xml:space="preserve"> Nesse âmbito, quanto maior for a severidade da justiça, maior será o custo esperado para o agente criminoso de cometer delitos, o que diminuiria os índices de criminalidade. Para o caso brasileiro, </w:t>
      </w:r>
      <w:proofErr w:type="spellStart"/>
      <w:r>
        <w:rPr>
          <w:rFonts w:ascii="Times New Roman" w:hAnsi="Times New Roman" w:cs="Times New Roman"/>
          <w:sz w:val="24"/>
          <w:szCs w:val="24"/>
        </w:rPr>
        <w:t>Meneguin</w:t>
      </w:r>
      <w:proofErr w:type="spellEnd"/>
      <w:r>
        <w:rPr>
          <w:rFonts w:ascii="Times New Roman" w:hAnsi="Times New Roman" w:cs="Times New Roman"/>
          <w:sz w:val="24"/>
          <w:szCs w:val="24"/>
        </w:rPr>
        <w:t xml:space="preserve"> et al (2011) desenvolvem um modelo teórico para determinar como a severidade da justiça impacta o bem-estar social. Especificamente, os autores buscam avaliar em que medida um endurecimento da justiça, através da adoção da execução imediata de sentença, pode trazer ganhos de bem-estar para a sociedade, concluindo que a aplicação instantânea da pena é mais aconselhável em locais cujas instituições de investigação criminal e de julgamento funcionem melhor (porque a probabilidade de o acusado ser realmente culpado é alta nestes contextos) e para crimes que tenham elevada probabilidade de reincidência.</w:t>
      </w:r>
    </w:p>
    <w:p w:rsidR="00304B9C" w:rsidRDefault="00304B9C" w:rsidP="00610E2B">
      <w:pPr>
        <w:spacing w:line="240" w:lineRule="auto"/>
        <w:ind w:firstLine="708"/>
        <w:jc w:val="both"/>
        <w:rPr>
          <w:rFonts w:ascii="Times New Roman" w:hAnsi="Times New Roman" w:cs="Times New Roman"/>
          <w:sz w:val="24"/>
          <w:szCs w:val="24"/>
        </w:rPr>
      </w:pPr>
      <w:r w:rsidRPr="00AE671D">
        <w:rPr>
          <w:rFonts w:ascii="Times New Roman" w:hAnsi="Times New Roman" w:cs="Times New Roman"/>
        </w:rPr>
        <w:t>Por outro lado,</w:t>
      </w:r>
      <w:r>
        <w:rPr>
          <w:rFonts w:ascii="Times New Roman" w:hAnsi="Times New Roman" w:cs="Times New Roman"/>
        </w:rPr>
        <w:t xml:space="preserve"> inúmeros e</w:t>
      </w:r>
      <w:r>
        <w:rPr>
          <w:rFonts w:ascii="Times New Roman" w:hAnsi="Times New Roman" w:cs="Times New Roman"/>
          <w:sz w:val="24"/>
          <w:szCs w:val="24"/>
        </w:rPr>
        <w:t>studos</w:t>
      </w:r>
      <w:r>
        <w:rPr>
          <w:rFonts w:ascii="Times New Roman" w:hAnsi="Times New Roman" w:cs="Times New Roman"/>
        </w:rPr>
        <w:t xml:space="preserve"> empíricos</w:t>
      </w:r>
      <w:r w:rsidRPr="00E436AF">
        <w:rPr>
          <w:rFonts w:ascii="Times New Roman" w:hAnsi="Times New Roman" w:cs="Times New Roman"/>
          <w:sz w:val="24"/>
          <w:szCs w:val="24"/>
        </w:rPr>
        <w:t xml:space="preserve"> </w:t>
      </w:r>
      <w:r>
        <w:rPr>
          <w:rFonts w:ascii="Times New Roman" w:hAnsi="Times New Roman" w:cs="Times New Roman"/>
          <w:sz w:val="24"/>
          <w:szCs w:val="24"/>
        </w:rPr>
        <w:t>procuram verifi</w:t>
      </w:r>
      <w:r w:rsidRPr="00E436AF">
        <w:rPr>
          <w:rFonts w:ascii="Times New Roman" w:hAnsi="Times New Roman" w:cs="Times New Roman"/>
          <w:sz w:val="24"/>
          <w:szCs w:val="24"/>
        </w:rPr>
        <w:t xml:space="preserve">car </w:t>
      </w:r>
      <w:r>
        <w:rPr>
          <w:rFonts w:ascii="Times New Roman" w:hAnsi="Times New Roman" w:cs="Times New Roman"/>
          <w:sz w:val="24"/>
          <w:szCs w:val="24"/>
        </w:rPr>
        <w:t xml:space="preserve">as proposições de Becker (1968), analisando em que medida o </w:t>
      </w:r>
      <w:r w:rsidRPr="00E436AF">
        <w:rPr>
          <w:rFonts w:ascii="Times New Roman" w:hAnsi="Times New Roman" w:cs="Times New Roman"/>
          <w:sz w:val="24"/>
          <w:szCs w:val="24"/>
        </w:rPr>
        <w:t xml:space="preserve">funcionamento da justiça afeta os crimes. </w:t>
      </w:r>
      <w:r>
        <w:rPr>
          <w:rFonts w:ascii="Times New Roman" w:hAnsi="Times New Roman" w:cs="Times New Roman"/>
          <w:sz w:val="24"/>
          <w:szCs w:val="24"/>
        </w:rPr>
        <w:t>Esta literatura, de cunho mais prático, costuma elencar dois canais através dos quais a justiça pode afetar o comportamento dos criminosos, que são: (i) a capacidade de dissuasão e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a possibilidade de incapacitação. O primeiro canal, capacidade de dissuasão, sugere que eventuais endurecimentos do sistema de justiça podem desestimular a realização de crimes, vi</w:t>
      </w:r>
      <w:r w:rsidR="00474E75">
        <w:rPr>
          <w:rFonts w:ascii="Times New Roman" w:hAnsi="Times New Roman" w:cs="Times New Roman"/>
          <w:sz w:val="24"/>
          <w:szCs w:val="24"/>
        </w:rPr>
        <w:t>sto que ampliam tanto a duração quanto a severidade</w:t>
      </w:r>
      <w:r>
        <w:rPr>
          <w:rFonts w:ascii="Times New Roman" w:hAnsi="Times New Roman" w:cs="Times New Roman"/>
          <w:sz w:val="24"/>
          <w:szCs w:val="24"/>
        </w:rPr>
        <w:t xml:space="preserve"> das penas. Já o segundo canal, possibilidade de incapacitação, indica que sistemas de justiça mais severos podem potencialmente reduzir índices de criminalidade, visto que costumam manter um grande número de criminosos encarcerados. Segundo esta tese da incapacitação há uma redução na criminalidade porque os presos ficam impossibilitados de cometer outros delitos durante o seu período de permanência na cadeia.  </w:t>
      </w:r>
    </w:p>
    <w:p w:rsidR="00304B9C" w:rsidRDefault="00304B9C" w:rsidP="00610E2B">
      <w:pPr>
        <w:spacing w:line="240" w:lineRule="auto"/>
        <w:ind w:firstLine="708"/>
        <w:jc w:val="both"/>
        <w:rPr>
          <w:rFonts w:ascii="Times New Roman" w:hAnsi="Times New Roman" w:cs="Times New Roman"/>
          <w:sz w:val="24"/>
          <w:szCs w:val="24"/>
        </w:rPr>
      </w:pPr>
      <w:r w:rsidRPr="00E436AF">
        <w:rPr>
          <w:rFonts w:ascii="Times New Roman" w:hAnsi="Times New Roman" w:cs="Times New Roman"/>
          <w:sz w:val="24"/>
          <w:szCs w:val="24"/>
        </w:rPr>
        <w:t>Os primeiros estudos</w:t>
      </w:r>
      <w:r>
        <w:rPr>
          <w:rFonts w:ascii="Times New Roman" w:hAnsi="Times New Roman" w:cs="Times New Roman"/>
          <w:sz w:val="24"/>
          <w:szCs w:val="24"/>
        </w:rPr>
        <w:t xml:space="preserve"> empíricos</w:t>
      </w:r>
      <w:r w:rsidRPr="00E436AF">
        <w:rPr>
          <w:rFonts w:ascii="Times New Roman" w:hAnsi="Times New Roman" w:cs="Times New Roman"/>
          <w:sz w:val="24"/>
          <w:szCs w:val="24"/>
        </w:rPr>
        <w:t xml:space="preserve">, como </w:t>
      </w:r>
      <w:proofErr w:type="spellStart"/>
      <w:r w:rsidRPr="00E436AF">
        <w:rPr>
          <w:rFonts w:ascii="Times New Roman" w:hAnsi="Times New Roman" w:cs="Times New Roman"/>
          <w:sz w:val="24"/>
          <w:szCs w:val="24"/>
        </w:rPr>
        <w:t>Tauchen</w:t>
      </w:r>
      <w:proofErr w:type="spellEnd"/>
      <w:r w:rsidRPr="00E436AF">
        <w:rPr>
          <w:rFonts w:ascii="Times New Roman" w:hAnsi="Times New Roman" w:cs="Times New Roman"/>
          <w:sz w:val="24"/>
          <w:szCs w:val="24"/>
        </w:rPr>
        <w:t xml:space="preserve"> et al (1994), Cornwell e </w:t>
      </w:r>
      <w:proofErr w:type="spellStart"/>
      <w:r w:rsidRPr="00E436AF">
        <w:rPr>
          <w:rFonts w:ascii="Times New Roman" w:hAnsi="Times New Roman" w:cs="Times New Roman"/>
          <w:sz w:val="24"/>
          <w:szCs w:val="24"/>
        </w:rPr>
        <w:t>Trumbull</w:t>
      </w:r>
      <w:proofErr w:type="spellEnd"/>
      <w:r w:rsidRPr="00E436AF">
        <w:rPr>
          <w:rFonts w:ascii="Times New Roman" w:hAnsi="Times New Roman" w:cs="Times New Roman"/>
          <w:sz w:val="24"/>
          <w:szCs w:val="24"/>
        </w:rPr>
        <w:t xml:space="preserve"> (1994), </w:t>
      </w:r>
      <w:proofErr w:type="spellStart"/>
      <w:r w:rsidRPr="00E436AF">
        <w:rPr>
          <w:rFonts w:ascii="Times New Roman" w:hAnsi="Times New Roman" w:cs="Times New Roman"/>
          <w:sz w:val="24"/>
          <w:szCs w:val="24"/>
        </w:rPr>
        <w:t>Grogger</w:t>
      </w:r>
      <w:proofErr w:type="spellEnd"/>
      <w:r w:rsidRPr="00E436AF">
        <w:rPr>
          <w:rFonts w:ascii="Times New Roman" w:hAnsi="Times New Roman" w:cs="Times New Roman"/>
          <w:sz w:val="24"/>
          <w:szCs w:val="24"/>
        </w:rPr>
        <w:t xml:space="preserve"> (1991), </w:t>
      </w:r>
      <w:proofErr w:type="spellStart"/>
      <w:r w:rsidRPr="00E436AF">
        <w:rPr>
          <w:rFonts w:ascii="Times New Roman" w:hAnsi="Times New Roman" w:cs="Times New Roman"/>
          <w:sz w:val="24"/>
          <w:szCs w:val="24"/>
        </w:rPr>
        <w:t>Trumbull</w:t>
      </w:r>
      <w:proofErr w:type="spellEnd"/>
      <w:r w:rsidRPr="00E436AF">
        <w:rPr>
          <w:rFonts w:ascii="Times New Roman" w:hAnsi="Times New Roman" w:cs="Times New Roman"/>
          <w:sz w:val="24"/>
          <w:szCs w:val="24"/>
        </w:rPr>
        <w:t xml:space="preserve"> (1989), </w:t>
      </w:r>
      <w:proofErr w:type="spellStart"/>
      <w:r w:rsidRPr="00E436AF">
        <w:rPr>
          <w:rFonts w:ascii="Times New Roman" w:hAnsi="Times New Roman" w:cs="Times New Roman"/>
          <w:sz w:val="24"/>
          <w:szCs w:val="24"/>
        </w:rPr>
        <w:t>Witte</w:t>
      </w:r>
      <w:proofErr w:type="spellEnd"/>
      <w:r w:rsidRPr="00E436AF">
        <w:rPr>
          <w:rFonts w:ascii="Times New Roman" w:hAnsi="Times New Roman" w:cs="Times New Roman"/>
          <w:sz w:val="24"/>
          <w:szCs w:val="24"/>
        </w:rPr>
        <w:t xml:space="preserve"> (1980) e </w:t>
      </w:r>
      <w:proofErr w:type="spellStart"/>
      <w:r w:rsidRPr="00E436AF">
        <w:rPr>
          <w:rFonts w:ascii="Times New Roman" w:hAnsi="Times New Roman" w:cs="Times New Roman"/>
          <w:sz w:val="24"/>
          <w:szCs w:val="24"/>
        </w:rPr>
        <w:t>Blumstein</w:t>
      </w:r>
      <w:proofErr w:type="spellEnd"/>
      <w:r w:rsidRPr="00E436AF">
        <w:rPr>
          <w:rFonts w:ascii="Times New Roman" w:hAnsi="Times New Roman" w:cs="Times New Roman"/>
          <w:sz w:val="24"/>
          <w:szCs w:val="24"/>
        </w:rPr>
        <w:t xml:space="preserve"> et al (1978), limitavam-se a estimar o efeito agregado, incluindo tanto incapacitação quanto dissuasão, de mudanças no funcionamento da justiça sobre os crimes. Trabalhos mais recentes, </w:t>
      </w:r>
      <w:proofErr w:type="gramStart"/>
      <w:r w:rsidRPr="00E436AF">
        <w:rPr>
          <w:rFonts w:ascii="Times New Roman" w:hAnsi="Times New Roman" w:cs="Times New Roman"/>
          <w:sz w:val="24"/>
          <w:szCs w:val="24"/>
        </w:rPr>
        <w:t>como Drago</w:t>
      </w:r>
      <w:proofErr w:type="gramEnd"/>
      <w:r w:rsidRPr="00E436AF">
        <w:rPr>
          <w:rFonts w:ascii="Times New Roman" w:hAnsi="Times New Roman" w:cs="Times New Roman"/>
          <w:sz w:val="24"/>
          <w:szCs w:val="24"/>
        </w:rPr>
        <w:t xml:space="preserve"> et al (2009), Lee e </w:t>
      </w:r>
      <w:proofErr w:type="spellStart"/>
      <w:r w:rsidRPr="00E436AF">
        <w:rPr>
          <w:rFonts w:ascii="Times New Roman" w:hAnsi="Times New Roman" w:cs="Times New Roman"/>
          <w:sz w:val="24"/>
          <w:szCs w:val="24"/>
        </w:rPr>
        <w:t>McCrary</w:t>
      </w:r>
      <w:proofErr w:type="spellEnd"/>
      <w:r w:rsidRPr="00E436AF">
        <w:rPr>
          <w:rFonts w:ascii="Times New Roman" w:hAnsi="Times New Roman" w:cs="Times New Roman"/>
          <w:sz w:val="24"/>
          <w:szCs w:val="24"/>
        </w:rPr>
        <w:t xml:space="preserve"> (2009), </w:t>
      </w:r>
      <w:proofErr w:type="spellStart"/>
      <w:r w:rsidRPr="00E436AF">
        <w:rPr>
          <w:rFonts w:ascii="Times New Roman" w:hAnsi="Times New Roman" w:cs="Times New Roman"/>
          <w:sz w:val="24"/>
          <w:szCs w:val="24"/>
        </w:rPr>
        <w:t>Helland</w:t>
      </w:r>
      <w:proofErr w:type="spellEnd"/>
      <w:r w:rsidRPr="00E436AF">
        <w:rPr>
          <w:rFonts w:ascii="Times New Roman" w:hAnsi="Times New Roman" w:cs="Times New Roman"/>
          <w:sz w:val="24"/>
          <w:szCs w:val="24"/>
        </w:rPr>
        <w:t xml:space="preserve"> e </w:t>
      </w:r>
      <w:proofErr w:type="spellStart"/>
      <w:r w:rsidRPr="00E436AF">
        <w:rPr>
          <w:rFonts w:ascii="Times New Roman" w:hAnsi="Times New Roman" w:cs="Times New Roman"/>
          <w:sz w:val="24"/>
          <w:szCs w:val="24"/>
        </w:rPr>
        <w:t>Tabarrok</w:t>
      </w:r>
      <w:proofErr w:type="spellEnd"/>
      <w:r w:rsidRPr="00E436AF">
        <w:rPr>
          <w:rFonts w:ascii="Times New Roman" w:hAnsi="Times New Roman" w:cs="Times New Roman"/>
          <w:sz w:val="24"/>
          <w:szCs w:val="24"/>
        </w:rPr>
        <w:t xml:space="preserve"> (2007), </w:t>
      </w:r>
      <w:proofErr w:type="spellStart"/>
      <w:r w:rsidRPr="00E436AF">
        <w:rPr>
          <w:rFonts w:ascii="Times New Roman" w:hAnsi="Times New Roman" w:cs="Times New Roman"/>
          <w:sz w:val="24"/>
          <w:szCs w:val="24"/>
        </w:rPr>
        <w:t>Kessler</w:t>
      </w:r>
      <w:proofErr w:type="spellEnd"/>
      <w:r w:rsidRPr="00E436AF">
        <w:rPr>
          <w:rFonts w:ascii="Times New Roman" w:hAnsi="Times New Roman" w:cs="Times New Roman"/>
          <w:sz w:val="24"/>
          <w:szCs w:val="24"/>
        </w:rPr>
        <w:t xml:space="preserve"> e Levitt (1999) e Levitt (1998), têm sido mais bem sucedidos em separar dissuasão de </w:t>
      </w:r>
      <w:r w:rsidRPr="00244D61">
        <w:rPr>
          <w:rFonts w:ascii="Times New Roman" w:hAnsi="Times New Roman" w:cs="Times New Roman"/>
          <w:sz w:val="24"/>
          <w:szCs w:val="24"/>
        </w:rPr>
        <w:t xml:space="preserve">incapacitação. Porém, </w:t>
      </w:r>
      <w:r>
        <w:rPr>
          <w:rFonts w:ascii="Times New Roman" w:hAnsi="Times New Roman" w:cs="Times New Roman"/>
          <w:sz w:val="24"/>
          <w:szCs w:val="24"/>
        </w:rPr>
        <w:t>a maior parte d</w:t>
      </w:r>
      <w:r w:rsidRPr="00244D61">
        <w:rPr>
          <w:rFonts w:ascii="Times New Roman" w:hAnsi="Times New Roman" w:cs="Times New Roman"/>
          <w:sz w:val="24"/>
          <w:szCs w:val="24"/>
        </w:rPr>
        <w:t xml:space="preserve">os artigos </w:t>
      </w:r>
      <w:r>
        <w:rPr>
          <w:rFonts w:ascii="Times New Roman" w:hAnsi="Times New Roman" w:cs="Times New Roman"/>
          <w:sz w:val="24"/>
          <w:szCs w:val="24"/>
        </w:rPr>
        <w:t>existentes nesta literatura</w:t>
      </w:r>
      <w:r w:rsidRPr="00244D61">
        <w:rPr>
          <w:rFonts w:ascii="Times New Roman" w:hAnsi="Times New Roman" w:cs="Times New Roman"/>
          <w:sz w:val="24"/>
          <w:szCs w:val="24"/>
        </w:rPr>
        <w:t xml:space="preserve"> </w:t>
      </w:r>
      <w:r>
        <w:rPr>
          <w:rFonts w:ascii="Times New Roman" w:hAnsi="Times New Roman" w:cs="Times New Roman"/>
          <w:sz w:val="24"/>
          <w:szCs w:val="24"/>
        </w:rPr>
        <w:t xml:space="preserve">empírica </w:t>
      </w:r>
      <w:r w:rsidRPr="00244D61">
        <w:rPr>
          <w:rFonts w:ascii="Times New Roman" w:hAnsi="Times New Roman" w:cs="Times New Roman"/>
          <w:sz w:val="24"/>
          <w:szCs w:val="24"/>
        </w:rPr>
        <w:t>foca em países desenvolvidos.</w:t>
      </w:r>
      <w:r w:rsidRPr="00E436AF">
        <w:rPr>
          <w:rFonts w:ascii="Times New Roman" w:hAnsi="Times New Roman" w:cs="Times New Roman"/>
          <w:sz w:val="24"/>
          <w:szCs w:val="24"/>
        </w:rPr>
        <w:t xml:space="preserve"> </w:t>
      </w:r>
      <w:r>
        <w:rPr>
          <w:rFonts w:ascii="Times New Roman" w:hAnsi="Times New Roman" w:cs="Times New Roman"/>
          <w:sz w:val="24"/>
          <w:szCs w:val="24"/>
        </w:rPr>
        <w:t xml:space="preserve">É </w:t>
      </w:r>
      <w:r w:rsidRPr="00E436AF">
        <w:rPr>
          <w:rFonts w:ascii="Times New Roman" w:hAnsi="Times New Roman" w:cs="Times New Roman"/>
          <w:sz w:val="24"/>
          <w:szCs w:val="24"/>
        </w:rPr>
        <w:t>possível que a justiça tenha maior di</w:t>
      </w:r>
      <w:r>
        <w:rPr>
          <w:rFonts w:ascii="Times New Roman" w:hAnsi="Times New Roman" w:cs="Times New Roman"/>
          <w:sz w:val="24"/>
          <w:szCs w:val="24"/>
        </w:rPr>
        <w:t>fi</w:t>
      </w:r>
      <w:r w:rsidRPr="00E436AF">
        <w:rPr>
          <w:rFonts w:ascii="Times New Roman" w:hAnsi="Times New Roman" w:cs="Times New Roman"/>
          <w:sz w:val="24"/>
          <w:szCs w:val="24"/>
        </w:rPr>
        <w:t>culdade em afetar o crime em países em desenvolvimento. No limite,</w:t>
      </w:r>
      <w:r>
        <w:rPr>
          <w:rFonts w:ascii="Times New Roman" w:hAnsi="Times New Roman" w:cs="Times New Roman"/>
          <w:sz w:val="24"/>
          <w:szCs w:val="24"/>
        </w:rPr>
        <w:t xml:space="preserve"> </w:t>
      </w:r>
      <w:r w:rsidRPr="00E436AF">
        <w:rPr>
          <w:rFonts w:ascii="Times New Roman" w:hAnsi="Times New Roman" w:cs="Times New Roman"/>
          <w:sz w:val="24"/>
          <w:szCs w:val="24"/>
        </w:rPr>
        <w:t xml:space="preserve">o elevado nível de corrupção observado nestes países pode fazer com que mudanças na legislação </w:t>
      </w:r>
      <w:r>
        <w:rPr>
          <w:rFonts w:ascii="Times New Roman" w:hAnsi="Times New Roman" w:cs="Times New Roman"/>
          <w:sz w:val="24"/>
          <w:szCs w:val="24"/>
        </w:rPr>
        <w:t xml:space="preserve">penal </w:t>
      </w:r>
      <w:r w:rsidRPr="00E436AF">
        <w:rPr>
          <w:rFonts w:ascii="Times New Roman" w:hAnsi="Times New Roman" w:cs="Times New Roman"/>
          <w:sz w:val="24"/>
          <w:szCs w:val="24"/>
        </w:rPr>
        <w:t>sejam inócuas.</w:t>
      </w:r>
    </w:p>
    <w:p w:rsidR="00304B9C" w:rsidRPr="00CC4697" w:rsidRDefault="00304B9C" w:rsidP="00610E2B">
      <w:pPr>
        <w:spacing w:line="240" w:lineRule="auto"/>
        <w:ind w:firstLine="708"/>
        <w:jc w:val="both"/>
        <w:rPr>
          <w:rFonts w:ascii="Times New Roman" w:hAnsi="Times New Roman" w:cs="Times New Roman"/>
          <w:sz w:val="24"/>
          <w:szCs w:val="24"/>
        </w:rPr>
      </w:pPr>
      <w:r w:rsidRPr="00CC4697">
        <w:rPr>
          <w:rFonts w:ascii="Times New Roman" w:hAnsi="Times New Roman" w:cs="Times New Roman"/>
          <w:sz w:val="24"/>
          <w:szCs w:val="24"/>
        </w:rPr>
        <w:t xml:space="preserve">No Brasil, </w:t>
      </w:r>
      <w:proofErr w:type="spellStart"/>
      <w:r w:rsidRPr="00CC4697">
        <w:rPr>
          <w:rFonts w:ascii="Times New Roman" w:hAnsi="Times New Roman" w:cs="Times New Roman"/>
          <w:sz w:val="24"/>
          <w:szCs w:val="24"/>
        </w:rPr>
        <w:t>Shikida</w:t>
      </w:r>
      <w:proofErr w:type="spellEnd"/>
      <w:r w:rsidRPr="00CC4697">
        <w:rPr>
          <w:rFonts w:ascii="Times New Roman" w:hAnsi="Times New Roman" w:cs="Times New Roman"/>
          <w:sz w:val="24"/>
          <w:szCs w:val="24"/>
        </w:rPr>
        <w:t xml:space="preserve"> (2010) apresenta evidências empíricas que corroboram a hipótese de Becker (1968) de que os criminosos são agentes racionais e, portanto, comparam os benefícios com os custos de atuar em atividades econômicas ilegais. Em sua análise, de cunho qualitativo, o autor selecionou uma amostra de réus oriundos de presídios paranaenses e, através de questionários e entrevistas, analisou por que estes indivíduos optaram pela pratica de crimes econômicos. Suas conclusões foram que os presos analisados no estudo</w:t>
      </w:r>
      <w:r w:rsidR="00CA0A2D" w:rsidRPr="00CC4697">
        <w:rPr>
          <w:rFonts w:ascii="Times New Roman" w:hAnsi="Times New Roman" w:cs="Times New Roman"/>
          <w:sz w:val="24"/>
          <w:szCs w:val="24"/>
        </w:rPr>
        <w:t xml:space="preserve"> procuravam</w:t>
      </w:r>
      <w:r w:rsidRPr="00CC4697">
        <w:rPr>
          <w:rFonts w:ascii="Times New Roman" w:hAnsi="Times New Roman" w:cs="Times New Roman"/>
          <w:sz w:val="24"/>
          <w:szCs w:val="24"/>
        </w:rPr>
        <w:t xml:space="preserve"> </w:t>
      </w:r>
      <w:r w:rsidR="00CA0A2D" w:rsidRPr="00CC4697">
        <w:rPr>
          <w:rFonts w:ascii="Times New Roman" w:hAnsi="Times New Roman" w:cs="Times New Roman"/>
          <w:sz w:val="24"/>
          <w:szCs w:val="24"/>
        </w:rPr>
        <w:t xml:space="preserve">adquirir informações sobre </w:t>
      </w:r>
      <w:r w:rsidRPr="00CC4697">
        <w:rPr>
          <w:rFonts w:ascii="Times New Roman" w:hAnsi="Times New Roman" w:cs="Times New Roman"/>
          <w:sz w:val="24"/>
          <w:szCs w:val="24"/>
        </w:rPr>
        <w:t xml:space="preserve">os riscos associados a realização de atos </w:t>
      </w:r>
      <w:r w:rsidRPr="00CC4697">
        <w:rPr>
          <w:rFonts w:ascii="Times New Roman" w:hAnsi="Times New Roman" w:cs="Times New Roman"/>
          <w:sz w:val="24"/>
          <w:szCs w:val="24"/>
        </w:rPr>
        <w:lastRenderedPageBreak/>
        <w:t>ilícitos e que a grande maioria dos referidos indivíduos obteve algum sucesso no mercado do crime</w:t>
      </w:r>
      <w:r w:rsidR="00321777" w:rsidRPr="00CC4697">
        <w:rPr>
          <w:rFonts w:ascii="Times New Roman" w:hAnsi="Times New Roman" w:cs="Times New Roman"/>
          <w:sz w:val="24"/>
          <w:szCs w:val="24"/>
        </w:rPr>
        <w:t>.</w:t>
      </w:r>
      <w:r w:rsidRPr="00CC4697">
        <w:rPr>
          <w:rStyle w:val="Refdenotaderodap"/>
          <w:rFonts w:ascii="Times New Roman" w:hAnsi="Times New Roman" w:cs="Times New Roman"/>
          <w:sz w:val="24"/>
          <w:szCs w:val="24"/>
        </w:rPr>
        <w:footnoteReference w:id="6"/>
      </w:r>
      <w:r w:rsidR="00321777" w:rsidRPr="00CC4697">
        <w:rPr>
          <w:rFonts w:ascii="Times New Roman" w:hAnsi="Times New Roman" w:cs="Times New Roman"/>
          <w:sz w:val="24"/>
          <w:szCs w:val="24"/>
        </w:rPr>
        <w:t xml:space="preserve"> </w:t>
      </w:r>
      <w:r w:rsidRPr="00CC4697">
        <w:rPr>
          <w:rFonts w:ascii="Times New Roman" w:hAnsi="Times New Roman" w:cs="Times New Roman"/>
          <w:sz w:val="24"/>
          <w:szCs w:val="24"/>
        </w:rPr>
        <w:t xml:space="preserve">Logo, pode-se concluir das observações feitas por </w:t>
      </w:r>
      <w:proofErr w:type="spellStart"/>
      <w:r w:rsidRPr="00CC4697">
        <w:rPr>
          <w:rFonts w:ascii="Times New Roman" w:hAnsi="Times New Roman" w:cs="Times New Roman"/>
          <w:sz w:val="24"/>
          <w:szCs w:val="24"/>
        </w:rPr>
        <w:t>Shikida</w:t>
      </w:r>
      <w:proofErr w:type="spellEnd"/>
      <w:r w:rsidRPr="00CC4697">
        <w:rPr>
          <w:rFonts w:ascii="Times New Roman" w:hAnsi="Times New Roman" w:cs="Times New Roman"/>
          <w:sz w:val="24"/>
          <w:szCs w:val="24"/>
        </w:rPr>
        <w:t xml:space="preserve"> (2010), que infratores procuram conhecer os custos da realização de atos ilícitos e, portanto, que penas mais brandas tendem a funcionar como incentivo positivo para a atividade criminosa, uma vez que reduzem o risco associado a pratica de delitos.</w:t>
      </w:r>
    </w:p>
    <w:p w:rsidR="00304B9C" w:rsidRPr="00E436AF" w:rsidRDefault="00304B9C" w:rsidP="00610E2B">
      <w:pPr>
        <w:spacing w:line="240" w:lineRule="auto"/>
        <w:ind w:firstLine="708"/>
        <w:jc w:val="both"/>
        <w:rPr>
          <w:rFonts w:ascii="Times New Roman" w:hAnsi="Times New Roman" w:cs="Times New Roman"/>
          <w:sz w:val="24"/>
          <w:szCs w:val="24"/>
        </w:rPr>
      </w:pPr>
      <w:r w:rsidRPr="00CC4697">
        <w:rPr>
          <w:rFonts w:ascii="Times New Roman" w:hAnsi="Times New Roman" w:cs="Times New Roman"/>
          <w:sz w:val="24"/>
          <w:szCs w:val="24"/>
        </w:rPr>
        <w:t xml:space="preserve">O presente estudo procura complementar a análise empírica realizada em </w:t>
      </w:r>
      <w:proofErr w:type="spellStart"/>
      <w:r w:rsidRPr="00CC4697">
        <w:rPr>
          <w:rFonts w:ascii="Times New Roman" w:hAnsi="Times New Roman" w:cs="Times New Roman"/>
          <w:sz w:val="24"/>
          <w:szCs w:val="24"/>
        </w:rPr>
        <w:t>Shikida</w:t>
      </w:r>
      <w:proofErr w:type="spellEnd"/>
      <w:r w:rsidRPr="00CC4697">
        <w:rPr>
          <w:rFonts w:ascii="Times New Roman" w:hAnsi="Times New Roman" w:cs="Times New Roman"/>
          <w:sz w:val="24"/>
          <w:szCs w:val="24"/>
        </w:rPr>
        <w:t xml:space="preserve"> (2010),</w:t>
      </w:r>
      <w:r>
        <w:rPr>
          <w:rFonts w:ascii="Times New Roman" w:hAnsi="Times New Roman" w:cs="Times New Roman"/>
          <w:sz w:val="24"/>
          <w:szCs w:val="24"/>
        </w:rPr>
        <w:t xml:space="preserve"> de cunho estritamente qualitativo, ao fornecer resultados que também corroboram as hipóteses contidas em Becker (1968), porém, adotando uma estratégia de natureza quantitativa. Mais precisamente, e</w:t>
      </w:r>
      <w:r w:rsidRPr="00E436AF">
        <w:rPr>
          <w:rFonts w:ascii="Times New Roman" w:hAnsi="Times New Roman" w:cs="Times New Roman"/>
          <w:sz w:val="24"/>
          <w:szCs w:val="24"/>
        </w:rPr>
        <w:t xml:space="preserve">ste trabalho utiliza uma nova estratégia para estudar o efeito agregado, incluindo dissuasão e incapacitação, de um abrandamento no funcionamento da justiça brasileira, a implementação da lei </w:t>
      </w:r>
      <w:r>
        <w:rPr>
          <w:rFonts w:ascii="Times New Roman" w:hAnsi="Times New Roman" w:cs="Times New Roman"/>
          <w:sz w:val="24"/>
          <w:szCs w:val="24"/>
        </w:rPr>
        <w:t xml:space="preserve">nº </w:t>
      </w:r>
      <w:r w:rsidRPr="00E436AF">
        <w:rPr>
          <w:rFonts w:ascii="Times New Roman" w:hAnsi="Times New Roman" w:cs="Times New Roman"/>
          <w:sz w:val="24"/>
          <w:szCs w:val="24"/>
        </w:rPr>
        <w:t>12</w:t>
      </w:r>
      <w:r>
        <w:rPr>
          <w:rFonts w:ascii="Times New Roman" w:hAnsi="Times New Roman" w:cs="Times New Roman"/>
          <w:sz w:val="24"/>
          <w:szCs w:val="24"/>
        </w:rPr>
        <w:t>.</w:t>
      </w:r>
      <w:r w:rsidRPr="00E436AF">
        <w:rPr>
          <w:rFonts w:ascii="Times New Roman" w:hAnsi="Times New Roman" w:cs="Times New Roman"/>
          <w:sz w:val="24"/>
          <w:szCs w:val="24"/>
        </w:rPr>
        <w:t>403, sobre os crimes contra o patrimônio. A principal di</w:t>
      </w:r>
      <w:r>
        <w:rPr>
          <w:rFonts w:ascii="Times New Roman" w:hAnsi="Times New Roman" w:cs="Times New Roman"/>
          <w:sz w:val="24"/>
          <w:szCs w:val="24"/>
        </w:rPr>
        <w:t>fi</w:t>
      </w:r>
      <w:r w:rsidRPr="00E436AF">
        <w:rPr>
          <w:rFonts w:ascii="Times New Roman" w:hAnsi="Times New Roman" w:cs="Times New Roman"/>
          <w:sz w:val="24"/>
          <w:szCs w:val="24"/>
        </w:rPr>
        <w:t>culdade em medir o impacto da lei</w:t>
      </w:r>
      <w:r>
        <w:rPr>
          <w:rFonts w:ascii="Times New Roman" w:hAnsi="Times New Roman" w:cs="Times New Roman"/>
          <w:sz w:val="24"/>
          <w:szCs w:val="24"/>
        </w:rPr>
        <w:t xml:space="preserve"> nº</w:t>
      </w:r>
      <w:r w:rsidRPr="00E436AF">
        <w:rPr>
          <w:rFonts w:ascii="Times New Roman" w:hAnsi="Times New Roman" w:cs="Times New Roman"/>
          <w:sz w:val="24"/>
          <w:szCs w:val="24"/>
        </w:rPr>
        <w:t xml:space="preserve"> 12</w:t>
      </w:r>
      <w:r>
        <w:rPr>
          <w:rFonts w:ascii="Times New Roman" w:hAnsi="Times New Roman" w:cs="Times New Roman"/>
          <w:sz w:val="24"/>
          <w:szCs w:val="24"/>
        </w:rPr>
        <w:t>.</w:t>
      </w:r>
      <w:r w:rsidRPr="00E436AF">
        <w:rPr>
          <w:rFonts w:ascii="Times New Roman" w:hAnsi="Times New Roman" w:cs="Times New Roman"/>
          <w:sz w:val="24"/>
          <w:szCs w:val="24"/>
        </w:rPr>
        <w:t xml:space="preserve">403 sobre os roubos e furtos é a impossibilidade de controlar por variáveis não observáveis, cuja correlação com os crimes de interesse, tende a produzir estimativas </w:t>
      </w:r>
      <w:proofErr w:type="spellStart"/>
      <w:r w:rsidRPr="00E436AF">
        <w:rPr>
          <w:rFonts w:ascii="Times New Roman" w:hAnsi="Times New Roman" w:cs="Times New Roman"/>
          <w:sz w:val="24"/>
          <w:szCs w:val="24"/>
        </w:rPr>
        <w:t>viesadas</w:t>
      </w:r>
      <w:proofErr w:type="spellEnd"/>
      <w:r w:rsidRPr="00E436AF">
        <w:rPr>
          <w:rFonts w:ascii="Times New Roman" w:hAnsi="Times New Roman" w:cs="Times New Roman"/>
          <w:sz w:val="24"/>
          <w:szCs w:val="24"/>
        </w:rPr>
        <w:t>. Para lidar com esta di</w:t>
      </w:r>
      <w:r>
        <w:rPr>
          <w:rFonts w:ascii="Times New Roman" w:hAnsi="Times New Roman" w:cs="Times New Roman"/>
          <w:sz w:val="24"/>
          <w:szCs w:val="24"/>
        </w:rPr>
        <w:t>fi</w:t>
      </w:r>
      <w:r w:rsidRPr="00E436AF">
        <w:rPr>
          <w:rFonts w:ascii="Times New Roman" w:hAnsi="Times New Roman" w:cs="Times New Roman"/>
          <w:sz w:val="24"/>
          <w:szCs w:val="24"/>
        </w:rPr>
        <w:t>culdade utiliza-se o fato que a nova lei alterou o Código Penal (CP), que versa sobre o tratamento dado pela justiça aos maiores, mas não modi</w:t>
      </w:r>
      <w:r>
        <w:rPr>
          <w:rFonts w:ascii="Times New Roman" w:hAnsi="Times New Roman" w:cs="Times New Roman"/>
          <w:sz w:val="24"/>
          <w:szCs w:val="24"/>
        </w:rPr>
        <w:t>fi</w:t>
      </w:r>
      <w:r w:rsidRPr="00E436AF">
        <w:rPr>
          <w:rFonts w:ascii="Times New Roman" w:hAnsi="Times New Roman" w:cs="Times New Roman"/>
          <w:sz w:val="24"/>
          <w:szCs w:val="24"/>
        </w:rPr>
        <w:t>cou o Estatuto da Criança e do Adolescente (ECA), que trata dos menores. Portanto, os menores servem como grupo de controle, dado que não são afetados pela lei.</w:t>
      </w:r>
    </w:p>
    <w:p w:rsidR="00E436AF" w:rsidRPr="00E436AF" w:rsidRDefault="00E436AF" w:rsidP="00610E2B">
      <w:pPr>
        <w:spacing w:line="240" w:lineRule="auto"/>
        <w:ind w:firstLine="708"/>
        <w:jc w:val="both"/>
        <w:rPr>
          <w:rFonts w:ascii="Times New Roman" w:hAnsi="Times New Roman" w:cs="Times New Roman"/>
          <w:sz w:val="24"/>
          <w:szCs w:val="24"/>
        </w:rPr>
      </w:pPr>
      <w:r w:rsidRPr="00E436AF">
        <w:rPr>
          <w:rFonts w:ascii="Times New Roman" w:hAnsi="Times New Roman" w:cs="Times New Roman"/>
          <w:sz w:val="24"/>
          <w:szCs w:val="24"/>
        </w:rPr>
        <w:t>Os resultados indicam que a lei</w:t>
      </w:r>
      <w:r w:rsidR="00F971FF">
        <w:rPr>
          <w:rFonts w:ascii="Times New Roman" w:hAnsi="Times New Roman" w:cs="Times New Roman"/>
          <w:sz w:val="24"/>
          <w:szCs w:val="24"/>
        </w:rPr>
        <w:t xml:space="preserve"> nº</w:t>
      </w:r>
      <w:r w:rsidRPr="00E436AF">
        <w:rPr>
          <w:rFonts w:ascii="Times New Roman" w:hAnsi="Times New Roman" w:cs="Times New Roman"/>
          <w:sz w:val="24"/>
          <w:szCs w:val="24"/>
        </w:rPr>
        <w:t xml:space="preserve"> 12</w:t>
      </w:r>
      <w:r w:rsidR="00F971FF">
        <w:rPr>
          <w:rFonts w:ascii="Times New Roman" w:hAnsi="Times New Roman" w:cs="Times New Roman"/>
          <w:sz w:val="24"/>
          <w:szCs w:val="24"/>
        </w:rPr>
        <w:t>.</w:t>
      </w:r>
      <w:r w:rsidRPr="00E436AF">
        <w:rPr>
          <w:rFonts w:ascii="Times New Roman" w:hAnsi="Times New Roman" w:cs="Times New Roman"/>
          <w:sz w:val="24"/>
          <w:szCs w:val="24"/>
        </w:rPr>
        <w:t>403 aumenta a probabilidade de</w:t>
      </w:r>
      <w:r>
        <w:rPr>
          <w:rFonts w:ascii="Times New Roman" w:hAnsi="Times New Roman" w:cs="Times New Roman"/>
          <w:sz w:val="24"/>
          <w:szCs w:val="24"/>
        </w:rPr>
        <w:t xml:space="preserve"> ocorrência de furtos. A especifi</w:t>
      </w:r>
      <w:r w:rsidRPr="00E436AF">
        <w:rPr>
          <w:rFonts w:ascii="Times New Roman" w:hAnsi="Times New Roman" w:cs="Times New Roman"/>
          <w:sz w:val="24"/>
          <w:szCs w:val="24"/>
        </w:rPr>
        <w:t>cação preferida sugere um crescimento de 30% na chance de que criminosos pratiquem furtos. Interessantemente, observa-se que o aumento dos furtos não é imediato. O efeito aparece dois anos depois da implementação da lei e permanece elevado nos períodos subsequentes. Alternativamente, não é encontrado um impacto da lei sobre os roubos. Se existe um efeito da mudança na legislação sobre a chance de ocorrência de roubos ele é pequeno e concentrado no segundo ano depois que a lei entrou em vigor. Portanto, os principais resultados corroboram a expectativa inicial. A lei tem efeito maior sobre furtos do que roubos. Além disso, o impacto da lei, quando existente, é defasado.</w:t>
      </w:r>
    </w:p>
    <w:p w:rsidR="00E436AF" w:rsidRDefault="00E436AF" w:rsidP="00610E2B">
      <w:pPr>
        <w:spacing w:line="240" w:lineRule="auto"/>
        <w:ind w:firstLine="708"/>
        <w:jc w:val="both"/>
        <w:rPr>
          <w:rFonts w:ascii="Times New Roman" w:hAnsi="Times New Roman" w:cs="Times New Roman"/>
          <w:sz w:val="24"/>
          <w:szCs w:val="24"/>
        </w:rPr>
      </w:pPr>
      <w:r w:rsidRPr="00E436AF">
        <w:rPr>
          <w:rFonts w:ascii="Times New Roman" w:hAnsi="Times New Roman" w:cs="Times New Roman"/>
          <w:sz w:val="24"/>
          <w:szCs w:val="24"/>
        </w:rPr>
        <w:t xml:space="preserve">A segunda seção descreve a metodologia utilizada neste trabalho para estimar o efeito da lei </w:t>
      </w:r>
      <w:r>
        <w:rPr>
          <w:rFonts w:ascii="Times New Roman" w:hAnsi="Times New Roman" w:cs="Times New Roman"/>
          <w:sz w:val="24"/>
          <w:szCs w:val="24"/>
        </w:rPr>
        <w:t xml:space="preserve">nº </w:t>
      </w:r>
      <w:r w:rsidRPr="00E436AF">
        <w:rPr>
          <w:rFonts w:ascii="Times New Roman" w:hAnsi="Times New Roman" w:cs="Times New Roman"/>
          <w:sz w:val="24"/>
          <w:szCs w:val="24"/>
        </w:rPr>
        <w:t>12</w:t>
      </w:r>
      <w:r>
        <w:rPr>
          <w:rFonts w:ascii="Times New Roman" w:hAnsi="Times New Roman" w:cs="Times New Roman"/>
          <w:sz w:val="24"/>
          <w:szCs w:val="24"/>
        </w:rPr>
        <w:t>.</w:t>
      </w:r>
      <w:r w:rsidRPr="00E436AF">
        <w:rPr>
          <w:rFonts w:ascii="Times New Roman" w:hAnsi="Times New Roman" w:cs="Times New Roman"/>
          <w:sz w:val="24"/>
          <w:szCs w:val="24"/>
        </w:rPr>
        <w:t>403 sobre os crimes contra o patrimônio. A terceira apresenta os dados. A quarta fornece os principais resultados e a quinta contém uma breve conclusão.</w:t>
      </w:r>
    </w:p>
    <w:p w:rsidR="00E436AF" w:rsidRPr="00E436AF" w:rsidRDefault="00E436AF" w:rsidP="007778FE">
      <w:pPr>
        <w:spacing w:before="240" w:line="360" w:lineRule="auto"/>
        <w:ind w:firstLine="708"/>
        <w:jc w:val="both"/>
        <w:rPr>
          <w:rFonts w:ascii="Times New Roman" w:hAnsi="Times New Roman" w:cs="Times New Roman"/>
          <w:b/>
          <w:sz w:val="24"/>
          <w:szCs w:val="24"/>
        </w:rPr>
      </w:pPr>
      <w:r w:rsidRPr="00E436AF">
        <w:rPr>
          <w:rFonts w:ascii="Times New Roman" w:hAnsi="Times New Roman" w:cs="Times New Roman"/>
          <w:b/>
          <w:sz w:val="24"/>
          <w:szCs w:val="24"/>
        </w:rPr>
        <w:t>2. Metodologia</w:t>
      </w:r>
    </w:p>
    <w:p w:rsidR="00E436AF" w:rsidRDefault="00E436AF" w:rsidP="00610E2B">
      <w:pPr>
        <w:spacing w:line="240" w:lineRule="auto"/>
        <w:ind w:firstLine="708"/>
        <w:jc w:val="both"/>
        <w:rPr>
          <w:rFonts w:ascii="Times New Roman" w:hAnsi="Times New Roman" w:cs="Times New Roman"/>
          <w:sz w:val="24"/>
          <w:szCs w:val="24"/>
        </w:rPr>
      </w:pPr>
      <w:r w:rsidRPr="00E436AF">
        <w:rPr>
          <w:rFonts w:ascii="Times New Roman" w:hAnsi="Times New Roman" w:cs="Times New Roman"/>
          <w:sz w:val="24"/>
          <w:szCs w:val="24"/>
        </w:rPr>
        <w:t>A principal di</w:t>
      </w:r>
      <w:r>
        <w:rPr>
          <w:rFonts w:ascii="Times New Roman" w:hAnsi="Times New Roman" w:cs="Times New Roman"/>
          <w:sz w:val="24"/>
          <w:szCs w:val="24"/>
        </w:rPr>
        <w:t>fi</w:t>
      </w:r>
      <w:r w:rsidRPr="00E436AF">
        <w:rPr>
          <w:rFonts w:ascii="Times New Roman" w:hAnsi="Times New Roman" w:cs="Times New Roman"/>
          <w:sz w:val="24"/>
          <w:szCs w:val="24"/>
        </w:rPr>
        <w:t xml:space="preserve">culdade em medir o impacto da lei </w:t>
      </w:r>
      <w:r w:rsidR="004F5590">
        <w:rPr>
          <w:rFonts w:ascii="Times New Roman" w:hAnsi="Times New Roman" w:cs="Times New Roman"/>
          <w:sz w:val="24"/>
          <w:szCs w:val="24"/>
        </w:rPr>
        <w:t xml:space="preserve">nº </w:t>
      </w:r>
      <w:r w:rsidRPr="00E436AF">
        <w:rPr>
          <w:rFonts w:ascii="Times New Roman" w:hAnsi="Times New Roman" w:cs="Times New Roman"/>
          <w:sz w:val="24"/>
          <w:szCs w:val="24"/>
        </w:rPr>
        <w:t>12</w:t>
      </w:r>
      <w:r w:rsidR="004F5590">
        <w:rPr>
          <w:rFonts w:ascii="Times New Roman" w:hAnsi="Times New Roman" w:cs="Times New Roman"/>
          <w:sz w:val="24"/>
          <w:szCs w:val="24"/>
        </w:rPr>
        <w:t>.</w:t>
      </w:r>
      <w:r w:rsidRPr="00E436AF">
        <w:rPr>
          <w:rFonts w:ascii="Times New Roman" w:hAnsi="Times New Roman" w:cs="Times New Roman"/>
          <w:sz w:val="24"/>
          <w:szCs w:val="24"/>
        </w:rPr>
        <w:t>403 sobre os roubos e furtos é que estas variáveis podem ser afetadas pelas inúmeras outras políticas que têm sido implementadas, pelo Governo do Estado do Rio de Janeiro, simultaneamente (e posteriormente) à mudança da legislação. Por exemplo, as Unidades de Polícia Paci</w:t>
      </w:r>
      <w:r>
        <w:rPr>
          <w:rFonts w:ascii="Times New Roman" w:hAnsi="Times New Roman" w:cs="Times New Roman"/>
          <w:sz w:val="24"/>
          <w:szCs w:val="24"/>
        </w:rPr>
        <w:t>fi</w:t>
      </w:r>
      <w:r w:rsidRPr="00E436AF">
        <w:rPr>
          <w:rFonts w:ascii="Times New Roman" w:hAnsi="Times New Roman" w:cs="Times New Roman"/>
          <w:sz w:val="24"/>
          <w:szCs w:val="24"/>
        </w:rPr>
        <w:t>cadora (UPP) podem reduzir os incentivos à realização de roubos e furtos ao diminuir as opções de rotas de fuga, e de esconderijos, para criminosos que venham a praticar estes delitos. A estratégia de identi</w:t>
      </w:r>
      <w:r>
        <w:rPr>
          <w:rFonts w:ascii="Times New Roman" w:hAnsi="Times New Roman" w:cs="Times New Roman"/>
          <w:sz w:val="24"/>
          <w:szCs w:val="24"/>
        </w:rPr>
        <w:t>fi</w:t>
      </w:r>
      <w:r w:rsidRPr="00E436AF">
        <w:rPr>
          <w:rFonts w:ascii="Times New Roman" w:hAnsi="Times New Roman" w:cs="Times New Roman"/>
          <w:sz w:val="24"/>
          <w:szCs w:val="24"/>
        </w:rPr>
        <w:t>cação deste trabalho utiliza o fato de que a mudança na legislação não alterou o tratamento conferido aos menores. Desta maneira, os indivíduos com 17 anos ou menos podem ser utilizados como grupo de controle para aqueles com 18 anos ou mais.</w:t>
      </w:r>
    </w:p>
    <w:p w:rsidR="009F40E6" w:rsidRPr="009F40E6" w:rsidRDefault="009F40E6" w:rsidP="00610E2B">
      <w:pPr>
        <w:spacing w:line="240" w:lineRule="auto"/>
        <w:ind w:firstLine="708"/>
        <w:jc w:val="both"/>
        <w:rPr>
          <w:rFonts w:ascii="Times New Roman" w:hAnsi="Times New Roman" w:cs="Times New Roman"/>
          <w:color w:val="000000"/>
          <w:sz w:val="24"/>
          <w:szCs w:val="24"/>
          <w:shd w:val="clear" w:color="auto" w:fill="FFFFFF"/>
        </w:rPr>
      </w:pPr>
      <w:r w:rsidRPr="009F40E6">
        <w:rPr>
          <w:rFonts w:ascii="Times New Roman" w:hAnsi="Times New Roman" w:cs="Times New Roman"/>
          <w:color w:val="000000"/>
          <w:sz w:val="24"/>
          <w:szCs w:val="24"/>
          <w:shd w:val="clear" w:color="auto" w:fill="FFFFFF"/>
        </w:rPr>
        <w:t xml:space="preserve">Em geral, maiores são bastante diferentes de menores. No entanto, um grupo de controle de qualidade deve ser semelhante ao grupo de tratamento. Uma forma de garantir conjuntos mais semelhantes de maiores e menores é considerar uma janela ao redor da maioridade. Por um lado, esta propriedade, que garante maior semelhança entre indivíduos de faixas etárias parecidas, sugeriria que a melhor amostra possível, no presente estudo, seria aquela restrita a uma janela de apenas 1 ano ao redor da maioridade, visto que permitiria comparar dois grupos bastante similares, sendo o primeiro formado por pessoas com 17 anos de idade e o segundo </w:t>
      </w:r>
      <w:r>
        <w:rPr>
          <w:rFonts w:ascii="Times New Roman" w:hAnsi="Times New Roman" w:cs="Times New Roman"/>
          <w:color w:val="000000"/>
          <w:sz w:val="24"/>
          <w:szCs w:val="24"/>
          <w:shd w:val="clear" w:color="auto" w:fill="FFFFFF"/>
        </w:rPr>
        <w:t>composto por agentes de 18 anos</w:t>
      </w:r>
      <w:r w:rsidRPr="009F40E6">
        <w:rPr>
          <w:rFonts w:ascii="Times New Roman" w:hAnsi="Times New Roman" w:cs="Times New Roman"/>
          <w:color w:val="000000"/>
          <w:sz w:val="24"/>
          <w:szCs w:val="24"/>
          <w:shd w:val="clear" w:color="auto" w:fill="FFFFFF"/>
        </w:rPr>
        <w:t>.</w:t>
      </w:r>
    </w:p>
    <w:p w:rsidR="009F40E6" w:rsidRPr="009F40E6" w:rsidRDefault="009F40E6" w:rsidP="00610E2B">
      <w:pPr>
        <w:spacing w:line="240" w:lineRule="auto"/>
        <w:ind w:firstLine="708"/>
        <w:jc w:val="both"/>
        <w:rPr>
          <w:rFonts w:ascii="Times New Roman" w:hAnsi="Times New Roman" w:cs="Times New Roman"/>
          <w:color w:val="000000"/>
          <w:sz w:val="24"/>
          <w:szCs w:val="24"/>
          <w:shd w:val="clear" w:color="auto" w:fill="FFFFFF"/>
        </w:rPr>
      </w:pPr>
      <w:r w:rsidRPr="009F40E6">
        <w:rPr>
          <w:rFonts w:ascii="Times New Roman" w:hAnsi="Times New Roman" w:cs="Times New Roman"/>
          <w:color w:val="000000"/>
          <w:sz w:val="24"/>
          <w:szCs w:val="24"/>
          <w:shd w:val="clear" w:color="auto" w:fill="FFFFFF"/>
        </w:rPr>
        <w:t xml:space="preserve">Por outro lado, existe erro de medida na variável de idade utilizada no presente estudo. Sucintamente, pode-se dizer que a variável de idade contida nos dados desta pesquisa contém erro de </w:t>
      </w:r>
      <w:r w:rsidRPr="009F40E6">
        <w:rPr>
          <w:rFonts w:ascii="Times New Roman" w:hAnsi="Times New Roman" w:cs="Times New Roman"/>
          <w:color w:val="000000"/>
          <w:sz w:val="24"/>
          <w:szCs w:val="24"/>
          <w:shd w:val="clear" w:color="auto" w:fill="FFFFFF"/>
        </w:rPr>
        <w:lastRenderedPageBreak/>
        <w:t xml:space="preserve">medida, visto que é, em muitos casos, reportada pela vítima do crime, sendo comum, portanto, nestas situações que a pessoa prejudicada pela transgressão forneça uma estimativa do tempo de vida do autor do delito. Normalmente, estas estimativas da faixa-etária do autor, por parte da vítima, tendem a ocorrer nos casos em que a pessoa que perpetrou o delito não chega a ser levada para a delegacia. A título de ilustração vale ressaltar que existe um número potencialmente elevado de casos em que a vítima teve que realizar uma estimativa da idade do seu transgressor, dado que pelo menos 775.243 autores de crime contidos na base utilizada no presente estudo, cerca de 45% do total, não chegaram a </w:t>
      </w:r>
      <w:r>
        <w:rPr>
          <w:rFonts w:ascii="Times New Roman" w:hAnsi="Times New Roman" w:cs="Times New Roman"/>
          <w:color w:val="000000"/>
          <w:sz w:val="24"/>
          <w:szCs w:val="24"/>
          <w:shd w:val="clear" w:color="auto" w:fill="FFFFFF"/>
        </w:rPr>
        <w:t>ser conduzidos para a delegacia</w:t>
      </w:r>
      <w:r w:rsidRPr="009F40E6">
        <w:rPr>
          <w:rFonts w:ascii="Times New Roman" w:hAnsi="Times New Roman" w:cs="Times New Roman"/>
          <w:color w:val="000000"/>
          <w:sz w:val="24"/>
          <w:szCs w:val="24"/>
          <w:shd w:val="clear" w:color="auto" w:fill="FFFFFF"/>
        </w:rPr>
        <w:t>.</w:t>
      </w:r>
    </w:p>
    <w:p w:rsidR="009F40E6" w:rsidRPr="009F40E6" w:rsidRDefault="009F40E6" w:rsidP="00610E2B">
      <w:pPr>
        <w:spacing w:line="240" w:lineRule="auto"/>
        <w:ind w:firstLine="708"/>
        <w:jc w:val="both"/>
        <w:rPr>
          <w:rFonts w:ascii="Times New Roman" w:hAnsi="Times New Roman" w:cs="Times New Roman"/>
          <w:color w:val="000000"/>
          <w:sz w:val="24"/>
          <w:szCs w:val="24"/>
          <w:shd w:val="clear" w:color="auto" w:fill="FFFFFF"/>
        </w:rPr>
      </w:pPr>
      <w:r w:rsidRPr="009F40E6">
        <w:rPr>
          <w:rFonts w:ascii="Times New Roman" w:hAnsi="Times New Roman" w:cs="Times New Roman"/>
          <w:color w:val="000000"/>
          <w:sz w:val="24"/>
          <w:szCs w:val="24"/>
          <w:shd w:val="clear" w:color="auto" w:fill="FFFFFF"/>
        </w:rPr>
        <w:t>A presença de erro de medida na variável de idade “contamina” de forma mais intensa justamente comparações realizadas considerando janelas mais estreitas ao redor da maioridade. Esta observação decorre do fato que é mais provável que uma vítima atribua erroneamente uma idade de 18 anos a um indivíduo que na verdade possui 17 anos do que a um cidadão que na realidade tenha 15 anos. Ou seja, dado que as vítimas reportam a idade aproximada dos indivíduos que não foram presos, a chance de criminosos que pertençam ao grupo de controle (tratamento) serem alocados ao grupo de tratamento (controle) aumenta em janelas mais reduzidas ao redor da maioridade. Consequentemente, a presença de erro de medida motiva a utilização de grupos de comparação que considerem janelas um pouco mai</w:t>
      </w:r>
      <w:r>
        <w:rPr>
          <w:rFonts w:ascii="Times New Roman" w:hAnsi="Times New Roman" w:cs="Times New Roman"/>
          <w:color w:val="000000"/>
          <w:sz w:val="24"/>
          <w:szCs w:val="24"/>
          <w:shd w:val="clear" w:color="auto" w:fill="FFFFFF"/>
        </w:rPr>
        <w:t>s amplas ao redor da maioridade</w:t>
      </w:r>
      <w:r w:rsidRPr="009F40E6">
        <w:rPr>
          <w:rFonts w:ascii="Times New Roman" w:hAnsi="Times New Roman" w:cs="Times New Roman"/>
          <w:color w:val="000000"/>
          <w:sz w:val="24"/>
          <w:szCs w:val="24"/>
          <w:shd w:val="clear" w:color="auto" w:fill="FFFFFF"/>
        </w:rPr>
        <w:t>.</w:t>
      </w:r>
    </w:p>
    <w:p w:rsidR="00E436AF" w:rsidRDefault="009F40E6" w:rsidP="00610E2B">
      <w:pPr>
        <w:spacing w:line="240" w:lineRule="auto"/>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9F40E6">
        <w:rPr>
          <w:rFonts w:ascii="Times New Roman" w:hAnsi="Times New Roman" w:cs="Times New Roman"/>
          <w:color w:val="000000"/>
          <w:sz w:val="24"/>
          <w:szCs w:val="24"/>
          <w:shd w:val="clear" w:color="auto" w:fill="FFFFFF"/>
        </w:rPr>
        <w:t xml:space="preserve">Por isso, para comparar indivíduos relativamente semelhantes, e ainda reduzir os potenciais efeitos deletérios dos erros de medida, define-se a amostra preferida como aquela construída a partir de uma janela de três anos ao redor da maioridade, contrastando grupos de indivíduos de 15 a 17 anos (menores) com 18 a 20 anos (maiores). É importante mencionar que em alguns casos utiliza-se o termo </w:t>
      </w:r>
      <w:r>
        <w:rPr>
          <w:rFonts w:ascii="Times New Roman" w:hAnsi="Times New Roman" w:cs="Times New Roman"/>
          <w:color w:val="000000"/>
          <w:sz w:val="24"/>
          <w:szCs w:val="24"/>
          <w:shd w:val="clear" w:color="auto" w:fill="FFFFFF"/>
        </w:rPr>
        <w:t>“comparação preferida”</w:t>
      </w:r>
      <w:r w:rsidRPr="009F40E6">
        <w:rPr>
          <w:rFonts w:ascii="Times New Roman" w:hAnsi="Times New Roman" w:cs="Times New Roman"/>
          <w:color w:val="000000"/>
          <w:sz w:val="24"/>
          <w:szCs w:val="24"/>
          <w:shd w:val="clear" w:color="auto" w:fill="FFFFFF"/>
        </w:rPr>
        <w:t xml:space="preserve"> em substituição a </w:t>
      </w:r>
      <w:r>
        <w:rPr>
          <w:rFonts w:ascii="Times New Roman" w:hAnsi="Times New Roman" w:cs="Times New Roman"/>
          <w:color w:val="000000"/>
          <w:sz w:val="24"/>
          <w:szCs w:val="24"/>
          <w:shd w:val="clear" w:color="auto" w:fill="FFFFFF"/>
        </w:rPr>
        <w:t>expressão “amostra preferida”.</w:t>
      </w:r>
    </w:p>
    <w:p w:rsidR="00E436AF" w:rsidRDefault="00E436AF" w:rsidP="007778FE">
      <w:pPr>
        <w:spacing w:before="240" w:line="360" w:lineRule="auto"/>
        <w:ind w:firstLine="708"/>
        <w:jc w:val="both"/>
        <w:rPr>
          <w:rFonts w:ascii="Times New Roman" w:hAnsi="Times New Roman" w:cs="Times New Roman"/>
          <w:b/>
          <w:sz w:val="24"/>
          <w:szCs w:val="24"/>
        </w:rPr>
      </w:pPr>
      <w:r w:rsidRPr="00E436AF">
        <w:rPr>
          <w:rFonts w:ascii="Times New Roman" w:hAnsi="Times New Roman" w:cs="Times New Roman"/>
          <w:b/>
          <w:sz w:val="24"/>
          <w:szCs w:val="24"/>
        </w:rPr>
        <w:t>3. Dados</w:t>
      </w:r>
    </w:p>
    <w:p w:rsidR="0068640F" w:rsidRDefault="00E436AF" w:rsidP="00610E2B">
      <w:pPr>
        <w:spacing w:line="240" w:lineRule="auto"/>
        <w:ind w:firstLine="708"/>
        <w:jc w:val="both"/>
        <w:rPr>
          <w:rFonts w:ascii="Times New Roman" w:hAnsi="Times New Roman" w:cs="Times New Roman"/>
          <w:sz w:val="24"/>
          <w:szCs w:val="24"/>
        </w:rPr>
      </w:pPr>
      <w:r w:rsidRPr="00E436AF">
        <w:rPr>
          <w:rFonts w:ascii="Times New Roman" w:hAnsi="Times New Roman" w:cs="Times New Roman"/>
          <w:sz w:val="24"/>
          <w:szCs w:val="24"/>
        </w:rPr>
        <w:t xml:space="preserve">Este trabalho utiliza duas bases de dados distintas. A primeira baseia-se nos registros de ocorrência da Polícia Civil do Estado do Rio de Janeiro (PCERJ), fornecidos pelo Departamento Geral de Tecnologia da Informação e Telecomunicações da Polícia Civil (DGTIT/PCERJ) e divulgados pelo Instituto de Segurança Pública (ISP). </w:t>
      </w:r>
      <w:r w:rsidR="0068640F">
        <w:rPr>
          <w:rFonts w:ascii="Times New Roman" w:hAnsi="Times New Roman" w:cs="Times New Roman"/>
          <w:sz w:val="24"/>
          <w:szCs w:val="24"/>
        </w:rPr>
        <w:t xml:space="preserve">Para construir esta primeira base de </w:t>
      </w:r>
      <w:r w:rsidR="009E434D">
        <w:rPr>
          <w:rFonts w:ascii="Times New Roman" w:hAnsi="Times New Roman" w:cs="Times New Roman"/>
          <w:sz w:val="24"/>
          <w:szCs w:val="24"/>
        </w:rPr>
        <w:t>informações</w:t>
      </w:r>
      <w:r w:rsidR="0068640F">
        <w:rPr>
          <w:rFonts w:ascii="Times New Roman" w:hAnsi="Times New Roman" w:cs="Times New Roman"/>
          <w:sz w:val="24"/>
          <w:szCs w:val="24"/>
        </w:rPr>
        <w:t xml:space="preserve"> parte-se dos </w:t>
      </w:r>
      <w:proofErr w:type="spellStart"/>
      <w:r w:rsidR="0068640F">
        <w:rPr>
          <w:rFonts w:ascii="Times New Roman" w:hAnsi="Times New Roman" w:cs="Times New Roman"/>
          <w:sz w:val="24"/>
          <w:szCs w:val="24"/>
        </w:rPr>
        <w:t>mic</w:t>
      </w:r>
      <w:r w:rsidR="0068640F" w:rsidRPr="007C0AF9">
        <w:rPr>
          <w:rFonts w:ascii="Times New Roman" w:hAnsi="Times New Roman" w:cs="Times New Roman"/>
          <w:sz w:val="24"/>
          <w:szCs w:val="24"/>
        </w:rPr>
        <w:t>rodados</w:t>
      </w:r>
      <w:proofErr w:type="spellEnd"/>
      <w:r w:rsidR="0068640F" w:rsidRPr="007C0AF9">
        <w:rPr>
          <w:rFonts w:ascii="Times New Roman" w:hAnsi="Times New Roman" w:cs="Times New Roman"/>
          <w:sz w:val="24"/>
          <w:szCs w:val="24"/>
        </w:rPr>
        <w:t xml:space="preserve"> de janeiro de 2005 a dezembro de 2014. Limita-s</w:t>
      </w:r>
      <w:r w:rsidR="009E434D">
        <w:rPr>
          <w:rFonts w:ascii="Times New Roman" w:hAnsi="Times New Roman" w:cs="Times New Roman"/>
          <w:sz w:val="24"/>
          <w:szCs w:val="24"/>
        </w:rPr>
        <w:t>e a amostra apenas para autores. Desta forma, e</w:t>
      </w:r>
      <w:r w:rsidR="0068640F" w:rsidRPr="007C0AF9">
        <w:rPr>
          <w:rFonts w:ascii="Times New Roman" w:hAnsi="Times New Roman" w:cs="Times New Roman"/>
          <w:sz w:val="24"/>
          <w:szCs w:val="24"/>
        </w:rPr>
        <w:t xml:space="preserve">limina-se as vítimas, </w:t>
      </w:r>
      <w:r w:rsidR="009E434D">
        <w:rPr>
          <w:rFonts w:ascii="Times New Roman" w:hAnsi="Times New Roman" w:cs="Times New Roman"/>
          <w:sz w:val="24"/>
          <w:szCs w:val="24"/>
        </w:rPr>
        <w:t xml:space="preserve">as </w:t>
      </w:r>
      <w:r w:rsidR="0068640F" w:rsidRPr="007C0AF9">
        <w:rPr>
          <w:rFonts w:ascii="Times New Roman" w:hAnsi="Times New Roman" w:cs="Times New Roman"/>
          <w:sz w:val="24"/>
          <w:szCs w:val="24"/>
        </w:rPr>
        <w:t>testemunhas, etc. Sobrevive a este corte 37% da amostra inicial. Dado que a estratégia empírica deste trabalho se baseia na comparação entre maiores e menores são mantidos apenas indivíduos para os quais existe informação acerca da data de nascimento. Este corte resulta em uma amostra que representa 13% do número inicial de observações. Finalmente, são mantidos apenas os crimes publicados o</w:t>
      </w:r>
      <w:r w:rsidR="0068640F">
        <w:rPr>
          <w:rFonts w:ascii="Times New Roman" w:hAnsi="Times New Roman" w:cs="Times New Roman"/>
          <w:sz w:val="24"/>
          <w:szCs w:val="24"/>
        </w:rPr>
        <w:t xml:space="preserve">ficialmente pelo ISP. </w:t>
      </w:r>
      <w:r w:rsidR="0068640F" w:rsidRPr="007C0AF9">
        <w:rPr>
          <w:rFonts w:ascii="Times New Roman" w:hAnsi="Times New Roman" w:cs="Times New Roman"/>
          <w:sz w:val="24"/>
          <w:szCs w:val="24"/>
        </w:rPr>
        <w:t>O tratamento destes delitos é feito periodicamente</w:t>
      </w:r>
      <w:r w:rsidR="009E434D">
        <w:rPr>
          <w:rFonts w:ascii="Times New Roman" w:hAnsi="Times New Roman" w:cs="Times New Roman"/>
          <w:sz w:val="24"/>
          <w:szCs w:val="24"/>
        </w:rPr>
        <w:t xml:space="preserve"> pela referida instituição (</w:t>
      </w:r>
      <w:r w:rsidR="0068640F">
        <w:rPr>
          <w:rFonts w:ascii="Times New Roman" w:hAnsi="Times New Roman" w:cs="Times New Roman"/>
          <w:sz w:val="24"/>
          <w:szCs w:val="24"/>
        </w:rPr>
        <w:t>ISP</w:t>
      </w:r>
      <w:r w:rsidR="009E434D">
        <w:rPr>
          <w:rFonts w:ascii="Times New Roman" w:hAnsi="Times New Roman" w:cs="Times New Roman"/>
          <w:sz w:val="24"/>
          <w:szCs w:val="24"/>
        </w:rPr>
        <w:t>)</w:t>
      </w:r>
      <w:r w:rsidR="0068640F">
        <w:rPr>
          <w:rFonts w:ascii="Times New Roman" w:hAnsi="Times New Roman" w:cs="Times New Roman"/>
          <w:sz w:val="24"/>
          <w:szCs w:val="24"/>
        </w:rPr>
        <w:t xml:space="preserve"> e, portanto, consiste</w:t>
      </w:r>
      <w:r w:rsidR="0068640F" w:rsidRPr="007C0AF9">
        <w:rPr>
          <w:rFonts w:ascii="Times New Roman" w:hAnsi="Times New Roman" w:cs="Times New Roman"/>
          <w:sz w:val="24"/>
          <w:szCs w:val="24"/>
        </w:rPr>
        <w:t xml:space="preserve"> de dados de maior qualidade. Assim, chega-se a uma base de </w:t>
      </w:r>
      <w:r w:rsidR="009E434D">
        <w:rPr>
          <w:rFonts w:ascii="Times New Roman" w:hAnsi="Times New Roman" w:cs="Times New Roman"/>
          <w:sz w:val="24"/>
          <w:szCs w:val="24"/>
        </w:rPr>
        <w:t>informações</w:t>
      </w:r>
      <w:r w:rsidR="0068640F" w:rsidRPr="007C0AF9">
        <w:rPr>
          <w:rFonts w:ascii="Times New Roman" w:hAnsi="Times New Roman" w:cs="Times New Roman"/>
          <w:sz w:val="24"/>
          <w:szCs w:val="24"/>
        </w:rPr>
        <w:t xml:space="preserve"> contendo aproximadamente 8% da amostra inicial de todos os crimes registrados entre janeiro de 2005 e dezembro de 2014</w:t>
      </w:r>
      <w:r w:rsidR="00321777">
        <w:rPr>
          <w:rFonts w:ascii="Times New Roman" w:hAnsi="Times New Roman" w:cs="Times New Roman"/>
          <w:sz w:val="24"/>
          <w:szCs w:val="24"/>
        </w:rPr>
        <w:t>.</w:t>
      </w:r>
      <w:r w:rsidR="0068640F">
        <w:rPr>
          <w:rStyle w:val="Refdenotaderodap"/>
          <w:rFonts w:ascii="Times New Roman" w:hAnsi="Times New Roman" w:cs="Times New Roman"/>
          <w:sz w:val="24"/>
          <w:szCs w:val="24"/>
        </w:rPr>
        <w:footnoteReference w:id="7"/>
      </w:r>
    </w:p>
    <w:p w:rsidR="0010305F" w:rsidRPr="00BD3CDD" w:rsidRDefault="00E436AF" w:rsidP="00610E2B">
      <w:pPr>
        <w:spacing w:line="240" w:lineRule="auto"/>
        <w:ind w:firstLine="708"/>
        <w:jc w:val="both"/>
        <w:rPr>
          <w:rFonts w:ascii="Times New Roman" w:eastAsia="Times New Roman" w:hAnsi="Times New Roman" w:cs="Times New Roman"/>
          <w:color w:val="000000"/>
          <w:sz w:val="24"/>
          <w:szCs w:val="24"/>
          <w:lang w:eastAsia="pt-BR"/>
        </w:rPr>
      </w:pPr>
      <w:r w:rsidRPr="009E434D">
        <w:rPr>
          <w:rFonts w:ascii="Times New Roman" w:hAnsi="Times New Roman" w:cs="Times New Roman"/>
          <w:sz w:val="24"/>
          <w:szCs w:val="24"/>
        </w:rPr>
        <w:t xml:space="preserve">A amostra </w:t>
      </w:r>
      <w:r w:rsidR="001826E3" w:rsidRPr="009E434D">
        <w:rPr>
          <w:rFonts w:ascii="Times New Roman" w:hAnsi="Times New Roman" w:cs="Times New Roman"/>
          <w:sz w:val="24"/>
          <w:szCs w:val="24"/>
        </w:rPr>
        <w:t>resultante</w:t>
      </w:r>
      <w:r w:rsidR="0068640F" w:rsidRPr="009E434D">
        <w:rPr>
          <w:rFonts w:ascii="Times New Roman" w:hAnsi="Times New Roman" w:cs="Times New Roman"/>
          <w:sz w:val="24"/>
          <w:szCs w:val="24"/>
        </w:rPr>
        <w:t xml:space="preserve"> do processo descrito acima </w:t>
      </w:r>
      <w:r w:rsidRPr="009E434D">
        <w:rPr>
          <w:rFonts w:ascii="Times New Roman" w:hAnsi="Times New Roman" w:cs="Times New Roman"/>
          <w:sz w:val="24"/>
          <w:szCs w:val="24"/>
        </w:rPr>
        <w:t xml:space="preserve">contém todos os autores de crimes ocorridos </w:t>
      </w:r>
      <w:r w:rsidR="0068640F" w:rsidRPr="009E434D">
        <w:rPr>
          <w:rFonts w:ascii="Times New Roman" w:hAnsi="Times New Roman" w:cs="Times New Roman"/>
          <w:sz w:val="24"/>
          <w:szCs w:val="24"/>
        </w:rPr>
        <w:t>no per</w:t>
      </w:r>
      <w:r w:rsidR="00F77AD5" w:rsidRPr="009E434D">
        <w:rPr>
          <w:rFonts w:ascii="Times New Roman" w:hAnsi="Times New Roman" w:cs="Times New Roman"/>
          <w:sz w:val="24"/>
          <w:szCs w:val="24"/>
        </w:rPr>
        <w:t xml:space="preserve">íodo </w:t>
      </w:r>
      <w:r w:rsidR="009E434D">
        <w:rPr>
          <w:rFonts w:ascii="Times New Roman" w:hAnsi="Times New Roman" w:cs="Times New Roman"/>
          <w:sz w:val="24"/>
          <w:szCs w:val="24"/>
        </w:rPr>
        <w:t>que se pretende analisar (de</w:t>
      </w:r>
      <w:r w:rsidR="00F77AD5" w:rsidRPr="009E434D">
        <w:rPr>
          <w:rFonts w:ascii="Times New Roman" w:hAnsi="Times New Roman" w:cs="Times New Roman"/>
          <w:sz w:val="24"/>
          <w:szCs w:val="24"/>
        </w:rPr>
        <w:t xml:space="preserve"> </w:t>
      </w:r>
      <w:r w:rsidRPr="009E434D">
        <w:rPr>
          <w:rFonts w:ascii="Times New Roman" w:hAnsi="Times New Roman" w:cs="Times New Roman"/>
          <w:sz w:val="24"/>
          <w:szCs w:val="24"/>
        </w:rPr>
        <w:t xml:space="preserve">janeiro de 2005 </w:t>
      </w:r>
      <w:r w:rsidR="009E434D">
        <w:rPr>
          <w:rFonts w:ascii="Times New Roman" w:hAnsi="Times New Roman" w:cs="Times New Roman"/>
          <w:sz w:val="24"/>
          <w:szCs w:val="24"/>
        </w:rPr>
        <w:t>a</w:t>
      </w:r>
      <w:r w:rsidRPr="009E434D">
        <w:rPr>
          <w:rFonts w:ascii="Times New Roman" w:hAnsi="Times New Roman" w:cs="Times New Roman"/>
          <w:sz w:val="24"/>
          <w:szCs w:val="24"/>
        </w:rPr>
        <w:t xml:space="preserve"> dezembro de 2014</w:t>
      </w:r>
      <w:r w:rsidR="009E434D">
        <w:rPr>
          <w:rFonts w:ascii="Times New Roman" w:hAnsi="Times New Roman" w:cs="Times New Roman"/>
          <w:sz w:val="24"/>
          <w:szCs w:val="24"/>
        </w:rPr>
        <w:t>)</w:t>
      </w:r>
      <w:r w:rsidRPr="009E434D">
        <w:rPr>
          <w:rFonts w:ascii="Times New Roman" w:hAnsi="Times New Roman" w:cs="Times New Roman"/>
          <w:sz w:val="24"/>
          <w:szCs w:val="24"/>
        </w:rPr>
        <w:t xml:space="preserve">. Para cada autor existem as seguintes informações: tipo de crime cometido, data do fato, data de nascimento (utilizada para calcular a idade) e número do batalhão de polícia responsável pela área em que </w:t>
      </w:r>
      <w:r w:rsidR="00F668A5" w:rsidRPr="009E434D">
        <w:rPr>
          <w:rFonts w:ascii="Times New Roman" w:hAnsi="Times New Roman" w:cs="Times New Roman"/>
          <w:sz w:val="24"/>
          <w:szCs w:val="24"/>
        </w:rPr>
        <w:t xml:space="preserve">o criminoso praticou </w:t>
      </w:r>
      <w:r w:rsidRPr="009E434D">
        <w:rPr>
          <w:rFonts w:ascii="Times New Roman" w:hAnsi="Times New Roman" w:cs="Times New Roman"/>
          <w:sz w:val="24"/>
          <w:szCs w:val="24"/>
        </w:rPr>
        <w:t xml:space="preserve">o delito. </w:t>
      </w:r>
      <w:r w:rsidR="001A0398" w:rsidRPr="009E434D">
        <w:rPr>
          <w:rFonts w:ascii="Times New Roman" w:hAnsi="Times New Roman" w:cs="Times New Roman"/>
          <w:sz w:val="24"/>
          <w:szCs w:val="24"/>
        </w:rPr>
        <w:t xml:space="preserve">Os </w:t>
      </w:r>
      <w:r w:rsidR="005B4AA3" w:rsidRPr="009E434D">
        <w:rPr>
          <w:rFonts w:ascii="Times New Roman" w:hAnsi="Times New Roman" w:cs="Times New Roman"/>
          <w:sz w:val="24"/>
          <w:szCs w:val="24"/>
        </w:rPr>
        <w:t>crime</w:t>
      </w:r>
      <w:r w:rsidR="009E434D">
        <w:rPr>
          <w:rFonts w:ascii="Times New Roman" w:hAnsi="Times New Roman" w:cs="Times New Roman"/>
          <w:sz w:val="24"/>
          <w:szCs w:val="24"/>
        </w:rPr>
        <w:t>s</w:t>
      </w:r>
      <w:r w:rsidR="005B4AA3" w:rsidRPr="009E434D">
        <w:rPr>
          <w:rFonts w:ascii="Times New Roman" w:hAnsi="Times New Roman" w:cs="Times New Roman"/>
          <w:sz w:val="24"/>
          <w:szCs w:val="24"/>
        </w:rPr>
        <w:t xml:space="preserve"> </w:t>
      </w:r>
      <w:r w:rsidR="00E82A59" w:rsidRPr="009E434D">
        <w:rPr>
          <w:rFonts w:ascii="Times New Roman" w:hAnsi="Times New Roman" w:cs="Times New Roman"/>
          <w:sz w:val="24"/>
          <w:szCs w:val="24"/>
        </w:rPr>
        <w:t>contidos na base de dados são:</w:t>
      </w:r>
      <w:r w:rsidR="00370DC3" w:rsidRPr="009E434D">
        <w:rPr>
          <w:rFonts w:ascii="Times New Roman" w:hAnsi="Times New Roman" w:cs="Times New Roman"/>
          <w:sz w:val="24"/>
          <w:szCs w:val="24"/>
        </w:rPr>
        <w:t xml:space="preserve"> h</w:t>
      </w:r>
      <w:r w:rsidR="00370DC3" w:rsidRPr="00BD3CDD">
        <w:rPr>
          <w:rFonts w:ascii="Times New Roman" w:eastAsia="Times New Roman" w:hAnsi="Times New Roman" w:cs="Times New Roman"/>
          <w:color w:val="000000"/>
          <w:sz w:val="24"/>
          <w:szCs w:val="24"/>
          <w:lang w:eastAsia="pt-BR"/>
        </w:rPr>
        <w:t>omicídio doloso, l</w:t>
      </w:r>
      <w:r w:rsidR="001951B1" w:rsidRPr="001951B1">
        <w:rPr>
          <w:rFonts w:ascii="Times New Roman" w:eastAsia="Times New Roman" w:hAnsi="Times New Roman" w:cs="Times New Roman"/>
          <w:color w:val="000000"/>
          <w:sz w:val="24"/>
          <w:szCs w:val="24"/>
          <w:lang w:eastAsia="pt-BR"/>
        </w:rPr>
        <w:t>esão corporal seguida de morte</w:t>
      </w:r>
      <w:r w:rsidR="00370DC3" w:rsidRPr="00BD3CDD">
        <w:rPr>
          <w:rFonts w:ascii="Times New Roman" w:eastAsia="Times New Roman" w:hAnsi="Times New Roman" w:cs="Times New Roman"/>
          <w:color w:val="000000"/>
          <w:sz w:val="24"/>
          <w:szCs w:val="24"/>
          <w:lang w:eastAsia="pt-BR"/>
        </w:rPr>
        <w:t xml:space="preserve">, tentativa de homicídio, lesão corporal dolosa, estupro, atentado violento ao pudor, homicídio culposo, lesão corporal culposa, encontro de cadáver, encontro de ossada, extorsão mediante sequestro (sequestro clássico), extorsão, extorsão com momentânea privação da liberdade (sequestro relâmpago), estelionato, apreensão de drogas, armas apreendidas, prisões, apreensão de criança/adolescente, recuperação de veículo, cumprimento de mandado de prisão, ameaça (vítimas), pessoas desaparecidas, resistência com morte do </w:t>
      </w:r>
      <w:r w:rsidR="00370DC3" w:rsidRPr="00BD3CDD">
        <w:rPr>
          <w:rFonts w:ascii="Times New Roman" w:eastAsia="Times New Roman" w:hAnsi="Times New Roman" w:cs="Times New Roman"/>
          <w:color w:val="000000"/>
          <w:sz w:val="24"/>
          <w:szCs w:val="24"/>
          <w:lang w:eastAsia="pt-BR"/>
        </w:rPr>
        <w:lastRenderedPageBreak/>
        <w:t>opositor (auto de resistência), policiais militares mortos em serviço, policiais civis mortos em serviço, roubos, furtos.</w:t>
      </w:r>
      <w:r w:rsidR="001951B1">
        <w:rPr>
          <w:rStyle w:val="Refdenotaderodap"/>
          <w:rFonts w:ascii="Times New Roman" w:eastAsia="Times New Roman" w:hAnsi="Times New Roman" w:cs="Times New Roman"/>
          <w:color w:val="000000"/>
          <w:sz w:val="24"/>
          <w:szCs w:val="24"/>
          <w:lang w:eastAsia="pt-BR"/>
        </w:rPr>
        <w:footnoteReference w:id="8"/>
      </w:r>
      <w:r w:rsidR="00CA0A2D">
        <w:rPr>
          <w:rFonts w:ascii="Times New Roman" w:hAnsi="Times New Roman" w:cs="Times New Roman"/>
          <w:sz w:val="24"/>
          <w:szCs w:val="24"/>
          <w:vertAlign w:val="superscript"/>
        </w:rPr>
        <w:t>,</w:t>
      </w:r>
      <w:r w:rsidR="00CA0A2D">
        <w:rPr>
          <w:rStyle w:val="Refdenotaderodap"/>
          <w:rFonts w:ascii="Times New Roman" w:hAnsi="Times New Roman" w:cs="Times New Roman"/>
          <w:sz w:val="24"/>
          <w:szCs w:val="24"/>
        </w:rPr>
        <w:footnoteReference w:id="9"/>
      </w:r>
    </w:p>
    <w:p w:rsidR="005B4AA3" w:rsidRDefault="00E82A59" w:rsidP="00610E2B">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duas variáveis mais importantes para as análises realizadas no presente estudo, dentre as contidas na base de </w:t>
      </w:r>
      <w:r w:rsidR="00F668A5">
        <w:rPr>
          <w:rFonts w:ascii="Times New Roman" w:hAnsi="Times New Roman" w:cs="Times New Roman"/>
          <w:sz w:val="24"/>
          <w:szCs w:val="24"/>
        </w:rPr>
        <w:t>crimes,</w:t>
      </w:r>
      <w:r>
        <w:rPr>
          <w:rFonts w:ascii="Times New Roman" w:hAnsi="Times New Roman" w:cs="Times New Roman"/>
          <w:sz w:val="24"/>
          <w:szCs w:val="24"/>
        </w:rPr>
        <w:t xml:space="preserve"> são a probabilidade de furto e de roubo. Lembrando que a primeira probabilidade é calculada pela razão entre o número </w:t>
      </w:r>
      <w:r w:rsidR="00F668A5">
        <w:rPr>
          <w:rFonts w:ascii="Times New Roman" w:hAnsi="Times New Roman" w:cs="Times New Roman"/>
          <w:sz w:val="24"/>
          <w:szCs w:val="24"/>
        </w:rPr>
        <w:t>de autores de furto</w:t>
      </w:r>
      <w:r>
        <w:rPr>
          <w:rFonts w:ascii="Times New Roman" w:hAnsi="Times New Roman" w:cs="Times New Roman"/>
          <w:sz w:val="24"/>
          <w:szCs w:val="24"/>
        </w:rPr>
        <w:t xml:space="preserve"> e </w:t>
      </w:r>
      <w:r w:rsidR="00F668A5">
        <w:rPr>
          <w:rFonts w:ascii="Times New Roman" w:hAnsi="Times New Roman" w:cs="Times New Roman"/>
          <w:sz w:val="24"/>
          <w:szCs w:val="24"/>
        </w:rPr>
        <w:t>a quantidade total de criminosos. Logo a probabilidade de furto, obtida no presente estudo, representa</w:t>
      </w:r>
      <w:r w:rsidR="008D6665">
        <w:rPr>
          <w:rFonts w:ascii="Times New Roman" w:hAnsi="Times New Roman" w:cs="Times New Roman"/>
          <w:sz w:val="24"/>
          <w:szCs w:val="24"/>
        </w:rPr>
        <w:t xml:space="preserve"> a chance de encontrar indivíduos</w:t>
      </w:r>
      <w:r w:rsidR="00F668A5">
        <w:rPr>
          <w:rFonts w:ascii="Times New Roman" w:hAnsi="Times New Roman" w:cs="Times New Roman"/>
          <w:sz w:val="24"/>
          <w:szCs w:val="24"/>
        </w:rPr>
        <w:t xml:space="preserve">, dentre todos os criminosos, </w:t>
      </w:r>
      <w:r w:rsidR="008D6665">
        <w:rPr>
          <w:rFonts w:ascii="Times New Roman" w:hAnsi="Times New Roman" w:cs="Times New Roman"/>
          <w:sz w:val="24"/>
          <w:szCs w:val="24"/>
        </w:rPr>
        <w:t>que sejam praticantes do referido delito de apropriação não violenta patrimônio</w:t>
      </w:r>
      <w:r w:rsidR="00F668A5">
        <w:rPr>
          <w:rFonts w:ascii="Times New Roman" w:hAnsi="Times New Roman" w:cs="Times New Roman"/>
          <w:sz w:val="24"/>
          <w:szCs w:val="24"/>
        </w:rPr>
        <w:t>.</w:t>
      </w:r>
      <w:r>
        <w:rPr>
          <w:rFonts w:ascii="Times New Roman" w:hAnsi="Times New Roman" w:cs="Times New Roman"/>
          <w:sz w:val="24"/>
          <w:szCs w:val="24"/>
        </w:rPr>
        <w:t xml:space="preserve"> </w:t>
      </w:r>
      <w:r w:rsidR="00F668A5">
        <w:rPr>
          <w:rFonts w:ascii="Times New Roman" w:hAnsi="Times New Roman" w:cs="Times New Roman"/>
          <w:sz w:val="24"/>
          <w:szCs w:val="24"/>
        </w:rPr>
        <w:t>A probabilidade de roubo é obtida de maneira análoga</w:t>
      </w:r>
      <w:r w:rsidR="008D6665">
        <w:rPr>
          <w:rFonts w:ascii="Times New Roman" w:hAnsi="Times New Roman" w:cs="Times New Roman"/>
          <w:sz w:val="24"/>
          <w:szCs w:val="24"/>
        </w:rPr>
        <w:t xml:space="preserve"> ao cálculo realizado no caso dos furtos</w:t>
      </w:r>
      <w:r w:rsidR="00F668A5">
        <w:rPr>
          <w:rFonts w:ascii="Times New Roman" w:hAnsi="Times New Roman" w:cs="Times New Roman"/>
          <w:sz w:val="24"/>
          <w:szCs w:val="24"/>
        </w:rPr>
        <w:t xml:space="preserve">, porém, considera-se </w:t>
      </w:r>
      <w:r w:rsidR="0010305F">
        <w:rPr>
          <w:rFonts w:ascii="Times New Roman" w:hAnsi="Times New Roman" w:cs="Times New Roman"/>
          <w:sz w:val="24"/>
          <w:szCs w:val="24"/>
        </w:rPr>
        <w:t>no numerado</w:t>
      </w:r>
      <w:r w:rsidR="008D6665">
        <w:rPr>
          <w:rFonts w:ascii="Times New Roman" w:hAnsi="Times New Roman" w:cs="Times New Roman"/>
          <w:sz w:val="24"/>
          <w:szCs w:val="24"/>
        </w:rPr>
        <w:t>r</w:t>
      </w:r>
      <w:r w:rsidR="0010305F">
        <w:rPr>
          <w:rFonts w:ascii="Times New Roman" w:hAnsi="Times New Roman" w:cs="Times New Roman"/>
          <w:sz w:val="24"/>
          <w:szCs w:val="24"/>
        </w:rPr>
        <w:t xml:space="preserve">, </w:t>
      </w:r>
      <w:r w:rsidR="00F668A5">
        <w:rPr>
          <w:rFonts w:ascii="Times New Roman" w:hAnsi="Times New Roman" w:cs="Times New Roman"/>
          <w:sz w:val="24"/>
          <w:szCs w:val="24"/>
        </w:rPr>
        <w:t>neste segundo caso</w:t>
      </w:r>
      <w:r w:rsidR="0010305F">
        <w:rPr>
          <w:rFonts w:ascii="Times New Roman" w:hAnsi="Times New Roman" w:cs="Times New Roman"/>
          <w:sz w:val="24"/>
          <w:szCs w:val="24"/>
        </w:rPr>
        <w:t>,</w:t>
      </w:r>
      <w:r w:rsidR="00F668A5">
        <w:rPr>
          <w:rFonts w:ascii="Times New Roman" w:hAnsi="Times New Roman" w:cs="Times New Roman"/>
          <w:sz w:val="24"/>
          <w:szCs w:val="24"/>
        </w:rPr>
        <w:t xml:space="preserve"> o número</w:t>
      </w:r>
      <w:r>
        <w:rPr>
          <w:rFonts w:ascii="Times New Roman" w:hAnsi="Times New Roman" w:cs="Times New Roman"/>
          <w:sz w:val="24"/>
          <w:szCs w:val="24"/>
        </w:rPr>
        <w:t xml:space="preserve"> </w:t>
      </w:r>
      <w:r w:rsidR="0010305F">
        <w:rPr>
          <w:rFonts w:ascii="Times New Roman" w:hAnsi="Times New Roman" w:cs="Times New Roman"/>
          <w:sz w:val="24"/>
          <w:szCs w:val="24"/>
        </w:rPr>
        <w:t xml:space="preserve">total de apropriações </w:t>
      </w:r>
      <w:r w:rsidR="00C84DFE">
        <w:rPr>
          <w:rFonts w:ascii="Times New Roman" w:hAnsi="Times New Roman" w:cs="Times New Roman"/>
          <w:sz w:val="24"/>
          <w:szCs w:val="24"/>
        </w:rPr>
        <w:t>de</w:t>
      </w:r>
      <w:r w:rsidR="0010305F">
        <w:rPr>
          <w:rFonts w:ascii="Times New Roman" w:hAnsi="Times New Roman" w:cs="Times New Roman"/>
          <w:sz w:val="24"/>
          <w:szCs w:val="24"/>
        </w:rPr>
        <w:t xml:space="preserve"> patrimônio</w:t>
      </w:r>
      <w:r w:rsidR="00C84DFE">
        <w:rPr>
          <w:rFonts w:ascii="Times New Roman" w:hAnsi="Times New Roman" w:cs="Times New Roman"/>
          <w:sz w:val="24"/>
          <w:szCs w:val="24"/>
        </w:rPr>
        <w:t xml:space="preserve"> realizadas mediante </w:t>
      </w:r>
      <w:r w:rsidR="009E434D">
        <w:rPr>
          <w:rFonts w:ascii="Times New Roman" w:hAnsi="Times New Roman" w:cs="Times New Roman"/>
          <w:sz w:val="24"/>
          <w:szCs w:val="24"/>
        </w:rPr>
        <w:t xml:space="preserve">o </w:t>
      </w:r>
      <w:r w:rsidR="00C84DFE">
        <w:rPr>
          <w:rFonts w:ascii="Times New Roman" w:hAnsi="Times New Roman" w:cs="Times New Roman"/>
          <w:sz w:val="24"/>
          <w:szCs w:val="24"/>
        </w:rPr>
        <w:t xml:space="preserve">uso de </w:t>
      </w:r>
      <w:proofErr w:type="gramStart"/>
      <w:r w:rsidR="00C84DFE">
        <w:rPr>
          <w:rFonts w:ascii="Times New Roman" w:hAnsi="Times New Roman" w:cs="Times New Roman"/>
          <w:sz w:val="24"/>
          <w:szCs w:val="24"/>
        </w:rPr>
        <w:t>violência</w:t>
      </w:r>
      <w:r w:rsidR="0010305F">
        <w:rPr>
          <w:rFonts w:ascii="Times New Roman" w:hAnsi="Times New Roman" w:cs="Times New Roman"/>
          <w:sz w:val="24"/>
          <w:szCs w:val="24"/>
        </w:rPr>
        <w:t>.</w:t>
      </w:r>
      <w:r w:rsidR="00C27B98">
        <w:rPr>
          <w:rStyle w:val="Refdenotaderodap"/>
          <w:rFonts w:ascii="Times New Roman" w:hAnsi="Times New Roman" w:cs="Times New Roman"/>
          <w:sz w:val="24"/>
          <w:szCs w:val="24"/>
        </w:rPr>
        <w:footnoteReference w:id="10"/>
      </w:r>
      <w:r w:rsidR="00EE48E5" w:rsidRPr="00BD3CDD">
        <w:rPr>
          <w:rFonts w:ascii="Times New Roman" w:hAnsi="Times New Roman" w:cs="Times New Roman"/>
          <w:sz w:val="24"/>
          <w:szCs w:val="24"/>
          <w:vertAlign w:val="superscript"/>
        </w:rPr>
        <w:t>,</w:t>
      </w:r>
      <w:proofErr w:type="gramEnd"/>
      <w:r w:rsidR="00EE48E5">
        <w:rPr>
          <w:rFonts w:ascii="Times New Roman" w:hAnsi="Times New Roman" w:cs="Times New Roman"/>
          <w:sz w:val="24"/>
          <w:szCs w:val="24"/>
          <w:vertAlign w:val="superscript"/>
        </w:rPr>
        <w:t xml:space="preserve"> </w:t>
      </w:r>
      <w:r w:rsidR="00EE48E5">
        <w:rPr>
          <w:rStyle w:val="Refdenotaderodap"/>
          <w:rFonts w:ascii="Times New Roman" w:hAnsi="Times New Roman" w:cs="Times New Roman"/>
          <w:sz w:val="24"/>
          <w:szCs w:val="24"/>
        </w:rPr>
        <w:footnoteReference w:id="11"/>
      </w:r>
    </w:p>
    <w:p w:rsidR="00E436AF" w:rsidRDefault="00135C93" w:rsidP="00610E2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E436AF" w:rsidRPr="00E436AF">
        <w:rPr>
          <w:rFonts w:ascii="Times New Roman" w:hAnsi="Times New Roman" w:cs="Times New Roman"/>
          <w:sz w:val="24"/>
          <w:szCs w:val="24"/>
        </w:rPr>
        <w:t>A Tabela 1 fornece estatísticas descritivas obtidas a partir dos dados de crime. As colunas 1-3 fornecem uma comparação entre todos os maiores e menores contidos na base. Na prática, este exercício que considera a amostra irrestrita contrasta indivíduos que têm entre 12 e 17 anos (menores) com aqueles que têm entre 18 e 100 anos (maiores). Observa-se que estes grupos são extremamente distintos, dado que os menores têm uma probabilidade expressivamente maior de cometer tanto furtos quanto roubos. Por exemplo, enquanto um menor tem uma chance de 11,9</w:t>
      </w:r>
      <w:r w:rsidR="00F77AD5" w:rsidRPr="00BD3CDD">
        <w:rPr>
          <w:rFonts w:ascii="Times New Roman" w:hAnsi="Times New Roman" w:cs="Times New Roman"/>
          <w:sz w:val="24"/>
          <w:szCs w:val="24"/>
        </w:rPr>
        <w:t>% de cometer um furto, um maior tem uma probabilidade de apenas 3,8% de cometer este tipo de delito.</w:t>
      </w:r>
    </w:p>
    <w:p w:rsidR="00201340" w:rsidRPr="00E436AF" w:rsidRDefault="00201340" w:rsidP="00201340">
      <w:pPr>
        <w:spacing w:line="240" w:lineRule="auto"/>
        <w:ind w:firstLine="708"/>
        <w:jc w:val="both"/>
        <w:rPr>
          <w:rFonts w:ascii="Times New Roman" w:hAnsi="Times New Roman" w:cs="Times New Roman"/>
          <w:sz w:val="24"/>
          <w:szCs w:val="24"/>
        </w:rPr>
      </w:pPr>
      <w:r w:rsidRPr="00E436AF">
        <w:rPr>
          <w:rFonts w:ascii="Times New Roman" w:hAnsi="Times New Roman" w:cs="Times New Roman"/>
          <w:sz w:val="24"/>
          <w:szCs w:val="24"/>
        </w:rPr>
        <w:t>As colunas 4-6 restringem a amostra e comparam somente indivíduos que têm entre 18 e 20 anos com os que possuem entre 15 e 17 anos. A restrição da amostra, focando em uma janela de somente três anos ao redor da maioridade, produz grupos mais semelhantes. Por exemplo, a diferença na probabilidade de maiores e menores cometerem furto, passa de 8,1 pontos percentuais (</w:t>
      </w:r>
      <w:proofErr w:type="spellStart"/>
      <w:r w:rsidRPr="00E436AF">
        <w:rPr>
          <w:rFonts w:ascii="Times New Roman" w:hAnsi="Times New Roman" w:cs="Times New Roman"/>
          <w:sz w:val="24"/>
          <w:szCs w:val="24"/>
        </w:rPr>
        <w:t>p.p</w:t>
      </w:r>
      <w:proofErr w:type="spellEnd"/>
      <w:r w:rsidRPr="00E436AF">
        <w:rPr>
          <w:rFonts w:ascii="Times New Roman" w:hAnsi="Times New Roman" w:cs="Times New Roman"/>
          <w:sz w:val="24"/>
          <w:szCs w:val="24"/>
        </w:rPr>
        <w:t>.), na amostra completa, para 3,8 pontos percentuais (</w:t>
      </w:r>
      <w:proofErr w:type="spellStart"/>
      <w:r w:rsidRPr="00E436AF">
        <w:rPr>
          <w:rFonts w:ascii="Times New Roman" w:hAnsi="Times New Roman" w:cs="Times New Roman"/>
          <w:sz w:val="24"/>
          <w:szCs w:val="24"/>
        </w:rPr>
        <w:t>p.p</w:t>
      </w:r>
      <w:proofErr w:type="spellEnd"/>
      <w:r w:rsidRPr="00E436AF">
        <w:rPr>
          <w:rFonts w:ascii="Times New Roman" w:hAnsi="Times New Roman" w:cs="Times New Roman"/>
          <w:sz w:val="24"/>
          <w:szCs w:val="24"/>
        </w:rPr>
        <w:t xml:space="preserve">.), na amostra restrita. O mesmo tipo de homogeneização da amostra ocorre no caso dos roubos. A diferença encontrada ao comparar todos os maiores e menores é de 9,5 </w:t>
      </w:r>
      <w:proofErr w:type="spellStart"/>
      <w:r w:rsidRPr="00E436AF">
        <w:rPr>
          <w:rFonts w:ascii="Times New Roman" w:hAnsi="Times New Roman" w:cs="Times New Roman"/>
          <w:sz w:val="24"/>
          <w:szCs w:val="24"/>
        </w:rPr>
        <w:t>p.p</w:t>
      </w:r>
      <w:proofErr w:type="spellEnd"/>
      <w:r w:rsidRPr="00E436AF">
        <w:rPr>
          <w:rFonts w:ascii="Times New Roman" w:hAnsi="Times New Roman" w:cs="Times New Roman"/>
          <w:sz w:val="24"/>
          <w:szCs w:val="24"/>
        </w:rPr>
        <w:t xml:space="preserve">. (coluna 3). Porém, esta diferença cai para 3,9 </w:t>
      </w:r>
      <w:proofErr w:type="spellStart"/>
      <w:r w:rsidRPr="00E436AF">
        <w:rPr>
          <w:rFonts w:ascii="Times New Roman" w:hAnsi="Times New Roman" w:cs="Times New Roman"/>
          <w:sz w:val="24"/>
          <w:szCs w:val="24"/>
        </w:rPr>
        <w:t>p.p</w:t>
      </w:r>
      <w:proofErr w:type="spellEnd"/>
      <w:r w:rsidRPr="00E436AF">
        <w:rPr>
          <w:rFonts w:ascii="Times New Roman" w:hAnsi="Times New Roman" w:cs="Times New Roman"/>
          <w:sz w:val="24"/>
          <w:szCs w:val="24"/>
        </w:rPr>
        <w:t>. ao contrastar indivíduos de faixas etárias mais semelhantes (coluna 6).</w:t>
      </w:r>
    </w:p>
    <w:p w:rsidR="00201340" w:rsidRDefault="00201340" w:rsidP="00610E2B">
      <w:pPr>
        <w:spacing w:line="240" w:lineRule="auto"/>
        <w:jc w:val="both"/>
        <w:rPr>
          <w:rFonts w:ascii="Times New Roman" w:hAnsi="Times New Roman" w:cs="Times New Roman"/>
          <w:sz w:val="24"/>
          <w:szCs w:val="24"/>
        </w:rPr>
      </w:pPr>
    </w:p>
    <w:p w:rsidR="00201340" w:rsidRPr="00E436AF" w:rsidRDefault="00201340" w:rsidP="00610E2B">
      <w:pPr>
        <w:spacing w:line="240" w:lineRule="auto"/>
        <w:jc w:val="both"/>
        <w:rPr>
          <w:rFonts w:ascii="Times New Roman" w:hAnsi="Times New Roman" w:cs="Times New Roman"/>
          <w:sz w:val="24"/>
          <w:szCs w:val="24"/>
        </w:rPr>
      </w:pPr>
    </w:p>
    <w:p w:rsidR="00E436AF" w:rsidRDefault="00E436AF" w:rsidP="00E436AF">
      <w:pPr>
        <w:spacing w:line="0" w:lineRule="atLeast"/>
        <w:jc w:val="center"/>
      </w:pPr>
      <w:r w:rsidRPr="00610E2B">
        <w:rPr>
          <w:rFonts w:ascii="Times New Roman" w:eastAsia="Times New Roman" w:hAnsi="Times New Roman"/>
          <w:sz w:val="24"/>
          <w:szCs w:val="24"/>
        </w:rPr>
        <w:lastRenderedPageBreak/>
        <w:t xml:space="preserve">Tabela 1: Estatísticas descritivas para janelas alternativas ao redor da maioridade </w:t>
      </w:r>
      <w:r w:rsidR="006C3FE7" w:rsidRPr="00610E2B">
        <w:rPr>
          <w:rFonts w:ascii="Times New Roman" w:eastAsia="Times New Roman" w:hAnsi="Times New Roman"/>
          <w:sz w:val="24"/>
          <w:szCs w:val="24"/>
        </w:rPr>
        <w:br/>
      </w:r>
      <w:r w:rsidRPr="00610E2B">
        <w:rPr>
          <w:rFonts w:ascii="Times New Roman" w:eastAsia="Times New Roman" w:hAnsi="Times New Roman"/>
          <w:sz w:val="24"/>
          <w:szCs w:val="24"/>
        </w:rPr>
        <w:t>(Dados d</w:t>
      </w:r>
      <w:r w:rsidR="00585020" w:rsidRPr="00610E2B">
        <w:rPr>
          <w:rFonts w:ascii="Times New Roman" w:eastAsia="Times New Roman" w:hAnsi="Times New Roman"/>
          <w:sz w:val="24"/>
          <w:szCs w:val="24"/>
        </w:rPr>
        <w:t>o</w:t>
      </w:r>
      <w:r w:rsidRPr="00610E2B">
        <w:rPr>
          <w:rFonts w:ascii="Times New Roman" w:eastAsia="Times New Roman" w:hAnsi="Times New Roman"/>
          <w:sz w:val="24"/>
          <w:szCs w:val="24"/>
        </w:rPr>
        <w:t xml:space="preserve"> DGTIT/PCERJ)</w:t>
      </w:r>
      <w:r w:rsidR="006C3FE7" w:rsidRPr="006C3FE7">
        <w:t xml:space="preserve"> </w:t>
      </w:r>
      <w:r w:rsidR="006C3FE7" w:rsidRPr="006C3FE7">
        <w:rPr>
          <w:noProof/>
          <w:lang w:eastAsia="pt-BR"/>
        </w:rPr>
        <w:drawing>
          <wp:inline distT="0" distB="0" distL="0" distR="0">
            <wp:extent cx="5731510" cy="1852144"/>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52144"/>
                    </a:xfrm>
                    <a:prstGeom prst="rect">
                      <a:avLst/>
                    </a:prstGeom>
                    <a:noFill/>
                    <a:ln>
                      <a:noFill/>
                    </a:ln>
                  </pic:spPr>
                </pic:pic>
              </a:graphicData>
            </a:graphic>
          </wp:inline>
        </w:drawing>
      </w:r>
    </w:p>
    <w:p w:rsidR="00E436AF" w:rsidRPr="00FB0282" w:rsidRDefault="00CD15CC" w:rsidP="00CD15CC">
      <w:pPr>
        <w:spacing w:line="0" w:lineRule="atLeast"/>
        <w:jc w:val="both"/>
        <w:rPr>
          <w:rFonts w:ascii="Times New Roman" w:eastAsia="Times New Roman" w:hAnsi="Times New Roman"/>
        </w:rPr>
      </w:pPr>
      <w:r w:rsidRPr="00FB0282">
        <w:rPr>
          <w:rFonts w:ascii="Times New Roman" w:eastAsia="Times New Roman" w:hAnsi="Times New Roman"/>
          <w:sz w:val="18"/>
        </w:rPr>
        <w:t>Notas. Esta tabela</w:t>
      </w:r>
      <w:r w:rsidR="006C3FE7">
        <w:rPr>
          <w:rFonts w:ascii="Times New Roman" w:eastAsia="Times New Roman" w:hAnsi="Times New Roman"/>
          <w:sz w:val="18"/>
        </w:rPr>
        <w:t>, de elaboração própria,</w:t>
      </w:r>
      <w:r w:rsidRPr="00FB0282">
        <w:rPr>
          <w:rFonts w:ascii="Times New Roman" w:eastAsia="Times New Roman" w:hAnsi="Times New Roman"/>
          <w:sz w:val="18"/>
        </w:rPr>
        <w:t xml:space="preserve"> apresenta estatísticas descritivas geradas a partir dos dados do Departamento Geral de Tecnologia da Informação (DGTIT) da Polícia Civil do Estado do Rio de Janeiro (PCERJ). As colunas 1 e 4 focam nos maiores, enquanto as colunas 2 e 5 analisam os menores. A amostra de maiores da coluna 1 compreende todos os indivíduos que têm entre 18 e 100 anos. A definição de maiores da coluna 4 considera apenas indivíduos que têm entre 18 e 20 anos. Na coluna 2 os menores são todos os indivíduos que têm entre 12 e 17 anos. Na coluna 5 os menores são todos os indivíduos que têm entre 15 e 17 anos. A coluna 3 (6) apresenta a diferença entre as colunas 1 e 2 (4 e 5). A variável de roubos (furtos) fornece a </w:t>
      </w:r>
      <w:r w:rsidR="00304B9C" w:rsidRPr="00FB0282">
        <w:rPr>
          <w:rFonts w:ascii="Times New Roman" w:eastAsia="Times New Roman" w:hAnsi="Times New Roman"/>
          <w:sz w:val="18"/>
        </w:rPr>
        <w:t>probabilidade</w:t>
      </w:r>
      <w:r w:rsidRPr="00FB0282">
        <w:rPr>
          <w:rFonts w:ascii="Times New Roman" w:eastAsia="Times New Roman" w:hAnsi="Times New Roman"/>
          <w:sz w:val="18"/>
        </w:rPr>
        <w:t xml:space="preserve"> de um indivíduo cometer roubo (furto). Abaixo de cada média aparece o erro-padrão, entre parênteses</w:t>
      </w:r>
      <w:r w:rsidRPr="00BD3CDD">
        <w:rPr>
          <w:rFonts w:ascii="Times New Roman" w:eastAsia="Times New Roman" w:hAnsi="Times New Roman"/>
          <w:sz w:val="18"/>
          <w:szCs w:val="18"/>
        </w:rPr>
        <w:t>.</w:t>
      </w:r>
      <w:r w:rsidR="000C3126" w:rsidRPr="00BD3CDD">
        <w:rPr>
          <w:rFonts w:ascii="Times New Roman" w:eastAsia="Times New Roman" w:hAnsi="Times New Roman"/>
          <w:sz w:val="18"/>
          <w:szCs w:val="18"/>
        </w:rPr>
        <w:t xml:space="preserve"> </w:t>
      </w:r>
    </w:p>
    <w:p w:rsidR="00104520" w:rsidRDefault="00104520" w:rsidP="00610E2B">
      <w:pPr>
        <w:spacing w:line="240" w:lineRule="auto"/>
        <w:ind w:firstLine="708"/>
        <w:jc w:val="both"/>
        <w:rPr>
          <w:rFonts w:ascii="Times New Roman" w:hAnsi="Times New Roman" w:cs="Times New Roman"/>
          <w:sz w:val="24"/>
          <w:szCs w:val="24"/>
        </w:rPr>
      </w:pPr>
      <w:r w:rsidRPr="00104520">
        <w:rPr>
          <w:rFonts w:ascii="Times New Roman" w:hAnsi="Times New Roman" w:cs="Times New Roman"/>
          <w:sz w:val="24"/>
          <w:szCs w:val="24"/>
        </w:rPr>
        <w:t>A segunda fonte de informações deste estudo é o Censo de 2010, produzido pelo Instituto Brasileiro de Geografia e Estatística (IBGE). O censo do IBGE é utilizado única e exclusivamente nesta seção, e especificamente na tabela 2, com o mero objetivo de ilustrar que a propriedade de semelhança, em termos de características observáveis, entre grupos etários parecidos também é válida ao considerar esta base de dados alternativa, que tem a vantagem fornecer uma amostra mais representativa da população brasileira. Portanto, a semelhança observada em grupos etários parecidos não acon</w:t>
      </w:r>
      <w:r w:rsidR="00585020">
        <w:rPr>
          <w:rFonts w:ascii="Times New Roman" w:hAnsi="Times New Roman" w:cs="Times New Roman"/>
          <w:sz w:val="24"/>
          <w:szCs w:val="24"/>
        </w:rPr>
        <w:t>tece exclusivamente nos dados do</w:t>
      </w:r>
      <w:r w:rsidRPr="00104520">
        <w:rPr>
          <w:rFonts w:ascii="Times New Roman" w:hAnsi="Times New Roman" w:cs="Times New Roman"/>
          <w:sz w:val="24"/>
          <w:szCs w:val="24"/>
        </w:rPr>
        <w:t xml:space="preserve"> DGTIT/PCERJ, já que a mesma propriedade é observada para uma amostra mais representativa da população brasileira, que é construída a partir dos dados do IBGE. Logo, reitera-se que as demais seções adotam como</w:t>
      </w:r>
      <w:r>
        <w:rPr>
          <w:rFonts w:ascii="Times New Roman" w:hAnsi="Times New Roman" w:cs="Times New Roman"/>
          <w:sz w:val="24"/>
          <w:szCs w:val="24"/>
        </w:rPr>
        <w:t xml:space="preserve"> fonte de dados apenas a base d</w:t>
      </w:r>
      <w:r w:rsidR="00585020">
        <w:rPr>
          <w:rFonts w:ascii="Times New Roman" w:hAnsi="Times New Roman" w:cs="Times New Roman"/>
          <w:sz w:val="24"/>
          <w:szCs w:val="24"/>
        </w:rPr>
        <w:t>o</w:t>
      </w:r>
      <w:r w:rsidRPr="00104520">
        <w:rPr>
          <w:rFonts w:ascii="Times New Roman" w:hAnsi="Times New Roman" w:cs="Times New Roman"/>
          <w:sz w:val="24"/>
          <w:szCs w:val="24"/>
        </w:rPr>
        <w:t xml:space="preserve"> DGTIT/PCERJ. Consequentemente, pode-se concluir que os dados do IBGE não têm nenhuma influência sobre as análises realizadas nas próximas seções</w:t>
      </w:r>
      <w:r>
        <w:rPr>
          <w:rFonts w:ascii="Times New Roman" w:hAnsi="Times New Roman" w:cs="Times New Roman"/>
          <w:sz w:val="24"/>
          <w:szCs w:val="24"/>
        </w:rPr>
        <w:t>.</w:t>
      </w:r>
    </w:p>
    <w:p w:rsidR="00FB0282" w:rsidRDefault="00E436AF" w:rsidP="00610E2B">
      <w:pPr>
        <w:spacing w:line="240" w:lineRule="auto"/>
        <w:ind w:firstLine="708"/>
        <w:jc w:val="both"/>
        <w:rPr>
          <w:rFonts w:ascii="Times New Roman" w:hAnsi="Times New Roman" w:cs="Times New Roman"/>
          <w:sz w:val="24"/>
          <w:szCs w:val="24"/>
        </w:rPr>
      </w:pPr>
      <w:r w:rsidRPr="00E436AF">
        <w:rPr>
          <w:rFonts w:ascii="Times New Roman" w:hAnsi="Times New Roman" w:cs="Times New Roman"/>
          <w:sz w:val="24"/>
          <w:szCs w:val="24"/>
        </w:rPr>
        <w:t xml:space="preserve">A Tabela 2 apresenta estatísticas descritivas obtidas a partir dos dados do Censo de 2010. As colunas 1-3 realizam uma comparação entre indivíduos que têm entre 18 e 100 anos (maiores) e aqueles que têm entre 12 e 17 anos (menores). </w:t>
      </w:r>
      <w:r w:rsidRPr="00381392">
        <w:rPr>
          <w:rFonts w:ascii="Times New Roman" w:hAnsi="Times New Roman" w:cs="Times New Roman"/>
          <w:sz w:val="24"/>
          <w:szCs w:val="24"/>
        </w:rPr>
        <w:t>As colunas 4-6 restringem a comparação para uma janela de três anos ao redor da maioridade. Ao limitar a amostra obtém-se justamente a comparação preferida deste trabalho entre indivíduos que têm entre 18 e 20 anos e aqueles que têm entre 15 e 17 anos.</w:t>
      </w:r>
      <w:r w:rsidRPr="00E436AF">
        <w:rPr>
          <w:rFonts w:ascii="Times New Roman" w:hAnsi="Times New Roman" w:cs="Times New Roman"/>
          <w:sz w:val="24"/>
          <w:szCs w:val="24"/>
        </w:rPr>
        <w:t xml:space="preserve"> Fica evidente que os grupos obtidos a partir da amostra restrita são mais semelhantes do que os formados a partir da amostra completa. Por exemplo, a diferença na proporção de chefes de domicílio, que é de 42,3 </w:t>
      </w:r>
      <w:proofErr w:type="spellStart"/>
      <w:r w:rsidRPr="00E436AF">
        <w:rPr>
          <w:rFonts w:ascii="Times New Roman" w:hAnsi="Times New Roman" w:cs="Times New Roman"/>
          <w:sz w:val="24"/>
          <w:szCs w:val="24"/>
        </w:rPr>
        <w:t>p.p</w:t>
      </w:r>
      <w:proofErr w:type="spellEnd"/>
      <w:r w:rsidRPr="00E436AF">
        <w:rPr>
          <w:rFonts w:ascii="Times New Roman" w:hAnsi="Times New Roman" w:cs="Times New Roman"/>
          <w:sz w:val="24"/>
          <w:szCs w:val="24"/>
        </w:rPr>
        <w:t xml:space="preserve">. (coluna 3), quando </w:t>
      </w:r>
      <w:r w:rsidR="00046D3D" w:rsidRPr="00E436AF">
        <w:rPr>
          <w:rFonts w:ascii="Times New Roman" w:hAnsi="Times New Roman" w:cs="Times New Roman"/>
          <w:sz w:val="24"/>
          <w:szCs w:val="24"/>
        </w:rPr>
        <w:t>se utiliza</w:t>
      </w:r>
      <w:r w:rsidRPr="00E436AF">
        <w:rPr>
          <w:rFonts w:ascii="Times New Roman" w:hAnsi="Times New Roman" w:cs="Times New Roman"/>
          <w:sz w:val="24"/>
          <w:szCs w:val="24"/>
        </w:rPr>
        <w:t xml:space="preserve"> todos os maiores e menores, reduz-se para 4,7 </w:t>
      </w:r>
      <w:proofErr w:type="spellStart"/>
      <w:r w:rsidRPr="00E436AF">
        <w:rPr>
          <w:rFonts w:ascii="Times New Roman" w:hAnsi="Times New Roman" w:cs="Times New Roman"/>
          <w:sz w:val="24"/>
          <w:szCs w:val="24"/>
        </w:rPr>
        <w:t>p.p</w:t>
      </w:r>
      <w:proofErr w:type="spellEnd"/>
      <w:r w:rsidRPr="00E436AF">
        <w:rPr>
          <w:rFonts w:ascii="Times New Roman" w:hAnsi="Times New Roman" w:cs="Times New Roman"/>
          <w:sz w:val="24"/>
          <w:szCs w:val="24"/>
        </w:rPr>
        <w:t>. (coluna 6), ao comparar pessoas de faixas etárias mais próximas.</w:t>
      </w:r>
    </w:p>
    <w:p w:rsidR="00201340" w:rsidRDefault="00201340" w:rsidP="00610E2B">
      <w:pPr>
        <w:spacing w:line="240" w:lineRule="auto"/>
        <w:ind w:firstLine="708"/>
        <w:jc w:val="center"/>
        <w:rPr>
          <w:rFonts w:ascii="Times New Roman" w:hAnsi="Times New Roman" w:cs="Times New Roman"/>
          <w:sz w:val="24"/>
          <w:szCs w:val="24"/>
        </w:rPr>
      </w:pPr>
    </w:p>
    <w:p w:rsidR="00201340" w:rsidRDefault="00201340" w:rsidP="00610E2B">
      <w:pPr>
        <w:spacing w:line="240" w:lineRule="auto"/>
        <w:ind w:firstLine="708"/>
        <w:jc w:val="center"/>
        <w:rPr>
          <w:rFonts w:ascii="Times New Roman" w:hAnsi="Times New Roman" w:cs="Times New Roman"/>
          <w:sz w:val="24"/>
          <w:szCs w:val="24"/>
        </w:rPr>
      </w:pPr>
    </w:p>
    <w:p w:rsidR="00201340" w:rsidRDefault="00201340" w:rsidP="00610E2B">
      <w:pPr>
        <w:spacing w:line="240" w:lineRule="auto"/>
        <w:ind w:firstLine="708"/>
        <w:jc w:val="center"/>
        <w:rPr>
          <w:rFonts w:ascii="Times New Roman" w:hAnsi="Times New Roman" w:cs="Times New Roman"/>
          <w:sz w:val="24"/>
          <w:szCs w:val="24"/>
        </w:rPr>
      </w:pPr>
    </w:p>
    <w:p w:rsidR="00201340" w:rsidRDefault="00201340" w:rsidP="00610E2B">
      <w:pPr>
        <w:spacing w:line="240" w:lineRule="auto"/>
        <w:ind w:firstLine="708"/>
        <w:jc w:val="center"/>
        <w:rPr>
          <w:rFonts w:ascii="Times New Roman" w:hAnsi="Times New Roman" w:cs="Times New Roman"/>
          <w:sz w:val="24"/>
          <w:szCs w:val="24"/>
        </w:rPr>
      </w:pPr>
    </w:p>
    <w:p w:rsidR="00201340" w:rsidRDefault="00201340" w:rsidP="00610E2B">
      <w:pPr>
        <w:spacing w:line="240" w:lineRule="auto"/>
        <w:ind w:firstLine="708"/>
        <w:jc w:val="center"/>
        <w:rPr>
          <w:rFonts w:ascii="Times New Roman" w:hAnsi="Times New Roman" w:cs="Times New Roman"/>
          <w:sz w:val="24"/>
          <w:szCs w:val="24"/>
        </w:rPr>
      </w:pPr>
    </w:p>
    <w:p w:rsidR="00201340" w:rsidRDefault="00201340" w:rsidP="00610E2B">
      <w:pPr>
        <w:spacing w:line="240" w:lineRule="auto"/>
        <w:ind w:firstLine="708"/>
        <w:jc w:val="center"/>
        <w:rPr>
          <w:rFonts w:ascii="Times New Roman" w:hAnsi="Times New Roman" w:cs="Times New Roman"/>
          <w:sz w:val="24"/>
          <w:szCs w:val="24"/>
        </w:rPr>
      </w:pPr>
    </w:p>
    <w:p w:rsidR="00201340" w:rsidRDefault="00201340" w:rsidP="00610E2B">
      <w:pPr>
        <w:spacing w:line="240" w:lineRule="auto"/>
        <w:ind w:firstLine="708"/>
        <w:jc w:val="center"/>
        <w:rPr>
          <w:rFonts w:ascii="Times New Roman" w:hAnsi="Times New Roman" w:cs="Times New Roman"/>
          <w:sz w:val="24"/>
          <w:szCs w:val="24"/>
        </w:rPr>
      </w:pPr>
    </w:p>
    <w:p w:rsidR="00201340" w:rsidRDefault="00201340" w:rsidP="00610E2B">
      <w:pPr>
        <w:spacing w:line="240" w:lineRule="auto"/>
        <w:ind w:firstLine="708"/>
        <w:jc w:val="center"/>
        <w:rPr>
          <w:rFonts w:ascii="Times New Roman" w:hAnsi="Times New Roman" w:cs="Times New Roman"/>
          <w:sz w:val="24"/>
          <w:szCs w:val="24"/>
        </w:rPr>
      </w:pPr>
    </w:p>
    <w:p w:rsidR="00201340" w:rsidRDefault="00201340" w:rsidP="00610E2B">
      <w:pPr>
        <w:spacing w:line="240" w:lineRule="auto"/>
        <w:ind w:firstLine="708"/>
        <w:jc w:val="center"/>
        <w:rPr>
          <w:rFonts w:ascii="Times New Roman" w:hAnsi="Times New Roman" w:cs="Times New Roman"/>
          <w:sz w:val="24"/>
          <w:szCs w:val="24"/>
        </w:rPr>
      </w:pPr>
    </w:p>
    <w:p w:rsidR="00201340" w:rsidRDefault="00610E2B" w:rsidP="00610E2B">
      <w:pPr>
        <w:spacing w:line="240" w:lineRule="auto"/>
        <w:ind w:firstLine="708"/>
        <w:jc w:val="center"/>
        <w:rPr>
          <w:rFonts w:ascii="Times New Roman" w:hAnsi="Times New Roman" w:cs="Times New Roman"/>
          <w:sz w:val="24"/>
          <w:szCs w:val="24"/>
        </w:rPr>
      </w:pPr>
      <w:r w:rsidRPr="00284322">
        <w:rPr>
          <w:rFonts w:ascii="Times New Roman" w:hAnsi="Times New Roman" w:cs="Times New Roman"/>
          <w:sz w:val="24"/>
          <w:szCs w:val="24"/>
        </w:rPr>
        <w:lastRenderedPageBreak/>
        <w:t xml:space="preserve">Tabela 2: Estatísticas descritivas para janelas alternativas ao redor da maioridade </w:t>
      </w:r>
    </w:p>
    <w:p w:rsidR="00087EAF" w:rsidRPr="00284322" w:rsidRDefault="00610E2B" w:rsidP="00610E2B">
      <w:pPr>
        <w:spacing w:line="240" w:lineRule="auto"/>
        <w:ind w:firstLine="708"/>
        <w:jc w:val="center"/>
        <w:rPr>
          <w:rFonts w:ascii="Times New Roman" w:hAnsi="Times New Roman" w:cs="Times New Roman"/>
          <w:sz w:val="24"/>
          <w:szCs w:val="24"/>
        </w:rPr>
      </w:pPr>
      <w:r w:rsidRPr="00284322">
        <w:rPr>
          <w:rFonts w:ascii="Times New Roman" w:hAnsi="Times New Roman" w:cs="Times New Roman"/>
          <w:sz w:val="24"/>
          <w:szCs w:val="24"/>
        </w:rPr>
        <w:t xml:space="preserve">(Dados </w:t>
      </w:r>
      <w:r>
        <w:rPr>
          <w:rFonts w:ascii="Times New Roman" w:hAnsi="Times New Roman" w:cs="Times New Roman"/>
          <w:sz w:val="24"/>
          <w:szCs w:val="24"/>
        </w:rPr>
        <w:t>d</w:t>
      </w:r>
      <w:r w:rsidRPr="00284322">
        <w:rPr>
          <w:rFonts w:ascii="Times New Roman" w:hAnsi="Times New Roman" w:cs="Times New Roman"/>
          <w:sz w:val="24"/>
          <w:szCs w:val="24"/>
        </w:rPr>
        <w:t>o Censo de 2010)</w:t>
      </w:r>
      <w:r w:rsidR="00FB0282" w:rsidRPr="00284322">
        <w:rPr>
          <w:noProof/>
          <w:sz w:val="24"/>
          <w:szCs w:val="24"/>
          <w:lang w:eastAsia="pt-BR"/>
        </w:rPr>
        <w:drawing>
          <wp:inline distT="0" distB="0" distL="0" distR="0">
            <wp:extent cx="5451475" cy="48577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714" b="13737"/>
                    <a:stretch/>
                  </pic:blipFill>
                  <pic:spPr bwMode="auto">
                    <a:xfrm>
                      <a:off x="0" y="0"/>
                      <a:ext cx="5451475" cy="4857750"/>
                    </a:xfrm>
                    <a:prstGeom prst="rect">
                      <a:avLst/>
                    </a:prstGeom>
                    <a:noFill/>
                    <a:ln>
                      <a:noFill/>
                    </a:ln>
                    <a:extLst>
                      <a:ext uri="{53640926-AAD7-44D8-BBD7-CCE9431645EC}">
                        <a14:shadowObscured xmlns:a14="http://schemas.microsoft.com/office/drawing/2010/main"/>
                      </a:ext>
                    </a:extLst>
                  </pic:spPr>
                </pic:pic>
              </a:graphicData>
            </a:graphic>
          </wp:inline>
        </w:drawing>
      </w:r>
    </w:p>
    <w:p w:rsidR="005C479F" w:rsidRPr="00FB0282" w:rsidRDefault="00FB0282" w:rsidP="00FB0282">
      <w:pPr>
        <w:spacing w:line="240" w:lineRule="auto"/>
        <w:jc w:val="both"/>
        <w:rPr>
          <w:rFonts w:ascii="Times New Roman" w:hAnsi="Times New Roman" w:cs="Times New Roman"/>
          <w:sz w:val="18"/>
          <w:szCs w:val="20"/>
        </w:rPr>
      </w:pPr>
      <w:r w:rsidRPr="00FB0282">
        <w:rPr>
          <w:rFonts w:ascii="Times New Roman" w:hAnsi="Times New Roman" w:cs="Times New Roman"/>
          <w:sz w:val="18"/>
          <w:szCs w:val="20"/>
        </w:rPr>
        <w:t>Notas. Esta tabela</w:t>
      </w:r>
      <w:r w:rsidR="006C3FE7">
        <w:rPr>
          <w:rFonts w:ascii="Times New Roman" w:hAnsi="Times New Roman" w:cs="Times New Roman"/>
          <w:sz w:val="18"/>
          <w:szCs w:val="20"/>
        </w:rPr>
        <w:t>, de elaboração própria,</w:t>
      </w:r>
      <w:r w:rsidRPr="00FB0282">
        <w:rPr>
          <w:rFonts w:ascii="Times New Roman" w:hAnsi="Times New Roman" w:cs="Times New Roman"/>
          <w:sz w:val="18"/>
          <w:szCs w:val="20"/>
        </w:rPr>
        <w:t xml:space="preserve"> apresenta estatísticas descritivas geradas a partir do Censo de 2010 do Instituto Brasileiro de Geografia e Estatística (IBGE). As colunas 1 e 4 focam nos maiores, enquanto as colunas 2 e 5 analisam os menores. A amostra de maiores da coluna 1 compreende todos os indivíduos que têm entre 18 e 100 anos. A definição de maiores da coluna 4 considera apenas indivíduos que têm entre 18 e 20 anos. Na coluna 2 os menores são todos os indivíduos que têm entre 12 e 17 anos. Na coluna 5 os menores são todos os indivíduos que têm entre 15 e 17 anos. A coluna 3 (6) apresenta a diferença entre as colunas 1 e 2 (4 e 5). Abaixo de cada média aparece o erro-padrão, entre parênteses.</w:t>
      </w:r>
    </w:p>
    <w:p w:rsidR="00087EAF" w:rsidRPr="00087EAF" w:rsidRDefault="00087EAF" w:rsidP="00087EAF">
      <w:pPr>
        <w:spacing w:line="240" w:lineRule="auto"/>
        <w:ind w:firstLine="708"/>
        <w:jc w:val="both"/>
        <w:rPr>
          <w:rFonts w:ascii="Times New Roman" w:hAnsi="Times New Roman" w:cs="Times New Roman"/>
          <w:sz w:val="24"/>
          <w:szCs w:val="24"/>
        </w:rPr>
      </w:pPr>
      <w:r w:rsidRPr="00087EAF">
        <w:rPr>
          <w:rFonts w:ascii="Times New Roman" w:hAnsi="Times New Roman" w:cs="Times New Roman"/>
          <w:sz w:val="24"/>
          <w:szCs w:val="24"/>
        </w:rPr>
        <w:t xml:space="preserve">A Figura 2 disponibiliza a evolução anual da probabilidade de praticar furtos e roubos, para todos os maiores e menores contidos na base de crimes. A Figura 3 apresenta a trajetória ao longo do tempo para as mesmas variáveis, porém, foca na amostra restrita que compara indivíduos que têm entre 18 e 20 anos com aqueles que possuem entre 15 e 17 anos. Em ambas as </w:t>
      </w:r>
      <w:r>
        <w:rPr>
          <w:rFonts w:ascii="Times New Roman" w:hAnsi="Times New Roman" w:cs="Times New Roman"/>
          <w:sz w:val="24"/>
          <w:szCs w:val="24"/>
        </w:rPr>
        <w:t>fi</w:t>
      </w:r>
      <w:r w:rsidRPr="00087EAF">
        <w:rPr>
          <w:rFonts w:ascii="Times New Roman" w:hAnsi="Times New Roman" w:cs="Times New Roman"/>
          <w:sz w:val="24"/>
          <w:szCs w:val="24"/>
        </w:rPr>
        <w:t xml:space="preserve">guras </w:t>
      </w:r>
      <w:r w:rsidR="00046D3D" w:rsidRPr="00087EAF">
        <w:rPr>
          <w:rFonts w:ascii="Times New Roman" w:hAnsi="Times New Roman" w:cs="Times New Roman"/>
          <w:sz w:val="24"/>
          <w:szCs w:val="24"/>
        </w:rPr>
        <w:t>se inseriu</w:t>
      </w:r>
      <w:r w:rsidRPr="00087EAF">
        <w:rPr>
          <w:rFonts w:ascii="Times New Roman" w:hAnsi="Times New Roman" w:cs="Times New Roman"/>
          <w:sz w:val="24"/>
          <w:szCs w:val="24"/>
        </w:rPr>
        <w:t xml:space="preserve"> uma linha vertical entre 2010 e 2011 para ressaltar o momento a partir do qual poderia ser observada uma mudança na tendência em função da entrada em vigor da lei </w:t>
      </w:r>
      <w:r w:rsidR="004F5590">
        <w:rPr>
          <w:rFonts w:ascii="Times New Roman" w:hAnsi="Times New Roman" w:cs="Times New Roman"/>
          <w:sz w:val="24"/>
          <w:szCs w:val="24"/>
        </w:rPr>
        <w:t xml:space="preserve">nº </w:t>
      </w:r>
      <w:r w:rsidRPr="00087EAF">
        <w:rPr>
          <w:rFonts w:ascii="Times New Roman" w:hAnsi="Times New Roman" w:cs="Times New Roman"/>
          <w:sz w:val="24"/>
          <w:szCs w:val="24"/>
        </w:rPr>
        <w:t>12</w:t>
      </w:r>
      <w:r w:rsidR="004F5590">
        <w:rPr>
          <w:rFonts w:ascii="Times New Roman" w:hAnsi="Times New Roman" w:cs="Times New Roman"/>
          <w:sz w:val="24"/>
          <w:szCs w:val="24"/>
        </w:rPr>
        <w:t>.</w:t>
      </w:r>
      <w:r w:rsidRPr="00087EAF">
        <w:rPr>
          <w:rFonts w:ascii="Times New Roman" w:hAnsi="Times New Roman" w:cs="Times New Roman"/>
          <w:sz w:val="24"/>
          <w:szCs w:val="24"/>
        </w:rPr>
        <w:t>403.</w:t>
      </w:r>
    </w:p>
    <w:p w:rsidR="00087EAF" w:rsidRPr="00087EAF" w:rsidRDefault="00087EAF" w:rsidP="00087EAF">
      <w:pPr>
        <w:spacing w:line="240" w:lineRule="auto"/>
        <w:ind w:firstLine="708"/>
        <w:jc w:val="both"/>
        <w:rPr>
          <w:rFonts w:ascii="Times New Roman" w:hAnsi="Times New Roman" w:cs="Times New Roman"/>
          <w:sz w:val="24"/>
          <w:szCs w:val="24"/>
        </w:rPr>
      </w:pPr>
      <w:r w:rsidRPr="00087EAF">
        <w:rPr>
          <w:rFonts w:ascii="Times New Roman" w:hAnsi="Times New Roman" w:cs="Times New Roman"/>
          <w:sz w:val="24"/>
          <w:szCs w:val="24"/>
        </w:rPr>
        <w:t xml:space="preserve">Ao analisar as </w:t>
      </w:r>
      <w:r>
        <w:rPr>
          <w:rFonts w:ascii="Times New Roman" w:hAnsi="Times New Roman" w:cs="Times New Roman"/>
          <w:sz w:val="24"/>
          <w:szCs w:val="24"/>
        </w:rPr>
        <w:t>fi</w:t>
      </w:r>
      <w:r w:rsidRPr="00087EAF">
        <w:rPr>
          <w:rFonts w:ascii="Times New Roman" w:hAnsi="Times New Roman" w:cs="Times New Roman"/>
          <w:sz w:val="24"/>
          <w:szCs w:val="24"/>
        </w:rPr>
        <w:t>guras 2 e 3 percebe-se que: (i) os níveis das variáveis são mais parecidos quando é analisada a amostra restrita (Figura 3) - que considera uma janela de três anos ao redor da maioridade - do que quando realiza-se a comparação entre todos os maiores e menores da base de crimes; (</w:t>
      </w:r>
      <w:proofErr w:type="spellStart"/>
      <w:r w:rsidRPr="00087EAF">
        <w:rPr>
          <w:rFonts w:ascii="Times New Roman" w:hAnsi="Times New Roman" w:cs="Times New Roman"/>
          <w:sz w:val="24"/>
          <w:szCs w:val="24"/>
        </w:rPr>
        <w:t>ii</w:t>
      </w:r>
      <w:proofErr w:type="spellEnd"/>
      <w:r w:rsidRPr="00087EAF">
        <w:rPr>
          <w:rFonts w:ascii="Times New Roman" w:hAnsi="Times New Roman" w:cs="Times New Roman"/>
          <w:sz w:val="24"/>
          <w:szCs w:val="24"/>
        </w:rPr>
        <w:t xml:space="preserve">) as tendências de furtos e roubos, no período </w:t>
      </w:r>
      <w:proofErr w:type="spellStart"/>
      <w:r w:rsidRPr="00087EAF">
        <w:rPr>
          <w:rFonts w:ascii="Times New Roman" w:hAnsi="Times New Roman" w:cs="Times New Roman"/>
          <w:sz w:val="24"/>
          <w:szCs w:val="24"/>
        </w:rPr>
        <w:t>pré-lei</w:t>
      </w:r>
      <w:proofErr w:type="spellEnd"/>
      <w:r w:rsidRPr="00087EAF">
        <w:rPr>
          <w:rFonts w:ascii="Times New Roman" w:hAnsi="Times New Roman" w:cs="Times New Roman"/>
          <w:sz w:val="24"/>
          <w:szCs w:val="24"/>
        </w:rPr>
        <w:t>, também são mais similares ao focar na amostra restrita (Figura 3); (</w:t>
      </w:r>
      <w:proofErr w:type="spellStart"/>
      <w:r w:rsidRPr="00087EAF">
        <w:rPr>
          <w:rFonts w:ascii="Times New Roman" w:hAnsi="Times New Roman" w:cs="Times New Roman"/>
          <w:sz w:val="24"/>
          <w:szCs w:val="24"/>
        </w:rPr>
        <w:t>iii</w:t>
      </w:r>
      <w:proofErr w:type="spellEnd"/>
      <w:r w:rsidRPr="00087EAF">
        <w:rPr>
          <w:rFonts w:ascii="Times New Roman" w:hAnsi="Times New Roman" w:cs="Times New Roman"/>
          <w:sz w:val="24"/>
          <w:szCs w:val="24"/>
        </w:rPr>
        <w:t>) no período pós-lei o grá</w:t>
      </w:r>
      <w:r>
        <w:rPr>
          <w:rFonts w:ascii="Times New Roman" w:hAnsi="Times New Roman" w:cs="Times New Roman"/>
          <w:sz w:val="24"/>
          <w:szCs w:val="24"/>
        </w:rPr>
        <w:t>fi</w:t>
      </w:r>
      <w:r w:rsidRPr="00087EAF">
        <w:rPr>
          <w:rFonts w:ascii="Times New Roman" w:hAnsi="Times New Roman" w:cs="Times New Roman"/>
          <w:sz w:val="24"/>
          <w:szCs w:val="24"/>
        </w:rPr>
        <w:t>co preferido para a trajetória dos furtos (parte superior da Figura 3), que compara grupos mais semelhantes, aponta para uma queda relativa (aumento relativo) na probabilidade de que menores (maiores) cometam este tipo de delito, a partir de 2012 e (</w:t>
      </w:r>
      <w:proofErr w:type="spellStart"/>
      <w:r w:rsidRPr="00087EAF">
        <w:rPr>
          <w:rFonts w:ascii="Times New Roman" w:hAnsi="Times New Roman" w:cs="Times New Roman"/>
          <w:sz w:val="24"/>
          <w:szCs w:val="24"/>
        </w:rPr>
        <w:t>iv</w:t>
      </w:r>
      <w:proofErr w:type="spellEnd"/>
      <w:r w:rsidRPr="00087EAF">
        <w:rPr>
          <w:rFonts w:ascii="Times New Roman" w:hAnsi="Times New Roman" w:cs="Times New Roman"/>
          <w:sz w:val="24"/>
          <w:szCs w:val="24"/>
        </w:rPr>
        <w:t>) depois da implementação da lei o grá</w:t>
      </w:r>
      <w:r w:rsidR="0097000D">
        <w:rPr>
          <w:rFonts w:ascii="Times New Roman" w:hAnsi="Times New Roman" w:cs="Times New Roman"/>
          <w:sz w:val="24"/>
          <w:szCs w:val="24"/>
        </w:rPr>
        <w:t>fi</w:t>
      </w:r>
      <w:r w:rsidRPr="00087EAF">
        <w:rPr>
          <w:rFonts w:ascii="Times New Roman" w:hAnsi="Times New Roman" w:cs="Times New Roman"/>
          <w:sz w:val="24"/>
          <w:szCs w:val="24"/>
        </w:rPr>
        <w:t>co preferido para a evolução dos roubos (parte inferior da Figura 3) apresenta tendências paralelas.</w:t>
      </w:r>
    </w:p>
    <w:p w:rsidR="00FB0282" w:rsidRDefault="00FB0282" w:rsidP="00956B8C">
      <w:pPr>
        <w:spacing w:line="240" w:lineRule="auto"/>
        <w:jc w:val="center"/>
        <w:rPr>
          <w:rFonts w:ascii="Times New Roman" w:hAnsi="Times New Roman" w:cs="Times New Roman"/>
          <w:sz w:val="24"/>
          <w:szCs w:val="24"/>
        </w:rPr>
      </w:pPr>
    </w:p>
    <w:p w:rsidR="00FE6C04" w:rsidRDefault="00087EAF" w:rsidP="00284322">
      <w:pPr>
        <w:spacing w:line="240" w:lineRule="auto"/>
        <w:jc w:val="center"/>
        <w:rPr>
          <w:rFonts w:ascii="Times New Roman" w:hAnsi="Times New Roman" w:cs="Times New Roman"/>
          <w:sz w:val="24"/>
          <w:szCs w:val="24"/>
        </w:rPr>
      </w:pPr>
      <w:r w:rsidRPr="00087EAF">
        <w:rPr>
          <w:rFonts w:ascii="Times New Roman" w:hAnsi="Times New Roman" w:cs="Times New Roman"/>
          <w:sz w:val="24"/>
          <w:szCs w:val="24"/>
        </w:rPr>
        <w:lastRenderedPageBreak/>
        <w:t xml:space="preserve">Figura 2: Evolução ao longo do tempo da probabilidade de praticar roubo e furto </w:t>
      </w:r>
      <w:r w:rsidR="006C3FE7">
        <w:rPr>
          <w:rFonts w:ascii="Times New Roman" w:hAnsi="Times New Roman" w:cs="Times New Roman"/>
          <w:sz w:val="24"/>
          <w:szCs w:val="24"/>
        </w:rPr>
        <w:br/>
      </w:r>
      <w:r w:rsidRPr="00087EAF">
        <w:rPr>
          <w:rFonts w:ascii="Times New Roman" w:hAnsi="Times New Roman" w:cs="Times New Roman"/>
          <w:sz w:val="24"/>
          <w:szCs w:val="24"/>
        </w:rPr>
        <w:t>(</w:t>
      </w:r>
      <w:r w:rsidR="006C3FE7">
        <w:rPr>
          <w:rFonts w:ascii="Times New Roman" w:hAnsi="Times New Roman" w:cs="Times New Roman"/>
          <w:sz w:val="24"/>
          <w:szCs w:val="24"/>
        </w:rPr>
        <w:t xml:space="preserve">Comparação entre indivíduos </w:t>
      </w:r>
      <w:r w:rsidRPr="00087EAF">
        <w:rPr>
          <w:rFonts w:ascii="Times New Roman" w:hAnsi="Times New Roman" w:cs="Times New Roman"/>
          <w:sz w:val="24"/>
          <w:szCs w:val="24"/>
        </w:rPr>
        <w:t xml:space="preserve">maiores de 18 </w:t>
      </w:r>
      <w:r w:rsidR="006C3FE7">
        <w:rPr>
          <w:rFonts w:ascii="Times New Roman" w:hAnsi="Times New Roman" w:cs="Times New Roman"/>
          <w:sz w:val="24"/>
          <w:szCs w:val="24"/>
        </w:rPr>
        <w:t>e</w:t>
      </w:r>
      <w:r w:rsidR="006C3FE7" w:rsidRPr="00087EAF">
        <w:rPr>
          <w:rFonts w:ascii="Times New Roman" w:hAnsi="Times New Roman" w:cs="Times New Roman"/>
          <w:sz w:val="24"/>
          <w:szCs w:val="24"/>
        </w:rPr>
        <w:t xml:space="preserve"> </w:t>
      </w:r>
      <w:r w:rsidRPr="00087EAF">
        <w:rPr>
          <w:rFonts w:ascii="Times New Roman" w:hAnsi="Times New Roman" w:cs="Times New Roman"/>
          <w:sz w:val="24"/>
          <w:szCs w:val="24"/>
        </w:rPr>
        <w:t xml:space="preserve">menores de </w:t>
      </w:r>
      <w:r w:rsidR="006C3FE7" w:rsidRPr="00087EAF">
        <w:rPr>
          <w:rFonts w:ascii="Times New Roman" w:hAnsi="Times New Roman" w:cs="Times New Roman"/>
          <w:sz w:val="24"/>
          <w:szCs w:val="24"/>
        </w:rPr>
        <w:t>18)</w:t>
      </w:r>
      <w:r w:rsidR="006C3FE7">
        <w:rPr>
          <w:rFonts w:ascii="Times New Roman" w:hAnsi="Times New Roman" w:cs="Times New Roman"/>
          <w:sz w:val="24"/>
          <w:szCs w:val="24"/>
        </w:rPr>
        <w:t xml:space="preserve"> </w:t>
      </w:r>
      <w:r w:rsidR="006C3FE7">
        <w:rPr>
          <w:rFonts w:ascii="Times New Roman" w:hAnsi="Times New Roman" w:cs="Times New Roman"/>
          <w:sz w:val="24"/>
          <w:szCs w:val="24"/>
        </w:rPr>
        <w:br/>
        <w:t>(Dados d</w:t>
      </w:r>
      <w:r w:rsidR="00585020">
        <w:rPr>
          <w:rFonts w:ascii="Times New Roman" w:hAnsi="Times New Roman" w:cs="Times New Roman"/>
          <w:sz w:val="24"/>
          <w:szCs w:val="24"/>
        </w:rPr>
        <w:t>o</w:t>
      </w:r>
      <w:r w:rsidR="006C3FE7">
        <w:rPr>
          <w:rFonts w:ascii="Times New Roman" w:hAnsi="Times New Roman" w:cs="Times New Roman"/>
          <w:sz w:val="24"/>
          <w:szCs w:val="24"/>
        </w:rPr>
        <w:t xml:space="preserve"> DGTIT/PCERJ)</w:t>
      </w:r>
    </w:p>
    <w:p w:rsidR="00FB0282" w:rsidRDefault="004F2D54" w:rsidP="00087EAF">
      <w:pPr>
        <w:spacing w:line="240" w:lineRule="auto"/>
        <w:ind w:firstLine="708"/>
        <w:jc w:val="center"/>
        <w:rPr>
          <w:rFonts w:ascii="Times New Roman" w:hAnsi="Times New Roman" w:cs="Times New Roman"/>
          <w:sz w:val="24"/>
          <w:szCs w:val="24"/>
        </w:rPr>
      </w:pPr>
      <w:r w:rsidRPr="004F2D54">
        <w:rPr>
          <w:rFonts w:ascii="Times New Roman" w:hAnsi="Times New Roman" w:cs="Times New Roman"/>
          <w:sz w:val="24"/>
          <w:szCs w:val="24"/>
        </w:rPr>
        <w:t xml:space="preserve"> </w:t>
      </w:r>
      <w:r w:rsidRPr="004F2D54">
        <w:rPr>
          <w:noProof/>
          <w:lang w:eastAsia="pt-BR"/>
        </w:rPr>
        <w:drawing>
          <wp:inline distT="0" distB="0" distL="0" distR="0">
            <wp:extent cx="3709297" cy="2714625"/>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7954" cy="2742916"/>
                    </a:xfrm>
                    <a:prstGeom prst="rect">
                      <a:avLst/>
                    </a:prstGeom>
                    <a:noFill/>
                    <a:ln>
                      <a:noFill/>
                    </a:ln>
                  </pic:spPr>
                </pic:pic>
              </a:graphicData>
            </a:graphic>
          </wp:inline>
        </w:drawing>
      </w:r>
    </w:p>
    <w:p w:rsidR="00087EAF" w:rsidRDefault="004F2D54" w:rsidP="00087EAF">
      <w:pPr>
        <w:spacing w:line="240" w:lineRule="auto"/>
        <w:ind w:firstLine="708"/>
        <w:jc w:val="center"/>
        <w:rPr>
          <w:rFonts w:ascii="Times New Roman" w:hAnsi="Times New Roman" w:cs="Times New Roman"/>
          <w:sz w:val="24"/>
          <w:szCs w:val="24"/>
        </w:rPr>
      </w:pPr>
      <w:r w:rsidRPr="004F2D54">
        <w:rPr>
          <w:rFonts w:ascii="Times New Roman" w:hAnsi="Times New Roman" w:cs="Times New Roman"/>
          <w:sz w:val="24"/>
          <w:szCs w:val="24"/>
        </w:rPr>
        <w:t xml:space="preserve"> </w:t>
      </w:r>
      <w:r w:rsidRPr="004F2D54">
        <w:rPr>
          <w:noProof/>
          <w:lang w:eastAsia="pt-BR"/>
        </w:rPr>
        <w:drawing>
          <wp:inline distT="0" distB="0" distL="0" distR="0">
            <wp:extent cx="3743325" cy="2739529"/>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8553" cy="2750674"/>
                    </a:xfrm>
                    <a:prstGeom prst="rect">
                      <a:avLst/>
                    </a:prstGeom>
                    <a:noFill/>
                    <a:ln>
                      <a:noFill/>
                    </a:ln>
                  </pic:spPr>
                </pic:pic>
              </a:graphicData>
            </a:graphic>
          </wp:inline>
        </w:drawing>
      </w:r>
    </w:p>
    <w:p w:rsidR="00087EAF" w:rsidRPr="00FB0282" w:rsidRDefault="00087EAF" w:rsidP="00087EAF">
      <w:pPr>
        <w:spacing w:line="240" w:lineRule="auto"/>
        <w:jc w:val="both"/>
        <w:rPr>
          <w:rFonts w:ascii="Times New Roman" w:hAnsi="Times New Roman" w:cs="Times New Roman"/>
          <w:sz w:val="18"/>
          <w:szCs w:val="24"/>
        </w:rPr>
      </w:pPr>
      <w:r w:rsidRPr="00FB0282">
        <w:rPr>
          <w:rFonts w:ascii="Times New Roman" w:hAnsi="Times New Roman" w:cs="Times New Roman"/>
          <w:sz w:val="18"/>
          <w:szCs w:val="24"/>
        </w:rPr>
        <w:t>Notas. Esta figura apresenta a evolução anual da probabilidade de que indivíduos cometam: (i) furtos na parte superior e (</w:t>
      </w:r>
      <w:proofErr w:type="spellStart"/>
      <w:r w:rsidRPr="00FB0282">
        <w:rPr>
          <w:rFonts w:ascii="Times New Roman" w:hAnsi="Times New Roman" w:cs="Times New Roman"/>
          <w:sz w:val="18"/>
          <w:szCs w:val="24"/>
        </w:rPr>
        <w:t>ii</w:t>
      </w:r>
      <w:proofErr w:type="spellEnd"/>
      <w:r w:rsidRPr="00FB0282">
        <w:rPr>
          <w:rFonts w:ascii="Times New Roman" w:hAnsi="Times New Roman" w:cs="Times New Roman"/>
          <w:sz w:val="18"/>
          <w:szCs w:val="24"/>
        </w:rPr>
        <w:t>) roubos na parte inferior. Os maiores são indivíduos que têm entre 18 e 100 anos e os menores aqueles que possuem entre 12 e 17 anos. A barra vertical aparece entre 2010 e 2011 para ressaltar o momento imediatamente anterior à entrada em vigor da lei nº 12.403.</w:t>
      </w:r>
      <w:r w:rsidR="000C3126">
        <w:rPr>
          <w:rFonts w:ascii="Times New Roman" w:hAnsi="Times New Roman" w:cs="Times New Roman"/>
          <w:sz w:val="18"/>
          <w:szCs w:val="24"/>
        </w:rPr>
        <w:t xml:space="preserve"> Elaboração própria a partir de dados do DGTIT/PCERJ.</w:t>
      </w:r>
    </w:p>
    <w:p w:rsidR="00610E2B" w:rsidRDefault="00610E2B" w:rsidP="00087EAF">
      <w:pPr>
        <w:spacing w:line="240" w:lineRule="auto"/>
        <w:ind w:firstLine="708"/>
        <w:jc w:val="center"/>
        <w:rPr>
          <w:rFonts w:ascii="Times New Roman" w:hAnsi="Times New Roman" w:cs="Times New Roman"/>
          <w:sz w:val="24"/>
          <w:szCs w:val="24"/>
        </w:rPr>
      </w:pPr>
    </w:p>
    <w:p w:rsidR="00610E2B" w:rsidRDefault="00610E2B" w:rsidP="00087EAF">
      <w:pPr>
        <w:spacing w:line="240" w:lineRule="auto"/>
        <w:ind w:firstLine="708"/>
        <w:jc w:val="center"/>
        <w:rPr>
          <w:rFonts w:ascii="Times New Roman" w:hAnsi="Times New Roman" w:cs="Times New Roman"/>
          <w:sz w:val="24"/>
          <w:szCs w:val="24"/>
        </w:rPr>
      </w:pPr>
    </w:p>
    <w:p w:rsidR="00201340" w:rsidRDefault="00201340" w:rsidP="00087EAF">
      <w:pPr>
        <w:spacing w:line="240" w:lineRule="auto"/>
        <w:ind w:firstLine="708"/>
        <w:jc w:val="center"/>
        <w:rPr>
          <w:rFonts w:ascii="Times New Roman" w:hAnsi="Times New Roman" w:cs="Times New Roman"/>
          <w:sz w:val="24"/>
          <w:szCs w:val="24"/>
        </w:rPr>
      </w:pPr>
    </w:p>
    <w:p w:rsidR="00201340" w:rsidRDefault="00201340" w:rsidP="00087EAF">
      <w:pPr>
        <w:spacing w:line="240" w:lineRule="auto"/>
        <w:ind w:firstLine="708"/>
        <w:jc w:val="center"/>
        <w:rPr>
          <w:rFonts w:ascii="Times New Roman" w:hAnsi="Times New Roman" w:cs="Times New Roman"/>
          <w:sz w:val="24"/>
          <w:szCs w:val="24"/>
        </w:rPr>
      </w:pPr>
    </w:p>
    <w:p w:rsidR="00CC4697" w:rsidRDefault="00CC4697" w:rsidP="00087EAF">
      <w:pPr>
        <w:spacing w:line="240" w:lineRule="auto"/>
        <w:ind w:firstLine="708"/>
        <w:jc w:val="center"/>
        <w:rPr>
          <w:rFonts w:ascii="Times New Roman" w:hAnsi="Times New Roman" w:cs="Times New Roman"/>
          <w:sz w:val="24"/>
          <w:szCs w:val="24"/>
        </w:rPr>
      </w:pPr>
    </w:p>
    <w:p w:rsidR="00CC4697" w:rsidRDefault="00CC4697" w:rsidP="00087EAF">
      <w:pPr>
        <w:spacing w:line="240" w:lineRule="auto"/>
        <w:ind w:firstLine="708"/>
        <w:jc w:val="center"/>
        <w:rPr>
          <w:rFonts w:ascii="Times New Roman" w:hAnsi="Times New Roman" w:cs="Times New Roman"/>
          <w:sz w:val="24"/>
          <w:szCs w:val="24"/>
        </w:rPr>
      </w:pPr>
    </w:p>
    <w:p w:rsidR="00CC4697" w:rsidRDefault="00CC4697" w:rsidP="00087EAF">
      <w:pPr>
        <w:spacing w:line="240" w:lineRule="auto"/>
        <w:ind w:firstLine="708"/>
        <w:jc w:val="center"/>
        <w:rPr>
          <w:rFonts w:ascii="Times New Roman" w:hAnsi="Times New Roman" w:cs="Times New Roman"/>
          <w:sz w:val="24"/>
          <w:szCs w:val="24"/>
        </w:rPr>
      </w:pPr>
    </w:p>
    <w:p w:rsidR="00087EAF" w:rsidRDefault="00087EAF" w:rsidP="00087EAF">
      <w:pPr>
        <w:spacing w:line="240" w:lineRule="auto"/>
        <w:ind w:firstLine="708"/>
        <w:jc w:val="center"/>
        <w:rPr>
          <w:rFonts w:ascii="Times New Roman" w:hAnsi="Times New Roman" w:cs="Times New Roman"/>
          <w:sz w:val="24"/>
          <w:szCs w:val="24"/>
        </w:rPr>
      </w:pPr>
      <w:r w:rsidRPr="00087EAF">
        <w:rPr>
          <w:rFonts w:ascii="Times New Roman" w:hAnsi="Times New Roman" w:cs="Times New Roman"/>
          <w:sz w:val="24"/>
          <w:szCs w:val="24"/>
        </w:rPr>
        <w:lastRenderedPageBreak/>
        <w:t xml:space="preserve">Figura 3: Evolução ao longo do tempo da probabilidade de praticar roubo e furto </w:t>
      </w:r>
      <w:r w:rsidR="006C3FE7">
        <w:rPr>
          <w:rFonts w:ascii="Times New Roman" w:hAnsi="Times New Roman" w:cs="Times New Roman"/>
          <w:sz w:val="24"/>
          <w:szCs w:val="24"/>
        </w:rPr>
        <w:br/>
      </w:r>
      <w:r w:rsidRPr="00087EAF">
        <w:rPr>
          <w:rFonts w:ascii="Times New Roman" w:hAnsi="Times New Roman" w:cs="Times New Roman"/>
          <w:sz w:val="24"/>
          <w:szCs w:val="24"/>
        </w:rPr>
        <w:t>(</w:t>
      </w:r>
      <w:r w:rsidR="006C3FE7">
        <w:rPr>
          <w:rFonts w:ascii="Times New Roman" w:hAnsi="Times New Roman" w:cs="Times New Roman"/>
          <w:sz w:val="24"/>
          <w:szCs w:val="24"/>
        </w:rPr>
        <w:t xml:space="preserve">Comparação </w:t>
      </w:r>
      <w:r w:rsidR="000B423A">
        <w:rPr>
          <w:rFonts w:ascii="Times New Roman" w:hAnsi="Times New Roman" w:cs="Times New Roman"/>
          <w:sz w:val="24"/>
          <w:szCs w:val="24"/>
        </w:rPr>
        <w:t>entre</w:t>
      </w:r>
      <w:r w:rsidR="006C3FE7">
        <w:rPr>
          <w:rFonts w:ascii="Times New Roman" w:hAnsi="Times New Roman" w:cs="Times New Roman"/>
          <w:sz w:val="24"/>
          <w:szCs w:val="24"/>
        </w:rPr>
        <w:t xml:space="preserve"> indivíduos de </w:t>
      </w:r>
      <w:r w:rsidRPr="00087EAF">
        <w:rPr>
          <w:rFonts w:ascii="Times New Roman" w:hAnsi="Times New Roman" w:cs="Times New Roman"/>
          <w:sz w:val="24"/>
          <w:szCs w:val="24"/>
        </w:rPr>
        <w:t>15 a 17</w:t>
      </w:r>
      <w:r w:rsidR="006C3FE7">
        <w:rPr>
          <w:rFonts w:ascii="Times New Roman" w:hAnsi="Times New Roman" w:cs="Times New Roman"/>
          <w:sz w:val="24"/>
          <w:szCs w:val="24"/>
        </w:rPr>
        <w:t xml:space="preserve"> anos</w:t>
      </w:r>
      <w:r w:rsidRPr="00087EAF">
        <w:rPr>
          <w:rFonts w:ascii="Times New Roman" w:hAnsi="Times New Roman" w:cs="Times New Roman"/>
          <w:sz w:val="24"/>
          <w:szCs w:val="24"/>
        </w:rPr>
        <w:t xml:space="preserve"> </w:t>
      </w:r>
      <w:r w:rsidR="006C3FE7">
        <w:rPr>
          <w:rFonts w:ascii="Times New Roman" w:hAnsi="Times New Roman" w:cs="Times New Roman"/>
          <w:sz w:val="24"/>
          <w:szCs w:val="24"/>
        </w:rPr>
        <w:t>e</w:t>
      </w:r>
      <w:r w:rsidRPr="00087EAF">
        <w:rPr>
          <w:rFonts w:ascii="Times New Roman" w:hAnsi="Times New Roman" w:cs="Times New Roman"/>
          <w:sz w:val="24"/>
          <w:szCs w:val="24"/>
        </w:rPr>
        <w:t xml:space="preserve"> 18 a 20</w:t>
      </w:r>
      <w:r w:rsidR="006C3FE7">
        <w:rPr>
          <w:rFonts w:ascii="Times New Roman" w:hAnsi="Times New Roman" w:cs="Times New Roman"/>
          <w:sz w:val="24"/>
          <w:szCs w:val="24"/>
        </w:rPr>
        <w:t xml:space="preserve"> anos</w:t>
      </w:r>
      <w:r w:rsidRPr="00087EAF">
        <w:rPr>
          <w:rFonts w:ascii="Times New Roman" w:hAnsi="Times New Roman" w:cs="Times New Roman"/>
          <w:sz w:val="24"/>
          <w:szCs w:val="24"/>
        </w:rPr>
        <w:t>)</w:t>
      </w:r>
      <w:r w:rsidR="006C3FE7">
        <w:rPr>
          <w:rFonts w:ascii="Times New Roman" w:hAnsi="Times New Roman" w:cs="Times New Roman"/>
          <w:sz w:val="24"/>
          <w:szCs w:val="24"/>
        </w:rPr>
        <w:t xml:space="preserve"> </w:t>
      </w:r>
      <w:r w:rsidR="006C3FE7">
        <w:rPr>
          <w:rFonts w:ascii="Times New Roman" w:hAnsi="Times New Roman" w:cs="Times New Roman"/>
          <w:sz w:val="24"/>
          <w:szCs w:val="24"/>
        </w:rPr>
        <w:br/>
        <w:t>(Dados d</w:t>
      </w:r>
      <w:r w:rsidR="00585020">
        <w:rPr>
          <w:rFonts w:ascii="Times New Roman" w:hAnsi="Times New Roman" w:cs="Times New Roman"/>
          <w:sz w:val="24"/>
          <w:szCs w:val="24"/>
        </w:rPr>
        <w:t>o</w:t>
      </w:r>
      <w:r w:rsidR="006C3FE7">
        <w:rPr>
          <w:rFonts w:ascii="Times New Roman" w:hAnsi="Times New Roman" w:cs="Times New Roman"/>
          <w:sz w:val="24"/>
          <w:szCs w:val="24"/>
        </w:rPr>
        <w:t xml:space="preserve"> DGTIT/PCERJ)</w:t>
      </w:r>
    </w:p>
    <w:p w:rsidR="00087EAF" w:rsidRDefault="004F2D54" w:rsidP="008D143E">
      <w:pPr>
        <w:spacing w:line="240" w:lineRule="auto"/>
        <w:ind w:firstLine="708"/>
        <w:jc w:val="center"/>
        <w:rPr>
          <w:rFonts w:ascii="Times New Roman" w:hAnsi="Times New Roman" w:cs="Times New Roman"/>
          <w:sz w:val="24"/>
          <w:szCs w:val="24"/>
        </w:rPr>
      </w:pPr>
      <w:r w:rsidRPr="004F2D54">
        <w:rPr>
          <w:rFonts w:ascii="Times New Roman" w:hAnsi="Times New Roman" w:cs="Times New Roman"/>
          <w:sz w:val="24"/>
          <w:szCs w:val="24"/>
        </w:rPr>
        <w:t xml:space="preserve"> </w:t>
      </w:r>
      <w:r w:rsidR="000D2D3D" w:rsidRPr="000D2D3D">
        <w:rPr>
          <w:noProof/>
          <w:lang w:eastAsia="pt-BR"/>
        </w:rPr>
        <w:drawing>
          <wp:inline distT="0" distB="0" distL="0" distR="0">
            <wp:extent cx="3865479" cy="2828925"/>
            <wp:effectExtent l="0" t="0" r="190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7524" cy="2845059"/>
                    </a:xfrm>
                    <a:prstGeom prst="rect">
                      <a:avLst/>
                    </a:prstGeom>
                    <a:noFill/>
                    <a:ln>
                      <a:noFill/>
                    </a:ln>
                  </pic:spPr>
                </pic:pic>
              </a:graphicData>
            </a:graphic>
          </wp:inline>
        </w:drawing>
      </w:r>
    </w:p>
    <w:p w:rsidR="00087EAF" w:rsidRPr="00087EAF" w:rsidRDefault="004F2D54" w:rsidP="008D143E">
      <w:pPr>
        <w:spacing w:line="240" w:lineRule="auto"/>
        <w:ind w:firstLine="708"/>
        <w:jc w:val="center"/>
        <w:rPr>
          <w:rFonts w:ascii="Times New Roman" w:hAnsi="Times New Roman" w:cs="Times New Roman"/>
          <w:sz w:val="24"/>
          <w:szCs w:val="24"/>
        </w:rPr>
      </w:pPr>
      <w:r w:rsidRPr="004F2D54">
        <w:rPr>
          <w:rFonts w:ascii="Times New Roman" w:hAnsi="Times New Roman" w:cs="Times New Roman"/>
          <w:sz w:val="24"/>
          <w:szCs w:val="24"/>
        </w:rPr>
        <w:t xml:space="preserve"> </w:t>
      </w:r>
      <w:r w:rsidRPr="004F2D54">
        <w:rPr>
          <w:noProof/>
          <w:lang w:eastAsia="pt-BR"/>
        </w:rPr>
        <w:drawing>
          <wp:inline distT="0" distB="0" distL="0" distR="0">
            <wp:extent cx="3924300" cy="2871974"/>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0724" cy="2883994"/>
                    </a:xfrm>
                    <a:prstGeom prst="rect">
                      <a:avLst/>
                    </a:prstGeom>
                    <a:noFill/>
                    <a:ln>
                      <a:noFill/>
                    </a:ln>
                  </pic:spPr>
                </pic:pic>
              </a:graphicData>
            </a:graphic>
          </wp:inline>
        </w:drawing>
      </w:r>
    </w:p>
    <w:p w:rsidR="00087EAF" w:rsidRPr="00FB0282" w:rsidRDefault="00087EAF" w:rsidP="00087EAF">
      <w:pPr>
        <w:spacing w:line="240" w:lineRule="auto"/>
        <w:jc w:val="both"/>
        <w:rPr>
          <w:rFonts w:ascii="Times New Roman" w:hAnsi="Times New Roman" w:cs="Times New Roman"/>
          <w:sz w:val="18"/>
          <w:szCs w:val="24"/>
        </w:rPr>
      </w:pPr>
      <w:r w:rsidRPr="00FB0282">
        <w:rPr>
          <w:rFonts w:ascii="Times New Roman" w:hAnsi="Times New Roman" w:cs="Times New Roman"/>
          <w:sz w:val="18"/>
          <w:szCs w:val="24"/>
        </w:rPr>
        <w:t>Notas. Esta figura apresenta a evolução anual da probabilidade de que indivíduos cometam: (i) furtos na parte superior e (</w:t>
      </w:r>
      <w:proofErr w:type="spellStart"/>
      <w:r w:rsidRPr="00FB0282">
        <w:rPr>
          <w:rFonts w:ascii="Times New Roman" w:hAnsi="Times New Roman" w:cs="Times New Roman"/>
          <w:sz w:val="18"/>
          <w:szCs w:val="24"/>
        </w:rPr>
        <w:t>ii</w:t>
      </w:r>
      <w:proofErr w:type="spellEnd"/>
      <w:r w:rsidRPr="00FB0282">
        <w:rPr>
          <w:rFonts w:ascii="Times New Roman" w:hAnsi="Times New Roman" w:cs="Times New Roman"/>
          <w:sz w:val="18"/>
          <w:szCs w:val="24"/>
        </w:rPr>
        <w:t>) roubos na parte inferior. Os maiores são indivíduos que têm entre 18 e 20 anos e os menores aqueles que possuem entre 15 e 17 anos. A barra vertical aparece entre 2010 e 2011 para ressaltar o momento imediatamente anterior à entrada em vigor da lei nº 12.403.</w:t>
      </w:r>
      <w:r w:rsidR="000C3126">
        <w:rPr>
          <w:rFonts w:ascii="Times New Roman" w:hAnsi="Times New Roman" w:cs="Times New Roman"/>
          <w:sz w:val="18"/>
          <w:szCs w:val="24"/>
        </w:rPr>
        <w:t xml:space="preserve"> Elaboração própria a partir de dados do DGTIT/PCERJ.</w:t>
      </w:r>
    </w:p>
    <w:p w:rsidR="00CC4697" w:rsidRPr="00956B8C" w:rsidRDefault="00CC4697" w:rsidP="00CC4697">
      <w:pPr>
        <w:spacing w:line="240" w:lineRule="auto"/>
        <w:ind w:firstLine="708"/>
        <w:jc w:val="both"/>
        <w:rPr>
          <w:rFonts w:ascii="Times New Roman" w:hAnsi="Times New Roman" w:cs="Times New Roman"/>
          <w:sz w:val="24"/>
          <w:szCs w:val="24"/>
        </w:rPr>
      </w:pPr>
      <w:r w:rsidRPr="00956B8C">
        <w:rPr>
          <w:rFonts w:ascii="Times New Roman" w:hAnsi="Times New Roman" w:cs="Times New Roman"/>
          <w:sz w:val="24"/>
          <w:szCs w:val="24"/>
        </w:rPr>
        <w:t>Um aspecto do comportamento dos furtos, ao focar na amostra preferida, pode causar estranheza (parte superior da Figura 3). Especificamente, o efeito da lei</w:t>
      </w:r>
      <w:r>
        <w:rPr>
          <w:rFonts w:ascii="Times New Roman" w:hAnsi="Times New Roman" w:cs="Times New Roman"/>
          <w:sz w:val="24"/>
          <w:szCs w:val="24"/>
        </w:rPr>
        <w:t xml:space="preserve"> nº</w:t>
      </w:r>
      <w:r w:rsidRPr="00956B8C">
        <w:rPr>
          <w:rFonts w:ascii="Times New Roman" w:hAnsi="Times New Roman" w:cs="Times New Roman"/>
          <w:sz w:val="24"/>
          <w:szCs w:val="24"/>
        </w:rPr>
        <w:t xml:space="preserve"> 12</w:t>
      </w:r>
      <w:r>
        <w:rPr>
          <w:rFonts w:ascii="Times New Roman" w:hAnsi="Times New Roman" w:cs="Times New Roman"/>
          <w:sz w:val="24"/>
          <w:szCs w:val="24"/>
        </w:rPr>
        <w:t>.</w:t>
      </w:r>
      <w:r w:rsidRPr="00956B8C">
        <w:rPr>
          <w:rFonts w:ascii="Times New Roman" w:hAnsi="Times New Roman" w:cs="Times New Roman"/>
          <w:sz w:val="24"/>
          <w:szCs w:val="24"/>
        </w:rPr>
        <w:t>403 deveria aparecer como um aumento na probabilidade de maiores cometerem furtos, em função da redução na aplicação da prisão provisória para este grupo de indivíduos. Contrariamente ao esperado observa-se uma manutenção na trajetória da probabilidade de maiores praticarem furtos e uma queda relativa na chance de menores cometerem este tipo de delito, a partir de 2012.</w:t>
      </w:r>
    </w:p>
    <w:p w:rsidR="00087EAF" w:rsidRDefault="00087EAF" w:rsidP="00201340">
      <w:pPr>
        <w:spacing w:line="240" w:lineRule="auto"/>
        <w:ind w:firstLine="708"/>
        <w:jc w:val="both"/>
        <w:rPr>
          <w:rFonts w:ascii="Times New Roman" w:hAnsi="Times New Roman" w:cs="Times New Roman"/>
          <w:sz w:val="24"/>
          <w:szCs w:val="24"/>
        </w:rPr>
      </w:pPr>
      <w:r w:rsidRPr="00956B8C">
        <w:rPr>
          <w:rFonts w:ascii="Times New Roman" w:hAnsi="Times New Roman" w:cs="Times New Roman"/>
          <w:sz w:val="24"/>
          <w:szCs w:val="24"/>
        </w:rPr>
        <w:t xml:space="preserve">Uma explicação para o comportamento aparentemente contra intuitivo da trajetória dos furtos (parte superior da Figura 3) é a implementação do Programa Renda Melhor, um projeto de transferência </w:t>
      </w:r>
      <w:r w:rsidRPr="00956B8C">
        <w:rPr>
          <w:rFonts w:ascii="Times New Roman" w:hAnsi="Times New Roman" w:cs="Times New Roman"/>
          <w:sz w:val="24"/>
          <w:szCs w:val="24"/>
        </w:rPr>
        <w:lastRenderedPageBreak/>
        <w:t>condicional de renda do Governo do Estado do Rio de Janeiro, no ano de 2012</w:t>
      </w:r>
      <w:r w:rsidR="003835CD">
        <w:rPr>
          <w:rFonts w:ascii="Times New Roman" w:hAnsi="Times New Roman" w:cs="Times New Roman"/>
          <w:sz w:val="24"/>
          <w:szCs w:val="24"/>
        </w:rPr>
        <w:t>.</w:t>
      </w:r>
      <w:r w:rsidR="00956B8C">
        <w:rPr>
          <w:rStyle w:val="Refdenotaderodap"/>
          <w:rFonts w:ascii="Times New Roman" w:hAnsi="Times New Roman" w:cs="Times New Roman"/>
          <w:sz w:val="24"/>
          <w:szCs w:val="24"/>
        </w:rPr>
        <w:footnoteReference w:id="12"/>
      </w:r>
      <w:r w:rsidR="003835CD">
        <w:rPr>
          <w:rFonts w:ascii="Times New Roman" w:hAnsi="Times New Roman" w:cs="Times New Roman"/>
          <w:sz w:val="24"/>
          <w:szCs w:val="24"/>
        </w:rPr>
        <w:t xml:space="preserve"> </w:t>
      </w:r>
      <w:proofErr w:type="spellStart"/>
      <w:r w:rsidRPr="00956B8C">
        <w:rPr>
          <w:rFonts w:ascii="Times New Roman" w:hAnsi="Times New Roman" w:cs="Times New Roman"/>
          <w:sz w:val="24"/>
          <w:szCs w:val="24"/>
        </w:rPr>
        <w:t>Chioda</w:t>
      </w:r>
      <w:proofErr w:type="spellEnd"/>
      <w:r w:rsidRPr="00956B8C">
        <w:rPr>
          <w:rFonts w:ascii="Times New Roman" w:hAnsi="Times New Roman" w:cs="Times New Roman"/>
          <w:sz w:val="24"/>
          <w:szCs w:val="24"/>
        </w:rPr>
        <w:t xml:space="preserve"> et al (2015) sugerem que este tipo de programa ajuda a reduzir o crime. Logo, a queda observada na probabilidade de menores cometerem furto pode ser justi</w:t>
      </w:r>
      <w:r w:rsidR="00956B8C">
        <w:rPr>
          <w:rFonts w:ascii="Times New Roman" w:hAnsi="Times New Roman" w:cs="Times New Roman"/>
          <w:sz w:val="24"/>
          <w:szCs w:val="24"/>
        </w:rPr>
        <w:t>fi</w:t>
      </w:r>
      <w:r w:rsidRPr="00956B8C">
        <w:rPr>
          <w:rFonts w:ascii="Times New Roman" w:hAnsi="Times New Roman" w:cs="Times New Roman"/>
          <w:sz w:val="24"/>
          <w:szCs w:val="24"/>
        </w:rPr>
        <w:t>cada pelo choque negativo gerado pela introdução do Programa Renda Melhor. Alternativamente, a manutenção da trajetória da chance de que maiores pratiquem furtos</w:t>
      </w:r>
      <w:r w:rsidR="00956B8C" w:rsidRPr="00956B8C">
        <w:rPr>
          <w:rFonts w:ascii="Times New Roman" w:hAnsi="Times New Roman" w:cs="Times New Roman"/>
          <w:sz w:val="24"/>
          <w:szCs w:val="24"/>
        </w:rPr>
        <w:t xml:space="preserve"> é </w:t>
      </w:r>
      <w:r w:rsidRPr="00956B8C">
        <w:rPr>
          <w:rFonts w:ascii="Times New Roman" w:hAnsi="Times New Roman" w:cs="Times New Roman"/>
          <w:sz w:val="24"/>
          <w:szCs w:val="24"/>
        </w:rPr>
        <w:t>consistente com a soma de dois efeitos contrários. O primeiro, é um choque negativo advindo da criação da política de transferência condicional de renda enquanto o segundo</w:t>
      </w:r>
      <w:r w:rsidR="00956B8C" w:rsidRPr="00956B8C">
        <w:rPr>
          <w:rFonts w:ascii="Times New Roman" w:hAnsi="Times New Roman" w:cs="Times New Roman"/>
          <w:sz w:val="24"/>
          <w:szCs w:val="24"/>
        </w:rPr>
        <w:t xml:space="preserve"> </w:t>
      </w:r>
      <w:r w:rsidRPr="00956B8C">
        <w:rPr>
          <w:rFonts w:ascii="Times New Roman" w:hAnsi="Times New Roman" w:cs="Times New Roman"/>
          <w:sz w:val="24"/>
          <w:szCs w:val="24"/>
        </w:rPr>
        <w:t>é</w:t>
      </w:r>
      <w:r w:rsidR="00956B8C" w:rsidRPr="00956B8C">
        <w:rPr>
          <w:rFonts w:ascii="Times New Roman" w:hAnsi="Times New Roman" w:cs="Times New Roman"/>
          <w:sz w:val="24"/>
          <w:szCs w:val="24"/>
        </w:rPr>
        <w:t xml:space="preserve"> </w:t>
      </w:r>
      <w:r w:rsidRPr="00956B8C">
        <w:rPr>
          <w:rFonts w:ascii="Times New Roman" w:hAnsi="Times New Roman" w:cs="Times New Roman"/>
          <w:sz w:val="24"/>
          <w:szCs w:val="24"/>
        </w:rPr>
        <w:t>um impacto positivo decorrente da introdução da lei</w:t>
      </w:r>
      <w:r w:rsidR="00956B8C" w:rsidRPr="00956B8C">
        <w:rPr>
          <w:rFonts w:ascii="Times New Roman" w:hAnsi="Times New Roman" w:cs="Times New Roman"/>
          <w:sz w:val="24"/>
          <w:szCs w:val="24"/>
        </w:rPr>
        <w:t xml:space="preserve"> nº</w:t>
      </w:r>
      <w:r w:rsidRPr="00956B8C">
        <w:rPr>
          <w:rFonts w:ascii="Times New Roman" w:hAnsi="Times New Roman" w:cs="Times New Roman"/>
          <w:sz w:val="24"/>
          <w:szCs w:val="24"/>
        </w:rPr>
        <w:t xml:space="preserve"> 12</w:t>
      </w:r>
      <w:r w:rsidR="00956B8C">
        <w:rPr>
          <w:rFonts w:ascii="Times New Roman" w:hAnsi="Times New Roman" w:cs="Times New Roman"/>
          <w:sz w:val="24"/>
          <w:szCs w:val="24"/>
        </w:rPr>
        <w:t>.</w:t>
      </w:r>
      <w:r w:rsidRPr="00956B8C">
        <w:rPr>
          <w:rFonts w:ascii="Times New Roman" w:hAnsi="Times New Roman" w:cs="Times New Roman"/>
          <w:sz w:val="24"/>
          <w:szCs w:val="24"/>
        </w:rPr>
        <w:t>403.</w:t>
      </w:r>
      <w:r w:rsidR="00707E29">
        <w:rPr>
          <w:rStyle w:val="Refdenotaderodap"/>
          <w:rFonts w:ascii="Times New Roman" w:hAnsi="Times New Roman" w:cs="Times New Roman"/>
          <w:sz w:val="24"/>
          <w:szCs w:val="24"/>
        </w:rPr>
        <w:footnoteReference w:id="13"/>
      </w:r>
    </w:p>
    <w:p w:rsidR="007778FE" w:rsidRPr="00956B8C" w:rsidRDefault="00956B8C" w:rsidP="007778FE">
      <w:pPr>
        <w:spacing w:before="240" w:line="360" w:lineRule="auto"/>
        <w:ind w:firstLine="708"/>
        <w:jc w:val="both"/>
        <w:rPr>
          <w:rFonts w:ascii="Times New Roman" w:hAnsi="Times New Roman" w:cs="Times New Roman"/>
          <w:b/>
          <w:sz w:val="24"/>
          <w:szCs w:val="24"/>
        </w:rPr>
      </w:pPr>
      <w:r w:rsidRPr="00956B8C">
        <w:rPr>
          <w:rFonts w:ascii="Times New Roman" w:hAnsi="Times New Roman" w:cs="Times New Roman"/>
          <w:b/>
          <w:sz w:val="24"/>
          <w:szCs w:val="24"/>
        </w:rPr>
        <w:t>4. Resultados</w:t>
      </w:r>
    </w:p>
    <w:p w:rsidR="00956B8C" w:rsidRPr="00956B8C" w:rsidRDefault="00956B8C" w:rsidP="007778FE">
      <w:pPr>
        <w:ind w:firstLine="708"/>
        <w:jc w:val="both"/>
        <w:rPr>
          <w:rFonts w:ascii="Times New Roman" w:hAnsi="Times New Roman" w:cs="Times New Roman"/>
          <w:sz w:val="24"/>
          <w:szCs w:val="24"/>
        </w:rPr>
      </w:pPr>
      <w:r w:rsidRPr="00956B8C">
        <w:rPr>
          <w:rFonts w:ascii="Times New Roman" w:hAnsi="Times New Roman" w:cs="Times New Roman"/>
          <w:sz w:val="24"/>
          <w:szCs w:val="24"/>
        </w:rPr>
        <w:t xml:space="preserve">Antes de prosseguir para uma análise econométrica, mais formal, acerca do efeito da lei </w:t>
      </w:r>
      <w:r w:rsidR="004F5590">
        <w:rPr>
          <w:rFonts w:ascii="Times New Roman" w:hAnsi="Times New Roman" w:cs="Times New Roman"/>
          <w:sz w:val="24"/>
          <w:szCs w:val="24"/>
        </w:rPr>
        <w:t xml:space="preserve">nº </w:t>
      </w:r>
      <w:r w:rsidRPr="00956B8C">
        <w:rPr>
          <w:rFonts w:ascii="Times New Roman" w:hAnsi="Times New Roman" w:cs="Times New Roman"/>
          <w:sz w:val="24"/>
          <w:szCs w:val="24"/>
        </w:rPr>
        <w:t>12</w:t>
      </w:r>
      <w:r w:rsidR="004F5590">
        <w:rPr>
          <w:rFonts w:ascii="Times New Roman" w:hAnsi="Times New Roman" w:cs="Times New Roman"/>
          <w:sz w:val="24"/>
          <w:szCs w:val="24"/>
        </w:rPr>
        <w:t>.</w:t>
      </w:r>
      <w:r w:rsidRPr="00956B8C">
        <w:rPr>
          <w:rFonts w:ascii="Times New Roman" w:hAnsi="Times New Roman" w:cs="Times New Roman"/>
          <w:sz w:val="24"/>
          <w:szCs w:val="24"/>
        </w:rPr>
        <w:t>403 sobre os crimes contra o patrimônio, realiza-se uma discussão exploratória que visa fornecer uma intuição sobre os modelos que serão estimados neste trabalho. O objetivo é facilitar a compreensão das principais regressões que serão utilizadas para avaliar o impacto da lei. A análise exploratória dos efeitos da lei é baseada nas tabelas 3, 4 e 5.</w:t>
      </w:r>
    </w:p>
    <w:p w:rsidR="00956B8C" w:rsidRPr="009404C0" w:rsidRDefault="00956B8C" w:rsidP="007778FE">
      <w:pPr>
        <w:spacing w:before="240" w:line="360" w:lineRule="auto"/>
        <w:ind w:firstLine="708"/>
        <w:jc w:val="both"/>
        <w:rPr>
          <w:rFonts w:ascii="Times New Roman" w:hAnsi="Times New Roman" w:cs="Times New Roman"/>
          <w:b/>
          <w:sz w:val="24"/>
          <w:szCs w:val="24"/>
        </w:rPr>
      </w:pPr>
      <w:r w:rsidRPr="009404C0">
        <w:rPr>
          <w:rFonts w:ascii="Times New Roman" w:hAnsi="Times New Roman" w:cs="Times New Roman"/>
          <w:b/>
          <w:sz w:val="24"/>
          <w:szCs w:val="24"/>
        </w:rPr>
        <w:t>4.1. Avaliação Informal do Impacto da Lei nº 12.403</w:t>
      </w:r>
    </w:p>
    <w:p w:rsidR="00956B8C" w:rsidRDefault="00956B8C" w:rsidP="00956B8C">
      <w:pPr>
        <w:spacing w:line="240" w:lineRule="auto"/>
        <w:ind w:firstLine="708"/>
        <w:jc w:val="both"/>
        <w:rPr>
          <w:rFonts w:ascii="Times New Roman" w:hAnsi="Times New Roman" w:cs="Times New Roman"/>
          <w:sz w:val="24"/>
          <w:szCs w:val="24"/>
        </w:rPr>
      </w:pPr>
      <w:r w:rsidRPr="00956B8C">
        <w:rPr>
          <w:rFonts w:ascii="Times New Roman" w:hAnsi="Times New Roman" w:cs="Times New Roman"/>
          <w:sz w:val="24"/>
          <w:szCs w:val="24"/>
        </w:rPr>
        <w:t>A Tabela 3 apresenta, nas colunas 1-3, a probabilidade de cometer furto (Painel A), ou roubos (Painel B), ao considerar-se a amostra completa, que compreende todos os maiores e menores contidos na base de crimes. Adicionalmente, separa-se a probabilidade</w:t>
      </w:r>
      <w:r>
        <w:rPr>
          <w:rFonts w:ascii="Times New Roman" w:hAnsi="Times New Roman" w:cs="Times New Roman"/>
          <w:sz w:val="24"/>
          <w:szCs w:val="24"/>
        </w:rPr>
        <w:t xml:space="preserve"> </w:t>
      </w:r>
      <w:r w:rsidRPr="00956B8C">
        <w:rPr>
          <w:rFonts w:ascii="Times New Roman" w:hAnsi="Times New Roman" w:cs="Times New Roman"/>
          <w:sz w:val="24"/>
          <w:szCs w:val="24"/>
        </w:rPr>
        <w:t xml:space="preserve">entre a observada no período </w:t>
      </w:r>
      <w:proofErr w:type="spellStart"/>
      <w:r w:rsidRPr="00956B8C">
        <w:rPr>
          <w:rFonts w:ascii="Times New Roman" w:hAnsi="Times New Roman" w:cs="Times New Roman"/>
          <w:sz w:val="24"/>
          <w:szCs w:val="24"/>
        </w:rPr>
        <w:t>pré-lei</w:t>
      </w:r>
      <w:proofErr w:type="spellEnd"/>
      <w:r w:rsidRPr="00956B8C">
        <w:rPr>
          <w:rFonts w:ascii="Times New Roman" w:hAnsi="Times New Roman" w:cs="Times New Roman"/>
          <w:sz w:val="24"/>
          <w:szCs w:val="24"/>
        </w:rPr>
        <w:t>, de janeiro de 2</w:t>
      </w:r>
      <w:r>
        <w:rPr>
          <w:rFonts w:ascii="Times New Roman" w:hAnsi="Times New Roman" w:cs="Times New Roman"/>
          <w:sz w:val="24"/>
          <w:szCs w:val="24"/>
        </w:rPr>
        <w:t>005 até junho de 2011, e a verifi</w:t>
      </w:r>
      <w:r w:rsidRPr="00956B8C">
        <w:rPr>
          <w:rFonts w:ascii="Times New Roman" w:hAnsi="Times New Roman" w:cs="Times New Roman"/>
          <w:sz w:val="24"/>
          <w:szCs w:val="24"/>
        </w:rPr>
        <w:t>cada no período pós-lei, de julho de 2011 até dezembro de 2014. A tabela também fornece as diferenças entre os meses antes e depois da implementação da lei. Além disso, é disponibilizada, na coluna 3, a diferença das diferenças. As colunas 4-6 apresentam o mesmo conjunto de informações, porém focam na amostra preferida, que compara grupos de faixas etárias mais semelhantes.</w:t>
      </w:r>
    </w:p>
    <w:p w:rsidR="00201340" w:rsidRDefault="00201340" w:rsidP="00201340">
      <w:pPr>
        <w:spacing w:line="240" w:lineRule="auto"/>
        <w:ind w:firstLine="708"/>
        <w:jc w:val="both"/>
        <w:rPr>
          <w:rFonts w:ascii="Times New Roman" w:hAnsi="Times New Roman" w:cs="Times New Roman"/>
          <w:sz w:val="24"/>
          <w:szCs w:val="24"/>
        </w:rPr>
      </w:pPr>
      <w:r w:rsidRPr="00956B8C">
        <w:rPr>
          <w:rFonts w:ascii="Times New Roman" w:hAnsi="Times New Roman" w:cs="Times New Roman"/>
          <w:sz w:val="24"/>
          <w:szCs w:val="24"/>
        </w:rPr>
        <w:t xml:space="preserve">A expressão informal da estratégia utilizada neste trabalho para estimar o efeito da lei nº 12.403 consiste em comparar a variação na probabilidade de que maiores realizem crimes contra o patrimônio com a variação na chance de que menores pratiquem estes delitos. Por exemplo, ao focar na amostra preferida e analisar o comportamento dos furtos, colunas 4 e 5 (Painel A), constata-se uma redução relativamente maior </w:t>
      </w:r>
      <w:proofErr w:type="spellStart"/>
      <w:r w:rsidRPr="00956B8C">
        <w:rPr>
          <w:rFonts w:ascii="Times New Roman" w:hAnsi="Times New Roman" w:cs="Times New Roman"/>
          <w:sz w:val="24"/>
          <w:szCs w:val="24"/>
        </w:rPr>
        <w:t>na</w:t>
      </w:r>
      <w:proofErr w:type="spellEnd"/>
      <w:r w:rsidRPr="00956B8C">
        <w:rPr>
          <w:rFonts w:ascii="Times New Roman" w:hAnsi="Times New Roman" w:cs="Times New Roman"/>
          <w:sz w:val="24"/>
          <w:szCs w:val="24"/>
        </w:rPr>
        <w:t xml:space="preserve"> probabilidade de que menores cometam este tipo de delito. Por um lado, verifica-se uma redução de 3,</w:t>
      </w:r>
      <w:r>
        <w:rPr>
          <w:rFonts w:ascii="Times New Roman" w:hAnsi="Times New Roman" w:cs="Times New Roman"/>
          <w:sz w:val="24"/>
          <w:szCs w:val="24"/>
        </w:rPr>
        <w:t>37</w:t>
      </w:r>
      <w:r w:rsidRPr="00956B8C">
        <w:rPr>
          <w:rFonts w:ascii="Times New Roman" w:hAnsi="Times New Roman" w:cs="Times New Roman"/>
          <w:sz w:val="24"/>
          <w:szCs w:val="24"/>
        </w:rPr>
        <w:t xml:space="preserve"> </w:t>
      </w:r>
      <w:proofErr w:type="spellStart"/>
      <w:r w:rsidRPr="00956B8C">
        <w:rPr>
          <w:rFonts w:ascii="Times New Roman" w:hAnsi="Times New Roman" w:cs="Times New Roman"/>
          <w:sz w:val="24"/>
          <w:szCs w:val="24"/>
        </w:rPr>
        <w:t>p.p</w:t>
      </w:r>
      <w:proofErr w:type="spellEnd"/>
      <w:r w:rsidRPr="00956B8C">
        <w:rPr>
          <w:rFonts w:ascii="Times New Roman" w:hAnsi="Times New Roman" w:cs="Times New Roman"/>
          <w:sz w:val="24"/>
          <w:szCs w:val="24"/>
        </w:rPr>
        <w:t>. na probabilidade de realização de furtos por menores (coluna 5). Por outro lado, observa-se uma diminuição de 1,</w:t>
      </w:r>
      <w:r>
        <w:rPr>
          <w:rFonts w:ascii="Times New Roman" w:hAnsi="Times New Roman" w:cs="Times New Roman"/>
          <w:sz w:val="24"/>
          <w:szCs w:val="24"/>
        </w:rPr>
        <w:t>29</w:t>
      </w:r>
      <w:r w:rsidRPr="00956B8C">
        <w:rPr>
          <w:rFonts w:ascii="Times New Roman" w:hAnsi="Times New Roman" w:cs="Times New Roman"/>
          <w:sz w:val="24"/>
          <w:szCs w:val="24"/>
        </w:rPr>
        <w:t xml:space="preserve"> </w:t>
      </w:r>
      <w:proofErr w:type="spellStart"/>
      <w:r w:rsidRPr="00956B8C">
        <w:rPr>
          <w:rFonts w:ascii="Times New Roman" w:hAnsi="Times New Roman" w:cs="Times New Roman"/>
          <w:sz w:val="24"/>
          <w:szCs w:val="24"/>
        </w:rPr>
        <w:t>p.p</w:t>
      </w:r>
      <w:proofErr w:type="spellEnd"/>
      <w:r w:rsidRPr="00956B8C">
        <w:rPr>
          <w:rFonts w:ascii="Times New Roman" w:hAnsi="Times New Roman" w:cs="Times New Roman"/>
          <w:sz w:val="24"/>
          <w:szCs w:val="24"/>
        </w:rPr>
        <w:t>. na chance de maiores cometerem estes crimes (coluna 4). A diferença das diferenças é exatamente a estimativa informal do efeito da lei</w:t>
      </w:r>
      <w:r>
        <w:rPr>
          <w:rFonts w:ascii="Times New Roman" w:hAnsi="Times New Roman" w:cs="Times New Roman"/>
          <w:sz w:val="24"/>
          <w:szCs w:val="24"/>
        </w:rPr>
        <w:t xml:space="preserve"> n°</w:t>
      </w:r>
      <w:r w:rsidRPr="00956B8C">
        <w:rPr>
          <w:rFonts w:ascii="Times New Roman" w:hAnsi="Times New Roman" w:cs="Times New Roman"/>
          <w:sz w:val="24"/>
          <w:szCs w:val="24"/>
        </w:rPr>
        <w:t xml:space="preserve"> 12</w:t>
      </w:r>
      <w:r>
        <w:rPr>
          <w:rFonts w:ascii="Times New Roman" w:hAnsi="Times New Roman" w:cs="Times New Roman"/>
          <w:sz w:val="24"/>
          <w:szCs w:val="24"/>
        </w:rPr>
        <w:t>.</w:t>
      </w:r>
      <w:r w:rsidRPr="00956B8C">
        <w:rPr>
          <w:rFonts w:ascii="Times New Roman" w:hAnsi="Times New Roman" w:cs="Times New Roman"/>
          <w:sz w:val="24"/>
          <w:szCs w:val="24"/>
        </w:rPr>
        <w:t>403 sobre os furtos. Logo, a evidência sugere que a lei acarretou em um aumento de 2,0</w:t>
      </w:r>
      <w:r>
        <w:rPr>
          <w:rFonts w:ascii="Times New Roman" w:hAnsi="Times New Roman" w:cs="Times New Roman"/>
          <w:sz w:val="24"/>
          <w:szCs w:val="24"/>
        </w:rPr>
        <w:t>8</w:t>
      </w:r>
      <w:r w:rsidRPr="00956B8C">
        <w:rPr>
          <w:rFonts w:ascii="Times New Roman" w:hAnsi="Times New Roman" w:cs="Times New Roman"/>
          <w:sz w:val="24"/>
          <w:szCs w:val="24"/>
        </w:rPr>
        <w:t xml:space="preserve"> </w:t>
      </w:r>
      <w:proofErr w:type="spellStart"/>
      <w:r w:rsidRPr="00956B8C">
        <w:rPr>
          <w:rFonts w:ascii="Times New Roman" w:hAnsi="Times New Roman" w:cs="Times New Roman"/>
          <w:sz w:val="24"/>
          <w:szCs w:val="24"/>
        </w:rPr>
        <w:t>p.p</w:t>
      </w:r>
      <w:proofErr w:type="spellEnd"/>
      <w:r w:rsidRPr="00956B8C">
        <w:rPr>
          <w:rFonts w:ascii="Times New Roman" w:hAnsi="Times New Roman" w:cs="Times New Roman"/>
          <w:sz w:val="24"/>
          <w:szCs w:val="24"/>
        </w:rPr>
        <w:t>. na probabilidade de ocorrência de furtos ([-1,</w:t>
      </w:r>
      <w:r>
        <w:rPr>
          <w:rFonts w:ascii="Times New Roman" w:hAnsi="Times New Roman" w:cs="Times New Roman"/>
          <w:sz w:val="24"/>
          <w:szCs w:val="24"/>
        </w:rPr>
        <w:t>29</w:t>
      </w:r>
      <w:r w:rsidRPr="00956B8C">
        <w:rPr>
          <w:rFonts w:ascii="Times New Roman" w:hAnsi="Times New Roman" w:cs="Times New Roman"/>
          <w:sz w:val="24"/>
          <w:szCs w:val="24"/>
        </w:rPr>
        <w:t>]-[-3,</w:t>
      </w:r>
      <w:r>
        <w:rPr>
          <w:rFonts w:ascii="Times New Roman" w:hAnsi="Times New Roman" w:cs="Times New Roman"/>
          <w:sz w:val="24"/>
          <w:szCs w:val="24"/>
        </w:rPr>
        <w:t>37</w:t>
      </w:r>
      <w:r w:rsidRPr="00956B8C">
        <w:rPr>
          <w:rFonts w:ascii="Times New Roman" w:hAnsi="Times New Roman" w:cs="Times New Roman"/>
          <w:sz w:val="24"/>
          <w:szCs w:val="24"/>
        </w:rPr>
        <w:t>]=2,0</w:t>
      </w:r>
      <w:r>
        <w:rPr>
          <w:rFonts w:ascii="Times New Roman" w:hAnsi="Times New Roman" w:cs="Times New Roman"/>
          <w:sz w:val="24"/>
          <w:szCs w:val="24"/>
        </w:rPr>
        <w:t>8</w:t>
      </w:r>
      <w:r w:rsidRPr="00956B8C">
        <w:rPr>
          <w:rFonts w:ascii="Times New Roman" w:hAnsi="Times New Roman" w:cs="Times New Roman"/>
          <w:sz w:val="24"/>
          <w:szCs w:val="24"/>
        </w:rPr>
        <w:t>).</w:t>
      </w:r>
    </w:p>
    <w:p w:rsidR="00201340" w:rsidRPr="00956B8C" w:rsidRDefault="00201340" w:rsidP="00201340">
      <w:pPr>
        <w:spacing w:line="240" w:lineRule="auto"/>
        <w:ind w:firstLine="708"/>
        <w:jc w:val="both"/>
        <w:rPr>
          <w:rFonts w:ascii="Times New Roman" w:hAnsi="Times New Roman" w:cs="Times New Roman"/>
          <w:sz w:val="24"/>
          <w:szCs w:val="24"/>
        </w:rPr>
      </w:pPr>
      <w:r w:rsidRPr="00956B8C">
        <w:rPr>
          <w:rFonts w:ascii="Times New Roman" w:hAnsi="Times New Roman" w:cs="Times New Roman"/>
          <w:sz w:val="24"/>
          <w:szCs w:val="24"/>
        </w:rPr>
        <w:t>Intuitivamente, tem-se que na ausência da lei a probabilidade de maiores cometerem furtos teria caído de forma semelhante à observada para menores. Assim, seria esperada uma redução de 3,</w:t>
      </w:r>
      <w:r>
        <w:rPr>
          <w:rFonts w:ascii="Times New Roman" w:hAnsi="Times New Roman" w:cs="Times New Roman"/>
          <w:sz w:val="24"/>
          <w:szCs w:val="24"/>
        </w:rPr>
        <w:t>37</w:t>
      </w:r>
      <w:r w:rsidRPr="00956B8C">
        <w:rPr>
          <w:rFonts w:ascii="Times New Roman" w:hAnsi="Times New Roman" w:cs="Times New Roman"/>
          <w:sz w:val="24"/>
          <w:szCs w:val="24"/>
        </w:rPr>
        <w:t xml:space="preserve"> </w:t>
      </w:r>
      <w:proofErr w:type="spellStart"/>
      <w:r w:rsidRPr="00956B8C">
        <w:rPr>
          <w:rFonts w:ascii="Times New Roman" w:hAnsi="Times New Roman" w:cs="Times New Roman"/>
          <w:sz w:val="24"/>
          <w:szCs w:val="24"/>
        </w:rPr>
        <w:t>p.p</w:t>
      </w:r>
      <w:proofErr w:type="spellEnd"/>
      <w:r w:rsidRPr="00956B8C">
        <w:rPr>
          <w:rFonts w:ascii="Times New Roman" w:hAnsi="Times New Roman" w:cs="Times New Roman"/>
          <w:sz w:val="24"/>
          <w:szCs w:val="24"/>
        </w:rPr>
        <w:t xml:space="preserve">. na chance de maiores praticarem furto. Porém, dado que a lei manteve os maiores nas ruas observou-se uma </w:t>
      </w:r>
      <w:r w:rsidRPr="00956B8C">
        <w:rPr>
          <w:rFonts w:ascii="Times New Roman" w:hAnsi="Times New Roman" w:cs="Times New Roman"/>
          <w:sz w:val="24"/>
          <w:szCs w:val="24"/>
        </w:rPr>
        <w:lastRenderedPageBreak/>
        <w:t>redução menos expressiva na chance destes indivíduos cometerem furto. Na prática, constatou-se uma queda de apenas 1,</w:t>
      </w:r>
      <w:r>
        <w:rPr>
          <w:rFonts w:ascii="Times New Roman" w:hAnsi="Times New Roman" w:cs="Times New Roman"/>
          <w:sz w:val="24"/>
          <w:szCs w:val="24"/>
        </w:rPr>
        <w:t>29</w:t>
      </w:r>
      <w:r w:rsidRPr="00956B8C">
        <w:rPr>
          <w:rFonts w:ascii="Times New Roman" w:hAnsi="Times New Roman" w:cs="Times New Roman"/>
          <w:sz w:val="24"/>
          <w:szCs w:val="24"/>
        </w:rPr>
        <w:t xml:space="preserve"> </w:t>
      </w:r>
      <w:proofErr w:type="spellStart"/>
      <w:r w:rsidRPr="00956B8C">
        <w:rPr>
          <w:rFonts w:ascii="Times New Roman" w:hAnsi="Times New Roman" w:cs="Times New Roman"/>
          <w:sz w:val="24"/>
          <w:szCs w:val="24"/>
        </w:rPr>
        <w:t>p.p</w:t>
      </w:r>
      <w:proofErr w:type="spellEnd"/>
      <w:r w:rsidRPr="00956B8C">
        <w:rPr>
          <w:rFonts w:ascii="Times New Roman" w:hAnsi="Times New Roman" w:cs="Times New Roman"/>
          <w:sz w:val="24"/>
          <w:szCs w:val="24"/>
        </w:rPr>
        <w:t>. na probabilidade de realização deste tipo de delito por maiores. O efeito da lei é justamente a diferença entre o observado (redução de 1,</w:t>
      </w:r>
      <w:r>
        <w:rPr>
          <w:rFonts w:ascii="Times New Roman" w:hAnsi="Times New Roman" w:cs="Times New Roman"/>
          <w:sz w:val="24"/>
          <w:szCs w:val="24"/>
        </w:rPr>
        <w:t>29</w:t>
      </w:r>
      <w:r w:rsidRPr="00956B8C">
        <w:rPr>
          <w:rFonts w:ascii="Times New Roman" w:hAnsi="Times New Roman" w:cs="Times New Roman"/>
          <w:sz w:val="24"/>
          <w:szCs w:val="24"/>
        </w:rPr>
        <w:t xml:space="preserve"> </w:t>
      </w:r>
      <w:proofErr w:type="spellStart"/>
      <w:r w:rsidRPr="00956B8C">
        <w:rPr>
          <w:rFonts w:ascii="Times New Roman" w:hAnsi="Times New Roman" w:cs="Times New Roman"/>
          <w:sz w:val="24"/>
          <w:szCs w:val="24"/>
        </w:rPr>
        <w:t>p.p</w:t>
      </w:r>
      <w:proofErr w:type="spellEnd"/>
      <w:r w:rsidRPr="00956B8C">
        <w:rPr>
          <w:rFonts w:ascii="Times New Roman" w:hAnsi="Times New Roman" w:cs="Times New Roman"/>
          <w:sz w:val="24"/>
          <w:szCs w:val="24"/>
        </w:rPr>
        <w:t>.) e o esperado (queda de 3,</w:t>
      </w:r>
      <w:r>
        <w:rPr>
          <w:rFonts w:ascii="Times New Roman" w:hAnsi="Times New Roman" w:cs="Times New Roman"/>
          <w:sz w:val="24"/>
          <w:szCs w:val="24"/>
        </w:rPr>
        <w:t>37</w:t>
      </w:r>
      <w:r w:rsidRPr="00956B8C">
        <w:rPr>
          <w:rFonts w:ascii="Times New Roman" w:hAnsi="Times New Roman" w:cs="Times New Roman"/>
          <w:sz w:val="24"/>
          <w:szCs w:val="24"/>
        </w:rPr>
        <w:t xml:space="preserve"> </w:t>
      </w:r>
      <w:proofErr w:type="spellStart"/>
      <w:r w:rsidRPr="00956B8C">
        <w:rPr>
          <w:rFonts w:ascii="Times New Roman" w:hAnsi="Times New Roman" w:cs="Times New Roman"/>
          <w:sz w:val="24"/>
          <w:szCs w:val="24"/>
        </w:rPr>
        <w:t>p.p</w:t>
      </w:r>
      <w:proofErr w:type="spellEnd"/>
      <w:r w:rsidRPr="00956B8C">
        <w:rPr>
          <w:rFonts w:ascii="Times New Roman" w:hAnsi="Times New Roman" w:cs="Times New Roman"/>
          <w:sz w:val="24"/>
          <w:szCs w:val="24"/>
        </w:rPr>
        <w:t>.). Vale ressaltar que esta estratégia parte da hipótese de que a diferença no comportamento observado e esperado decorre unicamente da implementação da lei.</w:t>
      </w:r>
    </w:p>
    <w:p w:rsidR="00956B8C" w:rsidRDefault="00956B8C" w:rsidP="007778FE">
      <w:pPr>
        <w:spacing w:after="0" w:line="240" w:lineRule="auto"/>
        <w:jc w:val="center"/>
        <w:rPr>
          <w:rFonts w:ascii="Times New Roman" w:hAnsi="Times New Roman" w:cs="Times New Roman"/>
          <w:sz w:val="24"/>
          <w:szCs w:val="24"/>
        </w:rPr>
      </w:pPr>
      <w:r w:rsidRPr="00956B8C">
        <w:rPr>
          <w:rFonts w:ascii="Times New Roman" w:hAnsi="Times New Roman" w:cs="Times New Roman"/>
          <w:sz w:val="24"/>
          <w:szCs w:val="24"/>
        </w:rPr>
        <w:t>Tabela 3: Análise exploratória dos efeitos da lei nº 12.403 sobre os crimes contra o patrimônio</w:t>
      </w:r>
      <w:r w:rsidR="00E83707">
        <w:rPr>
          <w:rFonts w:ascii="Times New Roman" w:hAnsi="Times New Roman" w:cs="Times New Roman"/>
          <w:sz w:val="24"/>
          <w:szCs w:val="24"/>
        </w:rPr>
        <w:t xml:space="preserve"> </w:t>
      </w:r>
      <w:r w:rsidR="00DB3E86">
        <w:rPr>
          <w:rFonts w:ascii="Times New Roman" w:hAnsi="Times New Roman" w:cs="Times New Roman"/>
          <w:sz w:val="24"/>
          <w:szCs w:val="24"/>
        </w:rPr>
        <w:br/>
        <w:t>(Dados d</w:t>
      </w:r>
      <w:r w:rsidR="00585020">
        <w:rPr>
          <w:rFonts w:ascii="Times New Roman" w:hAnsi="Times New Roman" w:cs="Times New Roman"/>
          <w:sz w:val="24"/>
          <w:szCs w:val="24"/>
        </w:rPr>
        <w:t>o</w:t>
      </w:r>
      <w:r w:rsidR="00DB3E86">
        <w:rPr>
          <w:rFonts w:ascii="Times New Roman" w:hAnsi="Times New Roman" w:cs="Times New Roman"/>
          <w:sz w:val="24"/>
          <w:szCs w:val="24"/>
        </w:rPr>
        <w:t xml:space="preserve"> DGTIT/PCERJ)</w:t>
      </w:r>
    </w:p>
    <w:p w:rsidR="00AF0896" w:rsidRPr="00956B8C" w:rsidRDefault="00B73E89" w:rsidP="00956B8C">
      <w:pPr>
        <w:spacing w:line="240" w:lineRule="auto"/>
        <w:jc w:val="center"/>
        <w:rPr>
          <w:rFonts w:ascii="Times New Roman" w:hAnsi="Times New Roman" w:cs="Times New Roman"/>
          <w:sz w:val="24"/>
          <w:szCs w:val="24"/>
        </w:rPr>
      </w:pPr>
      <w:r w:rsidRPr="00B73E89">
        <w:rPr>
          <w:noProof/>
          <w:lang w:eastAsia="pt-BR"/>
        </w:rPr>
        <w:drawing>
          <wp:inline distT="0" distB="0" distL="0" distR="0">
            <wp:extent cx="5731510" cy="3669238"/>
            <wp:effectExtent l="0" t="0" r="254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69238"/>
                    </a:xfrm>
                    <a:prstGeom prst="rect">
                      <a:avLst/>
                    </a:prstGeom>
                    <a:noFill/>
                    <a:ln>
                      <a:noFill/>
                    </a:ln>
                  </pic:spPr>
                </pic:pic>
              </a:graphicData>
            </a:graphic>
          </wp:inline>
        </w:drawing>
      </w:r>
    </w:p>
    <w:p w:rsidR="00FB0282" w:rsidRDefault="00FB0282" w:rsidP="00BD3CDD">
      <w:pPr>
        <w:spacing w:line="240" w:lineRule="auto"/>
        <w:jc w:val="both"/>
        <w:rPr>
          <w:rFonts w:ascii="Times New Roman" w:hAnsi="Times New Roman" w:cs="Times New Roman"/>
          <w:sz w:val="24"/>
          <w:szCs w:val="24"/>
        </w:rPr>
      </w:pPr>
      <w:r w:rsidRPr="00FB0282">
        <w:rPr>
          <w:rFonts w:ascii="Times New Roman" w:hAnsi="Times New Roman" w:cs="Times New Roman"/>
          <w:sz w:val="18"/>
          <w:szCs w:val="24"/>
        </w:rPr>
        <w:t>Notas. Esta tabela apresenta probabilidades de que indivíduos cometam: (i) roubos no Painel A e (</w:t>
      </w:r>
      <w:proofErr w:type="spellStart"/>
      <w:r w:rsidRPr="00FB0282">
        <w:rPr>
          <w:rFonts w:ascii="Times New Roman" w:hAnsi="Times New Roman" w:cs="Times New Roman"/>
          <w:sz w:val="18"/>
          <w:szCs w:val="24"/>
        </w:rPr>
        <w:t>ii</w:t>
      </w:r>
      <w:proofErr w:type="spellEnd"/>
      <w:r w:rsidRPr="00FB0282">
        <w:rPr>
          <w:rFonts w:ascii="Times New Roman" w:hAnsi="Times New Roman" w:cs="Times New Roman"/>
          <w:sz w:val="18"/>
          <w:szCs w:val="24"/>
        </w:rPr>
        <w:t xml:space="preserve">) furtos no Painel B. Em ambos os </w:t>
      </w:r>
      <w:r w:rsidR="00D41D90" w:rsidRPr="00FB0282">
        <w:rPr>
          <w:rFonts w:ascii="Times New Roman" w:hAnsi="Times New Roman" w:cs="Times New Roman"/>
          <w:sz w:val="18"/>
          <w:szCs w:val="24"/>
        </w:rPr>
        <w:t>painéis</w:t>
      </w:r>
      <w:r w:rsidRPr="00FB0282">
        <w:rPr>
          <w:rFonts w:ascii="Times New Roman" w:hAnsi="Times New Roman" w:cs="Times New Roman"/>
          <w:sz w:val="18"/>
          <w:szCs w:val="24"/>
        </w:rPr>
        <w:t xml:space="preserve"> (A e B) são disponibilizadas as probabilidades para os períodos </w:t>
      </w:r>
      <w:proofErr w:type="spellStart"/>
      <w:r w:rsidRPr="00FB0282">
        <w:rPr>
          <w:rFonts w:ascii="Times New Roman" w:hAnsi="Times New Roman" w:cs="Times New Roman"/>
          <w:sz w:val="18"/>
          <w:szCs w:val="24"/>
        </w:rPr>
        <w:t>pré</w:t>
      </w:r>
      <w:proofErr w:type="spellEnd"/>
      <w:r w:rsidRPr="00FB0282">
        <w:rPr>
          <w:rFonts w:ascii="Times New Roman" w:hAnsi="Times New Roman" w:cs="Times New Roman"/>
          <w:sz w:val="18"/>
          <w:szCs w:val="24"/>
        </w:rPr>
        <w:t xml:space="preserve"> e pós implementação da lei. O período </w:t>
      </w:r>
      <w:proofErr w:type="spellStart"/>
      <w:r w:rsidRPr="00FB0282">
        <w:rPr>
          <w:rFonts w:ascii="Times New Roman" w:hAnsi="Times New Roman" w:cs="Times New Roman"/>
          <w:sz w:val="18"/>
          <w:szCs w:val="24"/>
        </w:rPr>
        <w:t>pré-lei</w:t>
      </w:r>
      <w:proofErr w:type="spellEnd"/>
      <w:r w:rsidRPr="00FB0282">
        <w:rPr>
          <w:rFonts w:ascii="Times New Roman" w:hAnsi="Times New Roman" w:cs="Times New Roman"/>
          <w:sz w:val="18"/>
          <w:szCs w:val="24"/>
        </w:rPr>
        <w:t xml:space="preserve"> compreende os meses entre janeiro de 2005 e junho de 2011. O período pós-lei é composto pelos meses entre julho de 2011 e dezembro de 2014. Além disso, ambos os painéis (A e B) apresentam a diferença entre as probabilidades observadas para o período pós e </w:t>
      </w:r>
      <w:proofErr w:type="spellStart"/>
      <w:r w:rsidRPr="00FB0282">
        <w:rPr>
          <w:rFonts w:ascii="Times New Roman" w:hAnsi="Times New Roman" w:cs="Times New Roman"/>
          <w:sz w:val="18"/>
          <w:szCs w:val="24"/>
        </w:rPr>
        <w:t>pré</w:t>
      </w:r>
      <w:proofErr w:type="spellEnd"/>
      <w:r w:rsidRPr="00FB0282">
        <w:rPr>
          <w:rFonts w:ascii="Times New Roman" w:hAnsi="Times New Roman" w:cs="Times New Roman"/>
          <w:sz w:val="18"/>
          <w:szCs w:val="24"/>
        </w:rPr>
        <w:t xml:space="preserve"> implementação da lei. As colunas 1 e 4 focam nos maiores, enquanto as colunas 2 e 5 analisam os menores. A amostra de maiores da coluna 1 compreende todos os indivíduos que têm entre 18 e 100 anos. A definição de maiores da coluna 4 considera apenas indivíduos que têm entre 18 e 20 anos. Na coluna 2 os menores são todos os indivíduos que têm entre 12 e 17 anos. Na coluna 5 os menores são todos os indivíduos que têm entre 15 e 17 anos. A coluna 3 (6) apresenta a diferença das diferenças apresentadas nas colunas 1 e 2 (4 e 5).</w:t>
      </w:r>
      <w:r w:rsidR="00AF0896">
        <w:rPr>
          <w:rFonts w:ascii="Times New Roman" w:hAnsi="Times New Roman" w:cs="Times New Roman"/>
          <w:sz w:val="18"/>
          <w:szCs w:val="24"/>
        </w:rPr>
        <w:t xml:space="preserve"> Elaboração própria a partir de dados d</w:t>
      </w:r>
      <w:r w:rsidR="001568FB">
        <w:rPr>
          <w:rFonts w:ascii="Times New Roman" w:hAnsi="Times New Roman" w:cs="Times New Roman"/>
          <w:sz w:val="18"/>
          <w:szCs w:val="24"/>
        </w:rPr>
        <w:t>o</w:t>
      </w:r>
      <w:r w:rsidR="00AF0896">
        <w:rPr>
          <w:rFonts w:ascii="Times New Roman" w:hAnsi="Times New Roman" w:cs="Times New Roman"/>
          <w:sz w:val="18"/>
          <w:szCs w:val="24"/>
        </w:rPr>
        <w:t xml:space="preserve"> DGTIT/PCERJ. </w:t>
      </w:r>
    </w:p>
    <w:p w:rsidR="00201340" w:rsidRPr="00956B8C" w:rsidRDefault="00201340" w:rsidP="00201340">
      <w:pPr>
        <w:spacing w:line="240" w:lineRule="auto"/>
        <w:ind w:firstLine="708"/>
        <w:jc w:val="both"/>
        <w:rPr>
          <w:rFonts w:ascii="Times New Roman" w:hAnsi="Times New Roman" w:cs="Times New Roman"/>
          <w:sz w:val="24"/>
          <w:szCs w:val="24"/>
        </w:rPr>
      </w:pPr>
      <w:r w:rsidRPr="00956B8C">
        <w:rPr>
          <w:rFonts w:ascii="Times New Roman" w:hAnsi="Times New Roman" w:cs="Times New Roman"/>
          <w:sz w:val="24"/>
          <w:szCs w:val="24"/>
        </w:rPr>
        <w:t>Alternativamente, a instituição da lei</w:t>
      </w:r>
      <w:r>
        <w:rPr>
          <w:rFonts w:ascii="Times New Roman" w:hAnsi="Times New Roman" w:cs="Times New Roman"/>
          <w:sz w:val="24"/>
          <w:szCs w:val="24"/>
        </w:rPr>
        <w:t xml:space="preserve"> nº</w:t>
      </w:r>
      <w:r w:rsidRPr="00956B8C">
        <w:rPr>
          <w:rFonts w:ascii="Times New Roman" w:hAnsi="Times New Roman" w:cs="Times New Roman"/>
          <w:sz w:val="24"/>
          <w:szCs w:val="24"/>
        </w:rPr>
        <w:t xml:space="preserve"> 12</w:t>
      </w:r>
      <w:r>
        <w:rPr>
          <w:rFonts w:ascii="Times New Roman" w:hAnsi="Times New Roman" w:cs="Times New Roman"/>
          <w:sz w:val="24"/>
          <w:szCs w:val="24"/>
        </w:rPr>
        <w:t>.</w:t>
      </w:r>
      <w:r w:rsidRPr="00956B8C">
        <w:rPr>
          <w:rFonts w:ascii="Times New Roman" w:hAnsi="Times New Roman" w:cs="Times New Roman"/>
          <w:sz w:val="24"/>
          <w:szCs w:val="24"/>
        </w:rPr>
        <w:t xml:space="preserve">403 não parece ter efeito sobre os roubos. A diferença das diferenças obtida ao focar na amostra preferida, que fornece a estimativa informal do efeito da lei sobre os roubos, </w:t>
      </w:r>
      <w:r w:rsidRPr="00DB3E86">
        <w:rPr>
          <w:rFonts w:ascii="Times New Roman" w:hAnsi="Times New Roman" w:cs="Times New Roman"/>
          <w:sz w:val="24"/>
          <w:szCs w:val="24"/>
        </w:rPr>
        <w:t xml:space="preserve">sugere um impacto irrisório de aproximadamente 0,15 </w:t>
      </w:r>
      <w:proofErr w:type="spellStart"/>
      <w:r w:rsidRPr="00DB3E86">
        <w:rPr>
          <w:rFonts w:ascii="Times New Roman" w:hAnsi="Times New Roman" w:cs="Times New Roman"/>
          <w:sz w:val="24"/>
          <w:szCs w:val="24"/>
        </w:rPr>
        <w:t>p.p</w:t>
      </w:r>
      <w:proofErr w:type="spellEnd"/>
      <w:r w:rsidRPr="00DB3E86">
        <w:rPr>
          <w:rFonts w:ascii="Times New Roman" w:hAnsi="Times New Roman" w:cs="Times New Roman"/>
          <w:sz w:val="24"/>
          <w:szCs w:val="24"/>
        </w:rPr>
        <w:t>.</w:t>
      </w:r>
      <w:r w:rsidRPr="00956B8C">
        <w:rPr>
          <w:rFonts w:ascii="Times New Roman" w:hAnsi="Times New Roman" w:cs="Times New Roman"/>
          <w:sz w:val="24"/>
          <w:szCs w:val="24"/>
        </w:rPr>
        <w:t xml:space="preserve"> (Painel B da coluna 6). Portanto, os efeitos encontrados na Tabela 3 corroboram a expectativa de que os furtos deveriam ser relativamente mais influenciados pela nova lei do que os roubos.</w:t>
      </w:r>
    </w:p>
    <w:p w:rsidR="00E00F31" w:rsidRDefault="00956B8C" w:rsidP="007778FE">
      <w:pPr>
        <w:spacing w:line="240" w:lineRule="auto"/>
        <w:ind w:firstLine="708"/>
        <w:jc w:val="both"/>
        <w:rPr>
          <w:rFonts w:ascii="Times New Roman" w:hAnsi="Times New Roman" w:cs="Times New Roman"/>
          <w:sz w:val="24"/>
          <w:szCs w:val="24"/>
        </w:rPr>
      </w:pPr>
      <w:r w:rsidRPr="00956B8C">
        <w:rPr>
          <w:rFonts w:ascii="Times New Roman" w:hAnsi="Times New Roman" w:cs="Times New Roman"/>
          <w:sz w:val="24"/>
          <w:szCs w:val="24"/>
        </w:rPr>
        <w:t xml:space="preserve">As Tabelas 4 e 5 apresentam as mesmas informações contidas na Tabela 3. Porém, dividem o período pós-lei em quatro subperíodos. O objetivo de separar o período pós-lei em quatro momentos distintos é acompanhar a evolução da probabilidade de que indivíduos (maiores e menores) cometam crimes contra o patrimônio, ao longo do tempo. A Tabela </w:t>
      </w:r>
      <w:proofErr w:type="gramStart"/>
      <w:r w:rsidRPr="00956B8C">
        <w:rPr>
          <w:rFonts w:ascii="Times New Roman" w:hAnsi="Times New Roman" w:cs="Times New Roman"/>
          <w:sz w:val="24"/>
          <w:szCs w:val="24"/>
        </w:rPr>
        <w:t>4 foca</w:t>
      </w:r>
      <w:proofErr w:type="gramEnd"/>
      <w:r w:rsidRPr="00956B8C">
        <w:rPr>
          <w:rFonts w:ascii="Times New Roman" w:hAnsi="Times New Roman" w:cs="Times New Roman"/>
          <w:sz w:val="24"/>
          <w:szCs w:val="24"/>
        </w:rPr>
        <w:t xml:space="preserve"> na evolução dos furtos enquanto a Tabela 5 analisa a trajetória dos roubos. Uma inspeção da coluna 6 de ambas as tabelas, que apresenta as diferenças das diferenças obtidas ao comparar os grupos mais semelhantes, sugere que a lei: (i) resulta em um aumento defasado dos furtos, cuja probabilidade de ocorrência torna-se expressivamente maior a partir de julho de 2012 e (</w:t>
      </w:r>
      <w:proofErr w:type="spellStart"/>
      <w:r w:rsidRPr="00956B8C">
        <w:rPr>
          <w:rFonts w:ascii="Times New Roman" w:hAnsi="Times New Roman" w:cs="Times New Roman"/>
          <w:sz w:val="24"/>
          <w:szCs w:val="24"/>
        </w:rPr>
        <w:t>ii</w:t>
      </w:r>
      <w:proofErr w:type="spellEnd"/>
      <w:r w:rsidRPr="00956B8C">
        <w:rPr>
          <w:rFonts w:ascii="Times New Roman" w:hAnsi="Times New Roman" w:cs="Times New Roman"/>
          <w:sz w:val="24"/>
          <w:szCs w:val="24"/>
        </w:rPr>
        <w:t xml:space="preserve">) não tem efeito sobre os roubos, dado que </w:t>
      </w:r>
      <w:r w:rsidR="00D41D90" w:rsidRPr="00956B8C">
        <w:rPr>
          <w:rFonts w:ascii="Times New Roman" w:hAnsi="Times New Roman" w:cs="Times New Roman"/>
          <w:sz w:val="24"/>
          <w:szCs w:val="24"/>
        </w:rPr>
        <w:t>se observa</w:t>
      </w:r>
      <w:r w:rsidRPr="00956B8C">
        <w:rPr>
          <w:rFonts w:ascii="Times New Roman" w:hAnsi="Times New Roman" w:cs="Times New Roman"/>
          <w:sz w:val="24"/>
          <w:szCs w:val="24"/>
        </w:rPr>
        <w:t xml:space="preserve"> apenas um pequeno aumento entre julho de 2012 e junho de 2013, que é compensado por reduções nos demais subperíodos.</w:t>
      </w:r>
    </w:p>
    <w:p w:rsidR="00577F64" w:rsidRDefault="00577F64" w:rsidP="00FB0282">
      <w:pPr>
        <w:spacing w:line="240" w:lineRule="auto"/>
        <w:ind w:firstLine="708"/>
        <w:jc w:val="center"/>
        <w:rPr>
          <w:rFonts w:ascii="Times New Roman" w:hAnsi="Times New Roman" w:cs="Times New Roman"/>
          <w:sz w:val="24"/>
          <w:szCs w:val="24"/>
        </w:rPr>
      </w:pPr>
    </w:p>
    <w:p w:rsidR="00D400DE" w:rsidRDefault="00956B8C" w:rsidP="00FB0282">
      <w:pPr>
        <w:spacing w:line="240" w:lineRule="auto"/>
        <w:ind w:firstLine="708"/>
        <w:jc w:val="center"/>
        <w:rPr>
          <w:rFonts w:ascii="Times New Roman" w:hAnsi="Times New Roman" w:cs="Times New Roman"/>
          <w:sz w:val="24"/>
          <w:szCs w:val="24"/>
        </w:rPr>
      </w:pPr>
      <w:r w:rsidRPr="00956B8C">
        <w:rPr>
          <w:rFonts w:ascii="Times New Roman" w:hAnsi="Times New Roman" w:cs="Times New Roman"/>
          <w:sz w:val="24"/>
          <w:szCs w:val="24"/>
        </w:rPr>
        <w:lastRenderedPageBreak/>
        <w:t xml:space="preserve">Tabela 4: Análise exploratória dos efeitos da lei </w:t>
      </w:r>
      <w:r w:rsidR="0060380D">
        <w:rPr>
          <w:rFonts w:ascii="Times New Roman" w:hAnsi="Times New Roman" w:cs="Times New Roman"/>
          <w:sz w:val="24"/>
          <w:szCs w:val="24"/>
        </w:rPr>
        <w:t xml:space="preserve">nº </w:t>
      </w:r>
      <w:r w:rsidRPr="00956B8C">
        <w:rPr>
          <w:rFonts w:ascii="Times New Roman" w:hAnsi="Times New Roman" w:cs="Times New Roman"/>
          <w:sz w:val="24"/>
          <w:szCs w:val="24"/>
        </w:rPr>
        <w:t>12</w:t>
      </w:r>
      <w:r w:rsidR="0060380D">
        <w:rPr>
          <w:rFonts w:ascii="Times New Roman" w:hAnsi="Times New Roman" w:cs="Times New Roman"/>
          <w:sz w:val="24"/>
          <w:szCs w:val="24"/>
        </w:rPr>
        <w:t>.</w:t>
      </w:r>
      <w:r w:rsidRPr="00956B8C">
        <w:rPr>
          <w:rFonts w:ascii="Times New Roman" w:hAnsi="Times New Roman" w:cs="Times New Roman"/>
          <w:sz w:val="24"/>
          <w:szCs w:val="24"/>
        </w:rPr>
        <w:t>403 sobre os furtos ao longo do tempo</w:t>
      </w:r>
      <w:r w:rsidR="00DB3E86">
        <w:rPr>
          <w:rFonts w:ascii="Times New Roman" w:hAnsi="Times New Roman" w:cs="Times New Roman"/>
          <w:sz w:val="24"/>
          <w:szCs w:val="24"/>
        </w:rPr>
        <w:t xml:space="preserve"> </w:t>
      </w:r>
      <w:r w:rsidR="00DB3E86">
        <w:rPr>
          <w:rFonts w:ascii="Times New Roman" w:hAnsi="Times New Roman" w:cs="Times New Roman"/>
          <w:sz w:val="24"/>
          <w:szCs w:val="24"/>
        </w:rPr>
        <w:br/>
        <w:t>(Dados d</w:t>
      </w:r>
      <w:r w:rsidR="00585020">
        <w:rPr>
          <w:rFonts w:ascii="Times New Roman" w:hAnsi="Times New Roman" w:cs="Times New Roman"/>
          <w:sz w:val="24"/>
          <w:szCs w:val="24"/>
        </w:rPr>
        <w:t>o</w:t>
      </w:r>
      <w:r w:rsidR="00DB3E86">
        <w:rPr>
          <w:rFonts w:ascii="Times New Roman" w:hAnsi="Times New Roman" w:cs="Times New Roman"/>
          <w:sz w:val="24"/>
          <w:szCs w:val="24"/>
        </w:rPr>
        <w:t xml:space="preserve"> DGTIT/PCERJ)</w:t>
      </w:r>
      <w:r w:rsidR="00DB3E86">
        <w:rPr>
          <w:rFonts w:ascii="Times New Roman" w:hAnsi="Times New Roman" w:cs="Times New Roman"/>
          <w:sz w:val="24"/>
          <w:szCs w:val="24"/>
        </w:rPr>
        <w:br/>
      </w:r>
      <w:r w:rsidR="00AF0896" w:rsidRPr="00AF0896">
        <w:rPr>
          <w:noProof/>
          <w:lang w:eastAsia="pt-BR"/>
        </w:rPr>
        <w:drawing>
          <wp:inline distT="0" distB="0" distL="0" distR="0">
            <wp:extent cx="5731510" cy="4561996"/>
            <wp:effectExtent l="0" t="0" r="254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61996"/>
                    </a:xfrm>
                    <a:prstGeom prst="rect">
                      <a:avLst/>
                    </a:prstGeom>
                    <a:noFill/>
                    <a:ln>
                      <a:noFill/>
                    </a:ln>
                  </pic:spPr>
                </pic:pic>
              </a:graphicData>
            </a:graphic>
          </wp:inline>
        </w:drawing>
      </w:r>
    </w:p>
    <w:p w:rsidR="00492636" w:rsidRDefault="00FB0282" w:rsidP="00FB0282">
      <w:pPr>
        <w:spacing w:line="240" w:lineRule="auto"/>
        <w:jc w:val="both"/>
        <w:rPr>
          <w:rFonts w:ascii="Times New Roman" w:hAnsi="Times New Roman" w:cs="Times New Roman"/>
          <w:sz w:val="18"/>
          <w:szCs w:val="24"/>
        </w:rPr>
      </w:pPr>
      <w:r w:rsidRPr="00FB0282">
        <w:rPr>
          <w:rFonts w:ascii="Times New Roman" w:hAnsi="Times New Roman" w:cs="Times New Roman"/>
          <w:sz w:val="18"/>
          <w:szCs w:val="24"/>
        </w:rPr>
        <w:t xml:space="preserve">Notas. Esta tabela apresenta probabilidades de que indivíduos cometam furtos. As probabilidades são disponibilizadas para os períodos </w:t>
      </w:r>
      <w:proofErr w:type="spellStart"/>
      <w:r w:rsidRPr="00FB0282">
        <w:rPr>
          <w:rFonts w:ascii="Times New Roman" w:hAnsi="Times New Roman" w:cs="Times New Roman"/>
          <w:sz w:val="18"/>
          <w:szCs w:val="24"/>
        </w:rPr>
        <w:t>pré</w:t>
      </w:r>
      <w:proofErr w:type="spellEnd"/>
      <w:r w:rsidRPr="00FB0282">
        <w:rPr>
          <w:rFonts w:ascii="Times New Roman" w:hAnsi="Times New Roman" w:cs="Times New Roman"/>
          <w:sz w:val="18"/>
          <w:szCs w:val="24"/>
        </w:rPr>
        <w:t xml:space="preserve"> e pós implementação da lei. O período </w:t>
      </w:r>
      <w:proofErr w:type="spellStart"/>
      <w:r w:rsidRPr="00FB0282">
        <w:rPr>
          <w:rFonts w:ascii="Times New Roman" w:hAnsi="Times New Roman" w:cs="Times New Roman"/>
          <w:sz w:val="18"/>
          <w:szCs w:val="24"/>
        </w:rPr>
        <w:t>pré-lei</w:t>
      </w:r>
      <w:proofErr w:type="spellEnd"/>
      <w:r w:rsidRPr="00FB0282">
        <w:rPr>
          <w:rFonts w:ascii="Times New Roman" w:hAnsi="Times New Roman" w:cs="Times New Roman"/>
          <w:sz w:val="18"/>
          <w:szCs w:val="24"/>
        </w:rPr>
        <w:t xml:space="preserve"> compreende os meses entre janeiro de 2005 e junho de 2011. O período pós-lei é dividido em 4 </w:t>
      </w:r>
      <w:proofErr w:type="spellStart"/>
      <w:r w:rsidRPr="00FB0282">
        <w:rPr>
          <w:rFonts w:ascii="Times New Roman" w:hAnsi="Times New Roman" w:cs="Times New Roman"/>
          <w:sz w:val="18"/>
          <w:szCs w:val="24"/>
        </w:rPr>
        <w:t>sub-períodos</w:t>
      </w:r>
      <w:proofErr w:type="spellEnd"/>
      <w:r w:rsidRPr="00FB0282">
        <w:rPr>
          <w:rFonts w:ascii="Times New Roman" w:hAnsi="Times New Roman" w:cs="Times New Roman"/>
          <w:sz w:val="18"/>
          <w:szCs w:val="24"/>
        </w:rPr>
        <w:t xml:space="preserve">. O primeiro </w:t>
      </w:r>
      <w:proofErr w:type="spellStart"/>
      <w:r w:rsidRPr="00FB0282">
        <w:rPr>
          <w:rFonts w:ascii="Times New Roman" w:hAnsi="Times New Roman" w:cs="Times New Roman"/>
          <w:sz w:val="18"/>
          <w:szCs w:val="24"/>
        </w:rPr>
        <w:t>sub-período</w:t>
      </w:r>
      <w:proofErr w:type="spellEnd"/>
      <w:r w:rsidRPr="00FB0282">
        <w:rPr>
          <w:rFonts w:ascii="Times New Roman" w:hAnsi="Times New Roman" w:cs="Times New Roman"/>
          <w:sz w:val="18"/>
          <w:szCs w:val="24"/>
        </w:rPr>
        <w:t xml:space="preserve"> compreende os meses entre julho de 2011 e junho de 2012, ou seja, trata-se do primeiro ano pós-lei. Os dois </w:t>
      </w:r>
      <w:proofErr w:type="spellStart"/>
      <w:r w:rsidRPr="00FB0282">
        <w:rPr>
          <w:rFonts w:ascii="Times New Roman" w:hAnsi="Times New Roman" w:cs="Times New Roman"/>
          <w:sz w:val="18"/>
          <w:szCs w:val="24"/>
        </w:rPr>
        <w:t>sub-períodos</w:t>
      </w:r>
      <w:proofErr w:type="spellEnd"/>
      <w:r w:rsidRPr="00FB0282">
        <w:rPr>
          <w:rFonts w:ascii="Times New Roman" w:hAnsi="Times New Roman" w:cs="Times New Roman"/>
          <w:sz w:val="18"/>
          <w:szCs w:val="24"/>
        </w:rPr>
        <w:t xml:space="preserve"> seguintes abarcam o segundo e o terceiro ano pós-lei, respectivamente. Portanto, o segundo </w:t>
      </w:r>
      <w:proofErr w:type="spellStart"/>
      <w:r w:rsidRPr="00FB0282">
        <w:rPr>
          <w:rFonts w:ascii="Times New Roman" w:hAnsi="Times New Roman" w:cs="Times New Roman"/>
          <w:sz w:val="18"/>
          <w:szCs w:val="24"/>
        </w:rPr>
        <w:t>sub-período</w:t>
      </w:r>
      <w:proofErr w:type="spellEnd"/>
      <w:r w:rsidRPr="00FB0282">
        <w:rPr>
          <w:rFonts w:ascii="Times New Roman" w:hAnsi="Times New Roman" w:cs="Times New Roman"/>
          <w:sz w:val="18"/>
          <w:szCs w:val="24"/>
        </w:rPr>
        <w:t xml:space="preserve"> consiste dos meses entre julho de 2012 e junho de 2013 e o terceiro dos meses entre julho de 2013 e junho de 2014. O quarto </w:t>
      </w:r>
      <w:proofErr w:type="spellStart"/>
      <w:r w:rsidRPr="00FB0282">
        <w:rPr>
          <w:rFonts w:ascii="Times New Roman" w:hAnsi="Times New Roman" w:cs="Times New Roman"/>
          <w:sz w:val="18"/>
          <w:szCs w:val="24"/>
        </w:rPr>
        <w:t>sub-período</w:t>
      </w:r>
      <w:proofErr w:type="spellEnd"/>
      <w:r w:rsidRPr="00FB0282">
        <w:rPr>
          <w:rFonts w:ascii="Times New Roman" w:hAnsi="Times New Roman" w:cs="Times New Roman"/>
          <w:sz w:val="18"/>
          <w:szCs w:val="24"/>
        </w:rPr>
        <w:t xml:space="preserve"> contém somente os 6 meses entre julho de 2014 e dezembro de 2014. Além disso, é fornecida a diferença entre as probabilidades observadas para os 4 </w:t>
      </w:r>
      <w:proofErr w:type="spellStart"/>
      <w:r w:rsidRPr="00FB0282">
        <w:rPr>
          <w:rFonts w:ascii="Times New Roman" w:hAnsi="Times New Roman" w:cs="Times New Roman"/>
          <w:sz w:val="18"/>
          <w:szCs w:val="24"/>
        </w:rPr>
        <w:t>sub-períodos</w:t>
      </w:r>
      <w:proofErr w:type="spellEnd"/>
      <w:r w:rsidRPr="00FB0282">
        <w:rPr>
          <w:rFonts w:ascii="Times New Roman" w:hAnsi="Times New Roman" w:cs="Times New Roman"/>
          <w:sz w:val="18"/>
          <w:szCs w:val="24"/>
        </w:rPr>
        <w:t xml:space="preserve"> pós-lei e o período </w:t>
      </w:r>
      <w:proofErr w:type="spellStart"/>
      <w:r w:rsidRPr="00FB0282">
        <w:rPr>
          <w:rFonts w:ascii="Times New Roman" w:hAnsi="Times New Roman" w:cs="Times New Roman"/>
          <w:sz w:val="18"/>
          <w:szCs w:val="24"/>
        </w:rPr>
        <w:t>pré</w:t>
      </w:r>
      <w:proofErr w:type="spellEnd"/>
      <w:r w:rsidRPr="00FB0282">
        <w:rPr>
          <w:rFonts w:ascii="Times New Roman" w:hAnsi="Times New Roman" w:cs="Times New Roman"/>
          <w:sz w:val="18"/>
          <w:szCs w:val="24"/>
        </w:rPr>
        <w:t xml:space="preserve"> implementação da lei. As colunas 1 e 4 focam nos maiores, enquanto as colunas 2 e 5 analisam os menores. A amostra de maiores da coluna 1 compreende todos os indivíduos que têm entre 18 e 100 anos. A definição de maiores da coluna 4 considera apenas indivíduos que têm entre 18 e 20 anos. Na coluna 2 os menores são todos os indivíduos que têm entre 12 e 17 anos. Na coluna 5 os menores são todos os indivíduos que têm entre 15 e 17 anos. A coluna 3 (6) apresenta a diferença das diferenças apresentadas nas colunas 1 e 2 (4 e 5).</w:t>
      </w:r>
      <w:r w:rsidR="00AF0896">
        <w:rPr>
          <w:rFonts w:ascii="Times New Roman" w:hAnsi="Times New Roman" w:cs="Times New Roman"/>
          <w:sz w:val="18"/>
          <w:szCs w:val="24"/>
        </w:rPr>
        <w:t xml:space="preserve"> Elaboração própria a partir de dados d</w:t>
      </w:r>
      <w:r w:rsidR="001568FB">
        <w:rPr>
          <w:rFonts w:ascii="Times New Roman" w:hAnsi="Times New Roman" w:cs="Times New Roman"/>
          <w:sz w:val="18"/>
          <w:szCs w:val="24"/>
        </w:rPr>
        <w:t>o</w:t>
      </w:r>
      <w:r w:rsidR="00AF0896">
        <w:rPr>
          <w:rFonts w:ascii="Times New Roman" w:hAnsi="Times New Roman" w:cs="Times New Roman"/>
          <w:sz w:val="18"/>
          <w:szCs w:val="24"/>
        </w:rPr>
        <w:t xml:space="preserve"> DGTIT/PCERJ.</w:t>
      </w:r>
    </w:p>
    <w:p w:rsidR="007778FE" w:rsidRPr="00FB0282" w:rsidRDefault="007778FE" w:rsidP="00FB0282">
      <w:pPr>
        <w:spacing w:line="240" w:lineRule="auto"/>
        <w:jc w:val="both"/>
        <w:rPr>
          <w:rFonts w:ascii="Times New Roman" w:hAnsi="Times New Roman" w:cs="Times New Roman"/>
          <w:sz w:val="18"/>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201340" w:rsidRDefault="00201340" w:rsidP="00E00F31">
      <w:pPr>
        <w:spacing w:after="0" w:line="240" w:lineRule="auto"/>
        <w:jc w:val="center"/>
        <w:rPr>
          <w:rFonts w:ascii="Times New Roman" w:hAnsi="Times New Roman" w:cs="Times New Roman"/>
          <w:sz w:val="24"/>
          <w:szCs w:val="24"/>
        </w:rPr>
      </w:pPr>
    </w:p>
    <w:p w:rsidR="00D400DE" w:rsidRDefault="00D400DE" w:rsidP="00E00F31">
      <w:pPr>
        <w:spacing w:after="0" w:line="240" w:lineRule="auto"/>
        <w:jc w:val="center"/>
      </w:pPr>
      <w:r w:rsidRPr="00956B8C">
        <w:rPr>
          <w:rFonts w:ascii="Times New Roman" w:hAnsi="Times New Roman" w:cs="Times New Roman"/>
          <w:sz w:val="24"/>
          <w:szCs w:val="24"/>
        </w:rPr>
        <w:lastRenderedPageBreak/>
        <w:t xml:space="preserve">Tabela 5: Análise exploratória dos efeitos da lei </w:t>
      </w:r>
      <w:r w:rsidR="00492636">
        <w:rPr>
          <w:rFonts w:ascii="Times New Roman" w:hAnsi="Times New Roman" w:cs="Times New Roman"/>
          <w:sz w:val="24"/>
          <w:szCs w:val="24"/>
        </w:rPr>
        <w:t xml:space="preserve">nº </w:t>
      </w:r>
      <w:r w:rsidRPr="00956B8C">
        <w:rPr>
          <w:rFonts w:ascii="Times New Roman" w:hAnsi="Times New Roman" w:cs="Times New Roman"/>
          <w:sz w:val="24"/>
          <w:szCs w:val="24"/>
        </w:rPr>
        <w:t>12</w:t>
      </w:r>
      <w:r w:rsidR="00492636">
        <w:rPr>
          <w:rFonts w:ascii="Times New Roman" w:hAnsi="Times New Roman" w:cs="Times New Roman"/>
          <w:sz w:val="24"/>
          <w:szCs w:val="24"/>
        </w:rPr>
        <w:t>.</w:t>
      </w:r>
      <w:r w:rsidRPr="00956B8C">
        <w:rPr>
          <w:rFonts w:ascii="Times New Roman" w:hAnsi="Times New Roman" w:cs="Times New Roman"/>
          <w:sz w:val="24"/>
          <w:szCs w:val="24"/>
        </w:rPr>
        <w:t>403 sobre os roubos ao longo do tempo</w:t>
      </w:r>
      <w:r w:rsidR="00E83707">
        <w:rPr>
          <w:rFonts w:ascii="Times New Roman" w:hAnsi="Times New Roman" w:cs="Times New Roman"/>
          <w:sz w:val="24"/>
          <w:szCs w:val="24"/>
        </w:rPr>
        <w:t xml:space="preserve"> </w:t>
      </w:r>
      <w:r w:rsidR="00DB3E86">
        <w:rPr>
          <w:rFonts w:ascii="Times New Roman" w:hAnsi="Times New Roman" w:cs="Times New Roman"/>
          <w:sz w:val="24"/>
          <w:szCs w:val="24"/>
        </w:rPr>
        <w:br/>
        <w:t>(Dados d</w:t>
      </w:r>
      <w:r w:rsidR="00585020">
        <w:rPr>
          <w:rFonts w:ascii="Times New Roman" w:hAnsi="Times New Roman" w:cs="Times New Roman"/>
          <w:sz w:val="24"/>
          <w:szCs w:val="24"/>
        </w:rPr>
        <w:t>o</w:t>
      </w:r>
      <w:r w:rsidR="00DB3E86">
        <w:rPr>
          <w:rFonts w:ascii="Times New Roman" w:hAnsi="Times New Roman" w:cs="Times New Roman"/>
          <w:sz w:val="24"/>
          <w:szCs w:val="24"/>
        </w:rPr>
        <w:t xml:space="preserve"> DGTIT/PCERJ)</w:t>
      </w:r>
    </w:p>
    <w:p w:rsidR="00956B8C" w:rsidRDefault="00AF0896" w:rsidP="00D400DE">
      <w:pPr>
        <w:spacing w:line="240" w:lineRule="auto"/>
        <w:jc w:val="center"/>
        <w:rPr>
          <w:rFonts w:ascii="Times New Roman" w:hAnsi="Times New Roman" w:cs="Times New Roman"/>
          <w:sz w:val="24"/>
          <w:szCs w:val="24"/>
        </w:rPr>
      </w:pPr>
      <w:r w:rsidRPr="00AF0896">
        <w:rPr>
          <w:noProof/>
          <w:lang w:eastAsia="pt-BR"/>
        </w:rPr>
        <w:drawing>
          <wp:inline distT="0" distB="0" distL="0" distR="0">
            <wp:extent cx="5731510" cy="4597707"/>
            <wp:effectExtent l="0" t="0" r="254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97707"/>
                    </a:xfrm>
                    <a:prstGeom prst="rect">
                      <a:avLst/>
                    </a:prstGeom>
                    <a:noFill/>
                    <a:ln>
                      <a:noFill/>
                    </a:ln>
                  </pic:spPr>
                </pic:pic>
              </a:graphicData>
            </a:graphic>
          </wp:inline>
        </w:drawing>
      </w:r>
    </w:p>
    <w:p w:rsidR="001F0D81" w:rsidRDefault="00FB0282" w:rsidP="003766B6">
      <w:pPr>
        <w:spacing w:line="240" w:lineRule="auto"/>
        <w:jc w:val="both"/>
        <w:rPr>
          <w:rFonts w:ascii="Times New Roman" w:hAnsi="Times New Roman" w:cs="Times New Roman"/>
          <w:b/>
          <w:sz w:val="24"/>
          <w:szCs w:val="24"/>
        </w:rPr>
      </w:pPr>
      <w:r w:rsidRPr="00FB0282">
        <w:rPr>
          <w:rFonts w:ascii="Times New Roman" w:hAnsi="Times New Roman" w:cs="Times New Roman"/>
          <w:sz w:val="18"/>
          <w:szCs w:val="24"/>
        </w:rPr>
        <w:t xml:space="preserve">Notas. Esta tabela apresenta probabilidades de que indivíduos cometam roubos. As probabilidades são disponibilizadas para os períodos </w:t>
      </w:r>
      <w:proofErr w:type="spellStart"/>
      <w:r w:rsidRPr="00FB0282">
        <w:rPr>
          <w:rFonts w:ascii="Times New Roman" w:hAnsi="Times New Roman" w:cs="Times New Roman"/>
          <w:sz w:val="18"/>
          <w:szCs w:val="24"/>
        </w:rPr>
        <w:t>pré</w:t>
      </w:r>
      <w:proofErr w:type="spellEnd"/>
      <w:r w:rsidRPr="00FB0282">
        <w:rPr>
          <w:rFonts w:ascii="Times New Roman" w:hAnsi="Times New Roman" w:cs="Times New Roman"/>
          <w:sz w:val="18"/>
          <w:szCs w:val="24"/>
        </w:rPr>
        <w:t xml:space="preserve"> e pós implementação da lei. O período </w:t>
      </w:r>
      <w:proofErr w:type="spellStart"/>
      <w:r w:rsidRPr="00FB0282">
        <w:rPr>
          <w:rFonts w:ascii="Times New Roman" w:hAnsi="Times New Roman" w:cs="Times New Roman"/>
          <w:sz w:val="18"/>
          <w:szCs w:val="24"/>
        </w:rPr>
        <w:t>pré-lei</w:t>
      </w:r>
      <w:proofErr w:type="spellEnd"/>
      <w:r w:rsidRPr="00FB0282">
        <w:rPr>
          <w:rFonts w:ascii="Times New Roman" w:hAnsi="Times New Roman" w:cs="Times New Roman"/>
          <w:sz w:val="18"/>
          <w:szCs w:val="24"/>
        </w:rPr>
        <w:t xml:space="preserve"> compreende os meses entre janeiro de 2005 e junho de 2011. O período pós-lei é dividido em 4 </w:t>
      </w:r>
      <w:proofErr w:type="spellStart"/>
      <w:r w:rsidRPr="00FB0282">
        <w:rPr>
          <w:rFonts w:ascii="Times New Roman" w:hAnsi="Times New Roman" w:cs="Times New Roman"/>
          <w:sz w:val="18"/>
          <w:szCs w:val="24"/>
        </w:rPr>
        <w:t>sub-períodos</w:t>
      </w:r>
      <w:proofErr w:type="spellEnd"/>
      <w:r w:rsidRPr="00FB0282">
        <w:rPr>
          <w:rFonts w:ascii="Times New Roman" w:hAnsi="Times New Roman" w:cs="Times New Roman"/>
          <w:sz w:val="18"/>
          <w:szCs w:val="24"/>
        </w:rPr>
        <w:t xml:space="preserve">. O primeiro </w:t>
      </w:r>
      <w:proofErr w:type="spellStart"/>
      <w:r w:rsidRPr="00FB0282">
        <w:rPr>
          <w:rFonts w:ascii="Times New Roman" w:hAnsi="Times New Roman" w:cs="Times New Roman"/>
          <w:sz w:val="18"/>
          <w:szCs w:val="24"/>
        </w:rPr>
        <w:t>sub-período</w:t>
      </w:r>
      <w:proofErr w:type="spellEnd"/>
      <w:r w:rsidRPr="00FB0282">
        <w:rPr>
          <w:rFonts w:ascii="Times New Roman" w:hAnsi="Times New Roman" w:cs="Times New Roman"/>
          <w:sz w:val="18"/>
          <w:szCs w:val="24"/>
        </w:rPr>
        <w:t xml:space="preserve"> compreende os meses entre julho de 2011 e junho de 2012, ou seja, trata-se do primeiro ano pós-lei. Os dois </w:t>
      </w:r>
      <w:proofErr w:type="spellStart"/>
      <w:r w:rsidRPr="00FB0282">
        <w:rPr>
          <w:rFonts w:ascii="Times New Roman" w:hAnsi="Times New Roman" w:cs="Times New Roman"/>
          <w:sz w:val="18"/>
          <w:szCs w:val="24"/>
        </w:rPr>
        <w:t>sub-períodos</w:t>
      </w:r>
      <w:proofErr w:type="spellEnd"/>
      <w:r w:rsidRPr="00FB0282">
        <w:rPr>
          <w:rFonts w:ascii="Times New Roman" w:hAnsi="Times New Roman" w:cs="Times New Roman"/>
          <w:sz w:val="18"/>
          <w:szCs w:val="24"/>
        </w:rPr>
        <w:t xml:space="preserve"> seguintes abarcam o segundo e o terceiro ano pós-lei, respectivamente. Portanto, o segundo </w:t>
      </w:r>
      <w:proofErr w:type="spellStart"/>
      <w:r w:rsidRPr="00FB0282">
        <w:rPr>
          <w:rFonts w:ascii="Times New Roman" w:hAnsi="Times New Roman" w:cs="Times New Roman"/>
          <w:sz w:val="18"/>
          <w:szCs w:val="24"/>
        </w:rPr>
        <w:t>sub-período</w:t>
      </w:r>
      <w:proofErr w:type="spellEnd"/>
      <w:r w:rsidRPr="00FB0282">
        <w:rPr>
          <w:rFonts w:ascii="Times New Roman" w:hAnsi="Times New Roman" w:cs="Times New Roman"/>
          <w:sz w:val="18"/>
          <w:szCs w:val="24"/>
        </w:rPr>
        <w:t xml:space="preserve"> consiste dos meses entre julho de 2012 e junho de 2013 e o terceiro dos meses entre julho de 2013 e junho de 2014. O quarto </w:t>
      </w:r>
      <w:proofErr w:type="spellStart"/>
      <w:r w:rsidRPr="00FB0282">
        <w:rPr>
          <w:rFonts w:ascii="Times New Roman" w:hAnsi="Times New Roman" w:cs="Times New Roman"/>
          <w:sz w:val="18"/>
          <w:szCs w:val="24"/>
        </w:rPr>
        <w:t>sub-período</w:t>
      </w:r>
      <w:proofErr w:type="spellEnd"/>
      <w:r w:rsidRPr="00FB0282">
        <w:rPr>
          <w:rFonts w:ascii="Times New Roman" w:hAnsi="Times New Roman" w:cs="Times New Roman"/>
          <w:sz w:val="18"/>
          <w:szCs w:val="24"/>
        </w:rPr>
        <w:t xml:space="preserve"> contém somente os 6 meses entre julho de 2014 e dezembro de 2014. Além disso, é fornecida a diferença entre as probabilidades observadas para os 4 </w:t>
      </w:r>
      <w:proofErr w:type="spellStart"/>
      <w:r w:rsidRPr="00FB0282">
        <w:rPr>
          <w:rFonts w:ascii="Times New Roman" w:hAnsi="Times New Roman" w:cs="Times New Roman"/>
          <w:sz w:val="18"/>
          <w:szCs w:val="24"/>
        </w:rPr>
        <w:t>sub-períodos</w:t>
      </w:r>
      <w:proofErr w:type="spellEnd"/>
      <w:r w:rsidRPr="00FB0282">
        <w:rPr>
          <w:rFonts w:ascii="Times New Roman" w:hAnsi="Times New Roman" w:cs="Times New Roman"/>
          <w:sz w:val="18"/>
          <w:szCs w:val="24"/>
        </w:rPr>
        <w:t xml:space="preserve"> pós-lei e o período </w:t>
      </w:r>
      <w:proofErr w:type="spellStart"/>
      <w:r w:rsidRPr="00FB0282">
        <w:rPr>
          <w:rFonts w:ascii="Times New Roman" w:hAnsi="Times New Roman" w:cs="Times New Roman"/>
          <w:sz w:val="18"/>
          <w:szCs w:val="24"/>
        </w:rPr>
        <w:t>pré</w:t>
      </w:r>
      <w:proofErr w:type="spellEnd"/>
      <w:r w:rsidRPr="00FB0282">
        <w:rPr>
          <w:rFonts w:ascii="Times New Roman" w:hAnsi="Times New Roman" w:cs="Times New Roman"/>
          <w:sz w:val="18"/>
          <w:szCs w:val="24"/>
        </w:rPr>
        <w:t xml:space="preserve"> implementação da lei. As colunas 1 e 4 focam nos maiores, enquanto as colunas 2 e 5 analisam os menores. A amostra de maiores da coluna 1 compreende todos os indivíduos que têm entre 18 e 100 anos. A definição de maiores da coluna 4 considera apenas indivíduos que têm entre 18 e 20 anos. Na coluna 2 os menores são todos os indivíduos que têm entre 12 e 17 anos. Na coluna 5 os menores são todos os indivíduos que têm entre 15 e 17 anos. A coluna 3 (6) apresenta a diferença das diferenças apresentadas nas colunas 1 e 2 (4 e 5).</w:t>
      </w:r>
      <w:r w:rsidR="00AF0896">
        <w:rPr>
          <w:rFonts w:ascii="Times New Roman" w:hAnsi="Times New Roman" w:cs="Times New Roman"/>
          <w:sz w:val="18"/>
          <w:szCs w:val="24"/>
        </w:rPr>
        <w:t xml:space="preserve"> Elabora</w:t>
      </w:r>
      <w:r w:rsidR="001568FB">
        <w:rPr>
          <w:rFonts w:ascii="Times New Roman" w:hAnsi="Times New Roman" w:cs="Times New Roman"/>
          <w:sz w:val="18"/>
          <w:szCs w:val="24"/>
        </w:rPr>
        <w:t>ção própria a partir de dados do</w:t>
      </w:r>
      <w:r w:rsidR="00AF0896">
        <w:rPr>
          <w:rFonts w:ascii="Times New Roman" w:hAnsi="Times New Roman" w:cs="Times New Roman"/>
          <w:sz w:val="18"/>
          <w:szCs w:val="24"/>
        </w:rPr>
        <w:t xml:space="preserve"> DGTIT/PCERJ.</w:t>
      </w:r>
    </w:p>
    <w:p w:rsidR="0060380D" w:rsidRPr="0060380D" w:rsidRDefault="0060380D" w:rsidP="0060380D">
      <w:pPr>
        <w:spacing w:line="240" w:lineRule="auto"/>
        <w:ind w:firstLine="708"/>
        <w:jc w:val="both"/>
        <w:rPr>
          <w:rFonts w:ascii="Times New Roman" w:hAnsi="Times New Roman" w:cs="Times New Roman"/>
          <w:b/>
          <w:sz w:val="24"/>
          <w:szCs w:val="24"/>
        </w:rPr>
      </w:pPr>
      <w:r w:rsidRPr="0060380D">
        <w:rPr>
          <w:rFonts w:ascii="Times New Roman" w:hAnsi="Times New Roman" w:cs="Times New Roman"/>
          <w:b/>
          <w:sz w:val="24"/>
          <w:szCs w:val="24"/>
        </w:rPr>
        <w:t>4.2</w:t>
      </w:r>
      <w:r w:rsidRPr="0060380D">
        <w:rPr>
          <w:rFonts w:ascii="Times New Roman" w:hAnsi="Times New Roman" w:cs="Times New Roman"/>
          <w:b/>
          <w:sz w:val="24"/>
          <w:szCs w:val="24"/>
        </w:rPr>
        <w:tab/>
        <w:t>Avaliação Econométrica do Impacto da Lei nº 12.403</w:t>
      </w:r>
    </w:p>
    <w:p w:rsidR="0097000D" w:rsidRPr="00DE48F3" w:rsidRDefault="0060380D" w:rsidP="007778FE">
      <w:pPr>
        <w:spacing w:line="240" w:lineRule="auto"/>
        <w:ind w:firstLine="708"/>
        <w:jc w:val="both"/>
        <w:rPr>
          <w:rFonts w:ascii="Times New Roman" w:eastAsiaTheme="minorEastAsia" w:hAnsi="Times New Roman" w:cs="Times New Roman"/>
          <w:sz w:val="24"/>
          <w:szCs w:val="24"/>
        </w:rPr>
      </w:pPr>
      <w:r w:rsidRPr="0060380D">
        <w:rPr>
          <w:rFonts w:ascii="Times New Roman" w:hAnsi="Times New Roman" w:cs="Times New Roman"/>
          <w:sz w:val="24"/>
          <w:szCs w:val="24"/>
        </w:rPr>
        <w:t>Formalmente, para determinar o efeito da lei</w:t>
      </w:r>
      <w:r w:rsidR="004F5590">
        <w:rPr>
          <w:rFonts w:ascii="Times New Roman" w:hAnsi="Times New Roman" w:cs="Times New Roman"/>
          <w:sz w:val="24"/>
          <w:szCs w:val="24"/>
        </w:rPr>
        <w:t xml:space="preserve"> nº</w:t>
      </w:r>
      <w:r w:rsidRPr="0060380D">
        <w:rPr>
          <w:rFonts w:ascii="Times New Roman" w:hAnsi="Times New Roman" w:cs="Times New Roman"/>
          <w:sz w:val="24"/>
          <w:szCs w:val="24"/>
        </w:rPr>
        <w:t xml:space="preserve"> 12</w:t>
      </w:r>
      <w:r w:rsidR="004F5590">
        <w:rPr>
          <w:rFonts w:ascii="Times New Roman" w:hAnsi="Times New Roman" w:cs="Times New Roman"/>
          <w:sz w:val="24"/>
          <w:szCs w:val="24"/>
        </w:rPr>
        <w:t>.</w:t>
      </w:r>
      <w:r w:rsidRPr="0060380D">
        <w:rPr>
          <w:rFonts w:ascii="Times New Roman" w:hAnsi="Times New Roman" w:cs="Times New Roman"/>
          <w:sz w:val="24"/>
          <w:szCs w:val="24"/>
        </w:rPr>
        <w:t>403 sobre os crimes contra o patrimônio (roubos e furtos) estima-se, por Mínimos Quadrados Ordinários (MQO), a Equação 1 abaixo</w:t>
      </w:r>
      <w:r w:rsidR="00321777">
        <w:rPr>
          <w:rFonts w:ascii="Times New Roman" w:hAnsi="Times New Roman" w:cs="Times New Roman"/>
          <w:sz w:val="24"/>
          <w:szCs w:val="24"/>
        </w:rPr>
        <w:t>.</w:t>
      </w:r>
      <w:r w:rsidR="000C32DB">
        <w:rPr>
          <w:rStyle w:val="Refdenotaderodap"/>
          <w:rFonts w:ascii="Times New Roman" w:hAnsi="Times New Roman" w:cs="Times New Roman"/>
          <w:sz w:val="24"/>
          <w:szCs w:val="24"/>
        </w:rPr>
        <w:footnoteReference w:id="14"/>
      </w:r>
    </w:p>
    <w:p w:rsidR="0060380D" w:rsidRPr="0060380D" w:rsidRDefault="0060380D" w:rsidP="0097000D">
      <w:pPr>
        <w:spacing w:line="240" w:lineRule="auto"/>
        <w:jc w:val="center"/>
        <w:rPr>
          <w:rFonts w:ascii="Times New Roman" w:hAnsi="Times New Roman" w:cs="Times New Roman"/>
          <w:sz w:val="24"/>
          <w:szCs w:val="24"/>
        </w:rPr>
      </w:pPr>
      <m:oMath>
        <m:r>
          <w:rPr>
            <w:rFonts w:ascii="Cambria Math" w:hAnsi="Cambria Math" w:cs="Times New Roman"/>
            <w:sz w:val="24"/>
            <w:szCs w:val="24"/>
            <w:lang w:val="en-US"/>
          </w:rPr>
          <m:t>c</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ibt</m:t>
            </m:r>
            <m:r>
              <w:rPr>
                <w:rFonts w:ascii="Cambria Math" w:hAnsi="Cambria Math" w:cs="Times New Roman"/>
                <w:sz w:val="24"/>
                <w:szCs w:val="24"/>
              </w:rPr>
              <m:t xml:space="preserve"> </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 xml:space="preserve">1 </m:t>
            </m:r>
          </m:sub>
        </m:sSub>
        <m:r>
          <w:rPr>
            <w:rFonts w:ascii="Cambria Math" w:hAnsi="Cambria Math" w:cs="Times New Roman"/>
            <w:sz w:val="24"/>
            <w:szCs w:val="24"/>
          </w:rPr>
          <m:t xml:space="preserve">*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maior</m:t>
                </m:r>
              </m:e>
              <m:sub>
                <m:r>
                  <w:rPr>
                    <w:rFonts w:ascii="Cambria Math" w:hAnsi="Cambria Math" w:cs="Times New Roman"/>
                    <w:sz w:val="24"/>
                    <w:szCs w:val="24"/>
                    <w:lang w:val="en-US"/>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2</m:t>
            </m:r>
          </m:sub>
        </m:sSub>
        <m:r>
          <w:rPr>
            <w:rFonts w:ascii="Cambria Math" w:hAnsi="Cambria Math" w:cs="Times New Roman"/>
            <w:sz w:val="24"/>
            <w:szCs w:val="24"/>
          </w:rPr>
          <m:t xml:space="preserve">* </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pos</m:t>
                </m:r>
              </m:e>
              <m:sub>
                <m:r>
                  <w:rPr>
                    <w:rFonts w:ascii="Cambria Math" w:hAnsi="Cambria Math" w:cs="Times New Roman"/>
                    <w:sz w:val="24"/>
                    <w:szCs w:val="24"/>
                    <w:lang w:val="en-US"/>
                  </w:rPr>
                  <m:t>t</m:t>
                </m:r>
              </m:sub>
            </m:sSub>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 xml:space="preserve">3 </m:t>
            </m:r>
          </m:sub>
        </m:sSub>
        <m:r>
          <w:rPr>
            <w:rFonts w:ascii="Cambria Math" w:hAnsi="Cambria Math" w:cs="Times New Roman"/>
            <w:sz w:val="24"/>
            <w:szCs w:val="24"/>
          </w:rPr>
          <m:t>*</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maior</m:t>
                </m:r>
              </m:e>
              <m:sub>
                <m:r>
                  <w:rPr>
                    <w:rFonts w:ascii="Cambria Math" w:hAnsi="Cambria Math" w:cs="Times New Roman"/>
                    <w:sz w:val="24"/>
                    <w:szCs w:val="24"/>
                    <w:lang w:val="en-US"/>
                  </w:rPr>
                  <m:t>i</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pos</m:t>
                </m:r>
              </m:e>
              <m:sub>
                <m:r>
                  <w:rPr>
                    <w:rFonts w:ascii="Cambria Math" w:hAnsi="Cambria Math" w:cs="Times New Roman"/>
                    <w:sz w:val="24"/>
                    <w:szCs w:val="24"/>
                    <w:lang w:val="en-US"/>
                  </w:rPr>
                  <m:t>t</m:t>
                </m:r>
              </m:sub>
            </m:sSub>
          </m:e>
        </m:d>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b</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ϵ</m:t>
            </m:r>
          </m:e>
          <m:sub>
            <m:r>
              <w:rPr>
                <w:rFonts w:ascii="Cambria Math" w:hAnsi="Cambria Math" w:cs="Times New Roman"/>
                <w:sz w:val="24"/>
                <w:szCs w:val="24"/>
                <w:lang w:val="en-US"/>
              </w:rPr>
              <m:t>ibt</m:t>
            </m:r>
          </m:sub>
        </m:sSub>
      </m:oMath>
      <w:r w:rsidRPr="0060380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(1)</w:t>
      </w:r>
    </w:p>
    <w:p w:rsidR="0060380D" w:rsidRPr="0060380D" w:rsidRDefault="0060380D" w:rsidP="0060380D">
      <w:pPr>
        <w:spacing w:line="240" w:lineRule="auto"/>
        <w:ind w:firstLine="708"/>
        <w:jc w:val="both"/>
        <w:rPr>
          <w:rFonts w:ascii="Times New Roman" w:hAnsi="Times New Roman" w:cs="Times New Roman"/>
          <w:sz w:val="24"/>
          <w:szCs w:val="24"/>
        </w:rPr>
      </w:pPr>
      <w:r w:rsidRPr="0060380D">
        <w:rPr>
          <w:rFonts w:ascii="Times New Roman" w:hAnsi="Times New Roman" w:cs="Times New Roman"/>
          <w:sz w:val="24"/>
          <w:szCs w:val="24"/>
        </w:rPr>
        <w:lastRenderedPageBreak/>
        <w:t xml:space="preserve">Onde </w:t>
      </w:r>
      <m:oMath>
        <m:r>
          <w:rPr>
            <w:rFonts w:ascii="Cambria Math" w:hAnsi="Cambria Math" w:cs="Times New Roman"/>
            <w:sz w:val="24"/>
            <w:szCs w:val="24"/>
            <w:lang w:val="en-US"/>
          </w:rPr>
          <m:t>c</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ibt</m:t>
            </m:r>
            <m:r>
              <w:rPr>
                <w:rFonts w:ascii="Cambria Math" w:hAnsi="Cambria Math" w:cs="Times New Roman"/>
                <w:sz w:val="24"/>
                <w:szCs w:val="24"/>
              </w:rPr>
              <m:t xml:space="preserve"> </m:t>
            </m:r>
          </m:sub>
        </m:sSub>
      </m:oMath>
      <w:r w:rsidRPr="0060380D">
        <w:rPr>
          <w:rFonts w:ascii="Times New Roman" w:hAnsi="Times New Roman" w:cs="Times New Roman"/>
          <w:sz w:val="24"/>
          <w:szCs w:val="24"/>
        </w:rPr>
        <w:t xml:space="preserve"> é igual a 1 se o indivíduo </w:t>
      </w:r>
      <w:r w:rsidRPr="009404C0">
        <w:rPr>
          <w:rFonts w:ascii="Times New Roman" w:hAnsi="Times New Roman" w:cs="Times New Roman"/>
          <w:i/>
          <w:sz w:val="24"/>
          <w:szCs w:val="24"/>
        </w:rPr>
        <w:t>i</w:t>
      </w:r>
      <w:r w:rsidRPr="0060380D">
        <w:rPr>
          <w:rFonts w:ascii="Times New Roman" w:hAnsi="Times New Roman" w:cs="Times New Roman"/>
          <w:sz w:val="24"/>
          <w:szCs w:val="24"/>
        </w:rPr>
        <w:t xml:space="preserve">, no batalhão </w:t>
      </w:r>
      <w:r w:rsidRPr="009404C0">
        <w:rPr>
          <w:rFonts w:ascii="Times New Roman" w:hAnsi="Times New Roman" w:cs="Times New Roman"/>
          <w:i/>
          <w:sz w:val="24"/>
          <w:szCs w:val="24"/>
        </w:rPr>
        <w:t>b</w:t>
      </w:r>
      <w:r w:rsidRPr="0060380D">
        <w:rPr>
          <w:rFonts w:ascii="Times New Roman" w:hAnsi="Times New Roman" w:cs="Times New Roman"/>
          <w:sz w:val="24"/>
          <w:szCs w:val="24"/>
        </w:rPr>
        <w:t xml:space="preserve">, no mês </w:t>
      </w:r>
      <w:r w:rsidRPr="009404C0">
        <w:rPr>
          <w:rFonts w:ascii="Times New Roman" w:hAnsi="Times New Roman" w:cs="Times New Roman"/>
          <w:i/>
          <w:sz w:val="24"/>
          <w:szCs w:val="24"/>
        </w:rPr>
        <w:t>t</w:t>
      </w:r>
      <w:r w:rsidRPr="0060380D">
        <w:rPr>
          <w:rFonts w:ascii="Times New Roman" w:hAnsi="Times New Roman" w:cs="Times New Roman"/>
          <w:sz w:val="24"/>
          <w:szCs w:val="24"/>
        </w:rPr>
        <w:t xml:space="preserve"> praticou o crime de tipo </w:t>
      </w:r>
      <w:r w:rsidRPr="009404C0">
        <w:rPr>
          <w:rFonts w:ascii="Times New Roman" w:hAnsi="Times New Roman" w:cs="Times New Roman"/>
          <w:i/>
          <w:sz w:val="24"/>
          <w:szCs w:val="24"/>
        </w:rPr>
        <w:t>x</w:t>
      </w:r>
      <w:r w:rsidRPr="0060380D">
        <w:rPr>
          <w:rFonts w:ascii="Times New Roman" w:hAnsi="Times New Roman" w:cs="Times New Roman"/>
          <w:sz w:val="24"/>
          <w:szCs w:val="24"/>
        </w:rPr>
        <w:t xml:space="preserve"> (caso contrário esta variável é zero), </w:t>
      </w:r>
      <w:r w:rsidR="009404C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maior</m:t>
            </m:r>
          </m:e>
          <m:sub>
            <m:r>
              <w:rPr>
                <w:rFonts w:ascii="Cambria Math" w:hAnsi="Cambria Math" w:cs="Times New Roman"/>
                <w:sz w:val="24"/>
                <w:szCs w:val="24"/>
              </w:rPr>
              <m:t>i</m:t>
            </m:r>
          </m:sub>
        </m:sSub>
      </m:oMath>
      <w:r w:rsidRPr="0060380D">
        <w:rPr>
          <w:rFonts w:ascii="Times New Roman" w:hAnsi="Times New Roman" w:cs="Times New Roman"/>
          <w:sz w:val="24"/>
          <w:szCs w:val="24"/>
        </w:rPr>
        <w:t xml:space="preserve"> </w:t>
      </w:r>
      <w:r w:rsidR="009404C0">
        <w:rPr>
          <w:rFonts w:ascii="Times New Roman" w:hAnsi="Times New Roman" w:cs="Times New Roman"/>
          <w:sz w:val="24"/>
          <w:szCs w:val="24"/>
        </w:rPr>
        <w:t xml:space="preserve"> é </w:t>
      </w:r>
      <w:r w:rsidRPr="0060380D">
        <w:rPr>
          <w:rFonts w:ascii="Times New Roman" w:hAnsi="Times New Roman" w:cs="Times New Roman"/>
          <w:sz w:val="24"/>
          <w:szCs w:val="24"/>
        </w:rPr>
        <w:t xml:space="preserve">igual a 1 se o indivíduo </w:t>
      </w:r>
      <w:r w:rsidRPr="009404C0">
        <w:rPr>
          <w:rFonts w:ascii="Times New Roman" w:hAnsi="Times New Roman" w:cs="Times New Roman"/>
          <w:i/>
          <w:sz w:val="24"/>
          <w:szCs w:val="24"/>
        </w:rPr>
        <w:t>i</w:t>
      </w:r>
      <w:r w:rsidRPr="0060380D">
        <w:rPr>
          <w:rFonts w:ascii="Times New Roman" w:hAnsi="Times New Roman" w:cs="Times New Roman"/>
          <w:sz w:val="24"/>
          <w:szCs w:val="24"/>
        </w:rPr>
        <w:t xml:space="preserve"> é maior (caso contrário esta variável é zero), </w:t>
      </w:r>
      <m:oMath>
        <m:sSub>
          <m:sSubPr>
            <m:ctrlPr>
              <w:rPr>
                <w:rFonts w:ascii="Cambria Math" w:hAnsi="Cambria Math" w:cs="Times New Roman"/>
                <w:i/>
                <w:sz w:val="24"/>
                <w:szCs w:val="24"/>
              </w:rPr>
            </m:ctrlPr>
          </m:sSubPr>
          <m:e>
            <m:r>
              <w:rPr>
                <w:rFonts w:ascii="Cambria Math" w:hAnsi="Cambria Math" w:cs="Times New Roman"/>
                <w:sz w:val="24"/>
                <w:szCs w:val="24"/>
              </w:rPr>
              <m:t>pos</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60380D">
        <w:rPr>
          <w:rFonts w:ascii="Times New Roman" w:hAnsi="Times New Roman" w:cs="Times New Roman"/>
          <w:sz w:val="24"/>
          <w:szCs w:val="24"/>
        </w:rPr>
        <w:t xml:space="preserve">é igual a 1 a partir de julho de 2011, que é o mês em que foi implementada a lei </w:t>
      </w:r>
      <w:r w:rsidR="009404C0">
        <w:rPr>
          <w:rFonts w:ascii="Times New Roman" w:hAnsi="Times New Roman" w:cs="Times New Roman"/>
          <w:sz w:val="24"/>
          <w:szCs w:val="24"/>
        </w:rPr>
        <w:t xml:space="preserve">nº </w:t>
      </w:r>
      <w:r w:rsidRPr="0060380D">
        <w:rPr>
          <w:rFonts w:ascii="Times New Roman" w:hAnsi="Times New Roman" w:cs="Times New Roman"/>
          <w:sz w:val="24"/>
          <w:szCs w:val="24"/>
        </w:rPr>
        <w:t>12</w:t>
      </w:r>
      <w:r w:rsidR="009404C0">
        <w:rPr>
          <w:rFonts w:ascii="Times New Roman" w:hAnsi="Times New Roman" w:cs="Times New Roman"/>
          <w:sz w:val="24"/>
          <w:szCs w:val="24"/>
        </w:rPr>
        <w:t>.</w:t>
      </w:r>
      <w:r w:rsidRPr="0060380D">
        <w:rPr>
          <w:rFonts w:ascii="Times New Roman" w:hAnsi="Times New Roman" w:cs="Times New Roman"/>
          <w:sz w:val="24"/>
          <w:szCs w:val="24"/>
        </w:rPr>
        <w:t xml:space="preserve">403 (caso contrário esta variável é zero), </w:t>
      </w:r>
      <m:oMath>
        <m:sSub>
          <m:sSubPr>
            <m:ctrlPr>
              <w:rPr>
                <w:rFonts w:ascii="Cambria Math" w:hAnsi="Cambria Math" w:cs="Times New Roman"/>
                <w:i/>
                <w:sz w:val="24"/>
                <w:szCs w:val="24"/>
              </w:rPr>
            </m:ctrlPr>
          </m:sSubPr>
          <m:e>
            <m:r>
              <w:rPr>
                <w:rFonts w:ascii="Cambria Math" w:hAnsi="Cambria Math" w:cs="Times New Roman"/>
                <w:sz w:val="24"/>
                <w:szCs w:val="24"/>
              </w:rPr>
              <m:t>maior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pos</m:t>
            </m:r>
          </m:e>
          <m:sub>
            <m:r>
              <w:rPr>
                <w:rFonts w:ascii="Cambria Math" w:hAnsi="Cambria Math" w:cs="Times New Roman"/>
                <w:sz w:val="24"/>
                <w:szCs w:val="24"/>
              </w:rPr>
              <m:t>t</m:t>
            </m:r>
          </m:sub>
        </m:sSub>
        <m:r>
          <w:rPr>
            <w:rFonts w:ascii="Cambria Math" w:hAnsi="Cambria Math" w:cs="Times New Roman"/>
            <w:sz w:val="24"/>
            <w:szCs w:val="24"/>
          </w:rPr>
          <m:t xml:space="preserve"> </m:t>
        </m:r>
      </m:oMath>
      <w:r w:rsidRPr="0060380D">
        <w:rPr>
          <w:rFonts w:ascii="Times New Roman" w:hAnsi="Times New Roman" w:cs="Times New Roman"/>
          <w:sz w:val="24"/>
          <w:szCs w:val="24"/>
        </w:rPr>
        <w:t xml:space="preserve"> é uma interação entre a indicadora de maioridade e a do período pós-lei,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λ</m:t>
            </m:r>
          </m:e>
          <m:sub>
            <m:r>
              <w:rPr>
                <w:rFonts w:ascii="Cambria Math" w:hAnsi="Cambria Math" w:cs="Times New Roman"/>
                <w:sz w:val="24"/>
                <w:szCs w:val="24"/>
                <w:lang w:val="en-US"/>
              </w:rPr>
              <m:t>b</m:t>
            </m:r>
          </m:sub>
        </m:sSub>
      </m:oMath>
      <w:r w:rsidRPr="0060380D">
        <w:rPr>
          <w:rFonts w:ascii="Times New Roman" w:hAnsi="Times New Roman" w:cs="Times New Roman"/>
          <w:sz w:val="24"/>
          <w:szCs w:val="24"/>
        </w:rPr>
        <w:t xml:space="preserve"> é um efeito </w:t>
      </w:r>
      <w:r>
        <w:rPr>
          <w:rFonts w:ascii="Times New Roman" w:hAnsi="Times New Roman" w:cs="Times New Roman"/>
          <w:sz w:val="24"/>
          <w:szCs w:val="24"/>
        </w:rPr>
        <w:t>fi</w:t>
      </w:r>
      <w:r w:rsidRPr="0060380D">
        <w:rPr>
          <w:rFonts w:ascii="Times New Roman" w:hAnsi="Times New Roman" w:cs="Times New Roman"/>
          <w:sz w:val="24"/>
          <w:szCs w:val="24"/>
        </w:rPr>
        <w:t>xo de batalhão e</w:t>
      </w:r>
      <w:r w:rsidR="009404C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lang w:val="en-US"/>
              </w:rPr>
              <m:t>ϵ</m:t>
            </m:r>
          </m:e>
          <m:sub>
            <m:r>
              <w:rPr>
                <w:rFonts w:ascii="Cambria Math" w:hAnsi="Cambria Math" w:cs="Times New Roman"/>
                <w:sz w:val="24"/>
                <w:szCs w:val="24"/>
              </w:rPr>
              <m:t>ibt</m:t>
            </m:r>
          </m:sub>
        </m:sSub>
      </m:oMath>
      <w:r w:rsidR="009404C0">
        <w:rPr>
          <w:rFonts w:ascii="Times New Roman" w:eastAsiaTheme="minorEastAsia" w:hAnsi="Times New Roman" w:cs="Times New Roman"/>
          <w:sz w:val="24"/>
          <w:szCs w:val="24"/>
        </w:rPr>
        <w:t xml:space="preserve"> </w:t>
      </w:r>
      <w:proofErr w:type="spellStart"/>
      <w:r w:rsidRPr="0060380D">
        <w:rPr>
          <w:rFonts w:ascii="Times New Roman" w:hAnsi="Times New Roman" w:cs="Times New Roman"/>
          <w:sz w:val="24"/>
          <w:szCs w:val="24"/>
        </w:rPr>
        <w:t>é</w:t>
      </w:r>
      <w:proofErr w:type="spellEnd"/>
      <w:r w:rsidRPr="0060380D">
        <w:rPr>
          <w:rFonts w:ascii="Times New Roman" w:hAnsi="Times New Roman" w:cs="Times New Roman"/>
          <w:sz w:val="24"/>
          <w:szCs w:val="24"/>
        </w:rPr>
        <w:t xml:space="preserve"> um termo de erro para o indivíduo</w:t>
      </w:r>
      <w:r w:rsidRPr="009404C0">
        <w:rPr>
          <w:rFonts w:ascii="Times New Roman" w:hAnsi="Times New Roman" w:cs="Times New Roman"/>
          <w:i/>
          <w:sz w:val="24"/>
          <w:szCs w:val="24"/>
        </w:rPr>
        <w:t xml:space="preserve"> i</w:t>
      </w:r>
      <w:r w:rsidRPr="0060380D">
        <w:rPr>
          <w:rFonts w:ascii="Times New Roman" w:hAnsi="Times New Roman" w:cs="Times New Roman"/>
          <w:sz w:val="24"/>
          <w:szCs w:val="24"/>
        </w:rPr>
        <w:t xml:space="preserve">, no batalhão </w:t>
      </w:r>
      <w:r w:rsidRPr="009404C0">
        <w:rPr>
          <w:rFonts w:ascii="Times New Roman" w:hAnsi="Times New Roman" w:cs="Times New Roman"/>
          <w:i/>
          <w:sz w:val="24"/>
          <w:szCs w:val="24"/>
        </w:rPr>
        <w:t>b</w:t>
      </w:r>
      <w:r w:rsidRPr="0060380D">
        <w:rPr>
          <w:rFonts w:ascii="Times New Roman" w:hAnsi="Times New Roman" w:cs="Times New Roman"/>
          <w:sz w:val="24"/>
          <w:szCs w:val="24"/>
        </w:rPr>
        <w:t xml:space="preserve">, no mês </w:t>
      </w:r>
      <w:r w:rsidRPr="009404C0">
        <w:rPr>
          <w:rFonts w:ascii="Times New Roman" w:hAnsi="Times New Roman" w:cs="Times New Roman"/>
          <w:i/>
          <w:sz w:val="24"/>
          <w:szCs w:val="24"/>
        </w:rPr>
        <w:t>t</w:t>
      </w:r>
      <w:r w:rsidRPr="0060380D">
        <w:rPr>
          <w:rFonts w:ascii="Times New Roman" w:hAnsi="Times New Roman" w:cs="Times New Roman"/>
          <w:sz w:val="24"/>
          <w:szCs w:val="24"/>
        </w:rPr>
        <w:t>. O coe</w:t>
      </w:r>
      <w:r w:rsidR="009404C0">
        <w:rPr>
          <w:rFonts w:ascii="Times New Roman" w:hAnsi="Times New Roman" w:cs="Times New Roman"/>
          <w:sz w:val="24"/>
          <w:szCs w:val="24"/>
        </w:rPr>
        <w:t>fi</w:t>
      </w:r>
      <w:r w:rsidRPr="0060380D">
        <w:rPr>
          <w:rFonts w:ascii="Times New Roman" w:hAnsi="Times New Roman" w:cs="Times New Roman"/>
          <w:sz w:val="24"/>
          <w:szCs w:val="24"/>
        </w:rPr>
        <w:t xml:space="preserve">ciente de interesse é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rPr>
              <m:t xml:space="preserve">3 </m:t>
            </m:r>
          </m:sub>
        </m:sSub>
      </m:oMath>
      <w:r w:rsidRPr="0060380D">
        <w:rPr>
          <w:rFonts w:ascii="Times New Roman" w:hAnsi="Times New Roman" w:cs="Times New Roman"/>
          <w:sz w:val="24"/>
          <w:szCs w:val="24"/>
        </w:rPr>
        <w:t xml:space="preserve">, que fornece o efeito da lei </w:t>
      </w:r>
      <w:r w:rsidR="009404C0">
        <w:rPr>
          <w:rFonts w:ascii="Times New Roman" w:hAnsi="Times New Roman" w:cs="Times New Roman"/>
          <w:sz w:val="24"/>
          <w:szCs w:val="24"/>
        </w:rPr>
        <w:t xml:space="preserve">nº </w:t>
      </w:r>
      <w:r w:rsidRPr="0060380D">
        <w:rPr>
          <w:rFonts w:ascii="Times New Roman" w:hAnsi="Times New Roman" w:cs="Times New Roman"/>
          <w:sz w:val="24"/>
          <w:szCs w:val="24"/>
        </w:rPr>
        <w:t>12</w:t>
      </w:r>
      <w:r w:rsidR="009404C0">
        <w:rPr>
          <w:rFonts w:ascii="Times New Roman" w:hAnsi="Times New Roman" w:cs="Times New Roman"/>
          <w:sz w:val="24"/>
          <w:szCs w:val="24"/>
        </w:rPr>
        <w:t>.</w:t>
      </w:r>
      <w:r w:rsidRPr="0060380D">
        <w:rPr>
          <w:rFonts w:ascii="Times New Roman" w:hAnsi="Times New Roman" w:cs="Times New Roman"/>
          <w:sz w:val="24"/>
          <w:szCs w:val="24"/>
        </w:rPr>
        <w:t xml:space="preserve">403 sobre o crime </w:t>
      </w:r>
      <w:r w:rsidRPr="009404C0">
        <w:rPr>
          <w:rFonts w:ascii="Times New Roman" w:hAnsi="Times New Roman" w:cs="Times New Roman"/>
          <w:i/>
          <w:sz w:val="24"/>
          <w:szCs w:val="24"/>
        </w:rPr>
        <w:t>x</w:t>
      </w:r>
      <w:r w:rsidRPr="0060380D">
        <w:rPr>
          <w:rFonts w:ascii="Times New Roman" w:hAnsi="Times New Roman" w:cs="Times New Roman"/>
          <w:sz w:val="24"/>
          <w:szCs w:val="24"/>
        </w:rPr>
        <w:t xml:space="preserve"> que estiver sendo analisado. Adicionalmente, optou-se por agregar o erro-padrão por batalhão para lidar com o problema de correlação serial.</w:t>
      </w:r>
    </w:p>
    <w:p w:rsidR="00222E6C" w:rsidRPr="00BD3CDD" w:rsidRDefault="0060380D" w:rsidP="00BD3CDD">
      <w:pPr>
        <w:ind w:firstLine="708"/>
        <w:jc w:val="both"/>
        <w:rPr>
          <w:rFonts w:ascii="Times New Roman" w:hAnsi="Times New Roman" w:cs="Times New Roman"/>
          <w:sz w:val="24"/>
          <w:szCs w:val="24"/>
        </w:rPr>
      </w:pPr>
      <w:r w:rsidRPr="0060380D">
        <w:rPr>
          <w:rFonts w:ascii="Times New Roman" w:hAnsi="Times New Roman" w:cs="Times New Roman"/>
          <w:sz w:val="24"/>
          <w:szCs w:val="24"/>
        </w:rPr>
        <w:t>Os parâmetros de interesse estimados a partir da Equação 1 fornecem a diferença na evolução da probabilidade de que maiores e menores realizem crimes contra o patrimônio (roubos e furtos). Assim, estes coe</w:t>
      </w:r>
      <w:r>
        <w:rPr>
          <w:rFonts w:ascii="Times New Roman" w:hAnsi="Times New Roman" w:cs="Times New Roman"/>
          <w:sz w:val="24"/>
          <w:szCs w:val="24"/>
        </w:rPr>
        <w:t>fi</w:t>
      </w:r>
      <w:r w:rsidRPr="0060380D">
        <w:rPr>
          <w:rFonts w:ascii="Times New Roman" w:hAnsi="Times New Roman" w:cs="Times New Roman"/>
          <w:sz w:val="24"/>
          <w:szCs w:val="24"/>
        </w:rPr>
        <w:t xml:space="preserve">cientes apresentam exatamente a diferença das diferenças. O único fator que pode acarretar em um </w:t>
      </w:r>
      <w:proofErr w:type="gramStart"/>
      <w:r w:rsidRPr="0060380D">
        <w:rPr>
          <w:rFonts w:ascii="Times New Roman" w:hAnsi="Times New Roman" w:cs="Times New Roman"/>
          <w:sz w:val="24"/>
          <w:szCs w:val="24"/>
        </w:rPr>
        <w:t>coe</w:t>
      </w:r>
      <w:r w:rsidR="0089426D">
        <w:rPr>
          <w:rFonts w:ascii="Times New Roman" w:hAnsi="Times New Roman" w:cs="Times New Roman"/>
          <w:sz w:val="24"/>
          <w:szCs w:val="24"/>
        </w:rPr>
        <w:t>fi</w:t>
      </w:r>
      <w:r w:rsidRPr="0060380D">
        <w:rPr>
          <w:rFonts w:ascii="Times New Roman" w:hAnsi="Times New Roman" w:cs="Times New Roman"/>
          <w:sz w:val="24"/>
          <w:szCs w:val="24"/>
        </w:rPr>
        <w:t xml:space="preserve">ciente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oMath>
      <w:r w:rsidR="003E48CD">
        <w:rPr>
          <w:rFonts w:ascii="Times New Roman" w:eastAsiaTheme="minorEastAsia" w:hAnsi="Times New Roman" w:cs="Times New Roman"/>
          <w:sz w:val="24"/>
          <w:szCs w:val="24"/>
        </w:rPr>
        <w:t xml:space="preserve"> </w:t>
      </w:r>
      <w:r w:rsidRPr="0060380D">
        <w:rPr>
          <w:rFonts w:ascii="Times New Roman" w:hAnsi="Times New Roman" w:cs="Times New Roman"/>
          <w:sz w:val="24"/>
          <w:szCs w:val="24"/>
        </w:rPr>
        <w:t>distinto</w:t>
      </w:r>
      <w:proofErr w:type="gramEnd"/>
      <w:r w:rsidRPr="0060380D">
        <w:rPr>
          <w:rFonts w:ascii="Times New Roman" w:hAnsi="Times New Roman" w:cs="Times New Roman"/>
          <w:sz w:val="24"/>
          <w:szCs w:val="24"/>
        </w:rPr>
        <w:t xml:space="preserve"> da diferença das diferenças é a presença dos efeitos </w:t>
      </w:r>
      <w:r>
        <w:rPr>
          <w:rFonts w:ascii="Times New Roman" w:hAnsi="Times New Roman" w:cs="Times New Roman"/>
          <w:sz w:val="24"/>
          <w:szCs w:val="24"/>
        </w:rPr>
        <w:t>fi</w:t>
      </w:r>
      <w:r w:rsidRPr="0060380D">
        <w:rPr>
          <w:rFonts w:ascii="Times New Roman" w:hAnsi="Times New Roman" w:cs="Times New Roman"/>
          <w:sz w:val="24"/>
          <w:szCs w:val="24"/>
        </w:rPr>
        <w:t xml:space="preserve">xos por batalhão, </w:t>
      </w:r>
      <m:oMath>
        <m:sSub>
          <m:sSubPr>
            <m:ctrlPr>
              <w:rPr>
                <w:rFonts w:ascii="Cambria Math" w:hAnsi="Cambria Math" w:cs="Times New Roman"/>
                <w:i/>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rPr>
              <m:t>b</m:t>
            </m:r>
          </m:sub>
        </m:sSub>
      </m:oMath>
      <w:r w:rsidRPr="0060380D">
        <w:rPr>
          <w:rFonts w:ascii="Times New Roman" w:hAnsi="Times New Roman" w:cs="Times New Roman"/>
          <w:sz w:val="24"/>
          <w:szCs w:val="24"/>
        </w:rPr>
        <w:t>, na Equação 1</w:t>
      </w:r>
      <w:r w:rsidRPr="00222E6C">
        <w:rPr>
          <w:rFonts w:ascii="Times New Roman" w:hAnsi="Times New Roman" w:cs="Times New Roman"/>
          <w:sz w:val="24"/>
          <w:szCs w:val="24"/>
        </w:rPr>
        <w:t xml:space="preserve">. </w:t>
      </w:r>
      <w:r w:rsidR="00222E6C" w:rsidRPr="00BD3CDD">
        <w:rPr>
          <w:rFonts w:ascii="Times New Roman" w:hAnsi="Times New Roman" w:cs="Times New Roman"/>
          <w:sz w:val="24"/>
          <w:szCs w:val="24"/>
        </w:rPr>
        <w:t>No entanto, é importante controlar pelos efeitos fixos por batalhão para que o modelo econométrico internalize a informação de que cada uma destas unidades de polícia tende a apresentar características específicas que podem influenciar (atenuando ou ampliando) os efeitos da lei.</w:t>
      </w:r>
    </w:p>
    <w:p w:rsidR="00222E6C" w:rsidRPr="00BD3CDD" w:rsidRDefault="00222E6C" w:rsidP="00222E6C">
      <w:pPr>
        <w:spacing w:line="240" w:lineRule="auto"/>
        <w:ind w:firstLine="708"/>
        <w:jc w:val="both"/>
        <w:rPr>
          <w:rFonts w:ascii="Times New Roman" w:hAnsi="Times New Roman" w:cs="Times New Roman"/>
          <w:sz w:val="24"/>
          <w:szCs w:val="24"/>
        </w:rPr>
      </w:pPr>
      <w:r w:rsidRPr="00BD3CDD">
        <w:rPr>
          <w:rFonts w:ascii="Times New Roman" w:hAnsi="Times New Roman" w:cs="Times New Roman"/>
          <w:sz w:val="24"/>
          <w:szCs w:val="24"/>
        </w:rPr>
        <w:t>Por exemplo, o impacto da lei pode ser menor em batalhões com nível exacerbado de corrupção, visto que estas localidades normalmente já não respeitam as normas previstas no código penal e, portanto, costumam apresentar elevado grau de impunidade. Neste último caso, a introdução de efeitos fixos por batalhão permite resolver o problema mencionado anteriormente, visto que ajuda a controlar a potencial presença de níveis distintos de corrupção entre as unidades de polícia do estado do Rio de Janeiro. Na verdade, a introdução dos efeitos fixos por batalhão permite controlar não apenas os níveis distintos em termos de corrupção que pode eventualmente existir entre as referidas unidades de polícia, mas também as diferenças observadas em outras variáveis quaisquer, desde que sejam discrepâncias que permaneçam constantes ao longo do tempo.</w:t>
      </w:r>
    </w:p>
    <w:p w:rsidR="0060380D" w:rsidRDefault="000A204E" w:rsidP="00C63BBA">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60380D" w:rsidRPr="0060380D">
        <w:rPr>
          <w:rFonts w:ascii="Times New Roman" w:hAnsi="Times New Roman" w:cs="Times New Roman"/>
          <w:sz w:val="24"/>
          <w:szCs w:val="24"/>
        </w:rPr>
        <w:t>A Tabela 6 apresenta os resultados encontrados ao estimar a Equação 1. Na coluna 1, que compara todos os maiores e menores da base de crimes, encontra-se que a lei</w:t>
      </w:r>
      <w:r w:rsidR="0097000D">
        <w:rPr>
          <w:rFonts w:ascii="Times New Roman" w:hAnsi="Times New Roman" w:cs="Times New Roman"/>
          <w:sz w:val="24"/>
          <w:szCs w:val="24"/>
        </w:rPr>
        <w:t xml:space="preserve"> nº</w:t>
      </w:r>
      <w:r w:rsidR="0060380D" w:rsidRPr="0060380D">
        <w:rPr>
          <w:rFonts w:ascii="Times New Roman" w:hAnsi="Times New Roman" w:cs="Times New Roman"/>
          <w:sz w:val="24"/>
          <w:szCs w:val="24"/>
        </w:rPr>
        <w:t xml:space="preserve"> 12</w:t>
      </w:r>
      <w:r w:rsidR="0097000D">
        <w:rPr>
          <w:rFonts w:ascii="Times New Roman" w:hAnsi="Times New Roman" w:cs="Times New Roman"/>
          <w:sz w:val="24"/>
          <w:szCs w:val="24"/>
        </w:rPr>
        <w:t>.</w:t>
      </w:r>
      <w:r w:rsidR="0060380D" w:rsidRPr="0060380D">
        <w:rPr>
          <w:rFonts w:ascii="Times New Roman" w:hAnsi="Times New Roman" w:cs="Times New Roman"/>
          <w:sz w:val="24"/>
          <w:szCs w:val="24"/>
        </w:rPr>
        <w:t xml:space="preserve">403 é consistente com um aumento de 3,8 </w:t>
      </w:r>
      <w:proofErr w:type="spellStart"/>
      <w:r w:rsidR="0060380D" w:rsidRPr="0060380D">
        <w:rPr>
          <w:rFonts w:ascii="Times New Roman" w:hAnsi="Times New Roman" w:cs="Times New Roman"/>
          <w:sz w:val="24"/>
          <w:szCs w:val="24"/>
        </w:rPr>
        <w:t>p.p</w:t>
      </w:r>
      <w:proofErr w:type="spellEnd"/>
      <w:r w:rsidR="0060380D" w:rsidRPr="0060380D">
        <w:rPr>
          <w:rFonts w:ascii="Times New Roman" w:hAnsi="Times New Roman" w:cs="Times New Roman"/>
          <w:sz w:val="24"/>
          <w:szCs w:val="24"/>
        </w:rPr>
        <w:t xml:space="preserve">. nos furtos. Assim, pode-se dizer que a mudança na legislação acarreta em um crescimento de cerca de </w:t>
      </w:r>
      <w:r w:rsidR="0089483E" w:rsidRPr="0060380D">
        <w:rPr>
          <w:rFonts w:ascii="Times New Roman" w:hAnsi="Times New Roman" w:cs="Times New Roman"/>
          <w:sz w:val="24"/>
          <w:szCs w:val="24"/>
        </w:rPr>
        <w:t>10</w:t>
      </w:r>
      <w:r w:rsidR="0089483E">
        <w:rPr>
          <w:rFonts w:ascii="Times New Roman" w:hAnsi="Times New Roman" w:cs="Times New Roman"/>
          <w:sz w:val="24"/>
          <w:szCs w:val="24"/>
        </w:rPr>
        <w:t>6</w:t>
      </w:r>
      <w:r w:rsidR="0060380D" w:rsidRPr="0060380D">
        <w:rPr>
          <w:rFonts w:ascii="Times New Roman" w:hAnsi="Times New Roman" w:cs="Times New Roman"/>
          <w:sz w:val="24"/>
          <w:szCs w:val="24"/>
        </w:rPr>
        <w:t>% na probabilidade de ocorrência deste tipo de delito (3,8/3,</w:t>
      </w:r>
      <w:r w:rsidR="0089483E">
        <w:rPr>
          <w:rFonts w:ascii="Times New Roman" w:hAnsi="Times New Roman" w:cs="Times New Roman"/>
          <w:sz w:val="24"/>
          <w:szCs w:val="24"/>
        </w:rPr>
        <w:t>57</w:t>
      </w:r>
      <w:r w:rsidR="0060380D" w:rsidRPr="0060380D">
        <w:rPr>
          <w:rFonts w:ascii="Times New Roman" w:hAnsi="Times New Roman" w:cs="Times New Roman"/>
          <w:sz w:val="24"/>
          <w:szCs w:val="24"/>
        </w:rPr>
        <w:t>=1,</w:t>
      </w:r>
      <w:r w:rsidR="0089483E" w:rsidRPr="0060380D">
        <w:rPr>
          <w:rFonts w:ascii="Times New Roman" w:hAnsi="Times New Roman" w:cs="Times New Roman"/>
          <w:sz w:val="24"/>
          <w:szCs w:val="24"/>
        </w:rPr>
        <w:t>0</w:t>
      </w:r>
      <w:r w:rsidR="0089483E">
        <w:rPr>
          <w:rFonts w:ascii="Times New Roman" w:hAnsi="Times New Roman" w:cs="Times New Roman"/>
          <w:sz w:val="24"/>
          <w:szCs w:val="24"/>
        </w:rPr>
        <w:t>6</w:t>
      </w:r>
      <w:r w:rsidR="0060380D" w:rsidRPr="0060380D">
        <w:rPr>
          <w:rFonts w:ascii="Times New Roman" w:hAnsi="Times New Roman" w:cs="Times New Roman"/>
          <w:sz w:val="24"/>
          <w:szCs w:val="24"/>
        </w:rPr>
        <w:t xml:space="preserve">). Interessantemente, o aumento de 3,8 </w:t>
      </w:r>
      <w:proofErr w:type="spellStart"/>
      <w:r w:rsidR="0060380D" w:rsidRPr="0060380D">
        <w:rPr>
          <w:rFonts w:ascii="Times New Roman" w:hAnsi="Times New Roman" w:cs="Times New Roman"/>
          <w:sz w:val="24"/>
          <w:szCs w:val="24"/>
        </w:rPr>
        <w:t>p.p</w:t>
      </w:r>
      <w:proofErr w:type="spellEnd"/>
      <w:r w:rsidR="0060380D" w:rsidRPr="0060380D">
        <w:rPr>
          <w:rFonts w:ascii="Times New Roman" w:hAnsi="Times New Roman" w:cs="Times New Roman"/>
          <w:sz w:val="24"/>
          <w:szCs w:val="24"/>
        </w:rPr>
        <w:t>. é semelhante à diferença das diferenças, de 3,</w:t>
      </w:r>
      <w:r w:rsidR="00C55CC5">
        <w:rPr>
          <w:rFonts w:ascii="Times New Roman" w:hAnsi="Times New Roman" w:cs="Times New Roman"/>
          <w:sz w:val="24"/>
          <w:szCs w:val="24"/>
        </w:rPr>
        <w:t>43</w:t>
      </w:r>
      <w:r w:rsidR="00C55CC5" w:rsidRPr="0060380D">
        <w:rPr>
          <w:rFonts w:ascii="Times New Roman" w:hAnsi="Times New Roman" w:cs="Times New Roman"/>
          <w:sz w:val="24"/>
          <w:szCs w:val="24"/>
        </w:rPr>
        <w:t xml:space="preserve"> </w:t>
      </w:r>
      <w:proofErr w:type="spellStart"/>
      <w:r w:rsidR="0060380D" w:rsidRPr="0060380D">
        <w:rPr>
          <w:rFonts w:ascii="Times New Roman" w:hAnsi="Times New Roman" w:cs="Times New Roman"/>
          <w:sz w:val="24"/>
          <w:szCs w:val="24"/>
        </w:rPr>
        <w:t>p.p</w:t>
      </w:r>
      <w:proofErr w:type="spellEnd"/>
      <w:r w:rsidR="0060380D" w:rsidRPr="0060380D">
        <w:rPr>
          <w:rFonts w:ascii="Times New Roman" w:hAnsi="Times New Roman" w:cs="Times New Roman"/>
          <w:sz w:val="24"/>
          <w:szCs w:val="24"/>
        </w:rPr>
        <w:t>., encontrada anteriormente ao focar na amostra completa e analisar, informalmente, o efeito da nova lei sobre os furtos (Coluna 3 do Painel A da Tabela</w:t>
      </w:r>
      <w:r w:rsidR="0097000D">
        <w:rPr>
          <w:rFonts w:ascii="Times New Roman" w:hAnsi="Times New Roman" w:cs="Times New Roman"/>
          <w:sz w:val="24"/>
          <w:szCs w:val="24"/>
        </w:rPr>
        <w:t xml:space="preserve"> </w:t>
      </w:r>
      <w:r w:rsidR="0060380D" w:rsidRPr="0060380D">
        <w:rPr>
          <w:rFonts w:ascii="Times New Roman" w:hAnsi="Times New Roman" w:cs="Times New Roman"/>
          <w:sz w:val="24"/>
          <w:szCs w:val="24"/>
        </w:rPr>
        <w:t>3).</w:t>
      </w:r>
    </w:p>
    <w:p w:rsidR="00201340" w:rsidRPr="00D400DE" w:rsidRDefault="00201340" w:rsidP="00201340">
      <w:pPr>
        <w:spacing w:line="240" w:lineRule="auto"/>
        <w:ind w:firstLine="708"/>
        <w:jc w:val="both"/>
        <w:rPr>
          <w:rFonts w:ascii="Times New Roman" w:hAnsi="Times New Roman" w:cs="Times New Roman"/>
          <w:sz w:val="24"/>
          <w:szCs w:val="24"/>
        </w:rPr>
      </w:pPr>
      <w:r w:rsidRPr="00D400DE">
        <w:rPr>
          <w:rFonts w:ascii="Times New Roman" w:hAnsi="Times New Roman" w:cs="Times New Roman"/>
          <w:sz w:val="24"/>
          <w:szCs w:val="24"/>
        </w:rPr>
        <w:t xml:space="preserve">A coluna </w:t>
      </w:r>
      <w:proofErr w:type="gramStart"/>
      <w:r w:rsidRPr="00D400DE">
        <w:rPr>
          <w:rFonts w:ascii="Times New Roman" w:hAnsi="Times New Roman" w:cs="Times New Roman"/>
          <w:sz w:val="24"/>
          <w:szCs w:val="24"/>
        </w:rPr>
        <w:t>2 foca</w:t>
      </w:r>
      <w:proofErr w:type="gramEnd"/>
      <w:r w:rsidRPr="00D400DE">
        <w:rPr>
          <w:rFonts w:ascii="Times New Roman" w:hAnsi="Times New Roman" w:cs="Times New Roman"/>
          <w:sz w:val="24"/>
          <w:szCs w:val="24"/>
        </w:rPr>
        <w:t xml:space="preserve"> na amostra preferida, cuja vantagem é analisar grupos de comparação mais semelhantes. A amostra selecionada considera apenas os indivíduos que têm entre 18 e 20 anos, maiores, e aqueles que possuem entre 15 e 17 anos, menores. </w:t>
      </w:r>
      <w:r w:rsidRPr="00BD3CDD">
        <w:rPr>
          <w:rFonts w:ascii="Times New Roman" w:hAnsi="Times New Roman" w:cs="Times New Roman"/>
          <w:sz w:val="24"/>
          <w:szCs w:val="24"/>
        </w:rPr>
        <w:t>O coeficiente</w:t>
      </w:r>
      <w:r w:rsidRPr="00D400DE">
        <w:rPr>
          <w:rFonts w:ascii="Times New Roman" w:hAnsi="Times New Roman" w:cs="Times New Roman"/>
          <w:sz w:val="24"/>
          <w:szCs w:val="24"/>
        </w:rPr>
        <w:t xml:space="preserve"> de interesse indica que a lei aumenta a probabilidade da realização de furtos em 2,1 pontos percentuais (</w:t>
      </w:r>
      <w:proofErr w:type="spellStart"/>
      <w:r w:rsidRPr="00D400DE">
        <w:rPr>
          <w:rFonts w:ascii="Times New Roman" w:hAnsi="Times New Roman" w:cs="Times New Roman"/>
          <w:sz w:val="24"/>
          <w:szCs w:val="24"/>
        </w:rPr>
        <w:t>p.p</w:t>
      </w:r>
      <w:proofErr w:type="spellEnd"/>
      <w:r w:rsidRPr="00D400DE">
        <w:rPr>
          <w:rFonts w:ascii="Times New Roman" w:hAnsi="Times New Roman" w:cs="Times New Roman"/>
          <w:sz w:val="24"/>
          <w:szCs w:val="24"/>
        </w:rPr>
        <w:t>.). Desta maneira, a especi</w:t>
      </w:r>
      <w:r>
        <w:rPr>
          <w:rFonts w:ascii="Times New Roman" w:hAnsi="Times New Roman" w:cs="Times New Roman"/>
          <w:sz w:val="24"/>
          <w:szCs w:val="24"/>
        </w:rPr>
        <w:t>fi</w:t>
      </w:r>
      <w:r w:rsidRPr="00D400DE">
        <w:rPr>
          <w:rFonts w:ascii="Times New Roman" w:hAnsi="Times New Roman" w:cs="Times New Roman"/>
          <w:sz w:val="24"/>
          <w:szCs w:val="24"/>
        </w:rPr>
        <w:t>cação preferida</w:t>
      </w:r>
      <w:r>
        <w:rPr>
          <w:rStyle w:val="Refdenotaderodap"/>
          <w:rFonts w:ascii="Times New Roman" w:hAnsi="Times New Roman" w:cs="Times New Roman"/>
          <w:sz w:val="24"/>
          <w:szCs w:val="24"/>
        </w:rPr>
        <w:footnoteReference w:id="15"/>
      </w:r>
      <w:r w:rsidRPr="00D400DE">
        <w:rPr>
          <w:rFonts w:ascii="Times New Roman" w:hAnsi="Times New Roman" w:cs="Times New Roman"/>
          <w:sz w:val="24"/>
          <w:szCs w:val="24"/>
        </w:rPr>
        <w:t xml:space="preserve"> encontra, ao comparar indivíduos contidos em uma janela de três anos ao redor da maioridade, que a lei resulta em um crescimento de quase 30% na probabilidade de ocorrência de furtos (2,1/7,0</w:t>
      </w:r>
      <w:r>
        <w:rPr>
          <w:rFonts w:ascii="Times New Roman" w:hAnsi="Times New Roman" w:cs="Times New Roman"/>
          <w:sz w:val="24"/>
          <w:szCs w:val="24"/>
        </w:rPr>
        <w:t>3</w:t>
      </w:r>
      <w:r w:rsidRPr="00D400DE">
        <w:rPr>
          <w:rFonts w:ascii="Times New Roman" w:hAnsi="Times New Roman" w:cs="Times New Roman"/>
          <w:sz w:val="24"/>
          <w:szCs w:val="24"/>
        </w:rPr>
        <w:t>=0,29</w:t>
      </w:r>
      <w:r>
        <w:rPr>
          <w:rFonts w:ascii="Times New Roman" w:hAnsi="Times New Roman" w:cs="Times New Roman"/>
          <w:sz w:val="24"/>
          <w:szCs w:val="24"/>
        </w:rPr>
        <w:t>9</w:t>
      </w:r>
      <w:r w:rsidRPr="00D400DE">
        <w:rPr>
          <w:rFonts w:ascii="Times New Roman" w:hAnsi="Times New Roman" w:cs="Times New Roman"/>
          <w:sz w:val="24"/>
          <w:szCs w:val="24"/>
        </w:rPr>
        <w:t>). Reforçando a relação entre a econometria e a intuição, constata-se que o efeito estimado formalmente, de 2,1</w:t>
      </w:r>
      <w:r>
        <w:rPr>
          <w:rFonts w:ascii="Times New Roman" w:hAnsi="Times New Roman" w:cs="Times New Roman"/>
          <w:sz w:val="24"/>
          <w:szCs w:val="24"/>
        </w:rPr>
        <w:t xml:space="preserve"> </w:t>
      </w:r>
      <w:proofErr w:type="spellStart"/>
      <w:r w:rsidRPr="00D400DE">
        <w:rPr>
          <w:rFonts w:ascii="Times New Roman" w:hAnsi="Times New Roman" w:cs="Times New Roman"/>
          <w:sz w:val="24"/>
          <w:szCs w:val="24"/>
        </w:rPr>
        <w:t>p.p</w:t>
      </w:r>
      <w:proofErr w:type="spellEnd"/>
      <w:r w:rsidRPr="00D400DE">
        <w:rPr>
          <w:rFonts w:ascii="Times New Roman" w:hAnsi="Times New Roman" w:cs="Times New Roman"/>
          <w:sz w:val="24"/>
          <w:szCs w:val="24"/>
        </w:rPr>
        <w:t>., é semelhante ao impacto obtido anteriormente pelo cálculo da diferença das diferenças, de 2,0</w:t>
      </w:r>
      <w:r>
        <w:rPr>
          <w:rFonts w:ascii="Times New Roman" w:hAnsi="Times New Roman" w:cs="Times New Roman"/>
          <w:sz w:val="24"/>
          <w:szCs w:val="24"/>
        </w:rPr>
        <w:t>8</w:t>
      </w:r>
      <w:r w:rsidRPr="00D400DE">
        <w:rPr>
          <w:rFonts w:ascii="Times New Roman" w:hAnsi="Times New Roman" w:cs="Times New Roman"/>
          <w:sz w:val="24"/>
          <w:szCs w:val="24"/>
        </w:rPr>
        <w:t xml:space="preserve"> </w:t>
      </w:r>
      <w:proofErr w:type="spellStart"/>
      <w:r w:rsidRPr="00D400DE">
        <w:rPr>
          <w:rFonts w:ascii="Times New Roman" w:hAnsi="Times New Roman" w:cs="Times New Roman"/>
          <w:sz w:val="24"/>
          <w:szCs w:val="24"/>
        </w:rPr>
        <w:t>p.p</w:t>
      </w:r>
      <w:proofErr w:type="spellEnd"/>
      <w:r w:rsidRPr="00D400DE">
        <w:rPr>
          <w:rFonts w:ascii="Times New Roman" w:hAnsi="Times New Roman" w:cs="Times New Roman"/>
          <w:sz w:val="24"/>
          <w:szCs w:val="24"/>
        </w:rPr>
        <w:t>. (Coluna 6 do Painel A da Tabela 3).</w:t>
      </w:r>
    </w:p>
    <w:p w:rsidR="00201340" w:rsidRDefault="00201340" w:rsidP="00C63BBA">
      <w:pPr>
        <w:spacing w:line="240" w:lineRule="auto"/>
        <w:jc w:val="both"/>
        <w:rPr>
          <w:rFonts w:ascii="Times New Roman" w:hAnsi="Times New Roman" w:cs="Times New Roman"/>
          <w:sz w:val="24"/>
          <w:szCs w:val="24"/>
        </w:rPr>
      </w:pPr>
    </w:p>
    <w:p w:rsidR="00201340" w:rsidRDefault="00201340" w:rsidP="00610E2B">
      <w:pPr>
        <w:spacing w:after="0" w:line="240" w:lineRule="auto"/>
        <w:ind w:firstLine="708"/>
        <w:jc w:val="center"/>
        <w:rPr>
          <w:rFonts w:ascii="Times New Roman" w:hAnsi="Times New Roman" w:cs="Times New Roman"/>
          <w:sz w:val="24"/>
          <w:szCs w:val="24"/>
        </w:rPr>
      </w:pPr>
    </w:p>
    <w:p w:rsidR="00201340" w:rsidRDefault="00201340" w:rsidP="00610E2B">
      <w:pPr>
        <w:spacing w:after="0" w:line="240" w:lineRule="auto"/>
        <w:ind w:firstLine="708"/>
        <w:jc w:val="center"/>
        <w:rPr>
          <w:rFonts w:ascii="Times New Roman" w:hAnsi="Times New Roman" w:cs="Times New Roman"/>
          <w:sz w:val="24"/>
          <w:szCs w:val="24"/>
        </w:rPr>
      </w:pPr>
    </w:p>
    <w:p w:rsidR="00201340" w:rsidRDefault="00201340" w:rsidP="00610E2B">
      <w:pPr>
        <w:spacing w:after="0" w:line="240" w:lineRule="auto"/>
        <w:ind w:firstLine="708"/>
        <w:jc w:val="center"/>
        <w:rPr>
          <w:rFonts w:ascii="Times New Roman" w:hAnsi="Times New Roman" w:cs="Times New Roman"/>
          <w:sz w:val="24"/>
          <w:szCs w:val="24"/>
        </w:rPr>
      </w:pPr>
    </w:p>
    <w:p w:rsidR="00201340" w:rsidRDefault="00201340" w:rsidP="00610E2B">
      <w:pPr>
        <w:spacing w:after="0" w:line="240" w:lineRule="auto"/>
        <w:ind w:firstLine="708"/>
        <w:jc w:val="center"/>
        <w:rPr>
          <w:rFonts w:ascii="Times New Roman" w:hAnsi="Times New Roman" w:cs="Times New Roman"/>
          <w:sz w:val="24"/>
          <w:szCs w:val="24"/>
        </w:rPr>
      </w:pPr>
    </w:p>
    <w:p w:rsidR="00201340" w:rsidRDefault="00201340" w:rsidP="00610E2B">
      <w:pPr>
        <w:spacing w:after="0" w:line="240" w:lineRule="auto"/>
        <w:ind w:firstLine="708"/>
        <w:jc w:val="center"/>
        <w:rPr>
          <w:rFonts w:ascii="Times New Roman" w:hAnsi="Times New Roman" w:cs="Times New Roman"/>
          <w:sz w:val="24"/>
          <w:szCs w:val="24"/>
        </w:rPr>
      </w:pPr>
    </w:p>
    <w:p w:rsidR="00DB3E86" w:rsidRDefault="009404C0" w:rsidP="00610E2B">
      <w:pPr>
        <w:spacing w:after="0" w:line="240" w:lineRule="auto"/>
        <w:ind w:firstLine="708"/>
        <w:jc w:val="center"/>
        <w:rPr>
          <w:rFonts w:ascii="Times New Roman" w:hAnsi="Times New Roman" w:cs="Times New Roman"/>
          <w:sz w:val="24"/>
          <w:szCs w:val="24"/>
        </w:rPr>
      </w:pPr>
      <w:r w:rsidRPr="00492636">
        <w:rPr>
          <w:rFonts w:ascii="Times New Roman" w:hAnsi="Times New Roman" w:cs="Times New Roman"/>
          <w:sz w:val="24"/>
          <w:szCs w:val="24"/>
        </w:rPr>
        <w:lastRenderedPageBreak/>
        <w:t xml:space="preserve">Tabela 6: Efeitos da lei </w:t>
      </w:r>
      <w:r w:rsidR="004F5590">
        <w:rPr>
          <w:rFonts w:ascii="Times New Roman" w:hAnsi="Times New Roman" w:cs="Times New Roman"/>
          <w:sz w:val="24"/>
          <w:szCs w:val="24"/>
        </w:rPr>
        <w:t xml:space="preserve">nº </w:t>
      </w:r>
      <w:r w:rsidRPr="00492636">
        <w:rPr>
          <w:rFonts w:ascii="Times New Roman" w:hAnsi="Times New Roman" w:cs="Times New Roman"/>
          <w:sz w:val="24"/>
          <w:szCs w:val="24"/>
        </w:rPr>
        <w:t>12</w:t>
      </w:r>
      <w:r w:rsidR="004F5590">
        <w:rPr>
          <w:rFonts w:ascii="Times New Roman" w:hAnsi="Times New Roman" w:cs="Times New Roman"/>
          <w:sz w:val="24"/>
          <w:szCs w:val="24"/>
        </w:rPr>
        <w:t>.</w:t>
      </w:r>
      <w:r w:rsidRPr="00492636">
        <w:rPr>
          <w:rFonts w:ascii="Times New Roman" w:hAnsi="Times New Roman" w:cs="Times New Roman"/>
          <w:sz w:val="24"/>
          <w:szCs w:val="24"/>
        </w:rPr>
        <w:t>403 sobre os crimes contra o patrimônio</w:t>
      </w:r>
      <w:r w:rsidR="00DB3E86">
        <w:rPr>
          <w:rFonts w:ascii="Times New Roman" w:hAnsi="Times New Roman" w:cs="Times New Roman"/>
          <w:sz w:val="24"/>
          <w:szCs w:val="24"/>
        </w:rPr>
        <w:t xml:space="preserve"> </w:t>
      </w:r>
      <w:r w:rsidR="00DB3E86">
        <w:rPr>
          <w:rFonts w:ascii="Times New Roman" w:hAnsi="Times New Roman" w:cs="Times New Roman"/>
          <w:sz w:val="24"/>
          <w:szCs w:val="24"/>
        </w:rPr>
        <w:br/>
        <w:t>(Dados d</w:t>
      </w:r>
      <w:r w:rsidR="00585020">
        <w:rPr>
          <w:rFonts w:ascii="Times New Roman" w:hAnsi="Times New Roman" w:cs="Times New Roman"/>
          <w:sz w:val="24"/>
          <w:szCs w:val="24"/>
        </w:rPr>
        <w:t>o</w:t>
      </w:r>
      <w:r w:rsidR="00DB3E86">
        <w:rPr>
          <w:rFonts w:ascii="Times New Roman" w:hAnsi="Times New Roman" w:cs="Times New Roman"/>
          <w:sz w:val="24"/>
          <w:szCs w:val="24"/>
        </w:rPr>
        <w:t xml:space="preserve"> DGTIT/PCERJ)</w:t>
      </w:r>
    </w:p>
    <w:p w:rsidR="009404C0" w:rsidRDefault="00C55CC5" w:rsidP="00684C76">
      <w:pPr>
        <w:spacing w:line="240" w:lineRule="auto"/>
        <w:jc w:val="center"/>
        <w:rPr>
          <w:rFonts w:ascii="Times New Roman" w:hAnsi="Times New Roman" w:cs="Times New Roman"/>
          <w:sz w:val="24"/>
          <w:szCs w:val="24"/>
        </w:rPr>
      </w:pPr>
      <w:r w:rsidRPr="00C55CC5">
        <w:rPr>
          <w:noProof/>
          <w:lang w:eastAsia="pt-BR"/>
        </w:rPr>
        <w:drawing>
          <wp:inline distT="0" distB="0" distL="0" distR="0">
            <wp:extent cx="4981575" cy="2925317"/>
            <wp:effectExtent l="0" t="0" r="0" b="889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7368" cy="2928719"/>
                    </a:xfrm>
                    <a:prstGeom prst="rect">
                      <a:avLst/>
                    </a:prstGeom>
                    <a:noFill/>
                    <a:ln>
                      <a:noFill/>
                    </a:ln>
                  </pic:spPr>
                </pic:pic>
              </a:graphicData>
            </a:graphic>
          </wp:inline>
        </w:drawing>
      </w:r>
    </w:p>
    <w:p w:rsidR="00FB0282" w:rsidRPr="00FB0282" w:rsidRDefault="00FB0282" w:rsidP="00BD3CDD">
      <w:pPr>
        <w:spacing w:line="240" w:lineRule="auto"/>
        <w:jc w:val="both"/>
        <w:rPr>
          <w:rFonts w:ascii="Times New Roman" w:hAnsi="Times New Roman" w:cs="Times New Roman"/>
          <w:sz w:val="18"/>
          <w:szCs w:val="24"/>
        </w:rPr>
      </w:pPr>
      <w:r w:rsidRPr="00FB0282">
        <w:rPr>
          <w:rFonts w:ascii="Times New Roman" w:hAnsi="Times New Roman" w:cs="Times New Roman"/>
          <w:sz w:val="18"/>
          <w:szCs w:val="24"/>
        </w:rPr>
        <w:t>Notas. Esta tabela apresenta coeficientes, obtidos a partir de regressões de Mínimos Quadrados Ordinários (MQO), associados às seguintes variáveis: (i) uma indicadora de maioridade, (</w:t>
      </w:r>
      <w:proofErr w:type="spellStart"/>
      <w:r w:rsidRPr="00FB0282">
        <w:rPr>
          <w:rFonts w:ascii="Times New Roman" w:hAnsi="Times New Roman" w:cs="Times New Roman"/>
          <w:sz w:val="18"/>
          <w:szCs w:val="24"/>
        </w:rPr>
        <w:t>ii</w:t>
      </w:r>
      <w:proofErr w:type="spellEnd"/>
      <w:r w:rsidRPr="00FB0282">
        <w:rPr>
          <w:rFonts w:ascii="Times New Roman" w:hAnsi="Times New Roman" w:cs="Times New Roman"/>
          <w:sz w:val="18"/>
          <w:szCs w:val="24"/>
        </w:rPr>
        <w:t>) uma indicadora do período pós lei e (</w:t>
      </w:r>
      <w:proofErr w:type="spellStart"/>
      <w:r w:rsidRPr="00FB0282">
        <w:rPr>
          <w:rFonts w:ascii="Times New Roman" w:hAnsi="Times New Roman" w:cs="Times New Roman"/>
          <w:sz w:val="18"/>
          <w:szCs w:val="24"/>
        </w:rPr>
        <w:t>iii</w:t>
      </w:r>
      <w:proofErr w:type="spellEnd"/>
      <w:r w:rsidRPr="00FB0282">
        <w:rPr>
          <w:rFonts w:ascii="Times New Roman" w:hAnsi="Times New Roman" w:cs="Times New Roman"/>
          <w:sz w:val="18"/>
          <w:szCs w:val="24"/>
        </w:rPr>
        <w:t>) uma interação entre a indicadora de maioridade e a indicadora do período pós lei. A variável independente de interesse é justamente a que considera a interação entre o período pós lei e a maioridade. A indicadora do período pós lei é igual a 1 a partir de julho de 2011 (e zero caso contrário). A indicadora de maioridade é diferente entre as colunas. Nas colunas 1 e 4, a indicadora de maioridade é igual a 1 para indivíduos que têm entre 18 e 100 anos e 0 para aqueles que têm entre 12 e 17 anos. Nas colunas 2 e 5 a indicadora de maioridade é igual a 1 para indivíduos que têm entre 18 e 20 anos e 0 para os que possuem entre 15 e 17 anos. Nas colunas 3 e 6 a indicadora de maioridade é igual a 1 para indivíduos que têm entre 18 e 19 anos e 0 para os que têm entre 16 e 17 anos. As variáveis dependentes são: (i) nas colunas 1-3 uma indicadora de roubos e (</w:t>
      </w:r>
      <w:proofErr w:type="spellStart"/>
      <w:r w:rsidRPr="00FB0282">
        <w:rPr>
          <w:rFonts w:ascii="Times New Roman" w:hAnsi="Times New Roman" w:cs="Times New Roman"/>
          <w:sz w:val="18"/>
          <w:szCs w:val="24"/>
        </w:rPr>
        <w:t>ii</w:t>
      </w:r>
      <w:proofErr w:type="spellEnd"/>
      <w:r w:rsidRPr="00FB0282">
        <w:rPr>
          <w:rFonts w:ascii="Times New Roman" w:hAnsi="Times New Roman" w:cs="Times New Roman"/>
          <w:sz w:val="18"/>
          <w:szCs w:val="24"/>
        </w:rPr>
        <w:t>) nas colunas 4-6 uma indicadora de furtos. Todas as regressões contêm efeitos fixos de batalhão. O erro-padrão, agrupado por batalhão, é apresentado entre parênteses. Coeficientes são significativamente diferentes de zero a 99 (***), 95 (**) e 90 (*) por</w:t>
      </w:r>
      <w:r w:rsidR="00053E98">
        <w:rPr>
          <w:rFonts w:ascii="Times New Roman" w:hAnsi="Times New Roman" w:cs="Times New Roman"/>
          <w:sz w:val="18"/>
          <w:szCs w:val="24"/>
        </w:rPr>
        <w:t xml:space="preserve"> </w:t>
      </w:r>
      <w:r w:rsidRPr="00FB0282">
        <w:rPr>
          <w:rFonts w:ascii="Times New Roman" w:hAnsi="Times New Roman" w:cs="Times New Roman"/>
          <w:sz w:val="18"/>
          <w:szCs w:val="24"/>
        </w:rPr>
        <w:t>cento.</w:t>
      </w:r>
      <w:r w:rsidR="00AF0896">
        <w:rPr>
          <w:rFonts w:ascii="Times New Roman" w:hAnsi="Times New Roman" w:cs="Times New Roman"/>
          <w:sz w:val="18"/>
          <w:szCs w:val="24"/>
        </w:rPr>
        <w:t xml:space="preserve"> Elaboração própria a partir de dados d</w:t>
      </w:r>
      <w:r w:rsidR="001568FB">
        <w:rPr>
          <w:rFonts w:ascii="Times New Roman" w:hAnsi="Times New Roman" w:cs="Times New Roman"/>
          <w:sz w:val="18"/>
          <w:szCs w:val="24"/>
        </w:rPr>
        <w:t>o</w:t>
      </w:r>
      <w:r w:rsidR="00AF0896">
        <w:rPr>
          <w:rFonts w:ascii="Times New Roman" w:hAnsi="Times New Roman" w:cs="Times New Roman"/>
          <w:sz w:val="18"/>
          <w:szCs w:val="24"/>
        </w:rPr>
        <w:t xml:space="preserve"> DGTIT/PCERJ.</w:t>
      </w:r>
    </w:p>
    <w:p w:rsidR="00D400DE" w:rsidRPr="00D400DE" w:rsidRDefault="00D400DE" w:rsidP="00577F64">
      <w:pPr>
        <w:spacing w:line="240" w:lineRule="auto"/>
        <w:ind w:firstLine="708"/>
        <w:jc w:val="both"/>
        <w:rPr>
          <w:rFonts w:ascii="Times New Roman" w:hAnsi="Times New Roman" w:cs="Times New Roman"/>
          <w:sz w:val="24"/>
          <w:szCs w:val="24"/>
        </w:rPr>
      </w:pPr>
      <w:r w:rsidRPr="00D400DE">
        <w:rPr>
          <w:rFonts w:ascii="Times New Roman" w:hAnsi="Times New Roman" w:cs="Times New Roman"/>
          <w:sz w:val="24"/>
          <w:szCs w:val="24"/>
        </w:rPr>
        <w:t xml:space="preserve">Uma forma de gerar grupos de comparação ainda mais semelhantes é reduzir o tamanho da janela que engloba os anos ao redor da maioridade. Este procedimento é realizado na coluna 3, que compara indivíduos que têm entre 18 e 19 anos, maiores, com aqueles que possuem entre 16 e 17 anos, menores. A principal desvantagem </w:t>
      </w:r>
      <w:r>
        <w:rPr>
          <w:rFonts w:ascii="Times New Roman" w:hAnsi="Times New Roman" w:cs="Times New Roman"/>
          <w:sz w:val="24"/>
          <w:szCs w:val="24"/>
        </w:rPr>
        <w:t>de reduzir o tama</w:t>
      </w:r>
      <w:r w:rsidRPr="00D400DE">
        <w:rPr>
          <w:rFonts w:ascii="Times New Roman" w:hAnsi="Times New Roman" w:cs="Times New Roman"/>
          <w:sz w:val="24"/>
          <w:szCs w:val="24"/>
        </w:rPr>
        <w:t>nho da janela, considerando apenas dois anos ao redor da maioridade, é a diminuição do número de obse</w:t>
      </w:r>
      <w:r>
        <w:rPr>
          <w:rFonts w:ascii="Times New Roman" w:hAnsi="Times New Roman" w:cs="Times New Roman"/>
          <w:sz w:val="24"/>
          <w:szCs w:val="24"/>
        </w:rPr>
        <w:t>rvações. Uma amostra pequena difi</w:t>
      </w:r>
      <w:r w:rsidRPr="00D400DE">
        <w:rPr>
          <w:rFonts w:ascii="Times New Roman" w:hAnsi="Times New Roman" w:cs="Times New Roman"/>
          <w:sz w:val="24"/>
          <w:szCs w:val="24"/>
        </w:rPr>
        <w:t>culta a rejeição da hipótese nula (de que a lei não tem efeito sobre os furtos), mesmo quando forem obtidos coe</w:t>
      </w:r>
      <w:r w:rsidR="0089426D">
        <w:rPr>
          <w:rFonts w:ascii="Times New Roman" w:hAnsi="Times New Roman" w:cs="Times New Roman"/>
          <w:sz w:val="24"/>
          <w:szCs w:val="24"/>
        </w:rPr>
        <w:t>fi</w:t>
      </w:r>
      <w:r w:rsidRPr="00D400DE">
        <w:rPr>
          <w:rFonts w:ascii="Times New Roman" w:hAnsi="Times New Roman" w:cs="Times New Roman"/>
          <w:sz w:val="24"/>
          <w:szCs w:val="24"/>
        </w:rPr>
        <w:t>cientes grandes. Apesar da queda expressiva no número de observações (que passam de 249</w:t>
      </w:r>
      <w:r w:rsidR="0097000D">
        <w:rPr>
          <w:rFonts w:ascii="Times New Roman" w:hAnsi="Times New Roman" w:cs="Times New Roman"/>
          <w:sz w:val="24"/>
          <w:szCs w:val="24"/>
        </w:rPr>
        <w:t>.</w:t>
      </w:r>
      <w:r w:rsidR="00C55CC5">
        <w:rPr>
          <w:rFonts w:ascii="Times New Roman" w:hAnsi="Times New Roman" w:cs="Times New Roman"/>
          <w:sz w:val="24"/>
          <w:szCs w:val="24"/>
        </w:rPr>
        <w:t>295</w:t>
      </w:r>
      <w:r w:rsidR="00C55CC5" w:rsidRPr="00D400DE">
        <w:rPr>
          <w:rFonts w:ascii="Times New Roman" w:hAnsi="Times New Roman" w:cs="Times New Roman"/>
          <w:sz w:val="24"/>
          <w:szCs w:val="24"/>
        </w:rPr>
        <w:t xml:space="preserve"> </w:t>
      </w:r>
      <w:r w:rsidRPr="00D400DE">
        <w:rPr>
          <w:rFonts w:ascii="Times New Roman" w:hAnsi="Times New Roman" w:cs="Times New Roman"/>
          <w:sz w:val="24"/>
          <w:szCs w:val="24"/>
        </w:rPr>
        <w:t>para 174</w:t>
      </w:r>
      <w:r w:rsidR="0097000D">
        <w:rPr>
          <w:rFonts w:ascii="Times New Roman" w:hAnsi="Times New Roman" w:cs="Times New Roman"/>
          <w:sz w:val="24"/>
          <w:szCs w:val="24"/>
        </w:rPr>
        <w:t>.</w:t>
      </w:r>
      <w:r w:rsidR="00C55CC5">
        <w:rPr>
          <w:rFonts w:ascii="Times New Roman" w:hAnsi="Times New Roman" w:cs="Times New Roman"/>
          <w:sz w:val="24"/>
          <w:szCs w:val="24"/>
        </w:rPr>
        <w:t>562</w:t>
      </w:r>
      <w:r w:rsidRPr="00D400DE">
        <w:rPr>
          <w:rFonts w:ascii="Times New Roman" w:hAnsi="Times New Roman" w:cs="Times New Roman"/>
          <w:sz w:val="24"/>
          <w:szCs w:val="24"/>
        </w:rPr>
        <w:t>) observa-se, na coluna 3, que a lei tem um efeito positivo e signi</w:t>
      </w:r>
      <w:r>
        <w:rPr>
          <w:rFonts w:ascii="Times New Roman" w:hAnsi="Times New Roman" w:cs="Times New Roman"/>
          <w:sz w:val="24"/>
          <w:szCs w:val="24"/>
        </w:rPr>
        <w:t>fi</w:t>
      </w:r>
      <w:r w:rsidRPr="00D400DE">
        <w:rPr>
          <w:rFonts w:ascii="Times New Roman" w:hAnsi="Times New Roman" w:cs="Times New Roman"/>
          <w:sz w:val="24"/>
          <w:szCs w:val="24"/>
        </w:rPr>
        <w:t xml:space="preserve">cativo na probabilidade de que indivíduos pratiquem furtos. Mais precisamente, estima-se que a lei seja responsável por um aumento de 1,4 </w:t>
      </w:r>
      <w:proofErr w:type="spellStart"/>
      <w:r w:rsidRPr="00D400DE">
        <w:rPr>
          <w:rFonts w:ascii="Times New Roman" w:hAnsi="Times New Roman" w:cs="Times New Roman"/>
          <w:sz w:val="24"/>
          <w:szCs w:val="24"/>
        </w:rPr>
        <w:t>p.p</w:t>
      </w:r>
      <w:proofErr w:type="spellEnd"/>
      <w:r w:rsidRPr="00D400DE">
        <w:rPr>
          <w:rFonts w:ascii="Times New Roman" w:hAnsi="Times New Roman" w:cs="Times New Roman"/>
          <w:sz w:val="24"/>
          <w:szCs w:val="24"/>
        </w:rPr>
        <w:t>. nas ocorrências de furto. Equivalentemente, pode-se dizer que a lei implica em um crescimento de quase 20% na probabilidade de que indivíduos pratiquem este tipo de delito (1,4/7,</w:t>
      </w:r>
      <w:r w:rsidR="0089483E" w:rsidRPr="00D400DE">
        <w:rPr>
          <w:rFonts w:ascii="Times New Roman" w:hAnsi="Times New Roman" w:cs="Times New Roman"/>
          <w:sz w:val="24"/>
          <w:szCs w:val="24"/>
        </w:rPr>
        <w:t>0</w:t>
      </w:r>
      <w:r w:rsidR="0089483E">
        <w:rPr>
          <w:rFonts w:ascii="Times New Roman" w:hAnsi="Times New Roman" w:cs="Times New Roman"/>
          <w:sz w:val="24"/>
          <w:szCs w:val="24"/>
        </w:rPr>
        <w:t>3</w:t>
      </w:r>
      <w:r w:rsidRPr="00D400DE">
        <w:rPr>
          <w:rFonts w:ascii="Times New Roman" w:hAnsi="Times New Roman" w:cs="Times New Roman"/>
          <w:sz w:val="24"/>
          <w:szCs w:val="24"/>
        </w:rPr>
        <w:t>=0,</w:t>
      </w:r>
      <w:r w:rsidR="0089483E" w:rsidRPr="00D400DE">
        <w:rPr>
          <w:rFonts w:ascii="Times New Roman" w:hAnsi="Times New Roman" w:cs="Times New Roman"/>
          <w:sz w:val="24"/>
          <w:szCs w:val="24"/>
        </w:rPr>
        <w:t>19</w:t>
      </w:r>
      <w:r w:rsidR="0089483E">
        <w:rPr>
          <w:rFonts w:ascii="Times New Roman" w:hAnsi="Times New Roman" w:cs="Times New Roman"/>
          <w:sz w:val="24"/>
          <w:szCs w:val="24"/>
        </w:rPr>
        <w:t>9</w:t>
      </w:r>
      <w:r w:rsidRPr="00D400DE">
        <w:rPr>
          <w:rFonts w:ascii="Times New Roman" w:hAnsi="Times New Roman" w:cs="Times New Roman"/>
          <w:sz w:val="24"/>
          <w:szCs w:val="24"/>
        </w:rPr>
        <w:t>).</w:t>
      </w:r>
    </w:p>
    <w:p w:rsidR="00D400DE" w:rsidRPr="00D400DE" w:rsidRDefault="00D400DE" w:rsidP="00577F64">
      <w:pPr>
        <w:spacing w:line="240" w:lineRule="auto"/>
        <w:ind w:firstLine="708"/>
        <w:jc w:val="both"/>
        <w:rPr>
          <w:rFonts w:ascii="Times New Roman" w:hAnsi="Times New Roman" w:cs="Times New Roman"/>
          <w:sz w:val="24"/>
          <w:szCs w:val="24"/>
        </w:rPr>
      </w:pPr>
      <w:r w:rsidRPr="00D400DE">
        <w:rPr>
          <w:rFonts w:ascii="Times New Roman" w:hAnsi="Times New Roman" w:cs="Times New Roman"/>
          <w:sz w:val="24"/>
          <w:szCs w:val="24"/>
        </w:rPr>
        <w:t xml:space="preserve">Diferentemente, constata-se que lei </w:t>
      </w:r>
      <w:r w:rsidR="0097000D">
        <w:rPr>
          <w:rFonts w:ascii="Times New Roman" w:hAnsi="Times New Roman" w:cs="Times New Roman"/>
          <w:sz w:val="24"/>
          <w:szCs w:val="24"/>
        </w:rPr>
        <w:t xml:space="preserve">nº </w:t>
      </w:r>
      <w:r w:rsidRPr="00D400DE">
        <w:rPr>
          <w:rFonts w:ascii="Times New Roman" w:hAnsi="Times New Roman" w:cs="Times New Roman"/>
          <w:sz w:val="24"/>
          <w:szCs w:val="24"/>
        </w:rPr>
        <w:t>12</w:t>
      </w:r>
      <w:r w:rsidR="0097000D">
        <w:rPr>
          <w:rFonts w:ascii="Times New Roman" w:hAnsi="Times New Roman" w:cs="Times New Roman"/>
          <w:sz w:val="24"/>
          <w:szCs w:val="24"/>
        </w:rPr>
        <w:t>.</w:t>
      </w:r>
      <w:r w:rsidRPr="00D400DE">
        <w:rPr>
          <w:rFonts w:ascii="Times New Roman" w:hAnsi="Times New Roman" w:cs="Times New Roman"/>
          <w:sz w:val="24"/>
          <w:szCs w:val="24"/>
        </w:rPr>
        <w:t>403 não tem efeito sobre os roubos, independentemente dos grupos de comparação analisados. Os coe</w:t>
      </w:r>
      <w:r w:rsidR="0089426D">
        <w:rPr>
          <w:rFonts w:ascii="Times New Roman" w:hAnsi="Times New Roman" w:cs="Times New Roman"/>
          <w:sz w:val="24"/>
          <w:szCs w:val="24"/>
        </w:rPr>
        <w:t>fi</w:t>
      </w:r>
      <w:r w:rsidRPr="00D400DE">
        <w:rPr>
          <w:rFonts w:ascii="Times New Roman" w:hAnsi="Times New Roman" w:cs="Times New Roman"/>
          <w:sz w:val="24"/>
          <w:szCs w:val="24"/>
        </w:rPr>
        <w:t>cientes de interesse apresentados nas colunas de 4-6 são insigni</w:t>
      </w:r>
      <w:r>
        <w:rPr>
          <w:rFonts w:ascii="Times New Roman" w:hAnsi="Times New Roman" w:cs="Times New Roman"/>
          <w:sz w:val="24"/>
          <w:szCs w:val="24"/>
        </w:rPr>
        <w:t>fi</w:t>
      </w:r>
      <w:r w:rsidRPr="00D400DE">
        <w:rPr>
          <w:rFonts w:ascii="Times New Roman" w:hAnsi="Times New Roman" w:cs="Times New Roman"/>
          <w:sz w:val="24"/>
          <w:szCs w:val="24"/>
        </w:rPr>
        <w:t>cantes e praticamente idênticos a zero. Por exemplo, ao focar na amostra preferida, que compara indivíduos que têm entre 18 e 20 anos com aqueles que possuem entre 15 e 17 anos, con</w:t>
      </w:r>
      <w:r w:rsidR="00C55CC5">
        <w:rPr>
          <w:rFonts w:ascii="Times New Roman" w:hAnsi="Times New Roman" w:cs="Times New Roman"/>
          <w:sz w:val="24"/>
          <w:szCs w:val="24"/>
        </w:rPr>
        <w:t>s</w:t>
      </w:r>
      <w:r w:rsidRPr="00D400DE">
        <w:rPr>
          <w:rFonts w:ascii="Times New Roman" w:hAnsi="Times New Roman" w:cs="Times New Roman"/>
          <w:sz w:val="24"/>
          <w:szCs w:val="24"/>
        </w:rPr>
        <w:t>tata-se um efeito irrisório da lei sobre os roubos de 0,2 pontos percentuais (</w:t>
      </w:r>
      <w:proofErr w:type="spellStart"/>
      <w:r w:rsidRPr="00D400DE">
        <w:rPr>
          <w:rFonts w:ascii="Times New Roman" w:hAnsi="Times New Roman" w:cs="Times New Roman"/>
          <w:sz w:val="24"/>
          <w:szCs w:val="24"/>
        </w:rPr>
        <w:t>p.p</w:t>
      </w:r>
      <w:proofErr w:type="spellEnd"/>
      <w:r w:rsidRPr="00D400DE">
        <w:rPr>
          <w:rFonts w:ascii="Times New Roman" w:hAnsi="Times New Roman" w:cs="Times New Roman"/>
          <w:sz w:val="24"/>
          <w:szCs w:val="24"/>
        </w:rPr>
        <w:t>.).</w:t>
      </w:r>
    </w:p>
    <w:p w:rsidR="00D400DE" w:rsidRPr="00D400DE" w:rsidRDefault="00D400DE" w:rsidP="00577F64">
      <w:pPr>
        <w:spacing w:line="240" w:lineRule="auto"/>
        <w:ind w:firstLine="708"/>
        <w:jc w:val="both"/>
        <w:rPr>
          <w:rFonts w:ascii="Times New Roman" w:hAnsi="Times New Roman" w:cs="Times New Roman"/>
          <w:sz w:val="24"/>
          <w:szCs w:val="24"/>
        </w:rPr>
      </w:pPr>
      <w:r w:rsidRPr="00D400DE">
        <w:rPr>
          <w:rFonts w:ascii="Times New Roman" w:hAnsi="Times New Roman" w:cs="Times New Roman"/>
          <w:sz w:val="24"/>
          <w:szCs w:val="24"/>
        </w:rPr>
        <w:t>Espera-se que a lei não tenha efeitos imediatos sobre os crimes contra o patrimônio (roubos e furtos), dado que leva tempo para que os criminosos aprendam que houve redução na probabilidade de que tenham que responder por s</w:t>
      </w:r>
      <w:r>
        <w:rPr>
          <w:rFonts w:ascii="Times New Roman" w:hAnsi="Times New Roman" w:cs="Times New Roman"/>
          <w:sz w:val="24"/>
          <w:szCs w:val="24"/>
        </w:rPr>
        <w:t>eus crimes na prisão.</w:t>
      </w:r>
      <w:r w:rsidR="00962B89">
        <w:rPr>
          <w:rStyle w:val="Refdenotaderodap"/>
          <w:rFonts w:ascii="Times New Roman" w:hAnsi="Times New Roman" w:cs="Times New Roman"/>
          <w:sz w:val="24"/>
          <w:szCs w:val="24"/>
        </w:rPr>
        <w:footnoteReference w:id="16"/>
      </w:r>
      <w:r>
        <w:rPr>
          <w:rFonts w:ascii="Times New Roman" w:hAnsi="Times New Roman" w:cs="Times New Roman"/>
          <w:sz w:val="24"/>
          <w:szCs w:val="24"/>
        </w:rPr>
        <w:t xml:space="preserve"> Para verifi</w:t>
      </w:r>
      <w:r w:rsidRPr="00D400DE">
        <w:rPr>
          <w:rFonts w:ascii="Times New Roman" w:hAnsi="Times New Roman" w:cs="Times New Roman"/>
          <w:sz w:val="24"/>
          <w:szCs w:val="24"/>
        </w:rPr>
        <w:t xml:space="preserve">car se os dados corroboram a hipótese de que a </w:t>
      </w:r>
      <w:r w:rsidRPr="00D400DE">
        <w:rPr>
          <w:rFonts w:ascii="Times New Roman" w:hAnsi="Times New Roman" w:cs="Times New Roman"/>
          <w:sz w:val="24"/>
          <w:szCs w:val="24"/>
        </w:rPr>
        <w:lastRenderedPageBreak/>
        <w:t>mudança na legislação teve efeitos defasados sobre os roubos e furtos utiliza-se uma especi</w:t>
      </w:r>
      <w:r>
        <w:rPr>
          <w:rFonts w:ascii="Times New Roman" w:hAnsi="Times New Roman" w:cs="Times New Roman"/>
          <w:sz w:val="24"/>
          <w:szCs w:val="24"/>
        </w:rPr>
        <w:t>fi</w:t>
      </w:r>
      <w:r w:rsidRPr="00D400DE">
        <w:rPr>
          <w:rFonts w:ascii="Times New Roman" w:hAnsi="Times New Roman" w:cs="Times New Roman"/>
          <w:sz w:val="24"/>
          <w:szCs w:val="24"/>
        </w:rPr>
        <w:t>cação semelhante à apresentada na Equação 1, porém, separa-se a indicadora do período pós-lei em quatro. O objetivo é</w:t>
      </w:r>
      <w:r>
        <w:rPr>
          <w:rFonts w:ascii="Times New Roman" w:hAnsi="Times New Roman" w:cs="Times New Roman"/>
          <w:sz w:val="24"/>
          <w:szCs w:val="24"/>
        </w:rPr>
        <w:t xml:space="preserve"> </w:t>
      </w:r>
      <w:r w:rsidRPr="00D400DE">
        <w:rPr>
          <w:rFonts w:ascii="Times New Roman" w:hAnsi="Times New Roman" w:cs="Times New Roman"/>
          <w:sz w:val="24"/>
          <w:szCs w:val="24"/>
        </w:rPr>
        <w:t>captar como o impacto da lei variou ao longo do tempo.</w:t>
      </w:r>
    </w:p>
    <w:p w:rsidR="00577F64" w:rsidRDefault="00577F64" w:rsidP="00201340">
      <w:pPr>
        <w:spacing w:after="0" w:line="240" w:lineRule="auto"/>
        <w:rPr>
          <w:rFonts w:ascii="Times New Roman" w:hAnsi="Times New Roman" w:cs="Times New Roman"/>
          <w:sz w:val="24"/>
          <w:szCs w:val="24"/>
        </w:rPr>
      </w:pPr>
    </w:p>
    <w:p w:rsidR="00492636" w:rsidRDefault="00D400DE" w:rsidP="00577F64">
      <w:pPr>
        <w:spacing w:after="0" w:line="240" w:lineRule="auto"/>
        <w:jc w:val="center"/>
        <w:rPr>
          <w:rFonts w:ascii="Times New Roman" w:hAnsi="Times New Roman" w:cs="Times New Roman"/>
          <w:sz w:val="24"/>
          <w:szCs w:val="24"/>
        </w:rPr>
      </w:pPr>
      <w:r w:rsidRPr="00D400DE">
        <w:rPr>
          <w:rFonts w:ascii="Times New Roman" w:hAnsi="Times New Roman" w:cs="Times New Roman"/>
          <w:sz w:val="24"/>
          <w:szCs w:val="24"/>
        </w:rPr>
        <w:t xml:space="preserve">Tabela 7: Efeitos da lei </w:t>
      </w:r>
      <w:r>
        <w:rPr>
          <w:rFonts w:ascii="Times New Roman" w:hAnsi="Times New Roman" w:cs="Times New Roman"/>
          <w:sz w:val="24"/>
          <w:szCs w:val="24"/>
        </w:rPr>
        <w:t xml:space="preserve">nº </w:t>
      </w:r>
      <w:r w:rsidRPr="00D400DE">
        <w:rPr>
          <w:rFonts w:ascii="Times New Roman" w:hAnsi="Times New Roman" w:cs="Times New Roman"/>
          <w:sz w:val="24"/>
          <w:szCs w:val="24"/>
        </w:rPr>
        <w:t>12</w:t>
      </w:r>
      <w:r>
        <w:rPr>
          <w:rFonts w:ascii="Times New Roman" w:hAnsi="Times New Roman" w:cs="Times New Roman"/>
          <w:sz w:val="24"/>
          <w:szCs w:val="24"/>
        </w:rPr>
        <w:t>.</w:t>
      </w:r>
      <w:r w:rsidRPr="00D400DE">
        <w:rPr>
          <w:rFonts w:ascii="Times New Roman" w:hAnsi="Times New Roman" w:cs="Times New Roman"/>
          <w:sz w:val="24"/>
          <w:szCs w:val="24"/>
        </w:rPr>
        <w:t>403 sobre os crimes contra o patrimônio ao longo do tempo</w:t>
      </w:r>
      <w:r w:rsidR="00DB3E86">
        <w:rPr>
          <w:rFonts w:ascii="Times New Roman" w:hAnsi="Times New Roman" w:cs="Times New Roman"/>
          <w:sz w:val="24"/>
          <w:szCs w:val="24"/>
        </w:rPr>
        <w:t xml:space="preserve"> </w:t>
      </w:r>
      <w:r w:rsidR="00DB3E86">
        <w:rPr>
          <w:rFonts w:ascii="Times New Roman" w:hAnsi="Times New Roman" w:cs="Times New Roman"/>
          <w:sz w:val="24"/>
          <w:szCs w:val="24"/>
        </w:rPr>
        <w:br/>
        <w:t>(Dados d</w:t>
      </w:r>
      <w:r w:rsidR="00585020">
        <w:rPr>
          <w:rFonts w:ascii="Times New Roman" w:hAnsi="Times New Roman" w:cs="Times New Roman"/>
          <w:sz w:val="24"/>
          <w:szCs w:val="24"/>
        </w:rPr>
        <w:t>o</w:t>
      </w:r>
      <w:r w:rsidR="00DB3E86">
        <w:rPr>
          <w:rFonts w:ascii="Times New Roman" w:hAnsi="Times New Roman" w:cs="Times New Roman"/>
          <w:sz w:val="24"/>
          <w:szCs w:val="24"/>
        </w:rPr>
        <w:t xml:space="preserve"> DGTIT/PCERJ)</w:t>
      </w:r>
      <w:r w:rsidR="00DB3E86">
        <w:rPr>
          <w:rFonts w:ascii="Times New Roman" w:hAnsi="Times New Roman" w:cs="Times New Roman"/>
          <w:sz w:val="24"/>
          <w:szCs w:val="24"/>
        </w:rPr>
        <w:br/>
      </w:r>
      <w:r w:rsidR="00C55CC5" w:rsidRPr="00C55CC5">
        <w:rPr>
          <w:noProof/>
          <w:lang w:eastAsia="pt-BR"/>
        </w:rPr>
        <w:drawing>
          <wp:inline distT="0" distB="0" distL="0" distR="0">
            <wp:extent cx="5657505" cy="4908458"/>
            <wp:effectExtent l="0" t="0" r="635" b="698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7288" cy="4942974"/>
                    </a:xfrm>
                    <a:prstGeom prst="rect">
                      <a:avLst/>
                    </a:prstGeom>
                    <a:noFill/>
                    <a:ln>
                      <a:noFill/>
                    </a:ln>
                  </pic:spPr>
                </pic:pic>
              </a:graphicData>
            </a:graphic>
          </wp:inline>
        </w:drawing>
      </w:r>
    </w:p>
    <w:p w:rsidR="00FB0282" w:rsidRPr="00F35171" w:rsidRDefault="00FB0282" w:rsidP="00C63BBA">
      <w:pPr>
        <w:spacing w:line="240" w:lineRule="auto"/>
        <w:jc w:val="both"/>
        <w:rPr>
          <w:rFonts w:ascii="Times New Roman" w:hAnsi="Times New Roman" w:cs="Times New Roman"/>
          <w:sz w:val="18"/>
          <w:szCs w:val="24"/>
        </w:rPr>
      </w:pPr>
      <w:r w:rsidRPr="00F35171">
        <w:rPr>
          <w:rFonts w:ascii="Times New Roman" w:hAnsi="Times New Roman" w:cs="Times New Roman"/>
          <w:sz w:val="18"/>
          <w:szCs w:val="24"/>
        </w:rPr>
        <w:t>Notas. Esta tabela apresenta coeficientes, obtidos a partir de regressões de Mínimos Quadrados Ordinários (MQO), da interação entre 4 indicadoras do período pós lei e uma indicadora de maioridade. As indicadoras dos meses depois lei dividem em 4 o período entre julho de 2011 e dezembro de 2014. A primeira indicadora compreende o primeiro ano pós lei e, portanto, é igual a 1 entre julho de 2011 e junho de 2012 (e zero caso contrário). As duas indicadoras seguintes abarcam o segundo e o terceiro ano, respectivamente. A quarta indicadora compreende somente o período de 6 meses entre julho de 2014 e dezembro de 2014. A indicadora de maioridade é diferente entre as colunas. Nas colunas 1 e 4, a indicadora de maioridade é igual a 1 para indivíduos que têm entre 18 e 100 anos e 0 para aqueles que têm entre 12 e 17 anos. Nas colunas 2 e 5 a indicadora de maioridade é igual a 1 para indivíduos que têm entre 18 e 20 anos e 0 para os que possuem entre 15 e 17 anos. Nas colunas 3 e 6 a indicadora de maioridade é igual a 1 para indivíduos que têm entre 18 e 19 anos e 0 para os que têm entre 16 e 17 anos. As variáveis dependentes são: (i) nas colunas 1-3 uma indicadora de roubos e (</w:t>
      </w:r>
      <w:proofErr w:type="spellStart"/>
      <w:r w:rsidRPr="00F35171">
        <w:rPr>
          <w:rFonts w:ascii="Times New Roman" w:hAnsi="Times New Roman" w:cs="Times New Roman"/>
          <w:sz w:val="18"/>
          <w:szCs w:val="24"/>
        </w:rPr>
        <w:t>ii</w:t>
      </w:r>
      <w:proofErr w:type="spellEnd"/>
      <w:r w:rsidRPr="00F35171">
        <w:rPr>
          <w:rFonts w:ascii="Times New Roman" w:hAnsi="Times New Roman" w:cs="Times New Roman"/>
          <w:sz w:val="18"/>
          <w:szCs w:val="24"/>
        </w:rPr>
        <w:t xml:space="preserve">) nas colunas 4-6 uma indicadora de furtos. Todas as regressões contêm efeitos fixos de batalhão. O erro-padrão, agrupado por batalhão, é apresentado entre parênteses. Coeficientes são significativamente diferentes de zero a 99 (***), 95 (**) e 90 (*) </w:t>
      </w:r>
      <w:r w:rsidR="008830F9" w:rsidRPr="00F35171">
        <w:rPr>
          <w:rFonts w:ascii="Times New Roman" w:hAnsi="Times New Roman" w:cs="Times New Roman"/>
          <w:sz w:val="18"/>
          <w:szCs w:val="24"/>
        </w:rPr>
        <w:t>por cento</w:t>
      </w:r>
      <w:r w:rsidRPr="00F35171">
        <w:rPr>
          <w:rFonts w:ascii="Times New Roman" w:hAnsi="Times New Roman" w:cs="Times New Roman"/>
          <w:sz w:val="18"/>
          <w:szCs w:val="24"/>
        </w:rPr>
        <w:t>.</w:t>
      </w:r>
      <w:r w:rsidR="00AF0896">
        <w:rPr>
          <w:rFonts w:ascii="Times New Roman" w:hAnsi="Times New Roman" w:cs="Times New Roman"/>
          <w:sz w:val="18"/>
          <w:szCs w:val="24"/>
        </w:rPr>
        <w:t xml:space="preserve"> Elaboração própria a partir de dados d</w:t>
      </w:r>
      <w:r w:rsidR="001568FB">
        <w:rPr>
          <w:rFonts w:ascii="Times New Roman" w:hAnsi="Times New Roman" w:cs="Times New Roman"/>
          <w:sz w:val="18"/>
          <w:szCs w:val="24"/>
        </w:rPr>
        <w:t>o</w:t>
      </w:r>
      <w:r w:rsidR="00AF0896">
        <w:rPr>
          <w:rFonts w:ascii="Times New Roman" w:hAnsi="Times New Roman" w:cs="Times New Roman"/>
          <w:sz w:val="18"/>
          <w:szCs w:val="24"/>
        </w:rPr>
        <w:t xml:space="preserve"> DGTIT/PCERJ.</w:t>
      </w:r>
    </w:p>
    <w:p w:rsidR="00CC4697" w:rsidRDefault="00CC4697" w:rsidP="00CC4697">
      <w:pPr>
        <w:spacing w:line="240" w:lineRule="auto"/>
        <w:ind w:firstLine="708"/>
        <w:jc w:val="both"/>
        <w:rPr>
          <w:rFonts w:ascii="Times New Roman" w:hAnsi="Times New Roman" w:cs="Times New Roman"/>
          <w:sz w:val="24"/>
          <w:szCs w:val="24"/>
        </w:rPr>
      </w:pPr>
      <w:r w:rsidRPr="00D400DE">
        <w:rPr>
          <w:rFonts w:ascii="Times New Roman" w:hAnsi="Times New Roman" w:cs="Times New Roman"/>
          <w:sz w:val="24"/>
          <w:szCs w:val="24"/>
        </w:rPr>
        <w:t>A Tabela 7 apresenta os resulta</w:t>
      </w:r>
      <w:r>
        <w:rPr>
          <w:rFonts w:ascii="Times New Roman" w:hAnsi="Times New Roman" w:cs="Times New Roman"/>
          <w:sz w:val="24"/>
          <w:szCs w:val="24"/>
        </w:rPr>
        <w:t>dos obtidos ao estimar a especifi</w:t>
      </w:r>
      <w:r w:rsidRPr="00D400DE">
        <w:rPr>
          <w:rFonts w:ascii="Times New Roman" w:hAnsi="Times New Roman" w:cs="Times New Roman"/>
          <w:sz w:val="24"/>
          <w:szCs w:val="24"/>
        </w:rPr>
        <w:t>cação que separa o período pós-lei em quatro subperíodos. A amostra preferida, que compara indivíduos que têm entre 18 e 20 anos com aqueles que possuem entre 15 e 17 anos, sugere que os furtos aumentam signi</w:t>
      </w:r>
      <w:r>
        <w:rPr>
          <w:rFonts w:ascii="Times New Roman" w:hAnsi="Times New Roman" w:cs="Times New Roman"/>
          <w:sz w:val="24"/>
          <w:szCs w:val="24"/>
        </w:rPr>
        <w:t>fi</w:t>
      </w:r>
      <w:r w:rsidRPr="00D400DE">
        <w:rPr>
          <w:rFonts w:ascii="Times New Roman" w:hAnsi="Times New Roman" w:cs="Times New Roman"/>
          <w:sz w:val="24"/>
          <w:szCs w:val="24"/>
        </w:rPr>
        <w:t>cativamente a partir do segundo ano de implementação da lei (coluna 2). Observa-se um coe</w:t>
      </w:r>
      <w:r>
        <w:rPr>
          <w:rFonts w:ascii="Times New Roman" w:hAnsi="Times New Roman" w:cs="Times New Roman"/>
          <w:sz w:val="24"/>
          <w:szCs w:val="24"/>
        </w:rPr>
        <w:t>fi</w:t>
      </w:r>
      <w:r w:rsidRPr="00D400DE">
        <w:rPr>
          <w:rFonts w:ascii="Times New Roman" w:hAnsi="Times New Roman" w:cs="Times New Roman"/>
          <w:sz w:val="24"/>
          <w:szCs w:val="24"/>
        </w:rPr>
        <w:t>ciente positivo e signi</w:t>
      </w:r>
      <w:r>
        <w:rPr>
          <w:rFonts w:ascii="Times New Roman" w:hAnsi="Times New Roman" w:cs="Times New Roman"/>
          <w:sz w:val="24"/>
          <w:szCs w:val="24"/>
        </w:rPr>
        <w:t>fi</w:t>
      </w:r>
      <w:r w:rsidRPr="00D400DE">
        <w:rPr>
          <w:rFonts w:ascii="Times New Roman" w:hAnsi="Times New Roman" w:cs="Times New Roman"/>
          <w:sz w:val="24"/>
          <w:szCs w:val="24"/>
        </w:rPr>
        <w:t>cativo no primeiro ano após a lei entrar em vigor, porém este parâmetr</w:t>
      </w:r>
      <w:r>
        <w:rPr>
          <w:rFonts w:ascii="Times New Roman" w:hAnsi="Times New Roman" w:cs="Times New Roman"/>
          <w:sz w:val="24"/>
          <w:szCs w:val="24"/>
        </w:rPr>
        <w:t>o beira a insignifi</w:t>
      </w:r>
      <w:r w:rsidRPr="00D400DE">
        <w:rPr>
          <w:rFonts w:ascii="Times New Roman" w:hAnsi="Times New Roman" w:cs="Times New Roman"/>
          <w:sz w:val="24"/>
          <w:szCs w:val="24"/>
        </w:rPr>
        <w:t xml:space="preserve">cância. Os resultados são </w:t>
      </w:r>
      <w:r w:rsidRPr="00D400DE">
        <w:rPr>
          <w:rFonts w:ascii="Times New Roman" w:hAnsi="Times New Roman" w:cs="Times New Roman"/>
          <w:sz w:val="24"/>
          <w:szCs w:val="24"/>
        </w:rPr>
        <w:lastRenderedPageBreak/>
        <w:t>qualitativamente semelhantes ao focar na janela mais estreita, que considera apenas dois anos ao redor da maioridade. Neste caso, há uma redução no terceiro ano após a implementação da lei, porém o impacto volta a aumentar no segundo semestre de 2014.</w:t>
      </w:r>
    </w:p>
    <w:p w:rsidR="00D400DE" w:rsidRPr="00D400DE" w:rsidRDefault="00D400DE" w:rsidP="00D400DE">
      <w:pPr>
        <w:spacing w:line="240" w:lineRule="auto"/>
        <w:ind w:firstLine="708"/>
        <w:jc w:val="both"/>
        <w:rPr>
          <w:rFonts w:ascii="Times New Roman" w:hAnsi="Times New Roman" w:cs="Times New Roman"/>
          <w:sz w:val="24"/>
          <w:szCs w:val="24"/>
        </w:rPr>
      </w:pPr>
      <w:r w:rsidRPr="00D400DE">
        <w:rPr>
          <w:rFonts w:ascii="Times New Roman" w:hAnsi="Times New Roman" w:cs="Times New Roman"/>
          <w:sz w:val="24"/>
          <w:szCs w:val="24"/>
        </w:rPr>
        <w:t>Alternativamente, independentemente da amostra considerada observa-se que a lei não tem efeito sobre os roubos (colunas 4-6). A exceção é a constatação de um impacto pequeno e positivo concentrado apenas no segundo ano depois que é realizada a mudança da legislação. Portanto, os resultados apresentados na Tabela 7 corroboram a hipótese de que a lei</w:t>
      </w:r>
      <w:r w:rsidR="0097000D">
        <w:rPr>
          <w:rFonts w:ascii="Times New Roman" w:hAnsi="Times New Roman" w:cs="Times New Roman"/>
          <w:sz w:val="24"/>
          <w:szCs w:val="24"/>
        </w:rPr>
        <w:t xml:space="preserve"> nº</w:t>
      </w:r>
      <w:r w:rsidRPr="00D400DE">
        <w:rPr>
          <w:rFonts w:ascii="Times New Roman" w:hAnsi="Times New Roman" w:cs="Times New Roman"/>
          <w:sz w:val="24"/>
          <w:szCs w:val="24"/>
        </w:rPr>
        <w:t xml:space="preserve"> 12</w:t>
      </w:r>
      <w:r w:rsidR="0097000D">
        <w:rPr>
          <w:rFonts w:ascii="Times New Roman" w:hAnsi="Times New Roman" w:cs="Times New Roman"/>
          <w:sz w:val="24"/>
          <w:szCs w:val="24"/>
        </w:rPr>
        <w:t>.</w:t>
      </w:r>
      <w:r w:rsidRPr="00D400DE">
        <w:rPr>
          <w:rFonts w:ascii="Times New Roman" w:hAnsi="Times New Roman" w:cs="Times New Roman"/>
          <w:sz w:val="24"/>
          <w:szCs w:val="24"/>
        </w:rPr>
        <w:t>403 tem impactos defasados sobre os crimes contra o patrimônio. Porém, os efeitos são maiores e mais persistentes para os furtos.</w:t>
      </w:r>
    </w:p>
    <w:p w:rsidR="00D400DE" w:rsidRPr="00D400DE" w:rsidRDefault="007C0AF9" w:rsidP="00577F64">
      <w:pPr>
        <w:spacing w:line="240" w:lineRule="auto"/>
        <w:ind w:firstLine="708"/>
        <w:jc w:val="both"/>
        <w:rPr>
          <w:rFonts w:ascii="Times New Roman" w:hAnsi="Times New Roman" w:cs="Times New Roman"/>
          <w:b/>
          <w:sz w:val="24"/>
          <w:szCs w:val="24"/>
        </w:rPr>
      </w:pPr>
      <w:r>
        <w:rPr>
          <w:rFonts w:ascii="Times New Roman" w:hAnsi="Times New Roman" w:cs="Times New Roman"/>
          <w:b/>
          <w:sz w:val="24"/>
          <w:szCs w:val="24"/>
        </w:rPr>
        <w:t>4</w:t>
      </w:r>
      <w:r w:rsidR="00D400DE" w:rsidRPr="00D400DE">
        <w:rPr>
          <w:rFonts w:ascii="Times New Roman" w:hAnsi="Times New Roman" w:cs="Times New Roman"/>
          <w:b/>
          <w:sz w:val="24"/>
          <w:szCs w:val="24"/>
        </w:rPr>
        <w:t>.3. Testes de Robustez</w:t>
      </w:r>
    </w:p>
    <w:p w:rsidR="00D400DE" w:rsidRDefault="00D400DE" w:rsidP="00D400DE">
      <w:pPr>
        <w:spacing w:line="240" w:lineRule="auto"/>
        <w:ind w:firstLine="708"/>
        <w:jc w:val="both"/>
        <w:rPr>
          <w:rFonts w:ascii="Times New Roman" w:hAnsi="Times New Roman" w:cs="Times New Roman"/>
          <w:sz w:val="24"/>
          <w:szCs w:val="24"/>
        </w:rPr>
      </w:pPr>
      <w:r w:rsidRPr="00D400DE">
        <w:rPr>
          <w:rFonts w:ascii="Times New Roman" w:hAnsi="Times New Roman" w:cs="Times New Roman"/>
          <w:sz w:val="24"/>
          <w:szCs w:val="24"/>
        </w:rPr>
        <w:t xml:space="preserve">Esta seção procura determinar em que medida os resultados obtidos dependem da opção por utilizar o Modelo de Probabilidade Linear (MPL). Assim, são testados os seguintes modelos alternativos: (i) </w:t>
      </w:r>
      <w:proofErr w:type="spellStart"/>
      <w:r w:rsidRPr="00D400DE">
        <w:rPr>
          <w:rFonts w:ascii="Times New Roman" w:hAnsi="Times New Roman" w:cs="Times New Roman"/>
          <w:sz w:val="24"/>
          <w:szCs w:val="24"/>
        </w:rPr>
        <w:t>probit</w:t>
      </w:r>
      <w:proofErr w:type="spellEnd"/>
      <w:r w:rsidRPr="00D400DE">
        <w:rPr>
          <w:rFonts w:ascii="Times New Roman" w:hAnsi="Times New Roman" w:cs="Times New Roman"/>
          <w:sz w:val="24"/>
          <w:szCs w:val="24"/>
        </w:rPr>
        <w:t xml:space="preserve"> e (</w:t>
      </w:r>
      <w:proofErr w:type="spellStart"/>
      <w:r w:rsidRPr="00D400DE">
        <w:rPr>
          <w:rFonts w:ascii="Times New Roman" w:hAnsi="Times New Roman" w:cs="Times New Roman"/>
          <w:sz w:val="24"/>
          <w:szCs w:val="24"/>
        </w:rPr>
        <w:t>ii</w:t>
      </w:r>
      <w:proofErr w:type="spellEnd"/>
      <w:r w:rsidRPr="00D400DE">
        <w:rPr>
          <w:rFonts w:ascii="Times New Roman" w:hAnsi="Times New Roman" w:cs="Times New Roman"/>
          <w:sz w:val="24"/>
          <w:szCs w:val="24"/>
        </w:rPr>
        <w:t xml:space="preserve">) </w:t>
      </w:r>
      <w:proofErr w:type="spellStart"/>
      <w:r w:rsidRPr="00D400DE">
        <w:rPr>
          <w:rFonts w:ascii="Times New Roman" w:hAnsi="Times New Roman" w:cs="Times New Roman"/>
          <w:sz w:val="24"/>
          <w:szCs w:val="24"/>
        </w:rPr>
        <w:t>logit</w:t>
      </w:r>
      <w:proofErr w:type="spellEnd"/>
      <w:r w:rsidRPr="00D400DE">
        <w:rPr>
          <w:rFonts w:ascii="Times New Roman" w:hAnsi="Times New Roman" w:cs="Times New Roman"/>
          <w:sz w:val="24"/>
          <w:szCs w:val="24"/>
        </w:rPr>
        <w:t>. A Tabela 8 apresenta os resultados encontrados ao estimar a especi</w:t>
      </w:r>
      <w:r>
        <w:rPr>
          <w:rFonts w:ascii="Times New Roman" w:hAnsi="Times New Roman" w:cs="Times New Roman"/>
          <w:sz w:val="24"/>
          <w:szCs w:val="24"/>
        </w:rPr>
        <w:t>fi</w:t>
      </w:r>
      <w:r w:rsidRPr="00D400DE">
        <w:rPr>
          <w:rFonts w:ascii="Times New Roman" w:hAnsi="Times New Roman" w:cs="Times New Roman"/>
          <w:sz w:val="24"/>
          <w:szCs w:val="24"/>
        </w:rPr>
        <w:t>cação preferida, que compara indivíduos que têm entre 15 e 17 anos com os que possuem entre 18 e 20 anos, através dos dois métodos alternativos propostos. Para facilitar a comparação, as colunas 1 e 4 repetem os parâmetros provenientes da utilização do MPL. As colunas 2 e 5 apresentam os coe</w:t>
      </w:r>
      <w:r w:rsidR="0089426D">
        <w:rPr>
          <w:rFonts w:ascii="Times New Roman" w:hAnsi="Times New Roman" w:cs="Times New Roman"/>
          <w:sz w:val="24"/>
          <w:szCs w:val="24"/>
        </w:rPr>
        <w:t>fi</w:t>
      </w:r>
      <w:r w:rsidRPr="00D400DE">
        <w:rPr>
          <w:rFonts w:ascii="Times New Roman" w:hAnsi="Times New Roman" w:cs="Times New Roman"/>
          <w:sz w:val="24"/>
          <w:szCs w:val="24"/>
        </w:rPr>
        <w:t xml:space="preserve">cientes obtidos no </w:t>
      </w:r>
      <w:proofErr w:type="spellStart"/>
      <w:r w:rsidRPr="00D400DE">
        <w:rPr>
          <w:rFonts w:ascii="Times New Roman" w:hAnsi="Times New Roman" w:cs="Times New Roman"/>
          <w:sz w:val="24"/>
          <w:szCs w:val="24"/>
        </w:rPr>
        <w:t>probit</w:t>
      </w:r>
      <w:proofErr w:type="spellEnd"/>
      <w:r w:rsidRPr="00D400DE">
        <w:rPr>
          <w:rFonts w:ascii="Times New Roman" w:hAnsi="Times New Roman" w:cs="Times New Roman"/>
          <w:sz w:val="24"/>
          <w:szCs w:val="24"/>
        </w:rPr>
        <w:t xml:space="preserve"> e as colunas 3 e 6 aqueles referentes ao </w:t>
      </w:r>
      <w:proofErr w:type="spellStart"/>
      <w:r w:rsidRPr="00D400DE">
        <w:rPr>
          <w:rFonts w:ascii="Times New Roman" w:hAnsi="Times New Roman" w:cs="Times New Roman"/>
          <w:sz w:val="24"/>
          <w:szCs w:val="24"/>
        </w:rPr>
        <w:t>logit</w:t>
      </w:r>
      <w:proofErr w:type="spellEnd"/>
      <w:r w:rsidRPr="00D400DE">
        <w:rPr>
          <w:rFonts w:ascii="Times New Roman" w:hAnsi="Times New Roman" w:cs="Times New Roman"/>
          <w:sz w:val="24"/>
          <w:szCs w:val="24"/>
        </w:rPr>
        <w:t>.</w:t>
      </w:r>
    </w:p>
    <w:p w:rsidR="003E48CD" w:rsidRPr="00D400DE" w:rsidRDefault="00D400DE" w:rsidP="00577F64">
      <w:pPr>
        <w:spacing w:after="0" w:line="240" w:lineRule="auto"/>
        <w:ind w:firstLine="708"/>
        <w:jc w:val="center"/>
        <w:rPr>
          <w:rFonts w:ascii="Times New Roman" w:hAnsi="Times New Roman" w:cs="Times New Roman"/>
          <w:sz w:val="24"/>
          <w:szCs w:val="24"/>
        </w:rPr>
      </w:pPr>
      <w:r w:rsidRPr="00D400DE">
        <w:rPr>
          <w:rFonts w:ascii="Times New Roman" w:hAnsi="Times New Roman" w:cs="Times New Roman"/>
          <w:sz w:val="24"/>
          <w:szCs w:val="24"/>
        </w:rPr>
        <w:t>Tabela 8: Testes de robustez dos efeitos da lei</w:t>
      </w:r>
      <w:r w:rsidR="004F5590">
        <w:rPr>
          <w:rFonts w:ascii="Times New Roman" w:hAnsi="Times New Roman" w:cs="Times New Roman"/>
          <w:sz w:val="24"/>
          <w:szCs w:val="24"/>
        </w:rPr>
        <w:t xml:space="preserve"> nº</w:t>
      </w:r>
      <w:r w:rsidRPr="00D400DE">
        <w:rPr>
          <w:rFonts w:ascii="Times New Roman" w:hAnsi="Times New Roman" w:cs="Times New Roman"/>
          <w:sz w:val="24"/>
          <w:szCs w:val="24"/>
        </w:rPr>
        <w:t xml:space="preserve"> 12</w:t>
      </w:r>
      <w:r w:rsidR="004F5590">
        <w:rPr>
          <w:rFonts w:ascii="Times New Roman" w:hAnsi="Times New Roman" w:cs="Times New Roman"/>
          <w:sz w:val="24"/>
          <w:szCs w:val="24"/>
        </w:rPr>
        <w:t>.</w:t>
      </w:r>
      <w:r w:rsidRPr="00D400DE">
        <w:rPr>
          <w:rFonts w:ascii="Times New Roman" w:hAnsi="Times New Roman" w:cs="Times New Roman"/>
          <w:sz w:val="24"/>
          <w:szCs w:val="24"/>
        </w:rPr>
        <w:t xml:space="preserve">403 sobre os crimes contra o patrimônio </w:t>
      </w:r>
      <w:r w:rsidR="00DB3E86">
        <w:rPr>
          <w:rFonts w:ascii="Times New Roman" w:hAnsi="Times New Roman" w:cs="Times New Roman"/>
          <w:sz w:val="24"/>
          <w:szCs w:val="24"/>
        </w:rPr>
        <w:br/>
      </w:r>
      <w:r w:rsidRPr="00D400DE">
        <w:rPr>
          <w:rFonts w:ascii="Times New Roman" w:hAnsi="Times New Roman" w:cs="Times New Roman"/>
          <w:sz w:val="24"/>
          <w:szCs w:val="24"/>
        </w:rPr>
        <w:t>(</w:t>
      </w:r>
      <w:r w:rsidR="00DB3E86">
        <w:rPr>
          <w:rFonts w:ascii="Times New Roman" w:hAnsi="Times New Roman" w:cs="Times New Roman"/>
          <w:sz w:val="24"/>
          <w:szCs w:val="24"/>
        </w:rPr>
        <w:t xml:space="preserve">Comparação </w:t>
      </w:r>
      <w:r w:rsidR="000B423A">
        <w:rPr>
          <w:rFonts w:ascii="Times New Roman" w:hAnsi="Times New Roman" w:cs="Times New Roman"/>
          <w:sz w:val="24"/>
          <w:szCs w:val="24"/>
        </w:rPr>
        <w:t>entre</w:t>
      </w:r>
      <w:r w:rsidR="00DB3E86">
        <w:rPr>
          <w:rFonts w:ascii="Times New Roman" w:hAnsi="Times New Roman" w:cs="Times New Roman"/>
          <w:sz w:val="24"/>
          <w:szCs w:val="24"/>
        </w:rPr>
        <w:t xml:space="preserve"> indivíduos de </w:t>
      </w:r>
      <w:r w:rsidRPr="00D400DE">
        <w:rPr>
          <w:rFonts w:ascii="Times New Roman" w:hAnsi="Times New Roman" w:cs="Times New Roman"/>
          <w:sz w:val="24"/>
          <w:szCs w:val="24"/>
        </w:rPr>
        <w:t>15 a 17</w:t>
      </w:r>
      <w:r w:rsidR="00DB3E86">
        <w:rPr>
          <w:rFonts w:ascii="Times New Roman" w:hAnsi="Times New Roman" w:cs="Times New Roman"/>
          <w:sz w:val="24"/>
          <w:szCs w:val="24"/>
        </w:rPr>
        <w:t xml:space="preserve"> anos e </w:t>
      </w:r>
      <w:r w:rsidR="00DB3E86" w:rsidRPr="00D400DE">
        <w:rPr>
          <w:rFonts w:ascii="Times New Roman" w:hAnsi="Times New Roman" w:cs="Times New Roman"/>
          <w:sz w:val="24"/>
          <w:szCs w:val="24"/>
        </w:rPr>
        <w:t xml:space="preserve">18 a 20 </w:t>
      </w:r>
      <w:r w:rsidR="00DB3E86">
        <w:rPr>
          <w:rFonts w:ascii="Times New Roman" w:hAnsi="Times New Roman" w:cs="Times New Roman"/>
          <w:sz w:val="24"/>
          <w:szCs w:val="24"/>
        </w:rPr>
        <w:t>anos</w:t>
      </w:r>
      <w:r w:rsidRPr="00D400DE">
        <w:rPr>
          <w:rFonts w:ascii="Times New Roman" w:hAnsi="Times New Roman" w:cs="Times New Roman"/>
          <w:sz w:val="24"/>
          <w:szCs w:val="24"/>
        </w:rPr>
        <w:t>)</w:t>
      </w:r>
      <w:r w:rsidR="003E48CD">
        <w:rPr>
          <w:rFonts w:ascii="Times New Roman" w:hAnsi="Times New Roman" w:cs="Times New Roman"/>
          <w:sz w:val="24"/>
          <w:szCs w:val="24"/>
        </w:rPr>
        <w:t xml:space="preserve"> </w:t>
      </w:r>
      <w:r w:rsidR="003E48CD">
        <w:rPr>
          <w:rFonts w:ascii="Times New Roman" w:hAnsi="Times New Roman" w:cs="Times New Roman"/>
          <w:sz w:val="24"/>
          <w:szCs w:val="24"/>
        </w:rPr>
        <w:br/>
        <w:t>(Dados d</w:t>
      </w:r>
      <w:r w:rsidR="00585020">
        <w:rPr>
          <w:rFonts w:ascii="Times New Roman" w:hAnsi="Times New Roman" w:cs="Times New Roman"/>
          <w:sz w:val="24"/>
          <w:szCs w:val="24"/>
        </w:rPr>
        <w:t>o</w:t>
      </w:r>
      <w:r w:rsidR="003E48CD">
        <w:rPr>
          <w:rFonts w:ascii="Times New Roman" w:hAnsi="Times New Roman" w:cs="Times New Roman"/>
          <w:sz w:val="24"/>
          <w:szCs w:val="24"/>
        </w:rPr>
        <w:t xml:space="preserve"> DGTIT/PCERJ)</w:t>
      </w:r>
    </w:p>
    <w:p w:rsidR="00221FAE" w:rsidRDefault="00C55CC5" w:rsidP="00D400DE">
      <w:pPr>
        <w:spacing w:line="240" w:lineRule="auto"/>
        <w:jc w:val="center"/>
      </w:pPr>
      <w:r w:rsidRPr="00C55CC5">
        <w:rPr>
          <w:noProof/>
          <w:lang w:eastAsia="pt-BR"/>
        </w:rPr>
        <w:drawing>
          <wp:inline distT="0" distB="0" distL="0" distR="0">
            <wp:extent cx="5731510" cy="3267496"/>
            <wp:effectExtent l="0" t="0" r="254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67496"/>
                    </a:xfrm>
                    <a:prstGeom prst="rect">
                      <a:avLst/>
                    </a:prstGeom>
                    <a:noFill/>
                    <a:ln>
                      <a:noFill/>
                    </a:ln>
                  </pic:spPr>
                </pic:pic>
              </a:graphicData>
            </a:graphic>
          </wp:inline>
        </w:drawing>
      </w:r>
    </w:p>
    <w:p w:rsidR="00F35171" w:rsidRDefault="00F35171" w:rsidP="00C63BBA">
      <w:pPr>
        <w:spacing w:line="240" w:lineRule="auto"/>
        <w:jc w:val="both"/>
        <w:rPr>
          <w:rFonts w:ascii="Times New Roman" w:hAnsi="Times New Roman" w:cs="Times New Roman"/>
          <w:sz w:val="18"/>
          <w:szCs w:val="24"/>
        </w:rPr>
      </w:pPr>
      <w:r w:rsidRPr="00F35171">
        <w:rPr>
          <w:rFonts w:ascii="Times New Roman" w:hAnsi="Times New Roman" w:cs="Times New Roman"/>
          <w:sz w:val="18"/>
          <w:szCs w:val="24"/>
        </w:rPr>
        <w:t>Notas. Esta tabela apresenta coeficientes associados às seguintes variáveis: (i) uma indicadora de maioridade, (</w:t>
      </w:r>
      <w:proofErr w:type="spellStart"/>
      <w:r w:rsidRPr="00F35171">
        <w:rPr>
          <w:rFonts w:ascii="Times New Roman" w:hAnsi="Times New Roman" w:cs="Times New Roman"/>
          <w:sz w:val="18"/>
          <w:szCs w:val="24"/>
        </w:rPr>
        <w:t>ii</w:t>
      </w:r>
      <w:proofErr w:type="spellEnd"/>
      <w:r w:rsidRPr="00F35171">
        <w:rPr>
          <w:rFonts w:ascii="Times New Roman" w:hAnsi="Times New Roman" w:cs="Times New Roman"/>
          <w:sz w:val="18"/>
          <w:szCs w:val="24"/>
        </w:rPr>
        <w:t>) uma indicadora do período pós lei e (</w:t>
      </w:r>
      <w:proofErr w:type="spellStart"/>
      <w:r w:rsidRPr="00F35171">
        <w:rPr>
          <w:rFonts w:ascii="Times New Roman" w:hAnsi="Times New Roman" w:cs="Times New Roman"/>
          <w:sz w:val="18"/>
          <w:szCs w:val="24"/>
        </w:rPr>
        <w:t>iii</w:t>
      </w:r>
      <w:proofErr w:type="spellEnd"/>
      <w:r w:rsidRPr="00F35171">
        <w:rPr>
          <w:rFonts w:ascii="Times New Roman" w:hAnsi="Times New Roman" w:cs="Times New Roman"/>
          <w:sz w:val="18"/>
          <w:szCs w:val="24"/>
        </w:rPr>
        <w:t>) uma interação entre a indicadora de maioridade e a indicadora do período pós lei. A variável independente de interesse é justamente a que considera a interação entre o período pós lei e a maioridade. A indicadora do período pós lei é igual a 1 a partir de julho de 2011 (e zero caso contrário). A indicadora de maioridade é igual a 1 para indivíduos que têm entre 18 e 20 anos e 0 para os que possuem entre 15 e 17 anos. As variáveis dependentes são: (i) nas colunas 1-3 uma indicadora de roubos e (</w:t>
      </w:r>
      <w:proofErr w:type="spellStart"/>
      <w:r w:rsidRPr="00F35171">
        <w:rPr>
          <w:rFonts w:ascii="Times New Roman" w:hAnsi="Times New Roman" w:cs="Times New Roman"/>
          <w:sz w:val="18"/>
          <w:szCs w:val="24"/>
        </w:rPr>
        <w:t>ii</w:t>
      </w:r>
      <w:proofErr w:type="spellEnd"/>
      <w:r w:rsidRPr="00F35171">
        <w:rPr>
          <w:rFonts w:ascii="Times New Roman" w:hAnsi="Times New Roman" w:cs="Times New Roman"/>
          <w:sz w:val="18"/>
          <w:szCs w:val="24"/>
        </w:rPr>
        <w:t>) nas colunas 4-6 uma indicadora de furtos. Os coeficientes foram estimados utilizando: (i) o Método de Mínimos Quadrados Ordinários, nas colunas 1 e 4, (</w:t>
      </w:r>
      <w:proofErr w:type="spellStart"/>
      <w:r w:rsidRPr="00F35171">
        <w:rPr>
          <w:rFonts w:ascii="Times New Roman" w:hAnsi="Times New Roman" w:cs="Times New Roman"/>
          <w:sz w:val="18"/>
          <w:szCs w:val="24"/>
        </w:rPr>
        <w:t>ii</w:t>
      </w:r>
      <w:proofErr w:type="spellEnd"/>
      <w:r w:rsidRPr="00F35171">
        <w:rPr>
          <w:rFonts w:ascii="Times New Roman" w:hAnsi="Times New Roman" w:cs="Times New Roman"/>
          <w:sz w:val="18"/>
          <w:szCs w:val="24"/>
        </w:rPr>
        <w:t xml:space="preserve">) o Modelo </w:t>
      </w:r>
      <w:proofErr w:type="spellStart"/>
      <w:r w:rsidRPr="00F35171">
        <w:rPr>
          <w:rFonts w:ascii="Times New Roman" w:hAnsi="Times New Roman" w:cs="Times New Roman"/>
          <w:sz w:val="18"/>
          <w:szCs w:val="24"/>
        </w:rPr>
        <w:t>Probit</w:t>
      </w:r>
      <w:proofErr w:type="spellEnd"/>
      <w:r w:rsidRPr="00F35171">
        <w:rPr>
          <w:rFonts w:ascii="Times New Roman" w:hAnsi="Times New Roman" w:cs="Times New Roman"/>
          <w:sz w:val="18"/>
          <w:szCs w:val="24"/>
        </w:rPr>
        <w:t>, nas colunas 2 e 5 e (</w:t>
      </w:r>
      <w:proofErr w:type="spellStart"/>
      <w:r w:rsidRPr="00F35171">
        <w:rPr>
          <w:rFonts w:ascii="Times New Roman" w:hAnsi="Times New Roman" w:cs="Times New Roman"/>
          <w:sz w:val="18"/>
          <w:szCs w:val="24"/>
        </w:rPr>
        <w:t>iii</w:t>
      </w:r>
      <w:proofErr w:type="spellEnd"/>
      <w:r w:rsidRPr="00F35171">
        <w:rPr>
          <w:rFonts w:ascii="Times New Roman" w:hAnsi="Times New Roman" w:cs="Times New Roman"/>
          <w:sz w:val="18"/>
          <w:szCs w:val="24"/>
        </w:rPr>
        <w:t xml:space="preserve">) o Modelo </w:t>
      </w:r>
      <w:proofErr w:type="spellStart"/>
      <w:r w:rsidRPr="00F35171">
        <w:rPr>
          <w:rFonts w:ascii="Times New Roman" w:hAnsi="Times New Roman" w:cs="Times New Roman"/>
          <w:sz w:val="18"/>
          <w:szCs w:val="24"/>
        </w:rPr>
        <w:t>Logit</w:t>
      </w:r>
      <w:proofErr w:type="spellEnd"/>
      <w:r w:rsidRPr="00F35171">
        <w:rPr>
          <w:rFonts w:ascii="Times New Roman" w:hAnsi="Times New Roman" w:cs="Times New Roman"/>
          <w:sz w:val="18"/>
          <w:szCs w:val="24"/>
        </w:rPr>
        <w:t>, nas colunas 3 e 6. Todas as regressões contêm efeitos fixos de batalhão. O erro-padrão, agrupado por batalhão, é apresentado entre parênteses. Coeficientes são significativamente diferentes de zero a 99 (***), 95 (**) e 90 (*) por</w:t>
      </w:r>
      <w:r w:rsidR="00092CBB">
        <w:rPr>
          <w:rFonts w:ascii="Times New Roman" w:hAnsi="Times New Roman" w:cs="Times New Roman"/>
          <w:sz w:val="18"/>
          <w:szCs w:val="24"/>
        </w:rPr>
        <w:t xml:space="preserve"> </w:t>
      </w:r>
      <w:r w:rsidRPr="00F35171">
        <w:rPr>
          <w:rFonts w:ascii="Times New Roman" w:hAnsi="Times New Roman" w:cs="Times New Roman"/>
          <w:sz w:val="18"/>
          <w:szCs w:val="24"/>
        </w:rPr>
        <w:t>cento.</w:t>
      </w:r>
      <w:r w:rsidR="00AF0896">
        <w:rPr>
          <w:rFonts w:ascii="Times New Roman" w:hAnsi="Times New Roman" w:cs="Times New Roman"/>
          <w:sz w:val="18"/>
          <w:szCs w:val="24"/>
        </w:rPr>
        <w:t xml:space="preserve"> Elaboração própria a partir de dados d</w:t>
      </w:r>
      <w:r w:rsidR="00C548A0">
        <w:rPr>
          <w:rFonts w:ascii="Times New Roman" w:hAnsi="Times New Roman" w:cs="Times New Roman"/>
          <w:sz w:val="18"/>
          <w:szCs w:val="24"/>
        </w:rPr>
        <w:t>o</w:t>
      </w:r>
      <w:r w:rsidR="00AF0896">
        <w:rPr>
          <w:rFonts w:ascii="Times New Roman" w:hAnsi="Times New Roman" w:cs="Times New Roman"/>
          <w:sz w:val="18"/>
          <w:szCs w:val="24"/>
        </w:rPr>
        <w:t xml:space="preserve"> DGTIT/PCERJ.</w:t>
      </w:r>
    </w:p>
    <w:p w:rsidR="00577F64" w:rsidRDefault="00221FAE" w:rsidP="00577F64">
      <w:pPr>
        <w:spacing w:line="240" w:lineRule="auto"/>
        <w:ind w:firstLine="708"/>
        <w:jc w:val="both"/>
        <w:rPr>
          <w:rFonts w:ascii="Times New Roman" w:hAnsi="Times New Roman" w:cs="Times New Roman"/>
          <w:sz w:val="24"/>
          <w:szCs w:val="24"/>
        </w:rPr>
      </w:pPr>
      <w:r w:rsidRPr="00221FAE">
        <w:rPr>
          <w:rFonts w:ascii="Times New Roman" w:hAnsi="Times New Roman" w:cs="Times New Roman"/>
          <w:sz w:val="24"/>
          <w:szCs w:val="24"/>
        </w:rPr>
        <w:t xml:space="preserve">É encorajador constatar que os efeitos encontrados tanto no </w:t>
      </w:r>
      <w:proofErr w:type="spellStart"/>
      <w:r w:rsidRPr="00221FAE">
        <w:rPr>
          <w:rFonts w:ascii="Times New Roman" w:hAnsi="Times New Roman" w:cs="Times New Roman"/>
          <w:sz w:val="24"/>
          <w:szCs w:val="24"/>
        </w:rPr>
        <w:t>probit</w:t>
      </w:r>
      <w:proofErr w:type="spellEnd"/>
      <w:r w:rsidRPr="00221FAE">
        <w:rPr>
          <w:rFonts w:ascii="Times New Roman" w:hAnsi="Times New Roman" w:cs="Times New Roman"/>
          <w:sz w:val="24"/>
          <w:szCs w:val="24"/>
        </w:rPr>
        <w:t xml:space="preserve"> quanto no </w:t>
      </w:r>
      <w:proofErr w:type="spellStart"/>
      <w:r w:rsidRPr="00221FAE">
        <w:rPr>
          <w:rFonts w:ascii="Times New Roman" w:hAnsi="Times New Roman" w:cs="Times New Roman"/>
          <w:sz w:val="24"/>
          <w:szCs w:val="24"/>
        </w:rPr>
        <w:t>logit</w:t>
      </w:r>
      <w:proofErr w:type="spellEnd"/>
      <w:r w:rsidRPr="00221FAE">
        <w:rPr>
          <w:rFonts w:ascii="Times New Roman" w:hAnsi="Times New Roman" w:cs="Times New Roman"/>
          <w:sz w:val="24"/>
          <w:szCs w:val="24"/>
        </w:rPr>
        <w:t xml:space="preserve"> são qualitativamente semelhantes aos provenientes do MPL. Observa-se que a lei tem um impacto positivo e significativo sobre a probabilidade de realização de furtos. Por outro lado, constata-se que a mudança na legislação não tem efeito sobre os roubos.</w:t>
      </w:r>
    </w:p>
    <w:p w:rsidR="00221FAE" w:rsidRPr="00221FAE" w:rsidRDefault="00221FAE" w:rsidP="00577F64">
      <w:pPr>
        <w:spacing w:line="240" w:lineRule="auto"/>
        <w:ind w:firstLine="708"/>
        <w:jc w:val="both"/>
        <w:rPr>
          <w:rFonts w:ascii="Times New Roman" w:hAnsi="Times New Roman" w:cs="Times New Roman"/>
          <w:b/>
          <w:sz w:val="24"/>
          <w:szCs w:val="24"/>
        </w:rPr>
      </w:pPr>
      <w:r w:rsidRPr="00221FAE">
        <w:rPr>
          <w:rFonts w:ascii="Times New Roman" w:hAnsi="Times New Roman" w:cs="Times New Roman"/>
          <w:b/>
          <w:sz w:val="24"/>
          <w:szCs w:val="24"/>
        </w:rPr>
        <w:lastRenderedPageBreak/>
        <w:t>5. Conclusão</w:t>
      </w:r>
    </w:p>
    <w:p w:rsidR="00221FAE" w:rsidRPr="00221FAE" w:rsidRDefault="00221FAE" w:rsidP="00221FAE">
      <w:pPr>
        <w:spacing w:line="240" w:lineRule="auto"/>
        <w:ind w:firstLine="708"/>
        <w:jc w:val="both"/>
        <w:rPr>
          <w:rFonts w:ascii="Times New Roman" w:hAnsi="Times New Roman" w:cs="Times New Roman"/>
          <w:sz w:val="24"/>
          <w:szCs w:val="24"/>
        </w:rPr>
      </w:pPr>
      <w:r w:rsidRPr="00221FAE">
        <w:rPr>
          <w:rFonts w:ascii="Times New Roman" w:hAnsi="Times New Roman" w:cs="Times New Roman"/>
          <w:sz w:val="24"/>
          <w:szCs w:val="24"/>
        </w:rPr>
        <w:t>Este trabalho verifica em que medida a lei nº 12.403, que dificulta a aplicação da prisão provisória, afeta os crimes contra o patrimônio (roubos e furtos). A especificação preferida, que compara indivíduos que têm entre 15 e 17 anos com os que possuem entre 18 e 20 anos, sugere que a lei acarreta em um crescimento de 30% na probabilidade de ocorrência de furtos. Além disso, percebe-se que o efeito da lei não é imediato. A probabilidade de que indivíduos pratiquem furtos cresce, principalmente, a partir do segundo ano de vigência da nova legislação.</w:t>
      </w:r>
    </w:p>
    <w:p w:rsidR="00221FAE" w:rsidRPr="00221FAE" w:rsidRDefault="00221FAE" w:rsidP="00221FAE">
      <w:pPr>
        <w:spacing w:line="240" w:lineRule="auto"/>
        <w:ind w:firstLine="708"/>
        <w:jc w:val="both"/>
        <w:rPr>
          <w:rFonts w:ascii="Times New Roman" w:hAnsi="Times New Roman" w:cs="Times New Roman"/>
          <w:sz w:val="24"/>
          <w:szCs w:val="24"/>
        </w:rPr>
      </w:pPr>
      <w:r w:rsidRPr="00221FAE">
        <w:rPr>
          <w:rFonts w:ascii="Times New Roman" w:hAnsi="Times New Roman" w:cs="Times New Roman"/>
          <w:sz w:val="24"/>
          <w:szCs w:val="24"/>
        </w:rPr>
        <w:t>Em geral, constata-se que a lei não tem efeito sobre os roubos. A principal exceção aparece ao analisar o impacto da lei ao longo do tempo. Neste caso, verifica-se um efeito no segundo ano de vigência da lei. Porém, o impacto é pequeno e desaparece já no terceiro ano de validade da nova regra.</w:t>
      </w:r>
    </w:p>
    <w:p w:rsidR="00221FAE" w:rsidRPr="00221FAE" w:rsidRDefault="00221FAE" w:rsidP="00221FAE">
      <w:pPr>
        <w:spacing w:line="240" w:lineRule="auto"/>
        <w:ind w:firstLine="708"/>
        <w:jc w:val="both"/>
        <w:rPr>
          <w:rFonts w:ascii="Times New Roman" w:hAnsi="Times New Roman" w:cs="Times New Roman"/>
          <w:sz w:val="24"/>
          <w:szCs w:val="24"/>
        </w:rPr>
      </w:pPr>
      <w:r w:rsidRPr="00221FAE">
        <w:rPr>
          <w:rFonts w:ascii="Times New Roman" w:hAnsi="Times New Roman" w:cs="Times New Roman"/>
          <w:sz w:val="24"/>
          <w:szCs w:val="24"/>
        </w:rPr>
        <w:t>Portanto, os resultados deste estudo corroboram a expectativa inicial. Primeiro, observa-se que a nova lei tem um impacto maior sobre os furtos do que sobre os roubos. Este comportamento decorre do fato que duas modificações trazidas pela lei afetam os furtos enquanto apenas uma incide sobre os roubos. O incentivo à adoção de medidas cautelares alternativas à prisão provisória afeta todos os crimes, porém, os furtos estão ainda sujeitos à proibição da privação de liberdade para crimes com pena máxima menor do que quatro anos. Segundo, verifica-se um efeito defasado da lei sobre furtos e roubos. A demora em observar um efeito reforça a conjectura inicial de que leva tempo até que criminosos absorvam e transmitam a mudança na legislação.</w:t>
      </w:r>
    </w:p>
    <w:p w:rsidR="00D400DE" w:rsidRPr="00221FAE" w:rsidRDefault="00221FAE" w:rsidP="00221FAE">
      <w:pPr>
        <w:spacing w:line="240" w:lineRule="auto"/>
        <w:ind w:firstLine="708"/>
        <w:jc w:val="both"/>
        <w:rPr>
          <w:rFonts w:ascii="Times New Roman" w:hAnsi="Times New Roman" w:cs="Times New Roman"/>
          <w:sz w:val="24"/>
          <w:szCs w:val="24"/>
        </w:rPr>
      </w:pPr>
      <w:r w:rsidRPr="00221FAE">
        <w:rPr>
          <w:rFonts w:ascii="Times New Roman" w:hAnsi="Times New Roman" w:cs="Times New Roman"/>
          <w:sz w:val="24"/>
          <w:szCs w:val="24"/>
        </w:rPr>
        <w:t>Finalmente, é importante realizar uma análise de custo benefício para determinar se os benefícios de um eventual endurecimento da legislação, facilitando a aplicação da prisão provisória, compensariam os custos associados a esta medida. Este trabalho sugere que uma legislação mais punitiva resultaria em redução dos furtos. Porém, uma mudança desta natureza traria também custos enormes para o estado, ao aumentar a população carcerária. Além disso, o próprio ingresso no sistema prisional pode trazer custos de longo prazo ao converter pequenos meliantes em membros de facções criminosas. Infelizmente, não existem dados hoje à disposição do Instituto de Segurança Pública (ISP) para que seja realizada uma análise de custo benefício mais completa acerca dos efeitos da passagem para uma legislação mais rígida.</w:t>
      </w:r>
    </w:p>
    <w:p w:rsidR="00D53627" w:rsidRPr="006F76F8" w:rsidRDefault="00221FAE" w:rsidP="00201340">
      <w:pPr>
        <w:spacing w:before="240" w:line="240" w:lineRule="auto"/>
        <w:ind w:firstLine="708"/>
        <w:jc w:val="both"/>
        <w:rPr>
          <w:rFonts w:ascii="Times New Roman" w:hAnsi="Times New Roman" w:cs="Times New Roman"/>
          <w:b/>
          <w:sz w:val="24"/>
          <w:szCs w:val="24"/>
          <w:lang w:val="en-US"/>
        </w:rPr>
      </w:pPr>
      <w:r w:rsidRPr="00221FAE">
        <w:rPr>
          <w:rFonts w:ascii="Times New Roman" w:hAnsi="Times New Roman" w:cs="Times New Roman"/>
          <w:b/>
          <w:sz w:val="24"/>
          <w:szCs w:val="24"/>
        </w:rPr>
        <w:t xml:space="preserve">6. Referências bibliográficas </w:t>
      </w:r>
      <w:r w:rsidRPr="00221FAE">
        <w:rPr>
          <w:rFonts w:ascii="Times New Roman" w:hAnsi="Times New Roman" w:cs="Times New Roman"/>
          <w:b/>
          <w:sz w:val="24"/>
          <w:szCs w:val="24"/>
        </w:rPr>
        <w:cr/>
      </w:r>
      <w:r w:rsidR="00F0167C">
        <w:rPr>
          <w:rFonts w:ascii="Times New Roman" w:hAnsi="Times New Roman" w:cs="Times New Roman"/>
          <w:sz w:val="24"/>
          <w:szCs w:val="24"/>
        </w:rPr>
        <w:t xml:space="preserve">Beato Filho, C. C. (2001). </w:t>
      </w:r>
      <w:r w:rsidR="00F0167C" w:rsidRPr="00BD3CDD">
        <w:rPr>
          <w:rFonts w:ascii="Times New Roman" w:hAnsi="Times New Roman" w:cs="Times New Roman"/>
          <w:i/>
          <w:sz w:val="24"/>
          <w:szCs w:val="24"/>
        </w:rPr>
        <w:t>Conglomerados de homicídios e o tráfico de drogas em Belo Horizonte, Minas Gerais, Brasil, de 1995 a 1999</w:t>
      </w:r>
      <w:r w:rsidR="00F0167C" w:rsidRPr="00F0167C">
        <w:rPr>
          <w:rFonts w:ascii="Times New Roman" w:hAnsi="Times New Roman" w:cs="Times New Roman"/>
          <w:sz w:val="24"/>
          <w:szCs w:val="24"/>
        </w:rPr>
        <w:t xml:space="preserve">. </w:t>
      </w:r>
      <w:r w:rsidR="00F0167C" w:rsidRPr="003766B6">
        <w:rPr>
          <w:rFonts w:ascii="Times New Roman" w:hAnsi="Times New Roman" w:cs="Times New Roman"/>
          <w:sz w:val="24"/>
          <w:szCs w:val="24"/>
          <w:lang w:val="en-US"/>
        </w:rPr>
        <w:t xml:space="preserve">Cad. </w:t>
      </w:r>
      <w:proofErr w:type="spellStart"/>
      <w:r w:rsidR="00F0167C" w:rsidRPr="003766B6">
        <w:rPr>
          <w:rFonts w:ascii="Times New Roman" w:hAnsi="Times New Roman" w:cs="Times New Roman"/>
          <w:sz w:val="24"/>
          <w:szCs w:val="24"/>
          <w:lang w:val="en-US"/>
        </w:rPr>
        <w:t>Saúde</w:t>
      </w:r>
      <w:proofErr w:type="spellEnd"/>
      <w:r w:rsidR="00F0167C" w:rsidRPr="003766B6">
        <w:rPr>
          <w:rFonts w:ascii="Times New Roman" w:hAnsi="Times New Roman" w:cs="Times New Roman"/>
          <w:sz w:val="24"/>
          <w:szCs w:val="24"/>
          <w:lang w:val="en-US"/>
        </w:rPr>
        <w:t xml:space="preserve"> </w:t>
      </w:r>
      <w:proofErr w:type="spellStart"/>
      <w:r w:rsidR="00F0167C" w:rsidRPr="003766B6">
        <w:rPr>
          <w:rFonts w:ascii="Times New Roman" w:hAnsi="Times New Roman" w:cs="Times New Roman"/>
          <w:sz w:val="24"/>
          <w:szCs w:val="24"/>
          <w:lang w:val="en-US"/>
        </w:rPr>
        <w:t>Pública</w:t>
      </w:r>
      <w:proofErr w:type="spellEnd"/>
      <w:r w:rsidR="00F0167C" w:rsidRPr="003766B6">
        <w:rPr>
          <w:rFonts w:ascii="Times New Roman" w:hAnsi="Times New Roman" w:cs="Times New Roman"/>
          <w:sz w:val="24"/>
          <w:szCs w:val="24"/>
          <w:lang w:val="en-US"/>
        </w:rPr>
        <w:t>, Rio de Janeiro, 17(5):1163-1171.</w:t>
      </w:r>
    </w:p>
    <w:p w:rsidR="00D41D90" w:rsidRPr="00FB3883" w:rsidRDefault="00D41D90" w:rsidP="00D41D90">
      <w:pPr>
        <w:spacing w:line="240" w:lineRule="auto"/>
        <w:jc w:val="both"/>
        <w:rPr>
          <w:rFonts w:ascii="Times New Roman" w:hAnsi="Times New Roman" w:cs="Times New Roman"/>
          <w:sz w:val="24"/>
          <w:szCs w:val="24"/>
          <w:lang w:val="en-US"/>
        </w:rPr>
      </w:pPr>
      <w:r w:rsidRPr="003766B6">
        <w:rPr>
          <w:rFonts w:ascii="Times New Roman" w:hAnsi="Times New Roman" w:cs="Times New Roman"/>
          <w:sz w:val="24"/>
          <w:szCs w:val="24"/>
          <w:lang w:val="en-US"/>
        </w:rPr>
        <w:t xml:space="preserve">Becker, G. S. (1968). </w:t>
      </w:r>
      <w:r w:rsidRPr="00FB3883">
        <w:rPr>
          <w:rFonts w:ascii="Times New Roman" w:hAnsi="Times New Roman" w:cs="Times New Roman"/>
          <w:i/>
          <w:sz w:val="24"/>
          <w:szCs w:val="24"/>
          <w:lang w:val="en-US"/>
        </w:rPr>
        <w:t>Crime and Punishment: an economic approach</w:t>
      </w:r>
      <w:r w:rsidRPr="00FB3883">
        <w:rPr>
          <w:rFonts w:ascii="Times New Roman" w:hAnsi="Times New Roman" w:cs="Times New Roman"/>
          <w:sz w:val="24"/>
          <w:szCs w:val="24"/>
          <w:lang w:val="en-US"/>
        </w:rPr>
        <w:t>. Journal of Political Economy, v. 76, n. 1.</w:t>
      </w:r>
    </w:p>
    <w:p w:rsidR="00221FAE" w:rsidRPr="00221FAE" w:rsidRDefault="00221FAE" w:rsidP="00221FAE">
      <w:pPr>
        <w:spacing w:line="240" w:lineRule="auto"/>
        <w:jc w:val="both"/>
        <w:rPr>
          <w:rFonts w:ascii="Times New Roman" w:hAnsi="Times New Roman" w:cs="Times New Roman"/>
          <w:sz w:val="24"/>
          <w:szCs w:val="24"/>
          <w:lang w:val="en-US"/>
        </w:rPr>
      </w:pPr>
      <w:r w:rsidRPr="00BD3CDD">
        <w:rPr>
          <w:rFonts w:ascii="Times New Roman" w:hAnsi="Times New Roman" w:cs="Times New Roman"/>
          <w:sz w:val="24"/>
          <w:szCs w:val="24"/>
          <w:lang w:val="en-US"/>
        </w:rPr>
        <w:t xml:space="preserve">Blumstein et al. </w:t>
      </w:r>
      <w:r w:rsidRPr="00221FAE">
        <w:rPr>
          <w:rFonts w:ascii="Times New Roman" w:hAnsi="Times New Roman" w:cs="Times New Roman"/>
          <w:sz w:val="24"/>
          <w:szCs w:val="24"/>
          <w:lang w:val="en-US"/>
        </w:rPr>
        <w:t xml:space="preserve">(1978). </w:t>
      </w:r>
      <w:r w:rsidRPr="0097000D">
        <w:rPr>
          <w:rFonts w:ascii="Times New Roman" w:hAnsi="Times New Roman" w:cs="Times New Roman"/>
          <w:i/>
          <w:sz w:val="24"/>
          <w:szCs w:val="24"/>
          <w:lang w:val="en-US"/>
        </w:rPr>
        <w:t>Deterrence and i</w:t>
      </w:r>
      <w:r w:rsidR="0097000D" w:rsidRPr="0097000D">
        <w:rPr>
          <w:rFonts w:ascii="Times New Roman" w:hAnsi="Times New Roman" w:cs="Times New Roman"/>
          <w:i/>
          <w:sz w:val="24"/>
          <w:szCs w:val="24"/>
          <w:lang w:val="en-US"/>
        </w:rPr>
        <w:t>ncapacitation: Estimating the eff</w:t>
      </w:r>
      <w:r w:rsidRPr="0097000D">
        <w:rPr>
          <w:rFonts w:ascii="Times New Roman" w:hAnsi="Times New Roman" w:cs="Times New Roman"/>
          <w:i/>
          <w:sz w:val="24"/>
          <w:szCs w:val="24"/>
          <w:lang w:val="en-US"/>
        </w:rPr>
        <w:t>ects of criminal sanctions on crime rates</w:t>
      </w:r>
      <w:r w:rsidRPr="00221FAE">
        <w:rPr>
          <w:rFonts w:ascii="Times New Roman" w:hAnsi="Times New Roman" w:cs="Times New Roman"/>
          <w:sz w:val="24"/>
          <w:szCs w:val="24"/>
          <w:lang w:val="en-US"/>
        </w:rPr>
        <w:t>. National Academy of Sciences Washington, DC.</w:t>
      </w:r>
    </w:p>
    <w:p w:rsidR="00221FAE" w:rsidRPr="00221FAE" w:rsidRDefault="00221FAE" w:rsidP="00221FAE">
      <w:pPr>
        <w:spacing w:line="240" w:lineRule="auto"/>
        <w:jc w:val="both"/>
        <w:rPr>
          <w:rFonts w:ascii="Times New Roman" w:hAnsi="Times New Roman" w:cs="Times New Roman"/>
          <w:sz w:val="24"/>
          <w:szCs w:val="24"/>
          <w:lang w:val="en-US"/>
        </w:rPr>
      </w:pPr>
      <w:proofErr w:type="spellStart"/>
      <w:r w:rsidRPr="00221FAE">
        <w:rPr>
          <w:rFonts w:ascii="Times New Roman" w:hAnsi="Times New Roman" w:cs="Times New Roman"/>
          <w:sz w:val="24"/>
          <w:szCs w:val="24"/>
          <w:lang w:val="en-US"/>
        </w:rPr>
        <w:t>Chioda</w:t>
      </w:r>
      <w:proofErr w:type="spellEnd"/>
      <w:r w:rsidRPr="00221FAE">
        <w:rPr>
          <w:rFonts w:ascii="Times New Roman" w:hAnsi="Times New Roman" w:cs="Times New Roman"/>
          <w:sz w:val="24"/>
          <w:szCs w:val="24"/>
          <w:lang w:val="en-US"/>
        </w:rPr>
        <w:t xml:space="preserve"> et al. (2015). </w:t>
      </w:r>
      <w:r w:rsidRPr="0097000D">
        <w:rPr>
          <w:rFonts w:ascii="Times New Roman" w:hAnsi="Times New Roman" w:cs="Times New Roman"/>
          <w:i/>
          <w:sz w:val="24"/>
          <w:szCs w:val="24"/>
          <w:lang w:val="en-US"/>
        </w:rPr>
        <w:t xml:space="preserve">Spillovers from conditional cash transfer programs: </w:t>
      </w:r>
      <w:proofErr w:type="spellStart"/>
      <w:r w:rsidRPr="0097000D">
        <w:rPr>
          <w:rFonts w:ascii="Times New Roman" w:hAnsi="Times New Roman" w:cs="Times New Roman"/>
          <w:i/>
          <w:sz w:val="24"/>
          <w:szCs w:val="24"/>
          <w:lang w:val="en-US"/>
        </w:rPr>
        <w:t>Bolsa</w:t>
      </w:r>
      <w:proofErr w:type="spellEnd"/>
      <w:r w:rsidRPr="0097000D">
        <w:rPr>
          <w:rFonts w:ascii="Times New Roman" w:hAnsi="Times New Roman" w:cs="Times New Roman"/>
          <w:i/>
          <w:sz w:val="24"/>
          <w:szCs w:val="24"/>
          <w:lang w:val="en-US"/>
        </w:rPr>
        <w:t xml:space="preserve"> </w:t>
      </w:r>
      <w:proofErr w:type="spellStart"/>
      <w:r w:rsidRPr="0097000D">
        <w:rPr>
          <w:rFonts w:ascii="Times New Roman" w:hAnsi="Times New Roman" w:cs="Times New Roman"/>
          <w:i/>
          <w:sz w:val="24"/>
          <w:szCs w:val="24"/>
          <w:lang w:val="en-US"/>
        </w:rPr>
        <w:t>família</w:t>
      </w:r>
      <w:proofErr w:type="spellEnd"/>
      <w:r w:rsidRPr="0097000D">
        <w:rPr>
          <w:rFonts w:ascii="Times New Roman" w:hAnsi="Times New Roman" w:cs="Times New Roman"/>
          <w:i/>
          <w:sz w:val="24"/>
          <w:szCs w:val="24"/>
          <w:lang w:val="en-US"/>
        </w:rPr>
        <w:t xml:space="preserve"> and crime in urban </w:t>
      </w:r>
      <w:r w:rsidR="003766B6" w:rsidRPr="0097000D">
        <w:rPr>
          <w:rFonts w:ascii="Times New Roman" w:hAnsi="Times New Roman" w:cs="Times New Roman"/>
          <w:i/>
          <w:sz w:val="24"/>
          <w:szCs w:val="24"/>
          <w:lang w:val="en-US"/>
        </w:rPr>
        <w:t>Brazil</w:t>
      </w:r>
      <w:r w:rsidRPr="0097000D">
        <w:rPr>
          <w:rFonts w:ascii="Times New Roman" w:hAnsi="Times New Roman" w:cs="Times New Roman"/>
          <w:i/>
          <w:sz w:val="24"/>
          <w:szCs w:val="24"/>
          <w:lang w:val="en-US"/>
        </w:rPr>
        <w:t>.</w:t>
      </w:r>
      <w:r w:rsidRPr="00221FAE">
        <w:rPr>
          <w:rFonts w:ascii="Times New Roman" w:hAnsi="Times New Roman" w:cs="Times New Roman"/>
          <w:sz w:val="24"/>
          <w:szCs w:val="24"/>
          <w:lang w:val="en-US"/>
        </w:rPr>
        <w:t xml:space="preserve"> Economics of Education Review.</w:t>
      </w:r>
    </w:p>
    <w:p w:rsidR="00221FAE" w:rsidRPr="00221FAE" w:rsidRDefault="00221FAE" w:rsidP="00221FAE">
      <w:pPr>
        <w:spacing w:line="240" w:lineRule="auto"/>
        <w:jc w:val="both"/>
        <w:rPr>
          <w:rFonts w:ascii="Times New Roman" w:hAnsi="Times New Roman" w:cs="Times New Roman"/>
          <w:sz w:val="24"/>
          <w:szCs w:val="24"/>
          <w:lang w:val="en-US"/>
        </w:rPr>
      </w:pPr>
      <w:r w:rsidRPr="00221FAE">
        <w:rPr>
          <w:rFonts w:ascii="Times New Roman" w:hAnsi="Times New Roman" w:cs="Times New Roman"/>
          <w:sz w:val="24"/>
          <w:szCs w:val="24"/>
          <w:lang w:val="en-US"/>
        </w:rPr>
        <w:t xml:space="preserve">Cornwell, C. e Trumbull, W. (1994). </w:t>
      </w:r>
      <w:r w:rsidRPr="0097000D">
        <w:rPr>
          <w:rFonts w:ascii="Times New Roman" w:hAnsi="Times New Roman" w:cs="Times New Roman"/>
          <w:i/>
          <w:sz w:val="24"/>
          <w:szCs w:val="24"/>
          <w:lang w:val="en-US"/>
        </w:rPr>
        <w:t>Estimating the economic model of crime with panel data</w:t>
      </w:r>
      <w:r w:rsidRPr="00221FAE">
        <w:rPr>
          <w:rFonts w:ascii="Times New Roman" w:hAnsi="Times New Roman" w:cs="Times New Roman"/>
          <w:sz w:val="24"/>
          <w:szCs w:val="24"/>
          <w:lang w:val="en-US"/>
        </w:rPr>
        <w:t>. The Review of economics and Statistics, pages 360 366.</w:t>
      </w:r>
    </w:p>
    <w:p w:rsidR="00221FAE" w:rsidRPr="00BD3CDD" w:rsidRDefault="00221FAE" w:rsidP="00221FAE">
      <w:pPr>
        <w:spacing w:line="240" w:lineRule="auto"/>
        <w:jc w:val="both"/>
        <w:rPr>
          <w:rFonts w:ascii="Times New Roman" w:hAnsi="Times New Roman" w:cs="Times New Roman"/>
          <w:sz w:val="24"/>
          <w:szCs w:val="24"/>
        </w:rPr>
      </w:pPr>
      <w:r w:rsidRPr="00221FAE">
        <w:rPr>
          <w:rFonts w:ascii="Times New Roman" w:hAnsi="Times New Roman" w:cs="Times New Roman"/>
          <w:sz w:val="24"/>
          <w:szCs w:val="24"/>
          <w:lang w:val="en-US"/>
        </w:rPr>
        <w:t>Drago</w:t>
      </w:r>
      <w:r w:rsidR="0097000D">
        <w:rPr>
          <w:rFonts w:ascii="Times New Roman" w:hAnsi="Times New Roman" w:cs="Times New Roman"/>
          <w:sz w:val="24"/>
          <w:szCs w:val="24"/>
          <w:lang w:val="en-US"/>
        </w:rPr>
        <w:t xml:space="preserve"> et al. (2009). </w:t>
      </w:r>
      <w:r w:rsidR="0097000D" w:rsidRPr="0097000D">
        <w:rPr>
          <w:rFonts w:ascii="Times New Roman" w:hAnsi="Times New Roman" w:cs="Times New Roman"/>
          <w:i/>
          <w:sz w:val="24"/>
          <w:szCs w:val="24"/>
          <w:lang w:val="en-US"/>
        </w:rPr>
        <w:t>The deterrent eff</w:t>
      </w:r>
      <w:r w:rsidRPr="0097000D">
        <w:rPr>
          <w:rFonts w:ascii="Times New Roman" w:hAnsi="Times New Roman" w:cs="Times New Roman"/>
          <w:i/>
          <w:sz w:val="24"/>
          <w:szCs w:val="24"/>
          <w:lang w:val="en-US"/>
        </w:rPr>
        <w:t>ects of prison: Evidence from a natural experiment.</w:t>
      </w:r>
      <w:r>
        <w:rPr>
          <w:rFonts w:ascii="Times New Roman" w:hAnsi="Times New Roman" w:cs="Times New Roman"/>
          <w:sz w:val="24"/>
          <w:szCs w:val="24"/>
          <w:lang w:val="en-US"/>
        </w:rPr>
        <w:t xml:space="preserve"> </w:t>
      </w:r>
      <w:proofErr w:type="spellStart"/>
      <w:r w:rsidRPr="00BD3CDD">
        <w:rPr>
          <w:rFonts w:ascii="Times New Roman" w:hAnsi="Times New Roman" w:cs="Times New Roman"/>
          <w:sz w:val="24"/>
          <w:szCs w:val="24"/>
        </w:rPr>
        <w:t>Journal</w:t>
      </w:r>
      <w:proofErr w:type="spellEnd"/>
      <w:r w:rsidRPr="00BD3CDD">
        <w:rPr>
          <w:rFonts w:ascii="Times New Roman" w:hAnsi="Times New Roman" w:cs="Times New Roman"/>
          <w:sz w:val="24"/>
          <w:szCs w:val="24"/>
        </w:rPr>
        <w:t xml:space="preserve"> </w:t>
      </w:r>
      <w:proofErr w:type="spellStart"/>
      <w:r w:rsidRPr="00BD3CDD">
        <w:rPr>
          <w:rFonts w:ascii="Times New Roman" w:hAnsi="Times New Roman" w:cs="Times New Roman"/>
          <w:sz w:val="24"/>
          <w:szCs w:val="24"/>
        </w:rPr>
        <w:t>of</w:t>
      </w:r>
      <w:proofErr w:type="spellEnd"/>
      <w:r w:rsidRPr="00BD3CDD">
        <w:rPr>
          <w:rFonts w:ascii="Times New Roman" w:hAnsi="Times New Roman" w:cs="Times New Roman"/>
          <w:sz w:val="24"/>
          <w:szCs w:val="24"/>
        </w:rPr>
        <w:t xml:space="preserve"> </w:t>
      </w:r>
      <w:proofErr w:type="spellStart"/>
      <w:r w:rsidRPr="00BD3CDD">
        <w:rPr>
          <w:rFonts w:ascii="Times New Roman" w:hAnsi="Times New Roman" w:cs="Times New Roman"/>
          <w:sz w:val="24"/>
          <w:szCs w:val="24"/>
        </w:rPr>
        <w:t>political</w:t>
      </w:r>
      <w:proofErr w:type="spellEnd"/>
      <w:r w:rsidRPr="00BD3CDD">
        <w:rPr>
          <w:rFonts w:ascii="Times New Roman" w:hAnsi="Times New Roman" w:cs="Times New Roman"/>
          <w:sz w:val="24"/>
          <w:szCs w:val="24"/>
        </w:rPr>
        <w:t xml:space="preserve"> </w:t>
      </w:r>
      <w:proofErr w:type="spellStart"/>
      <w:r w:rsidRPr="00BD3CDD">
        <w:rPr>
          <w:rFonts w:ascii="Times New Roman" w:hAnsi="Times New Roman" w:cs="Times New Roman"/>
          <w:sz w:val="24"/>
          <w:szCs w:val="24"/>
        </w:rPr>
        <w:t>Economy</w:t>
      </w:r>
      <w:proofErr w:type="spellEnd"/>
      <w:r w:rsidRPr="00BD3CDD">
        <w:rPr>
          <w:rFonts w:ascii="Times New Roman" w:hAnsi="Times New Roman" w:cs="Times New Roman"/>
          <w:sz w:val="24"/>
          <w:szCs w:val="24"/>
        </w:rPr>
        <w:t xml:space="preserve">, 117(2):257 280. </w:t>
      </w:r>
    </w:p>
    <w:p w:rsidR="00D41D90" w:rsidRPr="00FB3883" w:rsidRDefault="00D41D90" w:rsidP="00D41D90">
      <w:pPr>
        <w:spacing w:line="240" w:lineRule="auto"/>
        <w:jc w:val="both"/>
        <w:rPr>
          <w:rFonts w:ascii="Times New Roman" w:hAnsi="Times New Roman" w:cs="Times New Roman"/>
          <w:sz w:val="24"/>
          <w:szCs w:val="24"/>
        </w:rPr>
      </w:pPr>
      <w:r w:rsidRPr="00FB3883">
        <w:rPr>
          <w:rFonts w:ascii="Times New Roman" w:hAnsi="Times New Roman" w:cs="Times New Roman"/>
          <w:sz w:val="24"/>
          <w:szCs w:val="24"/>
        </w:rPr>
        <w:t xml:space="preserve">Fernandez, J. C. (1998). </w:t>
      </w:r>
      <w:r w:rsidRPr="00FB3883">
        <w:rPr>
          <w:rFonts w:ascii="Times New Roman" w:hAnsi="Times New Roman" w:cs="Times New Roman"/>
          <w:i/>
          <w:sz w:val="24"/>
          <w:szCs w:val="24"/>
        </w:rPr>
        <w:t>A economia do crime revisitada</w:t>
      </w:r>
      <w:r w:rsidRPr="00FB3883">
        <w:rPr>
          <w:rFonts w:ascii="Times New Roman" w:hAnsi="Times New Roman" w:cs="Times New Roman"/>
          <w:sz w:val="24"/>
          <w:szCs w:val="24"/>
        </w:rPr>
        <w:t xml:space="preserve">. Economia &amp; Tecnologia. </w:t>
      </w:r>
      <w:r>
        <w:rPr>
          <w:rFonts w:ascii="Times New Roman" w:hAnsi="Times New Roman" w:cs="Times New Roman"/>
          <w:sz w:val="24"/>
          <w:szCs w:val="24"/>
        </w:rPr>
        <w:t>Campinas, v. 1, n. 3.</w:t>
      </w:r>
    </w:p>
    <w:p w:rsidR="00221FAE" w:rsidRPr="00221FAE" w:rsidRDefault="00221FAE" w:rsidP="00221FAE">
      <w:pPr>
        <w:spacing w:line="240" w:lineRule="auto"/>
        <w:jc w:val="both"/>
        <w:rPr>
          <w:rFonts w:ascii="Times New Roman" w:hAnsi="Times New Roman" w:cs="Times New Roman"/>
          <w:sz w:val="24"/>
          <w:szCs w:val="24"/>
          <w:lang w:val="en-US"/>
        </w:rPr>
      </w:pPr>
      <w:proofErr w:type="spellStart"/>
      <w:r w:rsidRPr="00221FAE">
        <w:rPr>
          <w:rFonts w:ascii="Times New Roman" w:hAnsi="Times New Roman" w:cs="Times New Roman"/>
          <w:sz w:val="24"/>
          <w:szCs w:val="24"/>
          <w:lang w:val="en-US"/>
        </w:rPr>
        <w:t>Grogger</w:t>
      </w:r>
      <w:proofErr w:type="spellEnd"/>
      <w:r w:rsidRPr="00221FAE">
        <w:rPr>
          <w:rFonts w:ascii="Times New Roman" w:hAnsi="Times New Roman" w:cs="Times New Roman"/>
          <w:sz w:val="24"/>
          <w:szCs w:val="24"/>
          <w:lang w:val="en-US"/>
        </w:rPr>
        <w:t xml:space="preserve">, J. (1991). </w:t>
      </w:r>
      <w:r w:rsidRPr="0097000D">
        <w:rPr>
          <w:rFonts w:ascii="Times New Roman" w:hAnsi="Times New Roman" w:cs="Times New Roman"/>
          <w:i/>
          <w:sz w:val="24"/>
          <w:szCs w:val="24"/>
          <w:lang w:val="en-US"/>
        </w:rPr>
        <w:t>Certainty vs. severity of punishment</w:t>
      </w:r>
      <w:r w:rsidRPr="00221FAE">
        <w:rPr>
          <w:rFonts w:ascii="Times New Roman" w:hAnsi="Times New Roman" w:cs="Times New Roman"/>
          <w:sz w:val="24"/>
          <w:szCs w:val="24"/>
          <w:lang w:val="en-US"/>
        </w:rPr>
        <w:t>. Economic Inquiry, 29(2):</w:t>
      </w:r>
      <w:r w:rsidR="0097000D">
        <w:rPr>
          <w:rFonts w:ascii="Times New Roman" w:hAnsi="Times New Roman" w:cs="Times New Roman"/>
          <w:sz w:val="24"/>
          <w:szCs w:val="24"/>
          <w:lang w:val="en-US"/>
        </w:rPr>
        <w:t xml:space="preserve"> </w:t>
      </w:r>
      <w:r w:rsidRPr="00221FAE">
        <w:rPr>
          <w:rFonts w:ascii="Times New Roman" w:hAnsi="Times New Roman" w:cs="Times New Roman"/>
          <w:sz w:val="24"/>
          <w:szCs w:val="24"/>
          <w:lang w:val="en-US"/>
        </w:rPr>
        <w:t xml:space="preserve">297 </w:t>
      </w:r>
      <w:r w:rsidR="0097000D">
        <w:rPr>
          <w:rFonts w:ascii="Times New Roman" w:hAnsi="Times New Roman" w:cs="Times New Roman"/>
          <w:sz w:val="24"/>
          <w:szCs w:val="24"/>
          <w:lang w:val="en-US"/>
        </w:rPr>
        <w:t xml:space="preserve">- </w:t>
      </w:r>
      <w:r w:rsidRPr="00221FAE">
        <w:rPr>
          <w:rFonts w:ascii="Times New Roman" w:hAnsi="Times New Roman" w:cs="Times New Roman"/>
          <w:sz w:val="24"/>
          <w:szCs w:val="24"/>
          <w:lang w:val="en-US"/>
        </w:rPr>
        <w:t>309.</w:t>
      </w:r>
    </w:p>
    <w:p w:rsidR="00221FAE" w:rsidRPr="00221FAE" w:rsidRDefault="00221FAE" w:rsidP="00221FAE">
      <w:pPr>
        <w:spacing w:line="240" w:lineRule="auto"/>
        <w:jc w:val="both"/>
        <w:rPr>
          <w:rFonts w:ascii="Times New Roman" w:hAnsi="Times New Roman" w:cs="Times New Roman"/>
          <w:sz w:val="24"/>
          <w:szCs w:val="24"/>
          <w:lang w:val="en-US"/>
        </w:rPr>
      </w:pPr>
      <w:proofErr w:type="spellStart"/>
      <w:r w:rsidRPr="00221FAE">
        <w:rPr>
          <w:rFonts w:ascii="Times New Roman" w:hAnsi="Times New Roman" w:cs="Times New Roman"/>
          <w:sz w:val="24"/>
          <w:szCs w:val="24"/>
          <w:lang w:val="en-US"/>
        </w:rPr>
        <w:t>Helland</w:t>
      </w:r>
      <w:proofErr w:type="spellEnd"/>
      <w:r w:rsidRPr="00221FAE">
        <w:rPr>
          <w:rFonts w:ascii="Times New Roman" w:hAnsi="Times New Roman" w:cs="Times New Roman"/>
          <w:sz w:val="24"/>
          <w:szCs w:val="24"/>
          <w:lang w:val="en-US"/>
        </w:rPr>
        <w:t xml:space="preserve">, E. e Tabarrok, A. (2007). </w:t>
      </w:r>
      <w:r w:rsidRPr="007C0AF9">
        <w:rPr>
          <w:rFonts w:ascii="Times New Roman" w:hAnsi="Times New Roman" w:cs="Times New Roman"/>
          <w:i/>
          <w:sz w:val="24"/>
          <w:szCs w:val="24"/>
          <w:lang w:val="en-US"/>
        </w:rPr>
        <w:t xml:space="preserve">Does three strikes deter? </w:t>
      </w:r>
      <w:r w:rsidR="0072699F">
        <w:rPr>
          <w:rFonts w:ascii="Times New Roman" w:hAnsi="Times New Roman" w:cs="Times New Roman"/>
          <w:i/>
          <w:sz w:val="24"/>
          <w:szCs w:val="24"/>
          <w:lang w:val="en-US"/>
        </w:rPr>
        <w:t>A</w:t>
      </w:r>
      <w:r w:rsidR="0072699F" w:rsidRPr="007C0AF9">
        <w:rPr>
          <w:rFonts w:ascii="Times New Roman" w:hAnsi="Times New Roman" w:cs="Times New Roman"/>
          <w:i/>
          <w:sz w:val="24"/>
          <w:szCs w:val="24"/>
          <w:lang w:val="en-US"/>
        </w:rPr>
        <w:t xml:space="preserve"> </w:t>
      </w:r>
      <w:r w:rsidRPr="007C0AF9">
        <w:rPr>
          <w:rFonts w:ascii="Times New Roman" w:hAnsi="Times New Roman" w:cs="Times New Roman"/>
          <w:i/>
          <w:sz w:val="24"/>
          <w:szCs w:val="24"/>
          <w:lang w:val="en-US"/>
        </w:rPr>
        <w:t>nonparametric estimation.</w:t>
      </w:r>
      <w:r>
        <w:rPr>
          <w:rFonts w:ascii="Times New Roman" w:hAnsi="Times New Roman" w:cs="Times New Roman"/>
          <w:sz w:val="24"/>
          <w:szCs w:val="24"/>
          <w:lang w:val="en-US"/>
        </w:rPr>
        <w:t xml:space="preserve"> </w:t>
      </w:r>
      <w:r w:rsidRPr="00221FAE">
        <w:rPr>
          <w:rFonts w:ascii="Times New Roman" w:hAnsi="Times New Roman" w:cs="Times New Roman"/>
          <w:sz w:val="24"/>
          <w:szCs w:val="24"/>
          <w:lang w:val="en-US"/>
        </w:rPr>
        <w:t>Journal of Human Resources, 42(2):309 330.</w:t>
      </w:r>
    </w:p>
    <w:p w:rsidR="00221FAE" w:rsidRPr="00221FAE" w:rsidRDefault="00221FAE" w:rsidP="00221FAE">
      <w:pPr>
        <w:spacing w:line="240" w:lineRule="auto"/>
        <w:jc w:val="both"/>
        <w:rPr>
          <w:rFonts w:ascii="Times New Roman" w:hAnsi="Times New Roman" w:cs="Times New Roman"/>
          <w:sz w:val="24"/>
          <w:szCs w:val="24"/>
          <w:lang w:val="en-US"/>
        </w:rPr>
      </w:pPr>
      <w:r w:rsidRPr="00221FAE">
        <w:rPr>
          <w:rFonts w:ascii="Times New Roman" w:hAnsi="Times New Roman" w:cs="Times New Roman"/>
          <w:sz w:val="24"/>
          <w:szCs w:val="24"/>
          <w:lang w:val="en-US"/>
        </w:rPr>
        <w:lastRenderedPageBreak/>
        <w:t xml:space="preserve">Kessler, D. e Levitt, S. (1999). </w:t>
      </w:r>
      <w:r w:rsidRPr="007C0AF9">
        <w:rPr>
          <w:rFonts w:ascii="Times New Roman" w:hAnsi="Times New Roman" w:cs="Times New Roman"/>
          <w:i/>
          <w:sz w:val="24"/>
          <w:szCs w:val="24"/>
          <w:lang w:val="en-US"/>
        </w:rPr>
        <w:t>Using sentence enhancements to distinguish between deterrence and incapacitation</w:t>
      </w:r>
      <w:r w:rsidRPr="00221FAE">
        <w:rPr>
          <w:rFonts w:ascii="Times New Roman" w:hAnsi="Times New Roman" w:cs="Times New Roman"/>
          <w:sz w:val="24"/>
          <w:szCs w:val="24"/>
          <w:lang w:val="en-US"/>
        </w:rPr>
        <w:t>*. The Journal of Law and Economics, 42(S1):343 364.</w:t>
      </w:r>
    </w:p>
    <w:p w:rsidR="00221FAE" w:rsidRPr="00DE48F3" w:rsidRDefault="00221FAE" w:rsidP="00221FAE">
      <w:pPr>
        <w:spacing w:line="240" w:lineRule="auto"/>
        <w:jc w:val="both"/>
        <w:rPr>
          <w:rFonts w:ascii="Times New Roman" w:hAnsi="Times New Roman" w:cs="Times New Roman"/>
          <w:sz w:val="24"/>
          <w:szCs w:val="24"/>
        </w:rPr>
      </w:pPr>
      <w:r w:rsidRPr="00221FAE">
        <w:rPr>
          <w:rFonts w:ascii="Times New Roman" w:hAnsi="Times New Roman" w:cs="Times New Roman"/>
          <w:sz w:val="24"/>
          <w:szCs w:val="24"/>
          <w:lang w:val="en-US"/>
        </w:rPr>
        <w:t xml:space="preserve">Lee, D. e McCrary, J. (2009). </w:t>
      </w:r>
      <w:r w:rsidRPr="007C0AF9">
        <w:rPr>
          <w:rFonts w:ascii="Times New Roman" w:hAnsi="Times New Roman" w:cs="Times New Roman"/>
          <w:i/>
          <w:sz w:val="24"/>
          <w:szCs w:val="24"/>
          <w:lang w:val="en-US"/>
        </w:rPr>
        <w:t>The deterrence e</w:t>
      </w:r>
      <w:r w:rsidR="0097000D">
        <w:rPr>
          <w:rFonts w:ascii="Times New Roman" w:hAnsi="Times New Roman" w:cs="Times New Roman"/>
          <w:i/>
          <w:sz w:val="24"/>
          <w:szCs w:val="24"/>
          <w:lang w:val="en-US"/>
        </w:rPr>
        <w:t>ff</w:t>
      </w:r>
      <w:r w:rsidRPr="007C0AF9">
        <w:rPr>
          <w:rFonts w:ascii="Times New Roman" w:hAnsi="Times New Roman" w:cs="Times New Roman"/>
          <w:i/>
          <w:sz w:val="24"/>
          <w:szCs w:val="24"/>
          <w:lang w:val="en-US"/>
        </w:rPr>
        <w:t>ect of prison: Dynamic theory and evidence</w:t>
      </w:r>
      <w:r w:rsidRPr="00221FAE">
        <w:rPr>
          <w:rFonts w:ascii="Times New Roman" w:hAnsi="Times New Roman" w:cs="Times New Roman"/>
          <w:sz w:val="24"/>
          <w:szCs w:val="24"/>
          <w:lang w:val="en-US"/>
        </w:rPr>
        <w:t>.</w:t>
      </w:r>
      <w:r w:rsidR="007C0AF9" w:rsidRPr="007C0AF9">
        <w:rPr>
          <w:lang w:val="en-US"/>
        </w:rPr>
        <w:t xml:space="preserve"> </w:t>
      </w:r>
      <w:r w:rsidR="007C0AF9" w:rsidRPr="00DE48F3">
        <w:rPr>
          <w:rFonts w:ascii="Times New Roman" w:hAnsi="Times New Roman" w:cs="Times New Roman"/>
          <w:sz w:val="24"/>
          <w:szCs w:val="24"/>
        </w:rPr>
        <w:t xml:space="preserve">Industrial </w:t>
      </w:r>
      <w:proofErr w:type="spellStart"/>
      <w:r w:rsidR="007C0AF9" w:rsidRPr="00DE48F3">
        <w:rPr>
          <w:rFonts w:ascii="Times New Roman" w:hAnsi="Times New Roman" w:cs="Times New Roman"/>
          <w:sz w:val="24"/>
          <w:szCs w:val="24"/>
        </w:rPr>
        <w:t>Relations</w:t>
      </w:r>
      <w:proofErr w:type="spellEnd"/>
      <w:r w:rsidR="007C0AF9" w:rsidRPr="00DE48F3">
        <w:rPr>
          <w:rFonts w:ascii="Times New Roman" w:hAnsi="Times New Roman" w:cs="Times New Roman"/>
          <w:sz w:val="24"/>
          <w:szCs w:val="24"/>
        </w:rPr>
        <w:t xml:space="preserve"> </w:t>
      </w:r>
      <w:proofErr w:type="spellStart"/>
      <w:r w:rsidR="007C0AF9" w:rsidRPr="00DE48F3">
        <w:rPr>
          <w:rFonts w:ascii="Times New Roman" w:hAnsi="Times New Roman" w:cs="Times New Roman"/>
          <w:sz w:val="24"/>
          <w:szCs w:val="24"/>
        </w:rPr>
        <w:t>Section</w:t>
      </w:r>
      <w:proofErr w:type="spellEnd"/>
      <w:r w:rsidR="007C0AF9" w:rsidRPr="00DE48F3">
        <w:rPr>
          <w:rFonts w:ascii="Times New Roman" w:hAnsi="Times New Roman" w:cs="Times New Roman"/>
          <w:sz w:val="24"/>
          <w:szCs w:val="24"/>
        </w:rPr>
        <w:t xml:space="preserve">, Princeton </w:t>
      </w:r>
      <w:proofErr w:type="spellStart"/>
      <w:r w:rsidR="007C0AF9" w:rsidRPr="00DE48F3">
        <w:rPr>
          <w:rFonts w:ascii="Times New Roman" w:hAnsi="Times New Roman" w:cs="Times New Roman"/>
          <w:sz w:val="24"/>
          <w:szCs w:val="24"/>
        </w:rPr>
        <w:t>University</w:t>
      </w:r>
      <w:proofErr w:type="spellEnd"/>
      <w:r w:rsidR="007C0AF9" w:rsidRPr="00DE48F3">
        <w:rPr>
          <w:rFonts w:ascii="Times New Roman" w:hAnsi="Times New Roman" w:cs="Times New Roman"/>
          <w:sz w:val="24"/>
          <w:szCs w:val="24"/>
        </w:rPr>
        <w:t>.</w:t>
      </w:r>
    </w:p>
    <w:p w:rsidR="0097000D" w:rsidRPr="00DE48F3" w:rsidRDefault="0097000D" w:rsidP="00221FAE">
      <w:pPr>
        <w:spacing w:line="240" w:lineRule="auto"/>
        <w:jc w:val="both"/>
        <w:rPr>
          <w:rFonts w:ascii="Times New Roman" w:hAnsi="Times New Roman" w:cs="Times New Roman"/>
          <w:sz w:val="24"/>
          <w:szCs w:val="24"/>
        </w:rPr>
      </w:pPr>
      <w:proofErr w:type="spellStart"/>
      <w:r w:rsidRPr="0097000D">
        <w:rPr>
          <w:rFonts w:ascii="Times New Roman" w:hAnsi="Times New Roman" w:cs="Times New Roman"/>
          <w:sz w:val="24"/>
          <w:szCs w:val="24"/>
        </w:rPr>
        <w:t>Lemgruber</w:t>
      </w:r>
      <w:proofErr w:type="spellEnd"/>
      <w:r w:rsidRPr="0097000D">
        <w:rPr>
          <w:rFonts w:ascii="Times New Roman" w:hAnsi="Times New Roman" w:cs="Times New Roman"/>
          <w:sz w:val="24"/>
          <w:szCs w:val="24"/>
        </w:rPr>
        <w:t xml:space="preserve">, J., Fernandes, M., Cano, I., &amp; MUSEMECI, L. (2013). </w:t>
      </w:r>
      <w:r w:rsidRPr="0097000D">
        <w:rPr>
          <w:rFonts w:ascii="Times New Roman" w:hAnsi="Times New Roman" w:cs="Times New Roman"/>
          <w:i/>
          <w:sz w:val="24"/>
          <w:szCs w:val="24"/>
        </w:rPr>
        <w:t>Uso e abusos da prisão provisória no Rio de Janeiro: avaliação do impacto da lei 12.403/2011</w:t>
      </w:r>
      <w:r w:rsidRPr="0097000D">
        <w:rPr>
          <w:rFonts w:ascii="Times New Roman" w:hAnsi="Times New Roman" w:cs="Times New Roman"/>
          <w:sz w:val="24"/>
          <w:szCs w:val="24"/>
        </w:rPr>
        <w:t xml:space="preserve">. </w:t>
      </w:r>
      <w:r w:rsidRPr="00DE48F3">
        <w:rPr>
          <w:rFonts w:ascii="Times New Roman" w:hAnsi="Times New Roman" w:cs="Times New Roman"/>
          <w:sz w:val="24"/>
          <w:szCs w:val="24"/>
        </w:rPr>
        <w:t xml:space="preserve">Rio de Janeiro, novembro de. </w:t>
      </w:r>
    </w:p>
    <w:p w:rsidR="00221FAE" w:rsidRPr="00BD3CDD" w:rsidRDefault="00221FAE" w:rsidP="00221FAE">
      <w:pPr>
        <w:spacing w:line="240" w:lineRule="auto"/>
        <w:jc w:val="both"/>
        <w:rPr>
          <w:rFonts w:ascii="Times New Roman" w:hAnsi="Times New Roman" w:cs="Times New Roman"/>
          <w:sz w:val="24"/>
          <w:szCs w:val="24"/>
        </w:rPr>
      </w:pPr>
      <w:r w:rsidRPr="00DE48F3">
        <w:rPr>
          <w:rFonts w:ascii="Times New Roman" w:hAnsi="Times New Roman" w:cs="Times New Roman"/>
          <w:sz w:val="24"/>
          <w:szCs w:val="24"/>
        </w:rPr>
        <w:t xml:space="preserve">Levitt, S. (1998). </w:t>
      </w:r>
      <w:proofErr w:type="spellStart"/>
      <w:r w:rsidRPr="00DE48F3">
        <w:rPr>
          <w:rFonts w:ascii="Times New Roman" w:hAnsi="Times New Roman" w:cs="Times New Roman"/>
          <w:i/>
          <w:sz w:val="24"/>
          <w:szCs w:val="24"/>
        </w:rPr>
        <w:t>Why</w:t>
      </w:r>
      <w:proofErr w:type="spellEnd"/>
      <w:r w:rsidRPr="00DE48F3">
        <w:rPr>
          <w:rFonts w:ascii="Times New Roman" w:hAnsi="Times New Roman" w:cs="Times New Roman"/>
          <w:i/>
          <w:sz w:val="24"/>
          <w:szCs w:val="24"/>
        </w:rPr>
        <w:t xml:space="preserve"> do </w:t>
      </w:r>
      <w:proofErr w:type="spellStart"/>
      <w:r w:rsidRPr="00DE48F3">
        <w:rPr>
          <w:rFonts w:ascii="Times New Roman" w:hAnsi="Times New Roman" w:cs="Times New Roman"/>
          <w:i/>
          <w:sz w:val="24"/>
          <w:szCs w:val="24"/>
        </w:rPr>
        <w:t>increased</w:t>
      </w:r>
      <w:proofErr w:type="spellEnd"/>
      <w:r w:rsidRPr="00DE48F3">
        <w:rPr>
          <w:rFonts w:ascii="Times New Roman" w:hAnsi="Times New Roman" w:cs="Times New Roman"/>
          <w:i/>
          <w:sz w:val="24"/>
          <w:szCs w:val="24"/>
        </w:rPr>
        <w:t xml:space="preserve"> </w:t>
      </w:r>
      <w:proofErr w:type="spellStart"/>
      <w:r w:rsidRPr="00DE48F3">
        <w:rPr>
          <w:rFonts w:ascii="Times New Roman" w:hAnsi="Times New Roman" w:cs="Times New Roman"/>
          <w:i/>
          <w:sz w:val="24"/>
          <w:szCs w:val="24"/>
        </w:rPr>
        <w:t>arrest</w:t>
      </w:r>
      <w:proofErr w:type="spellEnd"/>
      <w:r w:rsidRPr="00DE48F3">
        <w:rPr>
          <w:rFonts w:ascii="Times New Roman" w:hAnsi="Times New Roman" w:cs="Times New Roman"/>
          <w:i/>
          <w:sz w:val="24"/>
          <w:szCs w:val="24"/>
        </w:rPr>
        <w:t xml:space="preserve"> rates </w:t>
      </w:r>
      <w:proofErr w:type="spellStart"/>
      <w:r w:rsidRPr="00DE48F3">
        <w:rPr>
          <w:rFonts w:ascii="Times New Roman" w:hAnsi="Times New Roman" w:cs="Times New Roman"/>
          <w:i/>
          <w:sz w:val="24"/>
          <w:szCs w:val="24"/>
        </w:rPr>
        <w:t>appear</w:t>
      </w:r>
      <w:proofErr w:type="spellEnd"/>
      <w:r w:rsidRPr="00DE48F3">
        <w:rPr>
          <w:rFonts w:ascii="Times New Roman" w:hAnsi="Times New Roman" w:cs="Times New Roman"/>
          <w:i/>
          <w:sz w:val="24"/>
          <w:szCs w:val="24"/>
        </w:rPr>
        <w:t xml:space="preserve"> </w:t>
      </w:r>
      <w:proofErr w:type="spellStart"/>
      <w:r w:rsidRPr="00DE48F3">
        <w:rPr>
          <w:rFonts w:ascii="Times New Roman" w:hAnsi="Times New Roman" w:cs="Times New Roman"/>
          <w:i/>
          <w:sz w:val="24"/>
          <w:szCs w:val="24"/>
        </w:rPr>
        <w:t>to</w:t>
      </w:r>
      <w:proofErr w:type="spellEnd"/>
      <w:r w:rsidRPr="00DE48F3">
        <w:rPr>
          <w:rFonts w:ascii="Times New Roman" w:hAnsi="Times New Roman" w:cs="Times New Roman"/>
          <w:i/>
          <w:sz w:val="24"/>
          <w:szCs w:val="24"/>
        </w:rPr>
        <w:t xml:space="preserve"> </w:t>
      </w:r>
      <w:proofErr w:type="spellStart"/>
      <w:r w:rsidRPr="00DE48F3">
        <w:rPr>
          <w:rFonts w:ascii="Times New Roman" w:hAnsi="Times New Roman" w:cs="Times New Roman"/>
          <w:i/>
          <w:sz w:val="24"/>
          <w:szCs w:val="24"/>
        </w:rPr>
        <w:t>reduce</w:t>
      </w:r>
      <w:proofErr w:type="spellEnd"/>
      <w:r w:rsidRPr="00DE48F3">
        <w:rPr>
          <w:rFonts w:ascii="Times New Roman" w:hAnsi="Times New Roman" w:cs="Times New Roman"/>
          <w:i/>
          <w:sz w:val="24"/>
          <w:szCs w:val="24"/>
        </w:rPr>
        <w:t xml:space="preserve"> crime: </w:t>
      </w:r>
      <w:proofErr w:type="spellStart"/>
      <w:r w:rsidRPr="00DE48F3">
        <w:rPr>
          <w:rFonts w:ascii="Times New Roman" w:hAnsi="Times New Roman" w:cs="Times New Roman"/>
          <w:i/>
          <w:sz w:val="24"/>
          <w:szCs w:val="24"/>
        </w:rPr>
        <w:t>Deterrence</w:t>
      </w:r>
      <w:proofErr w:type="spellEnd"/>
      <w:r w:rsidRPr="00DE48F3">
        <w:rPr>
          <w:rFonts w:ascii="Times New Roman" w:hAnsi="Times New Roman" w:cs="Times New Roman"/>
          <w:i/>
          <w:sz w:val="24"/>
          <w:szCs w:val="24"/>
        </w:rPr>
        <w:t xml:space="preserve">, </w:t>
      </w:r>
      <w:proofErr w:type="spellStart"/>
      <w:r w:rsidRPr="00DE48F3">
        <w:rPr>
          <w:rFonts w:ascii="Times New Roman" w:hAnsi="Times New Roman" w:cs="Times New Roman"/>
          <w:i/>
          <w:sz w:val="24"/>
          <w:szCs w:val="24"/>
        </w:rPr>
        <w:t>incapacitation</w:t>
      </w:r>
      <w:proofErr w:type="spellEnd"/>
      <w:r w:rsidRPr="00DE48F3">
        <w:rPr>
          <w:rFonts w:ascii="Times New Roman" w:hAnsi="Times New Roman" w:cs="Times New Roman"/>
          <w:i/>
          <w:sz w:val="24"/>
          <w:szCs w:val="24"/>
        </w:rPr>
        <w:t xml:space="preserve">, </w:t>
      </w:r>
      <w:proofErr w:type="spellStart"/>
      <w:r w:rsidRPr="00DE48F3">
        <w:rPr>
          <w:rFonts w:ascii="Times New Roman" w:hAnsi="Times New Roman" w:cs="Times New Roman"/>
          <w:i/>
          <w:sz w:val="24"/>
          <w:szCs w:val="24"/>
        </w:rPr>
        <w:t>or</w:t>
      </w:r>
      <w:proofErr w:type="spellEnd"/>
      <w:r w:rsidRPr="00DE48F3">
        <w:rPr>
          <w:rFonts w:ascii="Times New Roman" w:hAnsi="Times New Roman" w:cs="Times New Roman"/>
          <w:i/>
          <w:sz w:val="24"/>
          <w:szCs w:val="24"/>
        </w:rPr>
        <w:t xml:space="preserve"> </w:t>
      </w:r>
      <w:proofErr w:type="spellStart"/>
      <w:r w:rsidRPr="00DE48F3">
        <w:rPr>
          <w:rFonts w:ascii="Times New Roman" w:hAnsi="Times New Roman" w:cs="Times New Roman"/>
          <w:i/>
          <w:sz w:val="24"/>
          <w:szCs w:val="24"/>
        </w:rPr>
        <w:t>measurement</w:t>
      </w:r>
      <w:proofErr w:type="spellEnd"/>
      <w:r w:rsidRPr="00DE48F3">
        <w:rPr>
          <w:rFonts w:ascii="Times New Roman" w:hAnsi="Times New Roman" w:cs="Times New Roman"/>
          <w:i/>
          <w:sz w:val="24"/>
          <w:szCs w:val="24"/>
        </w:rPr>
        <w:t xml:space="preserve"> </w:t>
      </w:r>
      <w:proofErr w:type="spellStart"/>
      <w:r w:rsidRPr="00DE48F3">
        <w:rPr>
          <w:rFonts w:ascii="Times New Roman" w:hAnsi="Times New Roman" w:cs="Times New Roman"/>
          <w:i/>
          <w:sz w:val="24"/>
          <w:szCs w:val="24"/>
        </w:rPr>
        <w:t>error</w:t>
      </w:r>
      <w:proofErr w:type="spellEnd"/>
      <w:r w:rsidRPr="00DE48F3">
        <w:rPr>
          <w:rFonts w:ascii="Times New Roman" w:hAnsi="Times New Roman" w:cs="Times New Roman"/>
          <w:i/>
          <w:sz w:val="24"/>
          <w:szCs w:val="24"/>
        </w:rPr>
        <w:t>?</w:t>
      </w:r>
      <w:r w:rsidRPr="00DE48F3">
        <w:rPr>
          <w:rFonts w:ascii="Times New Roman" w:hAnsi="Times New Roman" w:cs="Times New Roman"/>
          <w:sz w:val="24"/>
          <w:szCs w:val="24"/>
        </w:rPr>
        <w:t xml:space="preserve"> </w:t>
      </w:r>
      <w:proofErr w:type="spellStart"/>
      <w:r w:rsidRPr="00BD3CDD">
        <w:rPr>
          <w:rFonts w:ascii="Times New Roman" w:hAnsi="Times New Roman" w:cs="Times New Roman"/>
          <w:sz w:val="24"/>
          <w:szCs w:val="24"/>
        </w:rPr>
        <w:t>Economic</w:t>
      </w:r>
      <w:proofErr w:type="spellEnd"/>
      <w:r w:rsidRPr="00BD3CDD">
        <w:rPr>
          <w:rFonts w:ascii="Times New Roman" w:hAnsi="Times New Roman" w:cs="Times New Roman"/>
          <w:sz w:val="24"/>
          <w:szCs w:val="24"/>
        </w:rPr>
        <w:t xml:space="preserve"> </w:t>
      </w:r>
      <w:proofErr w:type="spellStart"/>
      <w:r w:rsidRPr="00BD3CDD">
        <w:rPr>
          <w:rFonts w:ascii="Times New Roman" w:hAnsi="Times New Roman" w:cs="Times New Roman"/>
          <w:sz w:val="24"/>
          <w:szCs w:val="24"/>
        </w:rPr>
        <w:t>Inquiry</w:t>
      </w:r>
      <w:proofErr w:type="spellEnd"/>
      <w:r w:rsidRPr="00BD3CDD">
        <w:rPr>
          <w:rFonts w:ascii="Times New Roman" w:hAnsi="Times New Roman" w:cs="Times New Roman"/>
          <w:sz w:val="24"/>
          <w:szCs w:val="24"/>
        </w:rPr>
        <w:t>, 36(3):</w:t>
      </w:r>
      <w:r w:rsidR="0097000D" w:rsidRPr="00BD3CDD">
        <w:rPr>
          <w:rFonts w:ascii="Times New Roman" w:hAnsi="Times New Roman" w:cs="Times New Roman"/>
          <w:sz w:val="24"/>
          <w:szCs w:val="24"/>
        </w:rPr>
        <w:t xml:space="preserve"> </w:t>
      </w:r>
      <w:r w:rsidRPr="00BD3CDD">
        <w:rPr>
          <w:rFonts w:ascii="Times New Roman" w:hAnsi="Times New Roman" w:cs="Times New Roman"/>
          <w:sz w:val="24"/>
          <w:szCs w:val="24"/>
        </w:rPr>
        <w:t>353</w:t>
      </w:r>
      <w:r w:rsidR="0097000D" w:rsidRPr="00BD3CDD">
        <w:rPr>
          <w:rFonts w:ascii="Times New Roman" w:hAnsi="Times New Roman" w:cs="Times New Roman"/>
          <w:sz w:val="24"/>
          <w:szCs w:val="24"/>
        </w:rPr>
        <w:t xml:space="preserve"> -</w:t>
      </w:r>
      <w:r w:rsidRPr="00BD3CDD">
        <w:rPr>
          <w:rFonts w:ascii="Times New Roman" w:hAnsi="Times New Roman" w:cs="Times New Roman"/>
          <w:sz w:val="24"/>
          <w:szCs w:val="24"/>
        </w:rPr>
        <w:t xml:space="preserve"> 372.</w:t>
      </w:r>
    </w:p>
    <w:p w:rsidR="00D41D90" w:rsidRPr="00BD3CDD" w:rsidRDefault="00D41D90" w:rsidP="00D41D90">
      <w:pPr>
        <w:spacing w:line="240" w:lineRule="auto"/>
        <w:jc w:val="both"/>
        <w:rPr>
          <w:rFonts w:ascii="Times New Roman" w:hAnsi="Times New Roman" w:cs="Times New Roman"/>
          <w:sz w:val="24"/>
          <w:szCs w:val="24"/>
          <w:lang w:val="en-US"/>
        </w:rPr>
      </w:pPr>
      <w:proofErr w:type="spellStart"/>
      <w:r w:rsidRPr="00C63BBA">
        <w:rPr>
          <w:rFonts w:ascii="Times New Roman" w:hAnsi="Times New Roman" w:cs="Times New Roman"/>
          <w:sz w:val="24"/>
          <w:szCs w:val="24"/>
          <w:lang w:val="en-US"/>
        </w:rPr>
        <w:t>Meneguin</w:t>
      </w:r>
      <w:proofErr w:type="spellEnd"/>
      <w:r w:rsidRPr="00C63BBA">
        <w:rPr>
          <w:rFonts w:ascii="Times New Roman" w:hAnsi="Times New Roman" w:cs="Times New Roman"/>
          <w:sz w:val="24"/>
          <w:szCs w:val="24"/>
          <w:lang w:val="en-US"/>
        </w:rPr>
        <w:t xml:space="preserve">, F. B. et al (2011). </w:t>
      </w:r>
      <w:r w:rsidRPr="00FB3883">
        <w:rPr>
          <w:rFonts w:ascii="Times New Roman" w:hAnsi="Times New Roman" w:cs="Times New Roman"/>
          <w:i/>
          <w:sz w:val="24"/>
          <w:szCs w:val="24"/>
        </w:rPr>
        <w:t>Execução provisória da sentença: uma análise econômica do processo penal</w:t>
      </w:r>
      <w:r>
        <w:rPr>
          <w:rFonts w:ascii="Times New Roman" w:hAnsi="Times New Roman" w:cs="Times New Roman"/>
          <w:sz w:val="24"/>
          <w:szCs w:val="24"/>
        </w:rPr>
        <w:t xml:space="preserve">. </w:t>
      </w:r>
      <w:r w:rsidRPr="00BD3CDD">
        <w:rPr>
          <w:rFonts w:ascii="Times New Roman" w:hAnsi="Times New Roman" w:cs="Times New Roman"/>
          <w:sz w:val="24"/>
          <w:szCs w:val="24"/>
          <w:lang w:val="en-US"/>
        </w:rPr>
        <w:t xml:space="preserve">Economic Analysis of Law Review, v. </w:t>
      </w:r>
      <w:proofErr w:type="gramStart"/>
      <w:r w:rsidRPr="00BD3CDD">
        <w:rPr>
          <w:rFonts w:ascii="Times New Roman" w:hAnsi="Times New Roman" w:cs="Times New Roman"/>
          <w:sz w:val="24"/>
          <w:szCs w:val="24"/>
          <w:lang w:val="en-US"/>
        </w:rPr>
        <w:t>2</w:t>
      </w:r>
      <w:proofErr w:type="gramEnd"/>
      <w:r w:rsidRPr="00BD3CDD">
        <w:rPr>
          <w:rFonts w:ascii="Times New Roman" w:hAnsi="Times New Roman" w:cs="Times New Roman"/>
          <w:sz w:val="24"/>
          <w:szCs w:val="24"/>
          <w:lang w:val="en-US"/>
        </w:rPr>
        <w:t>, n. 2, p. 204-229.</w:t>
      </w:r>
    </w:p>
    <w:p w:rsidR="00D41D90" w:rsidRPr="00A16DE5" w:rsidRDefault="00D41D90" w:rsidP="00D41D90">
      <w:pPr>
        <w:spacing w:line="240" w:lineRule="auto"/>
        <w:jc w:val="both"/>
        <w:rPr>
          <w:rFonts w:ascii="Times New Roman" w:hAnsi="Times New Roman" w:cs="Times New Roman"/>
          <w:sz w:val="24"/>
          <w:szCs w:val="24"/>
          <w:lang w:val="en-US"/>
        </w:rPr>
      </w:pPr>
      <w:proofErr w:type="spellStart"/>
      <w:r w:rsidRPr="00BD3CDD">
        <w:rPr>
          <w:rFonts w:ascii="Times New Roman" w:hAnsi="Times New Roman" w:cs="Times New Roman"/>
          <w:sz w:val="24"/>
          <w:szCs w:val="24"/>
          <w:lang w:val="en-US"/>
        </w:rPr>
        <w:t>Shikida</w:t>
      </w:r>
      <w:proofErr w:type="spellEnd"/>
      <w:r w:rsidRPr="00BD3CDD">
        <w:rPr>
          <w:rFonts w:ascii="Times New Roman" w:hAnsi="Times New Roman" w:cs="Times New Roman"/>
          <w:sz w:val="24"/>
          <w:szCs w:val="24"/>
          <w:lang w:val="en-US"/>
        </w:rPr>
        <w:t xml:space="preserve">, P. F. A. (2010). </w:t>
      </w:r>
      <w:r w:rsidRPr="00FB3883">
        <w:rPr>
          <w:rFonts w:ascii="Times New Roman" w:hAnsi="Times New Roman" w:cs="Times New Roman"/>
          <w:i/>
          <w:sz w:val="24"/>
          <w:szCs w:val="24"/>
        </w:rPr>
        <w:t>Considerações sobre a economia do crime no Brasil: um sumário de 10 anos de pesquisa</w:t>
      </w:r>
      <w:r>
        <w:rPr>
          <w:rFonts w:ascii="Times New Roman" w:hAnsi="Times New Roman" w:cs="Times New Roman"/>
          <w:sz w:val="24"/>
          <w:szCs w:val="24"/>
        </w:rPr>
        <w:t xml:space="preserve">. </w:t>
      </w:r>
      <w:r w:rsidRPr="00FB3883">
        <w:rPr>
          <w:rFonts w:ascii="Times New Roman" w:hAnsi="Times New Roman" w:cs="Times New Roman"/>
          <w:sz w:val="24"/>
          <w:szCs w:val="24"/>
          <w:lang w:val="en-US"/>
        </w:rPr>
        <w:t xml:space="preserve">Economic Analysis of Law Review, v. </w:t>
      </w:r>
      <w:proofErr w:type="gramStart"/>
      <w:r w:rsidRPr="00FB3883">
        <w:rPr>
          <w:rFonts w:ascii="Times New Roman" w:hAnsi="Times New Roman" w:cs="Times New Roman"/>
          <w:sz w:val="24"/>
          <w:szCs w:val="24"/>
          <w:lang w:val="en-US"/>
        </w:rPr>
        <w:t>1</w:t>
      </w:r>
      <w:proofErr w:type="gramEnd"/>
      <w:r w:rsidRPr="00FB3883">
        <w:rPr>
          <w:rFonts w:ascii="Times New Roman" w:hAnsi="Times New Roman" w:cs="Times New Roman"/>
          <w:sz w:val="24"/>
          <w:szCs w:val="24"/>
          <w:lang w:val="en-US"/>
        </w:rPr>
        <w:t>, n. 2, p. 318-336.</w:t>
      </w:r>
    </w:p>
    <w:p w:rsidR="00221FAE" w:rsidRPr="00221FAE" w:rsidRDefault="00221FAE" w:rsidP="00221FAE">
      <w:pPr>
        <w:spacing w:line="240" w:lineRule="auto"/>
        <w:jc w:val="both"/>
        <w:rPr>
          <w:rFonts w:ascii="Times New Roman" w:hAnsi="Times New Roman" w:cs="Times New Roman"/>
          <w:sz w:val="24"/>
          <w:szCs w:val="24"/>
          <w:lang w:val="en-US"/>
        </w:rPr>
      </w:pPr>
      <w:proofErr w:type="spellStart"/>
      <w:r w:rsidRPr="00221FAE">
        <w:rPr>
          <w:rFonts w:ascii="Times New Roman" w:hAnsi="Times New Roman" w:cs="Times New Roman"/>
          <w:sz w:val="24"/>
          <w:szCs w:val="24"/>
          <w:lang w:val="en-US"/>
        </w:rPr>
        <w:t>Tauchen</w:t>
      </w:r>
      <w:proofErr w:type="spellEnd"/>
      <w:r w:rsidRPr="00221FAE">
        <w:rPr>
          <w:rFonts w:ascii="Times New Roman" w:hAnsi="Times New Roman" w:cs="Times New Roman"/>
          <w:sz w:val="24"/>
          <w:szCs w:val="24"/>
          <w:lang w:val="en-US"/>
        </w:rPr>
        <w:t xml:space="preserve"> et al. (1994).  </w:t>
      </w:r>
      <w:r w:rsidRPr="007C0AF9">
        <w:rPr>
          <w:rFonts w:ascii="Times New Roman" w:hAnsi="Times New Roman" w:cs="Times New Roman"/>
          <w:i/>
          <w:sz w:val="24"/>
          <w:szCs w:val="24"/>
          <w:lang w:val="en-US"/>
        </w:rPr>
        <w:t>Criminal deterrence:  Revisiting the issue with a birth cohort</w:t>
      </w:r>
      <w:r w:rsidRPr="00221FA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21FAE">
        <w:rPr>
          <w:rFonts w:ascii="Times New Roman" w:hAnsi="Times New Roman" w:cs="Times New Roman"/>
          <w:sz w:val="24"/>
          <w:szCs w:val="24"/>
          <w:lang w:val="en-US"/>
        </w:rPr>
        <w:t>Review of economics and statistics, 76(3):399 412.</w:t>
      </w:r>
    </w:p>
    <w:p w:rsidR="00221FAE" w:rsidRPr="00DE48F3" w:rsidRDefault="00221FAE" w:rsidP="00221FAE">
      <w:pPr>
        <w:spacing w:line="240" w:lineRule="auto"/>
        <w:jc w:val="both"/>
        <w:rPr>
          <w:rFonts w:ascii="Times New Roman" w:hAnsi="Times New Roman" w:cs="Times New Roman"/>
          <w:sz w:val="24"/>
          <w:szCs w:val="24"/>
          <w:lang w:val="en-US"/>
        </w:rPr>
      </w:pPr>
      <w:r w:rsidRPr="00221FAE">
        <w:rPr>
          <w:rFonts w:ascii="Times New Roman" w:hAnsi="Times New Roman" w:cs="Times New Roman"/>
          <w:sz w:val="24"/>
          <w:szCs w:val="24"/>
          <w:lang w:val="en-US"/>
        </w:rPr>
        <w:t xml:space="preserve">Trumbull, W. (1989). </w:t>
      </w:r>
      <w:r w:rsidRPr="007C0AF9">
        <w:rPr>
          <w:rFonts w:ascii="Times New Roman" w:hAnsi="Times New Roman" w:cs="Times New Roman"/>
          <w:i/>
          <w:sz w:val="24"/>
          <w:szCs w:val="24"/>
          <w:lang w:val="en-US"/>
        </w:rPr>
        <w:t>Estimations of the economic model of crime using aggregate and individual level data</w:t>
      </w:r>
      <w:r w:rsidRPr="00221FAE">
        <w:rPr>
          <w:rFonts w:ascii="Times New Roman" w:hAnsi="Times New Roman" w:cs="Times New Roman"/>
          <w:sz w:val="24"/>
          <w:szCs w:val="24"/>
          <w:lang w:val="en-US"/>
        </w:rPr>
        <w:t xml:space="preserve">. </w:t>
      </w:r>
      <w:r w:rsidRPr="00DE48F3">
        <w:rPr>
          <w:rFonts w:ascii="Times New Roman" w:hAnsi="Times New Roman" w:cs="Times New Roman"/>
          <w:sz w:val="24"/>
          <w:szCs w:val="24"/>
          <w:lang w:val="en-US"/>
        </w:rPr>
        <w:t>Southern Economic Journal, pages 423 439.</w:t>
      </w:r>
    </w:p>
    <w:p w:rsidR="00956B8C" w:rsidRDefault="00221FAE" w:rsidP="00221FAE">
      <w:pPr>
        <w:spacing w:line="240" w:lineRule="auto"/>
        <w:jc w:val="both"/>
        <w:rPr>
          <w:rFonts w:ascii="Times New Roman" w:hAnsi="Times New Roman" w:cs="Times New Roman"/>
          <w:sz w:val="24"/>
          <w:szCs w:val="24"/>
        </w:rPr>
      </w:pPr>
      <w:r w:rsidRPr="00221FAE">
        <w:rPr>
          <w:rFonts w:ascii="Times New Roman" w:hAnsi="Times New Roman" w:cs="Times New Roman"/>
          <w:sz w:val="24"/>
          <w:szCs w:val="24"/>
          <w:lang w:val="en-US"/>
        </w:rPr>
        <w:t xml:space="preserve">Witte, A. (1980). </w:t>
      </w:r>
      <w:r w:rsidRPr="007C0AF9">
        <w:rPr>
          <w:rFonts w:ascii="Times New Roman" w:hAnsi="Times New Roman" w:cs="Times New Roman"/>
          <w:i/>
          <w:sz w:val="24"/>
          <w:szCs w:val="24"/>
          <w:lang w:val="en-US"/>
        </w:rPr>
        <w:t>Estimating the economic model of crime with individual data</w:t>
      </w:r>
      <w:r w:rsidRPr="00221FAE">
        <w:rPr>
          <w:rFonts w:ascii="Times New Roman" w:hAnsi="Times New Roman" w:cs="Times New Roman"/>
          <w:sz w:val="24"/>
          <w:szCs w:val="24"/>
          <w:lang w:val="en-US"/>
        </w:rPr>
        <w:t xml:space="preserve">. </w:t>
      </w:r>
      <w:r w:rsidRPr="00221FAE">
        <w:rPr>
          <w:rFonts w:ascii="Times New Roman" w:hAnsi="Times New Roman" w:cs="Times New Roman"/>
          <w:sz w:val="24"/>
          <w:szCs w:val="24"/>
        </w:rPr>
        <w:t xml:space="preserve">The </w:t>
      </w:r>
      <w:proofErr w:type="spellStart"/>
      <w:r w:rsidRPr="00221FAE">
        <w:rPr>
          <w:rFonts w:ascii="Times New Roman" w:hAnsi="Times New Roman" w:cs="Times New Roman"/>
          <w:sz w:val="24"/>
          <w:szCs w:val="24"/>
        </w:rPr>
        <w:t>Quarterly</w:t>
      </w:r>
      <w:proofErr w:type="spellEnd"/>
      <w:r w:rsidRPr="00221FAE">
        <w:rPr>
          <w:rFonts w:ascii="Times New Roman" w:hAnsi="Times New Roman" w:cs="Times New Roman"/>
          <w:sz w:val="24"/>
          <w:szCs w:val="24"/>
        </w:rPr>
        <w:t xml:space="preserve"> </w:t>
      </w:r>
      <w:proofErr w:type="spellStart"/>
      <w:r w:rsidRPr="00221FAE">
        <w:rPr>
          <w:rFonts w:ascii="Times New Roman" w:hAnsi="Times New Roman" w:cs="Times New Roman"/>
          <w:sz w:val="24"/>
          <w:szCs w:val="24"/>
        </w:rPr>
        <w:t>Journal</w:t>
      </w:r>
      <w:proofErr w:type="spellEnd"/>
      <w:r w:rsidRPr="00221FAE">
        <w:rPr>
          <w:rFonts w:ascii="Times New Roman" w:hAnsi="Times New Roman" w:cs="Times New Roman"/>
          <w:sz w:val="24"/>
          <w:szCs w:val="24"/>
        </w:rPr>
        <w:t xml:space="preserve"> </w:t>
      </w:r>
      <w:proofErr w:type="spellStart"/>
      <w:r w:rsidRPr="00221FAE">
        <w:rPr>
          <w:rFonts w:ascii="Times New Roman" w:hAnsi="Times New Roman" w:cs="Times New Roman"/>
          <w:sz w:val="24"/>
          <w:szCs w:val="24"/>
        </w:rPr>
        <w:t>of</w:t>
      </w:r>
      <w:proofErr w:type="spellEnd"/>
      <w:r w:rsidRPr="00221FAE">
        <w:rPr>
          <w:rFonts w:ascii="Times New Roman" w:hAnsi="Times New Roman" w:cs="Times New Roman"/>
          <w:sz w:val="24"/>
          <w:szCs w:val="24"/>
        </w:rPr>
        <w:t xml:space="preserve"> </w:t>
      </w:r>
      <w:proofErr w:type="spellStart"/>
      <w:r w:rsidRPr="00221FAE">
        <w:rPr>
          <w:rFonts w:ascii="Times New Roman" w:hAnsi="Times New Roman" w:cs="Times New Roman"/>
          <w:sz w:val="24"/>
          <w:szCs w:val="24"/>
        </w:rPr>
        <w:t>Economics</w:t>
      </w:r>
      <w:proofErr w:type="spellEnd"/>
      <w:r w:rsidRPr="00221FAE">
        <w:rPr>
          <w:rFonts w:ascii="Times New Roman" w:hAnsi="Times New Roman" w:cs="Times New Roman"/>
          <w:sz w:val="24"/>
          <w:szCs w:val="24"/>
        </w:rPr>
        <w:t xml:space="preserve">, </w:t>
      </w:r>
      <w:proofErr w:type="spellStart"/>
      <w:r w:rsidRPr="00221FAE">
        <w:rPr>
          <w:rFonts w:ascii="Times New Roman" w:hAnsi="Times New Roman" w:cs="Times New Roman"/>
          <w:sz w:val="24"/>
          <w:szCs w:val="24"/>
        </w:rPr>
        <w:t>pages</w:t>
      </w:r>
      <w:proofErr w:type="spellEnd"/>
      <w:r w:rsidRPr="00221FAE">
        <w:rPr>
          <w:rFonts w:ascii="Times New Roman" w:hAnsi="Times New Roman" w:cs="Times New Roman"/>
          <w:sz w:val="24"/>
          <w:szCs w:val="24"/>
        </w:rPr>
        <w:t xml:space="preserve"> 57 84.</w:t>
      </w:r>
    </w:p>
    <w:p w:rsidR="00956B8C" w:rsidRDefault="00956B8C" w:rsidP="00956B8C">
      <w:pPr>
        <w:spacing w:line="240" w:lineRule="auto"/>
        <w:ind w:firstLine="708"/>
        <w:jc w:val="both"/>
        <w:rPr>
          <w:rFonts w:ascii="Times New Roman" w:hAnsi="Times New Roman" w:cs="Times New Roman"/>
          <w:sz w:val="24"/>
          <w:szCs w:val="24"/>
        </w:rPr>
      </w:pPr>
    </w:p>
    <w:sectPr w:rsidR="00956B8C" w:rsidSect="00684C76">
      <w:headerReference w:type="even" r:id="rId21"/>
      <w:headerReference w:type="default" r:id="rId22"/>
      <w:footerReference w:type="even" r:id="rId23"/>
      <w:footerReference w:type="default" r:id="rId24"/>
      <w:headerReference w:type="first" r:id="rId25"/>
      <w:footerReference w:type="first" r:id="rId26"/>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8EA" w:rsidRDefault="004A18EA" w:rsidP="00CF1370">
      <w:pPr>
        <w:spacing w:after="0" w:line="240" w:lineRule="auto"/>
      </w:pPr>
      <w:r>
        <w:separator/>
      </w:r>
    </w:p>
  </w:endnote>
  <w:endnote w:type="continuationSeparator" w:id="0">
    <w:p w:rsidR="004A18EA" w:rsidRDefault="004A18EA" w:rsidP="00CF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55" w:rsidRDefault="002B775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55" w:rsidRDefault="002B775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55" w:rsidRDefault="002B775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8EA" w:rsidRDefault="004A18EA" w:rsidP="00CF1370">
      <w:pPr>
        <w:spacing w:after="0" w:line="240" w:lineRule="auto"/>
      </w:pPr>
      <w:r>
        <w:separator/>
      </w:r>
    </w:p>
  </w:footnote>
  <w:footnote w:type="continuationSeparator" w:id="0">
    <w:p w:rsidR="004A18EA" w:rsidRDefault="004A18EA" w:rsidP="00CF1370">
      <w:pPr>
        <w:spacing w:after="0" w:line="240" w:lineRule="auto"/>
      </w:pPr>
      <w:r>
        <w:continuationSeparator/>
      </w:r>
    </w:p>
  </w:footnote>
  <w:footnote w:id="1">
    <w:p w:rsidR="00FE79E2" w:rsidRDefault="00FE79E2">
      <w:pPr>
        <w:pStyle w:val="Textodenotaderodap"/>
      </w:pPr>
      <w:r w:rsidRPr="00FE79E2">
        <w:rPr>
          <w:rStyle w:val="Refdenotaderodap"/>
          <w:rFonts w:ascii="Times New Roman" w:hAnsi="Times New Roman" w:cs="Times New Roman"/>
        </w:rPr>
        <w:footnoteRef/>
      </w:r>
      <w:r w:rsidRPr="00FE79E2">
        <w:rPr>
          <w:rFonts w:ascii="Times New Roman" w:hAnsi="Times New Roman" w:cs="Times New Roman"/>
        </w:rPr>
        <w:t xml:space="preserve"> Pesquisador do Instituto Brasileiro</w:t>
      </w:r>
      <w:r w:rsidRPr="00167774">
        <w:rPr>
          <w:rFonts w:ascii="Times New Roman" w:hAnsi="Times New Roman" w:cs="Times New Roman"/>
        </w:rPr>
        <w:t xml:space="preserve"> de Economia da Fundação Getúlio Vargas (IBRE/FGV).</w:t>
      </w:r>
    </w:p>
  </w:footnote>
  <w:footnote w:id="2">
    <w:p w:rsidR="00CF1370" w:rsidRPr="007778FE" w:rsidRDefault="00CF1370" w:rsidP="00E00F31">
      <w:pPr>
        <w:pStyle w:val="Textodenotaderodap"/>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Algumas das medidas incentivadas pela lei são: (i) o uso de </w:t>
      </w:r>
      <w:proofErr w:type="spellStart"/>
      <w:r w:rsidRPr="007778FE">
        <w:rPr>
          <w:rFonts w:ascii="Times New Roman" w:hAnsi="Times New Roman" w:cs="Times New Roman"/>
        </w:rPr>
        <w:t>tornozeleira</w:t>
      </w:r>
      <w:proofErr w:type="spellEnd"/>
      <w:r w:rsidRPr="007778FE">
        <w:rPr>
          <w:rFonts w:ascii="Times New Roman" w:hAnsi="Times New Roman" w:cs="Times New Roman"/>
        </w:rPr>
        <w:t xml:space="preserve"> de monitoramento eletrônico, (</w:t>
      </w:r>
      <w:proofErr w:type="spellStart"/>
      <w:r w:rsidRPr="007778FE">
        <w:rPr>
          <w:rFonts w:ascii="Times New Roman" w:hAnsi="Times New Roman" w:cs="Times New Roman"/>
        </w:rPr>
        <w:t>ii</w:t>
      </w:r>
      <w:proofErr w:type="spellEnd"/>
      <w:r w:rsidRPr="007778FE">
        <w:rPr>
          <w:rFonts w:ascii="Times New Roman" w:hAnsi="Times New Roman" w:cs="Times New Roman"/>
        </w:rPr>
        <w:t>) a exigência de comparecimento em juízo e (</w:t>
      </w:r>
      <w:proofErr w:type="spellStart"/>
      <w:r w:rsidRPr="007778FE">
        <w:rPr>
          <w:rFonts w:ascii="Times New Roman" w:hAnsi="Times New Roman" w:cs="Times New Roman"/>
        </w:rPr>
        <w:t>iii</w:t>
      </w:r>
      <w:proofErr w:type="spellEnd"/>
      <w:r w:rsidRPr="007778FE">
        <w:rPr>
          <w:rFonts w:ascii="Times New Roman" w:hAnsi="Times New Roman" w:cs="Times New Roman"/>
        </w:rPr>
        <w:t xml:space="preserve">) o pagamento de fiança. </w:t>
      </w:r>
      <w:proofErr w:type="spellStart"/>
      <w:r w:rsidRPr="007778FE">
        <w:rPr>
          <w:rFonts w:ascii="Times New Roman" w:hAnsi="Times New Roman" w:cs="Times New Roman"/>
        </w:rPr>
        <w:t>Lemgruber</w:t>
      </w:r>
      <w:proofErr w:type="spellEnd"/>
      <w:r w:rsidRPr="007778FE">
        <w:rPr>
          <w:rFonts w:ascii="Times New Roman" w:hAnsi="Times New Roman" w:cs="Times New Roman"/>
        </w:rPr>
        <w:t xml:space="preserve"> et al (2013) fornecem</w:t>
      </w:r>
      <w:r w:rsidR="00E436AF" w:rsidRPr="007778FE">
        <w:rPr>
          <w:rFonts w:ascii="Times New Roman" w:hAnsi="Times New Roman" w:cs="Times New Roman"/>
        </w:rPr>
        <w:t xml:space="preserve"> evidência de aumento do uso de comparecimento em juízo e de pagamento de fiança, depois de implementação da lei nº 12.403.</w:t>
      </w:r>
    </w:p>
  </w:footnote>
  <w:footnote w:id="3">
    <w:p w:rsidR="00CF1370" w:rsidRPr="007778FE" w:rsidRDefault="00CF1370" w:rsidP="00E00F31">
      <w:pPr>
        <w:pStyle w:val="Textodenotaderodap"/>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w:t>
      </w:r>
      <w:r w:rsidR="00E436AF" w:rsidRPr="007778FE">
        <w:rPr>
          <w:rFonts w:ascii="Times New Roman" w:hAnsi="Times New Roman" w:cs="Times New Roman"/>
        </w:rPr>
        <w:t xml:space="preserve">Mais precisamente, somente os furtos não qualificados devem ser afetados de forma expressiva pela lei, dado que implicam em pena máxima menor ou igual a quatro anos. Os furtos qualificados podem ser afetados pela lei já que estão sujeitos a penas entre dois e oito anos. Porém, neste último caso espera-se um efeito pequeno dado que virá apenas através do incentivo à adoção de medidas cautelares alternativas à prisão provisória para crimes com pena máxima de quatro anos ou mais. </w:t>
      </w:r>
      <w:proofErr w:type="spellStart"/>
      <w:r w:rsidR="00E436AF" w:rsidRPr="007778FE">
        <w:rPr>
          <w:rFonts w:ascii="Times New Roman" w:hAnsi="Times New Roman" w:cs="Times New Roman"/>
        </w:rPr>
        <w:t>Lemgruber</w:t>
      </w:r>
      <w:proofErr w:type="spellEnd"/>
      <w:r w:rsidR="00E436AF" w:rsidRPr="007778FE">
        <w:rPr>
          <w:rFonts w:ascii="Times New Roman" w:hAnsi="Times New Roman" w:cs="Times New Roman"/>
        </w:rPr>
        <w:t xml:space="preserve"> et al (2013) mostram que as prisões provisórias por furto simples passam de 77% para 49% depois da implementação da nova lei. Alternativamente, os autores indicam que as prisões provisórias por furto qualificado apresentam uma redução menos expressiva depois da lei ter entrado em vigor, caindo de 80% para 69%.</w:t>
      </w:r>
    </w:p>
  </w:footnote>
  <w:footnote w:id="4">
    <w:p w:rsidR="00CF1370" w:rsidRPr="007778FE" w:rsidRDefault="00CF1370" w:rsidP="00E00F31">
      <w:pPr>
        <w:spacing w:after="0"/>
        <w:jc w:val="both"/>
        <w:rPr>
          <w:sz w:val="20"/>
          <w:szCs w:val="20"/>
        </w:rPr>
      </w:pPr>
      <w:r w:rsidRPr="007778FE">
        <w:rPr>
          <w:rStyle w:val="Refdenotaderodap"/>
          <w:rFonts w:ascii="Times New Roman" w:hAnsi="Times New Roman" w:cs="Times New Roman"/>
          <w:sz w:val="20"/>
          <w:szCs w:val="20"/>
        </w:rPr>
        <w:footnoteRef/>
      </w:r>
      <w:r w:rsidRPr="007778FE">
        <w:rPr>
          <w:rFonts w:ascii="Times New Roman" w:hAnsi="Times New Roman" w:cs="Times New Roman"/>
          <w:sz w:val="20"/>
          <w:szCs w:val="20"/>
        </w:rPr>
        <w:t xml:space="preserve"> </w:t>
      </w:r>
      <w:proofErr w:type="spellStart"/>
      <w:r w:rsidR="00E436AF" w:rsidRPr="007778FE">
        <w:rPr>
          <w:rFonts w:ascii="Times New Roman" w:hAnsi="Times New Roman" w:cs="Times New Roman"/>
          <w:sz w:val="20"/>
          <w:szCs w:val="20"/>
        </w:rPr>
        <w:t>Lemgruber</w:t>
      </w:r>
      <w:proofErr w:type="spellEnd"/>
      <w:r w:rsidR="00E436AF" w:rsidRPr="007778FE">
        <w:rPr>
          <w:rFonts w:ascii="Times New Roman" w:hAnsi="Times New Roman" w:cs="Times New Roman"/>
          <w:sz w:val="20"/>
          <w:szCs w:val="20"/>
        </w:rPr>
        <w:t xml:space="preserve"> et al (2013) fornecem evidência de que de fato houve redução pouco expressiva na aplicação da prisão provisória para os crimes de roubo simples, depois da implementação da lei nº 12.403. Antes da lei 99% dos responsáveis por roubo simples eram mantidos em prisão provisória. Porém, este número quase não se altera, passando a ser igual a 96%, depois da implementação da lei.</w:t>
      </w:r>
    </w:p>
  </w:footnote>
  <w:footnote w:id="5">
    <w:p w:rsidR="00304B9C" w:rsidRPr="007778FE" w:rsidRDefault="00304B9C" w:rsidP="00E00F31">
      <w:pPr>
        <w:pStyle w:val="Textodenotaderodap"/>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Na concepção de Becker (1968), entende-se </w:t>
      </w:r>
      <w:r w:rsidRPr="007778FE">
        <w:rPr>
          <w:rFonts w:ascii="Times New Roman" w:hAnsi="Times New Roman" w:cs="Times New Roman"/>
          <w:i/>
        </w:rPr>
        <w:t>benefícios</w:t>
      </w:r>
      <w:r w:rsidRPr="007778FE">
        <w:rPr>
          <w:rFonts w:ascii="Times New Roman" w:hAnsi="Times New Roman" w:cs="Times New Roman"/>
        </w:rPr>
        <w:t xml:space="preserve"> como quaisquer ganhos pecuniários extraídos de crimes econômicos e </w:t>
      </w:r>
      <w:r w:rsidRPr="007778FE">
        <w:rPr>
          <w:rFonts w:ascii="Times New Roman" w:hAnsi="Times New Roman" w:cs="Times New Roman"/>
          <w:i/>
        </w:rPr>
        <w:t>custos</w:t>
      </w:r>
      <w:r w:rsidRPr="007778FE">
        <w:rPr>
          <w:rFonts w:ascii="Times New Roman" w:hAnsi="Times New Roman" w:cs="Times New Roman"/>
        </w:rPr>
        <w:t xml:space="preserve"> como a probabilidade de ser apreendido e punido. Um indivíduo racional compararia a utilidade esperada da atividade criminosa com outras em que pudesse dispender seu tempo e, dessa maneira, decidiria se tornar um criminoso sempre que o ganho líquido (benefício – custo) do mercado ilícito superar aquilo que pode ser potencialmente obtido nas demais atividades. </w:t>
      </w:r>
    </w:p>
  </w:footnote>
  <w:footnote w:id="6">
    <w:p w:rsidR="00304B9C" w:rsidRPr="007778FE" w:rsidRDefault="00304B9C" w:rsidP="00E00F31">
      <w:pPr>
        <w:pStyle w:val="Textodenotaderodap"/>
        <w:spacing w:after="240"/>
        <w:jc w:val="both"/>
      </w:pPr>
      <w:r w:rsidRPr="007778FE">
        <w:rPr>
          <w:rStyle w:val="Refdenotaderodap"/>
          <w:rFonts w:ascii="Times New Roman" w:hAnsi="Times New Roman" w:cs="Times New Roman"/>
        </w:rPr>
        <w:footnoteRef/>
      </w:r>
      <w:r w:rsidRPr="007778FE">
        <w:rPr>
          <w:rFonts w:ascii="Times New Roman" w:hAnsi="Times New Roman" w:cs="Times New Roman"/>
        </w:rPr>
        <w:t xml:space="preserve"> Segundo Fernandez (1998), a probabilidade de impunidade no setor do crime brasileiro – avaliado como sucesso do ato criminoso – é maior que 95%, tornando o negócio criminal atrativo.</w:t>
      </w:r>
    </w:p>
  </w:footnote>
  <w:footnote w:id="7">
    <w:p w:rsidR="0068640F" w:rsidRPr="007778FE" w:rsidRDefault="0068640F" w:rsidP="00E00F31">
      <w:pPr>
        <w:pStyle w:val="Textodenotaderodap"/>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Foram feitos outros cortes para aumentar a qualidade da amostra. Porém, optou-se por detalhar so</w:t>
      </w:r>
      <w:r w:rsidR="00121F74" w:rsidRPr="007778FE">
        <w:rPr>
          <w:rFonts w:ascii="Times New Roman" w:hAnsi="Times New Roman" w:cs="Times New Roman"/>
        </w:rPr>
        <w:t>mente as etapas principais nesta seção de dados</w:t>
      </w:r>
      <w:r w:rsidRPr="007778FE">
        <w:rPr>
          <w:rFonts w:ascii="Times New Roman" w:hAnsi="Times New Roman" w:cs="Times New Roman"/>
        </w:rPr>
        <w:t>. Todas as etapas podem ser obtidas mediante requisição via e</w:t>
      </w:r>
      <w:r w:rsidR="00121F74" w:rsidRPr="007778FE">
        <w:rPr>
          <w:rFonts w:ascii="Times New Roman" w:hAnsi="Times New Roman" w:cs="Times New Roman"/>
        </w:rPr>
        <w:t>-mail para o autor</w:t>
      </w:r>
      <w:r w:rsidRPr="007778FE">
        <w:rPr>
          <w:rFonts w:ascii="Times New Roman" w:hAnsi="Times New Roman" w:cs="Times New Roman"/>
        </w:rPr>
        <w:t>.</w:t>
      </w:r>
    </w:p>
  </w:footnote>
  <w:footnote w:id="8">
    <w:p w:rsidR="00E00F31" w:rsidRPr="007778FE" w:rsidRDefault="001951B1" w:rsidP="00E00F31">
      <w:pPr>
        <w:pStyle w:val="Textodenotaderodap"/>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A lista de crimes inclu</w:t>
      </w:r>
      <w:r w:rsidR="00962BEC" w:rsidRPr="007778FE">
        <w:rPr>
          <w:rFonts w:ascii="Times New Roman" w:hAnsi="Times New Roman" w:cs="Times New Roman"/>
        </w:rPr>
        <w:t>ídos na categoria</w:t>
      </w:r>
      <w:r w:rsidRPr="007778FE">
        <w:rPr>
          <w:rFonts w:ascii="Times New Roman" w:hAnsi="Times New Roman" w:cs="Times New Roman"/>
        </w:rPr>
        <w:t xml:space="preserve"> furto é bastante extensa e, por isso, optou-se por não </w:t>
      </w:r>
      <w:proofErr w:type="spellStart"/>
      <w:r w:rsidRPr="007778FE">
        <w:rPr>
          <w:rFonts w:ascii="Times New Roman" w:hAnsi="Times New Roman" w:cs="Times New Roman"/>
        </w:rPr>
        <w:t>fornecer</w:t>
      </w:r>
      <w:proofErr w:type="spellEnd"/>
      <w:r w:rsidR="00962BEC" w:rsidRPr="007778FE">
        <w:rPr>
          <w:rFonts w:ascii="Times New Roman" w:hAnsi="Times New Roman" w:cs="Times New Roman"/>
        </w:rPr>
        <w:t xml:space="preserve"> uma descrição completa de todos</w:t>
      </w:r>
      <w:r w:rsidR="00F64BB4" w:rsidRPr="007778FE">
        <w:rPr>
          <w:rFonts w:ascii="Times New Roman" w:hAnsi="Times New Roman" w:cs="Times New Roman"/>
        </w:rPr>
        <w:t xml:space="preserve"> os delitos considerados neste caso. O mesmo problema motivou a não inclusão da lista de delitos contidos na categoria roubo. Para uma descrição completa de todos os delitos contidos em ambas as categorias recomenda-se enviar um e-mail para o autor.</w:t>
      </w:r>
    </w:p>
  </w:footnote>
  <w:footnote w:id="9">
    <w:p w:rsidR="00CA0A2D" w:rsidRPr="007778FE" w:rsidRDefault="00CA0A2D" w:rsidP="00E00F31">
      <w:pPr>
        <w:pStyle w:val="Textodenotaderodap"/>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w:t>
      </w:r>
      <w:r w:rsidR="00104520" w:rsidRPr="007778FE">
        <w:rPr>
          <w:rFonts w:ascii="Times New Roman" w:hAnsi="Times New Roman" w:cs="Times New Roman"/>
        </w:rPr>
        <w:t>Pode causar estranheza a presença de crimes violentos na base de dados. Entretanto, a manutenção desses crimes foi uma escolha deliberada pelo fato de existir, no Brasil, uma forte relação entre a taxa de homicídio e o tráfico de drogas. Segundo BEATO FILHO (2001), cerca de 55% dos homicídios observados em Belo Horizonte têm relação com o uso ou venda de drogas. Portanto, a opção por manter os crimes violentos na base de dados utilizada no presente estudo advém justamente do fato que, no caso brasileiro, estas transgressões, em que há o uso da força, costumam estar ligadas a um tipo de infração, o tráfico de drogas, cuja motivação é claramente financeira</w:t>
      </w:r>
    </w:p>
  </w:footnote>
  <w:footnote w:id="10">
    <w:p w:rsidR="00EE48E5" w:rsidRPr="007778FE" w:rsidRDefault="00C27B98" w:rsidP="00E00F31">
      <w:pPr>
        <w:pStyle w:val="Textodenotaderodap"/>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Mais precisamente</w:t>
      </w:r>
      <w:r w:rsidR="003E48CD" w:rsidRPr="007778FE">
        <w:rPr>
          <w:rFonts w:ascii="Times New Roman" w:hAnsi="Times New Roman" w:cs="Times New Roman"/>
        </w:rPr>
        <w:t>,</w:t>
      </w:r>
      <w:r w:rsidRPr="007778FE">
        <w:rPr>
          <w:rFonts w:ascii="Times New Roman" w:hAnsi="Times New Roman" w:cs="Times New Roman"/>
        </w:rPr>
        <w:t xml:space="preserve"> a fórmula utilizada para calcular a probabilidade de furto é:</w:t>
      </w:r>
    </w:p>
    <w:p w:rsidR="00E00F31" w:rsidRPr="007778FE" w:rsidRDefault="00E00F31" w:rsidP="00E00F31">
      <w:pPr>
        <w:pStyle w:val="Textodenotaderodap"/>
        <w:jc w:val="both"/>
        <w:rPr>
          <w:rFonts w:ascii="Times New Roman" w:hAnsi="Times New Roman" w:cs="Times New Roman"/>
        </w:rPr>
      </w:pPr>
    </w:p>
    <w:p w:rsidR="00C27B98" w:rsidRPr="007778FE" w:rsidRDefault="001B7376" w:rsidP="00E00F31">
      <w:pPr>
        <w:pStyle w:val="Textodenotaderodap"/>
        <w:rPr>
          <w:rFonts w:eastAsiaTheme="minorEastAsia"/>
        </w:rPr>
      </w:pPr>
      <m:oMathPara>
        <m:oMath>
          <m:r>
            <w:rPr>
              <w:rFonts w:ascii="Cambria Math" w:hAnsi="Cambria Math"/>
            </w:rPr>
            <m:t xml:space="preserve">Probabilidade de furtos= </m:t>
          </m:r>
          <m:f>
            <m:fPr>
              <m:ctrlPr>
                <w:rPr>
                  <w:rFonts w:ascii="Cambria Math" w:hAnsi="Cambria Math"/>
                  <w:i/>
                </w:rPr>
              </m:ctrlPr>
            </m:fPr>
            <m:num>
              <m:r>
                <w:rPr>
                  <w:rFonts w:ascii="Cambria Math" w:hAnsi="Cambria Math"/>
                </w:rPr>
                <m:t>número de autores de furto</m:t>
              </m:r>
            </m:num>
            <m:den>
              <m:r>
                <w:rPr>
                  <w:rFonts w:ascii="Cambria Math" w:hAnsi="Cambria Math"/>
                </w:rPr>
                <m:t>número total de autores</m:t>
              </m:r>
            </m:den>
          </m:f>
        </m:oMath>
      </m:oMathPara>
    </w:p>
    <w:p w:rsidR="00E00F31" w:rsidRPr="007778FE" w:rsidRDefault="00E00F31" w:rsidP="00E00F31">
      <w:pPr>
        <w:pStyle w:val="Textodenotaderodap"/>
      </w:pPr>
    </w:p>
  </w:footnote>
  <w:footnote w:id="11">
    <w:p w:rsidR="00EE48E5" w:rsidRPr="007778FE" w:rsidRDefault="00EE48E5" w:rsidP="00E00F31">
      <w:pPr>
        <w:pStyle w:val="Textodenotaderodap"/>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Semelhantemente</w:t>
      </w:r>
      <w:r w:rsidR="003E48CD" w:rsidRPr="007778FE">
        <w:rPr>
          <w:rFonts w:ascii="Times New Roman" w:hAnsi="Times New Roman" w:cs="Times New Roman"/>
        </w:rPr>
        <w:t>,</w:t>
      </w:r>
      <w:r w:rsidRPr="007778FE">
        <w:rPr>
          <w:rFonts w:ascii="Times New Roman" w:hAnsi="Times New Roman" w:cs="Times New Roman"/>
        </w:rPr>
        <w:t xml:space="preserve"> utilizou-se a seguinte fórmula para calcular a probabilidade de roubo:</w:t>
      </w:r>
    </w:p>
    <w:p w:rsidR="00E00F31" w:rsidRPr="007778FE" w:rsidRDefault="00E00F31" w:rsidP="00E00F31">
      <w:pPr>
        <w:pStyle w:val="Textodenotaderodap"/>
        <w:jc w:val="both"/>
        <w:rPr>
          <w:rFonts w:ascii="Times New Roman" w:hAnsi="Times New Roman" w:cs="Times New Roman"/>
        </w:rPr>
      </w:pPr>
    </w:p>
    <w:p w:rsidR="00EE48E5" w:rsidRPr="007778FE" w:rsidRDefault="001B7376" w:rsidP="00E00F31">
      <w:pPr>
        <w:pStyle w:val="Textodenotaderodap"/>
        <w:rPr>
          <w:rFonts w:eastAsiaTheme="minorEastAsia"/>
        </w:rPr>
      </w:pPr>
      <m:oMathPara>
        <m:oMath>
          <m:r>
            <w:rPr>
              <w:rFonts w:ascii="Cambria Math" w:hAnsi="Cambria Math"/>
            </w:rPr>
            <m:t xml:space="preserve">Probabilidade de roubos= </m:t>
          </m:r>
          <m:f>
            <m:fPr>
              <m:ctrlPr>
                <w:rPr>
                  <w:rFonts w:ascii="Cambria Math" w:hAnsi="Cambria Math"/>
                  <w:i/>
                </w:rPr>
              </m:ctrlPr>
            </m:fPr>
            <m:num>
              <m:r>
                <w:rPr>
                  <w:rFonts w:ascii="Cambria Math" w:hAnsi="Cambria Math"/>
                </w:rPr>
                <m:t>número de autores de roubo</m:t>
              </m:r>
            </m:num>
            <m:den>
              <m:r>
                <w:rPr>
                  <w:rFonts w:ascii="Cambria Math" w:hAnsi="Cambria Math"/>
                </w:rPr>
                <m:t>número total de autores</m:t>
              </m:r>
            </m:den>
          </m:f>
        </m:oMath>
      </m:oMathPara>
    </w:p>
    <w:p w:rsidR="000B423A" w:rsidRPr="007778FE" w:rsidRDefault="000B423A" w:rsidP="00E00F31">
      <w:pPr>
        <w:pStyle w:val="Textodenotaderodap"/>
        <w:spacing w:after="240"/>
      </w:pPr>
    </w:p>
  </w:footnote>
  <w:footnote w:id="12">
    <w:p w:rsidR="00956B8C" w:rsidRPr="007778FE" w:rsidRDefault="00956B8C" w:rsidP="00E00F31">
      <w:pPr>
        <w:pStyle w:val="Textodenotaderodap"/>
        <w:spacing w:after="240"/>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O Programa Renda Melhor teve início em 2011. Porém, neste ano foi implementado apenas um projeto piloto contendo somente três municípios (Japeri, Belford Roxo e São Gonçalo). Em 2012 a cobertura do programa deu um salto, passando a incluir 51 municípios. Em 2013, houve novo aumento de cobertura levando a política para 91 municípios do Estado do Rio de Janeiro. </w:t>
      </w:r>
      <w:r w:rsidR="00FC1043" w:rsidRPr="007778FE">
        <w:rPr>
          <w:rFonts w:ascii="Times New Roman" w:hAnsi="Times New Roman" w:cs="Times New Roman"/>
        </w:rPr>
        <w:t>Esta</w:t>
      </w:r>
      <w:r w:rsidRPr="007778FE">
        <w:rPr>
          <w:rFonts w:ascii="Times New Roman" w:hAnsi="Times New Roman" w:cs="Times New Roman"/>
        </w:rPr>
        <w:t xml:space="preserve"> última etapa de expansão adicionou 40 municípios ao programa, mas não elevou de maneira expressiva o número de pessoas bene</w:t>
      </w:r>
      <w:r w:rsidR="000C3126" w:rsidRPr="007778FE">
        <w:rPr>
          <w:rFonts w:ascii="Times New Roman" w:hAnsi="Times New Roman" w:cs="Times New Roman"/>
        </w:rPr>
        <w:t>fi</w:t>
      </w:r>
      <w:r w:rsidRPr="007778FE">
        <w:rPr>
          <w:rFonts w:ascii="Times New Roman" w:hAnsi="Times New Roman" w:cs="Times New Roman"/>
        </w:rPr>
        <w:t>ciadas, dado que ficaram para a etapa final apenas as cidades mais ricas. A capital é o único município que não faz parte do programa</w:t>
      </w:r>
      <w:r w:rsidR="001F0D81" w:rsidRPr="007778FE">
        <w:rPr>
          <w:rFonts w:ascii="Times New Roman" w:hAnsi="Times New Roman" w:cs="Times New Roman"/>
        </w:rPr>
        <w:t>.</w:t>
      </w:r>
    </w:p>
  </w:footnote>
  <w:footnote w:id="13">
    <w:p w:rsidR="00707E29" w:rsidRPr="007778FE" w:rsidRDefault="00707E29" w:rsidP="00E00F31">
      <w:pPr>
        <w:pStyle w:val="Textodenotaderodap"/>
        <w:spacing w:after="240"/>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Vale ressaltar que a explicação fornecida para o comportamento aparentemente contra intuitivo da trajetória dos furtos, que poderia decorrer da introdução do Programa Renda Melhor em 2012, é apenas uma hipótese para tentar justificar a dinâmica observada da referida variável. Além disso, é importante mencionar que esta hipótese, de que a introdução do Programa Renda Melhor em 2012 poderia ajudar a justificar o comportamento contra intuitivo da trajetória dos furtos, não chega a ser testada no presente trabalho. Um teste mais formal desta hipótese exigiria a elaboração de um novo artigo e, por este motivo, optou-se por deixar este esforço para trabalhos futuros</w:t>
      </w:r>
      <w:r w:rsidR="00585020" w:rsidRPr="007778FE">
        <w:rPr>
          <w:rFonts w:ascii="Times New Roman" w:hAnsi="Times New Roman" w:cs="Times New Roman"/>
        </w:rPr>
        <w:t>.</w:t>
      </w:r>
    </w:p>
  </w:footnote>
  <w:footnote w:id="14">
    <w:p w:rsidR="000C32DB" w:rsidRPr="007778FE" w:rsidRDefault="000C32DB" w:rsidP="000C32DB">
      <w:pPr>
        <w:pStyle w:val="Textodenotaderodap"/>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w:t>
      </w:r>
      <w:r w:rsidR="00192BA6" w:rsidRPr="007778FE">
        <w:rPr>
          <w:rFonts w:ascii="Times New Roman" w:hAnsi="Times New Roman" w:cs="Times New Roman"/>
        </w:rPr>
        <w:t>Alternativamente, pode-se dizer que para estimar o efeito da lei 12</w:t>
      </w:r>
      <w:r w:rsidR="00AC2B1B" w:rsidRPr="007778FE">
        <w:rPr>
          <w:rFonts w:ascii="Times New Roman" w:hAnsi="Times New Roman" w:cs="Times New Roman"/>
        </w:rPr>
        <w:t>.</w:t>
      </w:r>
      <w:r w:rsidR="00192BA6" w:rsidRPr="007778FE">
        <w:rPr>
          <w:rFonts w:ascii="Times New Roman" w:hAnsi="Times New Roman" w:cs="Times New Roman"/>
        </w:rPr>
        <w:t xml:space="preserve">403 sobre os crimes contra o patrimônio adota-se um </w:t>
      </w:r>
      <w:r w:rsidRPr="007778FE">
        <w:rPr>
          <w:rFonts w:ascii="Times New Roman" w:hAnsi="Times New Roman" w:cs="Times New Roman"/>
        </w:rPr>
        <w:t>Model</w:t>
      </w:r>
      <w:r w:rsidR="00192BA6" w:rsidRPr="007778FE">
        <w:rPr>
          <w:rFonts w:ascii="Times New Roman" w:hAnsi="Times New Roman" w:cs="Times New Roman"/>
        </w:rPr>
        <w:t xml:space="preserve">o de Probabilidade Linear (MPL), visto que este último consiste na realização de </w:t>
      </w:r>
      <w:r w:rsidRPr="007778FE">
        <w:rPr>
          <w:rFonts w:ascii="Times New Roman" w:hAnsi="Times New Roman" w:cs="Times New Roman"/>
        </w:rPr>
        <w:t>uma regressão de Mínimos Quadrados Ordinários (MQO)</w:t>
      </w:r>
      <w:r w:rsidR="00192BA6" w:rsidRPr="007778FE">
        <w:rPr>
          <w:rFonts w:ascii="Times New Roman" w:hAnsi="Times New Roman" w:cs="Times New Roman"/>
        </w:rPr>
        <w:t xml:space="preserve"> em que a</w:t>
      </w:r>
      <w:r w:rsidRPr="007778FE">
        <w:rPr>
          <w:rFonts w:ascii="Times New Roman" w:hAnsi="Times New Roman" w:cs="Times New Roman"/>
        </w:rPr>
        <w:t xml:space="preserve"> variável dependente assume os valores 0 ou 1. A preferência pela adoção do MPL se dá pela simplicidade do MQO, </w:t>
      </w:r>
      <w:r w:rsidR="00192BA6" w:rsidRPr="007778FE">
        <w:rPr>
          <w:rFonts w:ascii="Times New Roman" w:hAnsi="Times New Roman" w:cs="Times New Roman"/>
        </w:rPr>
        <w:t xml:space="preserve">que é </w:t>
      </w:r>
      <w:r w:rsidRPr="007778FE">
        <w:rPr>
          <w:rFonts w:ascii="Times New Roman" w:hAnsi="Times New Roman" w:cs="Times New Roman"/>
        </w:rPr>
        <w:t xml:space="preserve">um método amplamente conhecido e </w:t>
      </w:r>
      <w:r w:rsidR="00192BA6" w:rsidRPr="007778FE">
        <w:rPr>
          <w:rFonts w:ascii="Times New Roman" w:hAnsi="Times New Roman" w:cs="Times New Roman"/>
        </w:rPr>
        <w:t xml:space="preserve">que permite a interpretação direta dos coeficientes, </w:t>
      </w:r>
      <w:r w:rsidRPr="007778FE">
        <w:rPr>
          <w:rFonts w:ascii="Times New Roman" w:hAnsi="Times New Roman" w:cs="Times New Roman"/>
        </w:rPr>
        <w:t xml:space="preserve">ou seja, sem </w:t>
      </w:r>
      <w:r w:rsidR="00192BA6" w:rsidRPr="007778FE">
        <w:rPr>
          <w:rFonts w:ascii="Times New Roman" w:hAnsi="Times New Roman" w:cs="Times New Roman"/>
        </w:rPr>
        <w:t xml:space="preserve">que seja necessária a realização de cálculos de efeitos marginais para </w:t>
      </w:r>
      <w:r w:rsidR="00077000" w:rsidRPr="007778FE">
        <w:rPr>
          <w:rFonts w:ascii="Times New Roman" w:hAnsi="Times New Roman" w:cs="Times New Roman"/>
        </w:rPr>
        <w:t>proceder com a análise</w:t>
      </w:r>
      <w:r w:rsidR="00192BA6" w:rsidRPr="007778FE">
        <w:rPr>
          <w:rFonts w:ascii="Times New Roman" w:hAnsi="Times New Roman" w:cs="Times New Roman"/>
        </w:rPr>
        <w:t xml:space="preserve"> dos impactos</w:t>
      </w:r>
      <w:r w:rsidR="00077000" w:rsidRPr="007778FE">
        <w:rPr>
          <w:rFonts w:ascii="Times New Roman" w:hAnsi="Times New Roman" w:cs="Times New Roman"/>
        </w:rPr>
        <w:t xml:space="preserve"> estimados</w:t>
      </w:r>
      <w:r w:rsidRPr="007778FE">
        <w:rPr>
          <w:rFonts w:ascii="Times New Roman" w:hAnsi="Times New Roman" w:cs="Times New Roman"/>
        </w:rPr>
        <w:t>. Além disso, para verificar a validade do método, realizou-se testes de robustez com dois modelos diferentes</w:t>
      </w:r>
      <w:r w:rsidR="00077000" w:rsidRPr="007778FE">
        <w:rPr>
          <w:rFonts w:ascii="Times New Roman" w:hAnsi="Times New Roman" w:cs="Times New Roman"/>
          <w:i/>
        </w:rPr>
        <w:t xml:space="preserve">, </w:t>
      </w:r>
      <w:proofErr w:type="spellStart"/>
      <w:r w:rsidR="00077000" w:rsidRPr="007778FE">
        <w:rPr>
          <w:rFonts w:ascii="Times New Roman" w:hAnsi="Times New Roman" w:cs="Times New Roman"/>
          <w:i/>
        </w:rPr>
        <w:t>logit</w:t>
      </w:r>
      <w:proofErr w:type="spellEnd"/>
      <w:r w:rsidR="00077000" w:rsidRPr="007778FE">
        <w:rPr>
          <w:rFonts w:ascii="Times New Roman" w:hAnsi="Times New Roman" w:cs="Times New Roman"/>
          <w:i/>
        </w:rPr>
        <w:t xml:space="preserve"> e </w:t>
      </w:r>
      <w:proofErr w:type="spellStart"/>
      <w:r w:rsidR="00077000" w:rsidRPr="007778FE">
        <w:rPr>
          <w:rFonts w:ascii="Times New Roman" w:hAnsi="Times New Roman" w:cs="Times New Roman"/>
          <w:i/>
        </w:rPr>
        <w:t>probit</w:t>
      </w:r>
      <w:proofErr w:type="spellEnd"/>
      <w:r w:rsidRPr="007778FE">
        <w:rPr>
          <w:rFonts w:ascii="Times New Roman" w:hAnsi="Times New Roman" w:cs="Times New Roman"/>
        </w:rPr>
        <w:t>, cujos resultados são quantitativa e qualitativamente semelhantes ao</w:t>
      </w:r>
      <w:r w:rsidR="00077000" w:rsidRPr="007778FE">
        <w:rPr>
          <w:rFonts w:ascii="Times New Roman" w:hAnsi="Times New Roman" w:cs="Times New Roman"/>
        </w:rPr>
        <w:t>s obtidos com o</w:t>
      </w:r>
      <w:r w:rsidRPr="007778FE">
        <w:rPr>
          <w:rFonts w:ascii="Times New Roman" w:hAnsi="Times New Roman" w:cs="Times New Roman"/>
        </w:rPr>
        <w:t xml:space="preserve"> MPL. Estes resultados são reportados na seção 4.3. Sendo assim, </w:t>
      </w:r>
      <w:r w:rsidR="00D41D90" w:rsidRPr="007778FE">
        <w:rPr>
          <w:rFonts w:ascii="Times New Roman" w:hAnsi="Times New Roman" w:cs="Times New Roman"/>
        </w:rPr>
        <w:t>a escolha do modelo não é fator determinante para os resultados</w:t>
      </w:r>
      <w:r w:rsidRPr="007778FE">
        <w:rPr>
          <w:rFonts w:ascii="Times New Roman" w:hAnsi="Times New Roman" w:cs="Times New Roman"/>
        </w:rPr>
        <w:t>, encorajando a escolha do MPL pelas vantagens explicitadas.</w:t>
      </w:r>
    </w:p>
  </w:footnote>
  <w:footnote w:id="15">
    <w:p w:rsidR="00201340" w:rsidRPr="007778FE" w:rsidRDefault="00201340" w:rsidP="00201340">
      <w:pPr>
        <w:pStyle w:val="Textodenotaderodap"/>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Vale ressaltar que a especificação preferida é aquela que estima os coeficientes da Equação 1 a partir da amostra preferida.</w:t>
      </w:r>
    </w:p>
  </w:footnote>
  <w:footnote w:id="16">
    <w:p w:rsidR="00962B89" w:rsidRPr="007778FE" w:rsidRDefault="00962B89" w:rsidP="00BD3CDD">
      <w:pPr>
        <w:pStyle w:val="Textodenotaderodap"/>
        <w:jc w:val="both"/>
        <w:rPr>
          <w:rFonts w:ascii="Times New Roman" w:hAnsi="Times New Roman" w:cs="Times New Roman"/>
        </w:rPr>
      </w:pPr>
      <w:r w:rsidRPr="007778FE">
        <w:rPr>
          <w:rStyle w:val="Refdenotaderodap"/>
          <w:rFonts w:ascii="Times New Roman" w:hAnsi="Times New Roman" w:cs="Times New Roman"/>
        </w:rPr>
        <w:footnoteRef/>
      </w:r>
      <w:r w:rsidRPr="007778FE">
        <w:rPr>
          <w:rFonts w:ascii="Times New Roman" w:hAnsi="Times New Roman" w:cs="Times New Roman"/>
        </w:rPr>
        <w:t xml:space="preserve"> Parece razoável esperar que a lei não tenha impactos imediatos, visto que criminosos não fazem acompanhamento detalhado das alterações jurídicas efetuadas no código penal. Alternativamente</w:t>
      </w:r>
      <w:r w:rsidR="00CC4697">
        <w:rPr>
          <w:rFonts w:ascii="Times New Roman" w:hAnsi="Times New Roman" w:cs="Times New Roman"/>
        </w:rPr>
        <w:t>,</w:t>
      </w:r>
      <w:r w:rsidRPr="007778FE">
        <w:rPr>
          <w:rFonts w:ascii="Times New Roman" w:hAnsi="Times New Roman" w:cs="Times New Roman"/>
        </w:rPr>
        <w:t xml:space="preserve"> espera-se que o aprendizado dos criminosos seja primordialmente de ordem prática em clara oposição a um método mais teórico de aquisição de conhecimento. Portanto, os principais canais de aprendizado utilizados por criminosos seriam suas experiências próprias e também aquelas vividas por seus colegas de profissão. Este tipo de canal de transmissão, popularmente conhecido como boca-a-boca, tem uma velocidade de propagação da informação expressivamente menor do que a observada entre os especialistas do direito, no meio jurídico, que fazem acompanhamento diário das alterações eventualmente realizadas no código penal</w:t>
      </w:r>
      <w:r w:rsidR="00C548A0" w:rsidRPr="007778FE">
        <w:rPr>
          <w:rFonts w:ascii="Times New Roman" w:hAnsi="Times New Roman" w:cs="Times New Roma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55" w:rsidRDefault="002B775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55" w:rsidRDefault="002B775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755" w:rsidRDefault="002B775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311DC"/>
    <w:multiLevelType w:val="hybridMultilevel"/>
    <w:tmpl w:val="AC0AA24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7B68160F"/>
    <w:multiLevelType w:val="multilevel"/>
    <w:tmpl w:val="2E78102C"/>
    <w:styleLink w:val="Estilo1"/>
    <w:lvl w:ilvl="0">
      <w:start w:val="1"/>
      <w:numFmt w:val="upperRoman"/>
      <w:lvlText w:val="Capítulo %1 "/>
      <w:lvlJc w:val="right"/>
      <w:pPr>
        <w:ind w:left="432" w:hanging="432"/>
      </w:pPr>
      <w:rPr>
        <w:rFonts w:hint="default"/>
      </w:rPr>
    </w:lvl>
    <w:lvl w:ilvl="1">
      <w:start w:val="1"/>
      <w:numFmt w:val="decimal"/>
      <w:lvlText w:val="%1.%2"/>
      <w:lvlJc w:val="left"/>
      <w:pPr>
        <w:ind w:left="859"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AE"/>
    <w:rsid w:val="00013E87"/>
    <w:rsid w:val="000231FD"/>
    <w:rsid w:val="00046D3D"/>
    <w:rsid w:val="00053E98"/>
    <w:rsid w:val="00077000"/>
    <w:rsid w:val="00087EAF"/>
    <w:rsid w:val="00092CBB"/>
    <w:rsid w:val="00095146"/>
    <w:rsid w:val="000A204E"/>
    <w:rsid w:val="000B423A"/>
    <w:rsid w:val="000C3126"/>
    <w:rsid w:val="000C32DB"/>
    <w:rsid w:val="000C7617"/>
    <w:rsid w:val="000D2D3D"/>
    <w:rsid w:val="0010305F"/>
    <w:rsid w:val="00104520"/>
    <w:rsid w:val="00121F74"/>
    <w:rsid w:val="0013587B"/>
    <w:rsid w:val="00135C93"/>
    <w:rsid w:val="001568FB"/>
    <w:rsid w:val="001623BA"/>
    <w:rsid w:val="001826E3"/>
    <w:rsid w:val="00192BA6"/>
    <w:rsid w:val="001951B1"/>
    <w:rsid w:val="001962DF"/>
    <w:rsid w:val="001A0398"/>
    <w:rsid w:val="001B7376"/>
    <w:rsid w:val="001D61F6"/>
    <w:rsid w:val="001F0D81"/>
    <w:rsid w:val="00201340"/>
    <w:rsid w:val="00221FAE"/>
    <w:rsid w:val="00222E6C"/>
    <w:rsid w:val="00241DBE"/>
    <w:rsid w:val="00284322"/>
    <w:rsid w:val="002B60CB"/>
    <w:rsid w:val="002B7755"/>
    <w:rsid w:val="003030E7"/>
    <w:rsid w:val="00304B9C"/>
    <w:rsid w:val="00321777"/>
    <w:rsid w:val="00337ED2"/>
    <w:rsid w:val="0034437E"/>
    <w:rsid w:val="003476BE"/>
    <w:rsid w:val="00370DC3"/>
    <w:rsid w:val="00374E4F"/>
    <w:rsid w:val="003766B6"/>
    <w:rsid w:val="00381392"/>
    <w:rsid w:val="003835CD"/>
    <w:rsid w:val="003E48CD"/>
    <w:rsid w:val="004124A5"/>
    <w:rsid w:val="00474E75"/>
    <w:rsid w:val="00492636"/>
    <w:rsid w:val="004A18EA"/>
    <w:rsid w:val="004C601A"/>
    <w:rsid w:val="004F2D54"/>
    <w:rsid w:val="004F5590"/>
    <w:rsid w:val="00513787"/>
    <w:rsid w:val="00542DA1"/>
    <w:rsid w:val="0056186F"/>
    <w:rsid w:val="00565B47"/>
    <w:rsid w:val="00577F64"/>
    <w:rsid w:val="00585020"/>
    <w:rsid w:val="005A00D7"/>
    <w:rsid w:val="005B2C22"/>
    <w:rsid w:val="005B4AA3"/>
    <w:rsid w:val="005C0C96"/>
    <w:rsid w:val="005C479F"/>
    <w:rsid w:val="005E4929"/>
    <w:rsid w:val="0060380D"/>
    <w:rsid w:val="00610E2B"/>
    <w:rsid w:val="00656A20"/>
    <w:rsid w:val="00662EE1"/>
    <w:rsid w:val="00684C76"/>
    <w:rsid w:val="0068640F"/>
    <w:rsid w:val="006C3FE7"/>
    <w:rsid w:val="006C7DF7"/>
    <w:rsid w:val="006E7DFB"/>
    <w:rsid w:val="006F76F8"/>
    <w:rsid w:val="006F7889"/>
    <w:rsid w:val="00705CF5"/>
    <w:rsid w:val="00707E29"/>
    <w:rsid w:val="0072699F"/>
    <w:rsid w:val="00735238"/>
    <w:rsid w:val="007535D4"/>
    <w:rsid w:val="007660E1"/>
    <w:rsid w:val="00772B64"/>
    <w:rsid w:val="007778FE"/>
    <w:rsid w:val="00781795"/>
    <w:rsid w:val="0079097F"/>
    <w:rsid w:val="007C0AF9"/>
    <w:rsid w:val="007E2834"/>
    <w:rsid w:val="00803297"/>
    <w:rsid w:val="00855C73"/>
    <w:rsid w:val="008830F9"/>
    <w:rsid w:val="008868D1"/>
    <w:rsid w:val="0089426D"/>
    <w:rsid w:val="0089483E"/>
    <w:rsid w:val="008D143E"/>
    <w:rsid w:val="008D177D"/>
    <w:rsid w:val="008D5A1B"/>
    <w:rsid w:val="008D6665"/>
    <w:rsid w:val="009404C0"/>
    <w:rsid w:val="00956B8C"/>
    <w:rsid w:val="00962B89"/>
    <w:rsid w:val="00962BEC"/>
    <w:rsid w:val="00964902"/>
    <w:rsid w:val="0097000D"/>
    <w:rsid w:val="0098131C"/>
    <w:rsid w:val="009D58F9"/>
    <w:rsid w:val="009E434D"/>
    <w:rsid w:val="009F40E6"/>
    <w:rsid w:val="00A12DAE"/>
    <w:rsid w:val="00A24915"/>
    <w:rsid w:val="00A26C62"/>
    <w:rsid w:val="00A64330"/>
    <w:rsid w:val="00A67445"/>
    <w:rsid w:val="00AA6B4A"/>
    <w:rsid w:val="00AC2B1B"/>
    <w:rsid w:val="00AF0896"/>
    <w:rsid w:val="00B15495"/>
    <w:rsid w:val="00B37047"/>
    <w:rsid w:val="00B73E89"/>
    <w:rsid w:val="00BD3CDD"/>
    <w:rsid w:val="00C27B98"/>
    <w:rsid w:val="00C50FE6"/>
    <w:rsid w:val="00C548A0"/>
    <w:rsid w:val="00C554ED"/>
    <w:rsid w:val="00C55CC5"/>
    <w:rsid w:val="00C63BBA"/>
    <w:rsid w:val="00C65418"/>
    <w:rsid w:val="00C71D2A"/>
    <w:rsid w:val="00C84DFE"/>
    <w:rsid w:val="00C96634"/>
    <w:rsid w:val="00CA0A2D"/>
    <w:rsid w:val="00CB168F"/>
    <w:rsid w:val="00CC4697"/>
    <w:rsid w:val="00CD15CC"/>
    <w:rsid w:val="00CE6C02"/>
    <w:rsid w:val="00CF1370"/>
    <w:rsid w:val="00D361F9"/>
    <w:rsid w:val="00D400DE"/>
    <w:rsid w:val="00D41D90"/>
    <w:rsid w:val="00D53627"/>
    <w:rsid w:val="00D9014E"/>
    <w:rsid w:val="00D93DE4"/>
    <w:rsid w:val="00DA68F9"/>
    <w:rsid w:val="00DB3E86"/>
    <w:rsid w:val="00DE48F3"/>
    <w:rsid w:val="00E00F31"/>
    <w:rsid w:val="00E06CFD"/>
    <w:rsid w:val="00E30E07"/>
    <w:rsid w:val="00E436AF"/>
    <w:rsid w:val="00E82A59"/>
    <w:rsid w:val="00E83707"/>
    <w:rsid w:val="00EC19EF"/>
    <w:rsid w:val="00EE48E5"/>
    <w:rsid w:val="00EF6661"/>
    <w:rsid w:val="00F0167C"/>
    <w:rsid w:val="00F040E0"/>
    <w:rsid w:val="00F35171"/>
    <w:rsid w:val="00F3696C"/>
    <w:rsid w:val="00F64BB4"/>
    <w:rsid w:val="00F668A5"/>
    <w:rsid w:val="00F77AD5"/>
    <w:rsid w:val="00F971FF"/>
    <w:rsid w:val="00FA621C"/>
    <w:rsid w:val="00FB0282"/>
    <w:rsid w:val="00FC1043"/>
    <w:rsid w:val="00FE6C04"/>
    <w:rsid w:val="00FE79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Estilo1">
    <w:name w:val="Estilo1"/>
    <w:uiPriority w:val="99"/>
    <w:rsid w:val="008D177D"/>
    <w:pPr>
      <w:numPr>
        <w:numId w:val="1"/>
      </w:numPr>
    </w:pPr>
  </w:style>
  <w:style w:type="paragraph" w:styleId="Textodenotaderodap">
    <w:name w:val="footnote text"/>
    <w:basedOn w:val="Normal"/>
    <w:link w:val="TextodenotaderodapChar"/>
    <w:uiPriority w:val="99"/>
    <w:semiHidden/>
    <w:unhideWhenUsed/>
    <w:rsid w:val="00CF137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F1370"/>
    <w:rPr>
      <w:sz w:val="20"/>
      <w:szCs w:val="20"/>
    </w:rPr>
  </w:style>
  <w:style w:type="character" w:styleId="Refdenotaderodap">
    <w:name w:val="footnote reference"/>
    <w:basedOn w:val="Fontepargpadro"/>
    <w:uiPriority w:val="99"/>
    <w:semiHidden/>
    <w:unhideWhenUsed/>
    <w:rsid w:val="00CF1370"/>
    <w:rPr>
      <w:vertAlign w:val="superscript"/>
    </w:rPr>
  </w:style>
  <w:style w:type="paragraph" w:styleId="PargrafodaLista">
    <w:name w:val="List Paragraph"/>
    <w:basedOn w:val="Normal"/>
    <w:uiPriority w:val="34"/>
    <w:qFormat/>
    <w:rsid w:val="00956B8C"/>
    <w:pPr>
      <w:ind w:left="720"/>
      <w:contextualSpacing/>
    </w:pPr>
  </w:style>
  <w:style w:type="character" w:styleId="TextodoEspaoReservado">
    <w:name w:val="Placeholder Text"/>
    <w:basedOn w:val="Fontepargpadro"/>
    <w:uiPriority w:val="99"/>
    <w:semiHidden/>
    <w:rsid w:val="0060380D"/>
    <w:rPr>
      <w:color w:val="808080"/>
    </w:rPr>
  </w:style>
  <w:style w:type="paragraph" w:styleId="Textodebalo">
    <w:name w:val="Balloon Text"/>
    <w:basedOn w:val="Normal"/>
    <w:link w:val="TextodebaloChar"/>
    <w:uiPriority w:val="99"/>
    <w:semiHidden/>
    <w:unhideWhenUsed/>
    <w:rsid w:val="0051378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3787"/>
    <w:rPr>
      <w:rFonts w:ascii="Segoe UI" w:hAnsi="Segoe UI" w:cs="Segoe UI"/>
      <w:sz w:val="18"/>
      <w:szCs w:val="18"/>
    </w:rPr>
  </w:style>
  <w:style w:type="paragraph" w:styleId="Textodenotadefim">
    <w:name w:val="endnote text"/>
    <w:basedOn w:val="Normal"/>
    <w:link w:val="TextodenotadefimChar"/>
    <w:uiPriority w:val="99"/>
    <w:semiHidden/>
    <w:unhideWhenUsed/>
    <w:rsid w:val="00C63BB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63BBA"/>
    <w:rPr>
      <w:sz w:val="20"/>
      <w:szCs w:val="20"/>
    </w:rPr>
  </w:style>
  <w:style w:type="character" w:styleId="Refdenotadefim">
    <w:name w:val="endnote reference"/>
    <w:basedOn w:val="Fontepargpadro"/>
    <w:uiPriority w:val="99"/>
    <w:semiHidden/>
    <w:unhideWhenUsed/>
    <w:rsid w:val="00C63BBA"/>
    <w:rPr>
      <w:vertAlign w:val="superscript"/>
    </w:rPr>
  </w:style>
  <w:style w:type="paragraph" w:styleId="Cabealho">
    <w:name w:val="header"/>
    <w:basedOn w:val="Normal"/>
    <w:link w:val="CabealhoChar"/>
    <w:uiPriority w:val="99"/>
    <w:unhideWhenUsed/>
    <w:rsid w:val="002B7755"/>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2B7755"/>
  </w:style>
  <w:style w:type="paragraph" w:styleId="Rodap">
    <w:name w:val="footer"/>
    <w:basedOn w:val="Normal"/>
    <w:link w:val="RodapChar"/>
    <w:uiPriority w:val="99"/>
    <w:unhideWhenUsed/>
    <w:rsid w:val="002B7755"/>
    <w:pPr>
      <w:tabs>
        <w:tab w:val="center" w:pos="4513"/>
        <w:tab w:val="right" w:pos="9026"/>
      </w:tabs>
      <w:spacing w:after="0" w:line="240" w:lineRule="auto"/>
    </w:pPr>
  </w:style>
  <w:style w:type="character" w:customStyle="1" w:styleId="RodapChar">
    <w:name w:val="Rodapé Char"/>
    <w:basedOn w:val="Fontepargpadro"/>
    <w:link w:val="Rodap"/>
    <w:uiPriority w:val="99"/>
    <w:rsid w:val="002B7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92679">
      <w:bodyDiv w:val="1"/>
      <w:marLeft w:val="0"/>
      <w:marRight w:val="0"/>
      <w:marTop w:val="0"/>
      <w:marBottom w:val="0"/>
      <w:divBdr>
        <w:top w:val="none" w:sz="0" w:space="0" w:color="auto"/>
        <w:left w:val="none" w:sz="0" w:space="0" w:color="auto"/>
        <w:bottom w:val="none" w:sz="0" w:space="0" w:color="auto"/>
        <w:right w:val="none" w:sz="0" w:space="0" w:color="auto"/>
      </w:divBdr>
    </w:div>
    <w:div w:id="405610116">
      <w:bodyDiv w:val="1"/>
      <w:marLeft w:val="0"/>
      <w:marRight w:val="0"/>
      <w:marTop w:val="0"/>
      <w:marBottom w:val="0"/>
      <w:divBdr>
        <w:top w:val="none" w:sz="0" w:space="0" w:color="auto"/>
        <w:left w:val="none" w:sz="0" w:space="0" w:color="auto"/>
        <w:bottom w:val="none" w:sz="0" w:space="0" w:color="auto"/>
        <w:right w:val="none" w:sz="0" w:space="0" w:color="auto"/>
      </w:divBdr>
    </w:div>
    <w:div w:id="470749099">
      <w:bodyDiv w:val="1"/>
      <w:marLeft w:val="0"/>
      <w:marRight w:val="0"/>
      <w:marTop w:val="0"/>
      <w:marBottom w:val="0"/>
      <w:divBdr>
        <w:top w:val="none" w:sz="0" w:space="0" w:color="auto"/>
        <w:left w:val="none" w:sz="0" w:space="0" w:color="auto"/>
        <w:bottom w:val="none" w:sz="0" w:space="0" w:color="auto"/>
        <w:right w:val="none" w:sz="0" w:space="0" w:color="auto"/>
      </w:divBdr>
    </w:div>
    <w:div w:id="555314066">
      <w:bodyDiv w:val="1"/>
      <w:marLeft w:val="0"/>
      <w:marRight w:val="0"/>
      <w:marTop w:val="0"/>
      <w:marBottom w:val="0"/>
      <w:divBdr>
        <w:top w:val="none" w:sz="0" w:space="0" w:color="auto"/>
        <w:left w:val="none" w:sz="0" w:space="0" w:color="auto"/>
        <w:bottom w:val="none" w:sz="0" w:space="0" w:color="auto"/>
        <w:right w:val="none" w:sz="0" w:space="0" w:color="auto"/>
      </w:divBdr>
    </w:div>
    <w:div w:id="752433792">
      <w:bodyDiv w:val="1"/>
      <w:marLeft w:val="0"/>
      <w:marRight w:val="0"/>
      <w:marTop w:val="0"/>
      <w:marBottom w:val="0"/>
      <w:divBdr>
        <w:top w:val="none" w:sz="0" w:space="0" w:color="auto"/>
        <w:left w:val="none" w:sz="0" w:space="0" w:color="auto"/>
        <w:bottom w:val="none" w:sz="0" w:space="0" w:color="auto"/>
        <w:right w:val="none" w:sz="0" w:space="0" w:color="auto"/>
      </w:divBdr>
    </w:div>
    <w:div w:id="764032182">
      <w:bodyDiv w:val="1"/>
      <w:marLeft w:val="0"/>
      <w:marRight w:val="0"/>
      <w:marTop w:val="0"/>
      <w:marBottom w:val="0"/>
      <w:divBdr>
        <w:top w:val="none" w:sz="0" w:space="0" w:color="auto"/>
        <w:left w:val="none" w:sz="0" w:space="0" w:color="auto"/>
        <w:bottom w:val="none" w:sz="0" w:space="0" w:color="auto"/>
        <w:right w:val="none" w:sz="0" w:space="0" w:color="auto"/>
      </w:divBdr>
    </w:div>
    <w:div w:id="988943761">
      <w:bodyDiv w:val="1"/>
      <w:marLeft w:val="0"/>
      <w:marRight w:val="0"/>
      <w:marTop w:val="0"/>
      <w:marBottom w:val="0"/>
      <w:divBdr>
        <w:top w:val="none" w:sz="0" w:space="0" w:color="auto"/>
        <w:left w:val="none" w:sz="0" w:space="0" w:color="auto"/>
        <w:bottom w:val="none" w:sz="0" w:space="0" w:color="auto"/>
        <w:right w:val="none" w:sz="0" w:space="0" w:color="auto"/>
      </w:divBdr>
    </w:div>
    <w:div w:id="1225485889">
      <w:bodyDiv w:val="1"/>
      <w:marLeft w:val="0"/>
      <w:marRight w:val="0"/>
      <w:marTop w:val="0"/>
      <w:marBottom w:val="0"/>
      <w:divBdr>
        <w:top w:val="none" w:sz="0" w:space="0" w:color="auto"/>
        <w:left w:val="none" w:sz="0" w:space="0" w:color="auto"/>
        <w:bottom w:val="none" w:sz="0" w:space="0" w:color="auto"/>
        <w:right w:val="none" w:sz="0" w:space="0" w:color="auto"/>
      </w:divBdr>
    </w:div>
    <w:div w:id="1246914520">
      <w:bodyDiv w:val="1"/>
      <w:marLeft w:val="0"/>
      <w:marRight w:val="0"/>
      <w:marTop w:val="0"/>
      <w:marBottom w:val="0"/>
      <w:divBdr>
        <w:top w:val="none" w:sz="0" w:space="0" w:color="auto"/>
        <w:left w:val="none" w:sz="0" w:space="0" w:color="auto"/>
        <w:bottom w:val="none" w:sz="0" w:space="0" w:color="auto"/>
        <w:right w:val="none" w:sz="0" w:space="0" w:color="auto"/>
      </w:divBdr>
    </w:div>
    <w:div w:id="1276401753">
      <w:bodyDiv w:val="1"/>
      <w:marLeft w:val="0"/>
      <w:marRight w:val="0"/>
      <w:marTop w:val="0"/>
      <w:marBottom w:val="0"/>
      <w:divBdr>
        <w:top w:val="none" w:sz="0" w:space="0" w:color="auto"/>
        <w:left w:val="none" w:sz="0" w:space="0" w:color="auto"/>
        <w:bottom w:val="none" w:sz="0" w:space="0" w:color="auto"/>
        <w:right w:val="none" w:sz="0" w:space="0" w:color="auto"/>
      </w:divBdr>
    </w:div>
    <w:div w:id="1376658162">
      <w:bodyDiv w:val="1"/>
      <w:marLeft w:val="0"/>
      <w:marRight w:val="0"/>
      <w:marTop w:val="0"/>
      <w:marBottom w:val="0"/>
      <w:divBdr>
        <w:top w:val="none" w:sz="0" w:space="0" w:color="auto"/>
        <w:left w:val="none" w:sz="0" w:space="0" w:color="auto"/>
        <w:bottom w:val="none" w:sz="0" w:space="0" w:color="auto"/>
        <w:right w:val="none" w:sz="0" w:space="0" w:color="auto"/>
      </w:divBdr>
    </w:div>
    <w:div w:id="1562057180">
      <w:bodyDiv w:val="1"/>
      <w:marLeft w:val="0"/>
      <w:marRight w:val="0"/>
      <w:marTop w:val="0"/>
      <w:marBottom w:val="0"/>
      <w:divBdr>
        <w:top w:val="none" w:sz="0" w:space="0" w:color="auto"/>
        <w:left w:val="none" w:sz="0" w:space="0" w:color="auto"/>
        <w:bottom w:val="none" w:sz="0" w:space="0" w:color="auto"/>
        <w:right w:val="none" w:sz="0" w:space="0" w:color="auto"/>
      </w:divBdr>
    </w:div>
    <w:div w:id="1678457809">
      <w:bodyDiv w:val="1"/>
      <w:marLeft w:val="0"/>
      <w:marRight w:val="0"/>
      <w:marTop w:val="0"/>
      <w:marBottom w:val="0"/>
      <w:divBdr>
        <w:top w:val="none" w:sz="0" w:space="0" w:color="auto"/>
        <w:left w:val="none" w:sz="0" w:space="0" w:color="auto"/>
        <w:bottom w:val="none" w:sz="0" w:space="0" w:color="auto"/>
        <w:right w:val="none" w:sz="0" w:space="0" w:color="auto"/>
      </w:divBdr>
    </w:div>
    <w:div w:id="1681590122">
      <w:bodyDiv w:val="1"/>
      <w:marLeft w:val="0"/>
      <w:marRight w:val="0"/>
      <w:marTop w:val="0"/>
      <w:marBottom w:val="0"/>
      <w:divBdr>
        <w:top w:val="none" w:sz="0" w:space="0" w:color="auto"/>
        <w:left w:val="none" w:sz="0" w:space="0" w:color="auto"/>
        <w:bottom w:val="none" w:sz="0" w:space="0" w:color="auto"/>
        <w:right w:val="none" w:sz="0" w:space="0" w:color="auto"/>
      </w:divBdr>
    </w:div>
    <w:div w:id="1806577635">
      <w:bodyDiv w:val="1"/>
      <w:marLeft w:val="0"/>
      <w:marRight w:val="0"/>
      <w:marTop w:val="0"/>
      <w:marBottom w:val="0"/>
      <w:divBdr>
        <w:top w:val="none" w:sz="0" w:space="0" w:color="auto"/>
        <w:left w:val="none" w:sz="0" w:space="0" w:color="auto"/>
        <w:bottom w:val="none" w:sz="0" w:space="0" w:color="auto"/>
        <w:right w:val="none" w:sz="0" w:space="0" w:color="auto"/>
      </w:divBdr>
    </w:div>
    <w:div w:id="1824740341">
      <w:bodyDiv w:val="1"/>
      <w:marLeft w:val="0"/>
      <w:marRight w:val="0"/>
      <w:marTop w:val="0"/>
      <w:marBottom w:val="0"/>
      <w:divBdr>
        <w:top w:val="none" w:sz="0" w:space="0" w:color="auto"/>
        <w:left w:val="none" w:sz="0" w:space="0" w:color="auto"/>
        <w:bottom w:val="none" w:sz="0" w:space="0" w:color="auto"/>
        <w:right w:val="none" w:sz="0" w:space="0" w:color="auto"/>
      </w:divBdr>
    </w:div>
    <w:div w:id="1874028581">
      <w:bodyDiv w:val="1"/>
      <w:marLeft w:val="0"/>
      <w:marRight w:val="0"/>
      <w:marTop w:val="0"/>
      <w:marBottom w:val="0"/>
      <w:divBdr>
        <w:top w:val="none" w:sz="0" w:space="0" w:color="auto"/>
        <w:left w:val="none" w:sz="0" w:space="0" w:color="auto"/>
        <w:bottom w:val="none" w:sz="0" w:space="0" w:color="auto"/>
        <w:right w:val="none" w:sz="0" w:space="0" w:color="auto"/>
      </w:divBdr>
    </w:div>
    <w:div w:id="1879581849">
      <w:bodyDiv w:val="1"/>
      <w:marLeft w:val="0"/>
      <w:marRight w:val="0"/>
      <w:marTop w:val="0"/>
      <w:marBottom w:val="0"/>
      <w:divBdr>
        <w:top w:val="none" w:sz="0" w:space="0" w:color="auto"/>
        <w:left w:val="none" w:sz="0" w:space="0" w:color="auto"/>
        <w:bottom w:val="none" w:sz="0" w:space="0" w:color="auto"/>
        <w:right w:val="none" w:sz="0" w:space="0" w:color="auto"/>
      </w:divBdr>
    </w:div>
    <w:div w:id="1981379403">
      <w:bodyDiv w:val="1"/>
      <w:marLeft w:val="0"/>
      <w:marRight w:val="0"/>
      <w:marTop w:val="0"/>
      <w:marBottom w:val="0"/>
      <w:divBdr>
        <w:top w:val="none" w:sz="0" w:space="0" w:color="auto"/>
        <w:left w:val="none" w:sz="0" w:space="0" w:color="auto"/>
        <w:bottom w:val="none" w:sz="0" w:space="0" w:color="auto"/>
        <w:right w:val="none" w:sz="0" w:space="0" w:color="auto"/>
      </w:divBdr>
    </w:div>
    <w:div w:id="213308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730A-48D4-4E22-B66E-E924160E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8364</Words>
  <Characters>45167</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2017-07-17T15:19:00Z</dcterms:created>
  <dcterms:modified xsi:type="dcterms:W3CDTF">2017-07-17T18:24:00Z</dcterms:modified>
</cp:coreProperties>
</file>