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C4586" w14:textId="0B6DBD37" w:rsidR="00DA5B79" w:rsidRDefault="00DA5B79" w:rsidP="00511A46">
      <w:pPr>
        <w:spacing w:after="0" w:line="240" w:lineRule="auto"/>
        <w:ind w:right="-142"/>
        <w:jc w:val="center"/>
        <w:rPr>
          <w:rFonts w:ascii="Times New Roman" w:hAnsi="Times New Roman" w:cs="Times New Roman"/>
          <w:b/>
          <w:sz w:val="24"/>
          <w:szCs w:val="24"/>
        </w:rPr>
      </w:pPr>
      <w:r w:rsidRPr="00380DA9">
        <w:rPr>
          <w:rFonts w:ascii="Times New Roman" w:hAnsi="Times New Roman" w:cs="Times New Roman"/>
          <w:b/>
          <w:sz w:val="24"/>
          <w:szCs w:val="24"/>
        </w:rPr>
        <w:t xml:space="preserve">O </w:t>
      </w:r>
      <w:proofErr w:type="spellStart"/>
      <w:r w:rsidRPr="00380DA9">
        <w:rPr>
          <w:rFonts w:ascii="Times New Roman" w:hAnsi="Times New Roman" w:cs="Times New Roman"/>
          <w:b/>
          <w:i/>
          <w:sz w:val="24"/>
          <w:szCs w:val="24"/>
        </w:rPr>
        <w:t>tapering</w:t>
      </w:r>
      <w:proofErr w:type="spellEnd"/>
      <w:r w:rsidRPr="00380DA9">
        <w:rPr>
          <w:rFonts w:ascii="Times New Roman" w:hAnsi="Times New Roman" w:cs="Times New Roman"/>
          <w:b/>
          <w:sz w:val="24"/>
          <w:szCs w:val="24"/>
        </w:rPr>
        <w:t xml:space="preserve"> da política monetária americana e seu impacto sobre a economia brasileira</w:t>
      </w:r>
    </w:p>
    <w:p w14:paraId="0C0094EA" w14:textId="0D5D95C0" w:rsidR="0019059F" w:rsidRDefault="0019059F" w:rsidP="00511A46">
      <w:pPr>
        <w:spacing w:after="0" w:line="240" w:lineRule="auto"/>
        <w:ind w:right="-142"/>
        <w:jc w:val="center"/>
        <w:rPr>
          <w:rFonts w:ascii="Times New Roman" w:hAnsi="Times New Roman" w:cs="Times New Roman"/>
          <w:b/>
          <w:sz w:val="24"/>
          <w:szCs w:val="24"/>
        </w:rPr>
      </w:pPr>
    </w:p>
    <w:p w14:paraId="5A4697D4" w14:textId="1C2D052D" w:rsidR="0019059F" w:rsidRDefault="0019059F" w:rsidP="00511A46">
      <w:pPr>
        <w:spacing w:after="0" w:line="240" w:lineRule="auto"/>
        <w:ind w:right="-142"/>
        <w:jc w:val="center"/>
        <w:rPr>
          <w:rFonts w:ascii="Times New Roman" w:hAnsi="Times New Roman" w:cs="Times New Roman"/>
          <w:b/>
          <w:sz w:val="24"/>
          <w:szCs w:val="24"/>
        </w:rPr>
      </w:pPr>
      <w:r>
        <w:rPr>
          <w:rFonts w:ascii="Times New Roman" w:hAnsi="Times New Roman" w:cs="Times New Roman"/>
          <w:b/>
          <w:sz w:val="24"/>
          <w:szCs w:val="24"/>
        </w:rPr>
        <w:t>Karlo Marques Junior – UEPG</w:t>
      </w:r>
    </w:p>
    <w:p w14:paraId="7B437BC3" w14:textId="727FFE1C" w:rsidR="0019059F" w:rsidRDefault="0019059F" w:rsidP="00511A46">
      <w:pPr>
        <w:spacing w:after="0" w:line="240" w:lineRule="auto"/>
        <w:ind w:right="-142"/>
        <w:jc w:val="center"/>
        <w:rPr>
          <w:rFonts w:ascii="Times New Roman" w:hAnsi="Times New Roman" w:cs="Times New Roman"/>
          <w:b/>
          <w:sz w:val="24"/>
          <w:szCs w:val="24"/>
        </w:rPr>
      </w:pPr>
      <w:r>
        <w:rPr>
          <w:rFonts w:ascii="Times New Roman" w:hAnsi="Times New Roman" w:cs="Times New Roman"/>
          <w:b/>
          <w:sz w:val="24"/>
          <w:szCs w:val="24"/>
        </w:rPr>
        <w:t>Celso José Costa Junior- UEPG</w:t>
      </w:r>
    </w:p>
    <w:p w14:paraId="33447BE6" w14:textId="6551E69E" w:rsidR="0019059F" w:rsidRDefault="0019059F" w:rsidP="00511A46">
      <w:pPr>
        <w:spacing w:after="0" w:line="240" w:lineRule="auto"/>
        <w:ind w:right="-142"/>
        <w:jc w:val="center"/>
        <w:rPr>
          <w:rFonts w:ascii="Times New Roman" w:hAnsi="Times New Roman" w:cs="Times New Roman"/>
          <w:b/>
          <w:sz w:val="24"/>
          <w:szCs w:val="24"/>
        </w:rPr>
      </w:pPr>
    </w:p>
    <w:p w14:paraId="120920DB" w14:textId="31C50EFD" w:rsidR="0019059F" w:rsidRPr="00380DA9" w:rsidRDefault="0019059F" w:rsidP="00511A46">
      <w:pPr>
        <w:spacing w:after="0" w:line="240" w:lineRule="auto"/>
        <w:ind w:right="-142"/>
        <w:jc w:val="center"/>
        <w:rPr>
          <w:rFonts w:ascii="Times New Roman" w:hAnsi="Times New Roman" w:cs="Times New Roman"/>
          <w:b/>
          <w:sz w:val="24"/>
          <w:szCs w:val="24"/>
        </w:rPr>
      </w:pPr>
      <w:r w:rsidRPr="0019059F">
        <w:rPr>
          <w:rFonts w:ascii="Arial" w:hAnsi="Arial" w:cs="Arial"/>
          <w:b/>
          <w:bCs/>
          <w:color w:val="2B2B2B"/>
          <w:sz w:val="21"/>
          <w:szCs w:val="21"/>
          <w:shd w:val="clear" w:color="auto" w:fill="FFFFFF"/>
        </w:rPr>
        <w:t>Área 4 -</w:t>
      </w:r>
      <w:r w:rsidRPr="0019059F">
        <w:rPr>
          <w:rFonts w:ascii="Arial" w:hAnsi="Arial" w:cs="Arial"/>
          <w:color w:val="2B2B2B"/>
          <w:sz w:val="21"/>
          <w:szCs w:val="21"/>
          <w:shd w:val="clear" w:color="auto" w:fill="FFFFFF"/>
        </w:rPr>
        <w:t> Macroeconomia, Economia Monetária e Finanças </w:t>
      </w:r>
    </w:p>
    <w:p w14:paraId="111C4587" w14:textId="77777777" w:rsidR="00DA5B79" w:rsidRPr="00380DA9" w:rsidRDefault="00DA5B79" w:rsidP="00511A46">
      <w:pPr>
        <w:spacing w:after="0" w:line="240" w:lineRule="auto"/>
        <w:ind w:right="-142"/>
        <w:jc w:val="both"/>
        <w:rPr>
          <w:rFonts w:ascii="Times New Roman" w:hAnsi="Times New Roman" w:cs="Times New Roman"/>
          <w:sz w:val="24"/>
          <w:szCs w:val="24"/>
        </w:rPr>
      </w:pPr>
    </w:p>
    <w:p w14:paraId="0C7A4D30" w14:textId="264E38AB" w:rsidR="004D3BB3" w:rsidRDefault="00DA5B79" w:rsidP="00511A46">
      <w:pPr>
        <w:pStyle w:val="PargrafodaLista"/>
        <w:spacing w:after="0" w:line="240" w:lineRule="auto"/>
        <w:ind w:left="0" w:right="142" w:firstLine="720"/>
        <w:contextualSpacing w:val="0"/>
        <w:jc w:val="both"/>
        <w:rPr>
          <w:rFonts w:ascii="Times New Roman" w:hAnsi="Times New Roman" w:cs="Times New Roman"/>
          <w:sz w:val="24"/>
          <w:szCs w:val="24"/>
        </w:rPr>
      </w:pPr>
      <w:r w:rsidRPr="00380DA9">
        <w:rPr>
          <w:rFonts w:ascii="Times New Roman" w:hAnsi="Times New Roman" w:cs="Times New Roman"/>
          <w:b/>
          <w:sz w:val="24"/>
          <w:szCs w:val="24"/>
        </w:rPr>
        <w:t>Resumo:</w:t>
      </w:r>
      <w:r w:rsidRPr="00380DA9">
        <w:rPr>
          <w:rFonts w:ascii="Times New Roman" w:hAnsi="Times New Roman" w:cs="Times New Roman"/>
          <w:sz w:val="24"/>
          <w:szCs w:val="24"/>
        </w:rPr>
        <w:t xml:space="preserve"> O objetivo do artigo é analisar os efeitos do processo de</w:t>
      </w:r>
      <w:r w:rsidRPr="00380DA9">
        <w:rPr>
          <w:rFonts w:ascii="Times New Roman" w:hAnsi="Times New Roman" w:cs="Times New Roman"/>
          <w:i/>
          <w:sz w:val="24"/>
          <w:szCs w:val="24"/>
        </w:rPr>
        <w:t xml:space="preserve"> </w:t>
      </w:r>
      <w:proofErr w:type="spellStart"/>
      <w:r w:rsidRPr="00380DA9">
        <w:rPr>
          <w:rFonts w:ascii="Times New Roman" w:hAnsi="Times New Roman" w:cs="Times New Roman"/>
          <w:i/>
          <w:sz w:val="24"/>
          <w:szCs w:val="24"/>
        </w:rPr>
        <w:t>tapering</w:t>
      </w:r>
      <w:proofErr w:type="spellEnd"/>
      <w:r w:rsidRPr="00380DA9">
        <w:rPr>
          <w:rFonts w:ascii="Times New Roman" w:hAnsi="Times New Roman" w:cs="Times New Roman"/>
          <w:sz w:val="24"/>
          <w:szCs w:val="24"/>
        </w:rPr>
        <w:t xml:space="preserve"> da economia americana</w:t>
      </w:r>
      <w:r w:rsidR="00E60EC7">
        <w:rPr>
          <w:rFonts w:ascii="Times New Roman" w:hAnsi="Times New Roman" w:cs="Times New Roman"/>
          <w:sz w:val="24"/>
          <w:szCs w:val="24"/>
        </w:rPr>
        <w:t xml:space="preserve"> em relação às variáveis macroeconômicas da economia brasileira</w:t>
      </w:r>
      <w:r w:rsidRPr="00380DA9">
        <w:rPr>
          <w:rFonts w:ascii="Times New Roman" w:hAnsi="Times New Roman" w:cs="Times New Roman"/>
          <w:sz w:val="24"/>
          <w:szCs w:val="24"/>
        </w:rPr>
        <w:t xml:space="preserve">. </w:t>
      </w:r>
      <w:r w:rsidR="00E116A5">
        <w:rPr>
          <w:rFonts w:ascii="Times New Roman" w:hAnsi="Times New Roman" w:cs="Times New Roman"/>
          <w:sz w:val="24"/>
          <w:szCs w:val="24"/>
        </w:rPr>
        <w:t>Para tanto será usado um modelo DSGE com economia aberta</w:t>
      </w:r>
      <w:r w:rsidR="00AC6359">
        <w:rPr>
          <w:rFonts w:ascii="Times New Roman" w:hAnsi="Times New Roman" w:cs="Times New Roman"/>
          <w:sz w:val="24"/>
          <w:szCs w:val="24"/>
        </w:rPr>
        <w:t xml:space="preserve">. Os resultados </w:t>
      </w:r>
      <w:r w:rsidR="00386BA5">
        <w:rPr>
          <w:rFonts w:ascii="Times New Roman" w:hAnsi="Times New Roman" w:cs="Times New Roman"/>
          <w:sz w:val="24"/>
          <w:szCs w:val="24"/>
        </w:rPr>
        <w:t xml:space="preserve">demonstraram que </w:t>
      </w:r>
      <w:r w:rsidR="00EC4F2C">
        <w:rPr>
          <w:rFonts w:ascii="Times New Roman" w:hAnsi="Times New Roman" w:cs="Times New Roman"/>
          <w:sz w:val="24"/>
          <w:szCs w:val="24"/>
        </w:rPr>
        <w:t>choques na taxa de juros externa</w:t>
      </w:r>
      <w:r w:rsidR="00386BA5">
        <w:rPr>
          <w:rFonts w:ascii="Times New Roman" w:hAnsi="Times New Roman" w:cs="Times New Roman"/>
          <w:sz w:val="24"/>
          <w:szCs w:val="24"/>
        </w:rPr>
        <w:t xml:space="preserve"> </w:t>
      </w:r>
      <w:r w:rsidR="001C579F">
        <w:rPr>
          <w:rFonts w:ascii="Times New Roman" w:hAnsi="Times New Roman" w:cs="Times New Roman"/>
          <w:sz w:val="24"/>
          <w:szCs w:val="24"/>
        </w:rPr>
        <w:t>depreciam</w:t>
      </w:r>
      <w:r w:rsidR="00525B38">
        <w:rPr>
          <w:rFonts w:ascii="Times New Roman" w:hAnsi="Times New Roman" w:cs="Times New Roman"/>
          <w:sz w:val="24"/>
          <w:szCs w:val="24"/>
        </w:rPr>
        <w:t xml:space="preserve"> a taxa de câmbio, contudo, o aumento </w:t>
      </w:r>
      <w:r w:rsidR="00EC4F2C">
        <w:rPr>
          <w:rFonts w:ascii="Times New Roman" w:hAnsi="Times New Roman" w:cs="Times New Roman"/>
          <w:sz w:val="24"/>
          <w:szCs w:val="24"/>
        </w:rPr>
        <w:t>na taxa de juros doméstica por motivos da paridade descoberta da taxa de juros e</w:t>
      </w:r>
      <w:r w:rsidR="00C56006">
        <w:rPr>
          <w:rFonts w:ascii="Times New Roman" w:hAnsi="Times New Roman" w:cs="Times New Roman"/>
          <w:sz w:val="24"/>
          <w:szCs w:val="24"/>
        </w:rPr>
        <w:t xml:space="preserve"> para combater o processo inflacionário – devido </w:t>
      </w:r>
      <w:r w:rsidR="00D45231">
        <w:rPr>
          <w:rFonts w:ascii="Times New Roman" w:hAnsi="Times New Roman" w:cs="Times New Roman"/>
          <w:sz w:val="24"/>
          <w:szCs w:val="24"/>
        </w:rPr>
        <w:t xml:space="preserve">ao </w:t>
      </w:r>
      <w:proofErr w:type="spellStart"/>
      <w:r w:rsidR="00D45231" w:rsidRPr="00D45231">
        <w:rPr>
          <w:rFonts w:ascii="Times New Roman" w:hAnsi="Times New Roman" w:cs="Times New Roman"/>
          <w:i/>
          <w:sz w:val="24"/>
          <w:szCs w:val="24"/>
        </w:rPr>
        <w:t>pass-</w:t>
      </w:r>
      <w:r w:rsidR="0019059F" w:rsidRPr="00D45231">
        <w:rPr>
          <w:rFonts w:ascii="Times New Roman" w:hAnsi="Times New Roman" w:cs="Times New Roman"/>
          <w:i/>
          <w:sz w:val="24"/>
          <w:szCs w:val="24"/>
        </w:rPr>
        <w:t>through</w:t>
      </w:r>
      <w:proofErr w:type="spellEnd"/>
      <w:r w:rsidR="0019059F">
        <w:rPr>
          <w:rFonts w:ascii="Times New Roman" w:hAnsi="Times New Roman" w:cs="Times New Roman"/>
          <w:sz w:val="24"/>
          <w:szCs w:val="24"/>
        </w:rPr>
        <w:t xml:space="preserve"> -</w:t>
      </w:r>
      <w:r w:rsidR="00D45231">
        <w:rPr>
          <w:rFonts w:ascii="Times New Roman" w:hAnsi="Times New Roman" w:cs="Times New Roman"/>
          <w:sz w:val="24"/>
          <w:szCs w:val="24"/>
        </w:rPr>
        <w:t xml:space="preserve"> </w:t>
      </w:r>
      <w:r w:rsidR="004D3BB3" w:rsidRPr="00380DA9">
        <w:rPr>
          <w:rFonts w:ascii="Times New Roman" w:hAnsi="Times New Roman" w:cs="Times New Roman"/>
          <w:sz w:val="24"/>
          <w:szCs w:val="24"/>
        </w:rPr>
        <w:t>permite a economia absorver choques exógenos de forma eficaz e reduzir as flutuações cíclicas.</w:t>
      </w:r>
    </w:p>
    <w:p w14:paraId="1611D2EC" w14:textId="69D0BA58" w:rsidR="00E116A5" w:rsidRDefault="00E116A5" w:rsidP="00511A46">
      <w:pPr>
        <w:spacing w:after="0" w:line="240" w:lineRule="auto"/>
        <w:ind w:right="-142"/>
        <w:jc w:val="both"/>
        <w:rPr>
          <w:rFonts w:ascii="Times New Roman" w:hAnsi="Times New Roman" w:cs="Times New Roman"/>
          <w:sz w:val="24"/>
          <w:szCs w:val="24"/>
        </w:rPr>
      </w:pPr>
    </w:p>
    <w:p w14:paraId="111C4589" w14:textId="77777777" w:rsidR="00DA5B79" w:rsidRPr="00380DA9" w:rsidRDefault="00DA5B79" w:rsidP="00511A46">
      <w:pPr>
        <w:spacing w:after="0" w:line="240" w:lineRule="auto"/>
        <w:ind w:right="-142"/>
        <w:jc w:val="both"/>
        <w:rPr>
          <w:rFonts w:ascii="Times New Roman" w:hAnsi="Times New Roman" w:cs="Times New Roman"/>
          <w:sz w:val="24"/>
          <w:szCs w:val="24"/>
          <w:lang w:val="pt-PT"/>
        </w:rPr>
      </w:pPr>
      <w:r w:rsidRPr="00380DA9">
        <w:rPr>
          <w:rFonts w:ascii="Times New Roman" w:hAnsi="Times New Roman" w:cs="Times New Roman"/>
          <w:b/>
          <w:sz w:val="24"/>
          <w:szCs w:val="24"/>
        </w:rPr>
        <w:t>Palavras-Chave</w:t>
      </w:r>
      <w:r w:rsidRPr="00380DA9">
        <w:rPr>
          <w:rFonts w:ascii="Times New Roman" w:hAnsi="Times New Roman" w:cs="Times New Roman"/>
          <w:sz w:val="24"/>
          <w:szCs w:val="24"/>
        </w:rPr>
        <w:t>: política monetária não convencional</w:t>
      </w:r>
      <w:r w:rsidRPr="00380DA9">
        <w:rPr>
          <w:rFonts w:ascii="Times New Roman" w:hAnsi="Times New Roman" w:cs="Times New Roman"/>
          <w:sz w:val="24"/>
          <w:szCs w:val="24"/>
          <w:lang w:val="pt-PT"/>
        </w:rPr>
        <w:t xml:space="preserve">; </w:t>
      </w:r>
      <w:r w:rsidRPr="00380DA9">
        <w:rPr>
          <w:rFonts w:ascii="Times New Roman" w:hAnsi="Times New Roman" w:cs="Times New Roman"/>
          <w:i/>
          <w:sz w:val="24"/>
          <w:szCs w:val="24"/>
          <w:lang w:val="pt-PT"/>
        </w:rPr>
        <w:t>tapering</w:t>
      </w:r>
      <w:r w:rsidRPr="00380DA9">
        <w:rPr>
          <w:rFonts w:ascii="Times New Roman" w:hAnsi="Times New Roman" w:cs="Times New Roman"/>
          <w:sz w:val="24"/>
          <w:szCs w:val="24"/>
          <w:lang w:val="pt-PT"/>
        </w:rPr>
        <w:t>; modelos DSGE</w:t>
      </w:r>
    </w:p>
    <w:p w14:paraId="111C458A" w14:textId="77777777" w:rsidR="00DA5B79" w:rsidRPr="00380DA9" w:rsidRDefault="00DA5B79" w:rsidP="00511A46">
      <w:pPr>
        <w:spacing w:after="0" w:line="240" w:lineRule="auto"/>
        <w:ind w:right="-142"/>
        <w:jc w:val="both"/>
        <w:rPr>
          <w:rFonts w:ascii="Times New Roman" w:hAnsi="Times New Roman" w:cs="Times New Roman"/>
          <w:b/>
          <w:sz w:val="24"/>
          <w:szCs w:val="24"/>
          <w:lang w:val="en-US"/>
        </w:rPr>
      </w:pPr>
    </w:p>
    <w:p w14:paraId="111C458B" w14:textId="67A71BB3" w:rsidR="00DA5B79" w:rsidRPr="00380DA9" w:rsidRDefault="00DA5B79" w:rsidP="00511A46">
      <w:pPr>
        <w:spacing w:after="0" w:line="240" w:lineRule="auto"/>
        <w:ind w:right="-142"/>
        <w:jc w:val="both"/>
        <w:rPr>
          <w:rFonts w:ascii="Times New Roman" w:hAnsi="Times New Roman" w:cs="Times New Roman"/>
          <w:sz w:val="24"/>
          <w:szCs w:val="24"/>
          <w:lang w:val="en-US"/>
        </w:rPr>
      </w:pPr>
      <w:r w:rsidRPr="00085B8F">
        <w:rPr>
          <w:rFonts w:ascii="Times New Roman" w:hAnsi="Times New Roman" w:cs="Times New Roman"/>
          <w:b/>
          <w:sz w:val="24"/>
          <w:szCs w:val="24"/>
          <w:lang w:val="en-US"/>
        </w:rPr>
        <w:t>Abstract:</w:t>
      </w:r>
      <w:r w:rsidRPr="00085B8F">
        <w:rPr>
          <w:rFonts w:ascii="Times New Roman" w:hAnsi="Times New Roman" w:cs="Times New Roman"/>
          <w:sz w:val="24"/>
          <w:szCs w:val="24"/>
          <w:lang w:val="en-US"/>
        </w:rPr>
        <w:t xml:space="preserve"> </w:t>
      </w:r>
      <w:r w:rsidR="00085B8F" w:rsidRPr="00085B8F">
        <w:rPr>
          <w:rFonts w:ascii="Times New Roman" w:hAnsi="Times New Roman" w:cs="Times New Roman"/>
          <w:sz w:val="24"/>
          <w:szCs w:val="24"/>
          <w:lang w:val="en-US"/>
        </w:rPr>
        <w:t xml:space="preserve">The objective of this article is to analyze the effects of the tapering process of the American economy in relation to the macroeconomic variables of the Brazilian economy. For this </w:t>
      </w:r>
      <w:proofErr w:type="gramStart"/>
      <w:r w:rsidR="00085B8F" w:rsidRPr="00085B8F">
        <w:rPr>
          <w:rFonts w:ascii="Times New Roman" w:hAnsi="Times New Roman" w:cs="Times New Roman"/>
          <w:sz w:val="24"/>
          <w:szCs w:val="24"/>
          <w:lang w:val="en-US"/>
        </w:rPr>
        <w:t>purpose</w:t>
      </w:r>
      <w:proofErr w:type="gramEnd"/>
      <w:r w:rsidR="00085B8F" w:rsidRPr="00085B8F">
        <w:rPr>
          <w:rFonts w:ascii="Times New Roman" w:hAnsi="Times New Roman" w:cs="Times New Roman"/>
          <w:sz w:val="24"/>
          <w:szCs w:val="24"/>
          <w:lang w:val="en-US"/>
        </w:rPr>
        <w:t xml:space="preserve"> an open economy DSGE model will be used. The results showed that shocks in the external interest rate depreciate the exchange rate, however, the increase in the domestic interest rate due to </w:t>
      </w:r>
      <w:r w:rsidR="00EE3301" w:rsidRPr="00EE3301">
        <w:rPr>
          <w:rFonts w:ascii="Times New Roman" w:hAnsi="Times New Roman" w:cs="Times New Roman"/>
          <w:sz w:val="24"/>
          <w:szCs w:val="24"/>
          <w:lang w:val="en-US"/>
        </w:rPr>
        <w:t>uncovered parity of interest rates</w:t>
      </w:r>
      <w:r w:rsidR="00085B8F" w:rsidRPr="00085B8F">
        <w:rPr>
          <w:rFonts w:ascii="Times New Roman" w:hAnsi="Times New Roman" w:cs="Times New Roman"/>
          <w:sz w:val="24"/>
          <w:szCs w:val="24"/>
          <w:lang w:val="en-US"/>
        </w:rPr>
        <w:t xml:space="preserve"> and to </w:t>
      </w:r>
      <w:r w:rsidR="00854F3F" w:rsidRPr="00854F3F">
        <w:rPr>
          <w:rFonts w:ascii="Times New Roman" w:hAnsi="Times New Roman" w:cs="Times New Roman"/>
          <w:sz w:val="24"/>
          <w:szCs w:val="24"/>
          <w:lang w:val="en-US"/>
        </w:rPr>
        <w:t>oppose</w:t>
      </w:r>
      <w:r w:rsidR="00854F3F">
        <w:rPr>
          <w:rFonts w:ascii="Times New Roman" w:hAnsi="Times New Roman" w:cs="Times New Roman"/>
          <w:sz w:val="24"/>
          <w:szCs w:val="24"/>
          <w:lang w:val="en-US"/>
        </w:rPr>
        <w:t xml:space="preserve"> </w:t>
      </w:r>
      <w:r w:rsidR="00085B8F" w:rsidRPr="00085B8F">
        <w:rPr>
          <w:rFonts w:ascii="Times New Roman" w:hAnsi="Times New Roman" w:cs="Times New Roman"/>
          <w:sz w:val="24"/>
          <w:szCs w:val="24"/>
          <w:lang w:val="en-US"/>
        </w:rPr>
        <w:t xml:space="preserve">the inflationary process - due to the pass-through - allows the economy </w:t>
      </w:r>
      <w:proofErr w:type="gramStart"/>
      <w:r w:rsidR="00085B8F" w:rsidRPr="00085B8F">
        <w:rPr>
          <w:rFonts w:ascii="Times New Roman" w:hAnsi="Times New Roman" w:cs="Times New Roman"/>
          <w:sz w:val="24"/>
          <w:szCs w:val="24"/>
          <w:lang w:val="en-US"/>
        </w:rPr>
        <w:t>absorb</w:t>
      </w:r>
      <w:proofErr w:type="gramEnd"/>
      <w:r w:rsidR="00085B8F" w:rsidRPr="00085B8F">
        <w:rPr>
          <w:rFonts w:ascii="Times New Roman" w:hAnsi="Times New Roman" w:cs="Times New Roman"/>
          <w:sz w:val="24"/>
          <w:szCs w:val="24"/>
          <w:lang w:val="en-US"/>
        </w:rPr>
        <w:t xml:space="preserve"> exogenous shocks effectively and reduce cyclical fluctuations.</w:t>
      </w:r>
    </w:p>
    <w:p w14:paraId="111C458C" w14:textId="77777777" w:rsidR="00DA5B79" w:rsidRPr="00380DA9" w:rsidRDefault="00DA5B79" w:rsidP="00511A46">
      <w:pPr>
        <w:spacing w:after="0" w:line="240" w:lineRule="auto"/>
        <w:ind w:right="-142"/>
        <w:jc w:val="both"/>
        <w:rPr>
          <w:rFonts w:ascii="Times New Roman" w:hAnsi="Times New Roman" w:cs="Times New Roman"/>
          <w:sz w:val="24"/>
          <w:szCs w:val="24"/>
          <w:lang w:val="en-US"/>
        </w:rPr>
      </w:pPr>
      <w:r w:rsidRPr="00380DA9">
        <w:rPr>
          <w:rFonts w:ascii="Times New Roman" w:hAnsi="Times New Roman" w:cs="Times New Roman"/>
          <w:b/>
          <w:sz w:val="24"/>
          <w:szCs w:val="24"/>
          <w:lang w:val="en-US"/>
        </w:rPr>
        <w:t>Keywords</w:t>
      </w:r>
      <w:r w:rsidRPr="00380DA9">
        <w:rPr>
          <w:rFonts w:ascii="Times New Roman" w:hAnsi="Times New Roman" w:cs="Times New Roman"/>
          <w:sz w:val="24"/>
          <w:szCs w:val="24"/>
          <w:lang w:val="en-US"/>
        </w:rPr>
        <w:t>: non-conventional monetary policy; Tapering; DSGE models</w:t>
      </w:r>
    </w:p>
    <w:p w14:paraId="111C458D" w14:textId="77777777" w:rsidR="00DA5B79" w:rsidRPr="00380DA9" w:rsidRDefault="00DA5B79" w:rsidP="00511A46">
      <w:pPr>
        <w:spacing w:after="0" w:line="240" w:lineRule="auto"/>
        <w:ind w:right="-142"/>
        <w:jc w:val="both"/>
        <w:rPr>
          <w:rFonts w:ascii="Times New Roman" w:hAnsi="Times New Roman" w:cs="Times New Roman"/>
          <w:sz w:val="24"/>
          <w:szCs w:val="24"/>
          <w:lang w:val="pt-PT"/>
        </w:rPr>
      </w:pPr>
      <w:r w:rsidRPr="00380DA9">
        <w:rPr>
          <w:rFonts w:ascii="Times New Roman" w:hAnsi="Times New Roman" w:cs="Times New Roman"/>
          <w:b/>
          <w:sz w:val="24"/>
          <w:szCs w:val="24"/>
          <w:lang w:val="pt-PT"/>
        </w:rPr>
        <w:t>JEL classification:</w:t>
      </w:r>
      <w:r w:rsidRPr="00380DA9">
        <w:rPr>
          <w:rFonts w:ascii="Times New Roman" w:hAnsi="Times New Roman" w:cs="Times New Roman"/>
          <w:sz w:val="24"/>
          <w:szCs w:val="24"/>
          <w:lang w:val="pt-PT"/>
        </w:rPr>
        <w:t xml:space="preserve"> E58; E61; F42</w:t>
      </w:r>
    </w:p>
    <w:p w14:paraId="111C458E" w14:textId="77777777" w:rsidR="00DA5B79" w:rsidRPr="00380DA9" w:rsidRDefault="00DA5B79" w:rsidP="00511A46">
      <w:pPr>
        <w:pStyle w:val="PargrafodaLista"/>
        <w:spacing w:after="120" w:line="240" w:lineRule="auto"/>
        <w:ind w:left="0" w:right="-142"/>
        <w:contextualSpacing w:val="0"/>
        <w:jc w:val="both"/>
        <w:rPr>
          <w:rFonts w:ascii="Times New Roman" w:hAnsi="Times New Roman" w:cs="Times New Roman"/>
          <w:b/>
          <w:sz w:val="24"/>
          <w:szCs w:val="24"/>
        </w:rPr>
      </w:pPr>
    </w:p>
    <w:p w14:paraId="111C458F" w14:textId="77777777" w:rsidR="00DA5B79" w:rsidRPr="00380DA9" w:rsidRDefault="00DA5B79" w:rsidP="00511A46">
      <w:pPr>
        <w:pStyle w:val="PargrafodaLista"/>
        <w:numPr>
          <w:ilvl w:val="0"/>
          <w:numId w:val="4"/>
        </w:numPr>
        <w:spacing w:after="60" w:line="240" w:lineRule="auto"/>
        <w:ind w:left="0" w:right="-142" w:firstLine="0"/>
        <w:contextualSpacing w:val="0"/>
        <w:jc w:val="both"/>
        <w:rPr>
          <w:rFonts w:ascii="Times New Roman" w:hAnsi="Times New Roman" w:cs="Times New Roman"/>
          <w:b/>
          <w:sz w:val="24"/>
          <w:szCs w:val="24"/>
        </w:rPr>
      </w:pPr>
      <w:r w:rsidRPr="00380DA9">
        <w:rPr>
          <w:rFonts w:ascii="Times New Roman" w:hAnsi="Times New Roman" w:cs="Times New Roman"/>
          <w:b/>
          <w:sz w:val="24"/>
          <w:szCs w:val="24"/>
        </w:rPr>
        <w:t>Introdução</w:t>
      </w:r>
    </w:p>
    <w:p w14:paraId="111C4590" w14:textId="77777777" w:rsidR="00380DA9" w:rsidRPr="00380DA9" w:rsidRDefault="00765CCF" w:rsidP="00511A46">
      <w:pPr>
        <w:pStyle w:val="PargrafodaLista"/>
        <w:spacing w:after="60" w:line="240" w:lineRule="auto"/>
        <w:ind w:left="0" w:right="-142" w:firstLine="708"/>
        <w:contextualSpacing w:val="0"/>
        <w:jc w:val="both"/>
        <w:rPr>
          <w:rFonts w:ascii="Times New Roman" w:hAnsi="Times New Roman" w:cs="Times New Roman"/>
          <w:sz w:val="24"/>
          <w:szCs w:val="24"/>
        </w:rPr>
      </w:pPr>
      <w:r w:rsidRPr="00380DA9">
        <w:rPr>
          <w:rFonts w:ascii="Times New Roman" w:hAnsi="Times New Roman" w:cs="Times New Roman"/>
          <w:sz w:val="24"/>
          <w:szCs w:val="24"/>
        </w:rPr>
        <w:t xml:space="preserve">Uma economia emergente com conta de capital relativamente aberta e um amplo mercado de título que garante uma elevada liquidez aos papeis de sua dívida, tal como a brasileira, pode ser </w:t>
      </w:r>
      <w:r w:rsidR="0017548E" w:rsidRPr="00380DA9">
        <w:rPr>
          <w:rFonts w:ascii="Times New Roman" w:hAnsi="Times New Roman" w:cs="Times New Roman"/>
          <w:sz w:val="24"/>
          <w:szCs w:val="24"/>
        </w:rPr>
        <w:t>largamente</w:t>
      </w:r>
      <w:r w:rsidRPr="00380DA9">
        <w:rPr>
          <w:rFonts w:ascii="Times New Roman" w:hAnsi="Times New Roman" w:cs="Times New Roman"/>
          <w:sz w:val="24"/>
          <w:szCs w:val="24"/>
        </w:rPr>
        <w:t xml:space="preserve"> afetada por variações significativas da quantidade de dólares colocados em circulação pelo banco central americano, o Federal Reserve (FED). </w:t>
      </w:r>
    </w:p>
    <w:p w14:paraId="111C4591" w14:textId="5CE84A72" w:rsidR="00765CCF" w:rsidRPr="00380DA9" w:rsidRDefault="00765CCF" w:rsidP="00511A46">
      <w:pPr>
        <w:pStyle w:val="PargrafodaLista"/>
        <w:spacing w:after="60" w:line="240" w:lineRule="auto"/>
        <w:ind w:left="0" w:right="-142" w:firstLine="708"/>
        <w:contextualSpacing w:val="0"/>
        <w:jc w:val="both"/>
        <w:rPr>
          <w:rFonts w:ascii="Times New Roman" w:hAnsi="Times New Roman" w:cs="Times New Roman"/>
          <w:sz w:val="24"/>
          <w:szCs w:val="24"/>
        </w:rPr>
      </w:pPr>
      <w:r w:rsidRPr="00DC6523">
        <w:rPr>
          <w:rFonts w:ascii="Times New Roman" w:hAnsi="Times New Roman" w:cs="Times New Roman"/>
          <w:sz w:val="24"/>
          <w:szCs w:val="24"/>
        </w:rPr>
        <w:t xml:space="preserve">Se a autoridade monetária americana expande a </w:t>
      </w:r>
      <w:r w:rsidR="00D732BA" w:rsidRPr="00DC6523">
        <w:rPr>
          <w:rFonts w:ascii="Times New Roman" w:hAnsi="Times New Roman" w:cs="Times New Roman"/>
          <w:sz w:val="24"/>
          <w:szCs w:val="24"/>
        </w:rPr>
        <w:t>liquidez, reduzindo a taxa de juro</w:t>
      </w:r>
      <w:r w:rsidR="00C97ACB" w:rsidRPr="00DC6523">
        <w:rPr>
          <w:rFonts w:ascii="Times New Roman" w:hAnsi="Times New Roman" w:cs="Times New Roman"/>
          <w:sz w:val="24"/>
          <w:szCs w:val="24"/>
        </w:rPr>
        <w:t>s</w:t>
      </w:r>
      <w:r w:rsidR="00D732BA" w:rsidRPr="00DC6523">
        <w:rPr>
          <w:rFonts w:ascii="Times New Roman" w:hAnsi="Times New Roman" w:cs="Times New Roman"/>
          <w:sz w:val="24"/>
          <w:szCs w:val="24"/>
        </w:rPr>
        <w:t>,</w:t>
      </w:r>
      <w:r w:rsidRPr="00DC6523">
        <w:rPr>
          <w:rFonts w:ascii="Times New Roman" w:hAnsi="Times New Roman" w:cs="Times New Roman"/>
          <w:sz w:val="24"/>
          <w:szCs w:val="24"/>
        </w:rPr>
        <w:t xml:space="preserve"> os investidores passam a buscar papeis com rendimentos mais atrativos, o </w:t>
      </w:r>
      <w:r w:rsidR="00D732BA" w:rsidRPr="00DC6523">
        <w:rPr>
          <w:rFonts w:ascii="Times New Roman" w:hAnsi="Times New Roman" w:cs="Times New Roman"/>
          <w:sz w:val="24"/>
          <w:szCs w:val="24"/>
        </w:rPr>
        <w:t xml:space="preserve">que pode incorrer em </w:t>
      </w:r>
      <w:r w:rsidRPr="00DC6523">
        <w:rPr>
          <w:rFonts w:ascii="Times New Roman" w:hAnsi="Times New Roman" w:cs="Times New Roman"/>
          <w:sz w:val="24"/>
          <w:szCs w:val="24"/>
        </w:rPr>
        <w:t>uma valorização das moedas de países emergente</w:t>
      </w:r>
      <w:r w:rsidR="00C97ACB" w:rsidRPr="00DC6523">
        <w:rPr>
          <w:rFonts w:ascii="Times New Roman" w:hAnsi="Times New Roman" w:cs="Times New Roman"/>
          <w:sz w:val="24"/>
          <w:szCs w:val="24"/>
        </w:rPr>
        <w:t>s</w:t>
      </w:r>
      <w:r w:rsidRPr="00DC6523">
        <w:rPr>
          <w:rFonts w:ascii="Times New Roman" w:hAnsi="Times New Roman" w:cs="Times New Roman"/>
          <w:sz w:val="24"/>
          <w:szCs w:val="24"/>
        </w:rPr>
        <w:t xml:space="preserve">. </w:t>
      </w:r>
      <w:r w:rsidR="0052386C" w:rsidRPr="00DC6523">
        <w:rPr>
          <w:rFonts w:ascii="Times New Roman" w:hAnsi="Times New Roman" w:cs="Times New Roman"/>
          <w:sz w:val="24"/>
          <w:szCs w:val="24"/>
        </w:rPr>
        <w:t>Assim</w:t>
      </w:r>
      <w:r w:rsidRPr="00DC6523">
        <w:rPr>
          <w:rFonts w:ascii="Times New Roman" w:hAnsi="Times New Roman" w:cs="Times New Roman"/>
          <w:sz w:val="24"/>
          <w:szCs w:val="24"/>
        </w:rPr>
        <w:t xml:space="preserve">, quando há uma contração monetária, o fluxo de capital </w:t>
      </w:r>
      <w:r w:rsidR="00DC6523" w:rsidRPr="00DC6523">
        <w:rPr>
          <w:rFonts w:ascii="Times New Roman" w:hAnsi="Times New Roman" w:cs="Times New Roman"/>
          <w:sz w:val="24"/>
          <w:szCs w:val="24"/>
        </w:rPr>
        <w:t>vai na direção</w:t>
      </w:r>
      <w:r w:rsidRPr="00DC6523">
        <w:rPr>
          <w:rFonts w:ascii="Times New Roman" w:hAnsi="Times New Roman" w:cs="Times New Roman"/>
          <w:sz w:val="24"/>
          <w:szCs w:val="24"/>
        </w:rPr>
        <w:t xml:space="preserve"> </w:t>
      </w:r>
      <w:r w:rsidR="00380DA9" w:rsidRPr="00DC6523">
        <w:rPr>
          <w:rFonts w:ascii="Times New Roman" w:hAnsi="Times New Roman" w:cs="Times New Roman"/>
          <w:sz w:val="24"/>
          <w:szCs w:val="24"/>
        </w:rPr>
        <w:t>da segurança oferecida pelos títulos do tesouro americano</w:t>
      </w:r>
      <w:r w:rsidRPr="00DC6523">
        <w:rPr>
          <w:rFonts w:ascii="Times New Roman" w:hAnsi="Times New Roman" w:cs="Times New Roman"/>
          <w:sz w:val="24"/>
          <w:szCs w:val="24"/>
        </w:rPr>
        <w:t xml:space="preserve"> </w:t>
      </w:r>
      <w:r w:rsidR="00DC6523" w:rsidRPr="00DC6523">
        <w:rPr>
          <w:rFonts w:ascii="Times New Roman" w:hAnsi="Times New Roman" w:cs="Times New Roman"/>
          <w:sz w:val="24"/>
          <w:szCs w:val="24"/>
        </w:rPr>
        <w:t>gerando</w:t>
      </w:r>
      <w:r w:rsidRPr="00DC6523">
        <w:rPr>
          <w:rFonts w:ascii="Times New Roman" w:hAnsi="Times New Roman" w:cs="Times New Roman"/>
          <w:sz w:val="24"/>
          <w:szCs w:val="24"/>
        </w:rPr>
        <w:t xml:space="preserve"> desvalorização cambial nos países emergentes, que pode trazer consequências inflacionárias.</w:t>
      </w:r>
    </w:p>
    <w:p w14:paraId="111C4592" w14:textId="77777777" w:rsidR="00765CCF" w:rsidRPr="00380DA9" w:rsidRDefault="00895C5F" w:rsidP="00511A46">
      <w:pPr>
        <w:pStyle w:val="PargrafodaLista"/>
        <w:spacing w:after="60" w:line="240" w:lineRule="auto"/>
        <w:ind w:left="0" w:right="-142" w:firstLine="708"/>
        <w:contextualSpacing w:val="0"/>
        <w:jc w:val="both"/>
        <w:rPr>
          <w:rFonts w:ascii="Times New Roman" w:hAnsi="Times New Roman" w:cs="Times New Roman"/>
          <w:sz w:val="24"/>
          <w:szCs w:val="24"/>
        </w:rPr>
      </w:pPr>
      <w:r w:rsidRPr="00380DA9">
        <w:rPr>
          <w:rFonts w:ascii="Times New Roman" w:hAnsi="Times New Roman" w:cs="Times New Roman"/>
          <w:sz w:val="24"/>
          <w:szCs w:val="24"/>
        </w:rPr>
        <w:t>T</w:t>
      </w:r>
      <w:r w:rsidR="00765CCF" w:rsidRPr="00380DA9">
        <w:rPr>
          <w:rFonts w:ascii="Times New Roman" w:hAnsi="Times New Roman" w:cs="Times New Roman"/>
          <w:sz w:val="24"/>
          <w:szCs w:val="24"/>
        </w:rPr>
        <w:t xml:space="preserve">ais problemas ganham </w:t>
      </w:r>
      <w:r w:rsidR="00380DA9" w:rsidRPr="00380DA9">
        <w:rPr>
          <w:rFonts w:ascii="Times New Roman" w:hAnsi="Times New Roman" w:cs="Times New Roman"/>
          <w:sz w:val="24"/>
          <w:szCs w:val="24"/>
        </w:rPr>
        <w:t>significativa relevância</w:t>
      </w:r>
      <w:r w:rsidRPr="00380DA9">
        <w:rPr>
          <w:rFonts w:ascii="Times New Roman" w:hAnsi="Times New Roman" w:cs="Times New Roman"/>
          <w:sz w:val="24"/>
          <w:szCs w:val="24"/>
        </w:rPr>
        <w:t xml:space="preserve"> quando o FED lança mão de uma política de massiva </w:t>
      </w:r>
      <w:r w:rsidR="00380DA9" w:rsidRPr="00380DA9">
        <w:rPr>
          <w:rFonts w:ascii="Times New Roman" w:hAnsi="Times New Roman" w:cs="Times New Roman"/>
          <w:sz w:val="24"/>
          <w:szCs w:val="24"/>
        </w:rPr>
        <w:t xml:space="preserve">compra de títulos e </w:t>
      </w:r>
      <w:r w:rsidRPr="00380DA9">
        <w:rPr>
          <w:rFonts w:ascii="Times New Roman" w:hAnsi="Times New Roman" w:cs="Times New Roman"/>
          <w:sz w:val="24"/>
          <w:szCs w:val="24"/>
        </w:rPr>
        <w:t xml:space="preserve">expansão monetária, tal como a de </w:t>
      </w:r>
      <w:proofErr w:type="spellStart"/>
      <w:r w:rsidRPr="00380DA9">
        <w:rPr>
          <w:rFonts w:ascii="Times New Roman" w:hAnsi="Times New Roman" w:cs="Times New Roman"/>
          <w:i/>
          <w:sz w:val="24"/>
          <w:szCs w:val="24"/>
        </w:rPr>
        <w:t>quantitative</w:t>
      </w:r>
      <w:proofErr w:type="spellEnd"/>
      <w:r w:rsidRPr="00380DA9">
        <w:rPr>
          <w:rFonts w:ascii="Times New Roman" w:hAnsi="Times New Roman" w:cs="Times New Roman"/>
          <w:i/>
          <w:sz w:val="24"/>
          <w:szCs w:val="24"/>
        </w:rPr>
        <w:t xml:space="preserve"> </w:t>
      </w:r>
      <w:proofErr w:type="spellStart"/>
      <w:r w:rsidRPr="00380DA9">
        <w:rPr>
          <w:rFonts w:ascii="Times New Roman" w:hAnsi="Times New Roman" w:cs="Times New Roman"/>
          <w:i/>
          <w:sz w:val="24"/>
          <w:szCs w:val="24"/>
        </w:rPr>
        <w:t>easing</w:t>
      </w:r>
      <w:proofErr w:type="spellEnd"/>
      <w:r w:rsidRPr="00380DA9">
        <w:rPr>
          <w:rFonts w:ascii="Times New Roman" w:hAnsi="Times New Roman" w:cs="Times New Roman"/>
          <w:sz w:val="24"/>
          <w:szCs w:val="24"/>
        </w:rPr>
        <w:t xml:space="preserve"> (QE), adotada no bojo da crise financeira internacional que se iniciou em 2007.  A reversão dessa política, ainda que de forma gradual, também é um problema a ser tratado pela autoridade monetária d</w:t>
      </w:r>
      <w:r w:rsidR="00380DA9" w:rsidRPr="00380DA9">
        <w:rPr>
          <w:rFonts w:ascii="Times New Roman" w:hAnsi="Times New Roman" w:cs="Times New Roman"/>
          <w:sz w:val="24"/>
          <w:szCs w:val="24"/>
        </w:rPr>
        <w:t>a</w:t>
      </w:r>
      <w:r w:rsidRPr="00380DA9">
        <w:rPr>
          <w:rFonts w:ascii="Times New Roman" w:hAnsi="Times New Roman" w:cs="Times New Roman"/>
          <w:sz w:val="24"/>
          <w:szCs w:val="24"/>
        </w:rPr>
        <w:t>s economias emergentes, tal como analisado no presente artigo.</w:t>
      </w:r>
    </w:p>
    <w:p w14:paraId="111C4594" w14:textId="3266D7F3" w:rsidR="00DA5B79" w:rsidRPr="00CF4E0C" w:rsidRDefault="00DA5B79" w:rsidP="00511A46">
      <w:pPr>
        <w:pStyle w:val="PargrafodaLista"/>
        <w:spacing w:after="0" w:line="240" w:lineRule="auto"/>
        <w:ind w:left="0" w:right="-142" w:firstLine="708"/>
        <w:contextualSpacing w:val="0"/>
        <w:jc w:val="both"/>
        <w:rPr>
          <w:rFonts w:ascii="Times New Roman" w:hAnsi="Times New Roman" w:cs="Times New Roman"/>
          <w:sz w:val="24"/>
          <w:szCs w:val="24"/>
        </w:rPr>
      </w:pPr>
      <w:r w:rsidRPr="00380DA9">
        <w:rPr>
          <w:rFonts w:ascii="Times New Roman" w:hAnsi="Times New Roman" w:cs="Times New Roman"/>
          <w:sz w:val="24"/>
          <w:szCs w:val="24"/>
        </w:rPr>
        <w:t xml:space="preserve">Canova (2005) chama a atenção para o fato da taxa de juros ser o canal através do qual distúrbios monetários na economia americana proporcionam fortes distúrbios nas variáveis macroeconômicas dos países latino americanos. Desta forma, uma contração na oferta monetária americana causa uma entrada de capitais nesse país e tem como efeito sobre as economias latino americanas, uma depreciação da taxa real de câmbio, um aumento nos preços, elevação do saldo </w:t>
      </w:r>
      <w:r w:rsidRPr="00380DA9">
        <w:rPr>
          <w:rFonts w:ascii="Times New Roman" w:hAnsi="Times New Roman" w:cs="Times New Roman"/>
          <w:sz w:val="24"/>
          <w:szCs w:val="24"/>
        </w:rPr>
        <w:lastRenderedPageBreak/>
        <w:t>da balança comercial, e, consequentemente, significante e instantâneo aumento da taxa de juros desses países.</w:t>
      </w:r>
    </w:p>
    <w:p w14:paraId="111C4595" w14:textId="77777777" w:rsidR="00DA5B79" w:rsidRPr="00380DA9" w:rsidRDefault="00DA5B79" w:rsidP="00511A46">
      <w:pPr>
        <w:pStyle w:val="PargrafodaLista"/>
        <w:spacing w:after="0" w:line="240" w:lineRule="auto"/>
        <w:ind w:left="0" w:right="-142" w:firstLine="708"/>
        <w:contextualSpacing w:val="0"/>
        <w:jc w:val="both"/>
        <w:rPr>
          <w:rFonts w:ascii="Times New Roman" w:hAnsi="Times New Roman" w:cs="Times New Roman"/>
          <w:sz w:val="24"/>
          <w:szCs w:val="24"/>
        </w:rPr>
      </w:pPr>
      <w:r w:rsidRPr="00380DA9">
        <w:rPr>
          <w:rFonts w:ascii="Times New Roman" w:hAnsi="Times New Roman" w:cs="Times New Roman"/>
          <w:sz w:val="24"/>
          <w:szCs w:val="24"/>
        </w:rPr>
        <w:t>Dadas as considerações acima, os distúrbios causados pela política americana resultam em uma importante implicação para as autoridades monetárias latino-americanas. Tais implicações são relevantes porque “como a política monetária dos EUA tem importantes efeitos externos e as decisões do FED podem ter consequências indesejáveis nas taxas de câmbio latino-americanas, mecanismos para internalizar essas repercussões podem produzir melhores resultados continentais” (CANOVA, 2005, p. 3).</w:t>
      </w:r>
    </w:p>
    <w:p w14:paraId="111C4596" w14:textId="77777777" w:rsidR="00DA5B79" w:rsidRPr="00380DA9" w:rsidRDefault="00DA5B79" w:rsidP="00511A46">
      <w:pPr>
        <w:pStyle w:val="PargrafodaLista"/>
        <w:spacing w:after="0" w:line="240" w:lineRule="auto"/>
        <w:ind w:left="0" w:right="-142" w:firstLine="708"/>
        <w:contextualSpacing w:val="0"/>
        <w:jc w:val="both"/>
        <w:rPr>
          <w:rFonts w:ascii="Times New Roman" w:hAnsi="Times New Roman" w:cs="Times New Roman"/>
          <w:sz w:val="24"/>
          <w:szCs w:val="24"/>
          <w:lang w:val="pt-PT"/>
        </w:rPr>
      </w:pPr>
      <w:r w:rsidRPr="00380DA9">
        <w:rPr>
          <w:rFonts w:ascii="Times New Roman" w:hAnsi="Times New Roman" w:cs="Times New Roman"/>
          <w:sz w:val="24"/>
          <w:szCs w:val="24"/>
          <w:lang w:val="pt-PT"/>
        </w:rPr>
        <w:t xml:space="preserve">Após a crise enfrentada pelos EUA no período de 2008/2009, o banco central desse país, o Federal Reserve (FED), manteve sua taxa básica de juros, a Federal Funds Rate (FFR), em um patamar baixo, entre zero e 0,25%, para estimular a economia norte americana e garantir a solvência dos passivos do sistema financeiro, assim como o Banco Central Europeu também o fez. Só nos EUA, entre 2008 e 2014, essa política injetou cerca de US$ 3,6 trilhões na economia do país através da compra de títulos lastreados em financiamentos imobiliários e </w:t>
      </w:r>
      <w:r w:rsidRPr="00380DA9">
        <w:rPr>
          <w:rFonts w:ascii="Times New Roman" w:hAnsi="Times New Roman" w:cs="Times New Roman"/>
          <w:i/>
          <w:sz w:val="24"/>
          <w:szCs w:val="24"/>
          <w:lang w:val="pt-PT"/>
        </w:rPr>
        <w:t>treasuries</w:t>
      </w:r>
      <w:r w:rsidRPr="00380DA9">
        <w:rPr>
          <w:rFonts w:ascii="Times New Roman" w:hAnsi="Times New Roman" w:cs="Times New Roman"/>
          <w:sz w:val="24"/>
          <w:szCs w:val="24"/>
          <w:lang w:val="pt-PT"/>
        </w:rPr>
        <w:t xml:space="preserve">, gerando um expressivo aumento de liquidez. Tal padrão para a política monetária ficou conhecido com </w:t>
      </w:r>
      <w:r w:rsidRPr="00380DA9">
        <w:rPr>
          <w:rFonts w:ascii="Times New Roman" w:hAnsi="Times New Roman" w:cs="Times New Roman"/>
          <w:i/>
          <w:sz w:val="24"/>
          <w:szCs w:val="24"/>
          <w:lang w:val="pt-PT"/>
        </w:rPr>
        <w:t xml:space="preserve">Quantitative Easing </w:t>
      </w:r>
      <w:r w:rsidRPr="00380DA9">
        <w:rPr>
          <w:rFonts w:ascii="Times New Roman" w:hAnsi="Times New Roman" w:cs="Times New Roman"/>
          <w:sz w:val="24"/>
          <w:szCs w:val="24"/>
          <w:lang w:val="pt-PT"/>
        </w:rPr>
        <w:t>(QE).</w:t>
      </w:r>
    </w:p>
    <w:p w14:paraId="111C4597" w14:textId="18B04AF1" w:rsidR="00DA5B79" w:rsidRPr="00380DA9" w:rsidRDefault="00DA5B79" w:rsidP="00511A46">
      <w:pPr>
        <w:pStyle w:val="PargrafodaLista"/>
        <w:spacing w:after="0" w:line="240" w:lineRule="auto"/>
        <w:ind w:left="0" w:right="-142" w:firstLine="708"/>
        <w:contextualSpacing w:val="0"/>
        <w:jc w:val="both"/>
        <w:rPr>
          <w:rFonts w:ascii="Times New Roman" w:hAnsi="Times New Roman" w:cs="Times New Roman"/>
          <w:sz w:val="24"/>
          <w:szCs w:val="24"/>
        </w:rPr>
      </w:pPr>
      <w:r w:rsidRPr="00380DA9">
        <w:rPr>
          <w:rFonts w:ascii="Times New Roman" w:hAnsi="Times New Roman" w:cs="Times New Roman"/>
          <w:sz w:val="24"/>
          <w:szCs w:val="24"/>
          <w:shd w:val="clear" w:color="auto" w:fill="FFFFFF"/>
        </w:rPr>
        <w:t>Fernando de Holanda Barbosa Filho (2010, p. 8) afirma que, embora o objetivo explícito da política de QE do FED era o de “</w:t>
      </w:r>
      <w:r w:rsidRPr="00380DA9">
        <w:rPr>
          <w:rFonts w:ascii="Times New Roman" w:hAnsi="Times New Roman" w:cs="Times New Roman"/>
          <w:sz w:val="24"/>
          <w:szCs w:val="24"/>
        </w:rPr>
        <w:t xml:space="preserve">criar o incentivo ao investimento e ao consumo através de uma redução da taxa de juros de longo prazo dos papéis privados (por arbitragem)”, esta política desencadeou outras consequências sobre a economia global. Segundo o autor, o “aumento da liquidez reduz o valor relativo do dólar em relação a outras moedas, depreciando o mesmo” (BARBOSA FILHO, 2010, p. 8). No caso brasileiro, essa apreciação da taxa de câmbio, reduz a competitividade do produto brasileiro em relação aos americanos e pressiona o nível de preços. </w:t>
      </w:r>
    </w:p>
    <w:p w14:paraId="111C4598" w14:textId="77777777" w:rsidR="00DA5B79" w:rsidRPr="00380DA9" w:rsidRDefault="00DA5B79" w:rsidP="00511A46">
      <w:pPr>
        <w:pStyle w:val="PargrafodaLista"/>
        <w:spacing w:after="0" w:line="240" w:lineRule="auto"/>
        <w:ind w:left="0" w:right="-142" w:firstLine="708"/>
        <w:contextualSpacing w:val="0"/>
        <w:jc w:val="both"/>
        <w:rPr>
          <w:rFonts w:ascii="Times New Roman" w:hAnsi="Times New Roman" w:cs="Times New Roman"/>
          <w:sz w:val="24"/>
          <w:szCs w:val="24"/>
          <w:shd w:val="clear" w:color="auto" w:fill="FFFFFF"/>
        </w:rPr>
      </w:pPr>
      <w:r w:rsidRPr="00CF3DF9">
        <w:rPr>
          <w:rFonts w:ascii="Times New Roman" w:hAnsi="Times New Roman" w:cs="Times New Roman"/>
          <w:sz w:val="24"/>
          <w:szCs w:val="24"/>
          <w:shd w:val="clear" w:color="auto" w:fill="FFFFFF"/>
        </w:rPr>
        <w:t xml:space="preserve">Tais efeitos não foram negligenciados por autoridades de países emergentes. As declarações feitas pela presidente do Brasil Dilma Rousseff e pelo ministro da fazenda brasileiro Guido Mantega, em 2012, de que as políticas monetárias fortemente expansionistas do FED e do Banco Central Europeu significavam uma “guerra cambial” e uma forma “perversa de protecionismo”, chamaram a atenção da imprensa especializada, dos </w:t>
      </w:r>
      <w:proofErr w:type="spellStart"/>
      <w:r w:rsidRPr="00CF3DF9">
        <w:rPr>
          <w:rFonts w:ascii="Times New Roman" w:hAnsi="Times New Roman" w:cs="Times New Roman"/>
          <w:i/>
          <w:sz w:val="24"/>
          <w:szCs w:val="24"/>
          <w:shd w:val="clear" w:color="auto" w:fill="FFFFFF"/>
        </w:rPr>
        <w:t>policy</w:t>
      </w:r>
      <w:proofErr w:type="spellEnd"/>
      <w:r w:rsidRPr="00CF3DF9">
        <w:rPr>
          <w:rFonts w:ascii="Times New Roman" w:hAnsi="Times New Roman" w:cs="Times New Roman"/>
          <w:i/>
          <w:sz w:val="24"/>
          <w:szCs w:val="24"/>
          <w:shd w:val="clear" w:color="auto" w:fill="FFFFFF"/>
        </w:rPr>
        <w:t xml:space="preserve"> </w:t>
      </w:r>
      <w:proofErr w:type="spellStart"/>
      <w:r w:rsidRPr="00CF3DF9">
        <w:rPr>
          <w:rFonts w:ascii="Times New Roman" w:hAnsi="Times New Roman" w:cs="Times New Roman"/>
          <w:i/>
          <w:sz w:val="24"/>
          <w:szCs w:val="24"/>
          <w:shd w:val="clear" w:color="auto" w:fill="FFFFFF"/>
        </w:rPr>
        <w:t>makers</w:t>
      </w:r>
      <w:proofErr w:type="spellEnd"/>
      <w:r w:rsidRPr="00CF3DF9">
        <w:rPr>
          <w:rFonts w:ascii="Times New Roman" w:hAnsi="Times New Roman" w:cs="Times New Roman"/>
          <w:sz w:val="24"/>
          <w:szCs w:val="24"/>
          <w:shd w:val="clear" w:color="auto" w:fill="FFFFFF"/>
        </w:rPr>
        <w:t xml:space="preserve"> e dos economistas em geral.</w:t>
      </w:r>
    </w:p>
    <w:p w14:paraId="111C4599" w14:textId="77777777" w:rsidR="00DA5B79" w:rsidRPr="00380DA9" w:rsidRDefault="00DA5B79" w:rsidP="00511A46">
      <w:pPr>
        <w:pStyle w:val="PargrafodaLista"/>
        <w:spacing w:after="0" w:line="240" w:lineRule="auto"/>
        <w:ind w:left="0" w:right="-142" w:firstLine="708"/>
        <w:contextualSpacing w:val="0"/>
        <w:jc w:val="both"/>
        <w:rPr>
          <w:rFonts w:ascii="Times New Roman" w:hAnsi="Times New Roman" w:cs="Times New Roman"/>
          <w:sz w:val="24"/>
          <w:szCs w:val="24"/>
          <w:lang w:val="pt-PT"/>
        </w:rPr>
      </w:pPr>
      <w:r w:rsidRPr="00380DA9">
        <w:rPr>
          <w:rFonts w:ascii="Times New Roman" w:hAnsi="Times New Roman" w:cs="Times New Roman"/>
          <w:sz w:val="24"/>
          <w:szCs w:val="24"/>
          <w:lang w:val="pt-PT"/>
        </w:rPr>
        <w:t xml:space="preserve">Porém, em 2013, o FED anunciou que, com uma perspectiva de melhora na taxa de crescimento da economia americana e queda no nível de desemprego, os estímulos monetários poderiam ser gradualmente retirados. A taxa de desemprego nos EUA, que chegou a ultrapassar os 10% em 2009, fechou o ano de 2016 abaixo dos 5%, o que proporcionou um aumento das expectativas de elevação gradual da FFR ao longo do ano de 2017. Já em dezembro de </w:t>
      </w:r>
      <w:smartTag w:uri="urn:schemas-microsoft-com:office:smarttags" w:element="metricconverter">
        <w:smartTagPr>
          <w:attr w:name="ProductID" w:val="2015 a"/>
        </w:smartTagPr>
        <w:r w:rsidRPr="00380DA9">
          <w:rPr>
            <w:rFonts w:ascii="Times New Roman" w:hAnsi="Times New Roman" w:cs="Times New Roman"/>
            <w:sz w:val="24"/>
            <w:szCs w:val="24"/>
            <w:lang w:val="pt-PT"/>
          </w:rPr>
          <w:t>2015 a</w:t>
        </w:r>
      </w:smartTag>
      <w:r w:rsidRPr="00380DA9">
        <w:rPr>
          <w:rFonts w:ascii="Times New Roman" w:hAnsi="Times New Roman" w:cs="Times New Roman"/>
          <w:sz w:val="24"/>
          <w:szCs w:val="24"/>
          <w:lang w:val="pt-PT"/>
        </w:rPr>
        <w:t xml:space="preserve"> meta para a taxa FFR subiu para o intervalo entre 0,25 e 0,50%, já em dezembro de 2016 ocorreu um novo aumento, agora para o intervalo de 0,50 e 0,75%. </w:t>
      </w:r>
    </w:p>
    <w:p w14:paraId="111C459A" w14:textId="77777777" w:rsidR="00DA5B79" w:rsidRPr="00380DA9" w:rsidRDefault="00DA5B79" w:rsidP="00511A46">
      <w:pPr>
        <w:pStyle w:val="PargrafodaLista"/>
        <w:spacing w:after="0" w:line="240" w:lineRule="auto"/>
        <w:ind w:left="0" w:right="-142" w:firstLine="708"/>
        <w:contextualSpacing w:val="0"/>
        <w:jc w:val="both"/>
        <w:rPr>
          <w:rFonts w:ascii="Times New Roman" w:hAnsi="Times New Roman" w:cs="Times New Roman"/>
          <w:sz w:val="24"/>
          <w:szCs w:val="24"/>
          <w:shd w:val="clear" w:color="auto" w:fill="FFFFFF"/>
        </w:rPr>
      </w:pPr>
      <w:r w:rsidRPr="00380DA9">
        <w:rPr>
          <w:rFonts w:ascii="Times New Roman" w:hAnsi="Times New Roman" w:cs="Times New Roman"/>
          <w:sz w:val="24"/>
          <w:szCs w:val="24"/>
          <w:shd w:val="clear" w:color="auto" w:fill="FFFFFF"/>
        </w:rPr>
        <w:t xml:space="preserve">Em relação ao tema, a </w:t>
      </w:r>
      <w:r w:rsidRPr="00380DA9">
        <w:rPr>
          <w:rFonts w:ascii="Times New Roman" w:hAnsi="Times New Roman" w:cs="Times New Roman"/>
          <w:i/>
          <w:sz w:val="24"/>
          <w:szCs w:val="24"/>
          <w:shd w:val="clear" w:color="auto" w:fill="FFFFFF"/>
        </w:rPr>
        <w:t>chairman</w:t>
      </w:r>
      <w:r w:rsidRPr="00380DA9">
        <w:rPr>
          <w:rFonts w:ascii="Times New Roman" w:hAnsi="Times New Roman" w:cs="Times New Roman"/>
          <w:sz w:val="24"/>
          <w:szCs w:val="24"/>
          <w:shd w:val="clear" w:color="auto" w:fill="FFFFFF"/>
        </w:rPr>
        <w:t xml:space="preserve"> do </w:t>
      </w:r>
      <w:r w:rsidRPr="00380DA9">
        <w:rPr>
          <w:rFonts w:ascii="Times New Roman" w:hAnsi="Times New Roman" w:cs="Times New Roman"/>
          <w:i/>
          <w:sz w:val="24"/>
          <w:szCs w:val="24"/>
          <w:shd w:val="clear" w:color="auto" w:fill="FFFFFF"/>
        </w:rPr>
        <w:t xml:space="preserve">Board </w:t>
      </w:r>
      <w:proofErr w:type="spellStart"/>
      <w:r w:rsidRPr="00380DA9">
        <w:rPr>
          <w:rFonts w:ascii="Times New Roman" w:hAnsi="Times New Roman" w:cs="Times New Roman"/>
          <w:i/>
          <w:sz w:val="24"/>
          <w:szCs w:val="24"/>
          <w:shd w:val="clear" w:color="auto" w:fill="FFFFFF"/>
        </w:rPr>
        <w:t>of</w:t>
      </w:r>
      <w:proofErr w:type="spellEnd"/>
      <w:r w:rsidRPr="00380DA9">
        <w:rPr>
          <w:rFonts w:ascii="Times New Roman" w:hAnsi="Times New Roman" w:cs="Times New Roman"/>
          <w:i/>
          <w:sz w:val="24"/>
          <w:szCs w:val="24"/>
          <w:shd w:val="clear" w:color="auto" w:fill="FFFFFF"/>
        </w:rPr>
        <w:t xml:space="preserve"> </w:t>
      </w:r>
      <w:proofErr w:type="spellStart"/>
      <w:r w:rsidRPr="00380DA9">
        <w:rPr>
          <w:rFonts w:ascii="Times New Roman" w:hAnsi="Times New Roman" w:cs="Times New Roman"/>
          <w:i/>
          <w:sz w:val="24"/>
          <w:szCs w:val="24"/>
          <w:shd w:val="clear" w:color="auto" w:fill="FFFFFF"/>
        </w:rPr>
        <w:t>Governors</w:t>
      </w:r>
      <w:proofErr w:type="spellEnd"/>
      <w:r w:rsidRPr="00380DA9">
        <w:rPr>
          <w:rFonts w:ascii="Times New Roman" w:hAnsi="Times New Roman" w:cs="Times New Roman"/>
          <w:i/>
          <w:sz w:val="24"/>
          <w:szCs w:val="24"/>
          <w:shd w:val="clear" w:color="auto" w:fill="FFFFFF"/>
        </w:rPr>
        <w:t xml:space="preserve"> </w:t>
      </w:r>
      <w:proofErr w:type="spellStart"/>
      <w:r w:rsidRPr="00380DA9">
        <w:rPr>
          <w:rFonts w:ascii="Times New Roman" w:hAnsi="Times New Roman" w:cs="Times New Roman"/>
          <w:i/>
          <w:sz w:val="24"/>
          <w:szCs w:val="24"/>
          <w:shd w:val="clear" w:color="auto" w:fill="FFFFFF"/>
        </w:rPr>
        <w:t>of</w:t>
      </w:r>
      <w:proofErr w:type="spellEnd"/>
      <w:r w:rsidRPr="00380DA9">
        <w:rPr>
          <w:rFonts w:ascii="Times New Roman" w:hAnsi="Times New Roman" w:cs="Times New Roman"/>
          <w:i/>
          <w:sz w:val="24"/>
          <w:szCs w:val="24"/>
          <w:shd w:val="clear" w:color="auto" w:fill="FFFFFF"/>
        </w:rPr>
        <w:t xml:space="preserve"> </w:t>
      </w:r>
      <w:proofErr w:type="spellStart"/>
      <w:r w:rsidRPr="00380DA9">
        <w:rPr>
          <w:rFonts w:ascii="Times New Roman" w:hAnsi="Times New Roman" w:cs="Times New Roman"/>
          <w:i/>
          <w:sz w:val="24"/>
          <w:szCs w:val="24"/>
          <w:shd w:val="clear" w:color="auto" w:fill="FFFFFF"/>
        </w:rPr>
        <w:t>the</w:t>
      </w:r>
      <w:proofErr w:type="spellEnd"/>
      <w:r w:rsidRPr="00380DA9">
        <w:rPr>
          <w:rFonts w:ascii="Times New Roman" w:hAnsi="Times New Roman" w:cs="Times New Roman"/>
          <w:i/>
          <w:sz w:val="24"/>
          <w:szCs w:val="24"/>
          <w:shd w:val="clear" w:color="auto" w:fill="FFFFFF"/>
        </w:rPr>
        <w:t xml:space="preserve"> Federal Reserve System</w:t>
      </w:r>
      <w:r w:rsidRPr="00380DA9">
        <w:rPr>
          <w:rFonts w:ascii="Times New Roman" w:hAnsi="Times New Roman" w:cs="Times New Roman"/>
          <w:sz w:val="24"/>
          <w:szCs w:val="24"/>
          <w:shd w:val="clear" w:color="auto" w:fill="FFFFFF"/>
        </w:rPr>
        <w:t xml:space="preserve"> (cargo análogo ao de presidente do Banco Central do Brasil para o FED) admite que foi persuadida de “que a política de juros deveria, sob as condições atuais, manter as taxas baixas por mais um tempo” (YELLEN, 2016, p. 4-5). A lentidão da convergência rumo a uma política monetária padrão, mesmo diante de uma expectativa de redução do desemprego, é devida à opção realizada pelo FED do uso da ferramenta de </w:t>
      </w:r>
      <w:proofErr w:type="spellStart"/>
      <w:r w:rsidRPr="00380DA9">
        <w:rPr>
          <w:rFonts w:ascii="Times New Roman" w:hAnsi="Times New Roman" w:cs="Times New Roman"/>
          <w:i/>
          <w:sz w:val="24"/>
          <w:szCs w:val="24"/>
          <w:shd w:val="clear" w:color="auto" w:fill="FFFFFF"/>
        </w:rPr>
        <w:t>foward</w:t>
      </w:r>
      <w:proofErr w:type="spellEnd"/>
      <w:r w:rsidRPr="00380DA9">
        <w:rPr>
          <w:rFonts w:ascii="Times New Roman" w:hAnsi="Times New Roman" w:cs="Times New Roman"/>
          <w:i/>
          <w:sz w:val="24"/>
          <w:szCs w:val="24"/>
          <w:shd w:val="clear" w:color="auto" w:fill="FFFFFF"/>
        </w:rPr>
        <w:t xml:space="preserve"> </w:t>
      </w:r>
      <w:proofErr w:type="spellStart"/>
      <w:r w:rsidRPr="00380DA9">
        <w:rPr>
          <w:rFonts w:ascii="Times New Roman" w:hAnsi="Times New Roman" w:cs="Times New Roman"/>
          <w:i/>
          <w:sz w:val="24"/>
          <w:szCs w:val="24"/>
          <w:shd w:val="clear" w:color="auto" w:fill="FFFFFF"/>
        </w:rPr>
        <w:t>guindance</w:t>
      </w:r>
      <w:proofErr w:type="spellEnd"/>
      <w:r w:rsidRPr="00380DA9">
        <w:rPr>
          <w:rFonts w:ascii="Times New Roman" w:hAnsi="Times New Roman" w:cs="Times New Roman"/>
          <w:sz w:val="24"/>
          <w:szCs w:val="24"/>
          <w:shd w:val="clear" w:color="auto" w:fill="FFFFFF"/>
        </w:rPr>
        <w:t>, que consiste em traçar uma expectativa de manter baixa as taxas de juros no mercado interbancário no futuro e garantir aquisições em larga escala de títulos do tesouro americano. O objetivo dessa orientação é o de “influenciar as expectativas sobre por quanto tempo a posição altamente acomodada da política de juros será mantida quando as condições melhorarem” (YELLEN, op. cit., p. 4).</w:t>
      </w:r>
    </w:p>
    <w:p w14:paraId="111C459B" w14:textId="68187B5C" w:rsidR="00DA5B79" w:rsidRPr="00380DA9" w:rsidRDefault="00DA5B79" w:rsidP="00511A46">
      <w:pPr>
        <w:pStyle w:val="PargrafodaLista"/>
        <w:spacing w:after="0" w:line="240" w:lineRule="auto"/>
        <w:ind w:left="0" w:right="-142" w:firstLine="708"/>
        <w:contextualSpacing w:val="0"/>
        <w:jc w:val="both"/>
        <w:rPr>
          <w:rFonts w:ascii="Times New Roman" w:hAnsi="Times New Roman" w:cs="Times New Roman"/>
          <w:sz w:val="24"/>
          <w:szCs w:val="24"/>
          <w:lang w:val="pt-PT"/>
        </w:rPr>
      </w:pPr>
      <w:r w:rsidRPr="00380DA9">
        <w:rPr>
          <w:rFonts w:ascii="Times New Roman" w:hAnsi="Times New Roman" w:cs="Times New Roman"/>
          <w:sz w:val="24"/>
          <w:szCs w:val="24"/>
          <w:lang w:val="pt-PT"/>
        </w:rPr>
        <w:t xml:space="preserve">Contudo, com a retomada, mesmo que gradual, a uma política monetária padrão nos EUA, processo chamado de </w:t>
      </w:r>
      <w:r w:rsidRPr="00380DA9">
        <w:rPr>
          <w:rFonts w:ascii="Times New Roman" w:hAnsi="Times New Roman" w:cs="Times New Roman"/>
          <w:i/>
          <w:sz w:val="24"/>
          <w:szCs w:val="24"/>
          <w:lang w:val="pt-PT"/>
        </w:rPr>
        <w:t>tapering</w:t>
      </w:r>
      <w:r w:rsidRPr="00380DA9">
        <w:rPr>
          <w:rFonts w:ascii="Times New Roman" w:hAnsi="Times New Roman" w:cs="Times New Roman"/>
          <w:sz w:val="24"/>
          <w:szCs w:val="24"/>
          <w:lang w:val="pt-PT"/>
        </w:rPr>
        <w:t xml:space="preserve">, espera-se uma reversão no fluxo de capitais com significativos impactos nos mercados financeiros de economias emergentes. Hipóteses plausíveis são as de que este movimento possa restringir a oferta de dólar no mercado internacional, causando uma </w:t>
      </w:r>
      <w:r w:rsidRPr="00380DA9">
        <w:rPr>
          <w:rFonts w:ascii="Times New Roman" w:hAnsi="Times New Roman" w:cs="Times New Roman"/>
          <w:sz w:val="24"/>
          <w:szCs w:val="24"/>
          <w:lang w:val="pt-PT"/>
        </w:rPr>
        <w:lastRenderedPageBreak/>
        <w:t xml:space="preserve">desvalorização da taxa de câmbio de economia emergentes pressionando uma alta do nível de preços. Consequentemente, no caso brasileiro, dado o regime monetário de metas de inflação, observar-se-ia uma alta da taxa básica de juros que é utilizada como instrumento de política monetária pelo Banco Central do Brasil (BACEN), a taxa SELIC. Essa resposta da autoridade monetária teria o efeito de inibir as consequências do </w:t>
      </w:r>
      <w:r w:rsidRPr="00380DA9">
        <w:rPr>
          <w:rFonts w:ascii="Times New Roman" w:hAnsi="Times New Roman" w:cs="Times New Roman"/>
          <w:i/>
          <w:sz w:val="24"/>
          <w:szCs w:val="24"/>
          <w:lang w:val="pt-PT"/>
        </w:rPr>
        <w:t>tapering</w:t>
      </w:r>
      <w:r w:rsidRPr="00380DA9">
        <w:rPr>
          <w:rFonts w:ascii="Times New Roman" w:hAnsi="Times New Roman" w:cs="Times New Roman"/>
          <w:sz w:val="24"/>
          <w:szCs w:val="24"/>
          <w:lang w:val="pt-PT"/>
        </w:rPr>
        <w:t>.</w:t>
      </w:r>
    </w:p>
    <w:p w14:paraId="111C459C" w14:textId="77777777" w:rsidR="00DA5B79" w:rsidRPr="00380DA9" w:rsidRDefault="00DA5B79" w:rsidP="00511A46">
      <w:pPr>
        <w:pStyle w:val="PargrafodaLista"/>
        <w:spacing w:after="0" w:line="240" w:lineRule="auto"/>
        <w:ind w:left="0" w:right="-142" w:firstLine="708"/>
        <w:contextualSpacing w:val="0"/>
        <w:jc w:val="both"/>
        <w:rPr>
          <w:rFonts w:ascii="Times New Roman" w:hAnsi="Times New Roman" w:cs="Times New Roman"/>
          <w:sz w:val="24"/>
          <w:szCs w:val="24"/>
        </w:rPr>
      </w:pPr>
      <w:r w:rsidRPr="00380DA9">
        <w:rPr>
          <w:rFonts w:ascii="Times New Roman" w:hAnsi="Times New Roman" w:cs="Times New Roman"/>
          <w:sz w:val="24"/>
          <w:szCs w:val="24"/>
          <w:lang w:val="pt-PT"/>
        </w:rPr>
        <w:t xml:space="preserve">De forma geral, ter maior clareza sobre o processo de choques monetários ocorridos na economia americana é importante para obter-se um melhor desempenho da política monetária por parte do BACEN e para permitir um melhor ancoramento das expectativas do agentes econômicos. Vale ressaltar que </w:t>
      </w:r>
      <w:r w:rsidRPr="00380DA9">
        <w:rPr>
          <w:rFonts w:ascii="Times New Roman" w:hAnsi="Times New Roman" w:cs="Times New Roman"/>
          <w:sz w:val="24"/>
          <w:szCs w:val="24"/>
        </w:rPr>
        <w:t xml:space="preserve">“os </w:t>
      </w:r>
      <w:proofErr w:type="spellStart"/>
      <w:r w:rsidRPr="00380DA9">
        <w:rPr>
          <w:rFonts w:ascii="Times New Roman" w:hAnsi="Times New Roman" w:cs="Times New Roman"/>
          <w:i/>
          <w:sz w:val="24"/>
          <w:szCs w:val="24"/>
        </w:rPr>
        <w:t>policymakers</w:t>
      </w:r>
      <w:proofErr w:type="spellEnd"/>
      <w:r w:rsidRPr="00380DA9">
        <w:rPr>
          <w:rFonts w:ascii="Times New Roman" w:hAnsi="Times New Roman" w:cs="Times New Roman"/>
          <w:i/>
          <w:sz w:val="24"/>
          <w:szCs w:val="24"/>
        </w:rPr>
        <w:t xml:space="preserve"> </w:t>
      </w:r>
      <w:r w:rsidRPr="00380DA9">
        <w:rPr>
          <w:rFonts w:ascii="Times New Roman" w:hAnsi="Times New Roman" w:cs="Times New Roman"/>
          <w:sz w:val="24"/>
          <w:szCs w:val="24"/>
        </w:rPr>
        <w:t>latino-americanos são obrigados a monitorar cuidadosamente as condições internacionais e a decifrar o conteúdo informativo dos distúrbios dos EUA, a fim de reagir adequadamente aos desequilíbrios externos” (CANOVA, 2005, p. 3).</w:t>
      </w:r>
    </w:p>
    <w:p w14:paraId="111C459F" w14:textId="3CB9791B" w:rsidR="00DA5B79" w:rsidRPr="00380DA9" w:rsidRDefault="00DA5B79" w:rsidP="00511A46">
      <w:pPr>
        <w:pStyle w:val="PargrafodaLista"/>
        <w:spacing w:after="0" w:line="240" w:lineRule="auto"/>
        <w:ind w:left="0" w:right="-142" w:firstLine="708"/>
        <w:contextualSpacing w:val="0"/>
        <w:jc w:val="both"/>
        <w:rPr>
          <w:rFonts w:ascii="Times New Roman" w:hAnsi="Times New Roman" w:cs="Times New Roman"/>
          <w:sz w:val="24"/>
          <w:szCs w:val="24"/>
        </w:rPr>
      </w:pPr>
      <w:r w:rsidRPr="00190C2E">
        <w:rPr>
          <w:rFonts w:ascii="Times New Roman" w:hAnsi="Times New Roman" w:cs="Times New Roman"/>
          <w:sz w:val="24"/>
          <w:szCs w:val="24"/>
        </w:rPr>
        <w:t xml:space="preserve">O objetivo desta pesquisa é analisar se o provável processo de </w:t>
      </w:r>
      <w:r w:rsidRPr="00190C2E">
        <w:rPr>
          <w:rFonts w:ascii="Times New Roman" w:hAnsi="Times New Roman" w:cs="Times New Roman"/>
          <w:i/>
          <w:sz w:val="24"/>
          <w:szCs w:val="24"/>
          <w:lang w:val="pt-PT"/>
        </w:rPr>
        <w:t>tapering</w:t>
      </w:r>
      <w:r w:rsidRPr="00190C2E">
        <w:rPr>
          <w:rFonts w:ascii="Times New Roman" w:hAnsi="Times New Roman" w:cs="Times New Roman"/>
          <w:sz w:val="24"/>
          <w:szCs w:val="24"/>
        </w:rPr>
        <w:t xml:space="preserve"> afeta</w:t>
      </w:r>
      <w:r w:rsidR="00CF3DF9" w:rsidRPr="00190C2E">
        <w:rPr>
          <w:rFonts w:ascii="Times New Roman" w:hAnsi="Times New Roman" w:cs="Times New Roman"/>
          <w:sz w:val="24"/>
          <w:szCs w:val="24"/>
        </w:rPr>
        <w:t>ria</w:t>
      </w:r>
      <w:r w:rsidRPr="00190C2E">
        <w:rPr>
          <w:rFonts w:ascii="Times New Roman" w:hAnsi="Times New Roman" w:cs="Times New Roman"/>
          <w:sz w:val="24"/>
          <w:szCs w:val="24"/>
        </w:rPr>
        <w:t xml:space="preserve"> a economia brasileira, e em que sentido isso ocorreria. Para </w:t>
      </w:r>
      <w:r w:rsidR="00A03081" w:rsidRPr="00190C2E">
        <w:rPr>
          <w:rFonts w:ascii="Times New Roman" w:hAnsi="Times New Roman" w:cs="Times New Roman"/>
          <w:sz w:val="24"/>
          <w:szCs w:val="24"/>
        </w:rPr>
        <w:t>tanto</w:t>
      </w:r>
      <w:r w:rsidRPr="00190C2E">
        <w:rPr>
          <w:rFonts w:ascii="Times New Roman" w:hAnsi="Times New Roman" w:cs="Times New Roman"/>
          <w:sz w:val="24"/>
          <w:szCs w:val="24"/>
        </w:rPr>
        <w:t xml:space="preserve">, foi utilizado </w:t>
      </w:r>
      <w:r w:rsidR="00190C2E" w:rsidRPr="00190C2E">
        <w:rPr>
          <w:rFonts w:ascii="Times New Roman" w:hAnsi="Times New Roman" w:cs="Times New Roman"/>
          <w:sz w:val="24"/>
          <w:szCs w:val="24"/>
        </w:rPr>
        <w:t>o</w:t>
      </w:r>
      <w:r w:rsidRPr="00190C2E">
        <w:rPr>
          <w:rFonts w:ascii="Times New Roman" w:hAnsi="Times New Roman" w:cs="Times New Roman"/>
          <w:sz w:val="24"/>
          <w:szCs w:val="24"/>
        </w:rPr>
        <w:t xml:space="preserve"> modelo </w:t>
      </w:r>
      <w:r w:rsidR="00A03081" w:rsidRPr="00190C2E">
        <w:rPr>
          <w:rFonts w:ascii="Times New Roman" w:hAnsi="Times New Roman" w:cs="Times New Roman"/>
          <w:sz w:val="24"/>
          <w:szCs w:val="24"/>
        </w:rPr>
        <w:t xml:space="preserve"> </w:t>
      </w:r>
      <w:r w:rsidRPr="00190C2E">
        <w:rPr>
          <w:rFonts w:ascii="Times New Roman" w:hAnsi="Times New Roman" w:cs="Times New Roman"/>
          <w:sz w:val="24"/>
          <w:szCs w:val="24"/>
        </w:rPr>
        <w:t xml:space="preserve"> DSGE para uma economia aberta</w:t>
      </w:r>
      <w:r w:rsidR="00190C2E" w:rsidRPr="00190C2E">
        <w:rPr>
          <w:rFonts w:ascii="Times New Roman" w:hAnsi="Times New Roman" w:cs="Times New Roman"/>
          <w:sz w:val="24"/>
          <w:szCs w:val="24"/>
        </w:rPr>
        <w:t xml:space="preserve"> proposto por Costa Junior, Garcia-Cintado e Sampaio (2017)</w:t>
      </w:r>
      <w:r w:rsidRPr="00190C2E">
        <w:rPr>
          <w:rFonts w:ascii="Times New Roman" w:hAnsi="Times New Roman" w:cs="Times New Roman"/>
          <w:sz w:val="24"/>
          <w:szCs w:val="24"/>
        </w:rPr>
        <w:t>.</w:t>
      </w:r>
      <w:r w:rsidR="00190C2E">
        <w:rPr>
          <w:rFonts w:ascii="Times New Roman" w:hAnsi="Times New Roman" w:cs="Times New Roman"/>
          <w:sz w:val="24"/>
          <w:szCs w:val="24"/>
        </w:rPr>
        <w:t xml:space="preserve"> </w:t>
      </w:r>
      <w:r w:rsidRPr="00380DA9">
        <w:rPr>
          <w:rFonts w:ascii="Times New Roman" w:hAnsi="Times New Roman" w:cs="Times New Roman"/>
          <w:sz w:val="24"/>
          <w:szCs w:val="24"/>
        </w:rPr>
        <w:t xml:space="preserve">Em um primeiro momento, espera-se que as consequências de um aumento da taxa de juros americana na economia brasileira sejam a depreciação do real frente ao dólar e uma elevação do nível de preços. Porém, tais efeitos devem se arrefecidos pelo aumento da taxa </w:t>
      </w:r>
      <w:r w:rsidR="006A0D38">
        <w:rPr>
          <w:rFonts w:ascii="Times New Roman" w:hAnsi="Times New Roman" w:cs="Times New Roman"/>
          <w:sz w:val="24"/>
          <w:szCs w:val="24"/>
        </w:rPr>
        <w:t>de juros doméstica</w:t>
      </w:r>
      <w:r w:rsidRPr="00380DA9">
        <w:rPr>
          <w:rFonts w:ascii="Times New Roman" w:hAnsi="Times New Roman" w:cs="Times New Roman"/>
          <w:sz w:val="24"/>
          <w:szCs w:val="24"/>
        </w:rPr>
        <w:t xml:space="preserve"> por parte do </w:t>
      </w:r>
      <w:r w:rsidR="006A0D38">
        <w:rPr>
          <w:rFonts w:ascii="Times New Roman" w:hAnsi="Times New Roman" w:cs="Times New Roman"/>
          <w:sz w:val="24"/>
          <w:szCs w:val="24"/>
        </w:rPr>
        <w:t>Banco Central</w:t>
      </w:r>
      <w:r w:rsidRPr="00380DA9">
        <w:rPr>
          <w:rFonts w:ascii="Times New Roman" w:hAnsi="Times New Roman" w:cs="Times New Roman"/>
          <w:sz w:val="24"/>
          <w:szCs w:val="24"/>
        </w:rPr>
        <w:t>.</w:t>
      </w:r>
    </w:p>
    <w:p w14:paraId="111C45A0" w14:textId="621060BC" w:rsidR="00DA5B79" w:rsidRPr="00380DA9" w:rsidRDefault="00DA5B79" w:rsidP="00511A46">
      <w:pPr>
        <w:pStyle w:val="PargrafodaLista"/>
        <w:spacing w:after="0" w:line="240" w:lineRule="auto"/>
        <w:ind w:left="0" w:right="-142" w:firstLine="708"/>
        <w:contextualSpacing w:val="0"/>
        <w:jc w:val="both"/>
        <w:rPr>
          <w:rFonts w:ascii="Times New Roman" w:hAnsi="Times New Roman" w:cs="Times New Roman"/>
          <w:sz w:val="24"/>
          <w:szCs w:val="24"/>
          <w:lang w:val="pt-PT"/>
        </w:rPr>
      </w:pPr>
      <w:r w:rsidRPr="00380DA9">
        <w:rPr>
          <w:rFonts w:ascii="Times New Roman" w:hAnsi="Times New Roman" w:cs="Times New Roman"/>
          <w:sz w:val="24"/>
          <w:szCs w:val="24"/>
        </w:rPr>
        <w:t xml:space="preserve">O presente artigo está organizado da seguinte forma: além dessa introdução, a seção dois apresenta uma contextualização do ambiente econômico em que o objeto de estudo está inserido. Dessa forma, será feita uma breve apresentação da política de </w:t>
      </w:r>
      <w:proofErr w:type="spellStart"/>
      <w:r w:rsidRPr="00380DA9">
        <w:rPr>
          <w:rFonts w:ascii="Times New Roman" w:hAnsi="Times New Roman" w:cs="Times New Roman"/>
          <w:i/>
          <w:sz w:val="24"/>
          <w:szCs w:val="24"/>
        </w:rPr>
        <w:t>quantitative</w:t>
      </w:r>
      <w:proofErr w:type="spellEnd"/>
      <w:r w:rsidRPr="00380DA9">
        <w:rPr>
          <w:rFonts w:ascii="Times New Roman" w:hAnsi="Times New Roman" w:cs="Times New Roman"/>
          <w:i/>
          <w:sz w:val="24"/>
          <w:szCs w:val="24"/>
        </w:rPr>
        <w:t xml:space="preserve"> </w:t>
      </w:r>
      <w:proofErr w:type="spellStart"/>
      <w:r w:rsidRPr="00380DA9">
        <w:rPr>
          <w:rFonts w:ascii="Times New Roman" w:hAnsi="Times New Roman" w:cs="Times New Roman"/>
          <w:i/>
          <w:sz w:val="24"/>
          <w:szCs w:val="24"/>
        </w:rPr>
        <w:t>easing</w:t>
      </w:r>
      <w:proofErr w:type="spellEnd"/>
      <w:r w:rsidRPr="00380DA9">
        <w:rPr>
          <w:rFonts w:ascii="Times New Roman" w:hAnsi="Times New Roman" w:cs="Times New Roman"/>
          <w:i/>
          <w:sz w:val="24"/>
          <w:szCs w:val="24"/>
        </w:rPr>
        <w:t xml:space="preserve"> </w:t>
      </w:r>
      <w:r w:rsidRPr="00380DA9">
        <w:rPr>
          <w:rFonts w:ascii="Times New Roman" w:hAnsi="Times New Roman" w:cs="Times New Roman"/>
          <w:sz w:val="24"/>
          <w:szCs w:val="24"/>
        </w:rPr>
        <w:t>e da gradativa retomada à política monetária convencional, o processo de</w:t>
      </w:r>
      <w:r w:rsidRPr="00380DA9">
        <w:rPr>
          <w:rFonts w:ascii="Times New Roman" w:hAnsi="Times New Roman" w:cs="Times New Roman"/>
          <w:i/>
          <w:sz w:val="24"/>
          <w:szCs w:val="24"/>
        </w:rPr>
        <w:t xml:space="preserve"> </w:t>
      </w:r>
      <w:proofErr w:type="spellStart"/>
      <w:r w:rsidRPr="00380DA9">
        <w:rPr>
          <w:rFonts w:ascii="Times New Roman" w:hAnsi="Times New Roman" w:cs="Times New Roman"/>
          <w:i/>
          <w:sz w:val="24"/>
          <w:szCs w:val="24"/>
        </w:rPr>
        <w:t>tapering</w:t>
      </w:r>
      <w:proofErr w:type="spellEnd"/>
      <w:r w:rsidRPr="00380DA9">
        <w:rPr>
          <w:rFonts w:ascii="Times New Roman" w:hAnsi="Times New Roman" w:cs="Times New Roman"/>
          <w:sz w:val="24"/>
          <w:szCs w:val="24"/>
        </w:rPr>
        <w:t xml:space="preserve">. Na seção de número três, </w:t>
      </w:r>
      <w:r w:rsidR="006F4001">
        <w:rPr>
          <w:rFonts w:ascii="Times New Roman" w:hAnsi="Times New Roman" w:cs="Times New Roman"/>
          <w:sz w:val="24"/>
          <w:szCs w:val="24"/>
        </w:rPr>
        <w:t>é apresentado</w:t>
      </w:r>
      <w:r w:rsidRPr="00380DA9">
        <w:rPr>
          <w:rFonts w:ascii="Times New Roman" w:hAnsi="Times New Roman" w:cs="Times New Roman"/>
          <w:sz w:val="24"/>
          <w:szCs w:val="24"/>
        </w:rPr>
        <w:t xml:space="preserve"> o modelo DSGE que busca auxiliar a compreensão dos prováveis efeitos do processo de </w:t>
      </w:r>
      <w:proofErr w:type="spellStart"/>
      <w:r w:rsidRPr="00380DA9">
        <w:rPr>
          <w:rFonts w:ascii="Times New Roman" w:hAnsi="Times New Roman" w:cs="Times New Roman"/>
          <w:i/>
          <w:sz w:val="24"/>
          <w:szCs w:val="24"/>
        </w:rPr>
        <w:t>tapering</w:t>
      </w:r>
      <w:proofErr w:type="spellEnd"/>
      <w:r w:rsidRPr="00380DA9">
        <w:rPr>
          <w:rFonts w:ascii="Times New Roman" w:hAnsi="Times New Roman" w:cs="Times New Roman"/>
          <w:sz w:val="24"/>
          <w:szCs w:val="24"/>
        </w:rPr>
        <w:t xml:space="preserve"> sobre a economia brasileira. A seção quatro apresenta </w:t>
      </w:r>
      <w:r w:rsidR="00144B24">
        <w:rPr>
          <w:rFonts w:ascii="Times New Roman" w:hAnsi="Times New Roman" w:cs="Times New Roman"/>
          <w:sz w:val="24"/>
          <w:szCs w:val="24"/>
        </w:rPr>
        <w:t>a</w:t>
      </w:r>
      <w:r w:rsidRPr="00380DA9">
        <w:rPr>
          <w:rFonts w:ascii="Times New Roman" w:hAnsi="Times New Roman" w:cs="Times New Roman"/>
          <w:sz w:val="24"/>
          <w:szCs w:val="24"/>
        </w:rPr>
        <w:t xml:space="preserve"> descrição dos dados utilizados, </w:t>
      </w:r>
      <w:r w:rsidR="00144B24">
        <w:rPr>
          <w:rFonts w:ascii="Times New Roman" w:hAnsi="Times New Roman" w:cs="Times New Roman"/>
          <w:sz w:val="24"/>
          <w:szCs w:val="24"/>
        </w:rPr>
        <w:t>a</w:t>
      </w:r>
      <w:r w:rsidRPr="00380DA9">
        <w:rPr>
          <w:rFonts w:ascii="Times New Roman" w:hAnsi="Times New Roman" w:cs="Times New Roman"/>
          <w:sz w:val="24"/>
          <w:szCs w:val="24"/>
        </w:rPr>
        <w:t xml:space="preserve"> calibragem e </w:t>
      </w:r>
      <w:r w:rsidR="00144B24">
        <w:rPr>
          <w:rFonts w:ascii="Times New Roman" w:hAnsi="Times New Roman" w:cs="Times New Roman"/>
          <w:sz w:val="24"/>
          <w:szCs w:val="24"/>
        </w:rPr>
        <w:t xml:space="preserve">a </w:t>
      </w:r>
      <w:r w:rsidRPr="00380DA9">
        <w:rPr>
          <w:rFonts w:ascii="Times New Roman" w:hAnsi="Times New Roman" w:cs="Times New Roman"/>
          <w:sz w:val="24"/>
          <w:szCs w:val="24"/>
        </w:rPr>
        <w:t xml:space="preserve">estimação dos parâmetros do modelo. Na seção </w:t>
      </w:r>
      <w:r w:rsidR="00144B24">
        <w:rPr>
          <w:rFonts w:ascii="Times New Roman" w:hAnsi="Times New Roman" w:cs="Times New Roman"/>
          <w:sz w:val="24"/>
          <w:szCs w:val="24"/>
        </w:rPr>
        <w:t>seis</w:t>
      </w:r>
      <w:r w:rsidRPr="00380DA9">
        <w:rPr>
          <w:rFonts w:ascii="Times New Roman" w:hAnsi="Times New Roman" w:cs="Times New Roman"/>
          <w:sz w:val="24"/>
          <w:szCs w:val="24"/>
        </w:rPr>
        <w:t>, serão discutidos os resultados estimados pelo modelo com base nas funções impulso-resposta. Por fim, apresentam-se as conclusões e considerações sobre os resultados finais do trabalho.</w:t>
      </w:r>
    </w:p>
    <w:p w14:paraId="111C45A1" w14:textId="4F2AD68B" w:rsidR="00DA5B79" w:rsidRDefault="00DA5B79" w:rsidP="00511A46">
      <w:pPr>
        <w:tabs>
          <w:tab w:val="center" w:pos="0"/>
        </w:tabs>
        <w:spacing w:after="0" w:line="240" w:lineRule="auto"/>
        <w:ind w:right="-142"/>
        <w:jc w:val="both"/>
        <w:rPr>
          <w:rFonts w:ascii="Times New Roman" w:hAnsi="Times New Roman" w:cs="Times New Roman"/>
          <w:sz w:val="24"/>
          <w:szCs w:val="24"/>
        </w:rPr>
      </w:pPr>
    </w:p>
    <w:p w14:paraId="09213C4B" w14:textId="77777777" w:rsidR="00B96542" w:rsidRPr="00380DA9" w:rsidRDefault="00B96542" w:rsidP="00511A46">
      <w:pPr>
        <w:tabs>
          <w:tab w:val="center" w:pos="0"/>
        </w:tabs>
        <w:spacing w:after="0" w:line="240" w:lineRule="auto"/>
        <w:ind w:right="-142"/>
        <w:jc w:val="both"/>
        <w:rPr>
          <w:rFonts w:ascii="Times New Roman" w:hAnsi="Times New Roman" w:cs="Times New Roman"/>
          <w:sz w:val="24"/>
          <w:szCs w:val="24"/>
        </w:rPr>
      </w:pPr>
    </w:p>
    <w:p w14:paraId="111C45A2" w14:textId="77777777" w:rsidR="00DA5B79" w:rsidRPr="00380DA9" w:rsidRDefault="00DA5B79" w:rsidP="00511A46">
      <w:pPr>
        <w:pStyle w:val="PargrafodaLista"/>
        <w:numPr>
          <w:ilvl w:val="0"/>
          <w:numId w:val="4"/>
        </w:numPr>
        <w:spacing w:after="120" w:line="240" w:lineRule="auto"/>
        <w:ind w:left="720" w:right="-142" w:hanging="720"/>
        <w:contextualSpacing w:val="0"/>
        <w:jc w:val="both"/>
        <w:rPr>
          <w:rFonts w:ascii="Times New Roman" w:hAnsi="Times New Roman" w:cs="Times New Roman"/>
          <w:b/>
          <w:sz w:val="24"/>
          <w:szCs w:val="24"/>
        </w:rPr>
      </w:pPr>
      <w:r w:rsidRPr="00380DA9">
        <w:rPr>
          <w:rFonts w:ascii="Times New Roman" w:hAnsi="Times New Roman" w:cs="Times New Roman"/>
          <w:b/>
          <w:sz w:val="24"/>
          <w:szCs w:val="24"/>
        </w:rPr>
        <w:t>O fim da política monetária não convencional americana e possíveis efeitos sobre a economia brasileira</w:t>
      </w:r>
    </w:p>
    <w:p w14:paraId="111C45A3" w14:textId="1AD42D4B" w:rsidR="00DA5B79" w:rsidRPr="00380DA9" w:rsidRDefault="00DA5B79" w:rsidP="00511A46">
      <w:pPr>
        <w:pStyle w:val="PargrafodaLista"/>
        <w:spacing w:after="0" w:line="240" w:lineRule="auto"/>
        <w:ind w:left="0" w:right="-142" w:firstLine="720"/>
        <w:contextualSpacing w:val="0"/>
        <w:jc w:val="both"/>
        <w:rPr>
          <w:rFonts w:ascii="Times New Roman" w:hAnsi="Times New Roman" w:cs="Times New Roman"/>
          <w:sz w:val="24"/>
          <w:szCs w:val="24"/>
        </w:rPr>
      </w:pPr>
      <w:r w:rsidRPr="00380DA9">
        <w:rPr>
          <w:rFonts w:ascii="Times New Roman" w:hAnsi="Times New Roman" w:cs="Times New Roman"/>
          <w:sz w:val="24"/>
          <w:szCs w:val="24"/>
        </w:rPr>
        <w:t xml:space="preserve">A interdependência entre a política monetária dos EUA e a economia brasileira ganha relevância em um ambiente econômico em que aquele país segue uma política monetária não convencional, tal como a política de </w:t>
      </w:r>
      <w:proofErr w:type="spellStart"/>
      <w:r w:rsidRPr="00380DA9">
        <w:rPr>
          <w:rFonts w:ascii="Times New Roman" w:hAnsi="Times New Roman" w:cs="Times New Roman"/>
          <w:i/>
          <w:sz w:val="24"/>
          <w:szCs w:val="24"/>
        </w:rPr>
        <w:t>Quantitative</w:t>
      </w:r>
      <w:proofErr w:type="spellEnd"/>
      <w:r w:rsidRPr="00380DA9">
        <w:rPr>
          <w:rFonts w:ascii="Times New Roman" w:hAnsi="Times New Roman" w:cs="Times New Roman"/>
          <w:i/>
          <w:sz w:val="24"/>
          <w:szCs w:val="24"/>
        </w:rPr>
        <w:t xml:space="preserve"> </w:t>
      </w:r>
      <w:proofErr w:type="spellStart"/>
      <w:r w:rsidRPr="00380DA9">
        <w:rPr>
          <w:rFonts w:ascii="Times New Roman" w:hAnsi="Times New Roman" w:cs="Times New Roman"/>
          <w:i/>
          <w:sz w:val="24"/>
          <w:szCs w:val="24"/>
        </w:rPr>
        <w:t>Easing</w:t>
      </w:r>
      <w:proofErr w:type="spellEnd"/>
      <w:r w:rsidRPr="00380DA9">
        <w:rPr>
          <w:rFonts w:ascii="Times New Roman" w:hAnsi="Times New Roman" w:cs="Times New Roman"/>
          <w:i/>
          <w:sz w:val="24"/>
          <w:szCs w:val="24"/>
        </w:rPr>
        <w:t xml:space="preserve"> </w:t>
      </w:r>
      <w:r w:rsidRPr="00380DA9">
        <w:rPr>
          <w:rFonts w:ascii="Times New Roman" w:hAnsi="Times New Roman" w:cs="Times New Roman"/>
          <w:sz w:val="24"/>
          <w:szCs w:val="24"/>
        </w:rPr>
        <w:t xml:space="preserve">adotada no bojo da crise do </w:t>
      </w:r>
      <w:proofErr w:type="spellStart"/>
      <w:r w:rsidRPr="00380DA9">
        <w:rPr>
          <w:rFonts w:ascii="Times New Roman" w:hAnsi="Times New Roman" w:cs="Times New Roman"/>
          <w:i/>
          <w:sz w:val="24"/>
          <w:szCs w:val="24"/>
        </w:rPr>
        <w:t>subprime</w:t>
      </w:r>
      <w:proofErr w:type="spellEnd"/>
      <w:r w:rsidRPr="00380DA9">
        <w:rPr>
          <w:rFonts w:ascii="Times New Roman" w:hAnsi="Times New Roman" w:cs="Times New Roman"/>
          <w:i/>
          <w:sz w:val="24"/>
          <w:szCs w:val="24"/>
        </w:rPr>
        <w:t>.</w:t>
      </w:r>
      <w:r w:rsidRPr="00380DA9">
        <w:rPr>
          <w:rFonts w:ascii="Times New Roman" w:hAnsi="Times New Roman" w:cs="Times New Roman"/>
          <w:sz w:val="24"/>
          <w:szCs w:val="24"/>
        </w:rPr>
        <w:t xml:space="preserve"> Os efeitos dessa política em economia emergentes, incluindo a brasileira, foram amplamente estudados pela literatura econômica, mas outros problemas relevantes emergem com a possibilidade do esgotamento do QE e com o provável retorno gradual à política convencional, processo que ficou conhecido como </w:t>
      </w:r>
      <w:proofErr w:type="spellStart"/>
      <w:r w:rsidRPr="00380DA9">
        <w:rPr>
          <w:rFonts w:ascii="Times New Roman" w:hAnsi="Times New Roman" w:cs="Times New Roman"/>
          <w:i/>
          <w:sz w:val="24"/>
          <w:szCs w:val="24"/>
        </w:rPr>
        <w:t>tapering</w:t>
      </w:r>
      <w:proofErr w:type="spellEnd"/>
      <w:r w:rsidRPr="00380DA9">
        <w:rPr>
          <w:rFonts w:ascii="Times New Roman" w:hAnsi="Times New Roman" w:cs="Times New Roman"/>
          <w:sz w:val="24"/>
          <w:szCs w:val="24"/>
        </w:rPr>
        <w:t>. Nesta seção, serão apresentados ambos os processos relativos à política monetária não convencional implementada pelo FED e as consequências esperadas para a economia brasileira.</w:t>
      </w:r>
    </w:p>
    <w:p w14:paraId="111C45A4" w14:textId="77777777" w:rsidR="00DA5B79" w:rsidRPr="00380DA9" w:rsidRDefault="00DA5B79" w:rsidP="00511A46">
      <w:pPr>
        <w:pStyle w:val="PargrafodaLista"/>
        <w:spacing w:after="0" w:line="240" w:lineRule="auto"/>
        <w:ind w:left="0" w:right="-142" w:firstLine="720"/>
        <w:contextualSpacing w:val="0"/>
        <w:jc w:val="both"/>
        <w:rPr>
          <w:rFonts w:ascii="Times New Roman" w:hAnsi="Times New Roman" w:cs="Times New Roman"/>
          <w:sz w:val="24"/>
          <w:szCs w:val="24"/>
        </w:rPr>
      </w:pPr>
    </w:p>
    <w:p w14:paraId="111C45A5" w14:textId="66D88FBF" w:rsidR="00DA5B79" w:rsidRDefault="00DA5B79" w:rsidP="00511A46">
      <w:pPr>
        <w:pStyle w:val="PargrafodaLista"/>
        <w:spacing w:after="0" w:line="240" w:lineRule="auto"/>
        <w:ind w:left="0" w:right="-142"/>
        <w:contextualSpacing w:val="0"/>
        <w:jc w:val="both"/>
        <w:rPr>
          <w:rFonts w:ascii="Times New Roman" w:hAnsi="Times New Roman" w:cs="Times New Roman"/>
          <w:b/>
          <w:i/>
          <w:sz w:val="24"/>
          <w:szCs w:val="24"/>
          <w:shd w:val="clear" w:color="auto" w:fill="FFFFFF"/>
        </w:rPr>
      </w:pPr>
      <w:r w:rsidRPr="00380DA9">
        <w:rPr>
          <w:rFonts w:ascii="Times New Roman" w:hAnsi="Times New Roman" w:cs="Times New Roman"/>
          <w:b/>
          <w:i/>
          <w:sz w:val="24"/>
          <w:szCs w:val="24"/>
          <w:shd w:val="clear" w:color="auto" w:fill="FFFFFF"/>
        </w:rPr>
        <w:t xml:space="preserve">Quantitativa </w:t>
      </w:r>
      <w:proofErr w:type="spellStart"/>
      <w:r w:rsidRPr="00380DA9">
        <w:rPr>
          <w:rFonts w:ascii="Times New Roman" w:hAnsi="Times New Roman" w:cs="Times New Roman"/>
          <w:b/>
          <w:i/>
          <w:sz w:val="24"/>
          <w:szCs w:val="24"/>
          <w:shd w:val="clear" w:color="auto" w:fill="FFFFFF"/>
        </w:rPr>
        <w:t>easing</w:t>
      </w:r>
      <w:proofErr w:type="spellEnd"/>
    </w:p>
    <w:p w14:paraId="1D0F8747" w14:textId="77777777" w:rsidR="00D90DE6" w:rsidRPr="00380DA9" w:rsidRDefault="00D90DE6" w:rsidP="00511A46">
      <w:pPr>
        <w:pStyle w:val="PargrafodaLista"/>
        <w:spacing w:after="0" w:line="240" w:lineRule="auto"/>
        <w:ind w:left="0" w:right="-142"/>
        <w:contextualSpacing w:val="0"/>
        <w:jc w:val="both"/>
        <w:rPr>
          <w:rFonts w:ascii="Times New Roman" w:hAnsi="Times New Roman" w:cs="Times New Roman"/>
          <w:b/>
          <w:i/>
          <w:sz w:val="24"/>
          <w:szCs w:val="24"/>
          <w:shd w:val="clear" w:color="auto" w:fill="FFFFFF"/>
        </w:rPr>
      </w:pPr>
    </w:p>
    <w:p w14:paraId="111C45A6" w14:textId="77777777" w:rsidR="00DA5B79" w:rsidRPr="00380DA9" w:rsidRDefault="00DA5B79" w:rsidP="00511A46">
      <w:pPr>
        <w:pStyle w:val="PargrafodaLista"/>
        <w:spacing w:after="0" w:line="240" w:lineRule="auto"/>
        <w:ind w:left="0" w:right="-142" w:firstLine="708"/>
        <w:contextualSpacing w:val="0"/>
        <w:jc w:val="both"/>
        <w:rPr>
          <w:rFonts w:ascii="Times New Roman" w:hAnsi="Times New Roman" w:cs="Times New Roman"/>
          <w:sz w:val="24"/>
          <w:szCs w:val="24"/>
          <w:shd w:val="clear" w:color="auto" w:fill="FFFFFF"/>
        </w:rPr>
      </w:pPr>
      <w:r w:rsidRPr="00380DA9">
        <w:rPr>
          <w:rFonts w:ascii="Times New Roman" w:hAnsi="Times New Roman" w:cs="Times New Roman"/>
          <w:sz w:val="24"/>
          <w:szCs w:val="24"/>
          <w:shd w:val="clear" w:color="auto" w:fill="FFFFFF"/>
        </w:rPr>
        <w:t xml:space="preserve">Segundo </w:t>
      </w:r>
      <w:proofErr w:type="spellStart"/>
      <w:r w:rsidRPr="00380DA9">
        <w:rPr>
          <w:rFonts w:ascii="Times New Roman" w:hAnsi="Times New Roman" w:cs="Times New Roman"/>
          <w:sz w:val="24"/>
          <w:szCs w:val="24"/>
          <w:shd w:val="clear" w:color="auto" w:fill="FFFFFF"/>
        </w:rPr>
        <w:t>Blanchard</w:t>
      </w:r>
      <w:proofErr w:type="spellEnd"/>
      <w:r w:rsidRPr="00380DA9">
        <w:rPr>
          <w:rFonts w:ascii="Times New Roman" w:hAnsi="Times New Roman" w:cs="Times New Roman"/>
          <w:sz w:val="24"/>
          <w:szCs w:val="24"/>
          <w:shd w:val="clear" w:color="auto" w:fill="FFFFFF"/>
        </w:rPr>
        <w:t xml:space="preserve">, </w:t>
      </w:r>
      <w:proofErr w:type="spellStart"/>
      <w:r w:rsidRPr="00380DA9">
        <w:rPr>
          <w:rFonts w:ascii="Times New Roman" w:hAnsi="Times New Roman" w:cs="Times New Roman"/>
          <w:sz w:val="24"/>
          <w:szCs w:val="24"/>
          <w:shd w:val="clear" w:color="auto" w:fill="FFFFFF"/>
        </w:rPr>
        <w:t>Ariccia</w:t>
      </w:r>
      <w:proofErr w:type="spellEnd"/>
      <w:r w:rsidRPr="00380DA9">
        <w:rPr>
          <w:rFonts w:ascii="Times New Roman" w:hAnsi="Times New Roman" w:cs="Times New Roman"/>
          <w:sz w:val="24"/>
          <w:szCs w:val="24"/>
          <w:shd w:val="clear" w:color="auto" w:fill="FFFFFF"/>
        </w:rPr>
        <w:t xml:space="preserve"> e Mauro (2013, p.9), a política de</w:t>
      </w:r>
      <w:r w:rsidRPr="00380DA9">
        <w:rPr>
          <w:rFonts w:ascii="Times New Roman" w:hAnsi="Times New Roman" w:cs="Times New Roman"/>
          <w:i/>
          <w:sz w:val="24"/>
          <w:szCs w:val="24"/>
          <w:shd w:val="clear" w:color="auto" w:fill="FFFFFF"/>
        </w:rPr>
        <w:t xml:space="preserve"> </w:t>
      </w:r>
      <w:proofErr w:type="spellStart"/>
      <w:r w:rsidRPr="00380DA9">
        <w:rPr>
          <w:rFonts w:ascii="Times New Roman" w:hAnsi="Times New Roman" w:cs="Times New Roman"/>
          <w:i/>
          <w:sz w:val="24"/>
          <w:szCs w:val="24"/>
          <w:shd w:val="clear" w:color="auto" w:fill="FFFFFF"/>
        </w:rPr>
        <w:t>quantitative</w:t>
      </w:r>
      <w:proofErr w:type="spellEnd"/>
      <w:r w:rsidRPr="00380DA9">
        <w:rPr>
          <w:rFonts w:ascii="Times New Roman" w:hAnsi="Times New Roman" w:cs="Times New Roman"/>
          <w:i/>
          <w:sz w:val="24"/>
          <w:szCs w:val="24"/>
          <w:shd w:val="clear" w:color="auto" w:fill="FFFFFF"/>
        </w:rPr>
        <w:t xml:space="preserve"> </w:t>
      </w:r>
      <w:proofErr w:type="spellStart"/>
      <w:r w:rsidRPr="00380DA9">
        <w:rPr>
          <w:rFonts w:ascii="Times New Roman" w:hAnsi="Times New Roman" w:cs="Times New Roman"/>
          <w:i/>
          <w:sz w:val="24"/>
          <w:szCs w:val="24"/>
          <w:shd w:val="clear" w:color="auto" w:fill="FFFFFF"/>
        </w:rPr>
        <w:t>easing</w:t>
      </w:r>
      <w:proofErr w:type="spellEnd"/>
      <w:r w:rsidRPr="00380DA9">
        <w:rPr>
          <w:rFonts w:ascii="Times New Roman" w:hAnsi="Times New Roman" w:cs="Times New Roman"/>
          <w:i/>
          <w:sz w:val="24"/>
          <w:szCs w:val="24"/>
          <w:shd w:val="clear" w:color="auto" w:fill="FFFFFF"/>
        </w:rPr>
        <w:t xml:space="preserve"> </w:t>
      </w:r>
      <w:r w:rsidRPr="00380DA9">
        <w:rPr>
          <w:rFonts w:ascii="Times New Roman" w:hAnsi="Times New Roman" w:cs="Times New Roman"/>
          <w:sz w:val="24"/>
          <w:szCs w:val="24"/>
          <w:shd w:val="clear" w:color="auto" w:fill="FFFFFF"/>
        </w:rPr>
        <w:t>pode ser entendida como uma combinação de “flexibilização condicionada (compra de alguns ativos, como títulos do tesouro de longo prazo, financiados pela venda de ativos de curto prazo) e uma expansão monetária convencional (compra de ativos de curto prazo com dinheiro do banco central)”.</w:t>
      </w:r>
    </w:p>
    <w:p w14:paraId="111C45A7" w14:textId="77777777" w:rsidR="00DA5B79" w:rsidRPr="00380DA9" w:rsidRDefault="00DA5B79" w:rsidP="00511A46">
      <w:pPr>
        <w:pStyle w:val="PargrafodaLista"/>
        <w:spacing w:after="0" w:line="240" w:lineRule="auto"/>
        <w:ind w:left="0" w:right="-142" w:firstLine="708"/>
        <w:contextualSpacing w:val="0"/>
        <w:jc w:val="both"/>
        <w:rPr>
          <w:rFonts w:ascii="Times New Roman" w:hAnsi="Times New Roman" w:cs="Times New Roman"/>
          <w:shd w:val="clear" w:color="auto" w:fill="FFFFFF"/>
        </w:rPr>
      </w:pPr>
      <w:proofErr w:type="spellStart"/>
      <w:r w:rsidRPr="00380DA9">
        <w:rPr>
          <w:rFonts w:ascii="Times New Roman" w:hAnsi="Times New Roman" w:cs="Times New Roman"/>
          <w:shd w:val="clear" w:color="auto" w:fill="FFFFFF"/>
        </w:rPr>
        <w:t>Lim</w:t>
      </w:r>
      <w:proofErr w:type="spellEnd"/>
      <w:r w:rsidRPr="00380DA9">
        <w:rPr>
          <w:rFonts w:ascii="Times New Roman" w:hAnsi="Times New Roman" w:cs="Times New Roman"/>
          <w:shd w:val="clear" w:color="auto" w:fill="FFFFFF"/>
        </w:rPr>
        <w:t xml:space="preserve">, </w:t>
      </w:r>
      <w:proofErr w:type="spellStart"/>
      <w:r w:rsidRPr="00380DA9">
        <w:rPr>
          <w:rFonts w:ascii="Times New Roman" w:hAnsi="Times New Roman" w:cs="Times New Roman"/>
          <w:shd w:val="clear" w:color="auto" w:fill="FFFFFF"/>
        </w:rPr>
        <w:t>Mohapatra</w:t>
      </w:r>
      <w:proofErr w:type="spellEnd"/>
      <w:r w:rsidRPr="00380DA9">
        <w:rPr>
          <w:rFonts w:ascii="Times New Roman" w:hAnsi="Times New Roman" w:cs="Times New Roman"/>
          <w:shd w:val="clear" w:color="auto" w:fill="FFFFFF"/>
        </w:rPr>
        <w:t xml:space="preserve"> e </w:t>
      </w:r>
      <w:proofErr w:type="spellStart"/>
      <w:r w:rsidRPr="00380DA9">
        <w:rPr>
          <w:rFonts w:ascii="Times New Roman" w:hAnsi="Times New Roman" w:cs="Times New Roman"/>
          <w:shd w:val="clear" w:color="auto" w:fill="FFFFFF"/>
        </w:rPr>
        <w:t>Stocker</w:t>
      </w:r>
      <w:proofErr w:type="spellEnd"/>
      <w:r w:rsidRPr="00380DA9">
        <w:rPr>
          <w:rFonts w:ascii="Times New Roman" w:hAnsi="Times New Roman" w:cs="Times New Roman"/>
          <w:shd w:val="clear" w:color="auto" w:fill="FFFFFF"/>
        </w:rPr>
        <w:t xml:space="preserve"> (2014, p.37) dividem a recente política monetária não convencional adotada pelo FED em três partes: (i) QE1, em que ocorreram compras em massa realizadas pelo FED de </w:t>
      </w:r>
      <w:r w:rsidRPr="00380DA9">
        <w:rPr>
          <w:rFonts w:ascii="Times New Roman" w:hAnsi="Times New Roman" w:cs="Times New Roman"/>
          <w:shd w:val="clear" w:color="auto" w:fill="FFFFFF"/>
        </w:rPr>
        <w:lastRenderedPageBreak/>
        <w:t>“</w:t>
      </w:r>
      <w:proofErr w:type="spellStart"/>
      <w:r w:rsidRPr="00380DA9">
        <w:rPr>
          <w:rFonts w:ascii="Times New Roman" w:hAnsi="Times New Roman" w:cs="Times New Roman"/>
          <w:i/>
          <w:shd w:val="clear" w:color="auto" w:fill="FFFFFF"/>
        </w:rPr>
        <w:t>mortgage-backed</w:t>
      </w:r>
      <w:proofErr w:type="spellEnd"/>
      <w:r w:rsidRPr="00380DA9">
        <w:rPr>
          <w:rFonts w:ascii="Times New Roman" w:hAnsi="Times New Roman" w:cs="Times New Roman"/>
          <w:i/>
          <w:shd w:val="clear" w:color="auto" w:fill="FFFFFF"/>
        </w:rPr>
        <w:t xml:space="preserve"> </w:t>
      </w:r>
      <w:proofErr w:type="spellStart"/>
      <w:r w:rsidRPr="00380DA9">
        <w:rPr>
          <w:rFonts w:ascii="Times New Roman" w:hAnsi="Times New Roman" w:cs="Times New Roman"/>
          <w:i/>
          <w:shd w:val="clear" w:color="auto" w:fill="FFFFFF"/>
        </w:rPr>
        <w:t>securities</w:t>
      </w:r>
      <w:proofErr w:type="spellEnd"/>
      <w:r w:rsidRPr="00380DA9">
        <w:rPr>
          <w:rFonts w:ascii="Times New Roman" w:hAnsi="Times New Roman" w:cs="Times New Roman"/>
          <w:shd w:val="clear" w:color="auto" w:fill="FFFFFF"/>
        </w:rPr>
        <w:t xml:space="preserve">” (MBS) e outros “ativos tóxicos” no início da crise. Tal processo ocorreu do final de 2008 a 2010, sendo que em março de 2009 o FED anunciou a intenção de comprar US$1,7 trilhões em ativos financeiros dessa natureza, uma operação que ficou conhecida como </w:t>
      </w:r>
      <w:proofErr w:type="spellStart"/>
      <w:r w:rsidRPr="00380DA9">
        <w:rPr>
          <w:rFonts w:ascii="Times New Roman" w:hAnsi="Times New Roman" w:cs="Times New Roman"/>
          <w:i/>
          <w:shd w:val="clear" w:color="auto" w:fill="FFFFFF"/>
        </w:rPr>
        <w:t>large-scale</w:t>
      </w:r>
      <w:proofErr w:type="spellEnd"/>
      <w:r w:rsidRPr="00380DA9">
        <w:rPr>
          <w:rFonts w:ascii="Times New Roman" w:hAnsi="Times New Roman" w:cs="Times New Roman"/>
          <w:i/>
          <w:shd w:val="clear" w:color="auto" w:fill="FFFFFF"/>
        </w:rPr>
        <w:t xml:space="preserve"> </w:t>
      </w:r>
      <w:proofErr w:type="spellStart"/>
      <w:r w:rsidRPr="00380DA9">
        <w:rPr>
          <w:rFonts w:ascii="Times New Roman" w:hAnsi="Times New Roman" w:cs="Times New Roman"/>
          <w:i/>
          <w:shd w:val="clear" w:color="auto" w:fill="FFFFFF"/>
        </w:rPr>
        <w:t>asset</w:t>
      </w:r>
      <w:proofErr w:type="spellEnd"/>
      <w:r w:rsidRPr="00380DA9">
        <w:rPr>
          <w:rFonts w:ascii="Times New Roman" w:hAnsi="Times New Roman" w:cs="Times New Roman"/>
          <w:i/>
          <w:shd w:val="clear" w:color="auto" w:fill="FFFFFF"/>
        </w:rPr>
        <w:t xml:space="preserve"> </w:t>
      </w:r>
      <w:proofErr w:type="spellStart"/>
      <w:r w:rsidRPr="00380DA9">
        <w:rPr>
          <w:rFonts w:ascii="Times New Roman" w:hAnsi="Times New Roman" w:cs="Times New Roman"/>
          <w:i/>
          <w:shd w:val="clear" w:color="auto" w:fill="FFFFFF"/>
        </w:rPr>
        <w:t>purchases</w:t>
      </w:r>
      <w:proofErr w:type="spellEnd"/>
      <w:r w:rsidRPr="00380DA9">
        <w:rPr>
          <w:rFonts w:ascii="Times New Roman" w:hAnsi="Times New Roman" w:cs="Times New Roman"/>
          <w:i/>
          <w:shd w:val="clear" w:color="auto" w:fill="FFFFFF"/>
        </w:rPr>
        <w:t xml:space="preserve"> </w:t>
      </w:r>
      <w:r w:rsidRPr="00380DA9">
        <w:rPr>
          <w:rFonts w:ascii="Times New Roman" w:hAnsi="Times New Roman" w:cs="Times New Roman"/>
          <w:shd w:val="clear" w:color="auto" w:fill="FFFFFF"/>
        </w:rPr>
        <w:t>(LSAP); (</w:t>
      </w:r>
      <w:proofErr w:type="spellStart"/>
      <w:r w:rsidRPr="00380DA9">
        <w:rPr>
          <w:rFonts w:ascii="Times New Roman" w:hAnsi="Times New Roman" w:cs="Times New Roman"/>
          <w:shd w:val="clear" w:color="auto" w:fill="FFFFFF"/>
        </w:rPr>
        <w:t>ii</w:t>
      </w:r>
      <w:proofErr w:type="spellEnd"/>
      <w:r w:rsidRPr="00380DA9">
        <w:rPr>
          <w:rFonts w:ascii="Times New Roman" w:hAnsi="Times New Roman" w:cs="Times New Roman"/>
          <w:shd w:val="clear" w:color="auto" w:fill="FFFFFF"/>
        </w:rPr>
        <w:t>) QE2, programa do FED que se concentrou em comprar títulos do tesouro americano no segundo semestre de 2010, quando a instituição anunciou a compra de US$600 bilhões em títulos públicos e; (</w:t>
      </w:r>
      <w:proofErr w:type="spellStart"/>
      <w:r w:rsidRPr="00380DA9">
        <w:rPr>
          <w:rFonts w:ascii="Times New Roman" w:hAnsi="Times New Roman" w:cs="Times New Roman"/>
          <w:shd w:val="clear" w:color="auto" w:fill="FFFFFF"/>
        </w:rPr>
        <w:t>iii</w:t>
      </w:r>
      <w:proofErr w:type="spellEnd"/>
      <w:r w:rsidRPr="00380DA9">
        <w:rPr>
          <w:rFonts w:ascii="Times New Roman" w:hAnsi="Times New Roman" w:cs="Times New Roman"/>
          <w:shd w:val="clear" w:color="auto" w:fill="FFFFFF"/>
        </w:rPr>
        <w:t>) QE3, um novo programa de compras mensais de MBS entre o último trimestre de 2012 e o segundo trimestre de 2013, esta parte totalizou aproximadamente US$1 trilhão em compras de títulos pelo FED.</w:t>
      </w:r>
    </w:p>
    <w:p w14:paraId="111C45A8" w14:textId="77777777" w:rsidR="00DA5B79" w:rsidRPr="00380DA9" w:rsidRDefault="00DA5B79" w:rsidP="00511A46">
      <w:pPr>
        <w:pStyle w:val="PargrafodaLista"/>
        <w:spacing w:after="0" w:line="240" w:lineRule="auto"/>
        <w:ind w:left="0" w:right="-142" w:firstLine="708"/>
        <w:contextualSpacing w:val="0"/>
        <w:jc w:val="both"/>
        <w:rPr>
          <w:rFonts w:ascii="Times New Roman" w:hAnsi="Times New Roman" w:cs="Times New Roman"/>
          <w:shd w:val="clear" w:color="auto" w:fill="FFFFFF"/>
        </w:rPr>
      </w:pPr>
      <w:r w:rsidRPr="00380DA9">
        <w:rPr>
          <w:rFonts w:ascii="Times New Roman" w:hAnsi="Times New Roman" w:cs="Times New Roman"/>
          <w:shd w:val="clear" w:color="auto" w:fill="FFFFFF"/>
        </w:rPr>
        <w:t xml:space="preserve">Neste contexto, a taxa de juros nominal americana efetiva, a FFR, apresenta uma tendência de baixa e se desloca paulatinamente de 5,25% ao ano, em julho de 2007, para 2%, em julho de 2008. Posteriormente, a taxa atingiu valores abaixo de 1% a.a. depois de setembro do ano de 2008 -configurando a </w:t>
      </w:r>
      <w:r w:rsidRPr="00380DA9">
        <w:rPr>
          <w:rFonts w:ascii="Times New Roman" w:hAnsi="Times New Roman" w:cs="Times New Roman"/>
          <w:i/>
          <w:shd w:val="clear" w:color="auto" w:fill="FFFFFF"/>
        </w:rPr>
        <w:t xml:space="preserve">zero </w:t>
      </w:r>
      <w:proofErr w:type="spellStart"/>
      <w:r w:rsidRPr="00380DA9">
        <w:rPr>
          <w:rFonts w:ascii="Times New Roman" w:hAnsi="Times New Roman" w:cs="Times New Roman"/>
          <w:i/>
          <w:shd w:val="clear" w:color="auto" w:fill="FFFFFF"/>
        </w:rPr>
        <w:t>interest</w:t>
      </w:r>
      <w:proofErr w:type="spellEnd"/>
      <w:r w:rsidRPr="00380DA9">
        <w:rPr>
          <w:rFonts w:ascii="Times New Roman" w:hAnsi="Times New Roman" w:cs="Times New Roman"/>
          <w:i/>
          <w:shd w:val="clear" w:color="auto" w:fill="FFFFFF"/>
        </w:rPr>
        <w:t xml:space="preserve">-rate </w:t>
      </w:r>
      <w:proofErr w:type="spellStart"/>
      <w:r w:rsidRPr="00380DA9">
        <w:rPr>
          <w:rFonts w:ascii="Times New Roman" w:hAnsi="Times New Roman" w:cs="Times New Roman"/>
          <w:i/>
          <w:shd w:val="clear" w:color="auto" w:fill="FFFFFF"/>
        </w:rPr>
        <w:t>policy</w:t>
      </w:r>
      <w:proofErr w:type="spellEnd"/>
      <w:r w:rsidRPr="00380DA9">
        <w:rPr>
          <w:rFonts w:ascii="Times New Roman" w:hAnsi="Times New Roman" w:cs="Times New Roman"/>
          <w:shd w:val="clear" w:color="auto" w:fill="FFFFFF"/>
        </w:rPr>
        <w:t xml:space="preserve"> (ZIRP) - e passa a operar abaixo de 0,10% ao ano em junho de 2013. Em dezembro de 2015, o FED eleva suavemente a FFR, mas continua a operar com um teto para a meta abaixo de 0,5%. Em dezembro de 2016 e em março de 2017 ocorrem novas rodadas de aumento, mas a banda para a meta da taxa de juros americana permanece de 0,50-0,75. Na figura 1 abaixo pode-se observar a trajetória da FFR mensal efetiva.</w:t>
      </w:r>
    </w:p>
    <w:p w14:paraId="111C45A9" w14:textId="77777777" w:rsidR="00DA5B79" w:rsidRPr="00380DA9" w:rsidRDefault="00DA5B79" w:rsidP="00511A46">
      <w:pPr>
        <w:pStyle w:val="PargrafodaLista"/>
        <w:spacing w:after="0" w:line="240" w:lineRule="auto"/>
        <w:ind w:left="0" w:right="-142" w:firstLine="708"/>
        <w:contextualSpacing w:val="0"/>
        <w:jc w:val="both"/>
        <w:rPr>
          <w:rFonts w:ascii="Times New Roman" w:hAnsi="Times New Roman" w:cs="Times New Roman"/>
          <w:sz w:val="24"/>
          <w:szCs w:val="24"/>
          <w:shd w:val="clear" w:color="auto" w:fill="FFFFFF"/>
        </w:rPr>
      </w:pPr>
    </w:p>
    <w:p w14:paraId="111C45AA" w14:textId="77777777" w:rsidR="00DA5B79" w:rsidRPr="00380DA9" w:rsidRDefault="00DA5B79" w:rsidP="00511A46">
      <w:pPr>
        <w:spacing w:after="0" w:line="240" w:lineRule="auto"/>
        <w:ind w:right="-142"/>
        <w:jc w:val="center"/>
        <w:rPr>
          <w:rFonts w:ascii="Times New Roman" w:hAnsi="Times New Roman" w:cs="Times New Roman"/>
          <w:noProof/>
          <w:lang w:val="en-US" w:eastAsia="pt-BR"/>
        </w:rPr>
      </w:pPr>
      <w:proofErr w:type="spellStart"/>
      <w:r w:rsidRPr="00380DA9">
        <w:rPr>
          <w:rFonts w:ascii="Times New Roman" w:hAnsi="Times New Roman" w:cs="Times New Roman"/>
          <w:b/>
          <w:sz w:val="24"/>
          <w:szCs w:val="24"/>
          <w:shd w:val="clear" w:color="auto" w:fill="FFFFFF"/>
          <w:lang w:val="en-US"/>
        </w:rPr>
        <w:t>Figura</w:t>
      </w:r>
      <w:proofErr w:type="spellEnd"/>
      <w:r w:rsidRPr="00380DA9">
        <w:rPr>
          <w:rFonts w:ascii="Times New Roman" w:hAnsi="Times New Roman" w:cs="Times New Roman"/>
          <w:b/>
          <w:sz w:val="24"/>
          <w:szCs w:val="24"/>
          <w:shd w:val="clear" w:color="auto" w:fill="FFFFFF"/>
          <w:lang w:val="en-US"/>
        </w:rPr>
        <w:t xml:space="preserve"> 1. </w:t>
      </w:r>
      <w:r w:rsidRPr="00380DA9">
        <w:rPr>
          <w:rFonts w:ascii="Times New Roman" w:hAnsi="Times New Roman" w:cs="Times New Roman"/>
          <w:b/>
          <w:shd w:val="clear" w:color="auto" w:fill="FFFFFF"/>
          <w:lang w:val="en-US"/>
        </w:rPr>
        <w:t xml:space="preserve">Effective Federal Funds Rate (% </w:t>
      </w:r>
      <w:proofErr w:type="spellStart"/>
      <w:r w:rsidRPr="00380DA9">
        <w:rPr>
          <w:rFonts w:ascii="Times New Roman" w:hAnsi="Times New Roman" w:cs="Times New Roman"/>
          <w:b/>
          <w:shd w:val="clear" w:color="auto" w:fill="FFFFFF"/>
          <w:lang w:val="en-US"/>
        </w:rPr>
        <w:t>a.m</w:t>
      </w:r>
      <w:proofErr w:type="spellEnd"/>
      <w:r w:rsidRPr="00380DA9">
        <w:rPr>
          <w:rFonts w:ascii="Times New Roman" w:hAnsi="Times New Roman" w:cs="Times New Roman"/>
          <w:b/>
          <w:shd w:val="clear" w:color="auto" w:fill="FFFFFF"/>
          <w:lang w:val="en-US"/>
        </w:rPr>
        <w:t>)</w:t>
      </w:r>
      <w:r w:rsidRPr="00380DA9">
        <w:rPr>
          <w:rFonts w:ascii="Times New Roman" w:hAnsi="Times New Roman" w:cs="Times New Roman"/>
          <w:noProof/>
          <w:lang w:val="en-US" w:eastAsia="pt-BR"/>
        </w:rPr>
        <w:t xml:space="preserve"> </w:t>
      </w:r>
    </w:p>
    <w:p w14:paraId="111C45AB" w14:textId="77777777" w:rsidR="00DA5B79" w:rsidRPr="00380DA9" w:rsidRDefault="00DA5B79" w:rsidP="002E1982">
      <w:pPr>
        <w:spacing w:after="0" w:line="240" w:lineRule="auto"/>
        <w:ind w:right="-142"/>
        <w:jc w:val="center"/>
        <w:rPr>
          <w:rFonts w:ascii="Times New Roman" w:hAnsi="Times New Roman" w:cs="Times New Roman"/>
          <w:noProof/>
          <w:lang w:val="en-US" w:eastAsia="pt-BR"/>
        </w:rPr>
      </w:pPr>
    </w:p>
    <w:p w14:paraId="111C45AC" w14:textId="77777777" w:rsidR="00DA5B79" w:rsidRPr="00380DA9" w:rsidRDefault="00D565D1" w:rsidP="005B24F2">
      <w:pPr>
        <w:spacing w:after="0" w:line="240" w:lineRule="auto"/>
        <w:ind w:left="-426" w:right="-142" w:hanging="180"/>
        <w:jc w:val="center"/>
        <w:rPr>
          <w:rFonts w:ascii="Times New Roman" w:hAnsi="Times New Roman" w:cs="Times New Roman"/>
          <w:shd w:val="clear" w:color="auto" w:fill="FFFFFF"/>
          <w:lang w:val="en-US"/>
        </w:rPr>
      </w:pPr>
      <w:r>
        <w:rPr>
          <w:rFonts w:ascii="Times New Roman" w:hAnsi="Times New Roman" w:cs="Times New Roman"/>
          <w:noProof/>
          <w:lang w:eastAsia="pt-BR"/>
        </w:rPr>
        <w:drawing>
          <wp:inline distT="0" distB="0" distL="0" distR="0" wp14:anchorId="111C475F" wp14:editId="7915BB6E">
            <wp:extent cx="5476875" cy="2737485"/>
            <wp:effectExtent l="0" t="0" r="9525" b="5715"/>
            <wp:docPr id="3"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1C45AD" w14:textId="10420DC5" w:rsidR="00DA5B79" w:rsidRPr="00380DA9" w:rsidRDefault="00DA5B79" w:rsidP="002E1982">
      <w:pPr>
        <w:spacing w:after="0" w:line="360" w:lineRule="auto"/>
        <w:ind w:right="-142"/>
        <w:rPr>
          <w:rFonts w:ascii="Times New Roman" w:hAnsi="Times New Roman" w:cs="Times New Roman"/>
          <w:sz w:val="20"/>
          <w:szCs w:val="20"/>
          <w:lang w:eastAsia="pt-BR"/>
        </w:rPr>
      </w:pPr>
      <w:r w:rsidRPr="00380DA9">
        <w:rPr>
          <w:rFonts w:ascii="Times New Roman" w:hAnsi="Times New Roman" w:cs="Times New Roman"/>
          <w:shd w:val="clear" w:color="auto" w:fill="FFFFFF"/>
        </w:rPr>
        <w:t xml:space="preserve"> Fontes: </w:t>
      </w:r>
      <w:r w:rsidRPr="00380DA9">
        <w:rPr>
          <w:rFonts w:ascii="Times New Roman" w:hAnsi="Times New Roman" w:cs="Times New Roman"/>
          <w:sz w:val="20"/>
          <w:szCs w:val="20"/>
          <w:lang w:eastAsia="pt-BR"/>
        </w:rPr>
        <w:t xml:space="preserve">Federal Reserve </w:t>
      </w:r>
      <w:proofErr w:type="spellStart"/>
      <w:r w:rsidRPr="00380DA9">
        <w:rPr>
          <w:rFonts w:ascii="Times New Roman" w:hAnsi="Times New Roman" w:cs="Times New Roman"/>
          <w:sz w:val="20"/>
          <w:szCs w:val="20"/>
          <w:lang w:eastAsia="pt-BR"/>
        </w:rPr>
        <w:t>Economic</w:t>
      </w:r>
      <w:r w:rsidR="008B0FE9">
        <w:rPr>
          <w:rFonts w:ascii="Times New Roman" w:hAnsi="Times New Roman" w:cs="Times New Roman"/>
          <w:sz w:val="20"/>
          <w:szCs w:val="20"/>
          <w:lang w:eastAsia="pt-BR"/>
        </w:rPr>
        <w:t>s</w:t>
      </w:r>
      <w:proofErr w:type="spellEnd"/>
      <w:r w:rsidRPr="00380DA9">
        <w:rPr>
          <w:rFonts w:ascii="Times New Roman" w:hAnsi="Times New Roman" w:cs="Times New Roman"/>
          <w:sz w:val="20"/>
          <w:szCs w:val="20"/>
          <w:lang w:eastAsia="pt-BR"/>
        </w:rPr>
        <w:t xml:space="preserve"> Data e IPEA (elaborado pelos autores).</w:t>
      </w:r>
    </w:p>
    <w:p w14:paraId="111C45AE" w14:textId="77777777" w:rsidR="00DA5B79" w:rsidRPr="00380DA9" w:rsidRDefault="00DA5B79" w:rsidP="002E1982">
      <w:pPr>
        <w:spacing w:after="0" w:line="360" w:lineRule="auto"/>
        <w:ind w:right="-142"/>
        <w:rPr>
          <w:rFonts w:ascii="Times New Roman" w:hAnsi="Times New Roman" w:cs="Times New Roman"/>
          <w:sz w:val="20"/>
          <w:szCs w:val="20"/>
          <w:lang w:eastAsia="pt-BR"/>
        </w:rPr>
      </w:pPr>
    </w:p>
    <w:p w14:paraId="111C45AF" w14:textId="77777777" w:rsidR="00DA5B79" w:rsidRPr="00380DA9" w:rsidRDefault="00DA5B79" w:rsidP="00511A46">
      <w:pPr>
        <w:spacing w:after="0" w:line="240" w:lineRule="auto"/>
        <w:ind w:right="-142" w:firstLine="708"/>
        <w:jc w:val="both"/>
        <w:rPr>
          <w:rFonts w:ascii="Times New Roman" w:hAnsi="Times New Roman" w:cs="Times New Roman"/>
          <w:sz w:val="24"/>
          <w:szCs w:val="24"/>
          <w:shd w:val="clear" w:color="auto" w:fill="FFFFFF"/>
        </w:rPr>
      </w:pPr>
      <w:r w:rsidRPr="00380DA9">
        <w:rPr>
          <w:rFonts w:ascii="Times New Roman" w:hAnsi="Times New Roman" w:cs="Times New Roman"/>
          <w:sz w:val="24"/>
          <w:szCs w:val="24"/>
          <w:shd w:val="clear" w:color="auto" w:fill="FFFFFF"/>
        </w:rPr>
        <w:t>Os efeitos da política monetária não convencional, porém, não atingem apenas a economia americana. Seus efeitos geram externalidades que são sentidas em economia emergentes, sobretudo nas que possuem conta de capital relativamente aberta e um mercado de títulos com elevada liquidez, tal como a brasileira.</w:t>
      </w:r>
    </w:p>
    <w:p w14:paraId="111C45B0" w14:textId="77777777" w:rsidR="00DA5B79" w:rsidRPr="00380DA9" w:rsidRDefault="00DA5B79" w:rsidP="00511A46">
      <w:pPr>
        <w:spacing w:after="0" w:line="240" w:lineRule="auto"/>
        <w:ind w:right="-142" w:firstLine="708"/>
        <w:jc w:val="both"/>
        <w:rPr>
          <w:rFonts w:ascii="Times New Roman" w:hAnsi="Times New Roman" w:cs="Times New Roman"/>
          <w:sz w:val="24"/>
          <w:szCs w:val="24"/>
          <w:shd w:val="clear" w:color="auto" w:fill="FFFFFF"/>
        </w:rPr>
      </w:pPr>
      <w:r w:rsidRPr="00380DA9">
        <w:rPr>
          <w:rFonts w:ascii="Times New Roman" w:hAnsi="Times New Roman" w:cs="Times New Roman"/>
          <w:sz w:val="24"/>
          <w:szCs w:val="24"/>
          <w:shd w:val="clear" w:color="auto" w:fill="FFFFFF"/>
        </w:rPr>
        <w:t>No mesmo período, a taxa de câmbio nominal cotava o dólar a R$2,17 ao final de julho de 2006, quando se inicia uma forte valorização cambial e a moeda americana passa a ser cotada a R$1,87 um ano depois, até alcançar uma cotação mínima de 1,56 em julho de 2008. Depois de um período de alta, alcançando a cotação de 2,06 em maio de 2009, ocorre um novo processo de valorização cambial e a taxa nominal de cambio não ultrapassa a razão de 2 R$/US$ até maio de 2012, permanecendo abaixo de 2,5 até novembro de 2014.</w:t>
      </w:r>
    </w:p>
    <w:p w14:paraId="111C45B1" w14:textId="77777777" w:rsidR="00DA5B79" w:rsidRPr="00380DA9" w:rsidRDefault="00DA5B79" w:rsidP="00511A46">
      <w:pPr>
        <w:spacing w:after="0" w:line="240" w:lineRule="auto"/>
        <w:ind w:right="-142" w:firstLine="708"/>
        <w:jc w:val="both"/>
        <w:rPr>
          <w:rFonts w:ascii="Times New Roman" w:hAnsi="Times New Roman" w:cs="Times New Roman"/>
          <w:sz w:val="24"/>
          <w:szCs w:val="24"/>
          <w:shd w:val="clear" w:color="auto" w:fill="FFFFFF"/>
        </w:rPr>
      </w:pPr>
      <w:r w:rsidRPr="00380DA9">
        <w:rPr>
          <w:rFonts w:ascii="Times New Roman" w:hAnsi="Times New Roman" w:cs="Times New Roman"/>
          <w:sz w:val="24"/>
          <w:szCs w:val="24"/>
          <w:shd w:val="clear" w:color="auto" w:fill="FFFFFF"/>
        </w:rPr>
        <w:t xml:space="preserve">Neste período, o Banco Central do Brasil reduz a meta da taxa SELIC gradativamente de 14,25% a.a., em outubro de 2006, até alcançar o patamar de 8,76%, em julho de 2009, valor que se mantém até março seguinte, quando inicia uma elevação gradual que atinge 12,5% </w:t>
      </w:r>
      <w:proofErr w:type="spellStart"/>
      <w:r w:rsidRPr="00380DA9">
        <w:rPr>
          <w:rFonts w:ascii="Times New Roman" w:hAnsi="Times New Roman" w:cs="Times New Roman"/>
          <w:sz w:val="24"/>
          <w:szCs w:val="24"/>
          <w:shd w:val="clear" w:color="auto" w:fill="FFFFFF"/>
        </w:rPr>
        <w:t>a.a</w:t>
      </w:r>
      <w:proofErr w:type="spellEnd"/>
      <w:r w:rsidRPr="00380DA9">
        <w:rPr>
          <w:rFonts w:ascii="Times New Roman" w:hAnsi="Times New Roman" w:cs="Times New Roman"/>
          <w:sz w:val="24"/>
          <w:szCs w:val="24"/>
          <w:shd w:val="clear" w:color="auto" w:fill="FFFFFF"/>
        </w:rPr>
        <w:t xml:space="preserve"> em julho de 2011. A taxa SELIC passa a apresentar considerável volatilidade até o início de 2014, </w:t>
      </w:r>
      <w:r w:rsidRPr="00380DA9">
        <w:rPr>
          <w:rFonts w:ascii="Times New Roman" w:hAnsi="Times New Roman" w:cs="Times New Roman"/>
          <w:sz w:val="24"/>
          <w:szCs w:val="24"/>
          <w:shd w:val="clear" w:color="auto" w:fill="FFFFFF"/>
        </w:rPr>
        <w:lastRenderedPageBreak/>
        <w:t xml:space="preserve">sobretudo com o advento da chamada Nova Matriz Econômica, e alcança 14,25% em 2015, devido às pressões inflacionárias causadas sobretudo pela política local. Tal valor se mantém ao longo de 2016. </w:t>
      </w:r>
    </w:p>
    <w:p w14:paraId="111C45B2" w14:textId="77777777" w:rsidR="00DA5B79" w:rsidRPr="00380DA9" w:rsidRDefault="00DA5B79" w:rsidP="00511A46">
      <w:pPr>
        <w:spacing w:after="0" w:line="240" w:lineRule="auto"/>
        <w:ind w:right="-142" w:firstLine="708"/>
        <w:jc w:val="both"/>
        <w:rPr>
          <w:rFonts w:ascii="Times New Roman" w:hAnsi="Times New Roman" w:cs="Times New Roman"/>
          <w:sz w:val="24"/>
          <w:szCs w:val="24"/>
          <w:shd w:val="clear" w:color="auto" w:fill="FFFFFF"/>
        </w:rPr>
      </w:pPr>
      <w:proofErr w:type="spellStart"/>
      <w:r w:rsidRPr="00380DA9">
        <w:rPr>
          <w:rFonts w:ascii="Times New Roman" w:hAnsi="Times New Roman" w:cs="Times New Roman"/>
          <w:sz w:val="24"/>
          <w:szCs w:val="24"/>
          <w:shd w:val="clear" w:color="auto" w:fill="FFFFFF"/>
        </w:rPr>
        <w:t>Fratzscher</w:t>
      </w:r>
      <w:proofErr w:type="spellEnd"/>
      <w:r w:rsidRPr="00380DA9">
        <w:rPr>
          <w:rFonts w:ascii="Times New Roman" w:hAnsi="Times New Roman" w:cs="Times New Roman"/>
          <w:sz w:val="24"/>
          <w:szCs w:val="24"/>
          <w:shd w:val="clear" w:color="auto" w:fill="FFFFFF"/>
        </w:rPr>
        <w:t xml:space="preserve">, </w:t>
      </w:r>
      <w:proofErr w:type="spellStart"/>
      <w:r w:rsidRPr="00380DA9">
        <w:rPr>
          <w:rFonts w:ascii="Times New Roman" w:hAnsi="Times New Roman" w:cs="Times New Roman"/>
          <w:sz w:val="24"/>
          <w:szCs w:val="24"/>
          <w:shd w:val="clear" w:color="auto" w:fill="FFFFFF"/>
        </w:rPr>
        <w:t>Lo</w:t>
      </w:r>
      <w:proofErr w:type="spellEnd"/>
      <w:r w:rsidRPr="00380DA9">
        <w:rPr>
          <w:rFonts w:ascii="Times New Roman" w:hAnsi="Times New Roman" w:cs="Times New Roman"/>
          <w:sz w:val="24"/>
          <w:szCs w:val="24"/>
          <w:shd w:val="clear" w:color="auto" w:fill="FFFFFF"/>
        </w:rPr>
        <w:t xml:space="preserve"> </w:t>
      </w:r>
      <w:proofErr w:type="spellStart"/>
      <w:r w:rsidRPr="00380DA9">
        <w:rPr>
          <w:rFonts w:ascii="Times New Roman" w:hAnsi="Times New Roman" w:cs="Times New Roman"/>
          <w:sz w:val="24"/>
          <w:szCs w:val="24"/>
          <w:shd w:val="clear" w:color="auto" w:fill="FFFFFF"/>
        </w:rPr>
        <w:t>Duca</w:t>
      </w:r>
      <w:proofErr w:type="spellEnd"/>
      <w:r w:rsidRPr="00380DA9">
        <w:rPr>
          <w:rFonts w:ascii="Times New Roman" w:hAnsi="Times New Roman" w:cs="Times New Roman"/>
          <w:sz w:val="24"/>
          <w:szCs w:val="24"/>
          <w:shd w:val="clear" w:color="auto" w:fill="FFFFFF"/>
        </w:rPr>
        <w:t xml:space="preserve"> e </w:t>
      </w:r>
      <w:proofErr w:type="spellStart"/>
      <w:r w:rsidRPr="00380DA9">
        <w:rPr>
          <w:rFonts w:ascii="Times New Roman" w:hAnsi="Times New Roman" w:cs="Times New Roman"/>
          <w:sz w:val="24"/>
          <w:szCs w:val="24"/>
          <w:shd w:val="clear" w:color="auto" w:fill="FFFFFF"/>
        </w:rPr>
        <w:t>Straub</w:t>
      </w:r>
      <w:proofErr w:type="spellEnd"/>
      <w:r w:rsidRPr="00380DA9">
        <w:rPr>
          <w:rFonts w:ascii="Times New Roman" w:hAnsi="Times New Roman" w:cs="Times New Roman"/>
          <w:sz w:val="24"/>
          <w:szCs w:val="24"/>
          <w:shd w:val="clear" w:color="auto" w:fill="FFFFFF"/>
        </w:rPr>
        <w:t xml:space="preserve"> (2012) testam a hipótese de</w:t>
      </w:r>
      <w:r w:rsidRPr="00380DA9">
        <w:rPr>
          <w:rFonts w:ascii="Times New Roman" w:hAnsi="Times New Roman" w:cs="Times New Roman"/>
          <w:i/>
          <w:sz w:val="24"/>
          <w:szCs w:val="24"/>
          <w:shd w:val="clear" w:color="auto" w:fill="FFFFFF"/>
        </w:rPr>
        <w:t xml:space="preserve"> </w:t>
      </w:r>
      <w:proofErr w:type="spellStart"/>
      <w:r w:rsidRPr="00380DA9">
        <w:rPr>
          <w:rFonts w:ascii="Times New Roman" w:hAnsi="Times New Roman" w:cs="Times New Roman"/>
          <w:i/>
          <w:sz w:val="24"/>
          <w:szCs w:val="24"/>
          <w:shd w:val="clear" w:color="auto" w:fill="FFFFFF"/>
        </w:rPr>
        <w:t>spillovers</w:t>
      </w:r>
      <w:proofErr w:type="spellEnd"/>
      <w:r w:rsidRPr="00380DA9">
        <w:rPr>
          <w:rFonts w:ascii="Times New Roman" w:hAnsi="Times New Roman" w:cs="Times New Roman"/>
          <w:i/>
          <w:sz w:val="24"/>
          <w:szCs w:val="24"/>
          <w:shd w:val="clear" w:color="auto" w:fill="FFFFFF"/>
        </w:rPr>
        <w:t xml:space="preserve"> </w:t>
      </w:r>
      <w:r w:rsidRPr="00380DA9">
        <w:rPr>
          <w:rFonts w:ascii="Times New Roman" w:hAnsi="Times New Roman" w:cs="Times New Roman"/>
          <w:sz w:val="24"/>
          <w:szCs w:val="24"/>
          <w:shd w:val="clear" w:color="auto" w:fill="FFFFFF"/>
        </w:rPr>
        <w:t>da política monetária não convencional do Federal Reserve sobre a economia de países emergentes. Os autores concluem que no QE1 as medidas do FED foram eficazes para fomentar o mercado de ações nos Estados Unidos e neste grupo de países, e também resultaram em uma realocação nos portfólios, com saídas de capital dos países emergentes em direção aos EUA, justamente em um período de escassez de liquidez. Porém, no QE2, quando os mercados financeiros emergentes se normalizavam, ocorreu um fluxo de capital no sentido contrário, provocando uma desvalorização do dólar no mercado de câmbio internacional. Vale lembrar que o Real foi uma das moedas que mais valorizaram no período em questão, apresentando uma indesejável volatilidade, o que torna o processo ainda mais prejudicial à balança comercial brasileira.</w:t>
      </w:r>
    </w:p>
    <w:p w14:paraId="111C45B3" w14:textId="77777777" w:rsidR="00DA5B79" w:rsidRPr="00380DA9" w:rsidRDefault="00DA5B79" w:rsidP="00511A46">
      <w:pPr>
        <w:spacing w:after="0" w:line="240" w:lineRule="auto"/>
        <w:ind w:right="-142" w:firstLine="708"/>
        <w:jc w:val="both"/>
        <w:rPr>
          <w:rFonts w:ascii="Times New Roman" w:hAnsi="Times New Roman" w:cs="Times New Roman"/>
          <w:sz w:val="24"/>
          <w:szCs w:val="24"/>
          <w:shd w:val="clear" w:color="auto" w:fill="FFFFFF"/>
        </w:rPr>
      </w:pPr>
      <w:r w:rsidRPr="00380DA9">
        <w:rPr>
          <w:rFonts w:ascii="Times New Roman" w:hAnsi="Times New Roman" w:cs="Times New Roman"/>
          <w:sz w:val="24"/>
          <w:szCs w:val="24"/>
          <w:shd w:val="clear" w:color="auto" w:fill="FFFFFF"/>
        </w:rPr>
        <w:t xml:space="preserve">No entanto, não só as operações do QE afetam o fluxo de capital global e as taxas de câmbio, mas o próprio anuncio dessas medidas, embora o reequilíbrio no portfólio seja mais significativo quando as operações se efetivam. </w:t>
      </w:r>
    </w:p>
    <w:p w14:paraId="111C45B4" w14:textId="77777777" w:rsidR="00DA5B79" w:rsidRPr="00380DA9" w:rsidRDefault="00DA5B79" w:rsidP="00511A46">
      <w:pPr>
        <w:spacing w:after="0" w:line="240" w:lineRule="auto"/>
        <w:ind w:right="-142" w:firstLine="708"/>
        <w:jc w:val="both"/>
        <w:rPr>
          <w:rFonts w:ascii="Times New Roman" w:hAnsi="Times New Roman" w:cs="Times New Roman"/>
          <w:sz w:val="24"/>
          <w:szCs w:val="24"/>
          <w:shd w:val="clear" w:color="auto" w:fill="FFFFFF"/>
        </w:rPr>
      </w:pPr>
      <w:r w:rsidRPr="00380DA9">
        <w:rPr>
          <w:rFonts w:ascii="Times New Roman" w:hAnsi="Times New Roman" w:cs="Times New Roman"/>
          <w:sz w:val="24"/>
          <w:szCs w:val="24"/>
          <w:shd w:val="clear" w:color="auto" w:fill="FFFFFF"/>
        </w:rPr>
        <w:t xml:space="preserve">Entretanto, </w:t>
      </w:r>
      <w:proofErr w:type="spellStart"/>
      <w:r w:rsidRPr="00380DA9">
        <w:rPr>
          <w:rFonts w:ascii="Times New Roman" w:hAnsi="Times New Roman" w:cs="Times New Roman"/>
          <w:sz w:val="24"/>
          <w:szCs w:val="24"/>
          <w:shd w:val="clear" w:color="auto" w:fill="FFFFFF"/>
        </w:rPr>
        <w:t>Fratzscher</w:t>
      </w:r>
      <w:proofErr w:type="spellEnd"/>
      <w:r w:rsidRPr="00380DA9">
        <w:rPr>
          <w:rFonts w:ascii="Times New Roman" w:hAnsi="Times New Roman" w:cs="Times New Roman"/>
          <w:sz w:val="24"/>
          <w:szCs w:val="24"/>
          <w:shd w:val="clear" w:color="auto" w:fill="FFFFFF"/>
        </w:rPr>
        <w:t xml:space="preserve">, </w:t>
      </w:r>
      <w:proofErr w:type="spellStart"/>
      <w:r w:rsidRPr="00380DA9">
        <w:rPr>
          <w:rFonts w:ascii="Times New Roman" w:hAnsi="Times New Roman" w:cs="Times New Roman"/>
          <w:sz w:val="24"/>
          <w:szCs w:val="24"/>
          <w:shd w:val="clear" w:color="auto" w:fill="FFFFFF"/>
        </w:rPr>
        <w:t>Lo</w:t>
      </w:r>
      <w:proofErr w:type="spellEnd"/>
      <w:r w:rsidRPr="00380DA9">
        <w:rPr>
          <w:rFonts w:ascii="Times New Roman" w:hAnsi="Times New Roman" w:cs="Times New Roman"/>
          <w:sz w:val="24"/>
          <w:szCs w:val="24"/>
          <w:shd w:val="clear" w:color="auto" w:fill="FFFFFF"/>
        </w:rPr>
        <w:t xml:space="preserve"> </w:t>
      </w:r>
      <w:proofErr w:type="spellStart"/>
      <w:r w:rsidRPr="00380DA9">
        <w:rPr>
          <w:rFonts w:ascii="Times New Roman" w:hAnsi="Times New Roman" w:cs="Times New Roman"/>
          <w:sz w:val="24"/>
          <w:szCs w:val="24"/>
          <w:shd w:val="clear" w:color="auto" w:fill="FFFFFF"/>
        </w:rPr>
        <w:t>Duca</w:t>
      </w:r>
      <w:proofErr w:type="spellEnd"/>
      <w:r w:rsidRPr="00380DA9">
        <w:rPr>
          <w:rFonts w:ascii="Times New Roman" w:hAnsi="Times New Roman" w:cs="Times New Roman"/>
          <w:sz w:val="24"/>
          <w:szCs w:val="24"/>
          <w:shd w:val="clear" w:color="auto" w:fill="FFFFFF"/>
        </w:rPr>
        <w:t xml:space="preserve"> e </w:t>
      </w:r>
      <w:proofErr w:type="spellStart"/>
      <w:r w:rsidRPr="00380DA9">
        <w:rPr>
          <w:rFonts w:ascii="Times New Roman" w:hAnsi="Times New Roman" w:cs="Times New Roman"/>
          <w:sz w:val="24"/>
          <w:szCs w:val="24"/>
          <w:shd w:val="clear" w:color="auto" w:fill="FFFFFF"/>
        </w:rPr>
        <w:t>Straub</w:t>
      </w:r>
      <w:proofErr w:type="spellEnd"/>
      <w:r w:rsidRPr="00380DA9">
        <w:rPr>
          <w:rFonts w:ascii="Times New Roman" w:hAnsi="Times New Roman" w:cs="Times New Roman"/>
          <w:sz w:val="24"/>
          <w:szCs w:val="24"/>
          <w:shd w:val="clear" w:color="auto" w:fill="FFFFFF"/>
        </w:rPr>
        <w:t xml:space="preserve"> (2012) concluem que, embora as preocupações dos </w:t>
      </w:r>
      <w:proofErr w:type="spellStart"/>
      <w:r w:rsidRPr="00380DA9">
        <w:rPr>
          <w:rFonts w:ascii="Times New Roman" w:hAnsi="Times New Roman" w:cs="Times New Roman"/>
          <w:i/>
          <w:sz w:val="24"/>
          <w:szCs w:val="24"/>
          <w:shd w:val="clear" w:color="auto" w:fill="FFFFFF"/>
        </w:rPr>
        <w:t>policy</w:t>
      </w:r>
      <w:proofErr w:type="spellEnd"/>
      <w:r w:rsidRPr="00380DA9">
        <w:rPr>
          <w:rFonts w:ascii="Times New Roman" w:hAnsi="Times New Roman" w:cs="Times New Roman"/>
          <w:i/>
          <w:sz w:val="24"/>
          <w:szCs w:val="24"/>
          <w:shd w:val="clear" w:color="auto" w:fill="FFFFFF"/>
        </w:rPr>
        <w:t xml:space="preserve"> </w:t>
      </w:r>
      <w:proofErr w:type="spellStart"/>
      <w:r w:rsidRPr="00380DA9">
        <w:rPr>
          <w:rFonts w:ascii="Times New Roman" w:hAnsi="Times New Roman" w:cs="Times New Roman"/>
          <w:i/>
          <w:sz w:val="24"/>
          <w:szCs w:val="24"/>
          <w:shd w:val="clear" w:color="auto" w:fill="FFFFFF"/>
        </w:rPr>
        <w:t>makers</w:t>
      </w:r>
      <w:proofErr w:type="spellEnd"/>
      <w:r w:rsidRPr="00380DA9">
        <w:rPr>
          <w:rFonts w:ascii="Times New Roman" w:hAnsi="Times New Roman" w:cs="Times New Roman"/>
          <w:sz w:val="24"/>
          <w:szCs w:val="24"/>
          <w:shd w:val="clear" w:color="auto" w:fill="FFFFFF"/>
        </w:rPr>
        <w:t xml:space="preserve"> das economias emergentes têm fundamentos, estes não são meros “observadores inocentes”. A razão desta declaração é a de que os efeitos do QE sobre a volatilidade da taxa de câmbio e dos preços dos ativos nestas economias estão relacionados aos respectivos riscos país e à solidez de suas instituições. Nesse sentido, a consistência das políticas domésticas, incluindo uma baixa intervenção na taxa de câmbio, e instituições fortes, ajudam as economias emergentes a se isolar dos </w:t>
      </w:r>
      <w:proofErr w:type="spellStart"/>
      <w:r w:rsidRPr="00380DA9">
        <w:rPr>
          <w:rFonts w:ascii="Times New Roman" w:hAnsi="Times New Roman" w:cs="Times New Roman"/>
          <w:i/>
          <w:sz w:val="24"/>
          <w:szCs w:val="24"/>
          <w:shd w:val="clear" w:color="auto" w:fill="FFFFFF"/>
        </w:rPr>
        <w:t>spillovers</w:t>
      </w:r>
      <w:proofErr w:type="spellEnd"/>
      <w:r w:rsidRPr="00380DA9">
        <w:rPr>
          <w:rFonts w:ascii="Times New Roman" w:hAnsi="Times New Roman" w:cs="Times New Roman"/>
          <w:sz w:val="24"/>
          <w:szCs w:val="24"/>
          <w:shd w:val="clear" w:color="auto" w:fill="FFFFFF"/>
        </w:rPr>
        <w:t xml:space="preserve"> da política monetária americana.</w:t>
      </w:r>
    </w:p>
    <w:p w14:paraId="111C45B5" w14:textId="77777777" w:rsidR="00DA5B79" w:rsidRPr="00380DA9" w:rsidRDefault="00DA5B79" w:rsidP="00511A46">
      <w:pPr>
        <w:spacing w:after="0" w:line="240" w:lineRule="auto"/>
        <w:ind w:right="-142" w:firstLine="708"/>
        <w:jc w:val="both"/>
        <w:rPr>
          <w:rFonts w:ascii="Times New Roman" w:hAnsi="Times New Roman" w:cs="Times New Roman"/>
          <w:sz w:val="24"/>
          <w:szCs w:val="24"/>
          <w:shd w:val="clear" w:color="auto" w:fill="FFFFFF"/>
        </w:rPr>
      </w:pPr>
    </w:p>
    <w:p w14:paraId="111C45B6" w14:textId="77C5700D" w:rsidR="00DA5B79" w:rsidRDefault="00DA5B79" w:rsidP="00511A46">
      <w:pPr>
        <w:spacing w:after="0" w:line="240" w:lineRule="auto"/>
        <w:ind w:right="-142"/>
        <w:jc w:val="both"/>
        <w:rPr>
          <w:rFonts w:ascii="Times New Roman" w:hAnsi="Times New Roman" w:cs="Times New Roman"/>
          <w:b/>
          <w:i/>
          <w:sz w:val="24"/>
          <w:szCs w:val="24"/>
          <w:shd w:val="clear" w:color="auto" w:fill="FFFFFF"/>
        </w:rPr>
      </w:pPr>
      <w:proofErr w:type="spellStart"/>
      <w:r w:rsidRPr="00380DA9">
        <w:rPr>
          <w:rFonts w:ascii="Times New Roman" w:hAnsi="Times New Roman" w:cs="Times New Roman"/>
          <w:b/>
          <w:i/>
          <w:sz w:val="24"/>
          <w:szCs w:val="24"/>
          <w:shd w:val="clear" w:color="auto" w:fill="FFFFFF"/>
        </w:rPr>
        <w:t>Tapering</w:t>
      </w:r>
      <w:proofErr w:type="spellEnd"/>
    </w:p>
    <w:p w14:paraId="6C68AAF1" w14:textId="77777777" w:rsidR="00D90DE6" w:rsidRPr="00380DA9" w:rsidRDefault="00D90DE6" w:rsidP="00511A46">
      <w:pPr>
        <w:spacing w:after="0" w:line="240" w:lineRule="auto"/>
        <w:ind w:right="-142"/>
        <w:jc w:val="both"/>
        <w:rPr>
          <w:rFonts w:ascii="Times New Roman" w:hAnsi="Times New Roman" w:cs="Times New Roman"/>
          <w:b/>
          <w:i/>
          <w:sz w:val="24"/>
          <w:szCs w:val="24"/>
          <w:shd w:val="clear" w:color="auto" w:fill="FFFFFF"/>
        </w:rPr>
      </w:pPr>
    </w:p>
    <w:p w14:paraId="111C45B7" w14:textId="77777777" w:rsidR="00DA5B79" w:rsidRPr="00380DA9" w:rsidRDefault="00DA5B79" w:rsidP="00511A46">
      <w:pPr>
        <w:spacing w:after="0" w:line="240" w:lineRule="auto"/>
        <w:ind w:right="-142" w:firstLine="708"/>
        <w:jc w:val="both"/>
        <w:rPr>
          <w:rFonts w:ascii="Times New Roman" w:hAnsi="Times New Roman" w:cs="Times New Roman"/>
          <w:sz w:val="24"/>
          <w:szCs w:val="24"/>
          <w:shd w:val="clear" w:color="auto" w:fill="FFFFFF"/>
        </w:rPr>
      </w:pPr>
      <w:r w:rsidRPr="00380DA9">
        <w:rPr>
          <w:rFonts w:ascii="Times New Roman" w:hAnsi="Times New Roman" w:cs="Times New Roman"/>
          <w:sz w:val="24"/>
          <w:szCs w:val="24"/>
          <w:shd w:val="clear" w:color="auto" w:fill="FFFFFF"/>
        </w:rPr>
        <w:t xml:space="preserve">Em 2013, a decorrência de melhores perspectivas econômicas nos EUA e o anúncio do FED de que, se a economia americana continuasse retomando a produção, poderia considerar reduzir os estímulos à economia, fez com que os mercados reagissem, resultando no fortalecimento do dólar e a elevação da taxa de juros no mercado mundial (EICHENGREEN; GUPTA, 2015). </w:t>
      </w:r>
    </w:p>
    <w:p w14:paraId="111C45B8" w14:textId="77777777" w:rsidR="00DA5B79" w:rsidRPr="00380DA9" w:rsidRDefault="00DA5B79" w:rsidP="00511A46">
      <w:pPr>
        <w:spacing w:after="0" w:line="240" w:lineRule="auto"/>
        <w:ind w:right="-142" w:firstLine="708"/>
        <w:jc w:val="both"/>
        <w:rPr>
          <w:rFonts w:ascii="Times New Roman" w:hAnsi="Times New Roman" w:cs="Times New Roman"/>
          <w:sz w:val="24"/>
          <w:szCs w:val="24"/>
          <w:shd w:val="clear" w:color="auto" w:fill="FFFFFF"/>
        </w:rPr>
      </w:pPr>
      <w:r w:rsidRPr="00380DA9">
        <w:rPr>
          <w:rFonts w:ascii="Times New Roman" w:hAnsi="Times New Roman" w:cs="Times New Roman"/>
          <w:sz w:val="24"/>
          <w:szCs w:val="24"/>
          <w:shd w:val="clear" w:color="auto" w:fill="FFFFFF"/>
        </w:rPr>
        <w:t xml:space="preserve">Entretanto, em um primeiro momento, a redução dos estímulos ocorreu apenas de maneira branda, pois poderia impactar negativamente a retomada da economia. Portanto, com a adoção da estratégia de </w:t>
      </w:r>
      <w:proofErr w:type="spellStart"/>
      <w:r w:rsidRPr="00380DA9">
        <w:rPr>
          <w:rFonts w:ascii="Times New Roman" w:hAnsi="Times New Roman" w:cs="Times New Roman"/>
          <w:i/>
          <w:sz w:val="24"/>
          <w:szCs w:val="24"/>
          <w:shd w:val="clear" w:color="auto" w:fill="FFFFFF"/>
        </w:rPr>
        <w:t>foward</w:t>
      </w:r>
      <w:proofErr w:type="spellEnd"/>
      <w:r w:rsidRPr="00380DA9">
        <w:rPr>
          <w:rFonts w:ascii="Times New Roman" w:hAnsi="Times New Roman" w:cs="Times New Roman"/>
          <w:i/>
          <w:sz w:val="24"/>
          <w:szCs w:val="24"/>
          <w:shd w:val="clear" w:color="auto" w:fill="FFFFFF"/>
        </w:rPr>
        <w:t xml:space="preserve"> </w:t>
      </w:r>
      <w:proofErr w:type="spellStart"/>
      <w:r w:rsidRPr="00380DA9">
        <w:rPr>
          <w:rFonts w:ascii="Times New Roman" w:hAnsi="Times New Roman" w:cs="Times New Roman"/>
          <w:i/>
          <w:sz w:val="24"/>
          <w:szCs w:val="24"/>
          <w:shd w:val="clear" w:color="auto" w:fill="FFFFFF"/>
        </w:rPr>
        <w:t>guindance</w:t>
      </w:r>
      <w:proofErr w:type="spellEnd"/>
      <w:r w:rsidRPr="00380DA9">
        <w:rPr>
          <w:rFonts w:ascii="Times New Roman" w:hAnsi="Times New Roman" w:cs="Times New Roman"/>
          <w:i/>
          <w:sz w:val="24"/>
          <w:szCs w:val="24"/>
          <w:shd w:val="clear" w:color="auto" w:fill="FFFFFF"/>
        </w:rPr>
        <w:t xml:space="preserve"> </w:t>
      </w:r>
      <w:r w:rsidRPr="00380DA9">
        <w:rPr>
          <w:rFonts w:ascii="Times New Roman" w:hAnsi="Times New Roman" w:cs="Times New Roman"/>
          <w:sz w:val="24"/>
          <w:szCs w:val="24"/>
          <w:shd w:val="clear" w:color="auto" w:fill="FFFFFF"/>
        </w:rPr>
        <w:t>por parte do FED</w:t>
      </w:r>
      <w:r w:rsidRPr="00380DA9">
        <w:rPr>
          <w:rFonts w:ascii="Times New Roman" w:hAnsi="Times New Roman" w:cs="Times New Roman"/>
          <w:i/>
          <w:sz w:val="24"/>
          <w:szCs w:val="24"/>
          <w:shd w:val="clear" w:color="auto" w:fill="FFFFFF"/>
        </w:rPr>
        <w:t>,</w:t>
      </w:r>
      <w:r w:rsidRPr="00380DA9">
        <w:rPr>
          <w:rFonts w:ascii="Times New Roman" w:hAnsi="Times New Roman" w:cs="Times New Roman"/>
          <w:sz w:val="24"/>
          <w:szCs w:val="24"/>
          <w:shd w:val="clear" w:color="auto" w:fill="FFFFFF"/>
        </w:rPr>
        <w:t xml:space="preserve"> espera-se que a elevação das taxas de juros americana para níveis padrões, como os verificados antes da crise financeira, ocorra apenas gradativamente ao longo próximos meses. </w:t>
      </w:r>
    </w:p>
    <w:p w14:paraId="111C45B9" w14:textId="77777777" w:rsidR="00DA5B79" w:rsidRPr="00380DA9" w:rsidRDefault="00DA5B79" w:rsidP="00511A46">
      <w:pPr>
        <w:spacing w:after="0" w:line="240" w:lineRule="auto"/>
        <w:ind w:right="-142" w:firstLine="708"/>
        <w:jc w:val="both"/>
        <w:rPr>
          <w:rFonts w:ascii="Times New Roman" w:hAnsi="Times New Roman" w:cs="Times New Roman"/>
          <w:sz w:val="24"/>
          <w:szCs w:val="24"/>
          <w:shd w:val="clear" w:color="auto" w:fill="FFFFFF"/>
        </w:rPr>
      </w:pPr>
      <w:r w:rsidRPr="00380DA9">
        <w:rPr>
          <w:rFonts w:ascii="Times New Roman" w:hAnsi="Times New Roman" w:cs="Times New Roman"/>
          <w:sz w:val="24"/>
          <w:szCs w:val="24"/>
          <w:shd w:val="clear" w:color="auto" w:fill="FFFFFF"/>
        </w:rPr>
        <w:t xml:space="preserve">No entanto, Stanley Fischer (2017, p 2-3) recorda que os efeitos sobre a taxa de juros ocorreram mesmo com o anúncio da retirada dos estímulos. Em maio de 2013, a taxa de juro dos títulos do tesouro americano de 10 anos se elevou em 10 pontos bases após o </w:t>
      </w:r>
      <w:r w:rsidRPr="00380DA9">
        <w:rPr>
          <w:rFonts w:ascii="Times New Roman" w:hAnsi="Times New Roman" w:cs="Times New Roman"/>
          <w:i/>
          <w:sz w:val="24"/>
          <w:szCs w:val="24"/>
          <w:shd w:val="clear" w:color="auto" w:fill="FFFFFF"/>
        </w:rPr>
        <w:t xml:space="preserve">chairman </w:t>
      </w:r>
      <w:r w:rsidRPr="00380DA9">
        <w:rPr>
          <w:rFonts w:ascii="Times New Roman" w:hAnsi="Times New Roman" w:cs="Times New Roman"/>
          <w:sz w:val="24"/>
          <w:szCs w:val="24"/>
          <w:shd w:val="clear" w:color="auto" w:fill="FFFFFF"/>
        </w:rPr>
        <w:t xml:space="preserve">do FED, Ben </w:t>
      </w:r>
      <w:proofErr w:type="spellStart"/>
      <w:r w:rsidRPr="00380DA9">
        <w:rPr>
          <w:rFonts w:ascii="Times New Roman" w:hAnsi="Times New Roman" w:cs="Times New Roman"/>
          <w:sz w:val="24"/>
          <w:szCs w:val="24"/>
          <w:shd w:val="clear" w:color="auto" w:fill="FFFFFF"/>
        </w:rPr>
        <w:t>Bernanke</w:t>
      </w:r>
      <w:proofErr w:type="spellEnd"/>
      <w:r w:rsidRPr="00380DA9">
        <w:rPr>
          <w:rFonts w:ascii="Times New Roman" w:hAnsi="Times New Roman" w:cs="Times New Roman"/>
          <w:sz w:val="24"/>
          <w:szCs w:val="24"/>
          <w:shd w:val="clear" w:color="auto" w:fill="FFFFFF"/>
        </w:rPr>
        <w:t xml:space="preserve">, afirmar que poderia reduzir o ritmo de compras na próxima reunião do FOMC ( Federal Open Market </w:t>
      </w:r>
      <w:proofErr w:type="spellStart"/>
      <w:r w:rsidRPr="00380DA9">
        <w:rPr>
          <w:rFonts w:ascii="Times New Roman" w:hAnsi="Times New Roman" w:cs="Times New Roman"/>
          <w:sz w:val="24"/>
          <w:szCs w:val="24"/>
          <w:shd w:val="clear" w:color="auto" w:fill="FFFFFF"/>
        </w:rPr>
        <w:t>Committee</w:t>
      </w:r>
      <w:proofErr w:type="spellEnd"/>
      <w:r w:rsidRPr="00380DA9">
        <w:rPr>
          <w:rFonts w:ascii="Times New Roman" w:hAnsi="Times New Roman" w:cs="Times New Roman"/>
          <w:sz w:val="24"/>
          <w:szCs w:val="24"/>
          <w:shd w:val="clear" w:color="auto" w:fill="FFFFFF"/>
        </w:rPr>
        <w:t xml:space="preserve"> , comissão do FED análoga ao COPOM brasileiro) caso se acreditasse que a melhoria contínua no mercado de trabalho fosse sustentada. De fato, retoma Fisher, o FOMC reduziu o ritmo de compras no final de 2013 e parou as compras completamente em meados de 2014.</w:t>
      </w:r>
    </w:p>
    <w:p w14:paraId="111C45BA" w14:textId="77777777" w:rsidR="00DA5B79" w:rsidRPr="00380DA9" w:rsidRDefault="00DA5B79" w:rsidP="00511A46">
      <w:pPr>
        <w:spacing w:after="0" w:line="240" w:lineRule="auto"/>
        <w:ind w:right="-142" w:firstLine="708"/>
        <w:jc w:val="both"/>
        <w:rPr>
          <w:rFonts w:ascii="Times New Roman" w:hAnsi="Times New Roman" w:cs="Times New Roman"/>
          <w:sz w:val="24"/>
          <w:szCs w:val="24"/>
          <w:shd w:val="clear" w:color="auto" w:fill="FFFFFF"/>
        </w:rPr>
      </w:pPr>
      <w:r w:rsidRPr="00380DA9">
        <w:rPr>
          <w:rFonts w:ascii="Times New Roman" w:hAnsi="Times New Roman" w:cs="Times New Roman"/>
          <w:sz w:val="24"/>
          <w:szCs w:val="24"/>
          <w:shd w:val="clear" w:color="auto" w:fill="FFFFFF"/>
        </w:rPr>
        <w:t xml:space="preserve">Essa saída gradual da política de </w:t>
      </w:r>
      <w:proofErr w:type="spellStart"/>
      <w:r w:rsidRPr="00380DA9">
        <w:rPr>
          <w:rFonts w:ascii="Times New Roman" w:hAnsi="Times New Roman" w:cs="Times New Roman"/>
          <w:i/>
          <w:sz w:val="24"/>
          <w:szCs w:val="24"/>
          <w:shd w:val="clear" w:color="auto" w:fill="FFFFFF"/>
        </w:rPr>
        <w:t>quantitative</w:t>
      </w:r>
      <w:proofErr w:type="spellEnd"/>
      <w:r w:rsidRPr="00380DA9">
        <w:rPr>
          <w:rFonts w:ascii="Times New Roman" w:hAnsi="Times New Roman" w:cs="Times New Roman"/>
          <w:i/>
          <w:sz w:val="24"/>
          <w:szCs w:val="24"/>
          <w:shd w:val="clear" w:color="auto" w:fill="FFFFFF"/>
        </w:rPr>
        <w:t xml:space="preserve"> </w:t>
      </w:r>
      <w:proofErr w:type="spellStart"/>
      <w:r w:rsidRPr="00380DA9">
        <w:rPr>
          <w:rFonts w:ascii="Times New Roman" w:hAnsi="Times New Roman" w:cs="Times New Roman"/>
          <w:i/>
          <w:sz w:val="24"/>
          <w:szCs w:val="24"/>
          <w:shd w:val="clear" w:color="auto" w:fill="FFFFFF"/>
        </w:rPr>
        <w:t>easing</w:t>
      </w:r>
      <w:proofErr w:type="spellEnd"/>
      <w:r w:rsidRPr="00380DA9">
        <w:rPr>
          <w:rFonts w:ascii="Times New Roman" w:hAnsi="Times New Roman" w:cs="Times New Roman"/>
          <w:sz w:val="24"/>
          <w:szCs w:val="24"/>
          <w:shd w:val="clear" w:color="auto" w:fill="FFFFFF"/>
        </w:rPr>
        <w:t xml:space="preserve"> é chamada na literatura econômica de </w:t>
      </w:r>
      <w:proofErr w:type="spellStart"/>
      <w:r w:rsidRPr="00380DA9">
        <w:rPr>
          <w:rFonts w:ascii="Times New Roman" w:hAnsi="Times New Roman" w:cs="Times New Roman"/>
          <w:i/>
          <w:sz w:val="24"/>
          <w:szCs w:val="24"/>
          <w:shd w:val="clear" w:color="auto" w:fill="FFFFFF"/>
        </w:rPr>
        <w:t>tapering</w:t>
      </w:r>
      <w:proofErr w:type="spellEnd"/>
      <w:r w:rsidRPr="00380DA9">
        <w:rPr>
          <w:rFonts w:ascii="Times New Roman" w:hAnsi="Times New Roman" w:cs="Times New Roman"/>
          <w:sz w:val="24"/>
          <w:szCs w:val="24"/>
          <w:shd w:val="clear" w:color="auto" w:fill="FFFFFF"/>
        </w:rPr>
        <w:t xml:space="preserve">. Para </w:t>
      </w:r>
      <w:proofErr w:type="spellStart"/>
      <w:r w:rsidRPr="00380DA9">
        <w:rPr>
          <w:rFonts w:ascii="Times New Roman" w:hAnsi="Times New Roman" w:cs="Times New Roman"/>
          <w:sz w:val="24"/>
          <w:szCs w:val="24"/>
          <w:shd w:val="clear" w:color="auto" w:fill="FFFFFF"/>
        </w:rPr>
        <w:t>Eichengreen</w:t>
      </w:r>
      <w:proofErr w:type="spellEnd"/>
      <w:r w:rsidRPr="00380DA9">
        <w:rPr>
          <w:rFonts w:ascii="Times New Roman" w:hAnsi="Times New Roman" w:cs="Times New Roman"/>
          <w:sz w:val="24"/>
          <w:szCs w:val="24"/>
          <w:shd w:val="clear" w:color="auto" w:fill="FFFFFF"/>
        </w:rPr>
        <w:t xml:space="preserve"> e Gupta (2015), os impactos negativos já eram observados nas economias emergentes com o advento do anúncio de </w:t>
      </w:r>
      <w:proofErr w:type="spellStart"/>
      <w:r w:rsidRPr="00380DA9">
        <w:rPr>
          <w:rFonts w:ascii="Times New Roman" w:hAnsi="Times New Roman" w:cs="Times New Roman"/>
          <w:i/>
          <w:sz w:val="24"/>
          <w:szCs w:val="24"/>
          <w:shd w:val="clear" w:color="auto" w:fill="FFFFFF"/>
        </w:rPr>
        <w:t>tapering</w:t>
      </w:r>
      <w:proofErr w:type="spellEnd"/>
      <w:r w:rsidRPr="00380DA9">
        <w:rPr>
          <w:rFonts w:ascii="Times New Roman" w:hAnsi="Times New Roman" w:cs="Times New Roman"/>
          <w:sz w:val="24"/>
          <w:szCs w:val="24"/>
          <w:shd w:val="clear" w:color="auto" w:fill="FFFFFF"/>
        </w:rPr>
        <w:t xml:space="preserve">, sendo seus efeitos, em termos de depreciação cambial e declínio nos preços das ações, sentido mais fortemente pelos países que permitiam a apreciação da taxa de câmbio real e um amplo déficit na conta corrente antes mesmo da política de QE. Por fornecer maior facilidade para os investidores reequilibrarem seus </w:t>
      </w:r>
      <w:r w:rsidRPr="00380DA9">
        <w:rPr>
          <w:rFonts w:ascii="Times New Roman" w:hAnsi="Times New Roman" w:cs="Times New Roman"/>
          <w:sz w:val="24"/>
          <w:szCs w:val="24"/>
          <w:shd w:val="clear" w:color="auto" w:fill="FFFFFF"/>
        </w:rPr>
        <w:lastRenderedPageBreak/>
        <w:t xml:space="preserve">portfólios, os países com maior mercado financeiro e que apresentam ativos com maior liquidez também estão sujeitos a maior pressão sobre a taxa de câmbio com a reversão da política monetária não convencional. </w:t>
      </w:r>
    </w:p>
    <w:p w14:paraId="111C45BB" w14:textId="77777777" w:rsidR="00DA5B79" w:rsidRPr="00380DA9" w:rsidRDefault="00DA5B79" w:rsidP="00511A46">
      <w:pPr>
        <w:spacing w:after="0" w:line="240" w:lineRule="auto"/>
        <w:ind w:right="-142" w:firstLine="708"/>
        <w:jc w:val="both"/>
        <w:rPr>
          <w:rFonts w:ascii="Times New Roman" w:hAnsi="Times New Roman" w:cs="Times New Roman"/>
          <w:sz w:val="24"/>
          <w:szCs w:val="24"/>
          <w:shd w:val="clear" w:color="auto" w:fill="FFFFFF"/>
        </w:rPr>
      </w:pPr>
      <w:r w:rsidRPr="00380DA9">
        <w:rPr>
          <w:rFonts w:ascii="Times New Roman" w:hAnsi="Times New Roman" w:cs="Times New Roman"/>
          <w:sz w:val="24"/>
          <w:szCs w:val="24"/>
          <w:shd w:val="clear" w:color="auto" w:fill="FFFFFF"/>
        </w:rPr>
        <w:t>A apreciação do dólar pode ser positiva para economias emergentes no sentido de elevar a competitividade externa, mas pode ter um efeito negativo ao pressionar um aumento do nível de preços, sobretudo em países com inflação já elevada, juros altos e conta de capital relativamente aberta, como no caso do Brasil.</w:t>
      </w:r>
    </w:p>
    <w:p w14:paraId="111C45BC" w14:textId="77777777" w:rsidR="00DA5B79" w:rsidRPr="00380DA9" w:rsidRDefault="00DA5B79" w:rsidP="00511A46">
      <w:pPr>
        <w:spacing w:after="0" w:line="240" w:lineRule="auto"/>
        <w:ind w:right="-142" w:firstLine="708"/>
        <w:jc w:val="both"/>
        <w:rPr>
          <w:rFonts w:ascii="Times New Roman" w:hAnsi="Times New Roman" w:cs="Times New Roman"/>
          <w:sz w:val="24"/>
          <w:szCs w:val="24"/>
        </w:rPr>
      </w:pPr>
      <w:r w:rsidRPr="00380DA9">
        <w:rPr>
          <w:rFonts w:ascii="Times New Roman" w:hAnsi="Times New Roman" w:cs="Times New Roman"/>
          <w:sz w:val="24"/>
          <w:szCs w:val="24"/>
        </w:rPr>
        <w:t>Flores (2015) estima os possíveis impactos que uma política monetária contracionista nos EUA teria sobre as principais variáveis econômicas dos países da América Latina. Utilizando funções de impulso resposta estimadas por um modelo GVAR diante de um choque na política monetária americana, chega ao resultado em que verifica deterioração da atividade real com atrasos. À medida que os meses passam, o efeito contracionista gradualmente se torna significativo na maioria dos países da América Latina. Chile e México são os países que têm as mais altas perdas em termos de crescimento; em todos os países da região, após os primeiros meses, houve um aumento lento no nível de preços. Porém, o Brasil é o único país a ter preços mais baixos logo após o período de alta. As taxas de juros de curto prazo nos países como Colômbia, México e Peru registraram um aumento significativo nos primeiros meses. Brasil e Chile não parecem mostrar reações em suas taxas de curto prazo.</w:t>
      </w:r>
    </w:p>
    <w:p w14:paraId="111C45BD" w14:textId="77777777" w:rsidR="00DA5B79" w:rsidRPr="00380DA9" w:rsidRDefault="00DA5B79" w:rsidP="00511A46">
      <w:pPr>
        <w:spacing w:after="0" w:line="240" w:lineRule="auto"/>
        <w:ind w:right="-142" w:firstLine="708"/>
        <w:jc w:val="both"/>
        <w:rPr>
          <w:rFonts w:ascii="Times New Roman" w:hAnsi="Times New Roman" w:cs="Times New Roman"/>
          <w:sz w:val="24"/>
          <w:szCs w:val="24"/>
          <w:shd w:val="clear" w:color="auto" w:fill="FFFFFF"/>
        </w:rPr>
      </w:pPr>
      <w:r w:rsidRPr="00380DA9">
        <w:rPr>
          <w:rFonts w:ascii="Times New Roman" w:hAnsi="Times New Roman" w:cs="Times New Roman"/>
          <w:sz w:val="24"/>
          <w:szCs w:val="24"/>
          <w:shd w:val="clear" w:color="auto" w:fill="FFFFFF"/>
        </w:rPr>
        <w:t xml:space="preserve">Analisando os efeitos dessa nova conjuntura financeira internacional sobre a economia brasileira, Prates e Cunha (2014, p.10) destacam que o Brasil foi considerado pela Morgan Stanley como um dos “cinco frágeis” que seriam os países “mais vulneráveis à progressiva normalização das condições monetárias nos Estados Unidos devido aos elevados déficits em transações correntes, altas taxas de inflação e/ou desaceleração do crescimento”. Desta forma, torna-se útil verificarmos os potenciais efeitos da política de </w:t>
      </w:r>
      <w:proofErr w:type="spellStart"/>
      <w:r w:rsidRPr="00380DA9">
        <w:rPr>
          <w:rFonts w:ascii="Times New Roman" w:hAnsi="Times New Roman" w:cs="Times New Roman"/>
          <w:i/>
          <w:sz w:val="24"/>
          <w:szCs w:val="24"/>
          <w:shd w:val="clear" w:color="auto" w:fill="FFFFFF"/>
        </w:rPr>
        <w:t>tapering</w:t>
      </w:r>
      <w:proofErr w:type="spellEnd"/>
      <w:r w:rsidRPr="00380DA9">
        <w:rPr>
          <w:rFonts w:ascii="Times New Roman" w:hAnsi="Times New Roman" w:cs="Times New Roman"/>
          <w:sz w:val="24"/>
          <w:szCs w:val="24"/>
          <w:shd w:val="clear" w:color="auto" w:fill="FFFFFF"/>
        </w:rPr>
        <w:t xml:space="preserve"> nos Estados Unidos sobre a economia brasileira, que deve se fortalecer ao longo do ano de 2017.</w:t>
      </w:r>
    </w:p>
    <w:p w14:paraId="111C45BE" w14:textId="77777777" w:rsidR="00DA5B79" w:rsidRPr="00380DA9" w:rsidRDefault="00DA5B79" w:rsidP="00511A46">
      <w:pPr>
        <w:spacing w:after="0" w:line="240" w:lineRule="auto"/>
        <w:ind w:right="-142" w:firstLine="708"/>
        <w:jc w:val="both"/>
        <w:rPr>
          <w:rFonts w:ascii="Times New Roman" w:hAnsi="Times New Roman" w:cs="Times New Roman"/>
          <w:sz w:val="24"/>
          <w:szCs w:val="24"/>
          <w:shd w:val="clear" w:color="auto" w:fill="FFFFFF"/>
        </w:rPr>
      </w:pPr>
    </w:p>
    <w:p w14:paraId="111C45BF" w14:textId="0672C216" w:rsidR="00DA5B79" w:rsidRDefault="00DA5B79" w:rsidP="00511A46">
      <w:pPr>
        <w:pStyle w:val="PargrafodaLista"/>
        <w:numPr>
          <w:ilvl w:val="0"/>
          <w:numId w:val="4"/>
        </w:numPr>
        <w:spacing w:after="120" w:line="240" w:lineRule="auto"/>
        <w:ind w:left="720" w:right="-142" w:hanging="720"/>
        <w:contextualSpacing w:val="0"/>
        <w:jc w:val="both"/>
        <w:rPr>
          <w:rFonts w:ascii="Times New Roman" w:hAnsi="Times New Roman" w:cs="Times New Roman"/>
          <w:b/>
          <w:sz w:val="24"/>
          <w:szCs w:val="24"/>
        </w:rPr>
      </w:pPr>
      <w:r w:rsidRPr="00380DA9">
        <w:rPr>
          <w:rFonts w:ascii="Times New Roman" w:hAnsi="Times New Roman" w:cs="Times New Roman"/>
          <w:b/>
          <w:sz w:val="24"/>
          <w:szCs w:val="24"/>
        </w:rPr>
        <w:t>O modelo</w:t>
      </w:r>
    </w:p>
    <w:p w14:paraId="7B8C7412" w14:textId="77777777" w:rsidR="00D90DE6" w:rsidRPr="00380DA9" w:rsidRDefault="00D90DE6" w:rsidP="00D90DE6">
      <w:pPr>
        <w:pStyle w:val="PargrafodaLista"/>
        <w:spacing w:after="120" w:line="240" w:lineRule="auto"/>
        <w:ind w:right="-142"/>
        <w:contextualSpacing w:val="0"/>
        <w:jc w:val="both"/>
        <w:rPr>
          <w:rFonts w:ascii="Times New Roman" w:hAnsi="Times New Roman" w:cs="Times New Roman"/>
          <w:b/>
          <w:sz w:val="24"/>
          <w:szCs w:val="24"/>
        </w:rPr>
      </w:pPr>
    </w:p>
    <w:p w14:paraId="111C4649" w14:textId="4396EE3B" w:rsidR="00DA5B79" w:rsidRPr="003C19B1" w:rsidRDefault="006F642E" w:rsidP="00511A46">
      <w:pPr>
        <w:pStyle w:val="PargrafodaLista"/>
        <w:spacing w:after="0" w:line="240" w:lineRule="auto"/>
        <w:ind w:left="0" w:right="-142" w:firstLine="708"/>
        <w:contextualSpacing w:val="0"/>
        <w:jc w:val="both"/>
        <w:rPr>
          <w:rFonts w:ascii="Times New Roman" w:hAnsi="Times New Roman" w:cs="Times New Roman"/>
          <w:sz w:val="24"/>
          <w:szCs w:val="24"/>
        </w:rPr>
      </w:pPr>
      <w:r>
        <w:rPr>
          <w:rFonts w:ascii="Times New Roman" w:hAnsi="Times New Roman" w:cs="Times New Roman"/>
          <w:sz w:val="24"/>
          <w:szCs w:val="24"/>
        </w:rPr>
        <w:t xml:space="preserve">O modelo usado neste trabalho é </w:t>
      </w:r>
      <w:r w:rsidR="008D6795">
        <w:rPr>
          <w:rFonts w:ascii="Times New Roman" w:hAnsi="Times New Roman" w:cs="Times New Roman"/>
          <w:sz w:val="24"/>
          <w:szCs w:val="24"/>
        </w:rPr>
        <w:t xml:space="preserve">o utilizado por </w:t>
      </w:r>
      <w:r w:rsidRPr="006F642E">
        <w:rPr>
          <w:rFonts w:ascii="Times New Roman" w:hAnsi="Times New Roman" w:cs="Times New Roman"/>
          <w:sz w:val="24"/>
          <w:szCs w:val="24"/>
        </w:rPr>
        <w:t>Costa Junior, Garcia-Cintado</w:t>
      </w:r>
      <w:r>
        <w:rPr>
          <w:rFonts w:ascii="Times New Roman" w:hAnsi="Times New Roman" w:cs="Times New Roman"/>
          <w:sz w:val="24"/>
          <w:szCs w:val="24"/>
        </w:rPr>
        <w:t xml:space="preserve"> e</w:t>
      </w:r>
      <w:r w:rsidRPr="006F642E">
        <w:rPr>
          <w:rFonts w:ascii="Times New Roman" w:hAnsi="Times New Roman" w:cs="Times New Roman"/>
          <w:sz w:val="24"/>
          <w:szCs w:val="24"/>
        </w:rPr>
        <w:t xml:space="preserve"> Sampaio (2017)</w:t>
      </w:r>
      <w:r w:rsidR="00467178">
        <w:rPr>
          <w:rFonts w:ascii="Times New Roman" w:hAnsi="Times New Roman" w:cs="Times New Roman"/>
          <w:sz w:val="24"/>
          <w:szCs w:val="24"/>
        </w:rPr>
        <w:t xml:space="preserve">. Estes autores utilizaram um modelo novo-keynesiano </w:t>
      </w:r>
      <w:r w:rsidR="003C19B1" w:rsidRPr="003C19B1">
        <w:rPr>
          <w:rFonts w:ascii="Times New Roman" w:hAnsi="Times New Roman" w:cs="Times New Roman"/>
          <w:sz w:val="24"/>
          <w:szCs w:val="24"/>
        </w:rPr>
        <w:t>com</w:t>
      </w:r>
      <w:r w:rsidR="008E057D">
        <w:rPr>
          <w:rFonts w:ascii="Times New Roman" w:hAnsi="Times New Roman" w:cs="Times New Roman"/>
          <w:sz w:val="24"/>
          <w:szCs w:val="24"/>
        </w:rPr>
        <w:t>:</w:t>
      </w:r>
      <w:r w:rsidR="003C19B1" w:rsidRPr="003C19B1">
        <w:rPr>
          <w:rFonts w:ascii="Times New Roman" w:hAnsi="Times New Roman" w:cs="Times New Roman"/>
          <w:sz w:val="24"/>
          <w:szCs w:val="24"/>
        </w:rPr>
        <w:t xml:space="preserve"> fricções de preços e salários</w:t>
      </w:r>
      <w:r w:rsidR="008E057D">
        <w:rPr>
          <w:rFonts w:ascii="Times New Roman" w:hAnsi="Times New Roman" w:cs="Times New Roman"/>
          <w:sz w:val="24"/>
          <w:szCs w:val="24"/>
        </w:rPr>
        <w:t>;</w:t>
      </w:r>
      <w:r w:rsidR="003C19B1" w:rsidRPr="003C19B1">
        <w:rPr>
          <w:rFonts w:ascii="Times New Roman" w:hAnsi="Times New Roman" w:cs="Times New Roman"/>
          <w:sz w:val="24"/>
          <w:szCs w:val="24"/>
        </w:rPr>
        <w:t xml:space="preserve"> agentes não</w:t>
      </w:r>
      <w:r w:rsidR="00786C02">
        <w:rPr>
          <w:rFonts w:ascii="Times New Roman" w:hAnsi="Times New Roman" w:cs="Times New Roman"/>
          <w:sz w:val="24"/>
          <w:szCs w:val="24"/>
        </w:rPr>
        <w:t>-</w:t>
      </w:r>
      <w:proofErr w:type="spellStart"/>
      <w:r w:rsidR="003C19B1" w:rsidRPr="003C19B1">
        <w:rPr>
          <w:rFonts w:ascii="Times New Roman" w:hAnsi="Times New Roman" w:cs="Times New Roman"/>
          <w:sz w:val="24"/>
          <w:szCs w:val="24"/>
        </w:rPr>
        <w:t>ricardianos</w:t>
      </w:r>
      <w:proofErr w:type="spellEnd"/>
      <w:r w:rsidR="008E057D">
        <w:rPr>
          <w:rFonts w:ascii="Times New Roman" w:hAnsi="Times New Roman" w:cs="Times New Roman"/>
          <w:sz w:val="24"/>
          <w:szCs w:val="24"/>
        </w:rPr>
        <w:t>;</w:t>
      </w:r>
      <w:r w:rsidR="003C19B1" w:rsidRPr="003C19B1">
        <w:rPr>
          <w:rFonts w:ascii="Times New Roman" w:hAnsi="Times New Roman" w:cs="Times New Roman"/>
          <w:sz w:val="24"/>
          <w:szCs w:val="24"/>
        </w:rPr>
        <w:t xml:space="preserve"> formação de hábitos de consumo</w:t>
      </w:r>
      <w:r w:rsidR="006F04D9">
        <w:rPr>
          <w:rFonts w:ascii="Times New Roman" w:hAnsi="Times New Roman" w:cs="Times New Roman"/>
          <w:sz w:val="24"/>
          <w:szCs w:val="24"/>
        </w:rPr>
        <w:t>:</w:t>
      </w:r>
      <w:r w:rsidR="003C19B1" w:rsidRPr="003C19B1">
        <w:rPr>
          <w:rFonts w:ascii="Times New Roman" w:hAnsi="Times New Roman" w:cs="Times New Roman"/>
          <w:sz w:val="24"/>
          <w:szCs w:val="24"/>
        </w:rPr>
        <w:t xml:space="preserve"> custo de ajustamento nos investimentos</w:t>
      </w:r>
      <w:r w:rsidR="006F04D9">
        <w:rPr>
          <w:rFonts w:ascii="Times New Roman" w:hAnsi="Times New Roman" w:cs="Times New Roman"/>
          <w:sz w:val="24"/>
          <w:szCs w:val="24"/>
        </w:rPr>
        <w:t xml:space="preserve">; </w:t>
      </w:r>
      <w:r w:rsidR="006F04D9" w:rsidRPr="003C19B1">
        <w:rPr>
          <w:rFonts w:ascii="Times New Roman" w:hAnsi="Times New Roman" w:cs="Times New Roman"/>
          <w:sz w:val="24"/>
          <w:szCs w:val="24"/>
        </w:rPr>
        <w:t>custo de ajustamento</w:t>
      </w:r>
      <w:r w:rsidR="003C19B1" w:rsidRPr="003C19B1">
        <w:rPr>
          <w:rFonts w:ascii="Times New Roman" w:hAnsi="Times New Roman" w:cs="Times New Roman"/>
          <w:sz w:val="24"/>
          <w:szCs w:val="24"/>
        </w:rPr>
        <w:t xml:space="preserve"> na expansão da dívida externa líquida</w:t>
      </w:r>
      <w:r w:rsidR="00901BA1">
        <w:rPr>
          <w:rFonts w:ascii="Times New Roman" w:hAnsi="Times New Roman" w:cs="Times New Roman"/>
          <w:sz w:val="24"/>
          <w:szCs w:val="24"/>
        </w:rPr>
        <w:t>;</w:t>
      </w:r>
      <w:r w:rsidR="003C19B1" w:rsidRPr="003C19B1">
        <w:rPr>
          <w:rFonts w:ascii="Times New Roman" w:hAnsi="Times New Roman" w:cs="Times New Roman"/>
          <w:sz w:val="24"/>
          <w:szCs w:val="24"/>
        </w:rPr>
        <w:t xml:space="preserve"> e</w:t>
      </w:r>
      <w:r w:rsidR="00901BA1">
        <w:rPr>
          <w:rFonts w:ascii="Times New Roman" w:hAnsi="Times New Roman" w:cs="Times New Roman"/>
          <w:sz w:val="24"/>
          <w:szCs w:val="24"/>
        </w:rPr>
        <w:t xml:space="preserve"> </w:t>
      </w:r>
      <w:r w:rsidR="00901BA1" w:rsidRPr="003C19B1">
        <w:rPr>
          <w:rFonts w:ascii="Times New Roman" w:hAnsi="Times New Roman" w:cs="Times New Roman"/>
          <w:sz w:val="24"/>
          <w:szCs w:val="24"/>
        </w:rPr>
        <w:t>custo de ajustamento</w:t>
      </w:r>
      <w:r w:rsidR="003C19B1" w:rsidRPr="003C19B1">
        <w:rPr>
          <w:rFonts w:ascii="Times New Roman" w:hAnsi="Times New Roman" w:cs="Times New Roman"/>
          <w:sz w:val="24"/>
          <w:szCs w:val="24"/>
        </w:rPr>
        <w:t xml:space="preserve"> da não utilização da capacidade instalada máxima. </w:t>
      </w:r>
      <w:r w:rsidR="009050DF">
        <w:rPr>
          <w:rFonts w:ascii="Times New Roman" w:hAnsi="Times New Roman" w:cs="Times New Roman"/>
          <w:sz w:val="24"/>
          <w:szCs w:val="24"/>
        </w:rPr>
        <w:t xml:space="preserve">A forma </w:t>
      </w:r>
      <w:r w:rsidR="00050193">
        <w:rPr>
          <w:rFonts w:ascii="Times New Roman" w:hAnsi="Times New Roman" w:cs="Times New Roman"/>
          <w:sz w:val="24"/>
          <w:szCs w:val="24"/>
        </w:rPr>
        <w:t xml:space="preserve">que esses autores modelaram a abertura do modelo segue Castro </w:t>
      </w:r>
      <w:r w:rsidR="00050193" w:rsidRPr="00050193">
        <w:rPr>
          <w:rFonts w:ascii="Times New Roman" w:hAnsi="Times New Roman" w:cs="Times New Roman"/>
          <w:i/>
          <w:sz w:val="24"/>
          <w:szCs w:val="24"/>
        </w:rPr>
        <w:t>et al</w:t>
      </w:r>
      <w:r w:rsidR="00050193">
        <w:rPr>
          <w:rFonts w:ascii="Times New Roman" w:hAnsi="Times New Roman" w:cs="Times New Roman"/>
          <w:sz w:val="24"/>
          <w:szCs w:val="24"/>
        </w:rPr>
        <w:t xml:space="preserve"> (2015)</w:t>
      </w:r>
      <w:r w:rsidR="00906FC5">
        <w:rPr>
          <w:rFonts w:ascii="Times New Roman" w:hAnsi="Times New Roman" w:cs="Times New Roman"/>
          <w:sz w:val="24"/>
          <w:szCs w:val="24"/>
        </w:rPr>
        <w:t>, em que o país doméstico importa insumos para a produção de bens intermediários.</w:t>
      </w:r>
      <w:r w:rsidR="00CB1CBF">
        <w:rPr>
          <w:rFonts w:ascii="Times New Roman" w:hAnsi="Times New Roman" w:cs="Times New Roman"/>
          <w:sz w:val="24"/>
          <w:szCs w:val="24"/>
        </w:rPr>
        <w:t xml:space="preserve"> </w:t>
      </w:r>
      <w:r w:rsidR="00CB1CBF" w:rsidRPr="006F642E">
        <w:rPr>
          <w:rFonts w:ascii="Times New Roman" w:hAnsi="Times New Roman" w:cs="Times New Roman"/>
          <w:sz w:val="24"/>
          <w:szCs w:val="24"/>
        </w:rPr>
        <w:t>Costa Junior, Garcia-Cintado</w:t>
      </w:r>
      <w:r w:rsidR="00CB1CBF">
        <w:rPr>
          <w:rFonts w:ascii="Times New Roman" w:hAnsi="Times New Roman" w:cs="Times New Roman"/>
          <w:sz w:val="24"/>
          <w:szCs w:val="24"/>
        </w:rPr>
        <w:t xml:space="preserve"> e</w:t>
      </w:r>
      <w:r w:rsidR="00CB1CBF" w:rsidRPr="006F642E">
        <w:rPr>
          <w:rFonts w:ascii="Times New Roman" w:hAnsi="Times New Roman" w:cs="Times New Roman"/>
          <w:sz w:val="24"/>
          <w:szCs w:val="24"/>
        </w:rPr>
        <w:t xml:space="preserve"> Sampaio (2017)</w:t>
      </w:r>
      <w:r w:rsidR="00CB1CBF">
        <w:rPr>
          <w:rFonts w:ascii="Times New Roman" w:hAnsi="Times New Roman" w:cs="Times New Roman"/>
          <w:sz w:val="24"/>
          <w:szCs w:val="24"/>
        </w:rPr>
        <w:t xml:space="preserve"> também usam impostos distorcivos</w:t>
      </w:r>
      <w:r w:rsidR="000F26A3">
        <w:rPr>
          <w:rFonts w:ascii="Times New Roman" w:hAnsi="Times New Roman" w:cs="Times New Roman"/>
          <w:sz w:val="24"/>
          <w:szCs w:val="24"/>
        </w:rPr>
        <w:t xml:space="preserve">, investimento do governo e transferência </w:t>
      </w:r>
      <w:r w:rsidR="00D5378F">
        <w:rPr>
          <w:rFonts w:ascii="Times New Roman" w:hAnsi="Times New Roman" w:cs="Times New Roman"/>
          <w:sz w:val="24"/>
          <w:szCs w:val="24"/>
        </w:rPr>
        <w:t xml:space="preserve">de renda às famílias. </w:t>
      </w:r>
      <w:r w:rsidR="009C3AAD">
        <w:rPr>
          <w:rFonts w:ascii="Times New Roman" w:hAnsi="Times New Roman" w:cs="Times New Roman"/>
          <w:sz w:val="24"/>
          <w:szCs w:val="24"/>
        </w:rPr>
        <w:t xml:space="preserve">A economia desse modelo enfrenta choques externos da taxa de juros externa, preços dos insumos importados e </w:t>
      </w:r>
      <w:r w:rsidR="00832FDF">
        <w:rPr>
          <w:rFonts w:ascii="Times New Roman" w:hAnsi="Times New Roman" w:cs="Times New Roman"/>
          <w:sz w:val="24"/>
          <w:szCs w:val="24"/>
        </w:rPr>
        <w:t>demanda por exportações. Resumindo, esse modelo possui as principais características e fricções da modelagem DSGE</w:t>
      </w:r>
      <w:r w:rsidR="00A50B44">
        <w:rPr>
          <w:rFonts w:ascii="Times New Roman" w:hAnsi="Times New Roman" w:cs="Times New Roman"/>
          <w:sz w:val="24"/>
          <w:szCs w:val="24"/>
        </w:rPr>
        <w:t xml:space="preserve"> com uma abordagem para a economia brasileira sendo suficiente para </w:t>
      </w:r>
      <w:r w:rsidR="00B3597D">
        <w:rPr>
          <w:rFonts w:ascii="Times New Roman" w:hAnsi="Times New Roman" w:cs="Times New Roman"/>
          <w:sz w:val="24"/>
          <w:szCs w:val="24"/>
        </w:rPr>
        <w:t xml:space="preserve">resolver a questão principal deste trabalho – analisar os efeitos </w:t>
      </w:r>
      <w:r w:rsidR="00892509">
        <w:rPr>
          <w:rFonts w:ascii="Times New Roman" w:hAnsi="Times New Roman" w:cs="Times New Roman"/>
          <w:sz w:val="24"/>
          <w:szCs w:val="24"/>
        </w:rPr>
        <w:t xml:space="preserve">de um possível processo de </w:t>
      </w:r>
      <w:proofErr w:type="spellStart"/>
      <w:r w:rsidR="00892509" w:rsidRPr="00892509">
        <w:rPr>
          <w:rFonts w:ascii="Times New Roman" w:hAnsi="Times New Roman" w:cs="Times New Roman"/>
          <w:i/>
          <w:sz w:val="24"/>
          <w:szCs w:val="24"/>
        </w:rPr>
        <w:t>tapering</w:t>
      </w:r>
      <w:proofErr w:type="spellEnd"/>
      <w:r w:rsidR="00892509">
        <w:rPr>
          <w:rFonts w:ascii="Times New Roman" w:hAnsi="Times New Roman" w:cs="Times New Roman"/>
          <w:sz w:val="24"/>
          <w:szCs w:val="24"/>
        </w:rPr>
        <w:t xml:space="preserve"> da economia americana.</w:t>
      </w:r>
    </w:p>
    <w:p w14:paraId="25507294" w14:textId="77777777" w:rsidR="003C19B1" w:rsidRPr="00380DA9" w:rsidRDefault="003C19B1" w:rsidP="00511A46">
      <w:pPr>
        <w:pStyle w:val="PargrafodaLista"/>
        <w:spacing w:after="0" w:line="240" w:lineRule="auto"/>
        <w:ind w:left="0" w:right="-142"/>
        <w:contextualSpacing w:val="0"/>
        <w:jc w:val="both"/>
        <w:rPr>
          <w:rFonts w:ascii="Times New Roman" w:hAnsi="Times New Roman" w:cs="Times New Roman"/>
          <w:b/>
          <w:sz w:val="24"/>
          <w:szCs w:val="24"/>
        </w:rPr>
      </w:pPr>
    </w:p>
    <w:p w14:paraId="111C464A" w14:textId="564DCB93" w:rsidR="00DA5B79" w:rsidRDefault="00DA5B79" w:rsidP="00511A46">
      <w:pPr>
        <w:pStyle w:val="PargrafodaLista"/>
        <w:spacing w:after="0" w:line="240" w:lineRule="auto"/>
        <w:ind w:left="0" w:right="-142"/>
        <w:contextualSpacing w:val="0"/>
        <w:jc w:val="both"/>
        <w:rPr>
          <w:rFonts w:ascii="Times New Roman" w:hAnsi="Times New Roman" w:cs="Times New Roman"/>
          <w:b/>
          <w:sz w:val="24"/>
          <w:szCs w:val="24"/>
        </w:rPr>
      </w:pPr>
      <w:r w:rsidRPr="00380DA9">
        <w:rPr>
          <w:rFonts w:ascii="Times New Roman" w:hAnsi="Times New Roman" w:cs="Times New Roman"/>
          <w:b/>
          <w:sz w:val="24"/>
          <w:szCs w:val="24"/>
        </w:rPr>
        <w:t>4.   Dados</w:t>
      </w:r>
      <w:r w:rsidR="00591EBA">
        <w:rPr>
          <w:rFonts w:ascii="Times New Roman" w:hAnsi="Times New Roman" w:cs="Times New Roman"/>
          <w:b/>
          <w:sz w:val="24"/>
          <w:szCs w:val="24"/>
        </w:rPr>
        <w:t>, calibragem e estimação bayesiana</w:t>
      </w:r>
    </w:p>
    <w:p w14:paraId="0187BC1E" w14:textId="77777777" w:rsidR="00D90DE6" w:rsidRPr="00380DA9" w:rsidRDefault="00D90DE6" w:rsidP="00511A46">
      <w:pPr>
        <w:pStyle w:val="PargrafodaLista"/>
        <w:spacing w:after="0" w:line="240" w:lineRule="auto"/>
        <w:ind w:left="0" w:right="-142"/>
        <w:contextualSpacing w:val="0"/>
        <w:jc w:val="both"/>
        <w:rPr>
          <w:rFonts w:ascii="Times New Roman" w:hAnsi="Times New Roman" w:cs="Times New Roman"/>
          <w:b/>
          <w:sz w:val="24"/>
          <w:szCs w:val="24"/>
        </w:rPr>
      </w:pPr>
    </w:p>
    <w:p w14:paraId="111C464B" w14:textId="20EE7A07" w:rsidR="00DA5B79" w:rsidRPr="00380DA9" w:rsidRDefault="00DA5B79" w:rsidP="00511A46">
      <w:pPr>
        <w:spacing w:after="0" w:line="240" w:lineRule="auto"/>
        <w:ind w:right="-142" w:firstLine="708"/>
        <w:jc w:val="both"/>
        <w:rPr>
          <w:rFonts w:ascii="Times New Roman" w:hAnsi="Times New Roman" w:cs="Times New Roman"/>
          <w:sz w:val="24"/>
          <w:szCs w:val="24"/>
        </w:rPr>
      </w:pPr>
      <w:r w:rsidRPr="00380DA9">
        <w:rPr>
          <w:rFonts w:ascii="Times New Roman" w:hAnsi="Times New Roman" w:cs="Times New Roman"/>
          <w:sz w:val="24"/>
          <w:szCs w:val="24"/>
        </w:rPr>
        <w:t>Este modelo foi estimado utilizando dados trimestrais com início em 2002T1 a 201</w:t>
      </w:r>
      <w:r w:rsidR="0081686A">
        <w:rPr>
          <w:rFonts w:ascii="Times New Roman" w:hAnsi="Times New Roman" w:cs="Times New Roman"/>
          <w:sz w:val="24"/>
          <w:szCs w:val="24"/>
        </w:rPr>
        <w:t>7</w:t>
      </w:r>
      <w:r w:rsidRPr="00380DA9">
        <w:rPr>
          <w:rFonts w:ascii="Times New Roman" w:hAnsi="Times New Roman" w:cs="Times New Roman"/>
          <w:sz w:val="24"/>
          <w:szCs w:val="24"/>
        </w:rPr>
        <w:t>T</w:t>
      </w:r>
      <w:r w:rsidR="0081686A">
        <w:rPr>
          <w:rFonts w:ascii="Times New Roman" w:hAnsi="Times New Roman" w:cs="Times New Roman"/>
          <w:sz w:val="24"/>
          <w:szCs w:val="24"/>
        </w:rPr>
        <w:t>2</w:t>
      </w:r>
      <w:r w:rsidRPr="00380DA9">
        <w:rPr>
          <w:rFonts w:ascii="Times New Roman" w:hAnsi="Times New Roman" w:cs="Times New Roman"/>
          <w:sz w:val="24"/>
          <w:szCs w:val="24"/>
        </w:rPr>
        <w:t xml:space="preserve">. Foram usadas </w:t>
      </w:r>
      <w:r w:rsidR="003E6FE6">
        <w:rPr>
          <w:rFonts w:ascii="Times New Roman" w:hAnsi="Times New Roman" w:cs="Times New Roman"/>
          <w:sz w:val="24"/>
          <w:szCs w:val="24"/>
        </w:rPr>
        <w:t>14</w:t>
      </w:r>
      <w:r w:rsidRPr="00380DA9">
        <w:rPr>
          <w:rFonts w:ascii="Times New Roman" w:hAnsi="Times New Roman" w:cs="Times New Roman"/>
          <w:sz w:val="24"/>
          <w:szCs w:val="24"/>
        </w:rPr>
        <w:t xml:space="preserve"> variáveis observáveis</w:t>
      </w:r>
      <w:r w:rsidR="00E82298">
        <w:rPr>
          <w:rFonts w:ascii="Times New Roman" w:hAnsi="Times New Roman" w:cs="Times New Roman"/>
          <w:sz w:val="24"/>
          <w:szCs w:val="24"/>
        </w:rPr>
        <w:t xml:space="preserve"> </w:t>
      </w:r>
      <w:r w:rsidRPr="00380DA9">
        <w:rPr>
          <w:rFonts w:ascii="Times New Roman" w:hAnsi="Times New Roman" w:cs="Times New Roman"/>
          <w:sz w:val="24"/>
          <w:szCs w:val="24"/>
        </w:rPr>
        <w:t>escolhidas devido a disponibilidade e relevância para a proposta desta pesquisa</w:t>
      </w:r>
      <w:r w:rsidR="00053A50">
        <w:rPr>
          <w:rFonts w:ascii="Times New Roman" w:hAnsi="Times New Roman" w:cs="Times New Roman"/>
          <w:sz w:val="24"/>
          <w:szCs w:val="24"/>
        </w:rPr>
        <w:t xml:space="preserve"> (Tabela 1)</w:t>
      </w:r>
      <w:r w:rsidRPr="00380DA9">
        <w:rPr>
          <w:rFonts w:ascii="Times New Roman" w:hAnsi="Times New Roman" w:cs="Times New Roman"/>
          <w:sz w:val="24"/>
          <w:szCs w:val="24"/>
        </w:rPr>
        <w:t>. A sazonalidade dessas séries foi retirada com o algoritmo X12ARIMA e a tendência com a diferença do logaritmo.</w:t>
      </w:r>
    </w:p>
    <w:p w14:paraId="111C464C" w14:textId="77CC1A1C" w:rsidR="00DA5B79" w:rsidRDefault="00DA5B79" w:rsidP="002E1982">
      <w:pPr>
        <w:spacing w:after="0" w:line="360" w:lineRule="auto"/>
        <w:ind w:right="-142"/>
        <w:jc w:val="both"/>
        <w:rPr>
          <w:rFonts w:ascii="Times New Roman" w:hAnsi="Times New Roman" w:cs="Times New Roman"/>
          <w:sz w:val="24"/>
          <w:szCs w:val="24"/>
        </w:rPr>
      </w:pPr>
    </w:p>
    <w:p w14:paraId="1594136A" w14:textId="6A6AA74A" w:rsidR="00053A50" w:rsidRPr="002A7B2C" w:rsidRDefault="002A7B2C" w:rsidP="002A7B2C">
      <w:pPr>
        <w:pStyle w:val="Legenda"/>
        <w:keepNext/>
        <w:spacing w:before="0" w:after="0" w:line="360" w:lineRule="auto"/>
        <w:jc w:val="center"/>
        <w:rPr>
          <w:rFonts w:ascii="Times New Roman" w:hAnsi="Times New Roman" w:cs="Times New Roman"/>
          <w:b/>
          <w:i w:val="0"/>
        </w:rPr>
      </w:pPr>
      <w:r w:rsidRPr="00380DA9">
        <w:rPr>
          <w:rFonts w:ascii="Times New Roman" w:hAnsi="Times New Roman" w:cs="Times New Roman"/>
          <w:b/>
          <w:i w:val="0"/>
        </w:rPr>
        <w:lastRenderedPageBreak/>
        <w:t xml:space="preserve">Tabela </w:t>
      </w:r>
      <w:r>
        <w:rPr>
          <w:rFonts w:ascii="Times New Roman" w:hAnsi="Times New Roman" w:cs="Times New Roman"/>
          <w:b/>
          <w:i w:val="0"/>
        </w:rPr>
        <w:t>1</w:t>
      </w:r>
      <w:r w:rsidRPr="00380DA9">
        <w:rPr>
          <w:rFonts w:ascii="Times New Roman" w:hAnsi="Times New Roman" w:cs="Times New Roman"/>
          <w:b/>
          <w:i w:val="0"/>
        </w:rPr>
        <w:t xml:space="preserve"> </w:t>
      </w:r>
      <w:r>
        <w:rPr>
          <w:rFonts w:ascii="Times New Roman" w:hAnsi="Times New Roman" w:cs="Times New Roman"/>
          <w:b/>
          <w:i w:val="0"/>
        </w:rPr>
        <w:t>–</w:t>
      </w:r>
      <w:r w:rsidRPr="00380DA9">
        <w:rPr>
          <w:rFonts w:ascii="Times New Roman" w:hAnsi="Times New Roman" w:cs="Times New Roman"/>
          <w:b/>
          <w:i w:val="0"/>
        </w:rPr>
        <w:t xml:space="preserve"> </w:t>
      </w:r>
      <w:r>
        <w:rPr>
          <w:rFonts w:ascii="Times New Roman" w:hAnsi="Times New Roman" w:cs="Times New Roman"/>
          <w:b/>
          <w:i w:val="0"/>
        </w:rPr>
        <w:t>Séries usadas na</w:t>
      </w:r>
      <w:r w:rsidRPr="00380DA9">
        <w:rPr>
          <w:rFonts w:ascii="Times New Roman" w:hAnsi="Times New Roman" w:cs="Times New Roman"/>
          <w:b/>
          <w:i w:val="0"/>
        </w:rPr>
        <w:t xml:space="preserve"> estimação bayesiana</w:t>
      </w:r>
    </w:p>
    <w:tbl>
      <w:tblPr>
        <w:tblW w:w="0" w:type="auto"/>
        <w:tblCellMar>
          <w:left w:w="70" w:type="dxa"/>
          <w:right w:w="70" w:type="dxa"/>
        </w:tblCellMar>
        <w:tblLook w:val="04A0" w:firstRow="1" w:lastRow="0" w:firstColumn="1" w:lastColumn="0" w:noHBand="0" w:noVBand="1"/>
      </w:tblPr>
      <w:tblGrid>
        <w:gridCol w:w="3653"/>
        <w:gridCol w:w="5409"/>
      </w:tblGrid>
      <w:tr w:rsidR="00053A50" w:rsidRPr="00053A50" w14:paraId="16FF07A3" w14:textId="77777777" w:rsidTr="00053A5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62B10D8" w14:textId="0C188805" w:rsidR="00053A50" w:rsidRPr="009E35CF" w:rsidRDefault="009E35CF" w:rsidP="00053A50">
            <w:pPr>
              <w:spacing w:after="0" w:line="240" w:lineRule="auto"/>
              <w:rPr>
                <w:rFonts w:eastAsia="Times New Roman" w:cs="Times New Roman"/>
                <w:b/>
                <w:color w:val="000000"/>
                <w:lang w:eastAsia="pt-BR"/>
              </w:rPr>
            </w:pPr>
            <w:r w:rsidRPr="009E35CF">
              <w:rPr>
                <w:rFonts w:eastAsia="Times New Roman" w:cs="Times New Roman"/>
                <w:b/>
                <w:color w:val="000000"/>
                <w:lang w:eastAsia="pt-BR"/>
              </w:rPr>
              <w:t>Série</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4D321FE9" w14:textId="27D4F299" w:rsidR="00053A50" w:rsidRPr="009E35CF" w:rsidRDefault="009E35CF" w:rsidP="00053A50">
            <w:pPr>
              <w:spacing w:after="0" w:line="240" w:lineRule="auto"/>
              <w:rPr>
                <w:rFonts w:eastAsia="Times New Roman" w:cs="Times New Roman"/>
                <w:b/>
                <w:color w:val="000000"/>
                <w:lang w:eastAsia="pt-BR"/>
              </w:rPr>
            </w:pPr>
            <w:r w:rsidRPr="009E35CF">
              <w:rPr>
                <w:rFonts w:eastAsia="Times New Roman" w:cs="Times New Roman"/>
                <w:b/>
                <w:color w:val="000000"/>
                <w:lang w:eastAsia="pt-BR"/>
              </w:rPr>
              <w:t>Fonte</w:t>
            </w:r>
          </w:p>
        </w:tc>
      </w:tr>
      <w:tr w:rsidR="00053A50" w:rsidRPr="00053A50" w14:paraId="1941A1E3" w14:textId="77777777" w:rsidTr="00053A5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214EC" w14:textId="2F6B8FB4"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IPCA (%a.m.)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E395A15" w14:textId="77777777"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IBGE/SNIPC</w:t>
            </w:r>
          </w:p>
        </w:tc>
      </w:tr>
      <w:tr w:rsidR="00053A50" w:rsidRPr="00053A50" w14:paraId="5F0248C4" w14:textId="77777777" w:rsidTr="00053A5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EC352B" w14:textId="4C74C81A"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IR - pessoas físicas R$ (milhões)</w:t>
            </w:r>
          </w:p>
        </w:tc>
        <w:tc>
          <w:tcPr>
            <w:tcW w:w="0" w:type="auto"/>
            <w:tcBorders>
              <w:top w:val="nil"/>
              <w:left w:val="nil"/>
              <w:bottom w:val="single" w:sz="4" w:space="0" w:color="auto"/>
              <w:right w:val="single" w:sz="4" w:space="0" w:color="auto"/>
            </w:tcBorders>
            <w:shd w:val="clear" w:color="auto" w:fill="auto"/>
            <w:noWrap/>
            <w:vAlign w:val="bottom"/>
            <w:hideMark/>
          </w:tcPr>
          <w:p w14:paraId="51C072D5" w14:textId="77777777"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Min. Fazenda/SRF</w:t>
            </w:r>
          </w:p>
        </w:tc>
      </w:tr>
      <w:tr w:rsidR="00053A50" w:rsidRPr="00053A50" w14:paraId="55EABCFC" w14:textId="77777777" w:rsidTr="00053A5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AE7CEA" w14:textId="372D73E0"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IR - pessoas jurídicas R$ (milhões)</w:t>
            </w:r>
          </w:p>
        </w:tc>
        <w:tc>
          <w:tcPr>
            <w:tcW w:w="0" w:type="auto"/>
            <w:tcBorders>
              <w:top w:val="nil"/>
              <w:left w:val="nil"/>
              <w:bottom w:val="single" w:sz="4" w:space="0" w:color="auto"/>
              <w:right w:val="single" w:sz="4" w:space="0" w:color="auto"/>
            </w:tcBorders>
            <w:shd w:val="clear" w:color="auto" w:fill="auto"/>
            <w:noWrap/>
            <w:vAlign w:val="bottom"/>
            <w:hideMark/>
          </w:tcPr>
          <w:p w14:paraId="41FB048F" w14:textId="77777777"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Min. Fazenda/SRF</w:t>
            </w:r>
          </w:p>
        </w:tc>
      </w:tr>
      <w:tr w:rsidR="00053A50" w:rsidRPr="00053A50" w14:paraId="5ABBB9CA" w14:textId="77777777" w:rsidTr="00053A5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6103FD" w14:textId="65C31776"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ICMS </w:t>
            </w:r>
            <w:proofErr w:type="spellStart"/>
            <w:r w:rsidRPr="00053A50">
              <w:rPr>
                <w:rFonts w:eastAsia="Times New Roman" w:cs="Times New Roman"/>
                <w:color w:val="000000"/>
                <w:lang w:eastAsia="pt-BR"/>
              </w:rPr>
              <w:t>and</w:t>
            </w:r>
            <w:proofErr w:type="spellEnd"/>
            <w:r w:rsidRPr="00053A50">
              <w:rPr>
                <w:rFonts w:eastAsia="Times New Roman" w:cs="Times New Roman"/>
                <w:color w:val="000000"/>
                <w:lang w:eastAsia="pt-BR"/>
              </w:rPr>
              <w:t xml:space="preserve"> IPI R$ (milhões)</w:t>
            </w:r>
          </w:p>
        </w:tc>
        <w:tc>
          <w:tcPr>
            <w:tcW w:w="0" w:type="auto"/>
            <w:tcBorders>
              <w:top w:val="nil"/>
              <w:left w:val="nil"/>
              <w:bottom w:val="single" w:sz="4" w:space="0" w:color="auto"/>
              <w:right w:val="single" w:sz="4" w:space="0" w:color="auto"/>
            </w:tcBorders>
            <w:shd w:val="clear" w:color="auto" w:fill="auto"/>
            <w:noWrap/>
            <w:vAlign w:val="bottom"/>
            <w:hideMark/>
          </w:tcPr>
          <w:p w14:paraId="09E2BEBB" w14:textId="77777777"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Min. Fazenda/SRF</w:t>
            </w:r>
          </w:p>
        </w:tc>
      </w:tr>
      <w:tr w:rsidR="00053A50" w:rsidRPr="00053A50" w14:paraId="01918199" w14:textId="77777777" w:rsidTr="00053A5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D35A83" w14:textId="086807D3"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Selic Over (% a.m.)</w:t>
            </w:r>
          </w:p>
        </w:tc>
        <w:tc>
          <w:tcPr>
            <w:tcW w:w="0" w:type="auto"/>
            <w:tcBorders>
              <w:top w:val="nil"/>
              <w:left w:val="nil"/>
              <w:bottom w:val="single" w:sz="4" w:space="0" w:color="auto"/>
              <w:right w:val="single" w:sz="4" w:space="0" w:color="auto"/>
            </w:tcBorders>
            <w:shd w:val="clear" w:color="auto" w:fill="auto"/>
            <w:noWrap/>
            <w:vAlign w:val="bottom"/>
            <w:hideMark/>
          </w:tcPr>
          <w:p w14:paraId="3D445584" w14:textId="77777777"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BCB Boletim/M. Finan.</w:t>
            </w:r>
          </w:p>
        </w:tc>
      </w:tr>
      <w:tr w:rsidR="00053A50" w:rsidRPr="00053A50" w14:paraId="28BF69C9" w14:textId="77777777" w:rsidTr="00053A5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25797D" w14:textId="1A00EA18"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Consumo final - adm. pública - R$ (milhões)</w:t>
            </w:r>
          </w:p>
        </w:tc>
        <w:tc>
          <w:tcPr>
            <w:tcW w:w="0" w:type="auto"/>
            <w:tcBorders>
              <w:top w:val="nil"/>
              <w:left w:val="nil"/>
              <w:bottom w:val="single" w:sz="4" w:space="0" w:color="auto"/>
              <w:right w:val="single" w:sz="4" w:space="0" w:color="auto"/>
            </w:tcBorders>
            <w:shd w:val="clear" w:color="auto" w:fill="auto"/>
            <w:noWrap/>
            <w:vAlign w:val="bottom"/>
            <w:hideMark/>
          </w:tcPr>
          <w:p w14:paraId="26B27F03" w14:textId="77777777"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IBGE/SCN 2000 Trim.</w:t>
            </w:r>
          </w:p>
        </w:tc>
      </w:tr>
      <w:tr w:rsidR="00053A50" w:rsidRPr="00053A50" w14:paraId="0C14AAA0" w14:textId="77777777" w:rsidTr="00053A5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4A19BD" w14:textId="3021564A"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Consumo final - famílias - R$ (milhões)</w:t>
            </w:r>
          </w:p>
        </w:tc>
        <w:tc>
          <w:tcPr>
            <w:tcW w:w="0" w:type="auto"/>
            <w:tcBorders>
              <w:top w:val="nil"/>
              <w:left w:val="nil"/>
              <w:bottom w:val="single" w:sz="4" w:space="0" w:color="auto"/>
              <w:right w:val="single" w:sz="4" w:space="0" w:color="auto"/>
            </w:tcBorders>
            <w:shd w:val="clear" w:color="auto" w:fill="auto"/>
            <w:noWrap/>
            <w:vAlign w:val="bottom"/>
            <w:hideMark/>
          </w:tcPr>
          <w:p w14:paraId="7FCA39B4" w14:textId="77777777"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IBGE/SCN 2000 Trim.</w:t>
            </w:r>
          </w:p>
        </w:tc>
      </w:tr>
      <w:tr w:rsidR="00053A50" w:rsidRPr="00053A50" w14:paraId="70039D9A" w14:textId="77777777" w:rsidTr="00053A5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E275E6" w14:textId="09F817DF"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Exportações - R$ (milhões)</w:t>
            </w:r>
          </w:p>
        </w:tc>
        <w:tc>
          <w:tcPr>
            <w:tcW w:w="0" w:type="auto"/>
            <w:tcBorders>
              <w:top w:val="nil"/>
              <w:left w:val="nil"/>
              <w:bottom w:val="single" w:sz="4" w:space="0" w:color="auto"/>
              <w:right w:val="single" w:sz="4" w:space="0" w:color="auto"/>
            </w:tcBorders>
            <w:shd w:val="clear" w:color="auto" w:fill="auto"/>
            <w:noWrap/>
            <w:vAlign w:val="bottom"/>
            <w:hideMark/>
          </w:tcPr>
          <w:p w14:paraId="7DD1ADC0" w14:textId="77777777"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IBGE/SCN 2000 Trim.</w:t>
            </w:r>
          </w:p>
        </w:tc>
      </w:tr>
      <w:tr w:rsidR="00053A50" w:rsidRPr="00053A50" w14:paraId="00759C7B" w14:textId="77777777" w:rsidTr="00053A5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C20AB7" w14:textId="0DB88854"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Importações - R$ (milhões)</w:t>
            </w:r>
          </w:p>
        </w:tc>
        <w:tc>
          <w:tcPr>
            <w:tcW w:w="0" w:type="auto"/>
            <w:tcBorders>
              <w:top w:val="nil"/>
              <w:left w:val="nil"/>
              <w:bottom w:val="single" w:sz="4" w:space="0" w:color="auto"/>
              <w:right w:val="single" w:sz="4" w:space="0" w:color="auto"/>
            </w:tcBorders>
            <w:shd w:val="clear" w:color="auto" w:fill="auto"/>
            <w:noWrap/>
            <w:vAlign w:val="bottom"/>
            <w:hideMark/>
          </w:tcPr>
          <w:p w14:paraId="1021EC5E" w14:textId="77777777"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IBGE/SCN 2000 Trim.</w:t>
            </w:r>
          </w:p>
        </w:tc>
      </w:tr>
      <w:tr w:rsidR="00053A50" w:rsidRPr="00053A50" w14:paraId="39A97109" w14:textId="77777777" w:rsidTr="00053A5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00D55A" w14:textId="77777777"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Horas pagas - indústria geral - índice (jan. 2001 = 100)</w:t>
            </w:r>
          </w:p>
        </w:tc>
        <w:tc>
          <w:tcPr>
            <w:tcW w:w="0" w:type="auto"/>
            <w:tcBorders>
              <w:top w:val="nil"/>
              <w:left w:val="nil"/>
              <w:bottom w:val="single" w:sz="4" w:space="0" w:color="auto"/>
              <w:right w:val="single" w:sz="4" w:space="0" w:color="auto"/>
            </w:tcBorders>
            <w:shd w:val="clear" w:color="auto" w:fill="auto"/>
            <w:noWrap/>
            <w:vAlign w:val="bottom"/>
            <w:hideMark/>
          </w:tcPr>
          <w:p w14:paraId="2A05C027" w14:textId="77777777"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PIMES/IBGE</w:t>
            </w:r>
          </w:p>
        </w:tc>
      </w:tr>
      <w:tr w:rsidR="00053A50" w:rsidRPr="00053A50" w14:paraId="3C53F301" w14:textId="77777777" w:rsidTr="00053A5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622A15" w14:textId="7B52A879"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Estados Unidos - taxa de juros (% a.a.)</w:t>
            </w:r>
          </w:p>
        </w:tc>
        <w:tc>
          <w:tcPr>
            <w:tcW w:w="0" w:type="auto"/>
            <w:tcBorders>
              <w:top w:val="nil"/>
              <w:left w:val="nil"/>
              <w:bottom w:val="single" w:sz="4" w:space="0" w:color="auto"/>
              <w:right w:val="single" w:sz="4" w:space="0" w:color="auto"/>
            </w:tcBorders>
            <w:shd w:val="clear" w:color="auto" w:fill="auto"/>
            <w:noWrap/>
            <w:vAlign w:val="bottom"/>
            <w:hideMark/>
          </w:tcPr>
          <w:p w14:paraId="34F529DE" w14:textId="266B58DF"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Fundo Monetário </w:t>
            </w:r>
            <w:r w:rsidR="00D90DE6" w:rsidRPr="00053A50">
              <w:rPr>
                <w:rFonts w:eastAsia="Times New Roman" w:cs="Times New Roman"/>
                <w:color w:val="000000"/>
                <w:lang w:eastAsia="pt-BR"/>
              </w:rPr>
              <w:t xml:space="preserve">Internacional, </w:t>
            </w:r>
            <w:proofErr w:type="spellStart"/>
            <w:r w:rsidR="00D90DE6" w:rsidRPr="00053A50">
              <w:rPr>
                <w:rFonts w:eastAsia="Times New Roman" w:cs="Times New Roman"/>
                <w:color w:val="000000"/>
                <w:lang w:eastAsia="pt-BR"/>
              </w:rPr>
              <w:t>International</w:t>
            </w:r>
            <w:proofErr w:type="spellEnd"/>
            <w:r w:rsidRPr="00053A50">
              <w:rPr>
                <w:rFonts w:eastAsia="Times New Roman" w:cs="Times New Roman"/>
                <w:color w:val="000000"/>
                <w:lang w:eastAsia="pt-BR"/>
              </w:rPr>
              <w:t xml:space="preserve"> Financial </w:t>
            </w:r>
            <w:proofErr w:type="spellStart"/>
            <w:r w:rsidRPr="00053A50">
              <w:rPr>
                <w:rFonts w:eastAsia="Times New Roman" w:cs="Times New Roman"/>
                <w:color w:val="000000"/>
                <w:lang w:eastAsia="pt-BR"/>
              </w:rPr>
              <w:t>Statistics</w:t>
            </w:r>
            <w:proofErr w:type="spellEnd"/>
          </w:p>
        </w:tc>
      </w:tr>
      <w:tr w:rsidR="00053A50" w:rsidRPr="00053A50" w14:paraId="0CFD0883" w14:textId="77777777" w:rsidTr="00053A5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9E4088" w14:textId="44BE4B44"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Taxa de câmbio - R$ / US$ - comercial - compra - média</w:t>
            </w:r>
          </w:p>
        </w:tc>
        <w:tc>
          <w:tcPr>
            <w:tcW w:w="0" w:type="auto"/>
            <w:tcBorders>
              <w:top w:val="nil"/>
              <w:left w:val="nil"/>
              <w:bottom w:val="single" w:sz="4" w:space="0" w:color="auto"/>
              <w:right w:val="single" w:sz="4" w:space="0" w:color="auto"/>
            </w:tcBorders>
            <w:shd w:val="clear" w:color="auto" w:fill="auto"/>
            <w:noWrap/>
            <w:vAlign w:val="bottom"/>
            <w:hideMark/>
          </w:tcPr>
          <w:p w14:paraId="011E9314" w14:textId="6A6B7357"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Banco Central do Brasil, </w:t>
            </w:r>
            <w:proofErr w:type="gramStart"/>
            <w:r w:rsidR="00D90DE6" w:rsidRPr="00053A50">
              <w:rPr>
                <w:rFonts w:eastAsia="Times New Roman" w:cs="Times New Roman"/>
                <w:color w:val="000000"/>
                <w:lang w:eastAsia="pt-BR"/>
              </w:rPr>
              <w:t xml:space="preserve">Boletim,  </w:t>
            </w:r>
            <w:r w:rsidRPr="00053A50">
              <w:rPr>
                <w:rFonts w:eastAsia="Times New Roman" w:cs="Times New Roman"/>
                <w:color w:val="000000"/>
                <w:lang w:eastAsia="pt-BR"/>
              </w:rPr>
              <w:t>Seção</w:t>
            </w:r>
            <w:proofErr w:type="gramEnd"/>
            <w:r w:rsidRPr="00053A50">
              <w:rPr>
                <w:rFonts w:eastAsia="Times New Roman" w:cs="Times New Roman"/>
                <w:color w:val="000000"/>
                <w:lang w:eastAsia="pt-BR"/>
              </w:rPr>
              <w:t xml:space="preserve"> Balanço de Pagamentos   (BCB Boletim/BP)</w:t>
            </w:r>
          </w:p>
        </w:tc>
      </w:tr>
      <w:tr w:rsidR="00053A50" w:rsidRPr="00053A50" w14:paraId="03A07364" w14:textId="77777777" w:rsidTr="00053A5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CA341A" w14:textId="47B06318"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Capital fixo - formação bruta - R$ (milhões)</w:t>
            </w:r>
          </w:p>
        </w:tc>
        <w:tc>
          <w:tcPr>
            <w:tcW w:w="0" w:type="auto"/>
            <w:tcBorders>
              <w:top w:val="nil"/>
              <w:left w:val="nil"/>
              <w:bottom w:val="single" w:sz="4" w:space="0" w:color="auto"/>
              <w:right w:val="single" w:sz="4" w:space="0" w:color="auto"/>
            </w:tcBorders>
            <w:shd w:val="clear" w:color="auto" w:fill="auto"/>
            <w:noWrap/>
            <w:vAlign w:val="bottom"/>
            <w:hideMark/>
          </w:tcPr>
          <w:p w14:paraId="653D8191" w14:textId="77777777" w:rsidR="00053A50" w:rsidRPr="00053A50" w:rsidRDefault="00053A50" w:rsidP="00053A50">
            <w:pPr>
              <w:spacing w:after="0" w:line="240" w:lineRule="auto"/>
              <w:rPr>
                <w:rFonts w:eastAsia="Times New Roman" w:cs="Times New Roman"/>
                <w:color w:val="000000"/>
                <w:lang w:eastAsia="pt-BR"/>
              </w:rPr>
            </w:pPr>
            <w:r w:rsidRPr="00053A50">
              <w:rPr>
                <w:rFonts w:eastAsia="Times New Roman" w:cs="Times New Roman"/>
                <w:color w:val="000000"/>
                <w:lang w:eastAsia="pt-BR"/>
              </w:rPr>
              <w:t xml:space="preserve"> IBGE/SCN 2010 Trim. SRF</w:t>
            </w:r>
          </w:p>
        </w:tc>
      </w:tr>
    </w:tbl>
    <w:p w14:paraId="6C60863B" w14:textId="77777777" w:rsidR="002A7B2C" w:rsidRPr="00380DA9" w:rsidRDefault="002A7B2C" w:rsidP="002A7B2C">
      <w:pPr>
        <w:pStyle w:val="Legenda"/>
        <w:keepNext/>
        <w:spacing w:before="0" w:after="0" w:line="240" w:lineRule="auto"/>
        <w:rPr>
          <w:rFonts w:ascii="Times New Roman" w:hAnsi="Times New Roman" w:cs="Times New Roman"/>
          <w:i w:val="0"/>
        </w:rPr>
      </w:pPr>
      <w:r w:rsidRPr="00380DA9">
        <w:rPr>
          <w:rFonts w:ascii="Times New Roman" w:hAnsi="Times New Roman" w:cs="Times New Roman"/>
          <w:i w:val="0"/>
        </w:rPr>
        <w:t>Fonte: elaborado pelos autores.</w:t>
      </w:r>
    </w:p>
    <w:p w14:paraId="53D45F34" w14:textId="77777777" w:rsidR="00511A46" w:rsidRDefault="00511A46" w:rsidP="00511A46">
      <w:pPr>
        <w:spacing w:after="0" w:line="240" w:lineRule="auto"/>
        <w:ind w:right="-142" w:firstLine="709"/>
        <w:jc w:val="both"/>
        <w:rPr>
          <w:rFonts w:ascii="Times New Roman" w:hAnsi="Times New Roman" w:cs="Times New Roman"/>
          <w:sz w:val="24"/>
          <w:szCs w:val="24"/>
        </w:rPr>
      </w:pPr>
    </w:p>
    <w:p w14:paraId="147DC334" w14:textId="3372BD49" w:rsidR="0076358F" w:rsidRDefault="00DA5B79" w:rsidP="00511A46">
      <w:pPr>
        <w:spacing w:after="0" w:line="240" w:lineRule="auto"/>
        <w:ind w:right="-142" w:firstLine="709"/>
        <w:jc w:val="both"/>
        <w:rPr>
          <w:rFonts w:ascii="Times New Roman" w:hAnsi="Times New Roman" w:cs="Times New Roman"/>
          <w:sz w:val="24"/>
          <w:szCs w:val="24"/>
        </w:rPr>
      </w:pPr>
      <w:r w:rsidRPr="00380DA9">
        <w:rPr>
          <w:rFonts w:ascii="Times New Roman" w:hAnsi="Times New Roman" w:cs="Times New Roman"/>
          <w:sz w:val="24"/>
          <w:szCs w:val="24"/>
        </w:rPr>
        <w:t xml:space="preserve">Os parâmetros sem relação direta com a proposta desta pesquisa foram calibrados </w:t>
      </w:r>
      <w:r w:rsidR="0077056D">
        <w:rPr>
          <w:rFonts w:ascii="Times New Roman" w:hAnsi="Times New Roman" w:cs="Times New Roman"/>
          <w:sz w:val="24"/>
          <w:szCs w:val="24"/>
        </w:rPr>
        <w:t>da seguinte forma:</w:t>
      </w:r>
      <w:r w:rsidRPr="00380DA9">
        <w:rPr>
          <w:rFonts w:ascii="Times New Roman" w:hAnsi="Times New Roman" w:cs="Times New Roman"/>
          <w:sz w:val="24"/>
          <w:szCs w:val="24"/>
        </w:rPr>
        <w:t xml:space="preserve"> </w:t>
      </w:r>
      <w:r w:rsidR="0077056D">
        <w:rPr>
          <w:rFonts w:ascii="Times New Roman" w:hAnsi="Times New Roman" w:cs="Times New Roman"/>
          <w:sz w:val="24"/>
          <w:szCs w:val="24"/>
        </w:rPr>
        <w:t>a aversão ao risco relativo</w:t>
      </w:r>
      <w:r w:rsidR="004B679D">
        <w:rPr>
          <w:rFonts w:ascii="Times New Roman" w:hAnsi="Times New Roman" w:cs="Times New Roman"/>
          <w:sz w:val="24"/>
          <w:szCs w:val="24"/>
        </w:rPr>
        <w:t xml:space="preserve"> (2)</w:t>
      </w:r>
      <w:r w:rsidR="00042E04">
        <w:rPr>
          <w:rFonts w:ascii="Times New Roman" w:hAnsi="Times New Roman" w:cs="Times New Roman"/>
          <w:sz w:val="24"/>
          <w:szCs w:val="24"/>
        </w:rPr>
        <w:t xml:space="preserve"> e a desutilidade marginal do trabalho </w:t>
      </w:r>
      <w:r w:rsidR="004B679D">
        <w:rPr>
          <w:rFonts w:ascii="Times New Roman" w:hAnsi="Times New Roman" w:cs="Times New Roman"/>
          <w:sz w:val="24"/>
          <w:szCs w:val="24"/>
        </w:rPr>
        <w:t xml:space="preserve">(1,5) </w:t>
      </w:r>
      <w:r w:rsidR="00042E04">
        <w:rPr>
          <w:rFonts w:ascii="Times New Roman" w:hAnsi="Times New Roman" w:cs="Times New Roman"/>
          <w:sz w:val="24"/>
          <w:szCs w:val="24"/>
        </w:rPr>
        <w:t xml:space="preserve">foram obtidos de </w:t>
      </w:r>
      <w:r w:rsidR="00042E04" w:rsidRPr="00042E04">
        <w:rPr>
          <w:rFonts w:ascii="Times New Roman" w:hAnsi="Times New Roman" w:cs="Times New Roman"/>
          <w:sz w:val="24"/>
          <w:szCs w:val="24"/>
        </w:rPr>
        <w:t xml:space="preserve">Cavalcanti </w:t>
      </w:r>
      <w:r w:rsidR="004B679D">
        <w:rPr>
          <w:rFonts w:ascii="Times New Roman" w:hAnsi="Times New Roman" w:cs="Times New Roman"/>
          <w:sz w:val="24"/>
          <w:szCs w:val="24"/>
        </w:rPr>
        <w:t>e</w:t>
      </w:r>
      <w:r w:rsidR="00042E04" w:rsidRPr="00042E04">
        <w:rPr>
          <w:rFonts w:ascii="Times New Roman" w:hAnsi="Times New Roman" w:cs="Times New Roman"/>
          <w:sz w:val="24"/>
          <w:szCs w:val="24"/>
        </w:rPr>
        <w:t xml:space="preserve"> Vereda (2010)</w:t>
      </w:r>
      <w:r w:rsidR="004B679D">
        <w:rPr>
          <w:rFonts w:ascii="Times New Roman" w:hAnsi="Times New Roman" w:cs="Times New Roman"/>
          <w:sz w:val="24"/>
          <w:szCs w:val="24"/>
        </w:rPr>
        <w:t xml:space="preserve">; a taxa de desconto intertemporal </w:t>
      </w:r>
      <w:r w:rsidR="005C737F">
        <w:rPr>
          <w:rFonts w:ascii="Times New Roman" w:hAnsi="Times New Roman" w:cs="Times New Roman"/>
          <w:sz w:val="24"/>
          <w:szCs w:val="24"/>
        </w:rPr>
        <w:t>foi calculada como o inverso da taxa Selic</w:t>
      </w:r>
      <w:r w:rsidR="00F06AD3">
        <w:rPr>
          <w:rFonts w:ascii="Times New Roman" w:hAnsi="Times New Roman" w:cs="Times New Roman"/>
          <w:sz w:val="24"/>
          <w:szCs w:val="24"/>
        </w:rPr>
        <w:t xml:space="preserve"> a.t.</w:t>
      </w:r>
      <w:r w:rsidR="005C737F">
        <w:rPr>
          <w:rFonts w:ascii="Times New Roman" w:hAnsi="Times New Roman" w:cs="Times New Roman"/>
          <w:sz w:val="24"/>
          <w:szCs w:val="24"/>
        </w:rPr>
        <w:t xml:space="preserve"> da reunião 208 do </w:t>
      </w:r>
      <w:r w:rsidR="00F06AD3">
        <w:rPr>
          <w:rFonts w:ascii="Times New Roman" w:hAnsi="Times New Roman" w:cs="Times New Roman"/>
          <w:sz w:val="24"/>
          <w:szCs w:val="24"/>
        </w:rPr>
        <w:t>COPOM</w:t>
      </w:r>
      <w:r w:rsidR="00577075">
        <w:rPr>
          <w:rFonts w:ascii="Times New Roman" w:hAnsi="Times New Roman" w:cs="Times New Roman"/>
          <w:sz w:val="24"/>
          <w:szCs w:val="24"/>
        </w:rPr>
        <w:t xml:space="preserve"> de 26 de julho de 2017 (</w:t>
      </w:r>
      <w:r w:rsidR="00577075" w:rsidRPr="00577075">
        <w:rPr>
          <w:rFonts w:ascii="Times New Roman" w:hAnsi="Times New Roman" w:cs="Times New Roman"/>
          <w:sz w:val="24"/>
          <w:szCs w:val="24"/>
        </w:rPr>
        <w:t>1/(1.0925^0.25)</w:t>
      </w:r>
      <w:r w:rsidR="00577075">
        <w:rPr>
          <w:rFonts w:ascii="Times New Roman" w:hAnsi="Times New Roman" w:cs="Times New Roman"/>
          <w:sz w:val="24"/>
          <w:szCs w:val="24"/>
        </w:rPr>
        <w:t>)</w:t>
      </w:r>
      <w:r w:rsidR="009013B1">
        <w:rPr>
          <w:rFonts w:ascii="Times New Roman" w:hAnsi="Times New Roman" w:cs="Times New Roman"/>
          <w:sz w:val="24"/>
          <w:szCs w:val="24"/>
        </w:rPr>
        <w:t xml:space="preserve">; </w:t>
      </w:r>
      <w:r w:rsidR="007C3CFC">
        <w:rPr>
          <w:rFonts w:ascii="Times New Roman" w:hAnsi="Times New Roman" w:cs="Times New Roman"/>
          <w:sz w:val="24"/>
          <w:szCs w:val="24"/>
        </w:rPr>
        <w:t>as participações do capital privado</w:t>
      </w:r>
      <w:r w:rsidR="006F302E">
        <w:rPr>
          <w:rFonts w:ascii="Times New Roman" w:hAnsi="Times New Roman" w:cs="Times New Roman"/>
          <w:sz w:val="24"/>
          <w:szCs w:val="24"/>
        </w:rPr>
        <w:t xml:space="preserve"> (</w:t>
      </w:r>
      <w:r w:rsidR="00557C89">
        <w:rPr>
          <w:rFonts w:ascii="Times New Roman" w:hAnsi="Times New Roman" w:cs="Times New Roman"/>
          <w:sz w:val="24"/>
          <w:szCs w:val="24"/>
        </w:rPr>
        <w:t>0,3)</w:t>
      </w:r>
      <w:r w:rsidR="007C3CFC">
        <w:rPr>
          <w:rFonts w:ascii="Times New Roman" w:hAnsi="Times New Roman" w:cs="Times New Roman"/>
          <w:sz w:val="24"/>
          <w:szCs w:val="24"/>
        </w:rPr>
        <w:t>, do trabalho</w:t>
      </w:r>
      <w:r w:rsidR="00557C89">
        <w:rPr>
          <w:rFonts w:ascii="Times New Roman" w:hAnsi="Times New Roman" w:cs="Times New Roman"/>
          <w:sz w:val="24"/>
          <w:szCs w:val="24"/>
        </w:rPr>
        <w:t xml:space="preserve"> (0,</w:t>
      </w:r>
      <w:r w:rsidR="00486A5E">
        <w:rPr>
          <w:rFonts w:ascii="Times New Roman" w:hAnsi="Times New Roman" w:cs="Times New Roman"/>
          <w:sz w:val="24"/>
          <w:szCs w:val="24"/>
        </w:rPr>
        <w:t>6)</w:t>
      </w:r>
      <w:r w:rsidR="00557C89">
        <w:rPr>
          <w:rFonts w:ascii="Times New Roman" w:hAnsi="Times New Roman" w:cs="Times New Roman"/>
          <w:sz w:val="24"/>
          <w:szCs w:val="24"/>
        </w:rPr>
        <w:t xml:space="preserve"> </w:t>
      </w:r>
      <w:r w:rsidR="007C3CFC">
        <w:rPr>
          <w:rFonts w:ascii="Times New Roman" w:hAnsi="Times New Roman" w:cs="Times New Roman"/>
          <w:sz w:val="24"/>
          <w:szCs w:val="24"/>
        </w:rPr>
        <w:t xml:space="preserve"> </w:t>
      </w:r>
      <w:r w:rsidR="006F302E">
        <w:rPr>
          <w:rFonts w:ascii="Times New Roman" w:hAnsi="Times New Roman" w:cs="Times New Roman"/>
          <w:sz w:val="24"/>
          <w:szCs w:val="24"/>
        </w:rPr>
        <w:t>e do capital público</w:t>
      </w:r>
      <w:r w:rsidR="00486A5E">
        <w:rPr>
          <w:rFonts w:ascii="Times New Roman" w:hAnsi="Times New Roman" w:cs="Times New Roman"/>
          <w:sz w:val="24"/>
          <w:szCs w:val="24"/>
        </w:rPr>
        <w:t xml:space="preserve"> (0,1)</w:t>
      </w:r>
      <w:r w:rsidR="006F302E">
        <w:rPr>
          <w:rFonts w:ascii="Times New Roman" w:hAnsi="Times New Roman" w:cs="Times New Roman"/>
          <w:sz w:val="24"/>
          <w:szCs w:val="24"/>
        </w:rPr>
        <w:t xml:space="preserve"> foram obtidos de Mussolini (2011);</w:t>
      </w:r>
      <w:r w:rsidR="000F7074">
        <w:rPr>
          <w:rFonts w:ascii="Times New Roman" w:hAnsi="Times New Roman" w:cs="Times New Roman"/>
          <w:sz w:val="24"/>
          <w:szCs w:val="24"/>
        </w:rPr>
        <w:t xml:space="preserve"> a participação de agentes </w:t>
      </w:r>
      <w:proofErr w:type="spellStart"/>
      <w:r w:rsidR="000F7074">
        <w:rPr>
          <w:rFonts w:ascii="Times New Roman" w:hAnsi="Times New Roman" w:cs="Times New Roman"/>
          <w:sz w:val="24"/>
          <w:szCs w:val="24"/>
        </w:rPr>
        <w:t>ricardianos</w:t>
      </w:r>
      <w:proofErr w:type="spellEnd"/>
      <w:r w:rsidR="001C78A3">
        <w:rPr>
          <w:rFonts w:ascii="Times New Roman" w:hAnsi="Times New Roman" w:cs="Times New Roman"/>
          <w:sz w:val="24"/>
          <w:szCs w:val="24"/>
        </w:rPr>
        <w:t xml:space="preserve"> (0,6)</w:t>
      </w:r>
      <w:r w:rsidR="000F7074">
        <w:rPr>
          <w:rFonts w:ascii="Times New Roman" w:hAnsi="Times New Roman" w:cs="Times New Roman"/>
          <w:sz w:val="24"/>
          <w:szCs w:val="24"/>
        </w:rPr>
        <w:t>, a elasticidade de substituição do trabalho</w:t>
      </w:r>
      <w:r w:rsidR="001C78A3">
        <w:rPr>
          <w:rFonts w:ascii="Times New Roman" w:hAnsi="Times New Roman" w:cs="Times New Roman"/>
          <w:sz w:val="24"/>
          <w:szCs w:val="24"/>
        </w:rPr>
        <w:t xml:space="preserve"> (15,48); </w:t>
      </w:r>
      <w:r w:rsidR="00F830A1">
        <w:rPr>
          <w:rFonts w:ascii="Times New Roman" w:hAnsi="Times New Roman" w:cs="Times New Roman"/>
          <w:sz w:val="24"/>
          <w:szCs w:val="24"/>
        </w:rPr>
        <w:t>a suavização das alterações na taxa de juros, a sensibilidade da taxa de juros às alterações na</w:t>
      </w:r>
      <w:r w:rsidR="0025369C">
        <w:rPr>
          <w:rFonts w:ascii="Times New Roman" w:hAnsi="Times New Roman" w:cs="Times New Roman"/>
          <w:sz w:val="24"/>
          <w:szCs w:val="24"/>
        </w:rPr>
        <w:t xml:space="preserve"> taxa de inflação, a sensibilidade da taxa de juros às alterações no produto foram obtidos de </w:t>
      </w:r>
      <w:r w:rsidR="009A09EC">
        <w:rPr>
          <w:rFonts w:ascii="Times New Roman" w:hAnsi="Times New Roman" w:cs="Times New Roman"/>
          <w:sz w:val="24"/>
          <w:szCs w:val="24"/>
        </w:rPr>
        <w:t xml:space="preserve">Castro </w:t>
      </w:r>
      <w:r w:rsidR="009A09EC" w:rsidRPr="00050193">
        <w:rPr>
          <w:rFonts w:ascii="Times New Roman" w:hAnsi="Times New Roman" w:cs="Times New Roman"/>
          <w:i/>
          <w:sz w:val="24"/>
          <w:szCs w:val="24"/>
        </w:rPr>
        <w:t>et al</w:t>
      </w:r>
      <w:r w:rsidR="009A09EC">
        <w:rPr>
          <w:rFonts w:ascii="Times New Roman" w:hAnsi="Times New Roman" w:cs="Times New Roman"/>
          <w:sz w:val="24"/>
          <w:szCs w:val="24"/>
        </w:rPr>
        <w:t xml:space="preserve"> (2015); </w:t>
      </w:r>
      <w:r w:rsidR="005E4177">
        <w:rPr>
          <w:rFonts w:ascii="Times New Roman" w:hAnsi="Times New Roman" w:cs="Times New Roman"/>
          <w:sz w:val="24"/>
          <w:szCs w:val="24"/>
        </w:rPr>
        <w:t>o produto</w:t>
      </w:r>
      <w:r w:rsidR="00F02982">
        <w:rPr>
          <w:rFonts w:ascii="Times New Roman" w:hAnsi="Times New Roman" w:cs="Times New Roman"/>
          <w:sz w:val="24"/>
          <w:szCs w:val="24"/>
        </w:rPr>
        <w:t xml:space="preserve"> (</w:t>
      </w:r>
      <w:r w:rsidR="00F02982" w:rsidRPr="00F02982">
        <w:rPr>
          <w:rFonts w:ascii="Times New Roman" w:hAnsi="Times New Roman" w:cs="Times New Roman"/>
          <w:sz w:val="24"/>
          <w:szCs w:val="24"/>
        </w:rPr>
        <w:t>1</w:t>
      </w:r>
      <w:r w:rsidR="00F02982">
        <w:rPr>
          <w:rFonts w:ascii="Times New Roman" w:hAnsi="Times New Roman" w:cs="Times New Roman"/>
          <w:sz w:val="24"/>
          <w:szCs w:val="24"/>
        </w:rPr>
        <w:t>,</w:t>
      </w:r>
      <w:r w:rsidR="00F02982" w:rsidRPr="00F02982">
        <w:rPr>
          <w:rFonts w:ascii="Times New Roman" w:hAnsi="Times New Roman" w:cs="Times New Roman"/>
          <w:sz w:val="24"/>
          <w:szCs w:val="24"/>
        </w:rPr>
        <w:t>6393107127</w:t>
      </w:r>
      <w:r w:rsidR="00F02982">
        <w:rPr>
          <w:rFonts w:ascii="Times New Roman" w:hAnsi="Times New Roman" w:cs="Times New Roman"/>
          <w:sz w:val="24"/>
          <w:szCs w:val="24"/>
        </w:rPr>
        <w:t>)</w:t>
      </w:r>
      <w:r w:rsidR="00B315F3">
        <w:rPr>
          <w:rFonts w:ascii="Times New Roman" w:hAnsi="Times New Roman" w:cs="Times New Roman"/>
          <w:sz w:val="24"/>
          <w:szCs w:val="24"/>
        </w:rPr>
        <w:t>, o consumo das famílias</w:t>
      </w:r>
      <w:r w:rsidR="00F02982">
        <w:rPr>
          <w:rFonts w:ascii="Times New Roman" w:hAnsi="Times New Roman" w:cs="Times New Roman"/>
          <w:sz w:val="24"/>
          <w:szCs w:val="24"/>
        </w:rPr>
        <w:t xml:space="preserve"> (</w:t>
      </w:r>
      <w:r w:rsidR="00C7267A">
        <w:rPr>
          <w:rFonts w:ascii="Times New Roman" w:hAnsi="Times New Roman" w:cs="Times New Roman"/>
          <w:sz w:val="24"/>
          <w:szCs w:val="24"/>
        </w:rPr>
        <w:t xml:space="preserve">60% </w:t>
      </w:r>
      <w:r w:rsidR="00EA1044">
        <w:rPr>
          <w:rFonts w:ascii="Times New Roman" w:hAnsi="Times New Roman" w:cs="Times New Roman"/>
          <w:sz w:val="24"/>
          <w:szCs w:val="24"/>
        </w:rPr>
        <w:t>PIB</w:t>
      </w:r>
      <w:r w:rsidR="00C7267A">
        <w:rPr>
          <w:rFonts w:ascii="Times New Roman" w:hAnsi="Times New Roman" w:cs="Times New Roman"/>
          <w:sz w:val="24"/>
          <w:szCs w:val="24"/>
        </w:rPr>
        <w:t>)</w:t>
      </w:r>
      <w:r w:rsidR="00B315F3">
        <w:rPr>
          <w:rFonts w:ascii="Times New Roman" w:hAnsi="Times New Roman" w:cs="Times New Roman"/>
          <w:sz w:val="24"/>
          <w:szCs w:val="24"/>
        </w:rPr>
        <w:t>, o investimento</w:t>
      </w:r>
      <w:r w:rsidR="00C7267A">
        <w:rPr>
          <w:rFonts w:ascii="Times New Roman" w:hAnsi="Times New Roman" w:cs="Times New Roman"/>
          <w:sz w:val="24"/>
          <w:szCs w:val="24"/>
        </w:rPr>
        <w:t xml:space="preserve"> (18% </w:t>
      </w:r>
      <w:r w:rsidR="00EA1044">
        <w:rPr>
          <w:rFonts w:ascii="Times New Roman" w:hAnsi="Times New Roman" w:cs="Times New Roman"/>
          <w:sz w:val="24"/>
          <w:szCs w:val="24"/>
        </w:rPr>
        <w:t>PIB</w:t>
      </w:r>
      <w:r w:rsidR="00C7267A">
        <w:rPr>
          <w:rFonts w:ascii="Times New Roman" w:hAnsi="Times New Roman" w:cs="Times New Roman"/>
          <w:sz w:val="24"/>
          <w:szCs w:val="24"/>
        </w:rPr>
        <w:t>)</w:t>
      </w:r>
      <w:r w:rsidR="00B315F3">
        <w:rPr>
          <w:rFonts w:ascii="Times New Roman" w:hAnsi="Times New Roman" w:cs="Times New Roman"/>
          <w:sz w:val="24"/>
          <w:szCs w:val="24"/>
        </w:rPr>
        <w:t>, o gasto do governo</w:t>
      </w:r>
      <w:r w:rsidR="00C7267A">
        <w:rPr>
          <w:rFonts w:ascii="Times New Roman" w:hAnsi="Times New Roman" w:cs="Times New Roman"/>
          <w:sz w:val="24"/>
          <w:szCs w:val="24"/>
        </w:rPr>
        <w:t xml:space="preserve"> (20% </w:t>
      </w:r>
      <w:r w:rsidR="00EA1044">
        <w:rPr>
          <w:rFonts w:ascii="Times New Roman" w:hAnsi="Times New Roman" w:cs="Times New Roman"/>
          <w:sz w:val="24"/>
          <w:szCs w:val="24"/>
        </w:rPr>
        <w:t>PIB</w:t>
      </w:r>
      <w:r w:rsidR="00C7267A">
        <w:rPr>
          <w:rFonts w:ascii="Times New Roman" w:hAnsi="Times New Roman" w:cs="Times New Roman"/>
          <w:sz w:val="24"/>
          <w:szCs w:val="24"/>
        </w:rPr>
        <w:t>)</w:t>
      </w:r>
      <w:r w:rsidR="00B315F3">
        <w:rPr>
          <w:rFonts w:ascii="Times New Roman" w:hAnsi="Times New Roman" w:cs="Times New Roman"/>
          <w:sz w:val="24"/>
          <w:szCs w:val="24"/>
        </w:rPr>
        <w:t xml:space="preserve"> </w:t>
      </w:r>
      <w:r w:rsidR="00A1124A">
        <w:rPr>
          <w:rFonts w:ascii="Times New Roman" w:hAnsi="Times New Roman" w:cs="Times New Roman"/>
          <w:sz w:val="24"/>
          <w:szCs w:val="24"/>
        </w:rPr>
        <w:t>e as exportações</w:t>
      </w:r>
      <w:r w:rsidR="00C7267A">
        <w:rPr>
          <w:rFonts w:ascii="Times New Roman" w:hAnsi="Times New Roman" w:cs="Times New Roman"/>
          <w:sz w:val="24"/>
          <w:szCs w:val="24"/>
        </w:rPr>
        <w:t xml:space="preserve"> (</w:t>
      </w:r>
      <w:r w:rsidR="00933F16">
        <w:rPr>
          <w:rFonts w:ascii="Times New Roman" w:hAnsi="Times New Roman" w:cs="Times New Roman"/>
          <w:sz w:val="24"/>
          <w:szCs w:val="24"/>
        </w:rPr>
        <w:t>2</w:t>
      </w:r>
      <w:r w:rsidR="00C7267A">
        <w:rPr>
          <w:rFonts w:ascii="Times New Roman" w:hAnsi="Times New Roman" w:cs="Times New Roman"/>
          <w:sz w:val="24"/>
          <w:szCs w:val="24"/>
        </w:rPr>
        <w:t xml:space="preserve">% </w:t>
      </w:r>
      <w:r w:rsidR="00EA1044">
        <w:rPr>
          <w:rFonts w:ascii="Times New Roman" w:hAnsi="Times New Roman" w:cs="Times New Roman"/>
          <w:sz w:val="24"/>
          <w:szCs w:val="24"/>
        </w:rPr>
        <w:t>PIB</w:t>
      </w:r>
      <w:r w:rsidR="00C7267A">
        <w:rPr>
          <w:rFonts w:ascii="Times New Roman" w:hAnsi="Times New Roman" w:cs="Times New Roman"/>
          <w:sz w:val="24"/>
          <w:szCs w:val="24"/>
        </w:rPr>
        <w:t>)</w:t>
      </w:r>
      <w:r w:rsidR="005E4177">
        <w:rPr>
          <w:rFonts w:ascii="Times New Roman" w:hAnsi="Times New Roman" w:cs="Times New Roman"/>
          <w:sz w:val="24"/>
          <w:szCs w:val="24"/>
        </w:rPr>
        <w:t xml:space="preserve"> de estado estacionário</w:t>
      </w:r>
      <w:r w:rsidR="00A1124A">
        <w:rPr>
          <w:rFonts w:ascii="Times New Roman" w:hAnsi="Times New Roman" w:cs="Times New Roman"/>
          <w:sz w:val="24"/>
          <w:szCs w:val="24"/>
        </w:rPr>
        <w:t xml:space="preserve"> foram calculadas</w:t>
      </w:r>
      <w:r w:rsidR="00541568">
        <w:rPr>
          <w:rFonts w:ascii="Times New Roman" w:hAnsi="Times New Roman" w:cs="Times New Roman"/>
          <w:sz w:val="24"/>
          <w:szCs w:val="24"/>
        </w:rPr>
        <w:t xml:space="preserve"> das contas nacionais do segundo trimestre de 2017</w:t>
      </w:r>
      <w:r w:rsidR="00F02982">
        <w:rPr>
          <w:rFonts w:ascii="Times New Roman" w:hAnsi="Times New Roman" w:cs="Times New Roman"/>
          <w:sz w:val="24"/>
          <w:szCs w:val="24"/>
        </w:rPr>
        <w:t>;</w:t>
      </w:r>
      <w:r w:rsidR="00933F16">
        <w:rPr>
          <w:rFonts w:ascii="Times New Roman" w:hAnsi="Times New Roman" w:cs="Times New Roman"/>
          <w:sz w:val="24"/>
          <w:szCs w:val="24"/>
        </w:rPr>
        <w:t xml:space="preserve"> </w:t>
      </w:r>
      <w:r w:rsidR="0080608B">
        <w:rPr>
          <w:rFonts w:ascii="Times New Roman" w:hAnsi="Times New Roman" w:cs="Times New Roman"/>
          <w:sz w:val="24"/>
          <w:szCs w:val="24"/>
        </w:rPr>
        <w:t xml:space="preserve">e </w:t>
      </w:r>
      <w:r w:rsidR="00720BED">
        <w:rPr>
          <w:rFonts w:ascii="Times New Roman" w:hAnsi="Times New Roman" w:cs="Times New Roman"/>
          <w:sz w:val="24"/>
          <w:szCs w:val="24"/>
        </w:rPr>
        <w:t xml:space="preserve">o nível da dívida líquida do governo </w:t>
      </w:r>
      <w:r w:rsidR="00EA1044">
        <w:rPr>
          <w:rFonts w:ascii="Times New Roman" w:hAnsi="Times New Roman" w:cs="Times New Roman"/>
          <w:sz w:val="24"/>
          <w:szCs w:val="24"/>
        </w:rPr>
        <w:t xml:space="preserve">em proporção do PIB </w:t>
      </w:r>
      <w:r w:rsidR="00720BED">
        <w:rPr>
          <w:rFonts w:ascii="Times New Roman" w:hAnsi="Times New Roman" w:cs="Times New Roman"/>
          <w:sz w:val="24"/>
          <w:szCs w:val="24"/>
        </w:rPr>
        <w:t>foi obtida calculando o valor dessa variável</w:t>
      </w:r>
      <w:r w:rsidR="00EA1044">
        <w:rPr>
          <w:rFonts w:ascii="Times New Roman" w:hAnsi="Times New Roman" w:cs="Times New Roman"/>
          <w:sz w:val="24"/>
          <w:szCs w:val="24"/>
        </w:rPr>
        <w:t xml:space="preserve"> no segundo trimestre de 2017 em relação </w:t>
      </w:r>
      <w:r w:rsidR="000840FA">
        <w:rPr>
          <w:rFonts w:ascii="Times New Roman" w:hAnsi="Times New Roman" w:cs="Times New Roman"/>
          <w:sz w:val="24"/>
          <w:szCs w:val="24"/>
        </w:rPr>
        <w:t>ao PIB do mesmo trimestre (</w:t>
      </w:r>
      <w:r w:rsidR="000840FA" w:rsidRPr="000840FA">
        <w:rPr>
          <w:rFonts w:ascii="Times New Roman" w:hAnsi="Times New Roman" w:cs="Times New Roman"/>
          <w:sz w:val="24"/>
          <w:szCs w:val="24"/>
        </w:rPr>
        <w:t>3</w:t>
      </w:r>
      <w:r w:rsidR="000840FA">
        <w:rPr>
          <w:rFonts w:ascii="Times New Roman" w:hAnsi="Times New Roman" w:cs="Times New Roman"/>
          <w:sz w:val="24"/>
          <w:szCs w:val="24"/>
        </w:rPr>
        <w:t>,</w:t>
      </w:r>
      <w:r w:rsidR="000840FA" w:rsidRPr="000840FA">
        <w:rPr>
          <w:rFonts w:ascii="Times New Roman" w:hAnsi="Times New Roman" w:cs="Times New Roman"/>
          <w:sz w:val="24"/>
          <w:szCs w:val="24"/>
        </w:rPr>
        <w:t>071019/1</w:t>
      </w:r>
      <w:r w:rsidR="000840FA">
        <w:rPr>
          <w:rFonts w:ascii="Times New Roman" w:hAnsi="Times New Roman" w:cs="Times New Roman"/>
          <w:sz w:val="24"/>
          <w:szCs w:val="24"/>
        </w:rPr>
        <w:t>,</w:t>
      </w:r>
      <w:r w:rsidR="000840FA" w:rsidRPr="000840FA">
        <w:rPr>
          <w:rFonts w:ascii="Times New Roman" w:hAnsi="Times New Roman" w:cs="Times New Roman"/>
          <w:sz w:val="24"/>
          <w:szCs w:val="24"/>
        </w:rPr>
        <w:t>6393107127 = 1</w:t>
      </w:r>
      <w:r w:rsidR="000840FA">
        <w:rPr>
          <w:rFonts w:ascii="Times New Roman" w:hAnsi="Times New Roman" w:cs="Times New Roman"/>
          <w:sz w:val="24"/>
          <w:szCs w:val="24"/>
        </w:rPr>
        <w:t>,</w:t>
      </w:r>
      <w:r w:rsidR="000840FA" w:rsidRPr="000840FA">
        <w:rPr>
          <w:rFonts w:ascii="Times New Roman" w:hAnsi="Times New Roman" w:cs="Times New Roman"/>
          <w:sz w:val="24"/>
          <w:szCs w:val="24"/>
        </w:rPr>
        <w:t>8734</w:t>
      </w:r>
      <w:r w:rsidR="000840FA">
        <w:rPr>
          <w:rFonts w:ascii="Times New Roman" w:hAnsi="Times New Roman" w:cs="Times New Roman"/>
          <w:sz w:val="24"/>
          <w:szCs w:val="24"/>
        </w:rPr>
        <w:t>)</w:t>
      </w:r>
      <w:r w:rsidR="0080608B">
        <w:rPr>
          <w:rFonts w:ascii="Times New Roman" w:hAnsi="Times New Roman" w:cs="Times New Roman"/>
          <w:sz w:val="24"/>
          <w:szCs w:val="24"/>
        </w:rPr>
        <w:t>.</w:t>
      </w:r>
    </w:p>
    <w:p w14:paraId="111C464E" w14:textId="53A434E0" w:rsidR="00DA5B79" w:rsidRPr="00380DA9" w:rsidRDefault="00DA5B79" w:rsidP="00511A46">
      <w:pPr>
        <w:spacing w:after="0" w:line="240" w:lineRule="auto"/>
        <w:ind w:right="-142" w:firstLine="709"/>
        <w:jc w:val="both"/>
        <w:rPr>
          <w:rFonts w:ascii="Times New Roman" w:hAnsi="Times New Roman" w:cs="Times New Roman"/>
          <w:sz w:val="24"/>
          <w:szCs w:val="24"/>
        </w:rPr>
      </w:pPr>
      <w:r w:rsidRPr="00380DA9">
        <w:rPr>
          <w:rFonts w:ascii="Times New Roman" w:hAnsi="Times New Roman" w:cs="Times New Roman"/>
          <w:sz w:val="24"/>
          <w:szCs w:val="24"/>
        </w:rPr>
        <w:t xml:space="preserve">Por outro lado, os principais parâmetros foram estimados usando o método bayesiano. Dada a distribuição </w:t>
      </w:r>
      <w:r w:rsidRPr="00380DA9">
        <w:rPr>
          <w:rFonts w:ascii="Times New Roman" w:hAnsi="Times New Roman" w:cs="Times New Roman"/>
          <w:i/>
          <w:sz w:val="24"/>
          <w:szCs w:val="24"/>
        </w:rPr>
        <w:t>prior</w:t>
      </w:r>
      <w:r w:rsidRPr="00380DA9">
        <w:rPr>
          <w:rFonts w:ascii="Times New Roman" w:hAnsi="Times New Roman" w:cs="Times New Roman"/>
          <w:sz w:val="24"/>
          <w:szCs w:val="24"/>
        </w:rPr>
        <w:t xml:space="preserve"> dos parâmetros, estimamos a distribuição </w:t>
      </w:r>
      <w:r w:rsidRPr="00380DA9">
        <w:rPr>
          <w:rFonts w:ascii="Times New Roman" w:hAnsi="Times New Roman" w:cs="Times New Roman"/>
          <w:i/>
          <w:sz w:val="24"/>
          <w:szCs w:val="24"/>
        </w:rPr>
        <w:t>posterior</w:t>
      </w:r>
      <w:r w:rsidRPr="00380DA9">
        <w:rPr>
          <w:rFonts w:ascii="Times New Roman" w:hAnsi="Times New Roman" w:cs="Times New Roman"/>
          <w:sz w:val="24"/>
          <w:szCs w:val="24"/>
        </w:rPr>
        <w:t xml:space="preserve"> usando um processo de cadeia de </w:t>
      </w:r>
      <w:proofErr w:type="spellStart"/>
      <w:r w:rsidRPr="00380DA9">
        <w:rPr>
          <w:rFonts w:ascii="Times New Roman" w:hAnsi="Times New Roman" w:cs="Times New Roman"/>
          <w:sz w:val="24"/>
          <w:szCs w:val="24"/>
        </w:rPr>
        <w:t>Markov</w:t>
      </w:r>
      <w:proofErr w:type="spellEnd"/>
      <w:r w:rsidRPr="00380DA9">
        <w:rPr>
          <w:rFonts w:ascii="Times New Roman" w:hAnsi="Times New Roman" w:cs="Times New Roman"/>
          <w:sz w:val="24"/>
          <w:szCs w:val="24"/>
        </w:rPr>
        <w:t xml:space="preserve"> por meio do algoritmo </w:t>
      </w:r>
      <w:proofErr w:type="spellStart"/>
      <w:r w:rsidRPr="00380DA9">
        <w:rPr>
          <w:rFonts w:ascii="Times New Roman" w:hAnsi="Times New Roman" w:cs="Times New Roman"/>
          <w:sz w:val="24"/>
          <w:szCs w:val="24"/>
        </w:rPr>
        <w:t>Metropolis-Hastings</w:t>
      </w:r>
      <w:proofErr w:type="spellEnd"/>
      <w:r w:rsidRPr="00380DA9">
        <w:rPr>
          <w:rFonts w:ascii="Times New Roman" w:hAnsi="Times New Roman" w:cs="Times New Roman"/>
          <w:sz w:val="24"/>
          <w:szCs w:val="24"/>
        </w:rPr>
        <w:t xml:space="preserve"> com 1</w:t>
      </w:r>
      <w:r w:rsidR="00830833">
        <w:rPr>
          <w:rFonts w:ascii="Times New Roman" w:hAnsi="Times New Roman" w:cs="Times New Roman"/>
          <w:sz w:val="24"/>
          <w:szCs w:val="24"/>
        </w:rPr>
        <w:t>.0</w:t>
      </w:r>
      <w:r w:rsidRPr="00380DA9">
        <w:rPr>
          <w:rFonts w:ascii="Times New Roman" w:hAnsi="Times New Roman" w:cs="Times New Roman"/>
          <w:sz w:val="24"/>
          <w:szCs w:val="24"/>
        </w:rPr>
        <w:t xml:space="preserve">00.000 iterações, com um valor de escala de 0,1 a </w:t>
      </w:r>
      <w:r w:rsidR="00830833">
        <w:rPr>
          <w:rFonts w:ascii="Times New Roman" w:hAnsi="Times New Roman" w:cs="Times New Roman"/>
          <w:sz w:val="24"/>
          <w:szCs w:val="24"/>
        </w:rPr>
        <w:t>2</w:t>
      </w:r>
      <w:r w:rsidRPr="00380DA9">
        <w:rPr>
          <w:rFonts w:ascii="Times New Roman" w:hAnsi="Times New Roman" w:cs="Times New Roman"/>
          <w:sz w:val="24"/>
          <w:szCs w:val="24"/>
        </w:rPr>
        <w:t xml:space="preserve"> cadeias paralelas. A tabela 2 apresenta a distribuições </w:t>
      </w:r>
      <w:r w:rsidRPr="00380DA9">
        <w:rPr>
          <w:rFonts w:ascii="Times New Roman" w:hAnsi="Times New Roman" w:cs="Times New Roman"/>
          <w:i/>
          <w:sz w:val="24"/>
          <w:szCs w:val="24"/>
        </w:rPr>
        <w:t>prior</w:t>
      </w:r>
      <w:r w:rsidRPr="00380DA9">
        <w:rPr>
          <w:rFonts w:ascii="Times New Roman" w:hAnsi="Times New Roman" w:cs="Times New Roman"/>
          <w:sz w:val="24"/>
          <w:szCs w:val="24"/>
        </w:rPr>
        <w:t xml:space="preserve"> e </w:t>
      </w:r>
      <w:r w:rsidRPr="00380DA9">
        <w:rPr>
          <w:rFonts w:ascii="Times New Roman" w:hAnsi="Times New Roman" w:cs="Times New Roman"/>
          <w:i/>
          <w:sz w:val="24"/>
          <w:szCs w:val="24"/>
        </w:rPr>
        <w:t>posterior</w:t>
      </w:r>
      <w:r w:rsidRPr="00380DA9">
        <w:rPr>
          <w:rFonts w:ascii="Times New Roman" w:hAnsi="Times New Roman" w:cs="Times New Roman"/>
          <w:sz w:val="24"/>
          <w:szCs w:val="24"/>
        </w:rPr>
        <w:t xml:space="preserve"> de cada um dos parâmetros estimados.</w:t>
      </w:r>
    </w:p>
    <w:p w14:paraId="111C466D" w14:textId="77777777" w:rsidR="00DA5B79" w:rsidRPr="00380DA9" w:rsidRDefault="00DA5B79" w:rsidP="002E1982">
      <w:pPr>
        <w:pStyle w:val="Legenda"/>
        <w:keepNext/>
        <w:spacing w:before="0" w:after="0" w:line="360" w:lineRule="auto"/>
        <w:rPr>
          <w:rFonts w:ascii="Times New Roman" w:hAnsi="Times New Roman" w:cs="Times New Roman"/>
          <w:b/>
          <w:i w:val="0"/>
        </w:rPr>
      </w:pPr>
    </w:p>
    <w:p w14:paraId="111C466E" w14:textId="77777777" w:rsidR="00DA5B79" w:rsidRPr="00380DA9" w:rsidRDefault="00DA5B79" w:rsidP="0051252F">
      <w:pPr>
        <w:pStyle w:val="Legenda"/>
        <w:keepNext/>
        <w:spacing w:before="0" w:after="0" w:line="360" w:lineRule="auto"/>
        <w:jc w:val="center"/>
        <w:rPr>
          <w:rFonts w:ascii="Times New Roman" w:hAnsi="Times New Roman" w:cs="Times New Roman"/>
          <w:b/>
          <w:i w:val="0"/>
        </w:rPr>
      </w:pPr>
      <w:r w:rsidRPr="00380DA9">
        <w:rPr>
          <w:rFonts w:ascii="Times New Roman" w:hAnsi="Times New Roman" w:cs="Times New Roman"/>
          <w:b/>
          <w:i w:val="0"/>
        </w:rPr>
        <w:t>Tabela 2 - Resultados da estimação bayesiana</w:t>
      </w:r>
    </w:p>
    <w:tbl>
      <w:tblPr>
        <w:tblW w:w="0" w:type="auto"/>
        <w:tblLayout w:type="fixed"/>
        <w:tblCellMar>
          <w:left w:w="70" w:type="dxa"/>
          <w:right w:w="70" w:type="dxa"/>
        </w:tblCellMar>
        <w:tblLook w:val="04A0" w:firstRow="1" w:lastRow="0" w:firstColumn="1" w:lastColumn="0" w:noHBand="0" w:noVBand="1"/>
      </w:tblPr>
      <w:tblGrid>
        <w:gridCol w:w="3823"/>
        <w:gridCol w:w="850"/>
        <w:gridCol w:w="1017"/>
        <w:gridCol w:w="1192"/>
        <w:gridCol w:w="617"/>
        <w:gridCol w:w="995"/>
      </w:tblGrid>
      <w:tr w:rsidR="003F7681" w:rsidRPr="005F0949" w14:paraId="14B997DC" w14:textId="77777777" w:rsidTr="00490576">
        <w:trPr>
          <w:trHeight w:val="300"/>
        </w:trPr>
        <w:tc>
          <w:tcPr>
            <w:tcW w:w="3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DDA17" w14:textId="77777777" w:rsidR="008A4365" w:rsidRPr="005F0949" w:rsidRDefault="008A4365" w:rsidP="005F0949">
            <w:pPr>
              <w:spacing w:after="0" w:line="240" w:lineRule="auto"/>
              <w:rPr>
                <w:rFonts w:eastAsia="Times New Roman"/>
                <w:b/>
                <w:color w:val="000000"/>
                <w:lang w:eastAsia="pt-BR"/>
              </w:rPr>
            </w:pPr>
            <w:r w:rsidRPr="005F0949">
              <w:rPr>
                <w:rFonts w:eastAsia="Times New Roman"/>
                <w:b/>
                <w:color w:val="000000"/>
                <w:lang w:eastAsia="pt-BR"/>
              </w:rPr>
              <w:t>Parâmetros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FE48C21" w14:textId="77777777" w:rsidR="008A4365" w:rsidRPr="005F0949" w:rsidRDefault="008A4365" w:rsidP="005F0949">
            <w:pPr>
              <w:spacing w:after="0" w:line="240" w:lineRule="auto"/>
              <w:rPr>
                <w:rFonts w:eastAsia="Times New Roman"/>
                <w:b/>
                <w:color w:val="000000"/>
                <w:lang w:eastAsia="pt-BR"/>
              </w:rPr>
            </w:pPr>
            <w:r w:rsidRPr="005F0949">
              <w:rPr>
                <w:rFonts w:eastAsia="Times New Roman"/>
                <w:b/>
                <w:color w:val="000000"/>
                <w:lang w:eastAsia="pt-BR"/>
              </w:rPr>
              <w:t>Prior</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2DE0BDC8" w14:textId="77777777" w:rsidR="008A4365" w:rsidRPr="005F0949" w:rsidRDefault="008A4365" w:rsidP="005F0949">
            <w:pPr>
              <w:spacing w:after="0" w:line="240" w:lineRule="auto"/>
              <w:rPr>
                <w:rFonts w:eastAsia="Times New Roman"/>
                <w:b/>
                <w:color w:val="000000"/>
                <w:lang w:eastAsia="pt-BR"/>
              </w:rPr>
            </w:pPr>
            <w:r w:rsidRPr="005F0949">
              <w:rPr>
                <w:rFonts w:eastAsia="Times New Roman"/>
                <w:b/>
                <w:color w:val="000000"/>
                <w:lang w:eastAsia="pt-BR"/>
              </w:rPr>
              <w:t>Posterior</w:t>
            </w:r>
          </w:p>
        </w:tc>
        <w:tc>
          <w:tcPr>
            <w:tcW w:w="1192" w:type="dxa"/>
            <w:tcBorders>
              <w:top w:val="single" w:sz="4" w:space="0" w:color="auto"/>
              <w:left w:val="nil"/>
              <w:bottom w:val="single" w:sz="4" w:space="0" w:color="auto"/>
              <w:right w:val="single" w:sz="4" w:space="0" w:color="auto"/>
            </w:tcBorders>
            <w:shd w:val="clear" w:color="auto" w:fill="auto"/>
            <w:noWrap/>
            <w:vAlign w:val="bottom"/>
            <w:hideMark/>
          </w:tcPr>
          <w:p w14:paraId="09C0584F" w14:textId="77777777" w:rsidR="008A4365" w:rsidRPr="006C6AAC" w:rsidRDefault="008A4365" w:rsidP="005F0949">
            <w:pPr>
              <w:spacing w:after="0" w:line="240" w:lineRule="auto"/>
              <w:rPr>
                <w:rFonts w:eastAsia="Times New Roman"/>
                <w:b/>
                <w:color w:val="000000"/>
                <w:lang w:eastAsia="pt-BR"/>
              </w:rPr>
            </w:pPr>
            <w:r w:rsidRPr="005F0949">
              <w:rPr>
                <w:rFonts w:eastAsia="Times New Roman"/>
                <w:b/>
                <w:color w:val="000000"/>
                <w:lang w:eastAsia="pt-BR"/>
              </w:rPr>
              <w:t>90% HPD</w:t>
            </w:r>
          </w:p>
          <w:p w14:paraId="48E3084B" w14:textId="7F8E1B75" w:rsidR="008A4365" w:rsidRPr="005F0949" w:rsidRDefault="008A4365" w:rsidP="005F0949">
            <w:pPr>
              <w:spacing w:after="0" w:line="240" w:lineRule="auto"/>
              <w:rPr>
                <w:rFonts w:eastAsia="Times New Roman"/>
                <w:b/>
                <w:color w:val="000000"/>
                <w:lang w:eastAsia="pt-BR"/>
              </w:rPr>
            </w:pPr>
            <w:proofErr w:type="spellStart"/>
            <w:r w:rsidRPr="005F0949">
              <w:rPr>
                <w:rFonts w:eastAsia="Times New Roman"/>
                <w:b/>
                <w:color w:val="000000"/>
                <w:lang w:eastAsia="pt-BR"/>
              </w:rPr>
              <w:t>interval</w:t>
            </w:r>
            <w:proofErr w:type="spellEnd"/>
          </w:p>
        </w:tc>
        <w:tc>
          <w:tcPr>
            <w:tcW w:w="617" w:type="dxa"/>
            <w:tcBorders>
              <w:top w:val="single" w:sz="4" w:space="0" w:color="auto"/>
              <w:left w:val="nil"/>
              <w:bottom w:val="single" w:sz="4" w:space="0" w:color="auto"/>
              <w:right w:val="single" w:sz="4" w:space="0" w:color="auto"/>
            </w:tcBorders>
            <w:shd w:val="clear" w:color="auto" w:fill="auto"/>
            <w:noWrap/>
            <w:vAlign w:val="bottom"/>
            <w:hideMark/>
          </w:tcPr>
          <w:p w14:paraId="48C1EE27" w14:textId="77777777" w:rsidR="008A4365" w:rsidRPr="005F0949" w:rsidRDefault="008A4365" w:rsidP="005F0949">
            <w:pPr>
              <w:spacing w:after="0" w:line="240" w:lineRule="auto"/>
              <w:rPr>
                <w:rFonts w:eastAsia="Times New Roman"/>
                <w:b/>
                <w:color w:val="000000"/>
                <w:lang w:eastAsia="pt-BR"/>
              </w:rPr>
            </w:pPr>
            <w:proofErr w:type="spellStart"/>
            <w:r w:rsidRPr="005F0949">
              <w:rPr>
                <w:rFonts w:eastAsia="Times New Roman"/>
                <w:b/>
                <w:color w:val="000000"/>
                <w:lang w:eastAsia="pt-BR"/>
              </w:rPr>
              <w:t>distr</w:t>
            </w:r>
            <w:proofErr w:type="spellEnd"/>
          </w:p>
        </w:tc>
        <w:tc>
          <w:tcPr>
            <w:tcW w:w="995" w:type="dxa"/>
            <w:tcBorders>
              <w:top w:val="single" w:sz="4" w:space="0" w:color="auto"/>
              <w:left w:val="nil"/>
              <w:bottom w:val="single" w:sz="4" w:space="0" w:color="auto"/>
              <w:right w:val="single" w:sz="4" w:space="0" w:color="auto"/>
            </w:tcBorders>
            <w:shd w:val="clear" w:color="auto" w:fill="auto"/>
            <w:noWrap/>
            <w:vAlign w:val="bottom"/>
            <w:hideMark/>
          </w:tcPr>
          <w:p w14:paraId="52DA1DE4" w14:textId="77777777" w:rsidR="008A4365" w:rsidRPr="005F0949" w:rsidRDefault="008A4365" w:rsidP="005F0949">
            <w:pPr>
              <w:spacing w:after="0" w:line="240" w:lineRule="auto"/>
              <w:rPr>
                <w:rFonts w:eastAsia="Times New Roman"/>
                <w:b/>
                <w:color w:val="000000"/>
                <w:lang w:eastAsia="pt-BR"/>
              </w:rPr>
            </w:pPr>
            <w:proofErr w:type="spellStart"/>
            <w:r w:rsidRPr="005F0949">
              <w:rPr>
                <w:rFonts w:eastAsia="Times New Roman"/>
                <w:b/>
                <w:color w:val="000000"/>
                <w:lang w:eastAsia="pt-BR"/>
              </w:rPr>
              <w:t>devio</w:t>
            </w:r>
            <w:proofErr w:type="spellEnd"/>
            <w:r w:rsidRPr="005F0949">
              <w:rPr>
                <w:rFonts w:eastAsia="Times New Roman"/>
                <w:b/>
                <w:color w:val="000000"/>
                <w:lang w:eastAsia="pt-BR"/>
              </w:rPr>
              <w:t>-padrão</w:t>
            </w:r>
          </w:p>
        </w:tc>
      </w:tr>
      <w:tr w:rsidR="003F7681" w:rsidRPr="005F0949" w14:paraId="6D151957" w14:textId="77777777" w:rsidTr="00490576">
        <w:trPr>
          <w:trHeight w:val="300"/>
        </w:trPr>
        <w:tc>
          <w:tcPr>
            <w:tcW w:w="3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39935" w14:textId="6143DAF3" w:rsidR="008A4365" w:rsidRPr="005F0949" w:rsidRDefault="000360E0" w:rsidP="005F0949">
            <w:pPr>
              <w:spacing w:after="0" w:line="240" w:lineRule="auto"/>
              <w:rPr>
                <w:rFonts w:eastAsia="Times New Roman"/>
                <w:color w:val="000000"/>
                <w:lang w:eastAsia="pt-BR"/>
              </w:rPr>
            </w:pPr>
            <w:r>
              <w:rPr>
                <w:rFonts w:eastAsia="Times New Roman"/>
                <w:color w:val="000000"/>
                <w:lang w:eastAsia="pt-BR"/>
              </w:rPr>
              <w:t>Sensibilidade de risco do título estrangeiro</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38194844"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-0,003</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3CF63384"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-0,0007</w:t>
            </w:r>
          </w:p>
        </w:tc>
        <w:tc>
          <w:tcPr>
            <w:tcW w:w="1192" w:type="dxa"/>
            <w:tcBorders>
              <w:top w:val="single" w:sz="4" w:space="0" w:color="auto"/>
              <w:left w:val="nil"/>
              <w:bottom w:val="single" w:sz="4" w:space="0" w:color="auto"/>
              <w:right w:val="single" w:sz="4" w:space="0" w:color="auto"/>
            </w:tcBorders>
            <w:shd w:val="clear" w:color="auto" w:fill="auto"/>
            <w:noWrap/>
            <w:vAlign w:val="bottom"/>
            <w:hideMark/>
          </w:tcPr>
          <w:p w14:paraId="7CBB3B96" w14:textId="74FE9C27" w:rsidR="008A4365" w:rsidRPr="005F0949" w:rsidRDefault="008A4365" w:rsidP="00B32F51">
            <w:pPr>
              <w:spacing w:after="0" w:line="240" w:lineRule="auto"/>
              <w:jc w:val="right"/>
              <w:rPr>
                <w:rFonts w:eastAsia="Times New Roman"/>
                <w:color w:val="000000"/>
                <w:lang w:eastAsia="pt-BR"/>
              </w:rPr>
            </w:pPr>
            <w:r w:rsidRPr="005F0949">
              <w:rPr>
                <w:rFonts w:eastAsia="Times New Roman"/>
                <w:color w:val="000000"/>
                <w:lang w:eastAsia="pt-BR"/>
              </w:rPr>
              <w:t>-0,0013</w:t>
            </w:r>
            <w:r w:rsidR="00A553C2">
              <w:rPr>
                <w:rFonts w:eastAsia="Times New Roman"/>
                <w:color w:val="000000"/>
                <w:lang w:eastAsia="pt-BR"/>
              </w:rPr>
              <w:t>;</w:t>
            </w:r>
            <w:r w:rsidR="00B32F51">
              <w:rPr>
                <w:rFonts w:eastAsia="Times New Roman"/>
                <w:color w:val="000000"/>
                <w:lang w:eastAsia="pt-BR"/>
              </w:rPr>
              <w:t xml:space="preserve"> </w:t>
            </w:r>
            <w:r w:rsidRPr="005F0949">
              <w:rPr>
                <w:rFonts w:eastAsia="Times New Roman"/>
                <w:color w:val="000000"/>
                <w:lang w:eastAsia="pt-BR"/>
              </w:rPr>
              <w:t>-0,0001</w:t>
            </w:r>
          </w:p>
        </w:tc>
        <w:tc>
          <w:tcPr>
            <w:tcW w:w="617" w:type="dxa"/>
            <w:tcBorders>
              <w:top w:val="single" w:sz="4" w:space="0" w:color="auto"/>
              <w:left w:val="nil"/>
              <w:bottom w:val="single" w:sz="4" w:space="0" w:color="auto"/>
              <w:right w:val="single" w:sz="4" w:space="0" w:color="auto"/>
            </w:tcBorders>
            <w:shd w:val="clear" w:color="auto" w:fill="auto"/>
            <w:noWrap/>
            <w:vAlign w:val="bottom"/>
            <w:hideMark/>
          </w:tcPr>
          <w:p w14:paraId="35E9E2F4"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unif</w:t>
            </w:r>
            <w:proofErr w:type="spellEnd"/>
          </w:p>
        </w:tc>
        <w:tc>
          <w:tcPr>
            <w:tcW w:w="995" w:type="dxa"/>
            <w:tcBorders>
              <w:top w:val="single" w:sz="4" w:space="0" w:color="auto"/>
              <w:left w:val="nil"/>
              <w:bottom w:val="single" w:sz="4" w:space="0" w:color="auto"/>
              <w:right w:val="single" w:sz="4" w:space="0" w:color="auto"/>
            </w:tcBorders>
            <w:shd w:val="clear" w:color="auto" w:fill="auto"/>
            <w:noWrap/>
            <w:vAlign w:val="bottom"/>
            <w:hideMark/>
          </w:tcPr>
          <w:p w14:paraId="68B46F0C"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0,0014</w:t>
            </w:r>
          </w:p>
        </w:tc>
      </w:tr>
      <w:tr w:rsidR="003F7681" w:rsidRPr="005F0949" w14:paraId="58FE3CCA"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D7A13B8" w14:textId="782DA0C7" w:rsidR="008A4365" w:rsidRPr="005F0949" w:rsidRDefault="007308FB" w:rsidP="005F0949">
            <w:pPr>
              <w:spacing w:after="0" w:line="240" w:lineRule="auto"/>
              <w:rPr>
                <w:rFonts w:eastAsia="Times New Roman"/>
                <w:color w:val="000000"/>
                <w:lang w:eastAsia="pt-BR"/>
              </w:rPr>
            </w:pPr>
            <w:r>
              <w:rPr>
                <w:rFonts w:eastAsia="Times New Roman"/>
                <w:color w:val="000000"/>
                <w:lang w:eastAsia="pt-BR"/>
              </w:rPr>
              <w:lastRenderedPageBreak/>
              <w:t>Suavização de alterações nas exportações</w:t>
            </w:r>
          </w:p>
        </w:tc>
        <w:tc>
          <w:tcPr>
            <w:tcW w:w="850" w:type="dxa"/>
            <w:tcBorders>
              <w:top w:val="nil"/>
              <w:left w:val="nil"/>
              <w:bottom w:val="single" w:sz="4" w:space="0" w:color="auto"/>
              <w:right w:val="single" w:sz="4" w:space="0" w:color="auto"/>
            </w:tcBorders>
            <w:shd w:val="clear" w:color="auto" w:fill="auto"/>
            <w:noWrap/>
            <w:vAlign w:val="bottom"/>
            <w:hideMark/>
          </w:tcPr>
          <w:p w14:paraId="2F535016"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2A343875"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0,7648</w:t>
            </w:r>
          </w:p>
        </w:tc>
        <w:tc>
          <w:tcPr>
            <w:tcW w:w="1192" w:type="dxa"/>
            <w:tcBorders>
              <w:top w:val="nil"/>
              <w:left w:val="nil"/>
              <w:bottom w:val="single" w:sz="4" w:space="0" w:color="auto"/>
              <w:right w:val="single" w:sz="4" w:space="0" w:color="auto"/>
            </w:tcBorders>
            <w:shd w:val="clear" w:color="auto" w:fill="auto"/>
            <w:noWrap/>
            <w:vAlign w:val="bottom"/>
            <w:hideMark/>
          </w:tcPr>
          <w:p w14:paraId="6B1C8C48" w14:textId="66B986B1" w:rsidR="008A4365" w:rsidRPr="005F0949" w:rsidRDefault="008A4365" w:rsidP="00B32F51">
            <w:pPr>
              <w:spacing w:after="0" w:line="240" w:lineRule="auto"/>
              <w:jc w:val="right"/>
              <w:rPr>
                <w:rFonts w:eastAsia="Times New Roman"/>
                <w:color w:val="000000"/>
                <w:lang w:eastAsia="pt-BR"/>
              </w:rPr>
            </w:pPr>
            <w:r w:rsidRPr="005F0949">
              <w:rPr>
                <w:rFonts w:eastAsia="Times New Roman"/>
                <w:color w:val="000000"/>
                <w:lang w:eastAsia="pt-BR"/>
              </w:rPr>
              <w:t>0,7017</w:t>
            </w:r>
            <w:r w:rsidR="00A553C2">
              <w:rPr>
                <w:rFonts w:eastAsia="Times New Roman"/>
                <w:color w:val="000000"/>
                <w:lang w:eastAsia="pt-BR"/>
              </w:rPr>
              <w:t>;</w:t>
            </w:r>
            <w:r w:rsidR="00B32F51">
              <w:rPr>
                <w:rFonts w:eastAsia="Times New Roman"/>
                <w:color w:val="000000"/>
                <w:lang w:eastAsia="pt-BR"/>
              </w:rPr>
              <w:t xml:space="preserve"> </w:t>
            </w:r>
            <w:r w:rsidRPr="005F0949">
              <w:rPr>
                <w:rFonts w:eastAsia="Times New Roman"/>
                <w:color w:val="000000"/>
                <w:lang w:eastAsia="pt-BR"/>
              </w:rPr>
              <w:t>0,82</w:t>
            </w:r>
          </w:p>
        </w:tc>
        <w:tc>
          <w:tcPr>
            <w:tcW w:w="617" w:type="dxa"/>
            <w:tcBorders>
              <w:top w:val="nil"/>
              <w:left w:val="nil"/>
              <w:bottom w:val="single" w:sz="4" w:space="0" w:color="auto"/>
              <w:right w:val="single" w:sz="4" w:space="0" w:color="auto"/>
            </w:tcBorders>
            <w:shd w:val="clear" w:color="auto" w:fill="auto"/>
            <w:noWrap/>
            <w:vAlign w:val="bottom"/>
            <w:hideMark/>
          </w:tcPr>
          <w:p w14:paraId="413EA7DB"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1BBA6696"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55BD9B3E"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C6F0958" w14:textId="4F197F7A" w:rsidR="008A4365" w:rsidRPr="005F0949" w:rsidRDefault="007308FB" w:rsidP="005F0949">
            <w:pPr>
              <w:spacing w:after="0" w:line="240" w:lineRule="auto"/>
              <w:rPr>
                <w:rFonts w:eastAsia="Times New Roman"/>
                <w:color w:val="000000"/>
                <w:lang w:eastAsia="pt-BR"/>
              </w:rPr>
            </w:pPr>
            <w:r>
              <w:rPr>
                <w:rFonts w:eastAsia="Times New Roman"/>
                <w:color w:val="000000"/>
                <w:lang w:eastAsia="pt-BR"/>
              </w:rPr>
              <w:t>Sensibilidade das exportações</w:t>
            </w:r>
            <w:r w:rsidR="003F7681">
              <w:rPr>
                <w:rFonts w:eastAsia="Times New Roman"/>
                <w:color w:val="000000"/>
                <w:lang w:eastAsia="pt-BR"/>
              </w:rPr>
              <w:t xml:space="preserve"> às alterações na taxa de câmbio real</w:t>
            </w:r>
          </w:p>
        </w:tc>
        <w:tc>
          <w:tcPr>
            <w:tcW w:w="850" w:type="dxa"/>
            <w:tcBorders>
              <w:top w:val="nil"/>
              <w:left w:val="nil"/>
              <w:bottom w:val="single" w:sz="4" w:space="0" w:color="auto"/>
              <w:right w:val="single" w:sz="4" w:space="0" w:color="auto"/>
            </w:tcBorders>
            <w:shd w:val="clear" w:color="auto" w:fill="auto"/>
            <w:noWrap/>
            <w:vAlign w:val="bottom"/>
            <w:hideMark/>
          </w:tcPr>
          <w:p w14:paraId="3AC64764"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63AD99AC"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0,3163</w:t>
            </w:r>
          </w:p>
        </w:tc>
        <w:tc>
          <w:tcPr>
            <w:tcW w:w="1192" w:type="dxa"/>
            <w:tcBorders>
              <w:top w:val="nil"/>
              <w:left w:val="nil"/>
              <w:bottom w:val="single" w:sz="4" w:space="0" w:color="auto"/>
              <w:right w:val="single" w:sz="4" w:space="0" w:color="auto"/>
            </w:tcBorders>
            <w:shd w:val="clear" w:color="auto" w:fill="auto"/>
            <w:noWrap/>
            <w:vAlign w:val="bottom"/>
            <w:hideMark/>
          </w:tcPr>
          <w:p w14:paraId="4BB87992" w14:textId="76711E52" w:rsidR="008A4365" w:rsidRPr="005F0949" w:rsidRDefault="008A4365" w:rsidP="00B32F51">
            <w:pPr>
              <w:spacing w:after="0" w:line="240" w:lineRule="auto"/>
              <w:jc w:val="right"/>
              <w:rPr>
                <w:rFonts w:eastAsia="Times New Roman"/>
                <w:color w:val="000000"/>
                <w:lang w:eastAsia="pt-BR"/>
              </w:rPr>
            </w:pPr>
            <w:r w:rsidRPr="005F0949">
              <w:rPr>
                <w:rFonts w:eastAsia="Times New Roman"/>
                <w:color w:val="000000"/>
                <w:lang w:eastAsia="pt-BR"/>
              </w:rPr>
              <w:t>0,0059</w:t>
            </w:r>
            <w:r w:rsidR="00A553C2">
              <w:rPr>
                <w:rFonts w:eastAsia="Times New Roman"/>
                <w:color w:val="000000"/>
                <w:lang w:eastAsia="pt-BR"/>
              </w:rPr>
              <w:t>;</w:t>
            </w:r>
            <w:r w:rsidR="00B32F51">
              <w:rPr>
                <w:rFonts w:eastAsia="Times New Roman"/>
                <w:color w:val="000000"/>
                <w:lang w:eastAsia="pt-BR"/>
              </w:rPr>
              <w:t xml:space="preserve"> </w:t>
            </w:r>
            <w:r w:rsidRPr="005F0949">
              <w:rPr>
                <w:rFonts w:eastAsia="Times New Roman"/>
                <w:color w:val="000000"/>
                <w:lang w:eastAsia="pt-BR"/>
              </w:rPr>
              <w:t>0,5347</w:t>
            </w:r>
          </w:p>
        </w:tc>
        <w:tc>
          <w:tcPr>
            <w:tcW w:w="617" w:type="dxa"/>
            <w:tcBorders>
              <w:top w:val="nil"/>
              <w:left w:val="nil"/>
              <w:bottom w:val="single" w:sz="4" w:space="0" w:color="auto"/>
              <w:right w:val="single" w:sz="4" w:space="0" w:color="auto"/>
            </w:tcBorders>
            <w:shd w:val="clear" w:color="auto" w:fill="auto"/>
            <w:noWrap/>
            <w:vAlign w:val="bottom"/>
            <w:hideMark/>
          </w:tcPr>
          <w:p w14:paraId="7F1CA529"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unif</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08F90EE8"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0,2887</w:t>
            </w:r>
          </w:p>
        </w:tc>
      </w:tr>
      <w:tr w:rsidR="003F7681" w:rsidRPr="005F0949" w14:paraId="31A30EEA"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5F985DE" w14:textId="1C7BEC29" w:rsidR="008A4365" w:rsidRPr="005F0949" w:rsidRDefault="0004141A" w:rsidP="005F0949">
            <w:pPr>
              <w:spacing w:after="0" w:line="240" w:lineRule="auto"/>
              <w:rPr>
                <w:rFonts w:eastAsia="Times New Roman"/>
                <w:color w:val="000000"/>
                <w:lang w:eastAsia="pt-BR"/>
              </w:rPr>
            </w:pPr>
            <w:r>
              <w:rPr>
                <w:rFonts w:eastAsia="Times New Roman"/>
                <w:color w:val="000000"/>
                <w:lang w:eastAsia="pt-BR"/>
              </w:rPr>
              <w:t>Participação do insumo doméstico na produção do bem intermediário</w:t>
            </w:r>
          </w:p>
        </w:tc>
        <w:tc>
          <w:tcPr>
            <w:tcW w:w="850" w:type="dxa"/>
            <w:tcBorders>
              <w:top w:val="nil"/>
              <w:left w:val="nil"/>
              <w:bottom w:val="single" w:sz="4" w:space="0" w:color="auto"/>
              <w:right w:val="single" w:sz="4" w:space="0" w:color="auto"/>
            </w:tcBorders>
            <w:shd w:val="clear" w:color="auto" w:fill="auto"/>
            <w:noWrap/>
            <w:vAlign w:val="bottom"/>
            <w:hideMark/>
          </w:tcPr>
          <w:p w14:paraId="30918884"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0,85</w:t>
            </w:r>
          </w:p>
        </w:tc>
        <w:tc>
          <w:tcPr>
            <w:tcW w:w="1017" w:type="dxa"/>
            <w:tcBorders>
              <w:top w:val="nil"/>
              <w:left w:val="nil"/>
              <w:bottom w:val="single" w:sz="4" w:space="0" w:color="auto"/>
              <w:right w:val="single" w:sz="4" w:space="0" w:color="auto"/>
            </w:tcBorders>
            <w:shd w:val="clear" w:color="auto" w:fill="auto"/>
            <w:noWrap/>
            <w:vAlign w:val="bottom"/>
            <w:hideMark/>
          </w:tcPr>
          <w:p w14:paraId="5A2EF4E3"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0,8422</w:t>
            </w:r>
          </w:p>
        </w:tc>
        <w:tc>
          <w:tcPr>
            <w:tcW w:w="1192" w:type="dxa"/>
            <w:tcBorders>
              <w:top w:val="nil"/>
              <w:left w:val="nil"/>
              <w:bottom w:val="single" w:sz="4" w:space="0" w:color="auto"/>
              <w:right w:val="single" w:sz="4" w:space="0" w:color="auto"/>
            </w:tcBorders>
            <w:shd w:val="clear" w:color="auto" w:fill="auto"/>
            <w:noWrap/>
            <w:vAlign w:val="bottom"/>
            <w:hideMark/>
          </w:tcPr>
          <w:p w14:paraId="75B5B4C3" w14:textId="6CA530D0" w:rsidR="008A4365" w:rsidRPr="005F0949" w:rsidRDefault="008A4365" w:rsidP="00A553C2">
            <w:pPr>
              <w:spacing w:after="0" w:line="240" w:lineRule="auto"/>
              <w:jc w:val="right"/>
              <w:rPr>
                <w:rFonts w:eastAsia="Times New Roman"/>
                <w:color w:val="000000"/>
                <w:lang w:eastAsia="pt-BR"/>
              </w:rPr>
            </w:pPr>
            <w:r w:rsidRPr="005F0949">
              <w:rPr>
                <w:rFonts w:eastAsia="Times New Roman"/>
                <w:color w:val="000000"/>
                <w:lang w:eastAsia="pt-BR"/>
              </w:rPr>
              <w:t>0,8329</w:t>
            </w:r>
            <w:r w:rsidR="00A553C2">
              <w:rPr>
                <w:rFonts w:eastAsia="Times New Roman"/>
                <w:color w:val="000000"/>
                <w:lang w:eastAsia="pt-BR"/>
              </w:rPr>
              <w:t xml:space="preserve">; </w:t>
            </w:r>
            <w:r w:rsidRPr="005F0949">
              <w:rPr>
                <w:rFonts w:eastAsia="Times New Roman"/>
                <w:color w:val="000000"/>
                <w:lang w:eastAsia="pt-BR"/>
              </w:rPr>
              <w:t>0,8505</w:t>
            </w:r>
          </w:p>
        </w:tc>
        <w:tc>
          <w:tcPr>
            <w:tcW w:w="617" w:type="dxa"/>
            <w:tcBorders>
              <w:top w:val="nil"/>
              <w:left w:val="nil"/>
              <w:bottom w:val="single" w:sz="4" w:space="0" w:color="auto"/>
              <w:right w:val="single" w:sz="4" w:space="0" w:color="auto"/>
            </w:tcBorders>
            <w:shd w:val="clear" w:color="auto" w:fill="auto"/>
            <w:noWrap/>
            <w:vAlign w:val="bottom"/>
            <w:hideMark/>
          </w:tcPr>
          <w:p w14:paraId="56E49BFE"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1B41428E"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0,01</w:t>
            </w:r>
          </w:p>
        </w:tc>
      </w:tr>
      <w:tr w:rsidR="003F7681" w:rsidRPr="005F0949" w14:paraId="1C0E13BD"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77FEBDE" w14:textId="6FD47630" w:rsidR="008A4365" w:rsidRPr="005F0949" w:rsidRDefault="0004141A" w:rsidP="005F0949">
            <w:pPr>
              <w:spacing w:after="0" w:line="240" w:lineRule="auto"/>
              <w:rPr>
                <w:rFonts w:eastAsia="Times New Roman"/>
                <w:color w:val="000000"/>
                <w:lang w:eastAsia="pt-BR"/>
              </w:rPr>
            </w:pPr>
            <w:r>
              <w:rPr>
                <w:rFonts w:eastAsia="Times New Roman"/>
                <w:color w:val="000000"/>
                <w:lang w:eastAsia="pt-BR"/>
              </w:rPr>
              <w:t>Elasticidade de substituição entre os insumos doméstico e importado</w:t>
            </w:r>
          </w:p>
        </w:tc>
        <w:tc>
          <w:tcPr>
            <w:tcW w:w="850" w:type="dxa"/>
            <w:tcBorders>
              <w:top w:val="nil"/>
              <w:left w:val="nil"/>
              <w:bottom w:val="single" w:sz="4" w:space="0" w:color="auto"/>
              <w:right w:val="single" w:sz="4" w:space="0" w:color="auto"/>
            </w:tcBorders>
            <w:shd w:val="clear" w:color="auto" w:fill="auto"/>
            <w:noWrap/>
            <w:vAlign w:val="bottom"/>
            <w:hideMark/>
          </w:tcPr>
          <w:p w14:paraId="61887AB7"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2,5</w:t>
            </w:r>
          </w:p>
        </w:tc>
        <w:tc>
          <w:tcPr>
            <w:tcW w:w="1017" w:type="dxa"/>
            <w:tcBorders>
              <w:top w:val="nil"/>
              <w:left w:val="nil"/>
              <w:bottom w:val="single" w:sz="4" w:space="0" w:color="auto"/>
              <w:right w:val="single" w:sz="4" w:space="0" w:color="auto"/>
            </w:tcBorders>
            <w:shd w:val="clear" w:color="auto" w:fill="auto"/>
            <w:noWrap/>
            <w:vAlign w:val="bottom"/>
            <w:hideMark/>
          </w:tcPr>
          <w:p w14:paraId="4BD89ADE"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2,4628</w:t>
            </w:r>
          </w:p>
        </w:tc>
        <w:tc>
          <w:tcPr>
            <w:tcW w:w="1192" w:type="dxa"/>
            <w:tcBorders>
              <w:top w:val="nil"/>
              <w:left w:val="nil"/>
              <w:bottom w:val="single" w:sz="4" w:space="0" w:color="auto"/>
              <w:right w:val="single" w:sz="4" w:space="0" w:color="auto"/>
            </w:tcBorders>
            <w:shd w:val="clear" w:color="auto" w:fill="auto"/>
            <w:noWrap/>
            <w:vAlign w:val="bottom"/>
            <w:hideMark/>
          </w:tcPr>
          <w:p w14:paraId="2FE0BF8A" w14:textId="184E93AD" w:rsidR="008A4365" w:rsidRPr="005F0949" w:rsidRDefault="008A4365" w:rsidP="00A553C2">
            <w:pPr>
              <w:spacing w:after="0" w:line="240" w:lineRule="auto"/>
              <w:jc w:val="right"/>
              <w:rPr>
                <w:rFonts w:eastAsia="Times New Roman"/>
                <w:color w:val="000000"/>
                <w:lang w:eastAsia="pt-BR"/>
              </w:rPr>
            </w:pPr>
            <w:r w:rsidRPr="005F0949">
              <w:rPr>
                <w:rFonts w:eastAsia="Times New Roman"/>
                <w:color w:val="000000"/>
                <w:lang w:eastAsia="pt-BR"/>
              </w:rPr>
              <w:t>2,3729</w:t>
            </w:r>
            <w:r w:rsidR="00A553C2">
              <w:rPr>
                <w:rFonts w:eastAsia="Times New Roman"/>
                <w:color w:val="000000"/>
                <w:lang w:eastAsia="pt-BR"/>
              </w:rPr>
              <w:t xml:space="preserve">; </w:t>
            </w:r>
            <w:r w:rsidRPr="005F0949">
              <w:rPr>
                <w:rFonts w:eastAsia="Times New Roman"/>
                <w:color w:val="000000"/>
                <w:lang w:eastAsia="pt-BR"/>
              </w:rPr>
              <w:t>2,544</w:t>
            </w:r>
          </w:p>
        </w:tc>
        <w:tc>
          <w:tcPr>
            <w:tcW w:w="617" w:type="dxa"/>
            <w:tcBorders>
              <w:top w:val="nil"/>
              <w:left w:val="nil"/>
              <w:bottom w:val="single" w:sz="4" w:space="0" w:color="auto"/>
              <w:right w:val="single" w:sz="4" w:space="0" w:color="auto"/>
            </w:tcBorders>
            <w:shd w:val="clear" w:color="auto" w:fill="auto"/>
            <w:noWrap/>
            <w:vAlign w:val="bottom"/>
            <w:hideMark/>
          </w:tcPr>
          <w:p w14:paraId="5C20EC18"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gamma</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760E4230"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533F4B57"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3180D81" w14:textId="3CBF30CA" w:rsidR="008A4365" w:rsidRPr="005F0949" w:rsidRDefault="00944CDE" w:rsidP="005F0949">
            <w:pPr>
              <w:spacing w:after="0" w:line="240" w:lineRule="auto"/>
              <w:rPr>
                <w:rFonts w:eastAsia="Times New Roman"/>
                <w:color w:val="000000"/>
                <w:lang w:eastAsia="pt-BR"/>
              </w:rPr>
            </w:pPr>
            <w:r>
              <w:rPr>
                <w:rFonts w:eastAsia="Times New Roman"/>
                <w:color w:val="000000"/>
                <w:lang w:eastAsia="pt-BR"/>
              </w:rPr>
              <w:t>Rigidez de preços</w:t>
            </w:r>
          </w:p>
        </w:tc>
        <w:tc>
          <w:tcPr>
            <w:tcW w:w="850" w:type="dxa"/>
            <w:tcBorders>
              <w:top w:val="nil"/>
              <w:left w:val="nil"/>
              <w:bottom w:val="single" w:sz="4" w:space="0" w:color="auto"/>
              <w:right w:val="single" w:sz="4" w:space="0" w:color="auto"/>
            </w:tcBorders>
            <w:shd w:val="clear" w:color="auto" w:fill="auto"/>
            <w:noWrap/>
            <w:vAlign w:val="bottom"/>
            <w:hideMark/>
          </w:tcPr>
          <w:p w14:paraId="2CCAF185"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0,725</w:t>
            </w:r>
          </w:p>
        </w:tc>
        <w:tc>
          <w:tcPr>
            <w:tcW w:w="1017" w:type="dxa"/>
            <w:tcBorders>
              <w:top w:val="nil"/>
              <w:left w:val="nil"/>
              <w:bottom w:val="single" w:sz="4" w:space="0" w:color="auto"/>
              <w:right w:val="single" w:sz="4" w:space="0" w:color="auto"/>
            </w:tcBorders>
            <w:shd w:val="clear" w:color="auto" w:fill="auto"/>
            <w:noWrap/>
            <w:vAlign w:val="bottom"/>
            <w:hideMark/>
          </w:tcPr>
          <w:p w14:paraId="00A04520"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0,7021</w:t>
            </w:r>
          </w:p>
        </w:tc>
        <w:tc>
          <w:tcPr>
            <w:tcW w:w="1192" w:type="dxa"/>
            <w:tcBorders>
              <w:top w:val="nil"/>
              <w:left w:val="nil"/>
              <w:bottom w:val="single" w:sz="4" w:space="0" w:color="auto"/>
              <w:right w:val="single" w:sz="4" w:space="0" w:color="auto"/>
            </w:tcBorders>
            <w:shd w:val="clear" w:color="auto" w:fill="auto"/>
            <w:noWrap/>
            <w:vAlign w:val="bottom"/>
            <w:hideMark/>
          </w:tcPr>
          <w:p w14:paraId="54916CAE" w14:textId="373D96CD" w:rsidR="008A4365" w:rsidRPr="005F0949" w:rsidRDefault="008A4365" w:rsidP="00A553C2">
            <w:pPr>
              <w:spacing w:after="0" w:line="240" w:lineRule="auto"/>
              <w:jc w:val="right"/>
              <w:rPr>
                <w:rFonts w:eastAsia="Times New Roman"/>
                <w:color w:val="000000"/>
                <w:lang w:eastAsia="pt-BR"/>
              </w:rPr>
            </w:pPr>
            <w:r w:rsidRPr="005F0949">
              <w:rPr>
                <w:rFonts w:eastAsia="Times New Roman"/>
                <w:color w:val="000000"/>
                <w:lang w:eastAsia="pt-BR"/>
              </w:rPr>
              <w:t>0,7</w:t>
            </w:r>
            <w:r w:rsidR="00A553C2">
              <w:rPr>
                <w:rFonts w:eastAsia="Times New Roman"/>
                <w:color w:val="000000"/>
                <w:lang w:eastAsia="pt-BR"/>
              </w:rPr>
              <w:t xml:space="preserve">; </w:t>
            </w:r>
            <w:r w:rsidRPr="005F0949">
              <w:rPr>
                <w:rFonts w:eastAsia="Times New Roman"/>
                <w:color w:val="000000"/>
                <w:lang w:eastAsia="pt-BR"/>
              </w:rPr>
              <w:t>0,7052</w:t>
            </w:r>
          </w:p>
        </w:tc>
        <w:tc>
          <w:tcPr>
            <w:tcW w:w="617" w:type="dxa"/>
            <w:tcBorders>
              <w:top w:val="nil"/>
              <w:left w:val="nil"/>
              <w:bottom w:val="single" w:sz="4" w:space="0" w:color="auto"/>
              <w:right w:val="single" w:sz="4" w:space="0" w:color="auto"/>
            </w:tcBorders>
            <w:shd w:val="clear" w:color="auto" w:fill="auto"/>
            <w:noWrap/>
            <w:vAlign w:val="bottom"/>
            <w:hideMark/>
          </w:tcPr>
          <w:p w14:paraId="6A03257D"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unif</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15C21F81"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0,0144</w:t>
            </w:r>
          </w:p>
        </w:tc>
      </w:tr>
      <w:tr w:rsidR="003F7681" w:rsidRPr="005F0949" w14:paraId="6AA98E23"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E3A1A47" w14:textId="4F667B0F" w:rsidR="008A4365" w:rsidRPr="005F0949" w:rsidRDefault="00944CDE" w:rsidP="005F0949">
            <w:pPr>
              <w:spacing w:after="0" w:line="240" w:lineRule="auto"/>
              <w:rPr>
                <w:rFonts w:eastAsia="Times New Roman"/>
                <w:color w:val="000000"/>
                <w:lang w:eastAsia="pt-BR"/>
              </w:rPr>
            </w:pPr>
            <w:r>
              <w:rPr>
                <w:rFonts w:eastAsia="Times New Roman"/>
                <w:color w:val="000000"/>
                <w:lang w:eastAsia="pt-BR"/>
              </w:rPr>
              <w:t>Rigidez de salários</w:t>
            </w:r>
          </w:p>
        </w:tc>
        <w:tc>
          <w:tcPr>
            <w:tcW w:w="850" w:type="dxa"/>
            <w:tcBorders>
              <w:top w:val="nil"/>
              <w:left w:val="nil"/>
              <w:bottom w:val="single" w:sz="4" w:space="0" w:color="auto"/>
              <w:right w:val="single" w:sz="4" w:space="0" w:color="auto"/>
            </w:tcBorders>
            <w:shd w:val="clear" w:color="auto" w:fill="auto"/>
            <w:noWrap/>
            <w:vAlign w:val="bottom"/>
            <w:hideMark/>
          </w:tcPr>
          <w:p w14:paraId="560EEF2E"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0,655</w:t>
            </w:r>
          </w:p>
        </w:tc>
        <w:tc>
          <w:tcPr>
            <w:tcW w:w="1017" w:type="dxa"/>
            <w:tcBorders>
              <w:top w:val="nil"/>
              <w:left w:val="nil"/>
              <w:bottom w:val="single" w:sz="4" w:space="0" w:color="auto"/>
              <w:right w:val="single" w:sz="4" w:space="0" w:color="auto"/>
            </w:tcBorders>
            <w:shd w:val="clear" w:color="auto" w:fill="auto"/>
            <w:noWrap/>
            <w:vAlign w:val="bottom"/>
            <w:hideMark/>
          </w:tcPr>
          <w:p w14:paraId="15FAAC4D"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0,6921</w:t>
            </w:r>
          </w:p>
        </w:tc>
        <w:tc>
          <w:tcPr>
            <w:tcW w:w="1192" w:type="dxa"/>
            <w:tcBorders>
              <w:top w:val="nil"/>
              <w:left w:val="nil"/>
              <w:bottom w:val="single" w:sz="4" w:space="0" w:color="auto"/>
              <w:right w:val="single" w:sz="4" w:space="0" w:color="auto"/>
            </w:tcBorders>
            <w:shd w:val="clear" w:color="auto" w:fill="auto"/>
            <w:noWrap/>
            <w:vAlign w:val="bottom"/>
            <w:hideMark/>
          </w:tcPr>
          <w:p w14:paraId="366A988C" w14:textId="20633A32" w:rsidR="008A4365" w:rsidRPr="005F0949" w:rsidRDefault="008A4365" w:rsidP="00A553C2">
            <w:pPr>
              <w:spacing w:after="0" w:line="240" w:lineRule="auto"/>
              <w:jc w:val="right"/>
              <w:rPr>
                <w:rFonts w:eastAsia="Times New Roman"/>
                <w:color w:val="000000"/>
                <w:lang w:eastAsia="pt-BR"/>
              </w:rPr>
            </w:pPr>
            <w:r w:rsidRPr="005F0949">
              <w:rPr>
                <w:rFonts w:eastAsia="Times New Roman"/>
                <w:color w:val="000000"/>
                <w:lang w:eastAsia="pt-BR"/>
              </w:rPr>
              <w:t>0,6695</w:t>
            </w:r>
            <w:r w:rsidR="00A553C2">
              <w:rPr>
                <w:rFonts w:eastAsia="Times New Roman"/>
                <w:color w:val="000000"/>
                <w:lang w:eastAsia="pt-BR"/>
              </w:rPr>
              <w:t xml:space="preserve">; </w:t>
            </w:r>
            <w:r w:rsidRPr="005F0949">
              <w:rPr>
                <w:rFonts w:eastAsia="Times New Roman"/>
                <w:color w:val="000000"/>
                <w:lang w:eastAsia="pt-BR"/>
              </w:rPr>
              <w:t>0,71</w:t>
            </w:r>
          </w:p>
        </w:tc>
        <w:tc>
          <w:tcPr>
            <w:tcW w:w="617" w:type="dxa"/>
            <w:tcBorders>
              <w:top w:val="nil"/>
              <w:left w:val="nil"/>
              <w:bottom w:val="single" w:sz="4" w:space="0" w:color="auto"/>
              <w:right w:val="single" w:sz="4" w:space="0" w:color="auto"/>
            </w:tcBorders>
            <w:shd w:val="clear" w:color="auto" w:fill="auto"/>
            <w:noWrap/>
            <w:vAlign w:val="bottom"/>
            <w:hideMark/>
          </w:tcPr>
          <w:p w14:paraId="326B13BE"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unif</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50E1348B"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0,0318</w:t>
            </w:r>
          </w:p>
        </w:tc>
      </w:tr>
      <w:tr w:rsidR="003F7681" w:rsidRPr="005F0949" w14:paraId="01F9823C"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5BEC629" w14:textId="32AF1B8F" w:rsidR="008A4365" w:rsidRPr="005F0949" w:rsidRDefault="00944CDE" w:rsidP="005F0949">
            <w:pPr>
              <w:spacing w:after="0" w:line="240" w:lineRule="auto"/>
              <w:rPr>
                <w:rFonts w:eastAsia="Times New Roman"/>
                <w:color w:val="000000"/>
                <w:lang w:eastAsia="pt-BR"/>
              </w:rPr>
            </w:pPr>
            <w:r>
              <w:rPr>
                <w:rFonts w:eastAsia="Times New Roman"/>
                <w:color w:val="000000"/>
                <w:lang w:eastAsia="pt-BR"/>
              </w:rPr>
              <w:t>Elasticidade de substituição entre bens intermediários</w:t>
            </w:r>
          </w:p>
        </w:tc>
        <w:tc>
          <w:tcPr>
            <w:tcW w:w="850" w:type="dxa"/>
            <w:tcBorders>
              <w:top w:val="nil"/>
              <w:left w:val="nil"/>
              <w:bottom w:val="single" w:sz="4" w:space="0" w:color="auto"/>
              <w:right w:val="single" w:sz="4" w:space="0" w:color="auto"/>
            </w:tcBorders>
            <w:shd w:val="clear" w:color="auto" w:fill="auto"/>
            <w:noWrap/>
            <w:vAlign w:val="bottom"/>
            <w:hideMark/>
          </w:tcPr>
          <w:p w14:paraId="02C4C686"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10</w:t>
            </w:r>
          </w:p>
        </w:tc>
        <w:tc>
          <w:tcPr>
            <w:tcW w:w="1017" w:type="dxa"/>
            <w:tcBorders>
              <w:top w:val="nil"/>
              <w:left w:val="nil"/>
              <w:bottom w:val="single" w:sz="4" w:space="0" w:color="auto"/>
              <w:right w:val="single" w:sz="4" w:space="0" w:color="auto"/>
            </w:tcBorders>
            <w:shd w:val="clear" w:color="auto" w:fill="auto"/>
            <w:noWrap/>
            <w:vAlign w:val="bottom"/>
            <w:hideMark/>
          </w:tcPr>
          <w:p w14:paraId="5200BBED"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15,472</w:t>
            </w:r>
          </w:p>
        </w:tc>
        <w:tc>
          <w:tcPr>
            <w:tcW w:w="1192" w:type="dxa"/>
            <w:tcBorders>
              <w:top w:val="nil"/>
              <w:left w:val="nil"/>
              <w:bottom w:val="single" w:sz="4" w:space="0" w:color="auto"/>
              <w:right w:val="single" w:sz="4" w:space="0" w:color="auto"/>
            </w:tcBorders>
            <w:shd w:val="clear" w:color="auto" w:fill="auto"/>
            <w:noWrap/>
            <w:vAlign w:val="bottom"/>
            <w:hideMark/>
          </w:tcPr>
          <w:p w14:paraId="19E50ADE" w14:textId="611D6C64" w:rsidR="008A4365" w:rsidRPr="005F0949" w:rsidRDefault="008A4365" w:rsidP="00A553C2">
            <w:pPr>
              <w:spacing w:after="0" w:line="240" w:lineRule="auto"/>
              <w:jc w:val="right"/>
              <w:rPr>
                <w:rFonts w:eastAsia="Times New Roman"/>
                <w:color w:val="000000"/>
                <w:lang w:eastAsia="pt-BR"/>
              </w:rPr>
            </w:pPr>
            <w:r w:rsidRPr="005F0949">
              <w:rPr>
                <w:rFonts w:eastAsia="Times New Roman"/>
                <w:color w:val="000000"/>
                <w:lang w:eastAsia="pt-BR"/>
              </w:rPr>
              <w:t>13,717</w:t>
            </w:r>
            <w:r w:rsidR="00A553C2">
              <w:rPr>
                <w:rFonts w:eastAsia="Times New Roman"/>
                <w:color w:val="000000"/>
                <w:lang w:eastAsia="pt-BR"/>
              </w:rPr>
              <w:t xml:space="preserve">; </w:t>
            </w:r>
            <w:r w:rsidRPr="005F0949">
              <w:rPr>
                <w:rFonts w:eastAsia="Times New Roman"/>
                <w:color w:val="000000"/>
                <w:lang w:eastAsia="pt-BR"/>
              </w:rPr>
              <w:t>17,3154</w:t>
            </w:r>
          </w:p>
        </w:tc>
        <w:tc>
          <w:tcPr>
            <w:tcW w:w="617" w:type="dxa"/>
            <w:tcBorders>
              <w:top w:val="nil"/>
              <w:left w:val="nil"/>
              <w:bottom w:val="single" w:sz="4" w:space="0" w:color="auto"/>
              <w:right w:val="single" w:sz="4" w:space="0" w:color="auto"/>
            </w:tcBorders>
            <w:shd w:val="clear" w:color="auto" w:fill="auto"/>
            <w:noWrap/>
            <w:vAlign w:val="bottom"/>
            <w:hideMark/>
          </w:tcPr>
          <w:p w14:paraId="02DEA24C"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gamma</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3204ECB4"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5</w:t>
            </w:r>
          </w:p>
        </w:tc>
      </w:tr>
      <w:tr w:rsidR="003F7681" w:rsidRPr="005F0949" w14:paraId="6D2E5BC3"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C05F98C" w14:textId="5E97A4BE" w:rsidR="008A4365" w:rsidRPr="005F0949" w:rsidRDefault="00944CDE" w:rsidP="005F0949">
            <w:pPr>
              <w:spacing w:after="0" w:line="240" w:lineRule="auto"/>
              <w:rPr>
                <w:rFonts w:eastAsia="Times New Roman"/>
                <w:color w:val="000000"/>
                <w:lang w:eastAsia="pt-BR"/>
              </w:rPr>
            </w:pPr>
            <w:r>
              <w:rPr>
                <w:rFonts w:eastAsia="Times New Roman"/>
                <w:color w:val="000000"/>
                <w:lang w:eastAsia="pt-BR"/>
              </w:rPr>
              <w:t xml:space="preserve">Formação de </w:t>
            </w:r>
            <w:r w:rsidR="00157907">
              <w:rPr>
                <w:rFonts w:eastAsia="Times New Roman"/>
                <w:color w:val="000000"/>
                <w:lang w:eastAsia="pt-BR"/>
              </w:rPr>
              <w:t>hábito de consumo</w:t>
            </w:r>
          </w:p>
        </w:tc>
        <w:tc>
          <w:tcPr>
            <w:tcW w:w="850" w:type="dxa"/>
            <w:tcBorders>
              <w:top w:val="nil"/>
              <w:left w:val="nil"/>
              <w:bottom w:val="single" w:sz="4" w:space="0" w:color="auto"/>
              <w:right w:val="single" w:sz="4" w:space="0" w:color="auto"/>
            </w:tcBorders>
            <w:shd w:val="clear" w:color="auto" w:fill="auto"/>
            <w:noWrap/>
            <w:vAlign w:val="bottom"/>
            <w:hideMark/>
          </w:tcPr>
          <w:p w14:paraId="6C434577"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0,8</w:t>
            </w:r>
          </w:p>
        </w:tc>
        <w:tc>
          <w:tcPr>
            <w:tcW w:w="1017" w:type="dxa"/>
            <w:tcBorders>
              <w:top w:val="nil"/>
              <w:left w:val="nil"/>
              <w:bottom w:val="single" w:sz="4" w:space="0" w:color="auto"/>
              <w:right w:val="single" w:sz="4" w:space="0" w:color="auto"/>
            </w:tcBorders>
            <w:shd w:val="clear" w:color="auto" w:fill="auto"/>
            <w:noWrap/>
            <w:vAlign w:val="bottom"/>
            <w:hideMark/>
          </w:tcPr>
          <w:p w14:paraId="6BCCD7F8"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0,8092</w:t>
            </w:r>
          </w:p>
        </w:tc>
        <w:tc>
          <w:tcPr>
            <w:tcW w:w="1192" w:type="dxa"/>
            <w:tcBorders>
              <w:top w:val="nil"/>
              <w:left w:val="nil"/>
              <w:bottom w:val="single" w:sz="4" w:space="0" w:color="auto"/>
              <w:right w:val="single" w:sz="4" w:space="0" w:color="auto"/>
            </w:tcBorders>
            <w:shd w:val="clear" w:color="auto" w:fill="auto"/>
            <w:noWrap/>
            <w:vAlign w:val="bottom"/>
            <w:hideMark/>
          </w:tcPr>
          <w:p w14:paraId="349657F2" w14:textId="2F33595B" w:rsidR="008A4365" w:rsidRPr="005F0949" w:rsidRDefault="008A4365" w:rsidP="00784E0C">
            <w:pPr>
              <w:spacing w:after="0" w:line="240" w:lineRule="auto"/>
              <w:jc w:val="right"/>
              <w:rPr>
                <w:rFonts w:eastAsia="Times New Roman"/>
                <w:color w:val="000000"/>
                <w:lang w:eastAsia="pt-BR"/>
              </w:rPr>
            </w:pPr>
            <w:r w:rsidRPr="005F0949">
              <w:rPr>
                <w:rFonts w:eastAsia="Times New Roman"/>
                <w:color w:val="000000"/>
                <w:lang w:eastAsia="pt-BR"/>
              </w:rPr>
              <w:t>0,8018</w:t>
            </w:r>
            <w:r w:rsidR="00784E0C">
              <w:rPr>
                <w:rFonts w:eastAsia="Times New Roman"/>
                <w:color w:val="000000"/>
                <w:lang w:eastAsia="pt-BR"/>
              </w:rPr>
              <w:t xml:space="preserve">; </w:t>
            </w:r>
            <w:r w:rsidRPr="005F0949">
              <w:rPr>
                <w:rFonts w:eastAsia="Times New Roman"/>
                <w:color w:val="000000"/>
                <w:lang w:eastAsia="pt-BR"/>
              </w:rPr>
              <w:t>0,8178</w:t>
            </w:r>
          </w:p>
        </w:tc>
        <w:tc>
          <w:tcPr>
            <w:tcW w:w="617" w:type="dxa"/>
            <w:tcBorders>
              <w:top w:val="nil"/>
              <w:left w:val="nil"/>
              <w:bottom w:val="single" w:sz="4" w:space="0" w:color="auto"/>
              <w:right w:val="single" w:sz="4" w:space="0" w:color="auto"/>
            </w:tcBorders>
            <w:shd w:val="clear" w:color="auto" w:fill="auto"/>
            <w:noWrap/>
            <w:vAlign w:val="bottom"/>
            <w:hideMark/>
          </w:tcPr>
          <w:p w14:paraId="06B8B04A"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764FC465"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0,01</w:t>
            </w:r>
          </w:p>
        </w:tc>
      </w:tr>
      <w:tr w:rsidR="003F7681" w:rsidRPr="005F0949" w14:paraId="4CC8BB75"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6833875" w14:textId="5724DDC9" w:rsidR="008A4365" w:rsidRPr="005F0949" w:rsidRDefault="006D097F" w:rsidP="005F0949">
            <w:pPr>
              <w:spacing w:after="0" w:line="240" w:lineRule="auto"/>
              <w:rPr>
                <w:rFonts w:eastAsia="Times New Roman"/>
                <w:color w:val="000000"/>
                <w:lang w:eastAsia="pt-BR"/>
              </w:rPr>
            </w:pPr>
            <w:r>
              <w:rPr>
                <w:rFonts w:eastAsia="Times New Roman"/>
                <w:color w:val="000000"/>
                <w:lang w:eastAsia="pt-BR"/>
              </w:rPr>
              <w:t>Sensibilidade de segunda ordem da utilização da capacidade instalada</w:t>
            </w:r>
          </w:p>
        </w:tc>
        <w:tc>
          <w:tcPr>
            <w:tcW w:w="850" w:type="dxa"/>
            <w:tcBorders>
              <w:top w:val="nil"/>
              <w:left w:val="nil"/>
              <w:bottom w:val="single" w:sz="4" w:space="0" w:color="auto"/>
              <w:right w:val="single" w:sz="4" w:space="0" w:color="auto"/>
            </w:tcBorders>
            <w:shd w:val="clear" w:color="auto" w:fill="auto"/>
            <w:noWrap/>
            <w:vAlign w:val="bottom"/>
            <w:hideMark/>
          </w:tcPr>
          <w:p w14:paraId="1319BAA5"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4</w:t>
            </w:r>
          </w:p>
        </w:tc>
        <w:tc>
          <w:tcPr>
            <w:tcW w:w="1017" w:type="dxa"/>
            <w:tcBorders>
              <w:top w:val="nil"/>
              <w:left w:val="nil"/>
              <w:bottom w:val="single" w:sz="4" w:space="0" w:color="auto"/>
              <w:right w:val="single" w:sz="4" w:space="0" w:color="auto"/>
            </w:tcBorders>
            <w:shd w:val="clear" w:color="auto" w:fill="auto"/>
            <w:noWrap/>
            <w:vAlign w:val="bottom"/>
            <w:hideMark/>
          </w:tcPr>
          <w:p w14:paraId="5D1A131F"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4,6162</w:t>
            </w:r>
          </w:p>
        </w:tc>
        <w:tc>
          <w:tcPr>
            <w:tcW w:w="1192" w:type="dxa"/>
            <w:tcBorders>
              <w:top w:val="nil"/>
              <w:left w:val="nil"/>
              <w:bottom w:val="single" w:sz="4" w:space="0" w:color="auto"/>
              <w:right w:val="single" w:sz="4" w:space="0" w:color="auto"/>
            </w:tcBorders>
            <w:shd w:val="clear" w:color="auto" w:fill="auto"/>
            <w:noWrap/>
            <w:vAlign w:val="bottom"/>
            <w:hideMark/>
          </w:tcPr>
          <w:p w14:paraId="12FBE022" w14:textId="19ADAE09" w:rsidR="008A4365" w:rsidRPr="005F0949" w:rsidRDefault="008A4365" w:rsidP="00784E0C">
            <w:pPr>
              <w:spacing w:after="0" w:line="240" w:lineRule="auto"/>
              <w:jc w:val="right"/>
              <w:rPr>
                <w:rFonts w:eastAsia="Times New Roman"/>
                <w:color w:val="000000"/>
                <w:lang w:eastAsia="pt-BR"/>
              </w:rPr>
            </w:pPr>
            <w:r w:rsidRPr="005F0949">
              <w:rPr>
                <w:rFonts w:eastAsia="Times New Roman"/>
                <w:color w:val="000000"/>
                <w:lang w:eastAsia="pt-BR"/>
              </w:rPr>
              <w:t>3,7438</w:t>
            </w:r>
            <w:r w:rsidR="00784E0C">
              <w:rPr>
                <w:rFonts w:eastAsia="Times New Roman"/>
                <w:color w:val="000000"/>
                <w:lang w:eastAsia="pt-BR"/>
              </w:rPr>
              <w:t xml:space="preserve">; </w:t>
            </w:r>
            <w:r w:rsidRPr="005F0949">
              <w:rPr>
                <w:rFonts w:eastAsia="Times New Roman"/>
                <w:color w:val="000000"/>
                <w:lang w:eastAsia="pt-BR"/>
              </w:rPr>
              <w:t>5,3669</w:t>
            </w:r>
          </w:p>
        </w:tc>
        <w:tc>
          <w:tcPr>
            <w:tcW w:w="617" w:type="dxa"/>
            <w:tcBorders>
              <w:top w:val="nil"/>
              <w:left w:val="nil"/>
              <w:bottom w:val="single" w:sz="4" w:space="0" w:color="auto"/>
              <w:right w:val="single" w:sz="4" w:space="0" w:color="auto"/>
            </w:tcBorders>
            <w:shd w:val="clear" w:color="auto" w:fill="auto"/>
            <w:noWrap/>
            <w:vAlign w:val="bottom"/>
            <w:hideMark/>
          </w:tcPr>
          <w:p w14:paraId="63D23604"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gamma</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126F241A"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1</w:t>
            </w:r>
          </w:p>
        </w:tc>
      </w:tr>
      <w:tr w:rsidR="003F7681" w:rsidRPr="005F0949" w14:paraId="3FDA785D"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BCC5251" w14:textId="33B3DC2B" w:rsidR="008A4365" w:rsidRPr="005F0949" w:rsidRDefault="00D56169" w:rsidP="005F0949">
            <w:pPr>
              <w:spacing w:after="0" w:line="240" w:lineRule="auto"/>
              <w:rPr>
                <w:rFonts w:eastAsia="Times New Roman"/>
                <w:color w:val="000000"/>
                <w:lang w:eastAsia="pt-BR"/>
              </w:rPr>
            </w:pPr>
            <w:r>
              <w:rPr>
                <w:rFonts w:eastAsia="Times New Roman"/>
                <w:color w:val="000000"/>
                <w:lang w:eastAsia="pt-BR"/>
              </w:rPr>
              <w:t>Custo de ajustamento do investimento</w:t>
            </w:r>
          </w:p>
        </w:tc>
        <w:tc>
          <w:tcPr>
            <w:tcW w:w="850" w:type="dxa"/>
            <w:tcBorders>
              <w:top w:val="nil"/>
              <w:left w:val="nil"/>
              <w:bottom w:val="single" w:sz="4" w:space="0" w:color="auto"/>
              <w:right w:val="single" w:sz="4" w:space="0" w:color="auto"/>
            </w:tcBorders>
            <w:shd w:val="clear" w:color="auto" w:fill="auto"/>
            <w:noWrap/>
            <w:vAlign w:val="bottom"/>
            <w:hideMark/>
          </w:tcPr>
          <w:p w14:paraId="787ECCF5"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4</w:t>
            </w:r>
          </w:p>
        </w:tc>
        <w:tc>
          <w:tcPr>
            <w:tcW w:w="1017" w:type="dxa"/>
            <w:tcBorders>
              <w:top w:val="nil"/>
              <w:left w:val="nil"/>
              <w:bottom w:val="single" w:sz="4" w:space="0" w:color="auto"/>
              <w:right w:val="single" w:sz="4" w:space="0" w:color="auto"/>
            </w:tcBorders>
            <w:shd w:val="clear" w:color="auto" w:fill="auto"/>
            <w:noWrap/>
            <w:vAlign w:val="bottom"/>
            <w:hideMark/>
          </w:tcPr>
          <w:p w14:paraId="3389C38C"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2,3578</w:t>
            </w:r>
          </w:p>
        </w:tc>
        <w:tc>
          <w:tcPr>
            <w:tcW w:w="1192" w:type="dxa"/>
            <w:tcBorders>
              <w:top w:val="nil"/>
              <w:left w:val="nil"/>
              <w:bottom w:val="single" w:sz="4" w:space="0" w:color="auto"/>
              <w:right w:val="single" w:sz="4" w:space="0" w:color="auto"/>
            </w:tcBorders>
            <w:shd w:val="clear" w:color="auto" w:fill="auto"/>
            <w:noWrap/>
            <w:vAlign w:val="bottom"/>
            <w:hideMark/>
          </w:tcPr>
          <w:p w14:paraId="240DCF15" w14:textId="18FB40EC" w:rsidR="008A4365" w:rsidRPr="005F0949" w:rsidRDefault="008A4365" w:rsidP="00784E0C">
            <w:pPr>
              <w:spacing w:after="0" w:line="240" w:lineRule="auto"/>
              <w:jc w:val="right"/>
              <w:rPr>
                <w:rFonts w:eastAsia="Times New Roman"/>
                <w:color w:val="000000"/>
                <w:lang w:eastAsia="pt-BR"/>
              </w:rPr>
            </w:pPr>
            <w:r w:rsidRPr="005F0949">
              <w:rPr>
                <w:rFonts w:eastAsia="Times New Roman"/>
                <w:color w:val="000000"/>
                <w:lang w:eastAsia="pt-BR"/>
              </w:rPr>
              <w:t>1,6474</w:t>
            </w:r>
            <w:r w:rsidR="00784E0C">
              <w:rPr>
                <w:rFonts w:eastAsia="Times New Roman"/>
                <w:color w:val="000000"/>
                <w:lang w:eastAsia="pt-BR"/>
              </w:rPr>
              <w:t xml:space="preserve">; </w:t>
            </w:r>
            <w:r w:rsidRPr="005F0949">
              <w:rPr>
                <w:rFonts w:eastAsia="Times New Roman"/>
                <w:color w:val="000000"/>
                <w:lang w:eastAsia="pt-BR"/>
              </w:rPr>
              <w:t>3,126</w:t>
            </w:r>
          </w:p>
        </w:tc>
        <w:tc>
          <w:tcPr>
            <w:tcW w:w="617" w:type="dxa"/>
            <w:tcBorders>
              <w:top w:val="nil"/>
              <w:left w:val="nil"/>
              <w:bottom w:val="single" w:sz="4" w:space="0" w:color="auto"/>
              <w:right w:val="single" w:sz="4" w:space="0" w:color="auto"/>
            </w:tcBorders>
            <w:shd w:val="clear" w:color="auto" w:fill="auto"/>
            <w:noWrap/>
            <w:vAlign w:val="bottom"/>
            <w:hideMark/>
          </w:tcPr>
          <w:p w14:paraId="40CE1D0A"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gamma</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3E3CDC41"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1</w:t>
            </w:r>
          </w:p>
        </w:tc>
      </w:tr>
      <w:tr w:rsidR="003F7681" w:rsidRPr="005F0949" w14:paraId="1F00764D"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B485DF4" w14:textId="58AAA56B" w:rsidR="008A4365" w:rsidRPr="005F0949" w:rsidRDefault="00D56169" w:rsidP="005F0949">
            <w:pPr>
              <w:spacing w:after="0" w:line="240" w:lineRule="auto"/>
              <w:rPr>
                <w:rFonts w:eastAsia="Times New Roman"/>
                <w:color w:val="000000"/>
                <w:lang w:eastAsia="pt-BR"/>
              </w:rPr>
            </w:pPr>
            <w:r>
              <w:rPr>
                <w:rFonts w:eastAsia="Times New Roman"/>
                <w:color w:val="000000"/>
                <w:lang w:eastAsia="pt-BR"/>
              </w:rPr>
              <w:t>Estado estacionário da alíquota sobre o imposto sobre o consumo</w:t>
            </w:r>
          </w:p>
        </w:tc>
        <w:tc>
          <w:tcPr>
            <w:tcW w:w="850" w:type="dxa"/>
            <w:tcBorders>
              <w:top w:val="nil"/>
              <w:left w:val="nil"/>
              <w:bottom w:val="single" w:sz="4" w:space="0" w:color="auto"/>
              <w:right w:val="single" w:sz="4" w:space="0" w:color="auto"/>
            </w:tcBorders>
            <w:shd w:val="clear" w:color="auto" w:fill="auto"/>
            <w:noWrap/>
            <w:vAlign w:val="bottom"/>
            <w:hideMark/>
          </w:tcPr>
          <w:p w14:paraId="62492F22"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0,16</w:t>
            </w:r>
          </w:p>
        </w:tc>
        <w:tc>
          <w:tcPr>
            <w:tcW w:w="1017" w:type="dxa"/>
            <w:tcBorders>
              <w:top w:val="nil"/>
              <w:left w:val="nil"/>
              <w:bottom w:val="single" w:sz="4" w:space="0" w:color="auto"/>
              <w:right w:val="single" w:sz="4" w:space="0" w:color="auto"/>
            </w:tcBorders>
            <w:shd w:val="clear" w:color="auto" w:fill="auto"/>
            <w:noWrap/>
            <w:vAlign w:val="bottom"/>
            <w:hideMark/>
          </w:tcPr>
          <w:p w14:paraId="2CA20EDC"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0,1794</w:t>
            </w:r>
          </w:p>
        </w:tc>
        <w:tc>
          <w:tcPr>
            <w:tcW w:w="1192" w:type="dxa"/>
            <w:tcBorders>
              <w:top w:val="nil"/>
              <w:left w:val="nil"/>
              <w:bottom w:val="single" w:sz="4" w:space="0" w:color="auto"/>
              <w:right w:val="single" w:sz="4" w:space="0" w:color="auto"/>
            </w:tcBorders>
            <w:shd w:val="clear" w:color="auto" w:fill="auto"/>
            <w:noWrap/>
            <w:vAlign w:val="bottom"/>
            <w:hideMark/>
          </w:tcPr>
          <w:p w14:paraId="64EA293D" w14:textId="4EE151E6" w:rsidR="008A4365" w:rsidRPr="005F0949" w:rsidRDefault="008A4365" w:rsidP="00784E0C">
            <w:pPr>
              <w:spacing w:after="0" w:line="240" w:lineRule="auto"/>
              <w:jc w:val="right"/>
              <w:rPr>
                <w:rFonts w:eastAsia="Times New Roman"/>
                <w:color w:val="000000"/>
                <w:lang w:eastAsia="pt-BR"/>
              </w:rPr>
            </w:pPr>
            <w:r w:rsidRPr="005F0949">
              <w:rPr>
                <w:rFonts w:eastAsia="Times New Roman"/>
                <w:color w:val="000000"/>
                <w:lang w:eastAsia="pt-BR"/>
              </w:rPr>
              <w:t>0,1727</w:t>
            </w:r>
            <w:r w:rsidR="00784E0C">
              <w:rPr>
                <w:rFonts w:eastAsia="Times New Roman"/>
                <w:color w:val="000000"/>
                <w:lang w:eastAsia="pt-BR"/>
              </w:rPr>
              <w:t xml:space="preserve">; </w:t>
            </w:r>
            <w:r w:rsidRPr="005F0949">
              <w:rPr>
                <w:rFonts w:eastAsia="Times New Roman"/>
                <w:color w:val="000000"/>
                <w:lang w:eastAsia="pt-BR"/>
              </w:rPr>
              <w:t>0,1873</w:t>
            </w:r>
          </w:p>
        </w:tc>
        <w:tc>
          <w:tcPr>
            <w:tcW w:w="617" w:type="dxa"/>
            <w:tcBorders>
              <w:top w:val="nil"/>
              <w:left w:val="nil"/>
              <w:bottom w:val="single" w:sz="4" w:space="0" w:color="auto"/>
              <w:right w:val="single" w:sz="4" w:space="0" w:color="auto"/>
            </w:tcBorders>
            <w:shd w:val="clear" w:color="auto" w:fill="auto"/>
            <w:noWrap/>
            <w:vAlign w:val="bottom"/>
            <w:hideMark/>
          </w:tcPr>
          <w:p w14:paraId="063D07B8"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6E5DC94D"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0,01</w:t>
            </w:r>
          </w:p>
        </w:tc>
      </w:tr>
      <w:tr w:rsidR="003F7681" w:rsidRPr="005F0949" w14:paraId="6339F595"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FC72E07" w14:textId="3D97BEE6" w:rsidR="008A4365" w:rsidRPr="005F0949" w:rsidRDefault="00D56169" w:rsidP="005F0949">
            <w:pPr>
              <w:spacing w:after="0" w:line="240" w:lineRule="auto"/>
              <w:rPr>
                <w:rFonts w:eastAsia="Times New Roman"/>
                <w:color w:val="000000"/>
                <w:lang w:eastAsia="pt-BR"/>
              </w:rPr>
            </w:pPr>
            <w:r>
              <w:rPr>
                <w:rFonts w:eastAsia="Times New Roman"/>
                <w:color w:val="000000"/>
                <w:lang w:eastAsia="pt-BR"/>
              </w:rPr>
              <w:t>Estado estacionário da alíquota sobre o imposto sobre a renda do trabalho</w:t>
            </w:r>
          </w:p>
        </w:tc>
        <w:tc>
          <w:tcPr>
            <w:tcW w:w="850" w:type="dxa"/>
            <w:tcBorders>
              <w:top w:val="nil"/>
              <w:left w:val="nil"/>
              <w:bottom w:val="single" w:sz="4" w:space="0" w:color="auto"/>
              <w:right w:val="single" w:sz="4" w:space="0" w:color="auto"/>
            </w:tcBorders>
            <w:shd w:val="clear" w:color="auto" w:fill="auto"/>
            <w:noWrap/>
            <w:vAlign w:val="bottom"/>
            <w:hideMark/>
          </w:tcPr>
          <w:p w14:paraId="473DBC60"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0,17</w:t>
            </w:r>
          </w:p>
        </w:tc>
        <w:tc>
          <w:tcPr>
            <w:tcW w:w="1017" w:type="dxa"/>
            <w:tcBorders>
              <w:top w:val="nil"/>
              <w:left w:val="nil"/>
              <w:bottom w:val="single" w:sz="4" w:space="0" w:color="auto"/>
              <w:right w:val="single" w:sz="4" w:space="0" w:color="auto"/>
            </w:tcBorders>
            <w:shd w:val="clear" w:color="auto" w:fill="auto"/>
            <w:noWrap/>
            <w:vAlign w:val="bottom"/>
            <w:hideMark/>
          </w:tcPr>
          <w:p w14:paraId="26709634"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0,1666</w:t>
            </w:r>
          </w:p>
        </w:tc>
        <w:tc>
          <w:tcPr>
            <w:tcW w:w="1192" w:type="dxa"/>
            <w:tcBorders>
              <w:top w:val="nil"/>
              <w:left w:val="nil"/>
              <w:bottom w:val="single" w:sz="4" w:space="0" w:color="auto"/>
              <w:right w:val="single" w:sz="4" w:space="0" w:color="auto"/>
            </w:tcBorders>
            <w:shd w:val="clear" w:color="auto" w:fill="auto"/>
            <w:noWrap/>
            <w:vAlign w:val="bottom"/>
            <w:hideMark/>
          </w:tcPr>
          <w:p w14:paraId="362A73E1" w14:textId="5CCF25D3" w:rsidR="008A4365" w:rsidRPr="005F0949" w:rsidRDefault="008A4365" w:rsidP="00784E0C">
            <w:pPr>
              <w:spacing w:after="0" w:line="240" w:lineRule="auto"/>
              <w:jc w:val="right"/>
              <w:rPr>
                <w:rFonts w:eastAsia="Times New Roman"/>
                <w:color w:val="000000"/>
                <w:lang w:eastAsia="pt-BR"/>
              </w:rPr>
            </w:pPr>
            <w:r w:rsidRPr="005F0949">
              <w:rPr>
                <w:rFonts w:eastAsia="Times New Roman"/>
                <w:color w:val="000000"/>
                <w:lang w:eastAsia="pt-BR"/>
              </w:rPr>
              <w:t>0,159</w:t>
            </w:r>
            <w:r w:rsidR="00784E0C">
              <w:rPr>
                <w:rFonts w:eastAsia="Times New Roman"/>
                <w:color w:val="000000"/>
                <w:lang w:eastAsia="pt-BR"/>
              </w:rPr>
              <w:t xml:space="preserve">; </w:t>
            </w:r>
            <w:r w:rsidRPr="005F0949">
              <w:rPr>
                <w:rFonts w:eastAsia="Times New Roman"/>
                <w:color w:val="000000"/>
                <w:lang w:eastAsia="pt-BR"/>
              </w:rPr>
              <w:t>0,1742</w:t>
            </w:r>
          </w:p>
        </w:tc>
        <w:tc>
          <w:tcPr>
            <w:tcW w:w="617" w:type="dxa"/>
            <w:tcBorders>
              <w:top w:val="nil"/>
              <w:left w:val="nil"/>
              <w:bottom w:val="single" w:sz="4" w:space="0" w:color="auto"/>
              <w:right w:val="single" w:sz="4" w:space="0" w:color="auto"/>
            </w:tcBorders>
            <w:shd w:val="clear" w:color="auto" w:fill="auto"/>
            <w:noWrap/>
            <w:vAlign w:val="bottom"/>
            <w:hideMark/>
          </w:tcPr>
          <w:p w14:paraId="15AC43AD"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0CACFB86"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0,01</w:t>
            </w:r>
          </w:p>
        </w:tc>
      </w:tr>
      <w:tr w:rsidR="003F7681" w:rsidRPr="005F0949" w14:paraId="03522937"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18F2DEB" w14:textId="4A6F021D" w:rsidR="008A4365" w:rsidRPr="005F0949" w:rsidRDefault="00D56169" w:rsidP="005F0949">
            <w:pPr>
              <w:spacing w:after="0" w:line="240" w:lineRule="auto"/>
              <w:rPr>
                <w:rFonts w:eastAsia="Times New Roman"/>
                <w:color w:val="000000"/>
                <w:lang w:eastAsia="pt-BR"/>
              </w:rPr>
            </w:pPr>
            <w:r>
              <w:rPr>
                <w:rFonts w:eastAsia="Times New Roman"/>
                <w:color w:val="000000"/>
                <w:lang w:eastAsia="pt-BR"/>
              </w:rPr>
              <w:t>Estado estacionário da alíquota sobre o imposto sobre a renda do capital</w:t>
            </w:r>
          </w:p>
        </w:tc>
        <w:tc>
          <w:tcPr>
            <w:tcW w:w="850" w:type="dxa"/>
            <w:tcBorders>
              <w:top w:val="nil"/>
              <w:left w:val="nil"/>
              <w:bottom w:val="single" w:sz="4" w:space="0" w:color="auto"/>
              <w:right w:val="single" w:sz="4" w:space="0" w:color="auto"/>
            </w:tcBorders>
            <w:shd w:val="clear" w:color="auto" w:fill="auto"/>
            <w:noWrap/>
            <w:vAlign w:val="bottom"/>
            <w:hideMark/>
          </w:tcPr>
          <w:p w14:paraId="2CE17394"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0,08</w:t>
            </w:r>
          </w:p>
        </w:tc>
        <w:tc>
          <w:tcPr>
            <w:tcW w:w="1017" w:type="dxa"/>
            <w:tcBorders>
              <w:top w:val="nil"/>
              <w:left w:val="nil"/>
              <w:bottom w:val="single" w:sz="4" w:space="0" w:color="auto"/>
              <w:right w:val="single" w:sz="4" w:space="0" w:color="auto"/>
            </w:tcBorders>
            <w:shd w:val="clear" w:color="auto" w:fill="auto"/>
            <w:noWrap/>
            <w:vAlign w:val="bottom"/>
            <w:hideMark/>
          </w:tcPr>
          <w:p w14:paraId="601BBB1F"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0,0752</w:t>
            </w:r>
          </w:p>
        </w:tc>
        <w:tc>
          <w:tcPr>
            <w:tcW w:w="1192" w:type="dxa"/>
            <w:tcBorders>
              <w:top w:val="nil"/>
              <w:left w:val="nil"/>
              <w:bottom w:val="single" w:sz="4" w:space="0" w:color="auto"/>
              <w:right w:val="single" w:sz="4" w:space="0" w:color="auto"/>
            </w:tcBorders>
            <w:shd w:val="clear" w:color="auto" w:fill="auto"/>
            <w:noWrap/>
            <w:vAlign w:val="bottom"/>
            <w:hideMark/>
          </w:tcPr>
          <w:p w14:paraId="0053A801" w14:textId="2C782374" w:rsidR="008A4365" w:rsidRPr="005F0949" w:rsidRDefault="008A4365" w:rsidP="00784E0C">
            <w:pPr>
              <w:spacing w:after="0" w:line="240" w:lineRule="auto"/>
              <w:jc w:val="right"/>
              <w:rPr>
                <w:rFonts w:eastAsia="Times New Roman"/>
                <w:color w:val="000000"/>
                <w:lang w:eastAsia="pt-BR"/>
              </w:rPr>
            </w:pPr>
            <w:r w:rsidRPr="005F0949">
              <w:rPr>
                <w:rFonts w:eastAsia="Times New Roman"/>
                <w:color w:val="000000"/>
                <w:lang w:eastAsia="pt-BR"/>
              </w:rPr>
              <w:t>0,0687</w:t>
            </w:r>
            <w:r w:rsidR="00784E0C">
              <w:rPr>
                <w:rFonts w:eastAsia="Times New Roman"/>
                <w:color w:val="000000"/>
                <w:lang w:eastAsia="pt-BR"/>
              </w:rPr>
              <w:t xml:space="preserve">; </w:t>
            </w:r>
            <w:r w:rsidRPr="005F0949">
              <w:rPr>
                <w:rFonts w:eastAsia="Times New Roman"/>
                <w:color w:val="000000"/>
                <w:lang w:eastAsia="pt-BR"/>
              </w:rPr>
              <w:t>0,0811</w:t>
            </w:r>
          </w:p>
        </w:tc>
        <w:tc>
          <w:tcPr>
            <w:tcW w:w="617" w:type="dxa"/>
            <w:tcBorders>
              <w:top w:val="nil"/>
              <w:left w:val="nil"/>
              <w:bottom w:val="single" w:sz="4" w:space="0" w:color="auto"/>
              <w:right w:val="single" w:sz="4" w:space="0" w:color="auto"/>
            </w:tcBorders>
            <w:shd w:val="clear" w:color="auto" w:fill="auto"/>
            <w:noWrap/>
            <w:vAlign w:val="bottom"/>
            <w:hideMark/>
          </w:tcPr>
          <w:p w14:paraId="2460E7E9"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34AD9C4E"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0,01</w:t>
            </w:r>
          </w:p>
        </w:tc>
      </w:tr>
      <w:tr w:rsidR="003F7681" w:rsidRPr="005F0949" w14:paraId="2130336B"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203E466" w14:textId="2B2D562D" w:rsidR="008A4365" w:rsidRPr="005F0949" w:rsidRDefault="008B5162" w:rsidP="005F0949">
            <w:pPr>
              <w:spacing w:after="0" w:line="240" w:lineRule="auto"/>
              <w:rPr>
                <w:rFonts w:eastAsia="Times New Roman"/>
                <w:color w:val="000000"/>
                <w:lang w:eastAsia="pt-BR"/>
              </w:rPr>
            </w:pPr>
            <w:r>
              <w:rPr>
                <w:rFonts w:eastAsia="Times New Roman"/>
                <w:color w:val="000000"/>
                <w:lang w:eastAsia="pt-BR"/>
              </w:rPr>
              <w:t>Suavização de alterações no gasto corrente do governo</w:t>
            </w:r>
          </w:p>
        </w:tc>
        <w:tc>
          <w:tcPr>
            <w:tcW w:w="850" w:type="dxa"/>
            <w:tcBorders>
              <w:top w:val="nil"/>
              <w:left w:val="nil"/>
              <w:bottom w:val="single" w:sz="4" w:space="0" w:color="auto"/>
              <w:right w:val="single" w:sz="4" w:space="0" w:color="auto"/>
            </w:tcBorders>
            <w:shd w:val="clear" w:color="auto" w:fill="auto"/>
            <w:noWrap/>
            <w:vAlign w:val="bottom"/>
            <w:hideMark/>
          </w:tcPr>
          <w:p w14:paraId="6A5DC01F"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29A05667"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0,5613</w:t>
            </w:r>
          </w:p>
        </w:tc>
        <w:tc>
          <w:tcPr>
            <w:tcW w:w="1192" w:type="dxa"/>
            <w:tcBorders>
              <w:top w:val="nil"/>
              <w:left w:val="nil"/>
              <w:bottom w:val="single" w:sz="4" w:space="0" w:color="auto"/>
              <w:right w:val="single" w:sz="4" w:space="0" w:color="auto"/>
            </w:tcBorders>
            <w:shd w:val="clear" w:color="auto" w:fill="auto"/>
            <w:noWrap/>
            <w:vAlign w:val="bottom"/>
            <w:hideMark/>
          </w:tcPr>
          <w:p w14:paraId="5A47FDB0" w14:textId="6110D4A2"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0,4631</w:t>
            </w:r>
            <w:r w:rsidR="00947AC7">
              <w:rPr>
                <w:rFonts w:eastAsia="Times New Roman"/>
                <w:color w:val="000000"/>
                <w:lang w:eastAsia="pt-BR"/>
              </w:rPr>
              <w:t xml:space="preserve">; </w:t>
            </w:r>
            <w:r w:rsidRPr="005F0949">
              <w:rPr>
                <w:rFonts w:eastAsia="Times New Roman"/>
                <w:color w:val="000000"/>
                <w:lang w:eastAsia="pt-BR"/>
              </w:rPr>
              <w:t>0,6766</w:t>
            </w:r>
          </w:p>
        </w:tc>
        <w:tc>
          <w:tcPr>
            <w:tcW w:w="617" w:type="dxa"/>
            <w:tcBorders>
              <w:top w:val="nil"/>
              <w:left w:val="nil"/>
              <w:bottom w:val="single" w:sz="4" w:space="0" w:color="auto"/>
              <w:right w:val="single" w:sz="4" w:space="0" w:color="auto"/>
            </w:tcBorders>
            <w:shd w:val="clear" w:color="auto" w:fill="auto"/>
            <w:noWrap/>
            <w:vAlign w:val="bottom"/>
            <w:hideMark/>
          </w:tcPr>
          <w:p w14:paraId="16DC3D4E"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1A289030"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5165D7E9"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1314944" w14:textId="07C207CC" w:rsidR="008A4365" w:rsidRPr="005F0949" w:rsidRDefault="008B5162" w:rsidP="005F0949">
            <w:pPr>
              <w:spacing w:after="0" w:line="240" w:lineRule="auto"/>
              <w:rPr>
                <w:rFonts w:eastAsia="Times New Roman"/>
                <w:color w:val="000000"/>
                <w:lang w:eastAsia="pt-BR"/>
              </w:rPr>
            </w:pPr>
            <w:r>
              <w:rPr>
                <w:rFonts w:eastAsia="Times New Roman"/>
                <w:color w:val="000000"/>
                <w:lang w:eastAsia="pt-BR"/>
              </w:rPr>
              <w:t xml:space="preserve">Suavização de alterações </w:t>
            </w:r>
            <w:r w:rsidR="001625C5">
              <w:rPr>
                <w:rFonts w:eastAsia="Times New Roman"/>
                <w:color w:val="000000"/>
                <w:lang w:eastAsia="pt-BR"/>
              </w:rPr>
              <w:t>no investimento do governo</w:t>
            </w:r>
          </w:p>
        </w:tc>
        <w:tc>
          <w:tcPr>
            <w:tcW w:w="850" w:type="dxa"/>
            <w:tcBorders>
              <w:top w:val="nil"/>
              <w:left w:val="nil"/>
              <w:bottom w:val="single" w:sz="4" w:space="0" w:color="auto"/>
              <w:right w:val="single" w:sz="4" w:space="0" w:color="auto"/>
            </w:tcBorders>
            <w:shd w:val="clear" w:color="auto" w:fill="auto"/>
            <w:noWrap/>
            <w:vAlign w:val="bottom"/>
            <w:hideMark/>
          </w:tcPr>
          <w:p w14:paraId="6AD494C9"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785CD01D"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0,5795</w:t>
            </w:r>
          </w:p>
        </w:tc>
        <w:tc>
          <w:tcPr>
            <w:tcW w:w="1192" w:type="dxa"/>
            <w:tcBorders>
              <w:top w:val="nil"/>
              <w:left w:val="nil"/>
              <w:bottom w:val="single" w:sz="4" w:space="0" w:color="auto"/>
              <w:right w:val="single" w:sz="4" w:space="0" w:color="auto"/>
            </w:tcBorders>
            <w:shd w:val="clear" w:color="auto" w:fill="auto"/>
            <w:noWrap/>
            <w:vAlign w:val="bottom"/>
            <w:hideMark/>
          </w:tcPr>
          <w:p w14:paraId="36E78F96" w14:textId="2D8E9392"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0,5126</w:t>
            </w:r>
            <w:r w:rsidR="00947AC7">
              <w:rPr>
                <w:rFonts w:eastAsia="Times New Roman"/>
                <w:color w:val="000000"/>
                <w:lang w:eastAsia="pt-BR"/>
              </w:rPr>
              <w:t xml:space="preserve">; </w:t>
            </w:r>
            <w:r w:rsidRPr="005F0949">
              <w:rPr>
                <w:rFonts w:eastAsia="Times New Roman"/>
                <w:color w:val="000000"/>
                <w:lang w:eastAsia="pt-BR"/>
              </w:rPr>
              <w:t>0,6556</w:t>
            </w:r>
          </w:p>
        </w:tc>
        <w:tc>
          <w:tcPr>
            <w:tcW w:w="617" w:type="dxa"/>
            <w:tcBorders>
              <w:top w:val="nil"/>
              <w:left w:val="nil"/>
              <w:bottom w:val="single" w:sz="4" w:space="0" w:color="auto"/>
              <w:right w:val="single" w:sz="4" w:space="0" w:color="auto"/>
            </w:tcBorders>
            <w:shd w:val="clear" w:color="auto" w:fill="auto"/>
            <w:noWrap/>
            <w:vAlign w:val="bottom"/>
            <w:hideMark/>
          </w:tcPr>
          <w:p w14:paraId="6C7C2FE0"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7345A207"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666EFB7F"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B18D8BD" w14:textId="04E5D951" w:rsidR="008A4365" w:rsidRPr="005F0949" w:rsidRDefault="001625C5" w:rsidP="005F0949">
            <w:pPr>
              <w:spacing w:after="0" w:line="240" w:lineRule="auto"/>
              <w:rPr>
                <w:rFonts w:eastAsia="Times New Roman"/>
                <w:color w:val="000000"/>
                <w:lang w:eastAsia="pt-BR"/>
              </w:rPr>
            </w:pPr>
            <w:r>
              <w:rPr>
                <w:rFonts w:eastAsia="Times New Roman"/>
                <w:color w:val="000000"/>
                <w:lang w:eastAsia="pt-BR"/>
              </w:rPr>
              <w:t>Suavização de alterações nas transferências de renda às famílias</w:t>
            </w:r>
          </w:p>
        </w:tc>
        <w:tc>
          <w:tcPr>
            <w:tcW w:w="850" w:type="dxa"/>
            <w:tcBorders>
              <w:top w:val="nil"/>
              <w:left w:val="nil"/>
              <w:bottom w:val="single" w:sz="4" w:space="0" w:color="auto"/>
              <w:right w:val="single" w:sz="4" w:space="0" w:color="auto"/>
            </w:tcBorders>
            <w:shd w:val="clear" w:color="auto" w:fill="auto"/>
            <w:noWrap/>
            <w:vAlign w:val="bottom"/>
            <w:hideMark/>
          </w:tcPr>
          <w:p w14:paraId="133FB55C"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0E1D5714"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0,8153</w:t>
            </w:r>
          </w:p>
        </w:tc>
        <w:tc>
          <w:tcPr>
            <w:tcW w:w="1192" w:type="dxa"/>
            <w:tcBorders>
              <w:top w:val="nil"/>
              <w:left w:val="nil"/>
              <w:bottom w:val="single" w:sz="4" w:space="0" w:color="auto"/>
              <w:right w:val="single" w:sz="4" w:space="0" w:color="auto"/>
            </w:tcBorders>
            <w:shd w:val="clear" w:color="auto" w:fill="auto"/>
            <w:noWrap/>
            <w:vAlign w:val="bottom"/>
            <w:hideMark/>
          </w:tcPr>
          <w:p w14:paraId="6A81EFB8" w14:textId="53495C80"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0,6602</w:t>
            </w:r>
            <w:r w:rsidR="00947AC7">
              <w:rPr>
                <w:rFonts w:eastAsia="Times New Roman"/>
                <w:color w:val="000000"/>
                <w:lang w:eastAsia="pt-BR"/>
              </w:rPr>
              <w:t xml:space="preserve">; </w:t>
            </w:r>
            <w:r w:rsidRPr="005F0949">
              <w:rPr>
                <w:rFonts w:eastAsia="Times New Roman"/>
                <w:color w:val="000000"/>
                <w:lang w:eastAsia="pt-BR"/>
              </w:rPr>
              <w:t>0,9422</w:t>
            </w:r>
          </w:p>
        </w:tc>
        <w:tc>
          <w:tcPr>
            <w:tcW w:w="617" w:type="dxa"/>
            <w:tcBorders>
              <w:top w:val="nil"/>
              <w:left w:val="nil"/>
              <w:bottom w:val="single" w:sz="4" w:space="0" w:color="auto"/>
              <w:right w:val="single" w:sz="4" w:space="0" w:color="auto"/>
            </w:tcBorders>
            <w:shd w:val="clear" w:color="auto" w:fill="auto"/>
            <w:noWrap/>
            <w:vAlign w:val="bottom"/>
            <w:hideMark/>
          </w:tcPr>
          <w:p w14:paraId="15D6653A"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5CF60D74"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505BB6C4"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AB3279B" w14:textId="560AF4A7" w:rsidR="008A4365" w:rsidRPr="005F0949" w:rsidRDefault="001625C5" w:rsidP="005F0949">
            <w:pPr>
              <w:spacing w:after="0" w:line="240" w:lineRule="auto"/>
              <w:rPr>
                <w:rFonts w:eastAsia="Times New Roman"/>
                <w:color w:val="000000"/>
                <w:lang w:eastAsia="pt-BR"/>
              </w:rPr>
            </w:pPr>
            <w:r>
              <w:rPr>
                <w:rFonts w:eastAsia="Times New Roman"/>
                <w:color w:val="000000"/>
                <w:lang w:eastAsia="pt-BR"/>
              </w:rPr>
              <w:t>Suavização de alterações na alíquota do imposto sobre o consumo</w:t>
            </w:r>
          </w:p>
        </w:tc>
        <w:tc>
          <w:tcPr>
            <w:tcW w:w="850" w:type="dxa"/>
            <w:tcBorders>
              <w:top w:val="nil"/>
              <w:left w:val="nil"/>
              <w:bottom w:val="single" w:sz="4" w:space="0" w:color="auto"/>
              <w:right w:val="single" w:sz="4" w:space="0" w:color="auto"/>
            </w:tcBorders>
            <w:shd w:val="clear" w:color="auto" w:fill="auto"/>
            <w:noWrap/>
            <w:vAlign w:val="bottom"/>
            <w:hideMark/>
          </w:tcPr>
          <w:p w14:paraId="5603316F"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0,25</w:t>
            </w:r>
          </w:p>
        </w:tc>
        <w:tc>
          <w:tcPr>
            <w:tcW w:w="1017" w:type="dxa"/>
            <w:tcBorders>
              <w:top w:val="nil"/>
              <w:left w:val="nil"/>
              <w:bottom w:val="single" w:sz="4" w:space="0" w:color="auto"/>
              <w:right w:val="single" w:sz="4" w:space="0" w:color="auto"/>
            </w:tcBorders>
            <w:shd w:val="clear" w:color="auto" w:fill="auto"/>
            <w:noWrap/>
            <w:vAlign w:val="bottom"/>
            <w:hideMark/>
          </w:tcPr>
          <w:p w14:paraId="538C5E24"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0,2229</w:t>
            </w:r>
          </w:p>
        </w:tc>
        <w:tc>
          <w:tcPr>
            <w:tcW w:w="1192" w:type="dxa"/>
            <w:tcBorders>
              <w:top w:val="nil"/>
              <w:left w:val="nil"/>
              <w:bottom w:val="single" w:sz="4" w:space="0" w:color="auto"/>
              <w:right w:val="single" w:sz="4" w:space="0" w:color="auto"/>
            </w:tcBorders>
            <w:shd w:val="clear" w:color="auto" w:fill="auto"/>
            <w:noWrap/>
            <w:vAlign w:val="bottom"/>
            <w:hideMark/>
          </w:tcPr>
          <w:p w14:paraId="0657D23D" w14:textId="5BE2076F"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0,1452</w:t>
            </w:r>
            <w:r w:rsidR="00947AC7">
              <w:rPr>
                <w:rFonts w:eastAsia="Times New Roman"/>
                <w:color w:val="000000"/>
                <w:lang w:eastAsia="pt-BR"/>
              </w:rPr>
              <w:t xml:space="preserve">; </w:t>
            </w:r>
            <w:r w:rsidRPr="005F0949">
              <w:rPr>
                <w:rFonts w:eastAsia="Times New Roman"/>
                <w:color w:val="000000"/>
                <w:lang w:eastAsia="pt-BR"/>
              </w:rPr>
              <w:t>0,2873</w:t>
            </w:r>
          </w:p>
        </w:tc>
        <w:tc>
          <w:tcPr>
            <w:tcW w:w="617" w:type="dxa"/>
            <w:tcBorders>
              <w:top w:val="nil"/>
              <w:left w:val="nil"/>
              <w:bottom w:val="single" w:sz="4" w:space="0" w:color="auto"/>
              <w:right w:val="single" w:sz="4" w:space="0" w:color="auto"/>
            </w:tcBorders>
            <w:shd w:val="clear" w:color="auto" w:fill="auto"/>
            <w:noWrap/>
            <w:vAlign w:val="bottom"/>
            <w:hideMark/>
          </w:tcPr>
          <w:p w14:paraId="72293231"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unif</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31777F4F"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0,1443</w:t>
            </w:r>
          </w:p>
        </w:tc>
      </w:tr>
      <w:tr w:rsidR="003F7681" w:rsidRPr="005F0949" w14:paraId="27E88BD9"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97F5877" w14:textId="567A421E" w:rsidR="008A4365" w:rsidRPr="005F0949" w:rsidRDefault="001625C5" w:rsidP="005F0949">
            <w:pPr>
              <w:spacing w:after="0" w:line="240" w:lineRule="auto"/>
              <w:rPr>
                <w:rFonts w:eastAsia="Times New Roman"/>
                <w:color w:val="000000"/>
                <w:lang w:eastAsia="pt-BR"/>
              </w:rPr>
            </w:pPr>
            <w:r>
              <w:rPr>
                <w:rFonts w:eastAsia="Times New Roman"/>
                <w:color w:val="000000"/>
                <w:lang w:eastAsia="pt-BR"/>
              </w:rPr>
              <w:t>Suavização de alterações na alíquota do imposto sobre a renda do trabalho</w:t>
            </w:r>
          </w:p>
        </w:tc>
        <w:tc>
          <w:tcPr>
            <w:tcW w:w="850" w:type="dxa"/>
            <w:tcBorders>
              <w:top w:val="nil"/>
              <w:left w:val="nil"/>
              <w:bottom w:val="single" w:sz="4" w:space="0" w:color="auto"/>
              <w:right w:val="single" w:sz="4" w:space="0" w:color="auto"/>
            </w:tcBorders>
            <w:shd w:val="clear" w:color="auto" w:fill="auto"/>
            <w:noWrap/>
            <w:vAlign w:val="bottom"/>
            <w:hideMark/>
          </w:tcPr>
          <w:p w14:paraId="5571B036"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0581DF70"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0,6688</w:t>
            </w:r>
          </w:p>
        </w:tc>
        <w:tc>
          <w:tcPr>
            <w:tcW w:w="1192" w:type="dxa"/>
            <w:tcBorders>
              <w:top w:val="nil"/>
              <w:left w:val="nil"/>
              <w:bottom w:val="single" w:sz="4" w:space="0" w:color="auto"/>
              <w:right w:val="single" w:sz="4" w:space="0" w:color="auto"/>
            </w:tcBorders>
            <w:shd w:val="clear" w:color="auto" w:fill="auto"/>
            <w:noWrap/>
            <w:vAlign w:val="bottom"/>
            <w:hideMark/>
          </w:tcPr>
          <w:p w14:paraId="6A1FC7B0" w14:textId="414A1675"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0,561</w:t>
            </w:r>
            <w:r w:rsidR="00947AC7">
              <w:rPr>
                <w:rFonts w:eastAsia="Times New Roman"/>
                <w:color w:val="000000"/>
                <w:lang w:eastAsia="pt-BR"/>
              </w:rPr>
              <w:t xml:space="preserve">; </w:t>
            </w:r>
            <w:r w:rsidRPr="005F0949">
              <w:rPr>
                <w:rFonts w:eastAsia="Times New Roman"/>
                <w:color w:val="000000"/>
                <w:lang w:eastAsia="pt-BR"/>
              </w:rPr>
              <w:t>0,7739</w:t>
            </w:r>
          </w:p>
        </w:tc>
        <w:tc>
          <w:tcPr>
            <w:tcW w:w="617" w:type="dxa"/>
            <w:tcBorders>
              <w:top w:val="nil"/>
              <w:left w:val="nil"/>
              <w:bottom w:val="single" w:sz="4" w:space="0" w:color="auto"/>
              <w:right w:val="single" w:sz="4" w:space="0" w:color="auto"/>
            </w:tcBorders>
            <w:shd w:val="clear" w:color="auto" w:fill="auto"/>
            <w:noWrap/>
            <w:vAlign w:val="bottom"/>
            <w:hideMark/>
          </w:tcPr>
          <w:p w14:paraId="603C9569"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0F3CBB42"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607A2506"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F49D881" w14:textId="0B1814CC" w:rsidR="008A4365" w:rsidRPr="005F0949" w:rsidRDefault="001625C5" w:rsidP="005F0949">
            <w:pPr>
              <w:spacing w:after="0" w:line="240" w:lineRule="auto"/>
              <w:rPr>
                <w:rFonts w:eastAsia="Times New Roman"/>
                <w:color w:val="000000"/>
                <w:lang w:eastAsia="pt-BR"/>
              </w:rPr>
            </w:pPr>
            <w:r>
              <w:rPr>
                <w:rFonts w:eastAsia="Times New Roman"/>
                <w:color w:val="000000"/>
                <w:lang w:eastAsia="pt-BR"/>
              </w:rPr>
              <w:t>Suavização de alterações na alíquota do imposto sobre a renda do capital</w:t>
            </w:r>
          </w:p>
        </w:tc>
        <w:tc>
          <w:tcPr>
            <w:tcW w:w="850" w:type="dxa"/>
            <w:tcBorders>
              <w:top w:val="nil"/>
              <w:left w:val="nil"/>
              <w:bottom w:val="single" w:sz="4" w:space="0" w:color="auto"/>
              <w:right w:val="single" w:sz="4" w:space="0" w:color="auto"/>
            </w:tcBorders>
            <w:shd w:val="clear" w:color="auto" w:fill="auto"/>
            <w:noWrap/>
            <w:vAlign w:val="bottom"/>
            <w:hideMark/>
          </w:tcPr>
          <w:p w14:paraId="6F038A14"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75D50A76"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0,6456</w:t>
            </w:r>
          </w:p>
        </w:tc>
        <w:tc>
          <w:tcPr>
            <w:tcW w:w="1192" w:type="dxa"/>
            <w:tcBorders>
              <w:top w:val="nil"/>
              <w:left w:val="nil"/>
              <w:bottom w:val="single" w:sz="4" w:space="0" w:color="auto"/>
              <w:right w:val="single" w:sz="4" w:space="0" w:color="auto"/>
            </w:tcBorders>
            <w:shd w:val="clear" w:color="auto" w:fill="auto"/>
            <w:noWrap/>
            <w:vAlign w:val="bottom"/>
            <w:hideMark/>
          </w:tcPr>
          <w:p w14:paraId="45F86FBC" w14:textId="74730E04"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0,5461</w:t>
            </w:r>
            <w:r w:rsidR="00947AC7">
              <w:rPr>
                <w:rFonts w:eastAsia="Times New Roman"/>
                <w:color w:val="000000"/>
                <w:lang w:eastAsia="pt-BR"/>
              </w:rPr>
              <w:t xml:space="preserve">; </w:t>
            </w:r>
            <w:r w:rsidRPr="005F0949">
              <w:rPr>
                <w:rFonts w:eastAsia="Times New Roman"/>
                <w:color w:val="000000"/>
                <w:lang w:eastAsia="pt-BR"/>
              </w:rPr>
              <w:t>0,7311</w:t>
            </w:r>
          </w:p>
        </w:tc>
        <w:tc>
          <w:tcPr>
            <w:tcW w:w="617" w:type="dxa"/>
            <w:tcBorders>
              <w:top w:val="nil"/>
              <w:left w:val="nil"/>
              <w:bottom w:val="single" w:sz="4" w:space="0" w:color="auto"/>
              <w:right w:val="single" w:sz="4" w:space="0" w:color="auto"/>
            </w:tcBorders>
            <w:shd w:val="clear" w:color="auto" w:fill="auto"/>
            <w:noWrap/>
            <w:vAlign w:val="bottom"/>
            <w:hideMark/>
          </w:tcPr>
          <w:p w14:paraId="66E35490"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3A300D47"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6C8F0C10"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8EB34EA" w14:textId="1D1B42E0" w:rsidR="008A4365" w:rsidRPr="005F0949" w:rsidRDefault="001625C5" w:rsidP="005F0949">
            <w:pPr>
              <w:spacing w:after="0" w:line="240" w:lineRule="auto"/>
              <w:rPr>
                <w:rFonts w:eastAsia="Times New Roman"/>
                <w:color w:val="000000"/>
                <w:lang w:eastAsia="pt-BR"/>
              </w:rPr>
            </w:pPr>
            <w:r>
              <w:rPr>
                <w:rFonts w:eastAsia="Times New Roman"/>
                <w:color w:val="000000"/>
                <w:lang w:eastAsia="pt-BR"/>
              </w:rPr>
              <w:t>Sensibilidade dos gastos correntes do governo à sustentabilidade da dívida pública</w:t>
            </w:r>
          </w:p>
        </w:tc>
        <w:tc>
          <w:tcPr>
            <w:tcW w:w="850" w:type="dxa"/>
            <w:tcBorders>
              <w:top w:val="nil"/>
              <w:left w:val="nil"/>
              <w:bottom w:val="single" w:sz="4" w:space="0" w:color="auto"/>
              <w:right w:val="single" w:sz="4" w:space="0" w:color="auto"/>
            </w:tcBorders>
            <w:shd w:val="clear" w:color="auto" w:fill="auto"/>
            <w:noWrap/>
            <w:vAlign w:val="bottom"/>
            <w:hideMark/>
          </w:tcPr>
          <w:p w14:paraId="0259D7C4"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-0,75</w:t>
            </w:r>
          </w:p>
        </w:tc>
        <w:tc>
          <w:tcPr>
            <w:tcW w:w="1017" w:type="dxa"/>
            <w:tcBorders>
              <w:top w:val="nil"/>
              <w:left w:val="nil"/>
              <w:bottom w:val="single" w:sz="4" w:space="0" w:color="auto"/>
              <w:right w:val="single" w:sz="4" w:space="0" w:color="auto"/>
            </w:tcBorders>
            <w:shd w:val="clear" w:color="auto" w:fill="auto"/>
            <w:noWrap/>
            <w:vAlign w:val="bottom"/>
            <w:hideMark/>
          </w:tcPr>
          <w:p w14:paraId="4BB73D1D"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-0,9547</w:t>
            </w:r>
          </w:p>
        </w:tc>
        <w:tc>
          <w:tcPr>
            <w:tcW w:w="1192" w:type="dxa"/>
            <w:tcBorders>
              <w:top w:val="nil"/>
              <w:left w:val="nil"/>
              <w:bottom w:val="single" w:sz="4" w:space="0" w:color="auto"/>
              <w:right w:val="single" w:sz="4" w:space="0" w:color="auto"/>
            </w:tcBorders>
            <w:shd w:val="clear" w:color="auto" w:fill="auto"/>
            <w:noWrap/>
            <w:vAlign w:val="bottom"/>
            <w:hideMark/>
          </w:tcPr>
          <w:p w14:paraId="3CDC2CF9" w14:textId="66F5E88A"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-1</w:t>
            </w:r>
            <w:r w:rsidR="00947AC7">
              <w:rPr>
                <w:rFonts w:eastAsia="Times New Roman"/>
                <w:color w:val="000000"/>
                <w:lang w:eastAsia="pt-BR"/>
              </w:rPr>
              <w:t xml:space="preserve">; </w:t>
            </w:r>
            <w:r w:rsidRPr="005F0949">
              <w:rPr>
                <w:rFonts w:eastAsia="Times New Roman"/>
                <w:color w:val="000000"/>
                <w:lang w:eastAsia="pt-BR"/>
              </w:rPr>
              <w:t>-0,8842</w:t>
            </w:r>
          </w:p>
        </w:tc>
        <w:tc>
          <w:tcPr>
            <w:tcW w:w="617" w:type="dxa"/>
            <w:tcBorders>
              <w:top w:val="nil"/>
              <w:left w:val="nil"/>
              <w:bottom w:val="single" w:sz="4" w:space="0" w:color="auto"/>
              <w:right w:val="single" w:sz="4" w:space="0" w:color="auto"/>
            </w:tcBorders>
            <w:shd w:val="clear" w:color="auto" w:fill="auto"/>
            <w:noWrap/>
            <w:vAlign w:val="bottom"/>
            <w:hideMark/>
          </w:tcPr>
          <w:p w14:paraId="65B61210"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unif</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14DFE634"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0,1443</w:t>
            </w:r>
          </w:p>
        </w:tc>
      </w:tr>
      <w:tr w:rsidR="003F7681" w:rsidRPr="005F0949" w14:paraId="29D4C4D0"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6CEC456" w14:textId="3ECEAAC2" w:rsidR="008A4365" w:rsidRPr="005F0949" w:rsidRDefault="001625C5" w:rsidP="005F0949">
            <w:pPr>
              <w:spacing w:after="0" w:line="240" w:lineRule="auto"/>
              <w:rPr>
                <w:rFonts w:eastAsia="Times New Roman"/>
                <w:color w:val="000000"/>
                <w:lang w:eastAsia="pt-BR"/>
              </w:rPr>
            </w:pPr>
            <w:r>
              <w:rPr>
                <w:rFonts w:eastAsia="Times New Roman"/>
                <w:color w:val="000000"/>
                <w:lang w:eastAsia="pt-BR"/>
              </w:rPr>
              <w:t>Sensibilidade do investimento do governo à sustentabilidade da dívida pública</w:t>
            </w:r>
          </w:p>
        </w:tc>
        <w:tc>
          <w:tcPr>
            <w:tcW w:w="850" w:type="dxa"/>
            <w:tcBorders>
              <w:top w:val="nil"/>
              <w:left w:val="nil"/>
              <w:bottom w:val="single" w:sz="4" w:space="0" w:color="auto"/>
              <w:right w:val="single" w:sz="4" w:space="0" w:color="auto"/>
            </w:tcBorders>
            <w:shd w:val="clear" w:color="auto" w:fill="auto"/>
            <w:noWrap/>
            <w:vAlign w:val="bottom"/>
            <w:hideMark/>
          </w:tcPr>
          <w:p w14:paraId="054F0145"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42F0685E"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-0,5519</w:t>
            </w:r>
          </w:p>
        </w:tc>
        <w:tc>
          <w:tcPr>
            <w:tcW w:w="1192" w:type="dxa"/>
            <w:tcBorders>
              <w:top w:val="nil"/>
              <w:left w:val="nil"/>
              <w:bottom w:val="single" w:sz="4" w:space="0" w:color="auto"/>
              <w:right w:val="single" w:sz="4" w:space="0" w:color="auto"/>
            </w:tcBorders>
            <w:shd w:val="clear" w:color="auto" w:fill="auto"/>
            <w:noWrap/>
            <w:vAlign w:val="bottom"/>
            <w:hideMark/>
          </w:tcPr>
          <w:p w14:paraId="15C304D0" w14:textId="0BE588F6"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-0,7917</w:t>
            </w:r>
            <w:r w:rsidR="00947AC7">
              <w:rPr>
                <w:rFonts w:eastAsia="Times New Roman"/>
                <w:color w:val="000000"/>
                <w:lang w:eastAsia="pt-BR"/>
              </w:rPr>
              <w:t xml:space="preserve">; </w:t>
            </w:r>
            <w:r w:rsidRPr="005F0949">
              <w:rPr>
                <w:rFonts w:eastAsia="Times New Roman"/>
                <w:color w:val="000000"/>
                <w:lang w:eastAsia="pt-BR"/>
              </w:rPr>
              <w:t>-0,2527</w:t>
            </w:r>
          </w:p>
        </w:tc>
        <w:tc>
          <w:tcPr>
            <w:tcW w:w="617" w:type="dxa"/>
            <w:tcBorders>
              <w:top w:val="nil"/>
              <w:left w:val="nil"/>
              <w:bottom w:val="single" w:sz="4" w:space="0" w:color="auto"/>
              <w:right w:val="single" w:sz="4" w:space="0" w:color="auto"/>
            </w:tcBorders>
            <w:shd w:val="clear" w:color="auto" w:fill="auto"/>
            <w:noWrap/>
            <w:vAlign w:val="bottom"/>
            <w:hideMark/>
          </w:tcPr>
          <w:p w14:paraId="759C4B8B"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unif</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080B053E"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0,2887</w:t>
            </w:r>
          </w:p>
        </w:tc>
      </w:tr>
      <w:tr w:rsidR="003F7681" w:rsidRPr="005F0949" w14:paraId="512EDEEB"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28F1642" w14:textId="7794F53B" w:rsidR="008A4365" w:rsidRPr="005F0949" w:rsidRDefault="001625C5" w:rsidP="005F0949">
            <w:pPr>
              <w:spacing w:after="0" w:line="240" w:lineRule="auto"/>
              <w:rPr>
                <w:rFonts w:eastAsia="Times New Roman"/>
                <w:color w:val="000000"/>
                <w:lang w:eastAsia="pt-BR"/>
              </w:rPr>
            </w:pPr>
            <w:r>
              <w:rPr>
                <w:rFonts w:eastAsia="Times New Roman"/>
                <w:color w:val="000000"/>
                <w:lang w:eastAsia="pt-BR"/>
              </w:rPr>
              <w:t>Sensibilidade da</w:t>
            </w:r>
            <w:r w:rsidR="00862349">
              <w:rPr>
                <w:rFonts w:eastAsia="Times New Roman"/>
                <w:color w:val="000000"/>
                <w:lang w:eastAsia="pt-BR"/>
              </w:rPr>
              <w:t>s transferências de renda às famílias</w:t>
            </w:r>
            <w:r>
              <w:rPr>
                <w:rFonts w:eastAsia="Times New Roman"/>
                <w:color w:val="000000"/>
                <w:lang w:eastAsia="pt-BR"/>
              </w:rPr>
              <w:t xml:space="preserve"> à sustentabilidade da dívida pública</w:t>
            </w:r>
          </w:p>
        </w:tc>
        <w:tc>
          <w:tcPr>
            <w:tcW w:w="850" w:type="dxa"/>
            <w:tcBorders>
              <w:top w:val="nil"/>
              <w:left w:val="nil"/>
              <w:bottom w:val="single" w:sz="4" w:space="0" w:color="auto"/>
              <w:right w:val="single" w:sz="4" w:space="0" w:color="auto"/>
            </w:tcBorders>
            <w:shd w:val="clear" w:color="auto" w:fill="auto"/>
            <w:noWrap/>
            <w:vAlign w:val="bottom"/>
            <w:hideMark/>
          </w:tcPr>
          <w:p w14:paraId="2655D2BF"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0,25</w:t>
            </w:r>
          </w:p>
        </w:tc>
        <w:tc>
          <w:tcPr>
            <w:tcW w:w="1017" w:type="dxa"/>
            <w:tcBorders>
              <w:top w:val="nil"/>
              <w:left w:val="nil"/>
              <w:bottom w:val="single" w:sz="4" w:space="0" w:color="auto"/>
              <w:right w:val="single" w:sz="4" w:space="0" w:color="auto"/>
            </w:tcBorders>
            <w:shd w:val="clear" w:color="auto" w:fill="auto"/>
            <w:noWrap/>
            <w:vAlign w:val="bottom"/>
            <w:hideMark/>
          </w:tcPr>
          <w:p w14:paraId="4582AB06"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0,3249</w:t>
            </w:r>
          </w:p>
        </w:tc>
        <w:tc>
          <w:tcPr>
            <w:tcW w:w="1192" w:type="dxa"/>
            <w:tcBorders>
              <w:top w:val="nil"/>
              <w:left w:val="nil"/>
              <w:bottom w:val="single" w:sz="4" w:space="0" w:color="auto"/>
              <w:right w:val="single" w:sz="4" w:space="0" w:color="auto"/>
            </w:tcBorders>
            <w:shd w:val="clear" w:color="auto" w:fill="auto"/>
            <w:noWrap/>
            <w:vAlign w:val="bottom"/>
            <w:hideMark/>
          </w:tcPr>
          <w:p w14:paraId="1B100CBB" w14:textId="05DEED09"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0,1651</w:t>
            </w:r>
            <w:r w:rsidR="00947AC7">
              <w:rPr>
                <w:rFonts w:eastAsia="Times New Roman"/>
                <w:color w:val="000000"/>
                <w:lang w:eastAsia="pt-BR"/>
              </w:rPr>
              <w:t xml:space="preserve">; </w:t>
            </w:r>
            <w:r w:rsidRPr="005F0949">
              <w:rPr>
                <w:rFonts w:eastAsia="Times New Roman"/>
                <w:color w:val="000000"/>
                <w:lang w:eastAsia="pt-BR"/>
              </w:rPr>
              <w:t>0,47</w:t>
            </w:r>
          </w:p>
        </w:tc>
        <w:tc>
          <w:tcPr>
            <w:tcW w:w="617" w:type="dxa"/>
            <w:tcBorders>
              <w:top w:val="nil"/>
              <w:left w:val="nil"/>
              <w:bottom w:val="single" w:sz="4" w:space="0" w:color="auto"/>
              <w:right w:val="single" w:sz="4" w:space="0" w:color="auto"/>
            </w:tcBorders>
            <w:shd w:val="clear" w:color="auto" w:fill="auto"/>
            <w:noWrap/>
            <w:vAlign w:val="bottom"/>
            <w:hideMark/>
          </w:tcPr>
          <w:p w14:paraId="51C52A3D"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unif</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13F24ADE"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0,1443</w:t>
            </w:r>
          </w:p>
        </w:tc>
      </w:tr>
      <w:tr w:rsidR="003F7681" w:rsidRPr="005F0949" w14:paraId="50E6659C"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E2AC706" w14:textId="1E2A6124" w:rsidR="008A4365" w:rsidRPr="005F0949" w:rsidRDefault="00862349" w:rsidP="005F0949">
            <w:pPr>
              <w:spacing w:after="0" w:line="240" w:lineRule="auto"/>
              <w:rPr>
                <w:rFonts w:eastAsia="Times New Roman"/>
                <w:color w:val="000000"/>
                <w:lang w:eastAsia="pt-BR"/>
              </w:rPr>
            </w:pPr>
            <w:r>
              <w:rPr>
                <w:rFonts w:eastAsia="Times New Roman"/>
                <w:color w:val="000000"/>
                <w:lang w:eastAsia="pt-BR"/>
              </w:rPr>
              <w:t>Sensibilidade da alíquota do imposto sobre o consumo à sustentabilidade da dívida pública</w:t>
            </w:r>
          </w:p>
        </w:tc>
        <w:tc>
          <w:tcPr>
            <w:tcW w:w="850" w:type="dxa"/>
            <w:tcBorders>
              <w:top w:val="nil"/>
              <w:left w:val="nil"/>
              <w:bottom w:val="single" w:sz="4" w:space="0" w:color="auto"/>
              <w:right w:val="single" w:sz="4" w:space="0" w:color="auto"/>
            </w:tcBorders>
            <w:shd w:val="clear" w:color="auto" w:fill="auto"/>
            <w:noWrap/>
            <w:vAlign w:val="bottom"/>
            <w:hideMark/>
          </w:tcPr>
          <w:p w14:paraId="1A21E901"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0,65</w:t>
            </w:r>
          </w:p>
        </w:tc>
        <w:tc>
          <w:tcPr>
            <w:tcW w:w="1017" w:type="dxa"/>
            <w:tcBorders>
              <w:top w:val="nil"/>
              <w:left w:val="nil"/>
              <w:bottom w:val="single" w:sz="4" w:space="0" w:color="auto"/>
              <w:right w:val="single" w:sz="4" w:space="0" w:color="auto"/>
            </w:tcBorders>
            <w:shd w:val="clear" w:color="auto" w:fill="auto"/>
            <w:noWrap/>
            <w:vAlign w:val="bottom"/>
            <w:hideMark/>
          </w:tcPr>
          <w:p w14:paraId="21F48B34"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0,6444</w:t>
            </w:r>
          </w:p>
        </w:tc>
        <w:tc>
          <w:tcPr>
            <w:tcW w:w="1192" w:type="dxa"/>
            <w:tcBorders>
              <w:top w:val="nil"/>
              <w:left w:val="nil"/>
              <w:bottom w:val="single" w:sz="4" w:space="0" w:color="auto"/>
              <w:right w:val="single" w:sz="4" w:space="0" w:color="auto"/>
            </w:tcBorders>
            <w:shd w:val="clear" w:color="auto" w:fill="auto"/>
            <w:noWrap/>
            <w:vAlign w:val="bottom"/>
            <w:hideMark/>
          </w:tcPr>
          <w:p w14:paraId="693C1EA4" w14:textId="2E7F555E"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0,4518</w:t>
            </w:r>
            <w:r w:rsidR="00947AC7">
              <w:rPr>
                <w:rFonts w:eastAsia="Times New Roman"/>
                <w:color w:val="000000"/>
                <w:lang w:eastAsia="pt-BR"/>
              </w:rPr>
              <w:t xml:space="preserve">; </w:t>
            </w:r>
            <w:r w:rsidRPr="005F0949">
              <w:rPr>
                <w:rFonts w:eastAsia="Times New Roman"/>
                <w:color w:val="000000"/>
                <w:lang w:eastAsia="pt-BR"/>
              </w:rPr>
              <w:t>0,8039</w:t>
            </w:r>
          </w:p>
        </w:tc>
        <w:tc>
          <w:tcPr>
            <w:tcW w:w="617" w:type="dxa"/>
            <w:tcBorders>
              <w:top w:val="nil"/>
              <w:left w:val="nil"/>
              <w:bottom w:val="single" w:sz="4" w:space="0" w:color="auto"/>
              <w:right w:val="single" w:sz="4" w:space="0" w:color="auto"/>
            </w:tcBorders>
            <w:shd w:val="clear" w:color="auto" w:fill="auto"/>
            <w:noWrap/>
            <w:vAlign w:val="bottom"/>
            <w:hideMark/>
          </w:tcPr>
          <w:p w14:paraId="42705F42"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unif</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6C032D1B"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0,2021</w:t>
            </w:r>
          </w:p>
        </w:tc>
      </w:tr>
      <w:tr w:rsidR="003F7681" w:rsidRPr="005F0949" w14:paraId="3EE5EACE"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1D4F4CE" w14:textId="53501F9C" w:rsidR="008A4365" w:rsidRPr="005F0949" w:rsidRDefault="00862349" w:rsidP="005F0949">
            <w:pPr>
              <w:spacing w:after="0" w:line="240" w:lineRule="auto"/>
              <w:rPr>
                <w:rFonts w:eastAsia="Times New Roman"/>
                <w:color w:val="000000"/>
                <w:lang w:eastAsia="pt-BR"/>
              </w:rPr>
            </w:pPr>
            <w:r>
              <w:rPr>
                <w:rFonts w:eastAsia="Times New Roman"/>
                <w:color w:val="000000"/>
                <w:lang w:eastAsia="pt-BR"/>
              </w:rPr>
              <w:lastRenderedPageBreak/>
              <w:t>Sensibilidade da alíquota do imposto sobre a renda do trabalho à sustentabilidade da dívida pública</w:t>
            </w:r>
          </w:p>
        </w:tc>
        <w:tc>
          <w:tcPr>
            <w:tcW w:w="850" w:type="dxa"/>
            <w:tcBorders>
              <w:top w:val="nil"/>
              <w:left w:val="nil"/>
              <w:bottom w:val="single" w:sz="4" w:space="0" w:color="auto"/>
              <w:right w:val="single" w:sz="4" w:space="0" w:color="auto"/>
            </w:tcBorders>
            <w:shd w:val="clear" w:color="auto" w:fill="auto"/>
            <w:noWrap/>
            <w:vAlign w:val="bottom"/>
            <w:hideMark/>
          </w:tcPr>
          <w:p w14:paraId="51C04239"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57B9782C"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0,8827</w:t>
            </w:r>
          </w:p>
        </w:tc>
        <w:tc>
          <w:tcPr>
            <w:tcW w:w="1192" w:type="dxa"/>
            <w:tcBorders>
              <w:top w:val="nil"/>
              <w:left w:val="nil"/>
              <w:bottom w:val="single" w:sz="4" w:space="0" w:color="auto"/>
              <w:right w:val="single" w:sz="4" w:space="0" w:color="auto"/>
            </w:tcBorders>
            <w:shd w:val="clear" w:color="auto" w:fill="auto"/>
            <w:noWrap/>
            <w:vAlign w:val="bottom"/>
            <w:hideMark/>
          </w:tcPr>
          <w:p w14:paraId="29B29B67" w14:textId="2F9066FD"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0,7346</w:t>
            </w:r>
            <w:r w:rsidR="00947AC7">
              <w:rPr>
                <w:rFonts w:eastAsia="Times New Roman"/>
                <w:color w:val="000000"/>
                <w:lang w:eastAsia="pt-BR"/>
              </w:rPr>
              <w:t xml:space="preserve">; </w:t>
            </w:r>
            <w:r w:rsidRPr="005F0949">
              <w:rPr>
                <w:rFonts w:eastAsia="Times New Roman"/>
                <w:color w:val="000000"/>
                <w:lang w:eastAsia="pt-BR"/>
              </w:rPr>
              <w:t>1</w:t>
            </w:r>
          </w:p>
        </w:tc>
        <w:tc>
          <w:tcPr>
            <w:tcW w:w="617" w:type="dxa"/>
            <w:tcBorders>
              <w:top w:val="nil"/>
              <w:left w:val="nil"/>
              <w:bottom w:val="single" w:sz="4" w:space="0" w:color="auto"/>
              <w:right w:val="single" w:sz="4" w:space="0" w:color="auto"/>
            </w:tcBorders>
            <w:shd w:val="clear" w:color="auto" w:fill="auto"/>
            <w:noWrap/>
            <w:vAlign w:val="bottom"/>
            <w:hideMark/>
          </w:tcPr>
          <w:p w14:paraId="440099AF"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unif</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661496B1"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0,2887</w:t>
            </w:r>
          </w:p>
        </w:tc>
      </w:tr>
      <w:tr w:rsidR="003F7681" w:rsidRPr="005F0949" w14:paraId="1BE18CFA"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56DA6E6" w14:textId="0D194F37" w:rsidR="008A4365" w:rsidRPr="005F0949" w:rsidRDefault="00862349" w:rsidP="005F0949">
            <w:pPr>
              <w:spacing w:after="0" w:line="240" w:lineRule="auto"/>
              <w:rPr>
                <w:rFonts w:eastAsia="Times New Roman"/>
                <w:color w:val="000000"/>
                <w:lang w:eastAsia="pt-BR"/>
              </w:rPr>
            </w:pPr>
            <w:r>
              <w:rPr>
                <w:rFonts w:eastAsia="Times New Roman"/>
                <w:color w:val="000000"/>
                <w:lang w:eastAsia="pt-BR"/>
              </w:rPr>
              <w:t>Sensibilidade da alíquota do imposto sobre a renda do capital à sustentabilidade da dívida pública</w:t>
            </w:r>
          </w:p>
        </w:tc>
        <w:tc>
          <w:tcPr>
            <w:tcW w:w="850" w:type="dxa"/>
            <w:tcBorders>
              <w:top w:val="nil"/>
              <w:left w:val="nil"/>
              <w:bottom w:val="single" w:sz="4" w:space="0" w:color="auto"/>
              <w:right w:val="single" w:sz="4" w:space="0" w:color="auto"/>
            </w:tcBorders>
            <w:shd w:val="clear" w:color="auto" w:fill="auto"/>
            <w:noWrap/>
            <w:vAlign w:val="bottom"/>
            <w:hideMark/>
          </w:tcPr>
          <w:p w14:paraId="2AA872AA"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1B43A493"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0,6737</w:t>
            </w:r>
          </w:p>
        </w:tc>
        <w:tc>
          <w:tcPr>
            <w:tcW w:w="1192" w:type="dxa"/>
            <w:tcBorders>
              <w:top w:val="nil"/>
              <w:left w:val="nil"/>
              <w:bottom w:val="single" w:sz="4" w:space="0" w:color="auto"/>
              <w:right w:val="single" w:sz="4" w:space="0" w:color="auto"/>
            </w:tcBorders>
            <w:shd w:val="clear" w:color="auto" w:fill="auto"/>
            <w:noWrap/>
            <w:vAlign w:val="bottom"/>
            <w:hideMark/>
          </w:tcPr>
          <w:p w14:paraId="53473785" w14:textId="3B03312A"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0,4692</w:t>
            </w:r>
            <w:r w:rsidR="00947AC7">
              <w:rPr>
                <w:rFonts w:eastAsia="Times New Roman"/>
                <w:color w:val="000000"/>
                <w:lang w:eastAsia="pt-BR"/>
              </w:rPr>
              <w:t xml:space="preserve">; </w:t>
            </w:r>
            <w:r w:rsidRPr="005F0949">
              <w:rPr>
                <w:rFonts w:eastAsia="Times New Roman"/>
                <w:color w:val="000000"/>
                <w:lang w:eastAsia="pt-BR"/>
              </w:rPr>
              <w:t>0,9059</w:t>
            </w:r>
          </w:p>
        </w:tc>
        <w:tc>
          <w:tcPr>
            <w:tcW w:w="617" w:type="dxa"/>
            <w:tcBorders>
              <w:top w:val="nil"/>
              <w:left w:val="nil"/>
              <w:bottom w:val="single" w:sz="4" w:space="0" w:color="auto"/>
              <w:right w:val="single" w:sz="4" w:space="0" w:color="auto"/>
            </w:tcBorders>
            <w:shd w:val="clear" w:color="auto" w:fill="auto"/>
            <w:noWrap/>
            <w:vAlign w:val="bottom"/>
            <w:hideMark/>
          </w:tcPr>
          <w:p w14:paraId="6E29D3DD"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unif</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55B1AA5D"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0,2887</w:t>
            </w:r>
          </w:p>
        </w:tc>
      </w:tr>
      <w:tr w:rsidR="003F7681" w:rsidRPr="005F0949" w14:paraId="65DD9C47"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6EA0878" w14:textId="7BF5977B" w:rsidR="008A4365" w:rsidRPr="005F0949" w:rsidRDefault="00690879" w:rsidP="005F0949">
            <w:pPr>
              <w:spacing w:after="0" w:line="240" w:lineRule="auto"/>
              <w:rPr>
                <w:rFonts w:eastAsia="Times New Roman"/>
                <w:color w:val="000000"/>
                <w:lang w:eastAsia="pt-BR"/>
              </w:rPr>
            </w:pPr>
            <w:r>
              <w:rPr>
                <w:rFonts w:eastAsia="Times New Roman"/>
                <w:color w:val="000000"/>
                <w:lang w:eastAsia="pt-BR"/>
              </w:rPr>
              <w:t>Autoregressivo do choque de produtividade</w:t>
            </w:r>
          </w:p>
        </w:tc>
        <w:tc>
          <w:tcPr>
            <w:tcW w:w="850" w:type="dxa"/>
            <w:tcBorders>
              <w:top w:val="nil"/>
              <w:left w:val="nil"/>
              <w:bottom w:val="single" w:sz="4" w:space="0" w:color="auto"/>
              <w:right w:val="single" w:sz="4" w:space="0" w:color="auto"/>
            </w:tcBorders>
            <w:shd w:val="clear" w:color="auto" w:fill="auto"/>
            <w:noWrap/>
            <w:vAlign w:val="bottom"/>
            <w:hideMark/>
          </w:tcPr>
          <w:p w14:paraId="4B53BF88"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66E7995F"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0,4105</w:t>
            </w:r>
          </w:p>
        </w:tc>
        <w:tc>
          <w:tcPr>
            <w:tcW w:w="1192" w:type="dxa"/>
            <w:tcBorders>
              <w:top w:val="nil"/>
              <w:left w:val="nil"/>
              <w:bottom w:val="single" w:sz="4" w:space="0" w:color="auto"/>
              <w:right w:val="single" w:sz="4" w:space="0" w:color="auto"/>
            </w:tcBorders>
            <w:shd w:val="clear" w:color="auto" w:fill="auto"/>
            <w:noWrap/>
            <w:vAlign w:val="bottom"/>
            <w:hideMark/>
          </w:tcPr>
          <w:p w14:paraId="6DA46C71" w14:textId="79F6A168"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0,3669</w:t>
            </w:r>
            <w:r w:rsidR="00947AC7">
              <w:rPr>
                <w:rFonts w:eastAsia="Times New Roman"/>
                <w:color w:val="000000"/>
                <w:lang w:eastAsia="pt-BR"/>
              </w:rPr>
              <w:t xml:space="preserve">; </w:t>
            </w:r>
            <w:r w:rsidRPr="005F0949">
              <w:rPr>
                <w:rFonts w:eastAsia="Times New Roman"/>
                <w:color w:val="000000"/>
                <w:lang w:eastAsia="pt-BR"/>
              </w:rPr>
              <w:t>0,4714</w:t>
            </w:r>
          </w:p>
        </w:tc>
        <w:tc>
          <w:tcPr>
            <w:tcW w:w="617" w:type="dxa"/>
            <w:tcBorders>
              <w:top w:val="nil"/>
              <w:left w:val="nil"/>
              <w:bottom w:val="single" w:sz="4" w:space="0" w:color="auto"/>
              <w:right w:val="single" w:sz="4" w:space="0" w:color="auto"/>
            </w:tcBorders>
            <w:shd w:val="clear" w:color="auto" w:fill="auto"/>
            <w:noWrap/>
            <w:vAlign w:val="bottom"/>
            <w:hideMark/>
          </w:tcPr>
          <w:p w14:paraId="57E12DA6"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74A12A38"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6039AF80"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1C14C67" w14:textId="7E7C7679" w:rsidR="008A4365" w:rsidRPr="005F0949" w:rsidRDefault="00690879" w:rsidP="005F0949">
            <w:pPr>
              <w:spacing w:after="0" w:line="240" w:lineRule="auto"/>
              <w:rPr>
                <w:rFonts w:eastAsia="Times New Roman"/>
                <w:color w:val="000000"/>
                <w:lang w:eastAsia="pt-BR"/>
              </w:rPr>
            </w:pPr>
            <w:r>
              <w:rPr>
                <w:rFonts w:eastAsia="Times New Roman"/>
                <w:color w:val="000000"/>
                <w:lang w:eastAsia="pt-BR"/>
              </w:rPr>
              <w:t xml:space="preserve">Autoregressivo do choque de </w:t>
            </w:r>
            <w:r w:rsidR="007C71FC">
              <w:rPr>
                <w:rFonts w:eastAsia="Times New Roman"/>
                <w:color w:val="000000"/>
                <w:lang w:eastAsia="pt-BR"/>
              </w:rPr>
              <w:t>gasto corrente do governo</w:t>
            </w:r>
          </w:p>
        </w:tc>
        <w:tc>
          <w:tcPr>
            <w:tcW w:w="850" w:type="dxa"/>
            <w:tcBorders>
              <w:top w:val="nil"/>
              <w:left w:val="nil"/>
              <w:bottom w:val="single" w:sz="4" w:space="0" w:color="auto"/>
              <w:right w:val="single" w:sz="4" w:space="0" w:color="auto"/>
            </w:tcBorders>
            <w:shd w:val="clear" w:color="auto" w:fill="auto"/>
            <w:noWrap/>
            <w:vAlign w:val="bottom"/>
            <w:hideMark/>
          </w:tcPr>
          <w:p w14:paraId="6F9CC183"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6BB8C456"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0,4666</w:t>
            </w:r>
          </w:p>
        </w:tc>
        <w:tc>
          <w:tcPr>
            <w:tcW w:w="1192" w:type="dxa"/>
            <w:tcBorders>
              <w:top w:val="nil"/>
              <w:left w:val="nil"/>
              <w:bottom w:val="single" w:sz="4" w:space="0" w:color="auto"/>
              <w:right w:val="single" w:sz="4" w:space="0" w:color="auto"/>
            </w:tcBorders>
            <w:shd w:val="clear" w:color="auto" w:fill="auto"/>
            <w:noWrap/>
            <w:vAlign w:val="bottom"/>
            <w:hideMark/>
          </w:tcPr>
          <w:p w14:paraId="03004D8C" w14:textId="152864AB"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0,4187</w:t>
            </w:r>
            <w:r w:rsidR="00947AC7">
              <w:rPr>
                <w:rFonts w:eastAsia="Times New Roman"/>
                <w:color w:val="000000"/>
                <w:lang w:eastAsia="pt-BR"/>
              </w:rPr>
              <w:t xml:space="preserve">; </w:t>
            </w:r>
            <w:r w:rsidRPr="005F0949">
              <w:rPr>
                <w:rFonts w:eastAsia="Times New Roman"/>
                <w:color w:val="000000"/>
                <w:lang w:eastAsia="pt-BR"/>
              </w:rPr>
              <w:t>0,5127</w:t>
            </w:r>
          </w:p>
        </w:tc>
        <w:tc>
          <w:tcPr>
            <w:tcW w:w="617" w:type="dxa"/>
            <w:tcBorders>
              <w:top w:val="nil"/>
              <w:left w:val="nil"/>
              <w:bottom w:val="single" w:sz="4" w:space="0" w:color="auto"/>
              <w:right w:val="single" w:sz="4" w:space="0" w:color="auto"/>
            </w:tcBorders>
            <w:shd w:val="clear" w:color="auto" w:fill="auto"/>
            <w:noWrap/>
            <w:vAlign w:val="bottom"/>
            <w:hideMark/>
          </w:tcPr>
          <w:p w14:paraId="3DAB98E0"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7B1498DF"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68538D26"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00EB185" w14:textId="32CC7CB3" w:rsidR="008A4365" w:rsidRPr="005F0949" w:rsidRDefault="007C71FC" w:rsidP="005F0949">
            <w:pPr>
              <w:spacing w:after="0" w:line="240" w:lineRule="auto"/>
              <w:rPr>
                <w:rFonts w:eastAsia="Times New Roman"/>
                <w:color w:val="000000"/>
                <w:lang w:eastAsia="pt-BR"/>
              </w:rPr>
            </w:pPr>
            <w:r>
              <w:rPr>
                <w:rFonts w:eastAsia="Times New Roman"/>
                <w:color w:val="000000"/>
                <w:lang w:eastAsia="pt-BR"/>
              </w:rPr>
              <w:t>Autoregressivo do choque de investimento do governo</w:t>
            </w:r>
          </w:p>
        </w:tc>
        <w:tc>
          <w:tcPr>
            <w:tcW w:w="850" w:type="dxa"/>
            <w:tcBorders>
              <w:top w:val="nil"/>
              <w:left w:val="nil"/>
              <w:bottom w:val="single" w:sz="4" w:space="0" w:color="auto"/>
              <w:right w:val="single" w:sz="4" w:space="0" w:color="auto"/>
            </w:tcBorders>
            <w:shd w:val="clear" w:color="auto" w:fill="auto"/>
            <w:noWrap/>
            <w:vAlign w:val="bottom"/>
            <w:hideMark/>
          </w:tcPr>
          <w:p w14:paraId="6EBD03FF"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644F2ED1"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0,4409</w:t>
            </w:r>
          </w:p>
        </w:tc>
        <w:tc>
          <w:tcPr>
            <w:tcW w:w="1192" w:type="dxa"/>
            <w:tcBorders>
              <w:top w:val="nil"/>
              <w:left w:val="nil"/>
              <w:bottom w:val="single" w:sz="4" w:space="0" w:color="auto"/>
              <w:right w:val="single" w:sz="4" w:space="0" w:color="auto"/>
            </w:tcBorders>
            <w:shd w:val="clear" w:color="auto" w:fill="auto"/>
            <w:noWrap/>
            <w:vAlign w:val="bottom"/>
            <w:hideMark/>
          </w:tcPr>
          <w:p w14:paraId="151D06D2" w14:textId="753591B1"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0,3626</w:t>
            </w:r>
            <w:r w:rsidR="00947AC7">
              <w:rPr>
                <w:rFonts w:eastAsia="Times New Roman"/>
                <w:color w:val="000000"/>
                <w:lang w:eastAsia="pt-BR"/>
              </w:rPr>
              <w:t xml:space="preserve">; </w:t>
            </w:r>
            <w:r w:rsidRPr="005F0949">
              <w:rPr>
                <w:rFonts w:eastAsia="Times New Roman"/>
                <w:color w:val="000000"/>
                <w:lang w:eastAsia="pt-BR"/>
              </w:rPr>
              <w:t>0,514</w:t>
            </w:r>
          </w:p>
        </w:tc>
        <w:tc>
          <w:tcPr>
            <w:tcW w:w="617" w:type="dxa"/>
            <w:tcBorders>
              <w:top w:val="nil"/>
              <w:left w:val="nil"/>
              <w:bottom w:val="single" w:sz="4" w:space="0" w:color="auto"/>
              <w:right w:val="single" w:sz="4" w:space="0" w:color="auto"/>
            </w:tcBorders>
            <w:shd w:val="clear" w:color="auto" w:fill="auto"/>
            <w:noWrap/>
            <w:vAlign w:val="bottom"/>
            <w:hideMark/>
          </w:tcPr>
          <w:p w14:paraId="159B6EBF"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06F461AB"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76F0CAA5"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85AD533" w14:textId="2D83588A" w:rsidR="008A4365" w:rsidRPr="005F0949" w:rsidRDefault="007C71FC" w:rsidP="005F0949">
            <w:pPr>
              <w:spacing w:after="0" w:line="240" w:lineRule="auto"/>
              <w:rPr>
                <w:rFonts w:eastAsia="Times New Roman"/>
                <w:color w:val="000000"/>
                <w:lang w:eastAsia="pt-BR"/>
              </w:rPr>
            </w:pPr>
            <w:r>
              <w:rPr>
                <w:rFonts w:eastAsia="Times New Roman"/>
                <w:color w:val="000000"/>
                <w:lang w:eastAsia="pt-BR"/>
              </w:rPr>
              <w:t>Autoregressivo do choque de transferência de renda às famílias</w:t>
            </w:r>
          </w:p>
        </w:tc>
        <w:tc>
          <w:tcPr>
            <w:tcW w:w="850" w:type="dxa"/>
            <w:tcBorders>
              <w:top w:val="nil"/>
              <w:left w:val="nil"/>
              <w:bottom w:val="single" w:sz="4" w:space="0" w:color="auto"/>
              <w:right w:val="single" w:sz="4" w:space="0" w:color="auto"/>
            </w:tcBorders>
            <w:shd w:val="clear" w:color="auto" w:fill="auto"/>
            <w:noWrap/>
            <w:vAlign w:val="bottom"/>
            <w:hideMark/>
          </w:tcPr>
          <w:p w14:paraId="7FB20307"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6B2B2D42"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0,7901</w:t>
            </w:r>
          </w:p>
        </w:tc>
        <w:tc>
          <w:tcPr>
            <w:tcW w:w="1192" w:type="dxa"/>
            <w:tcBorders>
              <w:top w:val="nil"/>
              <w:left w:val="nil"/>
              <w:bottom w:val="single" w:sz="4" w:space="0" w:color="auto"/>
              <w:right w:val="single" w:sz="4" w:space="0" w:color="auto"/>
            </w:tcBorders>
            <w:shd w:val="clear" w:color="auto" w:fill="auto"/>
            <w:noWrap/>
            <w:vAlign w:val="bottom"/>
            <w:hideMark/>
          </w:tcPr>
          <w:p w14:paraId="6F8CE8C4" w14:textId="42620B20"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0,6298</w:t>
            </w:r>
            <w:r w:rsidR="00947AC7">
              <w:rPr>
                <w:rFonts w:eastAsia="Times New Roman"/>
                <w:color w:val="000000"/>
                <w:lang w:eastAsia="pt-BR"/>
              </w:rPr>
              <w:t xml:space="preserve">; </w:t>
            </w:r>
            <w:r w:rsidRPr="005F0949">
              <w:rPr>
                <w:rFonts w:eastAsia="Times New Roman"/>
                <w:color w:val="000000"/>
                <w:lang w:eastAsia="pt-BR"/>
              </w:rPr>
              <w:t>0,9271</w:t>
            </w:r>
          </w:p>
        </w:tc>
        <w:tc>
          <w:tcPr>
            <w:tcW w:w="617" w:type="dxa"/>
            <w:tcBorders>
              <w:top w:val="nil"/>
              <w:left w:val="nil"/>
              <w:bottom w:val="single" w:sz="4" w:space="0" w:color="auto"/>
              <w:right w:val="single" w:sz="4" w:space="0" w:color="auto"/>
            </w:tcBorders>
            <w:shd w:val="clear" w:color="auto" w:fill="auto"/>
            <w:noWrap/>
            <w:vAlign w:val="bottom"/>
            <w:hideMark/>
          </w:tcPr>
          <w:p w14:paraId="0BCAA3D0"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77FB18BC"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12A76532"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E9B20F1" w14:textId="6FCB8939" w:rsidR="008A4365" w:rsidRPr="005F0949" w:rsidRDefault="007C71FC" w:rsidP="005F0949">
            <w:pPr>
              <w:spacing w:after="0" w:line="240" w:lineRule="auto"/>
              <w:rPr>
                <w:rFonts w:eastAsia="Times New Roman"/>
                <w:color w:val="000000"/>
                <w:lang w:eastAsia="pt-BR"/>
              </w:rPr>
            </w:pPr>
            <w:r>
              <w:rPr>
                <w:rFonts w:eastAsia="Times New Roman"/>
                <w:color w:val="000000"/>
                <w:lang w:eastAsia="pt-BR"/>
              </w:rPr>
              <w:t>Autoregressivo do choque na alíquota do imposto sobre o consumo</w:t>
            </w:r>
          </w:p>
        </w:tc>
        <w:tc>
          <w:tcPr>
            <w:tcW w:w="850" w:type="dxa"/>
            <w:tcBorders>
              <w:top w:val="nil"/>
              <w:left w:val="nil"/>
              <w:bottom w:val="single" w:sz="4" w:space="0" w:color="auto"/>
              <w:right w:val="single" w:sz="4" w:space="0" w:color="auto"/>
            </w:tcBorders>
            <w:shd w:val="clear" w:color="auto" w:fill="auto"/>
            <w:noWrap/>
            <w:vAlign w:val="bottom"/>
            <w:hideMark/>
          </w:tcPr>
          <w:p w14:paraId="704B80E9"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1B9D4FCD"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0,4785</w:t>
            </w:r>
          </w:p>
        </w:tc>
        <w:tc>
          <w:tcPr>
            <w:tcW w:w="1192" w:type="dxa"/>
            <w:tcBorders>
              <w:top w:val="nil"/>
              <w:left w:val="nil"/>
              <w:bottom w:val="single" w:sz="4" w:space="0" w:color="auto"/>
              <w:right w:val="single" w:sz="4" w:space="0" w:color="auto"/>
            </w:tcBorders>
            <w:shd w:val="clear" w:color="auto" w:fill="auto"/>
            <w:noWrap/>
            <w:vAlign w:val="bottom"/>
            <w:hideMark/>
          </w:tcPr>
          <w:p w14:paraId="2FF11377" w14:textId="227254B1"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0,3907</w:t>
            </w:r>
            <w:r w:rsidR="00947AC7">
              <w:rPr>
                <w:rFonts w:eastAsia="Times New Roman"/>
                <w:color w:val="000000"/>
                <w:lang w:eastAsia="pt-BR"/>
              </w:rPr>
              <w:t xml:space="preserve">; </w:t>
            </w:r>
            <w:r w:rsidRPr="005F0949">
              <w:rPr>
                <w:rFonts w:eastAsia="Times New Roman"/>
                <w:color w:val="000000"/>
                <w:lang w:eastAsia="pt-BR"/>
              </w:rPr>
              <w:t>0,5684</w:t>
            </w:r>
          </w:p>
        </w:tc>
        <w:tc>
          <w:tcPr>
            <w:tcW w:w="617" w:type="dxa"/>
            <w:tcBorders>
              <w:top w:val="nil"/>
              <w:left w:val="nil"/>
              <w:bottom w:val="single" w:sz="4" w:space="0" w:color="auto"/>
              <w:right w:val="single" w:sz="4" w:space="0" w:color="auto"/>
            </w:tcBorders>
            <w:shd w:val="clear" w:color="auto" w:fill="auto"/>
            <w:noWrap/>
            <w:vAlign w:val="bottom"/>
            <w:hideMark/>
          </w:tcPr>
          <w:p w14:paraId="4E849492"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4F4484CC"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5424FA18"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AE1F5E6" w14:textId="174C92C0" w:rsidR="008A4365" w:rsidRPr="005F0949" w:rsidRDefault="007C71FC" w:rsidP="005F0949">
            <w:pPr>
              <w:spacing w:after="0" w:line="240" w:lineRule="auto"/>
              <w:rPr>
                <w:rFonts w:eastAsia="Times New Roman"/>
                <w:color w:val="000000"/>
                <w:lang w:eastAsia="pt-BR"/>
              </w:rPr>
            </w:pPr>
            <w:r>
              <w:rPr>
                <w:rFonts w:eastAsia="Times New Roman"/>
                <w:color w:val="000000"/>
                <w:lang w:eastAsia="pt-BR"/>
              </w:rPr>
              <w:t>Autoregressivo do choque na alíquota do imposto sobre a renda do trabalho</w:t>
            </w:r>
          </w:p>
        </w:tc>
        <w:tc>
          <w:tcPr>
            <w:tcW w:w="850" w:type="dxa"/>
            <w:tcBorders>
              <w:top w:val="nil"/>
              <w:left w:val="nil"/>
              <w:bottom w:val="single" w:sz="4" w:space="0" w:color="auto"/>
              <w:right w:val="single" w:sz="4" w:space="0" w:color="auto"/>
            </w:tcBorders>
            <w:shd w:val="clear" w:color="auto" w:fill="auto"/>
            <w:noWrap/>
            <w:vAlign w:val="bottom"/>
            <w:hideMark/>
          </w:tcPr>
          <w:p w14:paraId="09A33E04"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568EE18A"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0,472</w:t>
            </w:r>
          </w:p>
        </w:tc>
        <w:tc>
          <w:tcPr>
            <w:tcW w:w="1192" w:type="dxa"/>
            <w:tcBorders>
              <w:top w:val="nil"/>
              <w:left w:val="nil"/>
              <w:bottom w:val="single" w:sz="4" w:space="0" w:color="auto"/>
              <w:right w:val="single" w:sz="4" w:space="0" w:color="auto"/>
            </w:tcBorders>
            <w:shd w:val="clear" w:color="auto" w:fill="auto"/>
            <w:noWrap/>
            <w:vAlign w:val="bottom"/>
            <w:hideMark/>
          </w:tcPr>
          <w:p w14:paraId="42E6886C" w14:textId="5E6C40F6"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0,4039</w:t>
            </w:r>
            <w:r w:rsidR="00947AC7">
              <w:rPr>
                <w:rFonts w:eastAsia="Times New Roman"/>
                <w:color w:val="000000"/>
                <w:lang w:eastAsia="pt-BR"/>
              </w:rPr>
              <w:t xml:space="preserve">; </w:t>
            </w:r>
            <w:r w:rsidRPr="005F0949">
              <w:rPr>
                <w:rFonts w:eastAsia="Times New Roman"/>
                <w:color w:val="000000"/>
                <w:lang w:eastAsia="pt-BR"/>
              </w:rPr>
              <w:t>0,5209</w:t>
            </w:r>
          </w:p>
        </w:tc>
        <w:tc>
          <w:tcPr>
            <w:tcW w:w="617" w:type="dxa"/>
            <w:tcBorders>
              <w:top w:val="nil"/>
              <w:left w:val="nil"/>
              <w:bottom w:val="single" w:sz="4" w:space="0" w:color="auto"/>
              <w:right w:val="single" w:sz="4" w:space="0" w:color="auto"/>
            </w:tcBorders>
            <w:shd w:val="clear" w:color="auto" w:fill="auto"/>
            <w:noWrap/>
            <w:vAlign w:val="bottom"/>
            <w:hideMark/>
          </w:tcPr>
          <w:p w14:paraId="210C61CA"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731051F4"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007F744E"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99B5FAF" w14:textId="06321386" w:rsidR="008A4365" w:rsidRPr="005F0949" w:rsidRDefault="007C71FC" w:rsidP="005F0949">
            <w:pPr>
              <w:spacing w:after="0" w:line="240" w:lineRule="auto"/>
              <w:rPr>
                <w:rFonts w:eastAsia="Times New Roman"/>
                <w:color w:val="000000"/>
                <w:lang w:eastAsia="pt-BR"/>
              </w:rPr>
            </w:pPr>
            <w:r>
              <w:rPr>
                <w:rFonts w:eastAsia="Times New Roman"/>
                <w:color w:val="000000"/>
                <w:lang w:eastAsia="pt-BR"/>
              </w:rPr>
              <w:t>Autoregressivo do choque na alíquota do imposto sobre a renda do capital</w:t>
            </w:r>
          </w:p>
        </w:tc>
        <w:tc>
          <w:tcPr>
            <w:tcW w:w="850" w:type="dxa"/>
            <w:tcBorders>
              <w:top w:val="nil"/>
              <w:left w:val="nil"/>
              <w:bottom w:val="single" w:sz="4" w:space="0" w:color="auto"/>
              <w:right w:val="single" w:sz="4" w:space="0" w:color="auto"/>
            </w:tcBorders>
            <w:shd w:val="clear" w:color="auto" w:fill="auto"/>
            <w:noWrap/>
            <w:vAlign w:val="bottom"/>
            <w:hideMark/>
          </w:tcPr>
          <w:p w14:paraId="48B284CE"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039DB093"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0,3088</w:t>
            </w:r>
          </w:p>
        </w:tc>
        <w:tc>
          <w:tcPr>
            <w:tcW w:w="1192" w:type="dxa"/>
            <w:tcBorders>
              <w:top w:val="nil"/>
              <w:left w:val="nil"/>
              <w:bottom w:val="single" w:sz="4" w:space="0" w:color="auto"/>
              <w:right w:val="single" w:sz="4" w:space="0" w:color="auto"/>
            </w:tcBorders>
            <w:shd w:val="clear" w:color="auto" w:fill="auto"/>
            <w:noWrap/>
            <w:vAlign w:val="bottom"/>
            <w:hideMark/>
          </w:tcPr>
          <w:p w14:paraId="317D5C06" w14:textId="2C1C9642"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0,2278</w:t>
            </w:r>
            <w:r w:rsidR="00947AC7">
              <w:rPr>
                <w:rFonts w:eastAsia="Times New Roman"/>
                <w:color w:val="000000"/>
                <w:lang w:eastAsia="pt-BR"/>
              </w:rPr>
              <w:t xml:space="preserve">; </w:t>
            </w:r>
            <w:r w:rsidRPr="005F0949">
              <w:rPr>
                <w:rFonts w:eastAsia="Times New Roman"/>
                <w:color w:val="000000"/>
                <w:lang w:eastAsia="pt-BR"/>
              </w:rPr>
              <w:t>0,3968</w:t>
            </w:r>
          </w:p>
        </w:tc>
        <w:tc>
          <w:tcPr>
            <w:tcW w:w="617" w:type="dxa"/>
            <w:tcBorders>
              <w:top w:val="nil"/>
              <w:left w:val="nil"/>
              <w:bottom w:val="single" w:sz="4" w:space="0" w:color="auto"/>
              <w:right w:val="single" w:sz="4" w:space="0" w:color="auto"/>
            </w:tcBorders>
            <w:shd w:val="clear" w:color="auto" w:fill="auto"/>
            <w:noWrap/>
            <w:vAlign w:val="bottom"/>
            <w:hideMark/>
          </w:tcPr>
          <w:p w14:paraId="31400D86"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0153A221"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203F5CE0"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49D7D2D" w14:textId="3145437A" w:rsidR="008A4365" w:rsidRPr="005F0949" w:rsidRDefault="007C71FC" w:rsidP="005F0949">
            <w:pPr>
              <w:spacing w:after="0" w:line="240" w:lineRule="auto"/>
              <w:rPr>
                <w:rFonts w:eastAsia="Times New Roman"/>
                <w:color w:val="000000"/>
                <w:lang w:eastAsia="pt-BR"/>
              </w:rPr>
            </w:pPr>
            <w:r>
              <w:rPr>
                <w:rFonts w:eastAsia="Times New Roman"/>
                <w:color w:val="000000"/>
                <w:lang w:eastAsia="pt-BR"/>
              </w:rPr>
              <w:t>Autoregressivo do choque monetário</w:t>
            </w:r>
          </w:p>
        </w:tc>
        <w:tc>
          <w:tcPr>
            <w:tcW w:w="850" w:type="dxa"/>
            <w:tcBorders>
              <w:top w:val="nil"/>
              <w:left w:val="nil"/>
              <w:bottom w:val="single" w:sz="4" w:space="0" w:color="auto"/>
              <w:right w:val="single" w:sz="4" w:space="0" w:color="auto"/>
            </w:tcBorders>
            <w:shd w:val="clear" w:color="auto" w:fill="auto"/>
            <w:noWrap/>
            <w:vAlign w:val="bottom"/>
            <w:hideMark/>
          </w:tcPr>
          <w:p w14:paraId="18D7E61A"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2DA327DC"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0,5103</w:t>
            </w:r>
          </w:p>
        </w:tc>
        <w:tc>
          <w:tcPr>
            <w:tcW w:w="1192" w:type="dxa"/>
            <w:tcBorders>
              <w:top w:val="nil"/>
              <w:left w:val="nil"/>
              <w:bottom w:val="single" w:sz="4" w:space="0" w:color="auto"/>
              <w:right w:val="single" w:sz="4" w:space="0" w:color="auto"/>
            </w:tcBorders>
            <w:shd w:val="clear" w:color="auto" w:fill="auto"/>
            <w:noWrap/>
            <w:vAlign w:val="bottom"/>
            <w:hideMark/>
          </w:tcPr>
          <w:p w14:paraId="272E83CE" w14:textId="208BC8FB" w:rsidR="008A4365" w:rsidRPr="005F0949" w:rsidRDefault="008A4365" w:rsidP="00947AC7">
            <w:pPr>
              <w:spacing w:after="0" w:line="240" w:lineRule="auto"/>
              <w:jc w:val="right"/>
              <w:rPr>
                <w:rFonts w:eastAsia="Times New Roman"/>
                <w:color w:val="000000"/>
                <w:lang w:eastAsia="pt-BR"/>
              </w:rPr>
            </w:pPr>
            <w:r w:rsidRPr="005F0949">
              <w:rPr>
                <w:rFonts w:eastAsia="Times New Roman"/>
                <w:color w:val="000000"/>
                <w:lang w:eastAsia="pt-BR"/>
              </w:rPr>
              <w:t>0,444</w:t>
            </w:r>
            <w:r w:rsidR="00947AC7">
              <w:rPr>
                <w:rFonts w:eastAsia="Times New Roman"/>
                <w:color w:val="000000"/>
                <w:lang w:eastAsia="pt-BR"/>
              </w:rPr>
              <w:t xml:space="preserve">; </w:t>
            </w:r>
            <w:r w:rsidRPr="005F0949">
              <w:rPr>
                <w:rFonts w:eastAsia="Times New Roman"/>
                <w:color w:val="000000"/>
                <w:lang w:eastAsia="pt-BR"/>
              </w:rPr>
              <w:t>0,5656</w:t>
            </w:r>
          </w:p>
        </w:tc>
        <w:tc>
          <w:tcPr>
            <w:tcW w:w="617" w:type="dxa"/>
            <w:tcBorders>
              <w:top w:val="nil"/>
              <w:left w:val="nil"/>
              <w:bottom w:val="single" w:sz="4" w:space="0" w:color="auto"/>
              <w:right w:val="single" w:sz="4" w:space="0" w:color="auto"/>
            </w:tcBorders>
            <w:shd w:val="clear" w:color="auto" w:fill="auto"/>
            <w:noWrap/>
            <w:vAlign w:val="bottom"/>
            <w:hideMark/>
          </w:tcPr>
          <w:p w14:paraId="3E8348B5"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4D891D8C"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64A35284"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9DACF1F" w14:textId="7465C4D0" w:rsidR="008A4365" w:rsidRPr="005F0949" w:rsidRDefault="007C71FC" w:rsidP="005F0949">
            <w:pPr>
              <w:spacing w:after="0" w:line="240" w:lineRule="auto"/>
              <w:rPr>
                <w:rFonts w:eastAsia="Times New Roman"/>
                <w:color w:val="000000"/>
                <w:lang w:eastAsia="pt-BR"/>
              </w:rPr>
            </w:pPr>
            <w:r>
              <w:rPr>
                <w:rFonts w:eastAsia="Times New Roman"/>
                <w:color w:val="000000"/>
                <w:lang w:eastAsia="pt-BR"/>
              </w:rPr>
              <w:t>Autoregressivo do choque de preferência intertemporal</w:t>
            </w:r>
          </w:p>
        </w:tc>
        <w:tc>
          <w:tcPr>
            <w:tcW w:w="850" w:type="dxa"/>
            <w:tcBorders>
              <w:top w:val="nil"/>
              <w:left w:val="nil"/>
              <w:bottom w:val="single" w:sz="4" w:space="0" w:color="auto"/>
              <w:right w:val="single" w:sz="4" w:space="0" w:color="auto"/>
            </w:tcBorders>
            <w:shd w:val="clear" w:color="auto" w:fill="auto"/>
            <w:noWrap/>
            <w:vAlign w:val="bottom"/>
            <w:hideMark/>
          </w:tcPr>
          <w:p w14:paraId="1A48B89F"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72DF75DD"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0,6973</w:t>
            </w:r>
          </w:p>
        </w:tc>
        <w:tc>
          <w:tcPr>
            <w:tcW w:w="1192" w:type="dxa"/>
            <w:tcBorders>
              <w:top w:val="nil"/>
              <w:left w:val="nil"/>
              <w:bottom w:val="single" w:sz="4" w:space="0" w:color="auto"/>
              <w:right w:val="single" w:sz="4" w:space="0" w:color="auto"/>
            </w:tcBorders>
            <w:shd w:val="clear" w:color="auto" w:fill="auto"/>
            <w:noWrap/>
            <w:vAlign w:val="bottom"/>
            <w:hideMark/>
          </w:tcPr>
          <w:p w14:paraId="471A47C0" w14:textId="31D5E1F2" w:rsidR="008A4365" w:rsidRPr="005F0949" w:rsidRDefault="008A4365" w:rsidP="00C12853">
            <w:pPr>
              <w:spacing w:after="0" w:line="240" w:lineRule="auto"/>
              <w:jc w:val="right"/>
              <w:rPr>
                <w:rFonts w:eastAsia="Times New Roman"/>
                <w:color w:val="000000"/>
                <w:lang w:eastAsia="pt-BR"/>
              </w:rPr>
            </w:pPr>
            <w:r w:rsidRPr="005F0949">
              <w:rPr>
                <w:rFonts w:eastAsia="Times New Roman"/>
                <w:color w:val="000000"/>
                <w:lang w:eastAsia="pt-BR"/>
              </w:rPr>
              <w:t>0,6543</w:t>
            </w:r>
            <w:r w:rsidR="00C12853">
              <w:rPr>
                <w:rFonts w:eastAsia="Times New Roman"/>
                <w:color w:val="000000"/>
                <w:lang w:eastAsia="pt-BR"/>
              </w:rPr>
              <w:t xml:space="preserve">; </w:t>
            </w:r>
            <w:r w:rsidRPr="005F0949">
              <w:rPr>
                <w:rFonts w:eastAsia="Times New Roman"/>
                <w:color w:val="000000"/>
                <w:lang w:eastAsia="pt-BR"/>
              </w:rPr>
              <w:t>0,741</w:t>
            </w:r>
          </w:p>
        </w:tc>
        <w:tc>
          <w:tcPr>
            <w:tcW w:w="617" w:type="dxa"/>
            <w:tcBorders>
              <w:top w:val="nil"/>
              <w:left w:val="nil"/>
              <w:bottom w:val="single" w:sz="4" w:space="0" w:color="auto"/>
              <w:right w:val="single" w:sz="4" w:space="0" w:color="auto"/>
            </w:tcBorders>
            <w:shd w:val="clear" w:color="auto" w:fill="auto"/>
            <w:noWrap/>
            <w:vAlign w:val="bottom"/>
            <w:hideMark/>
          </w:tcPr>
          <w:p w14:paraId="563F5D07"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57E0C2F0"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72C3AB12"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8A19048" w14:textId="21ED9A5B" w:rsidR="008A4365" w:rsidRPr="005F0949" w:rsidRDefault="007C71FC" w:rsidP="005F0949">
            <w:pPr>
              <w:spacing w:after="0" w:line="240" w:lineRule="auto"/>
              <w:rPr>
                <w:rFonts w:eastAsia="Times New Roman"/>
                <w:color w:val="000000"/>
                <w:lang w:eastAsia="pt-BR"/>
              </w:rPr>
            </w:pPr>
            <w:r>
              <w:rPr>
                <w:rFonts w:eastAsia="Times New Roman"/>
                <w:color w:val="000000"/>
                <w:lang w:eastAsia="pt-BR"/>
              </w:rPr>
              <w:t>Autoregressivo do choque de oferta de trabalho</w:t>
            </w:r>
          </w:p>
        </w:tc>
        <w:tc>
          <w:tcPr>
            <w:tcW w:w="850" w:type="dxa"/>
            <w:tcBorders>
              <w:top w:val="nil"/>
              <w:left w:val="nil"/>
              <w:bottom w:val="single" w:sz="4" w:space="0" w:color="auto"/>
              <w:right w:val="single" w:sz="4" w:space="0" w:color="auto"/>
            </w:tcBorders>
            <w:shd w:val="clear" w:color="auto" w:fill="auto"/>
            <w:noWrap/>
            <w:vAlign w:val="bottom"/>
            <w:hideMark/>
          </w:tcPr>
          <w:p w14:paraId="1928FD70"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548F7F03"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0,789</w:t>
            </w:r>
          </w:p>
        </w:tc>
        <w:tc>
          <w:tcPr>
            <w:tcW w:w="1192" w:type="dxa"/>
            <w:tcBorders>
              <w:top w:val="nil"/>
              <w:left w:val="nil"/>
              <w:bottom w:val="single" w:sz="4" w:space="0" w:color="auto"/>
              <w:right w:val="single" w:sz="4" w:space="0" w:color="auto"/>
            </w:tcBorders>
            <w:shd w:val="clear" w:color="auto" w:fill="auto"/>
            <w:noWrap/>
            <w:vAlign w:val="bottom"/>
            <w:hideMark/>
          </w:tcPr>
          <w:p w14:paraId="0155B122" w14:textId="6321644B" w:rsidR="008A4365" w:rsidRPr="005F0949" w:rsidRDefault="008A4365" w:rsidP="00C12853">
            <w:pPr>
              <w:spacing w:after="0" w:line="240" w:lineRule="auto"/>
              <w:jc w:val="right"/>
              <w:rPr>
                <w:rFonts w:eastAsia="Times New Roman"/>
                <w:color w:val="000000"/>
                <w:lang w:eastAsia="pt-BR"/>
              </w:rPr>
            </w:pPr>
            <w:r w:rsidRPr="005F0949">
              <w:rPr>
                <w:rFonts w:eastAsia="Times New Roman"/>
                <w:color w:val="000000"/>
                <w:lang w:eastAsia="pt-BR"/>
              </w:rPr>
              <w:t>0,7528</w:t>
            </w:r>
            <w:r w:rsidR="00C12853">
              <w:rPr>
                <w:rFonts w:eastAsia="Times New Roman"/>
                <w:color w:val="000000"/>
                <w:lang w:eastAsia="pt-BR"/>
              </w:rPr>
              <w:t xml:space="preserve">; </w:t>
            </w:r>
            <w:r w:rsidRPr="005F0949">
              <w:rPr>
                <w:rFonts w:eastAsia="Times New Roman"/>
                <w:color w:val="000000"/>
                <w:lang w:eastAsia="pt-BR"/>
              </w:rPr>
              <w:t>0,8196</w:t>
            </w:r>
          </w:p>
        </w:tc>
        <w:tc>
          <w:tcPr>
            <w:tcW w:w="617" w:type="dxa"/>
            <w:tcBorders>
              <w:top w:val="nil"/>
              <w:left w:val="nil"/>
              <w:bottom w:val="single" w:sz="4" w:space="0" w:color="auto"/>
              <w:right w:val="single" w:sz="4" w:space="0" w:color="auto"/>
            </w:tcBorders>
            <w:shd w:val="clear" w:color="auto" w:fill="auto"/>
            <w:noWrap/>
            <w:vAlign w:val="bottom"/>
            <w:hideMark/>
          </w:tcPr>
          <w:p w14:paraId="4F791B60"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741C0A4A"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712B9F38"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786CAD9" w14:textId="6B8280AF" w:rsidR="008A4365" w:rsidRPr="005F0949" w:rsidRDefault="007C71FC" w:rsidP="005F0949">
            <w:pPr>
              <w:spacing w:after="0" w:line="240" w:lineRule="auto"/>
              <w:rPr>
                <w:rFonts w:eastAsia="Times New Roman"/>
                <w:color w:val="000000"/>
                <w:lang w:eastAsia="pt-BR"/>
              </w:rPr>
            </w:pPr>
            <w:r>
              <w:rPr>
                <w:rFonts w:eastAsia="Times New Roman"/>
                <w:color w:val="000000"/>
                <w:lang w:eastAsia="pt-BR"/>
              </w:rPr>
              <w:t>Autoregressivo do choque na produtividade do investimento</w:t>
            </w:r>
          </w:p>
        </w:tc>
        <w:tc>
          <w:tcPr>
            <w:tcW w:w="850" w:type="dxa"/>
            <w:tcBorders>
              <w:top w:val="nil"/>
              <w:left w:val="nil"/>
              <w:bottom w:val="single" w:sz="4" w:space="0" w:color="auto"/>
              <w:right w:val="single" w:sz="4" w:space="0" w:color="auto"/>
            </w:tcBorders>
            <w:shd w:val="clear" w:color="auto" w:fill="auto"/>
            <w:noWrap/>
            <w:vAlign w:val="bottom"/>
            <w:hideMark/>
          </w:tcPr>
          <w:p w14:paraId="6920C3AA"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28FF52FC"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0,7168</w:t>
            </w:r>
          </w:p>
        </w:tc>
        <w:tc>
          <w:tcPr>
            <w:tcW w:w="1192" w:type="dxa"/>
            <w:tcBorders>
              <w:top w:val="nil"/>
              <w:left w:val="nil"/>
              <w:bottom w:val="single" w:sz="4" w:space="0" w:color="auto"/>
              <w:right w:val="single" w:sz="4" w:space="0" w:color="auto"/>
            </w:tcBorders>
            <w:shd w:val="clear" w:color="auto" w:fill="auto"/>
            <w:noWrap/>
            <w:vAlign w:val="bottom"/>
            <w:hideMark/>
          </w:tcPr>
          <w:p w14:paraId="5C07E712" w14:textId="3745CB3F" w:rsidR="008A4365" w:rsidRPr="005F0949" w:rsidRDefault="008A4365" w:rsidP="00C12853">
            <w:pPr>
              <w:spacing w:after="0" w:line="240" w:lineRule="auto"/>
              <w:jc w:val="right"/>
              <w:rPr>
                <w:rFonts w:eastAsia="Times New Roman"/>
                <w:color w:val="000000"/>
                <w:lang w:eastAsia="pt-BR"/>
              </w:rPr>
            </w:pPr>
            <w:r w:rsidRPr="005F0949">
              <w:rPr>
                <w:rFonts w:eastAsia="Times New Roman"/>
                <w:color w:val="000000"/>
                <w:lang w:eastAsia="pt-BR"/>
              </w:rPr>
              <w:t>0,677</w:t>
            </w:r>
            <w:r w:rsidR="00C12853">
              <w:rPr>
                <w:rFonts w:eastAsia="Times New Roman"/>
                <w:color w:val="000000"/>
                <w:lang w:eastAsia="pt-BR"/>
              </w:rPr>
              <w:t xml:space="preserve">; </w:t>
            </w:r>
            <w:r w:rsidRPr="005F0949">
              <w:rPr>
                <w:rFonts w:eastAsia="Times New Roman"/>
                <w:color w:val="000000"/>
                <w:lang w:eastAsia="pt-BR"/>
              </w:rPr>
              <w:t>0,757</w:t>
            </w:r>
          </w:p>
        </w:tc>
        <w:tc>
          <w:tcPr>
            <w:tcW w:w="617" w:type="dxa"/>
            <w:tcBorders>
              <w:top w:val="nil"/>
              <w:left w:val="nil"/>
              <w:bottom w:val="single" w:sz="4" w:space="0" w:color="auto"/>
              <w:right w:val="single" w:sz="4" w:space="0" w:color="auto"/>
            </w:tcBorders>
            <w:shd w:val="clear" w:color="auto" w:fill="auto"/>
            <w:noWrap/>
            <w:vAlign w:val="bottom"/>
            <w:hideMark/>
          </w:tcPr>
          <w:p w14:paraId="363875E1"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2F0F187F"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5BB2607F"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1881471" w14:textId="2ED5B246" w:rsidR="008A4365" w:rsidRPr="005F0949" w:rsidRDefault="007C71FC" w:rsidP="005F0949">
            <w:pPr>
              <w:spacing w:after="0" w:line="240" w:lineRule="auto"/>
              <w:rPr>
                <w:rFonts w:eastAsia="Times New Roman"/>
                <w:color w:val="000000"/>
                <w:lang w:eastAsia="pt-BR"/>
              </w:rPr>
            </w:pPr>
            <w:r>
              <w:rPr>
                <w:rFonts w:eastAsia="Times New Roman"/>
                <w:color w:val="000000"/>
                <w:lang w:eastAsia="pt-BR"/>
              </w:rPr>
              <w:t>Autoregressivo do choque nas exportações</w:t>
            </w:r>
          </w:p>
        </w:tc>
        <w:tc>
          <w:tcPr>
            <w:tcW w:w="850" w:type="dxa"/>
            <w:tcBorders>
              <w:top w:val="nil"/>
              <w:left w:val="nil"/>
              <w:bottom w:val="single" w:sz="4" w:space="0" w:color="auto"/>
              <w:right w:val="single" w:sz="4" w:space="0" w:color="auto"/>
            </w:tcBorders>
            <w:shd w:val="clear" w:color="auto" w:fill="auto"/>
            <w:noWrap/>
            <w:vAlign w:val="bottom"/>
            <w:hideMark/>
          </w:tcPr>
          <w:p w14:paraId="4C84F882"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243E7BAE"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0,4814</w:t>
            </w:r>
          </w:p>
        </w:tc>
        <w:tc>
          <w:tcPr>
            <w:tcW w:w="1192" w:type="dxa"/>
            <w:tcBorders>
              <w:top w:val="nil"/>
              <w:left w:val="nil"/>
              <w:bottom w:val="single" w:sz="4" w:space="0" w:color="auto"/>
              <w:right w:val="single" w:sz="4" w:space="0" w:color="auto"/>
            </w:tcBorders>
            <w:shd w:val="clear" w:color="auto" w:fill="auto"/>
            <w:noWrap/>
            <w:vAlign w:val="bottom"/>
            <w:hideMark/>
          </w:tcPr>
          <w:p w14:paraId="15AF64E7" w14:textId="5237A2A6" w:rsidR="008A4365" w:rsidRPr="005F0949" w:rsidRDefault="008A4365" w:rsidP="00C12853">
            <w:pPr>
              <w:spacing w:after="0" w:line="240" w:lineRule="auto"/>
              <w:jc w:val="right"/>
              <w:rPr>
                <w:rFonts w:eastAsia="Times New Roman"/>
                <w:color w:val="000000"/>
                <w:lang w:eastAsia="pt-BR"/>
              </w:rPr>
            </w:pPr>
            <w:r w:rsidRPr="005F0949">
              <w:rPr>
                <w:rFonts w:eastAsia="Times New Roman"/>
                <w:color w:val="000000"/>
                <w:lang w:eastAsia="pt-BR"/>
              </w:rPr>
              <w:t>0,3975</w:t>
            </w:r>
            <w:r w:rsidR="00C12853">
              <w:rPr>
                <w:rFonts w:eastAsia="Times New Roman"/>
                <w:color w:val="000000"/>
                <w:lang w:eastAsia="pt-BR"/>
              </w:rPr>
              <w:t xml:space="preserve">; </w:t>
            </w:r>
            <w:r w:rsidRPr="005F0949">
              <w:rPr>
                <w:rFonts w:eastAsia="Times New Roman"/>
                <w:color w:val="000000"/>
                <w:lang w:eastAsia="pt-BR"/>
              </w:rPr>
              <w:t>0,5609</w:t>
            </w:r>
          </w:p>
        </w:tc>
        <w:tc>
          <w:tcPr>
            <w:tcW w:w="617" w:type="dxa"/>
            <w:tcBorders>
              <w:top w:val="nil"/>
              <w:left w:val="nil"/>
              <w:bottom w:val="single" w:sz="4" w:space="0" w:color="auto"/>
              <w:right w:val="single" w:sz="4" w:space="0" w:color="auto"/>
            </w:tcBorders>
            <w:shd w:val="clear" w:color="auto" w:fill="auto"/>
            <w:noWrap/>
            <w:vAlign w:val="bottom"/>
            <w:hideMark/>
          </w:tcPr>
          <w:p w14:paraId="04BEBC7A"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24513D88"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59DF665B"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52CDD06" w14:textId="59CABFED" w:rsidR="008A4365" w:rsidRPr="005F0949" w:rsidRDefault="007C71FC" w:rsidP="005F0949">
            <w:pPr>
              <w:spacing w:after="0" w:line="240" w:lineRule="auto"/>
              <w:rPr>
                <w:rFonts w:eastAsia="Times New Roman"/>
                <w:color w:val="000000"/>
                <w:lang w:eastAsia="pt-BR"/>
              </w:rPr>
            </w:pPr>
            <w:r>
              <w:rPr>
                <w:rFonts w:eastAsia="Times New Roman"/>
                <w:color w:val="000000"/>
                <w:lang w:eastAsia="pt-BR"/>
              </w:rPr>
              <w:t>Autoregressivo do choque na taxa de juros externa</w:t>
            </w:r>
          </w:p>
        </w:tc>
        <w:tc>
          <w:tcPr>
            <w:tcW w:w="850" w:type="dxa"/>
            <w:tcBorders>
              <w:top w:val="nil"/>
              <w:left w:val="nil"/>
              <w:bottom w:val="single" w:sz="4" w:space="0" w:color="auto"/>
              <w:right w:val="single" w:sz="4" w:space="0" w:color="auto"/>
            </w:tcBorders>
            <w:shd w:val="clear" w:color="auto" w:fill="auto"/>
            <w:noWrap/>
            <w:vAlign w:val="bottom"/>
            <w:hideMark/>
          </w:tcPr>
          <w:p w14:paraId="052816CF"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6DFFBEB1"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0,6062</w:t>
            </w:r>
          </w:p>
        </w:tc>
        <w:tc>
          <w:tcPr>
            <w:tcW w:w="1192" w:type="dxa"/>
            <w:tcBorders>
              <w:top w:val="nil"/>
              <w:left w:val="nil"/>
              <w:bottom w:val="single" w:sz="4" w:space="0" w:color="auto"/>
              <w:right w:val="single" w:sz="4" w:space="0" w:color="auto"/>
            </w:tcBorders>
            <w:shd w:val="clear" w:color="auto" w:fill="auto"/>
            <w:noWrap/>
            <w:vAlign w:val="bottom"/>
            <w:hideMark/>
          </w:tcPr>
          <w:p w14:paraId="40F9F615" w14:textId="29FD23AD" w:rsidR="008A4365" w:rsidRPr="005F0949" w:rsidRDefault="008A4365" w:rsidP="00A4294F">
            <w:pPr>
              <w:spacing w:after="0" w:line="240" w:lineRule="auto"/>
              <w:jc w:val="right"/>
              <w:rPr>
                <w:rFonts w:eastAsia="Times New Roman"/>
                <w:color w:val="000000"/>
                <w:lang w:eastAsia="pt-BR"/>
              </w:rPr>
            </w:pPr>
            <w:r w:rsidRPr="005F0949">
              <w:rPr>
                <w:rFonts w:eastAsia="Times New Roman"/>
                <w:color w:val="000000"/>
                <w:lang w:eastAsia="pt-BR"/>
              </w:rPr>
              <w:t>0,5542</w:t>
            </w:r>
            <w:r w:rsidR="00A4294F">
              <w:rPr>
                <w:rFonts w:eastAsia="Times New Roman"/>
                <w:color w:val="000000"/>
                <w:lang w:eastAsia="pt-BR"/>
              </w:rPr>
              <w:t xml:space="preserve">; </w:t>
            </w:r>
            <w:r w:rsidRPr="005F0949">
              <w:rPr>
                <w:rFonts w:eastAsia="Times New Roman"/>
                <w:color w:val="000000"/>
                <w:lang w:eastAsia="pt-BR"/>
              </w:rPr>
              <w:t>0,6586</w:t>
            </w:r>
          </w:p>
        </w:tc>
        <w:tc>
          <w:tcPr>
            <w:tcW w:w="617" w:type="dxa"/>
            <w:tcBorders>
              <w:top w:val="nil"/>
              <w:left w:val="nil"/>
              <w:bottom w:val="single" w:sz="4" w:space="0" w:color="auto"/>
              <w:right w:val="single" w:sz="4" w:space="0" w:color="auto"/>
            </w:tcBorders>
            <w:shd w:val="clear" w:color="auto" w:fill="auto"/>
            <w:noWrap/>
            <w:vAlign w:val="bottom"/>
            <w:hideMark/>
          </w:tcPr>
          <w:p w14:paraId="50625A8C"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68387B4F"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0C0F2164"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A669709" w14:textId="2FC06EFB" w:rsidR="008A4365" w:rsidRPr="005F0949" w:rsidRDefault="007C71FC" w:rsidP="005F0949">
            <w:pPr>
              <w:spacing w:after="0" w:line="240" w:lineRule="auto"/>
              <w:rPr>
                <w:rFonts w:eastAsia="Times New Roman"/>
                <w:color w:val="000000"/>
                <w:lang w:eastAsia="pt-BR"/>
              </w:rPr>
            </w:pPr>
            <w:r>
              <w:rPr>
                <w:rFonts w:eastAsia="Times New Roman"/>
                <w:color w:val="000000"/>
                <w:lang w:eastAsia="pt-BR"/>
              </w:rPr>
              <w:t>Autoregressivo do choque no nível de preços dos insumos importados</w:t>
            </w:r>
          </w:p>
        </w:tc>
        <w:tc>
          <w:tcPr>
            <w:tcW w:w="850" w:type="dxa"/>
            <w:tcBorders>
              <w:top w:val="nil"/>
              <w:left w:val="nil"/>
              <w:bottom w:val="single" w:sz="4" w:space="0" w:color="auto"/>
              <w:right w:val="single" w:sz="4" w:space="0" w:color="auto"/>
            </w:tcBorders>
            <w:shd w:val="clear" w:color="auto" w:fill="auto"/>
            <w:noWrap/>
            <w:vAlign w:val="bottom"/>
            <w:hideMark/>
          </w:tcPr>
          <w:p w14:paraId="7CBD1646"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w:t>
            </w:r>
          </w:p>
        </w:tc>
        <w:tc>
          <w:tcPr>
            <w:tcW w:w="1017" w:type="dxa"/>
            <w:tcBorders>
              <w:top w:val="nil"/>
              <w:left w:val="nil"/>
              <w:bottom w:val="single" w:sz="4" w:space="0" w:color="auto"/>
              <w:right w:val="single" w:sz="4" w:space="0" w:color="auto"/>
            </w:tcBorders>
            <w:shd w:val="clear" w:color="auto" w:fill="auto"/>
            <w:noWrap/>
            <w:vAlign w:val="bottom"/>
            <w:hideMark/>
          </w:tcPr>
          <w:p w14:paraId="7D0C6BBE"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0,5924</w:t>
            </w:r>
          </w:p>
        </w:tc>
        <w:tc>
          <w:tcPr>
            <w:tcW w:w="1192" w:type="dxa"/>
            <w:tcBorders>
              <w:top w:val="nil"/>
              <w:left w:val="nil"/>
              <w:bottom w:val="single" w:sz="4" w:space="0" w:color="auto"/>
              <w:right w:val="single" w:sz="4" w:space="0" w:color="auto"/>
            </w:tcBorders>
            <w:shd w:val="clear" w:color="auto" w:fill="auto"/>
            <w:noWrap/>
            <w:vAlign w:val="bottom"/>
            <w:hideMark/>
          </w:tcPr>
          <w:p w14:paraId="51796832" w14:textId="0D4481A0" w:rsidR="008A4365" w:rsidRPr="005F0949" w:rsidRDefault="008A4365" w:rsidP="00A4294F">
            <w:pPr>
              <w:spacing w:after="0" w:line="240" w:lineRule="auto"/>
              <w:jc w:val="right"/>
              <w:rPr>
                <w:rFonts w:eastAsia="Times New Roman"/>
                <w:color w:val="000000"/>
                <w:lang w:eastAsia="pt-BR"/>
              </w:rPr>
            </w:pPr>
            <w:r w:rsidRPr="005F0949">
              <w:rPr>
                <w:rFonts w:eastAsia="Times New Roman"/>
                <w:color w:val="000000"/>
                <w:lang w:eastAsia="pt-BR"/>
              </w:rPr>
              <w:t>0,4592</w:t>
            </w:r>
            <w:r w:rsidR="00A4294F">
              <w:rPr>
                <w:rFonts w:eastAsia="Times New Roman"/>
                <w:color w:val="000000"/>
                <w:lang w:eastAsia="pt-BR"/>
              </w:rPr>
              <w:t xml:space="preserve">; </w:t>
            </w:r>
            <w:r w:rsidRPr="005F0949">
              <w:rPr>
                <w:rFonts w:eastAsia="Times New Roman"/>
                <w:color w:val="000000"/>
                <w:lang w:eastAsia="pt-BR"/>
              </w:rPr>
              <w:t>0,7043</w:t>
            </w:r>
          </w:p>
        </w:tc>
        <w:tc>
          <w:tcPr>
            <w:tcW w:w="617" w:type="dxa"/>
            <w:tcBorders>
              <w:top w:val="nil"/>
              <w:left w:val="nil"/>
              <w:bottom w:val="single" w:sz="4" w:space="0" w:color="auto"/>
              <w:right w:val="single" w:sz="4" w:space="0" w:color="auto"/>
            </w:tcBorders>
            <w:shd w:val="clear" w:color="auto" w:fill="auto"/>
            <w:noWrap/>
            <w:vAlign w:val="bottom"/>
            <w:hideMark/>
          </w:tcPr>
          <w:p w14:paraId="399F148A" w14:textId="77777777" w:rsidR="008A4365" w:rsidRPr="005F0949" w:rsidRDefault="008A4365" w:rsidP="005F0949">
            <w:pPr>
              <w:spacing w:after="0" w:line="240" w:lineRule="auto"/>
              <w:rPr>
                <w:rFonts w:eastAsia="Times New Roman"/>
                <w:color w:val="000000"/>
                <w:lang w:eastAsia="pt-BR"/>
              </w:rPr>
            </w:pPr>
            <w:r w:rsidRPr="005F0949">
              <w:rPr>
                <w:rFonts w:eastAsia="Times New Roman"/>
                <w:color w:val="000000"/>
                <w:lang w:eastAsia="pt-BR"/>
              </w:rPr>
              <w:t>beta</w:t>
            </w:r>
          </w:p>
        </w:tc>
        <w:tc>
          <w:tcPr>
            <w:tcW w:w="995" w:type="dxa"/>
            <w:tcBorders>
              <w:top w:val="nil"/>
              <w:left w:val="nil"/>
              <w:bottom w:val="single" w:sz="4" w:space="0" w:color="auto"/>
              <w:right w:val="single" w:sz="4" w:space="0" w:color="auto"/>
            </w:tcBorders>
            <w:shd w:val="clear" w:color="auto" w:fill="auto"/>
            <w:noWrap/>
            <w:vAlign w:val="bottom"/>
            <w:hideMark/>
          </w:tcPr>
          <w:p w14:paraId="26E3CBD3"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w:t>
            </w:r>
          </w:p>
        </w:tc>
      </w:tr>
      <w:tr w:rsidR="003F7681" w:rsidRPr="005F0949" w14:paraId="584EEA1F"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8B35732" w14:textId="5EE77E61" w:rsidR="008A4365" w:rsidRPr="005F0949" w:rsidRDefault="006804C6" w:rsidP="005F0949">
            <w:pPr>
              <w:spacing w:after="0" w:line="240" w:lineRule="auto"/>
              <w:rPr>
                <w:rFonts w:eastAsia="Times New Roman"/>
                <w:color w:val="000000"/>
                <w:lang w:eastAsia="pt-BR"/>
              </w:rPr>
            </w:pPr>
            <w:r w:rsidRPr="005F0949">
              <w:rPr>
                <w:rFonts w:eastAsia="Times New Roman"/>
                <w:color w:val="000000"/>
                <w:lang w:eastAsia="pt-BR"/>
              </w:rPr>
              <w:t>E</w:t>
            </w:r>
            <w:r>
              <w:rPr>
                <w:rFonts w:eastAsia="Times New Roman"/>
                <w:color w:val="000000"/>
                <w:lang w:eastAsia="pt-BR"/>
              </w:rPr>
              <w:t>rro-padrão da produtividade</w:t>
            </w:r>
          </w:p>
        </w:tc>
        <w:tc>
          <w:tcPr>
            <w:tcW w:w="850" w:type="dxa"/>
            <w:tcBorders>
              <w:top w:val="nil"/>
              <w:left w:val="nil"/>
              <w:bottom w:val="single" w:sz="4" w:space="0" w:color="auto"/>
              <w:right w:val="single" w:sz="4" w:space="0" w:color="auto"/>
            </w:tcBorders>
            <w:shd w:val="clear" w:color="auto" w:fill="auto"/>
            <w:noWrap/>
            <w:vAlign w:val="bottom"/>
            <w:hideMark/>
          </w:tcPr>
          <w:p w14:paraId="2324FE05"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1</w:t>
            </w:r>
          </w:p>
        </w:tc>
        <w:tc>
          <w:tcPr>
            <w:tcW w:w="1017" w:type="dxa"/>
            <w:tcBorders>
              <w:top w:val="nil"/>
              <w:left w:val="nil"/>
              <w:bottom w:val="single" w:sz="4" w:space="0" w:color="auto"/>
              <w:right w:val="single" w:sz="4" w:space="0" w:color="auto"/>
            </w:tcBorders>
            <w:shd w:val="clear" w:color="auto" w:fill="auto"/>
            <w:noWrap/>
            <w:vAlign w:val="bottom"/>
            <w:hideMark/>
          </w:tcPr>
          <w:p w14:paraId="5D31CC06"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0,1741</w:t>
            </w:r>
          </w:p>
        </w:tc>
        <w:tc>
          <w:tcPr>
            <w:tcW w:w="1192" w:type="dxa"/>
            <w:tcBorders>
              <w:top w:val="nil"/>
              <w:left w:val="nil"/>
              <w:bottom w:val="single" w:sz="4" w:space="0" w:color="auto"/>
              <w:right w:val="single" w:sz="4" w:space="0" w:color="auto"/>
            </w:tcBorders>
            <w:shd w:val="clear" w:color="auto" w:fill="auto"/>
            <w:noWrap/>
            <w:vAlign w:val="bottom"/>
            <w:hideMark/>
          </w:tcPr>
          <w:p w14:paraId="1E63D06E" w14:textId="311C77F4" w:rsidR="008A4365" w:rsidRPr="005F0949" w:rsidRDefault="008A4365" w:rsidP="00A4294F">
            <w:pPr>
              <w:spacing w:after="0" w:line="240" w:lineRule="auto"/>
              <w:jc w:val="right"/>
              <w:rPr>
                <w:rFonts w:eastAsia="Times New Roman"/>
                <w:color w:val="000000"/>
                <w:lang w:eastAsia="pt-BR"/>
              </w:rPr>
            </w:pPr>
            <w:r w:rsidRPr="005F0949">
              <w:rPr>
                <w:rFonts w:eastAsia="Times New Roman"/>
                <w:color w:val="000000"/>
                <w:lang w:eastAsia="pt-BR"/>
              </w:rPr>
              <w:t>0,1419</w:t>
            </w:r>
            <w:r w:rsidR="00A4294F">
              <w:rPr>
                <w:rFonts w:eastAsia="Times New Roman"/>
                <w:color w:val="000000"/>
                <w:lang w:eastAsia="pt-BR"/>
              </w:rPr>
              <w:t xml:space="preserve">; </w:t>
            </w:r>
            <w:r w:rsidRPr="005F0949">
              <w:rPr>
                <w:rFonts w:eastAsia="Times New Roman"/>
                <w:color w:val="000000"/>
                <w:lang w:eastAsia="pt-BR"/>
              </w:rPr>
              <w:t>0,2052</w:t>
            </w:r>
          </w:p>
        </w:tc>
        <w:tc>
          <w:tcPr>
            <w:tcW w:w="617" w:type="dxa"/>
            <w:tcBorders>
              <w:top w:val="nil"/>
              <w:left w:val="nil"/>
              <w:bottom w:val="single" w:sz="4" w:space="0" w:color="auto"/>
              <w:right w:val="single" w:sz="4" w:space="0" w:color="auto"/>
            </w:tcBorders>
            <w:shd w:val="clear" w:color="auto" w:fill="auto"/>
            <w:noWrap/>
            <w:vAlign w:val="bottom"/>
            <w:hideMark/>
          </w:tcPr>
          <w:p w14:paraId="763FC4C1"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invg</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076C142E"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Inf</w:t>
            </w:r>
            <w:proofErr w:type="spellEnd"/>
          </w:p>
        </w:tc>
      </w:tr>
      <w:tr w:rsidR="003F7681" w:rsidRPr="005F0949" w14:paraId="119D94F5"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678970D" w14:textId="7D0808AD" w:rsidR="008A4365" w:rsidRPr="005F0949" w:rsidRDefault="006804C6" w:rsidP="005F0949">
            <w:pPr>
              <w:spacing w:after="0" w:line="240" w:lineRule="auto"/>
              <w:rPr>
                <w:rFonts w:eastAsia="Times New Roman"/>
                <w:color w:val="000000"/>
                <w:lang w:eastAsia="pt-BR"/>
              </w:rPr>
            </w:pPr>
            <w:r w:rsidRPr="005F0949">
              <w:rPr>
                <w:rFonts w:eastAsia="Times New Roman"/>
                <w:color w:val="000000"/>
                <w:lang w:eastAsia="pt-BR"/>
              </w:rPr>
              <w:t>E</w:t>
            </w:r>
            <w:r>
              <w:rPr>
                <w:rFonts w:eastAsia="Times New Roman"/>
                <w:color w:val="000000"/>
                <w:lang w:eastAsia="pt-BR"/>
              </w:rPr>
              <w:t>rro-padrão do gasto corrente do governo</w:t>
            </w:r>
          </w:p>
        </w:tc>
        <w:tc>
          <w:tcPr>
            <w:tcW w:w="850" w:type="dxa"/>
            <w:tcBorders>
              <w:top w:val="nil"/>
              <w:left w:val="nil"/>
              <w:bottom w:val="single" w:sz="4" w:space="0" w:color="auto"/>
              <w:right w:val="single" w:sz="4" w:space="0" w:color="auto"/>
            </w:tcBorders>
            <w:shd w:val="clear" w:color="auto" w:fill="auto"/>
            <w:noWrap/>
            <w:vAlign w:val="bottom"/>
            <w:hideMark/>
          </w:tcPr>
          <w:p w14:paraId="3B47CE3A"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1</w:t>
            </w:r>
          </w:p>
        </w:tc>
        <w:tc>
          <w:tcPr>
            <w:tcW w:w="1017" w:type="dxa"/>
            <w:tcBorders>
              <w:top w:val="nil"/>
              <w:left w:val="nil"/>
              <w:bottom w:val="single" w:sz="4" w:space="0" w:color="auto"/>
              <w:right w:val="single" w:sz="4" w:space="0" w:color="auto"/>
            </w:tcBorders>
            <w:shd w:val="clear" w:color="auto" w:fill="auto"/>
            <w:noWrap/>
            <w:vAlign w:val="bottom"/>
            <w:hideMark/>
          </w:tcPr>
          <w:p w14:paraId="4CBF4E40"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0,1248</w:t>
            </w:r>
          </w:p>
        </w:tc>
        <w:tc>
          <w:tcPr>
            <w:tcW w:w="1192" w:type="dxa"/>
            <w:tcBorders>
              <w:top w:val="nil"/>
              <w:left w:val="nil"/>
              <w:bottom w:val="single" w:sz="4" w:space="0" w:color="auto"/>
              <w:right w:val="single" w:sz="4" w:space="0" w:color="auto"/>
            </w:tcBorders>
            <w:shd w:val="clear" w:color="auto" w:fill="auto"/>
            <w:noWrap/>
            <w:vAlign w:val="bottom"/>
            <w:hideMark/>
          </w:tcPr>
          <w:p w14:paraId="7AFDAA09" w14:textId="6AA012C2" w:rsidR="008A4365" w:rsidRPr="005F0949" w:rsidRDefault="008A4365" w:rsidP="00A4294F">
            <w:pPr>
              <w:spacing w:after="0" w:line="240" w:lineRule="auto"/>
              <w:jc w:val="right"/>
              <w:rPr>
                <w:rFonts w:eastAsia="Times New Roman"/>
                <w:color w:val="000000"/>
                <w:lang w:eastAsia="pt-BR"/>
              </w:rPr>
            </w:pPr>
            <w:r w:rsidRPr="005F0949">
              <w:rPr>
                <w:rFonts w:eastAsia="Times New Roman"/>
                <w:color w:val="000000"/>
                <w:lang w:eastAsia="pt-BR"/>
              </w:rPr>
              <w:t>0,1176</w:t>
            </w:r>
            <w:r w:rsidR="00A4294F">
              <w:rPr>
                <w:rFonts w:eastAsia="Times New Roman"/>
                <w:color w:val="000000"/>
                <w:lang w:eastAsia="pt-BR"/>
              </w:rPr>
              <w:t xml:space="preserve">; </w:t>
            </w:r>
            <w:r w:rsidRPr="005F0949">
              <w:rPr>
                <w:rFonts w:eastAsia="Times New Roman"/>
                <w:color w:val="000000"/>
                <w:lang w:eastAsia="pt-BR"/>
              </w:rPr>
              <w:t>0,1335</w:t>
            </w:r>
          </w:p>
        </w:tc>
        <w:tc>
          <w:tcPr>
            <w:tcW w:w="617" w:type="dxa"/>
            <w:tcBorders>
              <w:top w:val="nil"/>
              <w:left w:val="nil"/>
              <w:bottom w:val="single" w:sz="4" w:space="0" w:color="auto"/>
              <w:right w:val="single" w:sz="4" w:space="0" w:color="auto"/>
            </w:tcBorders>
            <w:shd w:val="clear" w:color="auto" w:fill="auto"/>
            <w:noWrap/>
            <w:vAlign w:val="bottom"/>
            <w:hideMark/>
          </w:tcPr>
          <w:p w14:paraId="707125A9"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invg</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3FBEB11E"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Inf</w:t>
            </w:r>
            <w:proofErr w:type="spellEnd"/>
          </w:p>
        </w:tc>
      </w:tr>
      <w:tr w:rsidR="003F7681" w:rsidRPr="005F0949" w14:paraId="28061FD2"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568324D" w14:textId="32DDD5AD" w:rsidR="008A4365" w:rsidRPr="005F0949" w:rsidRDefault="006804C6" w:rsidP="005F0949">
            <w:pPr>
              <w:spacing w:after="0" w:line="240" w:lineRule="auto"/>
              <w:rPr>
                <w:rFonts w:eastAsia="Times New Roman"/>
                <w:color w:val="000000"/>
                <w:lang w:eastAsia="pt-BR"/>
              </w:rPr>
            </w:pPr>
            <w:r w:rsidRPr="005F0949">
              <w:rPr>
                <w:rFonts w:eastAsia="Times New Roman"/>
                <w:color w:val="000000"/>
                <w:lang w:eastAsia="pt-BR"/>
              </w:rPr>
              <w:t>E</w:t>
            </w:r>
            <w:r>
              <w:rPr>
                <w:rFonts w:eastAsia="Times New Roman"/>
                <w:color w:val="000000"/>
                <w:lang w:eastAsia="pt-BR"/>
              </w:rPr>
              <w:t>rro-padrão do investimento do governo</w:t>
            </w:r>
          </w:p>
        </w:tc>
        <w:tc>
          <w:tcPr>
            <w:tcW w:w="850" w:type="dxa"/>
            <w:tcBorders>
              <w:top w:val="nil"/>
              <w:left w:val="nil"/>
              <w:bottom w:val="single" w:sz="4" w:space="0" w:color="auto"/>
              <w:right w:val="single" w:sz="4" w:space="0" w:color="auto"/>
            </w:tcBorders>
            <w:shd w:val="clear" w:color="auto" w:fill="auto"/>
            <w:noWrap/>
            <w:vAlign w:val="bottom"/>
            <w:hideMark/>
          </w:tcPr>
          <w:p w14:paraId="695E8FC2"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1</w:t>
            </w:r>
          </w:p>
        </w:tc>
        <w:tc>
          <w:tcPr>
            <w:tcW w:w="1017" w:type="dxa"/>
            <w:tcBorders>
              <w:top w:val="nil"/>
              <w:left w:val="nil"/>
              <w:bottom w:val="single" w:sz="4" w:space="0" w:color="auto"/>
              <w:right w:val="single" w:sz="4" w:space="0" w:color="auto"/>
            </w:tcBorders>
            <w:shd w:val="clear" w:color="auto" w:fill="auto"/>
            <w:noWrap/>
            <w:vAlign w:val="bottom"/>
            <w:hideMark/>
          </w:tcPr>
          <w:p w14:paraId="6BBDF2DF"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1,2053</w:t>
            </w:r>
          </w:p>
        </w:tc>
        <w:tc>
          <w:tcPr>
            <w:tcW w:w="1192" w:type="dxa"/>
            <w:tcBorders>
              <w:top w:val="nil"/>
              <w:left w:val="nil"/>
              <w:bottom w:val="single" w:sz="4" w:space="0" w:color="auto"/>
              <w:right w:val="single" w:sz="4" w:space="0" w:color="auto"/>
            </w:tcBorders>
            <w:shd w:val="clear" w:color="auto" w:fill="auto"/>
            <w:noWrap/>
            <w:vAlign w:val="bottom"/>
            <w:hideMark/>
          </w:tcPr>
          <w:p w14:paraId="3C00A603" w14:textId="2FD7CC95" w:rsidR="008A4365" w:rsidRPr="005F0949" w:rsidRDefault="008A4365" w:rsidP="00A4294F">
            <w:pPr>
              <w:spacing w:after="0" w:line="240" w:lineRule="auto"/>
              <w:jc w:val="right"/>
              <w:rPr>
                <w:rFonts w:eastAsia="Times New Roman"/>
                <w:color w:val="000000"/>
                <w:lang w:eastAsia="pt-BR"/>
              </w:rPr>
            </w:pPr>
            <w:r w:rsidRPr="005F0949">
              <w:rPr>
                <w:rFonts w:eastAsia="Times New Roman"/>
                <w:color w:val="000000"/>
                <w:lang w:eastAsia="pt-BR"/>
              </w:rPr>
              <w:t>0,9562</w:t>
            </w:r>
            <w:r w:rsidR="00A4294F">
              <w:rPr>
                <w:rFonts w:eastAsia="Times New Roman"/>
                <w:color w:val="000000"/>
                <w:lang w:eastAsia="pt-BR"/>
              </w:rPr>
              <w:t xml:space="preserve">; </w:t>
            </w:r>
            <w:r w:rsidRPr="005F0949">
              <w:rPr>
                <w:rFonts w:eastAsia="Times New Roman"/>
                <w:color w:val="000000"/>
                <w:lang w:eastAsia="pt-BR"/>
              </w:rPr>
              <w:t>1,4422</w:t>
            </w:r>
          </w:p>
        </w:tc>
        <w:tc>
          <w:tcPr>
            <w:tcW w:w="617" w:type="dxa"/>
            <w:tcBorders>
              <w:top w:val="nil"/>
              <w:left w:val="nil"/>
              <w:bottom w:val="single" w:sz="4" w:space="0" w:color="auto"/>
              <w:right w:val="single" w:sz="4" w:space="0" w:color="auto"/>
            </w:tcBorders>
            <w:shd w:val="clear" w:color="auto" w:fill="auto"/>
            <w:noWrap/>
            <w:vAlign w:val="bottom"/>
            <w:hideMark/>
          </w:tcPr>
          <w:p w14:paraId="7FED850C"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invg</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561613E5"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Inf</w:t>
            </w:r>
            <w:proofErr w:type="spellEnd"/>
          </w:p>
        </w:tc>
      </w:tr>
      <w:tr w:rsidR="003F7681" w:rsidRPr="005F0949" w14:paraId="7BEC5675"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DFF76C9" w14:textId="79CEDA89" w:rsidR="008A4365" w:rsidRPr="005F0949" w:rsidRDefault="006804C6" w:rsidP="005F0949">
            <w:pPr>
              <w:spacing w:after="0" w:line="240" w:lineRule="auto"/>
              <w:rPr>
                <w:rFonts w:eastAsia="Times New Roman"/>
                <w:color w:val="000000"/>
                <w:lang w:eastAsia="pt-BR"/>
              </w:rPr>
            </w:pPr>
            <w:r w:rsidRPr="005F0949">
              <w:rPr>
                <w:rFonts w:eastAsia="Times New Roman"/>
                <w:color w:val="000000"/>
                <w:lang w:eastAsia="pt-BR"/>
              </w:rPr>
              <w:t>E</w:t>
            </w:r>
            <w:r>
              <w:rPr>
                <w:rFonts w:eastAsia="Times New Roman"/>
                <w:color w:val="000000"/>
                <w:lang w:eastAsia="pt-BR"/>
              </w:rPr>
              <w:t>rro-padrão das transferências de renda às famílias</w:t>
            </w:r>
          </w:p>
        </w:tc>
        <w:tc>
          <w:tcPr>
            <w:tcW w:w="850" w:type="dxa"/>
            <w:tcBorders>
              <w:top w:val="nil"/>
              <w:left w:val="nil"/>
              <w:bottom w:val="single" w:sz="4" w:space="0" w:color="auto"/>
              <w:right w:val="single" w:sz="4" w:space="0" w:color="auto"/>
            </w:tcBorders>
            <w:shd w:val="clear" w:color="auto" w:fill="auto"/>
            <w:noWrap/>
            <w:vAlign w:val="bottom"/>
            <w:hideMark/>
          </w:tcPr>
          <w:p w14:paraId="1C7CB90A"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1</w:t>
            </w:r>
          </w:p>
        </w:tc>
        <w:tc>
          <w:tcPr>
            <w:tcW w:w="1017" w:type="dxa"/>
            <w:tcBorders>
              <w:top w:val="nil"/>
              <w:left w:val="nil"/>
              <w:bottom w:val="single" w:sz="4" w:space="0" w:color="auto"/>
              <w:right w:val="single" w:sz="4" w:space="0" w:color="auto"/>
            </w:tcBorders>
            <w:shd w:val="clear" w:color="auto" w:fill="auto"/>
            <w:noWrap/>
            <w:vAlign w:val="bottom"/>
            <w:hideMark/>
          </w:tcPr>
          <w:p w14:paraId="77D37B10"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0,2589</w:t>
            </w:r>
          </w:p>
        </w:tc>
        <w:tc>
          <w:tcPr>
            <w:tcW w:w="1192" w:type="dxa"/>
            <w:tcBorders>
              <w:top w:val="nil"/>
              <w:left w:val="nil"/>
              <w:bottom w:val="single" w:sz="4" w:space="0" w:color="auto"/>
              <w:right w:val="single" w:sz="4" w:space="0" w:color="auto"/>
            </w:tcBorders>
            <w:shd w:val="clear" w:color="auto" w:fill="auto"/>
            <w:noWrap/>
            <w:vAlign w:val="bottom"/>
            <w:hideMark/>
          </w:tcPr>
          <w:p w14:paraId="33289D46" w14:textId="014560C2" w:rsidR="008A4365" w:rsidRPr="005F0949" w:rsidRDefault="008A4365" w:rsidP="00A4294F">
            <w:pPr>
              <w:spacing w:after="0" w:line="240" w:lineRule="auto"/>
              <w:jc w:val="right"/>
              <w:rPr>
                <w:rFonts w:eastAsia="Times New Roman"/>
                <w:color w:val="000000"/>
                <w:lang w:eastAsia="pt-BR"/>
              </w:rPr>
            </w:pPr>
            <w:r w:rsidRPr="005F0949">
              <w:rPr>
                <w:rFonts w:eastAsia="Times New Roman"/>
                <w:color w:val="000000"/>
                <w:lang w:eastAsia="pt-BR"/>
              </w:rPr>
              <w:t>0,2038</w:t>
            </w:r>
            <w:r w:rsidR="00A4294F">
              <w:rPr>
                <w:rFonts w:eastAsia="Times New Roman"/>
                <w:color w:val="000000"/>
                <w:lang w:eastAsia="pt-BR"/>
              </w:rPr>
              <w:t xml:space="preserve">; </w:t>
            </w:r>
            <w:r w:rsidRPr="005F0949">
              <w:rPr>
                <w:rFonts w:eastAsia="Times New Roman"/>
                <w:color w:val="000000"/>
                <w:lang w:eastAsia="pt-BR"/>
              </w:rPr>
              <w:t>0,3153</w:t>
            </w:r>
          </w:p>
        </w:tc>
        <w:tc>
          <w:tcPr>
            <w:tcW w:w="617" w:type="dxa"/>
            <w:tcBorders>
              <w:top w:val="nil"/>
              <w:left w:val="nil"/>
              <w:bottom w:val="single" w:sz="4" w:space="0" w:color="auto"/>
              <w:right w:val="single" w:sz="4" w:space="0" w:color="auto"/>
            </w:tcBorders>
            <w:shd w:val="clear" w:color="auto" w:fill="auto"/>
            <w:noWrap/>
            <w:vAlign w:val="bottom"/>
            <w:hideMark/>
          </w:tcPr>
          <w:p w14:paraId="38264752"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invg</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2F8AD3CE"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Inf</w:t>
            </w:r>
            <w:proofErr w:type="spellEnd"/>
          </w:p>
        </w:tc>
      </w:tr>
      <w:tr w:rsidR="003F7681" w:rsidRPr="005F0949" w14:paraId="5845EDFC"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4BDB16D" w14:textId="289F73BF" w:rsidR="008A4365" w:rsidRPr="005F0949" w:rsidRDefault="006804C6" w:rsidP="005F0949">
            <w:pPr>
              <w:spacing w:after="0" w:line="240" w:lineRule="auto"/>
              <w:rPr>
                <w:rFonts w:eastAsia="Times New Roman"/>
                <w:color w:val="000000"/>
                <w:lang w:eastAsia="pt-BR"/>
              </w:rPr>
            </w:pPr>
            <w:r w:rsidRPr="005F0949">
              <w:rPr>
                <w:rFonts w:eastAsia="Times New Roman"/>
                <w:color w:val="000000"/>
                <w:lang w:eastAsia="pt-BR"/>
              </w:rPr>
              <w:t>E</w:t>
            </w:r>
            <w:r>
              <w:rPr>
                <w:rFonts w:eastAsia="Times New Roman"/>
                <w:color w:val="000000"/>
                <w:lang w:eastAsia="pt-BR"/>
              </w:rPr>
              <w:t>rro-padrão do imposto sobre o consumo</w:t>
            </w:r>
          </w:p>
        </w:tc>
        <w:tc>
          <w:tcPr>
            <w:tcW w:w="850" w:type="dxa"/>
            <w:tcBorders>
              <w:top w:val="nil"/>
              <w:left w:val="nil"/>
              <w:bottom w:val="single" w:sz="4" w:space="0" w:color="auto"/>
              <w:right w:val="single" w:sz="4" w:space="0" w:color="auto"/>
            </w:tcBorders>
            <w:shd w:val="clear" w:color="auto" w:fill="auto"/>
            <w:noWrap/>
            <w:vAlign w:val="bottom"/>
            <w:hideMark/>
          </w:tcPr>
          <w:p w14:paraId="6C4C843A"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1</w:t>
            </w:r>
          </w:p>
        </w:tc>
        <w:tc>
          <w:tcPr>
            <w:tcW w:w="1017" w:type="dxa"/>
            <w:tcBorders>
              <w:top w:val="nil"/>
              <w:left w:val="nil"/>
              <w:bottom w:val="single" w:sz="4" w:space="0" w:color="auto"/>
              <w:right w:val="single" w:sz="4" w:space="0" w:color="auto"/>
            </w:tcBorders>
            <w:shd w:val="clear" w:color="auto" w:fill="auto"/>
            <w:noWrap/>
            <w:vAlign w:val="bottom"/>
            <w:hideMark/>
          </w:tcPr>
          <w:p w14:paraId="4E7998E9"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0,144</w:t>
            </w:r>
          </w:p>
        </w:tc>
        <w:tc>
          <w:tcPr>
            <w:tcW w:w="1192" w:type="dxa"/>
            <w:tcBorders>
              <w:top w:val="nil"/>
              <w:left w:val="nil"/>
              <w:bottom w:val="single" w:sz="4" w:space="0" w:color="auto"/>
              <w:right w:val="single" w:sz="4" w:space="0" w:color="auto"/>
            </w:tcBorders>
            <w:shd w:val="clear" w:color="auto" w:fill="auto"/>
            <w:noWrap/>
            <w:vAlign w:val="bottom"/>
            <w:hideMark/>
          </w:tcPr>
          <w:p w14:paraId="5C397E9E" w14:textId="00D02A00" w:rsidR="008A4365" w:rsidRPr="005F0949" w:rsidRDefault="008A4365" w:rsidP="00A4294F">
            <w:pPr>
              <w:spacing w:after="0" w:line="240" w:lineRule="auto"/>
              <w:jc w:val="right"/>
              <w:rPr>
                <w:rFonts w:eastAsia="Times New Roman"/>
                <w:color w:val="000000"/>
                <w:lang w:eastAsia="pt-BR"/>
              </w:rPr>
            </w:pPr>
            <w:r w:rsidRPr="005F0949">
              <w:rPr>
                <w:rFonts w:eastAsia="Times New Roman"/>
                <w:color w:val="000000"/>
                <w:lang w:eastAsia="pt-BR"/>
              </w:rPr>
              <w:t>0,1208</w:t>
            </w:r>
            <w:r w:rsidR="00A4294F">
              <w:rPr>
                <w:rFonts w:eastAsia="Times New Roman"/>
                <w:color w:val="000000"/>
                <w:lang w:eastAsia="pt-BR"/>
              </w:rPr>
              <w:t xml:space="preserve">; </w:t>
            </w:r>
            <w:r w:rsidRPr="005F0949">
              <w:rPr>
                <w:rFonts w:eastAsia="Times New Roman"/>
                <w:color w:val="000000"/>
                <w:lang w:eastAsia="pt-BR"/>
              </w:rPr>
              <w:t>0,1639</w:t>
            </w:r>
          </w:p>
        </w:tc>
        <w:tc>
          <w:tcPr>
            <w:tcW w:w="617" w:type="dxa"/>
            <w:tcBorders>
              <w:top w:val="nil"/>
              <w:left w:val="nil"/>
              <w:bottom w:val="single" w:sz="4" w:space="0" w:color="auto"/>
              <w:right w:val="single" w:sz="4" w:space="0" w:color="auto"/>
            </w:tcBorders>
            <w:shd w:val="clear" w:color="auto" w:fill="auto"/>
            <w:noWrap/>
            <w:vAlign w:val="bottom"/>
            <w:hideMark/>
          </w:tcPr>
          <w:p w14:paraId="24BB484B"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invg</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3FD1375E"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Inf</w:t>
            </w:r>
            <w:proofErr w:type="spellEnd"/>
          </w:p>
        </w:tc>
      </w:tr>
      <w:tr w:rsidR="003F7681" w:rsidRPr="005F0949" w14:paraId="704EC13B"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DC7B86A" w14:textId="7F6E8DAE" w:rsidR="008A4365" w:rsidRPr="005F0949" w:rsidRDefault="006804C6" w:rsidP="005F0949">
            <w:pPr>
              <w:spacing w:after="0" w:line="240" w:lineRule="auto"/>
              <w:rPr>
                <w:rFonts w:eastAsia="Times New Roman"/>
                <w:color w:val="000000"/>
                <w:lang w:eastAsia="pt-BR"/>
              </w:rPr>
            </w:pPr>
            <w:r w:rsidRPr="005F0949">
              <w:rPr>
                <w:rFonts w:eastAsia="Times New Roman"/>
                <w:color w:val="000000"/>
                <w:lang w:eastAsia="pt-BR"/>
              </w:rPr>
              <w:t>E</w:t>
            </w:r>
            <w:r>
              <w:rPr>
                <w:rFonts w:eastAsia="Times New Roman"/>
                <w:color w:val="000000"/>
                <w:lang w:eastAsia="pt-BR"/>
              </w:rPr>
              <w:t>rro-padrão do imposto sobre a renda do trabalho</w:t>
            </w:r>
          </w:p>
        </w:tc>
        <w:tc>
          <w:tcPr>
            <w:tcW w:w="850" w:type="dxa"/>
            <w:tcBorders>
              <w:top w:val="nil"/>
              <w:left w:val="nil"/>
              <w:bottom w:val="single" w:sz="4" w:space="0" w:color="auto"/>
              <w:right w:val="single" w:sz="4" w:space="0" w:color="auto"/>
            </w:tcBorders>
            <w:shd w:val="clear" w:color="auto" w:fill="auto"/>
            <w:noWrap/>
            <w:vAlign w:val="bottom"/>
            <w:hideMark/>
          </w:tcPr>
          <w:p w14:paraId="41FA6225"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1</w:t>
            </w:r>
          </w:p>
        </w:tc>
        <w:tc>
          <w:tcPr>
            <w:tcW w:w="1017" w:type="dxa"/>
            <w:tcBorders>
              <w:top w:val="nil"/>
              <w:left w:val="nil"/>
              <w:bottom w:val="single" w:sz="4" w:space="0" w:color="auto"/>
              <w:right w:val="single" w:sz="4" w:space="0" w:color="auto"/>
            </w:tcBorders>
            <w:shd w:val="clear" w:color="auto" w:fill="auto"/>
            <w:noWrap/>
            <w:vAlign w:val="bottom"/>
            <w:hideMark/>
          </w:tcPr>
          <w:p w14:paraId="3D9402A7"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0,1731</w:t>
            </w:r>
          </w:p>
        </w:tc>
        <w:tc>
          <w:tcPr>
            <w:tcW w:w="1192" w:type="dxa"/>
            <w:tcBorders>
              <w:top w:val="nil"/>
              <w:left w:val="nil"/>
              <w:bottom w:val="single" w:sz="4" w:space="0" w:color="auto"/>
              <w:right w:val="single" w:sz="4" w:space="0" w:color="auto"/>
            </w:tcBorders>
            <w:shd w:val="clear" w:color="auto" w:fill="auto"/>
            <w:noWrap/>
            <w:vAlign w:val="bottom"/>
            <w:hideMark/>
          </w:tcPr>
          <w:p w14:paraId="3398C17C" w14:textId="7992C65A" w:rsidR="008A4365" w:rsidRPr="005F0949" w:rsidRDefault="008A4365" w:rsidP="00A4294F">
            <w:pPr>
              <w:spacing w:after="0" w:line="240" w:lineRule="auto"/>
              <w:jc w:val="right"/>
              <w:rPr>
                <w:rFonts w:eastAsia="Times New Roman"/>
                <w:color w:val="000000"/>
                <w:lang w:eastAsia="pt-BR"/>
              </w:rPr>
            </w:pPr>
            <w:r w:rsidRPr="005F0949">
              <w:rPr>
                <w:rFonts w:eastAsia="Times New Roman"/>
                <w:color w:val="000000"/>
                <w:lang w:eastAsia="pt-BR"/>
              </w:rPr>
              <w:t>0,1472</w:t>
            </w:r>
            <w:r w:rsidR="00A4294F">
              <w:rPr>
                <w:rFonts w:eastAsia="Times New Roman"/>
                <w:color w:val="000000"/>
                <w:lang w:eastAsia="pt-BR"/>
              </w:rPr>
              <w:t xml:space="preserve"> ;</w:t>
            </w:r>
            <w:r w:rsidRPr="005F0949">
              <w:rPr>
                <w:rFonts w:eastAsia="Times New Roman"/>
                <w:color w:val="000000"/>
                <w:lang w:eastAsia="pt-BR"/>
              </w:rPr>
              <w:t>0,2002</w:t>
            </w:r>
          </w:p>
        </w:tc>
        <w:tc>
          <w:tcPr>
            <w:tcW w:w="617" w:type="dxa"/>
            <w:tcBorders>
              <w:top w:val="nil"/>
              <w:left w:val="nil"/>
              <w:bottom w:val="single" w:sz="4" w:space="0" w:color="auto"/>
              <w:right w:val="single" w:sz="4" w:space="0" w:color="auto"/>
            </w:tcBorders>
            <w:shd w:val="clear" w:color="auto" w:fill="auto"/>
            <w:noWrap/>
            <w:vAlign w:val="bottom"/>
            <w:hideMark/>
          </w:tcPr>
          <w:p w14:paraId="06439149"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invg</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69294BD3"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Inf</w:t>
            </w:r>
            <w:proofErr w:type="spellEnd"/>
          </w:p>
        </w:tc>
      </w:tr>
      <w:tr w:rsidR="003F7681" w:rsidRPr="005F0949" w14:paraId="739ADB1F"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857DDA3" w14:textId="4F991DE2" w:rsidR="008A4365" w:rsidRPr="005F0949" w:rsidRDefault="006804C6" w:rsidP="005F0949">
            <w:pPr>
              <w:spacing w:after="0" w:line="240" w:lineRule="auto"/>
              <w:rPr>
                <w:rFonts w:eastAsia="Times New Roman"/>
                <w:color w:val="000000"/>
                <w:lang w:eastAsia="pt-BR"/>
              </w:rPr>
            </w:pPr>
            <w:r w:rsidRPr="005F0949">
              <w:rPr>
                <w:rFonts w:eastAsia="Times New Roman"/>
                <w:color w:val="000000"/>
                <w:lang w:eastAsia="pt-BR"/>
              </w:rPr>
              <w:t>E</w:t>
            </w:r>
            <w:r>
              <w:rPr>
                <w:rFonts w:eastAsia="Times New Roman"/>
                <w:color w:val="000000"/>
                <w:lang w:eastAsia="pt-BR"/>
              </w:rPr>
              <w:t>rro-padrão do imposto sobre a renda do capital</w:t>
            </w:r>
          </w:p>
        </w:tc>
        <w:tc>
          <w:tcPr>
            <w:tcW w:w="850" w:type="dxa"/>
            <w:tcBorders>
              <w:top w:val="nil"/>
              <w:left w:val="nil"/>
              <w:bottom w:val="single" w:sz="4" w:space="0" w:color="auto"/>
              <w:right w:val="single" w:sz="4" w:space="0" w:color="auto"/>
            </w:tcBorders>
            <w:shd w:val="clear" w:color="auto" w:fill="auto"/>
            <w:noWrap/>
            <w:vAlign w:val="bottom"/>
            <w:hideMark/>
          </w:tcPr>
          <w:p w14:paraId="7DDE6A96"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1</w:t>
            </w:r>
          </w:p>
        </w:tc>
        <w:tc>
          <w:tcPr>
            <w:tcW w:w="1017" w:type="dxa"/>
            <w:tcBorders>
              <w:top w:val="nil"/>
              <w:left w:val="nil"/>
              <w:bottom w:val="single" w:sz="4" w:space="0" w:color="auto"/>
              <w:right w:val="single" w:sz="4" w:space="0" w:color="auto"/>
            </w:tcBorders>
            <w:shd w:val="clear" w:color="auto" w:fill="auto"/>
            <w:noWrap/>
            <w:vAlign w:val="bottom"/>
            <w:hideMark/>
          </w:tcPr>
          <w:p w14:paraId="58ABFB6B"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0,2809</w:t>
            </w:r>
          </w:p>
        </w:tc>
        <w:tc>
          <w:tcPr>
            <w:tcW w:w="1192" w:type="dxa"/>
            <w:tcBorders>
              <w:top w:val="nil"/>
              <w:left w:val="nil"/>
              <w:bottom w:val="single" w:sz="4" w:space="0" w:color="auto"/>
              <w:right w:val="single" w:sz="4" w:space="0" w:color="auto"/>
            </w:tcBorders>
            <w:shd w:val="clear" w:color="auto" w:fill="auto"/>
            <w:noWrap/>
            <w:vAlign w:val="bottom"/>
            <w:hideMark/>
          </w:tcPr>
          <w:p w14:paraId="1E94163C" w14:textId="41F47F20" w:rsidR="008A4365" w:rsidRPr="005F0949" w:rsidRDefault="008A4365" w:rsidP="00A4294F">
            <w:pPr>
              <w:spacing w:after="0" w:line="240" w:lineRule="auto"/>
              <w:jc w:val="right"/>
              <w:rPr>
                <w:rFonts w:eastAsia="Times New Roman"/>
                <w:color w:val="000000"/>
                <w:lang w:eastAsia="pt-BR"/>
              </w:rPr>
            </w:pPr>
            <w:r w:rsidRPr="005F0949">
              <w:rPr>
                <w:rFonts w:eastAsia="Times New Roman"/>
                <w:color w:val="000000"/>
                <w:lang w:eastAsia="pt-BR"/>
              </w:rPr>
              <w:t>0,2319</w:t>
            </w:r>
            <w:r w:rsidR="00A4294F">
              <w:rPr>
                <w:rFonts w:eastAsia="Times New Roman"/>
                <w:color w:val="000000"/>
                <w:lang w:eastAsia="pt-BR"/>
              </w:rPr>
              <w:t xml:space="preserve">; </w:t>
            </w:r>
            <w:r w:rsidRPr="005F0949">
              <w:rPr>
                <w:rFonts w:eastAsia="Times New Roman"/>
                <w:color w:val="000000"/>
                <w:lang w:eastAsia="pt-BR"/>
              </w:rPr>
              <w:t>0,3281</w:t>
            </w:r>
          </w:p>
        </w:tc>
        <w:tc>
          <w:tcPr>
            <w:tcW w:w="617" w:type="dxa"/>
            <w:tcBorders>
              <w:top w:val="nil"/>
              <w:left w:val="nil"/>
              <w:bottom w:val="single" w:sz="4" w:space="0" w:color="auto"/>
              <w:right w:val="single" w:sz="4" w:space="0" w:color="auto"/>
            </w:tcBorders>
            <w:shd w:val="clear" w:color="auto" w:fill="auto"/>
            <w:noWrap/>
            <w:vAlign w:val="bottom"/>
            <w:hideMark/>
          </w:tcPr>
          <w:p w14:paraId="3225BB6A"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invg</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6C938D26"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Inf</w:t>
            </w:r>
            <w:proofErr w:type="spellEnd"/>
          </w:p>
        </w:tc>
      </w:tr>
      <w:tr w:rsidR="003F7681" w:rsidRPr="005F0949" w14:paraId="63AD407D"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6D518E5" w14:textId="6E9F3081" w:rsidR="008A4365" w:rsidRPr="005F0949" w:rsidRDefault="00432DEA" w:rsidP="005F0949">
            <w:pPr>
              <w:spacing w:after="0" w:line="240" w:lineRule="auto"/>
              <w:rPr>
                <w:rFonts w:eastAsia="Times New Roman"/>
                <w:color w:val="000000"/>
                <w:lang w:eastAsia="pt-BR"/>
              </w:rPr>
            </w:pPr>
            <w:r w:rsidRPr="005F0949">
              <w:rPr>
                <w:rFonts w:eastAsia="Times New Roman"/>
                <w:color w:val="000000"/>
                <w:lang w:eastAsia="pt-BR"/>
              </w:rPr>
              <w:t>E</w:t>
            </w:r>
            <w:r>
              <w:rPr>
                <w:rFonts w:eastAsia="Times New Roman"/>
                <w:color w:val="000000"/>
                <w:lang w:eastAsia="pt-BR"/>
              </w:rPr>
              <w:t>rro-padrão da taxa de juros doméstica</w:t>
            </w:r>
          </w:p>
        </w:tc>
        <w:tc>
          <w:tcPr>
            <w:tcW w:w="850" w:type="dxa"/>
            <w:tcBorders>
              <w:top w:val="nil"/>
              <w:left w:val="nil"/>
              <w:bottom w:val="single" w:sz="4" w:space="0" w:color="auto"/>
              <w:right w:val="single" w:sz="4" w:space="0" w:color="auto"/>
            </w:tcBorders>
            <w:shd w:val="clear" w:color="auto" w:fill="auto"/>
            <w:noWrap/>
            <w:vAlign w:val="bottom"/>
            <w:hideMark/>
          </w:tcPr>
          <w:p w14:paraId="0828BA93"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1</w:t>
            </w:r>
          </w:p>
        </w:tc>
        <w:tc>
          <w:tcPr>
            <w:tcW w:w="1017" w:type="dxa"/>
            <w:tcBorders>
              <w:top w:val="nil"/>
              <w:left w:val="nil"/>
              <w:bottom w:val="single" w:sz="4" w:space="0" w:color="auto"/>
              <w:right w:val="single" w:sz="4" w:space="0" w:color="auto"/>
            </w:tcBorders>
            <w:shd w:val="clear" w:color="auto" w:fill="auto"/>
            <w:noWrap/>
            <w:vAlign w:val="bottom"/>
            <w:hideMark/>
          </w:tcPr>
          <w:p w14:paraId="1D8A416B"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0,1235</w:t>
            </w:r>
          </w:p>
        </w:tc>
        <w:tc>
          <w:tcPr>
            <w:tcW w:w="1192" w:type="dxa"/>
            <w:tcBorders>
              <w:top w:val="nil"/>
              <w:left w:val="nil"/>
              <w:bottom w:val="single" w:sz="4" w:space="0" w:color="auto"/>
              <w:right w:val="single" w:sz="4" w:space="0" w:color="auto"/>
            </w:tcBorders>
            <w:shd w:val="clear" w:color="auto" w:fill="auto"/>
            <w:noWrap/>
            <w:vAlign w:val="bottom"/>
            <w:hideMark/>
          </w:tcPr>
          <w:p w14:paraId="7AF6BD42" w14:textId="3D07EC8D" w:rsidR="008A4365" w:rsidRPr="005F0949" w:rsidRDefault="008A4365" w:rsidP="00A4294F">
            <w:pPr>
              <w:spacing w:after="0" w:line="240" w:lineRule="auto"/>
              <w:jc w:val="right"/>
              <w:rPr>
                <w:rFonts w:eastAsia="Times New Roman"/>
                <w:color w:val="000000"/>
                <w:lang w:eastAsia="pt-BR"/>
              </w:rPr>
            </w:pPr>
            <w:r w:rsidRPr="005F0949">
              <w:rPr>
                <w:rFonts w:eastAsia="Times New Roman"/>
                <w:color w:val="000000"/>
                <w:lang w:eastAsia="pt-BR"/>
              </w:rPr>
              <w:t>0,1176</w:t>
            </w:r>
            <w:r w:rsidR="00A4294F">
              <w:rPr>
                <w:rFonts w:eastAsia="Times New Roman"/>
                <w:color w:val="000000"/>
                <w:lang w:eastAsia="pt-BR"/>
              </w:rPr>
              <w:t xml:space="preserve">; </w:t>
            </w:r>
            <w:r w:rsidRPr="005F0949">
              <w:rPr>
                <w:rFonts w:eastAsia="Times New Roman"/>
                <w:color w:val="000000"/>
                <w:lang w:eastAsia="pt-BR"/>
              </w:rPr>
              <w:t>0,1308</w:t>
            </w:r>
          </w:p>
        </w:tc>
        <w:tc>
          <w:tcPr>
            <w:tcW w:w="617" w:type="dxa"/>
            <w:tcBorders>
              <w:top w:val="nil"/>
              <w:left w:val="nil"/>
              <w:bottom w:val="single" w:sz="4" w:space="0" w:color="auto"/>
              <w:right w:val="single" w:sz="4" w:space="0" w:color="auto"/>
            </w:tcBorders>
            <w:shd w:val="clear" w:color="auto" w:fill="auto"/>
            <w:noWrap/>
            <w:vAlign w:val="bottom"/>
            <w:hideMark/>
          </w:tcPr>
          <w:p w14:paraId="66C794F8"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invg</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11AAE203"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Inf</w:t>
            </w:r>
            <w:proofErr w:type="spellEnd"/>
          </w:p>
        </w:tc>
      </w:tr>
      <w:tr w:rsidR="003F7681" w:rsidRPr="005F0949" w14:paraId="3586D1D2"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88FEC7B" w14:textId="593E30D3" w:rsidR="008A4365" w:rsidRPr="005F0949" w:rsidRDefault="00432DEA" w:rsidP="005F0949">
            <w:pPr>
              <w:spacing w:after="0" w:line="240" w:lineRule="auto"/>
              <w:rPr>
                <w:rFonts w:eastAsia="Times New Roman"/>
                <w:color w:val="000000"/>
                <w:lang w:eastAsia="pt-BR"/>
              </w:rPr>
            </w:pPr>
            <w:r w:rsidRPr="005F0949">
              <w:rPr>
                <w:rFonts w:eastAsia="Times New Roman"/>
                <w:color w:val="000000"/>
                <w:lang w:eastAsia="pt-BR"/>
              </w:rPr>
              <w:lastRenderedPageBreak/>
              <w:t>E</w:t>
            </w:r>
            <w:r>
              <w:rPr>
                <w:rFonts w:eastAsia="Times New Roman"/>
                <w:color w:val="000000"/>
                <w:lang w:eastAsia="pt-BR"/>
              </w:rPr>
              <w:t>rro-padrão das preferências intertemporal</w:t>
            </w:r>
          </w:p>
        </w:tc>
        <w:tc>
          <w:tcPr>
            <w:tcW w:w="850" w:type="dxa"/>
            <w:tcBorders>
              <w:top w:val="nil"/>
              <w:left w:val="nil"/>
              <w:bottom w:val="single" w:sz="4" w:space="0" w:color="auto"/>
              <w:right w:val="single" w:sz="4" w:space="0" w:color="auto"/>
            </w:tcBorders>
            <w:shd w:val="clear" w:color="auto" w:fill="auto"/>
            <w:noWrap/>
            <w:vAlign w:val="bottom"/>
            <w:hideMark/>
          </w:tcPr>
          <w:p w14:paraId="146FE1D5"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1</w:t>
            </w:r>
          </w:p>
        </w:tc>
        <w:tc>
          <w:tcPr>
            <w:tcW w:w="1017" w:type="dxa"/>
            <w:tcBorders>
              <w:top w:val="nil"/>
              <w:left w:val="nil"/>
              <w:bottom w:val="single" w:sz="4" w:space="0" w:color="auto"/>
              <w:right w:val="single" w:sz="4" w:space="0" w:color="auto"/>
            </w:tcBorders>
            <w:shd w:val="clear" w:color="auto" w:fill="auto"/>
            <w:noWrap/>
            <w:vAlign w:val="bottom"/>
            <w:hideMark/>
          </w:tcPr>
          <w:p w14:paraId="2337763B"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0,1777</w:t>
            </w:r>
          </w:p>
        </w:tc>
        <w:tc>
          <w:tcPr>
            <w:tcW w:w="1192" w:type="dxa"/>
            <w:tcBorders>
              <w:top w:val="nil"/>
              <w:left w:val="nil"/>
              <w:bottom w:val="single" w:sz="4" w:space="0" w:color="auto"/>
              <w:right w:val="single" w:sz="4" w:space="0" w:color="auto"/>
            </w:tcBorders>
            <w:shd w:val="clear" w:color="auto" w:fill="auto"/>
            <w:noWrap/>
            <w:vAlign w:val="bottom"/>
            <w:hideMark/>
          </w:tcPr>
          <w:p w14:paraId="4B52F456" w14:textId="6ACB158E" w:rsidR="008A4365" w:rsidRPr="005F0949" w:rsidRDefault="008A4365" w:rsidP="00A4294F">
            <w:pPr>
              <w:spacing w:after="0" w:line="240" w:lineRule="auto"/>
              <w:jc w:val="right"/>
              <w:rPr>
                <w:rFonts w:eastAsia="Times New Roman"/>
                <w:color w:val="000000"/>
                <w:lang w:eastAsia="pt-BR"/>
              </w:rPr>
            </w:pPr>
            <w:r w:rsidRPr="005F0949">
              <w:rPr>
                <w:rFonts w:eastAsia="Times New Roman"/>
                <w:color w:val="000000"/>
                <w:lang w:eastAsia="pt-BR"/>
              </w:rPr>
              <w:t>0,143</w:t>
            </w:r>
            <w:r w:rsidR="00A4294F">
              <w:rPr>
                <w:rFonts w:eastAsia="Times New Roman"/>
                <w:color w:val="000000"/>
                <w:lang w:eastAsia="pt-BR"/>
              </w:rPr>
              <w:t xml:space="preserve">; </w:t>
            </w:r>
            <w:r w:rsidRPr="005F0949">
              <w:rPr>
                <w:rFonts w:eastAsia="Times New Roman"/>
                <w:color w:val="000000"/>
                <w:lang w:eastAsia="pt-BR"/>
              </w:rPr>
              <w:t>0,212</w:t>
            </w:r>
          </w:p>
        </w:tc>
        <w:tc>
          <w:tcPr>
            <w:tcW w:w="617" w:type="dxa"/>
            <w:tcBorders>
              <w:top w:val="nil"/>
              <w:left w:val="nil"/>
              <w:bottom w:val="single" w:sz="4" w:space="0" w:color="auto"/>
              <w:right w:val="single" w:sz="4" w:space="0" w:color="auto"/>
            </w:tcBorders>
            <w:shd w:val="clear" w:color="auto" w:fill="auto"/>
            <w:noWrap/>
            <w:vAlign w:val="bottom"/>
            <w:hideMark/>
          </w:tcPr>
          <w:p w14:paraId="48746640"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invg</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34838B61"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Inf</w:t>
            </w:r>
            <w:proofErr w:type="spellEnd"/>
          </w:p>
        </w:tc>
      </w:tr>
      <w:tr w:rsidR="003F7681" w:rsidRPr="005F0949" w14:paraId="44D508E0"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02C2701" w14:textId="2387910D" w:rsidR="008A4365" w:rsidRPr="005F0949" w:rsidRDefault="00432DEA" w:rsidP="005F0949">
            <w:pPr>
              <w:spacing w:after="0" w:line="240" w:lineRule="auto"/>
              <w:rPr>
                <w:rFonts w:eastAsia="Times New Roman"/>
                <w:color w:val="000000"/>
                <w:lang w:eastAsia="pt-BR"/>
              </w:rPr>
            </w:pPr>
            <w:r w:rsidRPr="005F0949">
              <w:rPr>
                <w:rFonts w:eastAsia="Times New Roman"/>
                <w:color w:val="000000"/>
                <w:lang w:eastAsia="pt-BR"/>
              </w:rPr>
              <w:t>E</w:t>
            </w:r>
            <w:r>
              <w:rPr>
                <w:rFonts w:eastAsia="Times New Roman"/>
                <w:color w:val="000000"/>
                <w:lang w:eastAsia="pt-BR"/>
              </w:rPr>
              <w:t>rro-padrão da oferta de trabalho</w:t>
            </w:r>
          </w:p>
        </w:tc>
        <w:tc>
          <w:tcPr>
            <w:tcW w:w="850" w:type="dxa"/>
            <w:tcBorders>
              <w:top w:val="nil"/>
              <w:left w:val="nil"/>
              <w:bottom w:val="single" w:sz="4" w:space="0" w:color="auto"/>
              <w:right w:val="single" w:sz="4" w:space="0" w:color="auto"/>
            </w:tcBorders>
            <w:shd w:val="clear" w:color="auto" w:fill="auto"/>
            <w:noWrap/>
            <w:vAlign w:val="bottom"/>
            <w:hideMark/>
          </w:tcPr>
          <w:p w14:paraId="08E1104F"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1</w:t>
            </w:r>
          </w:p>
        </w:tc>
        <w:tc>
          <w:tcPr>
            <w:tcW w:w="1017" w:type="dxa"/>
            <w:tcBorders>
              <w:top w:val="nil"/>
              <w:left w:val="nil"/>
              <w:bottom w:val="single" w:sz="4" w:space="0" w:color="auto"/>
              <w:right w:val="single" w:sz="4" w:space="0" w:color="auto"/>
            </w:tcBorders>
            <w:shd w:val="clear" w:color="auto" w:fill="auto"/>
            <w:noWrap/>
            <w:vAlign w:val="bottom"/>
            <w:hideMark/>
          </w:tcPr>
          <w:p w14:paraId="3D3B49FE"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0,4668</w:t>
            </w:r>
          </w:p>
        </w:tc>
        <w:tc>
          <w:tcPr>
            <w:tcW w:w="1192" w:type="dxa"/>
            <w:tcBorders>
              <w:top w:val="nil"/>
              <w:left w:val="nil"/>
              <w:bottom w:val="single" w:sz="4" w:space="0" w:color="auto"/>
              <w:right w:val="single" w:sz="4" w:space="0" w:color="auto"/>
            </w:tcBorders>
            <w:shd w:val="clear" w:color="auto" w:fill="auto"/>
            <w:noWrap/>
            <w:vAlign w:val="bottom"/>
            <w:hideMark/>
          </w:tcPr>
          <w:p w14:paraId="582B3AD2" w14:textId="00DFF6ED" w:rsidR="008A4365" w:rsidRPr="005F0949" w:rsidRDefault="008A4365" w:rsidP="00A4294F">
            <w:pPr>
              <w:spacing w:after="0" w:line="240" w:lineRule="auto"/>
              <w:jc w:val="right"/>
              <w:rPr>
                <w:rFonts w:eastAsia="Times New Roman"/>
                <w:color w:val="000000"/>
                <w:lang w:eastAsia="pt-BR"/>
              </w:rPr>
            </w:pPr>
            <w:r w:rsidRPr="005F0949">
              <w:rPr>
                <w:rFonts w:eastAsia="Times New Roman"/>
                <w:color w:val="000000"/>
                <w:lang w:eastAsia="pt-BR"/>
              </w:rPr>
              <w:t>0,3517</w:t>
            </w:r>
            <w:r w:rsidR="00A4294F">
              <w:rPr>
                <w:rFonts w:eastAsia="Times New Roman"/>
                <w:color w:val="000000"/>
                <w:lang w:eastAsia="pt-BR"/>
              </w:rPr>
              <w:t xml:space="preserve">; </w:t>
            </w:r>
            <w:r w:rsidRPr="005F0949">
              <w:rPr>
                <w:rFonts w:eastAsia="Times New Roman"/>
                <w:color w:val="000000"/>
                <w:lang w:eastAsia="pt-BR"/>
              </w:rPr>
              <w:t>0,5793</w:t>
            </w:r>
          </w:p>
        </w:tc>
        <w:tc>
          <w:tcPr>
            <w:tcW w:w="617" w:type="dxa"/>
            <w:tcBorders>
              <w:top w:val="nil"/>
              <w:left w:val="nil"/>
              <w:bottom w:val="single" w:sz="4" w:space="0" w:color="auto"/>
              <w:right w:val="single" w:sz="4" w:space="0" w:color="auto"/>
            </w:tcBorders>
            <w:shd w:val="clear" w:color="auto" w:fill="auto"/>
            <w:noWrap/>
            <w:vAlign w:val="bottom"/>
            <w:hideMark/>
          </w:tcPr>
          <w:p w14:paraId="0D7C7AAF"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invg</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7B7B50BB"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Inf</w:t>
            </w:r>
            <w:proofErr w:type="spellEnd"/>
          </w:p>
        </w:tc>
      </w:tr>
      <w:tr w:rsidR="003F7681" w:rsidRPr="005F0949" w14:paraId="2FCABE74"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BC2456E" w14:textId="5B4E965E" w:rsidR="008A4365" w:rsidRPr="005F0949" w:rsidRDefault="00432DEA" w:rsidP="005F0949">
            <w:pPr>
              <w:spacing w:after="0" w:line="240" w:lineRule="auto"/>
              <w:rPr>
                <w:rFonts w:eastAsia="Times New Roman"/>
                <w:color w:val="000000"/>
                <w:lang w:eastAsia="pt-BR"/>
              </w:rPr>
            </w:pPr>
            <w:r w:rsidRPr="005F0949">
              <w:rPr>
                <w:rFonts w:eastAsia="Times New Roman"/>
                <w:color w:val="000000"/>
                <w:lang w:eastAsia="pt-BR"/>
              </w:rPr>
              <w:t>E</w:t>
            </w:r>
            <w:r>
              <w:rPr>
                <w:rFonts w:eastAsia="Times New Roman"/>
                <w:color w:val="000000"/>
                <w:lang w:eastAsia="pt-BR"/>
              </w:rPr>
              <w:t>rro-padrão da produtividade do investimento</w:t>
            </w:r>
          </w:p>
        </w:tc>
        <w:tc>
          <w:tcPr>
            <w:tcW w:w="850" w:type="dxa"/>
            <w:tcBorders>
              <w:top w:val="nil"/>
              <w:left w:val="nil"/>
              <w:bottom w:val="single" w:sz="4" w:space="0" w:color="auto"/>
              <w:right w:val="single" w:sz="4" w:space="0" w:color="auto"/>
            </w:tcBorders>
            <w:shd w:val="clear" w:color="auto" w:fill="auto"/>
            <w:noWrap/>
            <w:vAlign w:val="bottom"/>
            <w:hideMark/>
          </w:tcPr>
          <w:p w14:paraId="26EE4E73"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1</w:t>
            </w:r>
          </w:p>
        </w:tc>
        <w:tc>
          <w:tcPr>
            <w:tcW w:w="1017" w:type="dxa"/>
            <w:tcBorders>
              <w:top w:val="nil"/>
              <w:left w:val="nil"/>
              <w:bottom w:val="single" w:sz="4" w:space="0" w:color="auto"/>
              <w:right w:val="single" w:sz="4" w:space="0" w:color="auto"/>
            </w:tcBorders>
            <w:shd w:val="clear" w:color="auto" w:fill="auto"/>
            <w:noWrap/>
            <w:vAlign w:val="bottom"/>
            <w:hideMark/>
          </w:tcPr>
          <w:p w14:paraId="1F44622D"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0,3324</w:t>
            </w:r>
          </w:p>
        </w:tc>
        <w:tc>
          <w:tcPr>
            <w:tcW w:w="1192" w:type="dxa"/>
            <w:tcBorders>
              <w:top w:val="nil"/>
              <w:left w:val="nil"/>
              <w:bottom w:val="single" w:sz="4" w:space="0" w:color="auto"/>
              <w:right w:val="single" w:sz="4" w:space="0" w:color="auto"/>
            </w:tcBorders>
            <w:shd w:val="clear" w:color="auto" w:fill="auto"/>
            <w:noWrap/>
            <w:vAlign w:val="bottom"/>
            <w:hideMark/>
          </w:tcPr>
          <w:p w14:paraId="003A93B6" w14:textId="6F6B6B4F" w:rsidR="008A4365" w:rsidRPr="005F0949" w:rsidRDefault="008A4365" w:rsidP="00A4294F">
            <w:pPr>
              <w:spacing w:after="0" w:line="240" w:lineRule="auto"/>
              <w:jc w:val="right"/>
              <w:rPr>
                <w:rFonts w:eastAsia="Times New Roman"/>
                <w:color w:val="000000"/>
                <w:lang w:eastAsia="pt-BR"/>
              </w:rPr>
            </w:pPr>
            <w:r w:rsidRPr="005F0949">
              <w:rPr>
                <w:rFonts w:eastAsia="Times New Roman"/>
                <w:color w:val="000000"/>
                <w:lang w:eastAsia="pt-BR"/>
              </w:rPr>
              <w:t>0,2739</w:t>
            </w:r>
            <w:r w:rsidR="00A4294F">
              <w:rPr>
                <w:rFonts w:eastAsia="Times New Roman"/>
                <w:color w:val="000000"/>
                <w:lang w:eastAsia="pt-BR"/>
              </w:rPr>
              <w:t xml:space="preserve">; </w:t>
            </w:r>
            <w:r w:rsidRPr="005F0949">
              <w:rPr>
                <w:rFonts w:eastAsia="Times New Roman"/>
                <w:color w:val="000000"/>
                <w:lang w:eastAsia="pt-BR"/>
              </w:rPr>
              <w:t>0,3909</w:t>
            </w:r>
          </w:p>
        </w:tc>
        <w:tc>
          <w:tcPr>
            <w:tcW w:w="617" w:type="dxa"/>
            <w:tcBorders>
              <w:top w:val="nil"/>
              <w:left w:val="nil"/>
              <w:bottom w:val="single" w:sz="4" w:space="0" w:color="auto"/>
              <w:right w:val="single" w:sz="4" w:space="0" w:color="auto"/>
            </w:tcBorders>
            <w:shd w:val="clear" w:color="auto" w:fill="auto"/>
            <w:noWrap/>
            <w:vAlign w:val="bottom"/>
            <w:hideMark/>
          </w:tcPr>
          <w:p w14:paraId="62414C23"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invg</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7E12BC32"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Inf</w:t>
            </w:r>
            <w:proofErr w:type="spellEnd"/>
          </w:p>
        </w:tc>
      </w:tr>
      <w:tr w:rsidR="003F7681" w:rsidRPr="005F0949" w14:paraId="32545F6E"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FF93E63" w14:textId="5CC697AD" w:rsidR="008A4365" w:rsidRPr="005F0949" w:rsidRDefault="00432DEA" w:rsidP="005F0949">
            <w:pPr>
              <w:spacing w:after="0" w:line="240" w:lineRule="auto"/>
              <w:rPr>
                <w:rFonts w:eastAsia="Times New Roman"/>
                <w:color w:val="000000"/>
                <w:lang w:eastAsia="pt-BR"/>
              </w:rPr>
            </w:pPr>
            <w:r w:rsidRPr="005F0949">
              <w:rPr>
                <w:rFonts w:eastAsia="Times New Roman"/>
                <w:color w:val="000000"/>
                <w:lang w:eastAsia="pt-BR"/>
              </w:rPr>
              <w:t>E</w:t>
            </w:r>
            <w:r>
              <w:rPr>
                <w:rFonts w:eastAsia="Times New Roman"/>
                <w:color w:val="000000"/>
                <w:lang w:eastAsia="pt-BR"/>
              </w:rPr>
              <w:t>rro-padrão das exportações</w:t>
            </w:r>
          </w:p>
        </w:tc>
        <w:tc>
          <w:tcPr>
            <w:tcW w:w="850" w:type="dxa"/>
            <w:tcBorders>
              <w:top w:val="nil"/>
              <w:left w:val="nil"/>
              <w:bottom w:val="single" w:sz="4" w:space="0" w:color="auto"/>
              <w:right w:val="single" w:sz="4" w:space="0" w:color="auto"/>
            </w:tcBorders>
            <w:shd w:val="clear" w:color="auto" w:fill="auto"/>
            <w:noWrap/>
            <w:vAlign w:val="bottom"/>
            <w:hideMark/>
          </w:tcPr>
          <w:p w14:paraId="67DB1210"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1</w:t>
            </w:r>
          </w:p>
        </w:tc>
        <w:tc>
          <w:tcPr>
            <w:tcW w:w="1017" w:type="dxa"/>
            <w:tcBorders>
              <w:top w:val="nil"/>
              <w:left w:val="nil"/>
              <w:bottom w:val="single" w:sz="4" w:space="0" w:color="auto"/>
              <w:right w:val="single" w:sz="4" w:space="0" w:color="auto"/>
            </w:tcBorders>
            <w:shd w:val="clear" w:color="auto" w:fill="auto"/>
            <w:noWrap/>
            <w:vAlign w:val="bottom"/>
            <w:hideMark/>
          </w:tcPr>
          <w:p w14:paraId="5A50CF32"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0,1308</w:t>
            </w:r>
          </w:p>
        </w:tc>
        <w:tc>
          <w:tcPr>
            <w:tcW w:w="1192" w:type="dxa"/>
            <w:tcBorders>
              <w:top w:val="nil"/>
              <w:left w:val="nil"/>
              <w:bottom w:val="single" w:sz="4" w:space="0" w:color="auto"/>
              <w:right w:val="single" w:sz="4" w:space="0" w:color="auto"/>
            </w:tcBorders>
            <w:shd w:val="clear" w:color="auto" w:fill="auto"/>
            <w:noWrap/>
            <w:vAlign w:val="bottom"/>
            <w:hideMark/>
          </w:tcPr>
          <w:p w14:paraId="7B16C7E7" w14:textId="1D158E90" w:rsidR="008A4365" w:rsidRPr="005F0949" w:rsidRDefault="008A4365" w:rsidP="00A4294F">
            <w:pPr>
              <w:spacing w:after="0" w:line="240" w:lineRule="auto"/>
              <w:jc w:val="right"/>
              <w:rPr>
                <w:rFonts w:eastAsia="Times New Roman"/>
                <w:color w:val="000000"/>
                <w:lang w:eastAsia="pt-BR"/>
              </w:rPr>
            </w:pPr>
            <w:r w:rsidRPr="005F0949">
              <w:rPr>
                <w:rFonts w:eastAsia="Times New Roman"/>
                <w:color w:val="000000"/>
                <w:lang w:eastAsia="pt-BR"/>
              </w:rPr>
              <w:t>0,1176</w:t>
            </w:r>
            <w:r w:rsidR="00A4294F">
              <w:rPr>
                <w:rFonts w:eastAsia="Times New Roman"/>
                <w:color w:val="000000"/>
                <w:lang w:eastAsia="pt-BR"/>
              </w:rPr>
              <w:t xml:space="preserve">; </w:t>
            </w:r>
            <w:r w:rsidRPr="005F0949">
              <w:rPr>
                <w:rFonts w:eastAsia="Times New Roman"/>
                <w:color w:val="000000"/>
                <w:lang w:eastAsia="pt-BR"/>
              </w:rPr>
              <w:t>0,1438</w:t>
            </w:r>
          </w:p>
        </w:tc>
        <w:tc>
          <w:tcPr>
            <w:tcW w:w="617" w:type="dxa"/>
            <w:tcBorders>
              <w:top w:val="nil"/>
              <w:left w:val="nil"/>
              <w:bottom w:val="single" w:sz="4" w:space="0" w:color="auto"/>
              <w:right w:val="single" w:sz="4" w:space="0" w:color="auto"/>
            </w:tcBorders>
            <w:shd w:val="clear" w:color="auto" w:fill="auto"/>
            <w:noWrap/>
            <w:vAlign w:val="bottom"/>
            <w:hideMark/>
          </w:tcPr>
          <w:p w14:paraId="33FFD2DE"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invg</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7849627D"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Inf</w:t>
            </w:r>
            <w:proofErr w:type="spellEnd"/>
          </w:p>
        </w:tc>
      </w:tr>
      <w:tr w:rsidR="003F7681" w:rsidRPr="005F0949" w14:paraId="182FDCE5"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9DDC8EA" w14:textId="2B6183EE" w:rsidR="008A4365" w:rsidRPr="005F0949" w:rsidRDefault="00432DEA" w:rsidP="005F0949">
            <w:pPr>
              <w:spacing w:after="0" w:line="240" w:lineRule="auto"/>
              <w:rPr>
                <w:rFonts w:eastAsia="Times New Roman"/>
                <w:color w:val="000000"/>
                <w:lang w:eastAsia="pt-BR"/>
              </w:rPr>
            </w:pPr>
            <w:r w:rsidRPr="005F0949">
              <w:rPr>
                <w:rFonts w:eastAsia="Times New Roman"/>
                <w:color w:val="000000"/>
                <w:lang w:eastAsia="pt-BR"/>
              </w:rPr>
              <w:t>E</w:t>
            </w:r>
            <w:r>
              <w:rPr>
                <w:rFonts w:eastAsia="Times New Roman"/>
                <w:color w:val="000000"/>
                <w:lang w:eastAsia="pt-BR"/>
              </w:rPr>
              <w:t>rro-padrão da taxa de juros externa</w:t>
            </w:r>
          </w:p>
        </w:tc>
        <w:tc>
          <w:tcPr>
            <w:tcW w:w="850" w:type="dxa"/>
            <w:tcBorders>
              <w:top w:val="nil"/>
              <w:left w:val="nil"/>
              <w:bottom w:val="single" w:sz="4" w:space="0" w:color="auto"/>
              <w:right w:val="single" w:sz="4" w:space="0" w:color="auto"/>
            </w:tcBorders>
            <w:shd w:val="clear" w:color="auto" w:fill="auto"/>
            <w:noWrap/>
            <w:vAlign w:val="bottom"/>
            <w:hideMark/>
          </w:tcPr>
          <w:p w14:paraId="7C719D8F"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1</w:t>
            </w:r>
          </w:p>
        </w:tc>
        <w:tc>
          <w:tcPr>
            <w:tcW w:w="1017" w:type="dxa"/>
            <w:tcBorders>
              <w:top w:val="nil"/>
              <w:left w:val="nil"/>
              <w:bottom w:val="single" w:sz="4" w:space="0" w:color="auto"/>
              <w:right w:val="single" w:sz="4" w:space="0" w:color="auto"/>
            </w:tcBorders>
            <w:shd w:val="clear" w:color="auto" w:fill="auto"/>
            <w:noWrap/>
            <w:vAlign w:val="bottom"/>
            <w:hideMark/>
          </w:tcPr>
          <w:p w14:paraId="2DB66E03"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0,1236</w:t>
            </w:r>
          </w:p>
        </w:tc>
        <w:tc>
          <w:tcPr>
            <w:tcW w:w="1192" w:type="dxa"/>
            <w:tcBorders>
              <w:top w:val="nil"/>
              <w:left w:val="nil"/>
              <w:bottom w:val="single" w:sz="4" w:space="0" w:color="auto"/>
              <w:right w:val="single" w:sz="4" w:space="0" w:color="auto"/>
            </w:tcBorders>
            <w:shd w:val="clear" w:color="auto" w:fill="auto"/>
            <w:noWrap/>
            <w:vAlign w:val="bottom"/>
            <w:hideMark/>
          </w:tcPr>
          <w:p w14:paraId="0B9D4EB5" w14:textId="694A7281" w:rsidR="008A4365" w:rsidRPr="005F0949" w:rsidRDefault="008A4365" w:rsidP="00A4294F">
            <w:pPr>
              <w:spacing w:after="0" w:line="240" w:lineRule="auto"/>
              <w:jc w:val="right"/>
              <w:rPr>
                <w:rFonts w:eastAsia="Times New Roman"/>
                <w:color w:val="000000"/>
                <w:lang w:eastAsia="pt-BR"/>
              </w:rPr>
            </w:pPr>
            <w:r w:rsidRPr="005F0949">
              <w:rPr>
                <w:rFonts w:eastAsia="Times New Roman"/>
                <w:color w:val="000000"/>
                <w:lang w:eastAsia="pt-BR"/>
              </w:rPr>
              <w:t>0,1176</w:t>
            </w:r>
            <w:r w:rsidR="00A4294F">
              <w:rPr>
                <w:rFonts w:eastAsia="Times New Roman"/>
                <w:color w:val="000000"/>
                <w:lang w:eastAsia="pt-BR"/>
              </w:rPr>
              <w:t xml:space="preserve">; </w:t>
            </w:r>
            <w:r w:rsidRPr="005F0949">
              <w:rPr>
                <w:rFonts w:eastAsia="Times New Roman"/>
                <w:color w:val="000000"/>
                <w:lang w:eastAsia="pt-BR"/>
              </w:rPr>
              <w:t>0,1312</w:t>
            </w:r>
          </w:p>
        </w:tc>
        <w:tc>
          <w:tcPr>
            <w:tcW w:w="617" w:type="dxa"/>
            <w:tcBorders>
              <w:top w:val="nil"/>
              <w:left w:val="nil"/>
              <w:bottom w:val="single" w:sz="4" w:space="0" w:color="auto"/>
              <w:right w:val="single" w:sz="4" w:space="0" w:color="auto"/>
            </w:tcBorders>
            <w:shd w:val="clear" w:color="auto" w:fill="auto"/>
            <w:noWrap/>
            <w:vAlign w:val="bottom"/>
            <w:hideMark/>
          </w:tcPr>
          <w:p w14:paraId="2CE13884"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invg</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5741F3B9"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Inf</w:t>
            </w:r>
            <w:proofErr w:type="spellEnd"/>
          </w:p>
        </w:tc>
      </w:tr>
      <w:tr w:rsidR="003F7681" w:rsidRPr="005F0949" w14:paraId="36668CD8" w14:textId="77777777" w:rsidTr="00490576">
        <w:trPr>
          <w:trHeight w:val="300"/>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F3A0B1D" w14:textId="431BA198" w:rsidR="008A4365" w:rsidRPr="005F0949" w:rsidRDefault="00432DEA" w:rsidP="005F0949">
            <w:pPr>
              <w:spacing w:after="0" w:line="240" w:lineRule="auto"/>
              <w:rPr>
                <w:rFonts w:eastAsia="Times New Roman"/>
                <w:color w:val="000000"/>
                <w:lang w:eastAsia="pt-BR"/>
              </w:rPr>
            </w:pPr>
            <w:r w:rsidRPr="005F0949">
              <w:rPr>
                <w:rFonts w:eastAsia="Times New Roman"/>
                <w:color w:val="000000"/>
                <w:lang w:eastAsia="pt-BR"/>
              </w:rPr>
              <w:t>E</w:t>
            </w:r>
            <w:r>
              <w:rPr>
                <w:rFonts w:eastAsia="Times New Roman"/>
                <w:color w:val="000000"/>
                <w:lang w:eastAsia="pt-BR"/>
              </w:rPr>
              <w:t>rro-padrão do nível de preços dos insumos importados</w:t>
            </w:r>
          </w:p>
        </w:tc>
        <w:tc>
          <w:tcPr>
            <w:tcW w:w="850" w:type="dxa"/>
            <w:tcBorders>
              <w:top w:val="nil"/>
              <w:left w:val="nil"/>
              <w:bottom w:val="single" w:sz="4" w:space="0" w:color="auto"/>
              <w:right w:val="single" w:sz="4" w:space="0" w:color="auto"/>
            </w:tcBorders>
            <w:shd w:val="clear" w:color="auto" w:fill="auto"/>
            <w:noWrap/>
            <w:vAlign w:val="bottom"/>
            <w:hideMark/>
          </w:tcPr>
          <w:p w14:paraId="70C95423"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1</w:t>
            </w:r>
          </w:p>
        </w:tc>
        <w:tc>
          <w:tcPr>
            <w:tcW w:w="1017" w:type="dxa"/>
            <w:tcBorders>
              <w:top w:val="nil"/>
              <w:left w:val="nil"/>
              <w:bottom w:val="single" w:sz="4" w:space="0" w:color="auto"/>
              <w:right w:val="single" w:sz="4" w:space="0" w:color="auto"/>
            </w:tcBorders>
            <w:shd w:val="clear" w:color="auto" w:fill="auto"/>
            <w:noWrap/>
            <w:vAlign w:val="bottom"/>
            <w:hideMark/>
          </w:tcPr>
          <w:p w14:paraId="76ADC59D" w14:textId="77777777" w:rsidR="008A4365" w:rsidRPr="005F0949" w:rsidRDefault="008A4365" w:rsidP="005F0949">
            <w:pPr>
              <w:spacing w:after="0" w:line="240" w:lineRule="auto"/>
              <w:jc w:val="right"/>
              <w:rPr>
                <w:rFonts w:eastAsia="Times New Roman"/>
                <w:color w:val="000000"/>
                <w:lang w:eastAsia="pt-BR"/>
              </w:rPr>
            </w:pPr>
            <w:r w:rsidRPr="005F0949">
              <w:rPr>
                <w:rFonts w:eastAsia="Times New Roman"/>
                <w:color w:val="000000"/>
                <w:lang w:eastAsia="pt-BR"/>
              </w:rPr>
              <w:t>0,1289</w:t>
            </w:r>
          </w:p>
        </w:tc>
        <w:tc>
          <w:tcPr>
            <w:tcW w:w="1192" w:type="dxa"/>
            <w:tcBorders>
              <w:top w:val="nil"/>
              <w:left w:val="nil"/>
              <w:bottom w:val="single" w:sz="4" w:space="0" w:color="auto"/>
              <w:right w:val="single" w:sz="4" w:space="0" w:color="auto"/>
            </w:tcBorders>
            <w:shd w:val="clear" w:color="auto" w:fill="auto"/>
            <w:noWrap/>
            <w:vAlign w:val="bottom"/>
            <w:hideMark/>
          </w:tcPr>
          <w:p w14:paraId="5368DA65" w14:textId="294587C9" w:rsidR="008A4365" w:rsidRPr="005F0949" w:rsidRDefault="008A4365" w:rsidP="00A4294F">
            <w:pPr>
              <w:spacing w:after="0" w:line="240" w:lineRule="auto"/>
              <w:jc w:val="right"/>
              <w:rPr>
                <w:rFonts w:eastAsia="Times New Roman"/>
                <w:color w:val="000000"/>
                <w:lang w:eastAsia="pt-BR"/>
              </w:rPr>
            </w:pPr>
            <w:r w:rsidRPr="005F0949">
              <w:rPr>
                <w:rFonts w:eastAsia="Times New Roman"/>
                <w:color w:val="000000"/>
                <w:lang w:eastAsia="pt-BR"/>
              </w:rPr>
              <w:t>0,1176</w:t>
            </w:r>
            <w:r w:rsidR="00A4294F">
              <w:rPr>
                <w:rFonts w:eastAsia="Times New Roman"/>
                <w:color w:val="000000"/>
                <w:lang w:eastAsia="pt-BR"/>
              </w:rPr>
              <w:t xml:space="preserve">; </w:t>
            </w:r>
            <w:r w:rsidRPr="005F0949">
              <w:rPr>
                <w:rFonts w:eastAsia="Times New Roman"/>
                <w:color w:val="000000"/>
                <w:lang w:eastAsia="pt-BR"/>
              </w:rPr>
              <w:t>0,1412</w:t>
            </w:r>
          </w:p>
        </w:tc>
        <w:tc>
          <w:tcPr>
            <w:tcW w:w="617" w:type="dxa"/>
            <w:tcBorders>
              <w:top w:val="nil"/>
              <w:left w:val="nil"/>
              <w:bottom w:val="single" w:sz="4" w:space="0" w:color="auto"/>
              <w:right w:val="single" w:sz="4" w:space="0" w:color="auto"/>
            </w:tcBorders>
            <w:shd w:val="clear" w:color="auto" w:fill="auto"/>
            <w:noWrap/>
            <w:vAlign w:val="bottom"/>
            <w:hideMark/>
          </w:tcPr>
          <w:p w14:paraId="788F333F"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invg</w:t>
            </w:r>
            <w:proofErr w:type="spellEnd"/>
          </w:p>
        </w:tc>
        <w:tc>
          <w:tcPr>
            <w:tcW w:w="995" w:type="dxa"/>
            <w:tcBorders>
              <w:top w:val="nil"/>
              <w:left w:val="nil"/>
              <w:bottom w:val="single" w:sz="4" w:space="0" w:color="auto"/>
              <w:right w:val="single" w:sz="4" w:space="0" w:color="auto"/>
            </w:tcBorders>
            <w:shd w:val="clear" w:color="auto" w:fill="auto"/>
            <w:noWrap/>
            <w:vAlign w:val="bottom"/>
            <w:hideMark/>
          </w:tcPr>
          <w:p w14:paraId="28AE00EF" w14:textId="77777777" w:rsidR="008A4365" w:rsidRPr="005F0949" w:rsidRDefault="008A4365" w:rsidP="005F0949">
            <w:pPr>
              <w:spacing w:after="0" w:line="240" w:lineRule="auto"/>
              <w:rPr>
                <w:rFonts w:eastAsia="Times New Roman"/>
                <w:color w:val="000000"/>
                <w:lang w:eastAsia="pt-BR"/>
              </w:rPr>
            </w:pPr>
            <w:proofErr w:type="spellStart"/>
            <w:r w:rsidRPr="005F0949">
              <w:rPr>
                <w:rFonts w:eastAsia="Times New Roman"/>
                <w:color w:val="000000"/>
                <w:lang w:eastAsia="pt-BR"/>
              </w:rPr>
              <w:t>Inf</w:t>
            </w:r>
            <w:proofErr w:type="spellEnd"/>
          </w:p>
        </w:tc>
      </w:tr>
    </w:tbl>
    <w:p w14:paraId="111C4725" w14:textId="0873F40E" w:rsidR="00DA5B79" w:rsidRPr="00380DA9" w:rsidRDefault="00DA5B79" w:rsidP="002E1982">
      <w:pPr>
        <w:pStyle w:val="Legenda"/>
        <w:keepNext/>
        <w:spacing w:before="0" w:after="0" w:line="240" w:lineRule="auto"/>
        <w:rPr>
          <w:rFonts w:ascii="Times New Roman" w:hAnsi="Times New Roman" w:cs="Times New Roman"/>
          <w:i w:val="0"/>
        </w:rPr>
      </w:pPr>
      <w:r w:rsidRPr="00380DA9">
        <w:rPr>
          <w:rFonts w:ascii="Times New Roman" w:hAnsi="Times New Roman" w:cs="Times New Roman"/>
          <w:i w:val="0"/>
        </w:rPr>
        <w:t>Fonte: elaborado pelos autores.</w:t>
      </w:r>
    </w:p>
    <w:p w14:paraId="28CD03CF" w14:textId="77777777" w:rsidR="00D90DE6" w:rsidRDefault="00D90DE6" w:rsidP="00511A46">
      <w:pPr>
        <w:spacing w:after="0" w:line="240" w:lineRule="auto"/>
        <w:ind w:right="142"/>
        <w:jc w:val="both"/>
        <w:rPr>
          <w:rFonts w:ascii="Times New Roman" w:hAnsi="Times New Roman" w:cs="Times New Roman"/>
          <w:b/>
          <w:sz w:val="24"/>
          <w:szCs w:val="24"/>
        </w:rPr>
      </w:pPr>
    </w:p>
    <w:p w14:paraId="111C4727" w14:textId="60C9624D" w:rsidR="00DA5B79" w:rsidRPr="002928AC" w:rsidRDefault="002928AC" w:rsidP="00511A46">
      <w:pPr>
        <w:spacing w:after="0" w:line="240" w:lineRule="auto"/>
        <w:ind w:right="142"/>
        <w:jc w:val="both"/>
        <w:rPr>
          <w:rFonts w:ascii="Times New Roman" w:hAnsi="Times New Roman" w:cs="Times New Roman"/>
          <w:b/>
          <w:sz w:val="24"/>
          <w:szCs w:val="24"/>
        </w:rPr>
      </w:pPr>
      <w:r>
        <w:rPr>
          <w:rFonts w:ascii="Times New Roman" w:hAnsi="Times New Roman" w:cs="Times New Roman"/>
          <w:b/>
          <w:sz w:val="24"/>
          <w:szCs w:val="24"/>
        </w:rPr>
        <w:t xml:space="preserve">5. </w:t>
      </w:r>
      <w:r w:rsidR="00DA5B79" w:rsidRPr="002928AC">
        <w:rPr>
          <w:rFonts w:ascii="Times New Roman" w:hAnsi="Times New Roman" w:cs="Times New Roman"/>
          <w:b/>
          <w:sz w:val="24"/>
          <w:szCs w:val="24"/>
        </w:rPr>
        <w:t xml:space="preserve">Resultados </w:t>
      </w:r>
    </w:p>
    <w:p w14:paraId="3B3AD483" w14:textId="77777777" w:rsidR="004A34FE" w:rsidRDefault="00DA5B79" w:rsidP="00511A46">
      <w:pPr>
        <w:pStyle w:val="PargrafodaLista"/>
        <w:spacing w:after="0" w:line="240" w:lineRule="auto"/>
        <w:ind w:left="0" w:right="142" w:firstLine="708"/>
        <w:contextualSpacing w:val="0"/>
        <w:jc w:val="both"/>
        <w:rPr>
          <w:rFonts w:ascii="Times New Roman" w:hAnsi="Times New Roman" w:cs="Times New Roman"/>
          <w:sz w:val="24"/>
          <w:szCs w:val="24"/>
        </w:rPr>
      </w:pPr>
      <w:r w:rsidRPr="00380DA9">
        <w:rPr>
          <w:rFonts w:ascii="Times New Roman" w:hAnsi="Times New Roman" w:cs="Times New Roman"/>
          <w:sz w:val="24"/>
          <w:szCs w:val="24"/>
        </w:rPr>
        <w:t xml:space="preserve">Nesta seção, examinam-se as propriedades dinâmicas do modelo através </w:t>
      </w:r>
      <w:r w:rsidR="00402F85">
        <w:rPr>
          <w:rFonts w:ascii="Times New Roman" w:hAnsi="Times New Roman" w:cs="Times New Roman"/>
          <w:sz w:val="24"/>
          <w:szCs w:val="24"/>
        </w:rPr>
        <w:t xml:space="preserve">da decomposição do efeito do choque na taxa de juros externa e </w:t>
      </w:r>
      <w:r w:rsidRPr="00380DA9">
        <w:rPr>
          <w:rFonts w:ascii="Times New Roman" w:hAnsi="Times New Roman" w:cs="Times New Roman"/>
          <w:sz w:val="24"/>
          <w:szCs w:val="24"/>
        </w:rPr>
        <w:t>das funções impulso-resposta</w:t>
      </w:r>
      <w:r w:rsidR="004A34FE">
        <w:rPr>
          <w:rFonts w:ascii="Times New Roman" w:hAnsi="Times New Roman" w:cs="Times New Roman"/>
          <w:sz w:val="24"/>
          <w:szCs w:val="24"/>
        </w:rPr>
        <w:t xml:space="preserve"> para um choque nesta mesma variável</w:t>
      </w:r>
      <w:r w:rsidRPr="00380DA9">
        <w:rPr>
          <w:rFonts w:ascii="Times New Roman" w:hAnsi="Times New Roman" w:cs="Times New Roman"/>
          <w:sz w:val="24"/>
          <w:szCs w:val="24"/>
        </w:rPr>
        <w:t xml:space="preserve">. </w:t>
      </w:r>
    </w:p>
    <w:p w14:paraId="025B9303" w14:textId="5C17DBE3" w:rsidR="0076634B" w:rsidRDefault="00090F08" w:rsidP="00511A46">
      <w:pPr>
        <w:spacing w:after="0" w:line="240" w:lineRule="auto"/>
        <w:ind w:right="142"/>
        <w:jc w:val="both"/>
        <w:rPr>
          <w:rFonts w:ascii="Times New Roman" w:hAnsi="Times New Roman" w:cs="Times New Roman"/>
          <w:sz w:val="24"/>
          <w:szCs w:val="24"/>
        </w:rPr>
      </w:pPr>
      <w:r>
        <w:rPr>
          <w:rFonts w:ascii="Times New Roman" w:hAnsi="Times New Roman" w:cs="Times New Roman"/>
          <w:sz w:val="24"/>
          <w:szCs w:val="24"/>
        </w:rPr>
        <w:tab/>
      </w:r>
      <w:r w:rsidR="000657C4">
        <w:rPr>
          <w:rFonts w:ascii="Times New Roman" w:hAnsi="Times New Roman" w:cs="Times New Roman"/>
          <w:sz w:val="24"/>
          <w:szCs w:val="24"/>
        </w:rPr>
        <w:t xml:space="preserve">Analisando a figura 2, nota-se uma </w:t>
      </w:r>
      <w:r w:rsidR="00625537">
        <w:rPr>
          <w:rFonts w:ascii="Times New Roman" w:hAnsi="Times New Roman" w:cs="Times New Roman"/>
          <w:sz w:val="24"/>
          <w:szCs w:val="24"/>
        </w:rPr>
        <w:t>tendência de queda da taxa de juros americana que teve início no período da “grande moderação”</w:t>
      </w:r>
      <w:r w:rsidR="003F7318">
        <w:rPr>
          <w:rStyle w:val="Refdenotaderodap"/>
          <w:rFonts w:ascii="Times New Roman" w:hAnsi="Times New Roman" w:cs="Times New Roman"/>
          <w:sz w:val="24"/>
          <w:szCs w:val="24"/>
        </w:rPr>
        <w:footnoteReference w:id="1"/>
      </w:r>
      <w:r w:rsidR="00F71095">
        <w:rPr>
          <w:rFonts w:ascii="Times New Roman" w:hAnsi="Times New Roman" w:cs="Times New Roman"/>
          <w:sz w:val="24"/>
          <w:szCs w:val="24"/>
        </w:rPr>
        <w:t>, mas ficou mais acentuada no pós-crise financeira de 2008</w:t>
      </w:r>
      <w:r w:rsidR="00013C21">
        <w:rPr>
          <w:rFonts w:ascii="Times New Roman" w:hAnsi="Times New Roman" w:cs="Times New Roman"/>
          <w:sz w:val="24"/>
          <w:szCs w:val="24"/>
        </w:rPr>
        <w:t>.</w:t>
      </w:r>
    </w:p>
    <w:p w14:paraId="3A8CA8DB" w14:textId="179FB84F" w:rsidR="00D90DE6" w:rsidRDefault="00D90DE6" w:rsidP="00D90DE6">
      <w:pPr>
        <w:pStyle w:val="PargrafodaLista"/>
        <w:spacing w:after="0" w:line="240" w:lineRule="auto"/>
        <w:ind w:left="0" w:right="142" w:firstLine="709"/>
        <w:contextualSpacing w:val="0"/>
        <w:jc w:val="both"/>
        <w:rPr>
          <w:rFonts w:ascii="Times New Roman" w:hAnsi="Times New Roman" w:cs="Times New Roman"/>
          <w:sz w:val="24"/>
          <w:szCs w:val="24"/>
        </w:rPr>
      </w:pPr>
      <w:r>
        <w:rPr>
          <w:rFonts w:ascii="Times New Roman" w:hAnsi="Times New Roman" w:cs="Times New Roman"/>
          <w:sz w:val="24"/>
          <w:szCs w:val="24"/>
        </w:rPr>
        <w:t xml:space="preserve">Para verificar se o processo de </w:t>
      </w:r>
      <w:proofErr w:type="spellStart"/>
      <w:r w:rsidRPr="0068290C">
        <w:rPr>
          <w:rFonts w:ascii="Times New Roman" w:hAnsi="Times New Roman" w:cs="Times New Roman"/>
          <w:i/>
          <w:sz w:val="24"/>
          <w:szCs w:val="24"/>
        </w:rPr>
        <w:t>tapering</w:t>
      </w:r>
      <w:proofErr w:type="spellEnd"/>
      <w:r>
        <w:rPr>
          <w:rFonts w:ascii="Times New Roman" w:hAnsi="Times New Roman" w:cs="Times New Roman"/>
          <w:sz w:val="24"/>
          <w:szCs w:val="24"/>
        </w:rPr>
        <w:t xml:space="preserve"> da economia americana tem capacidade e magnitude de afetar a economia brasileira, é importante analisar a decomposição dos choques da taxa de juros externa (taxa de juros dos EUA) em relação à taxa de câmbio (eixo esquerdo na figura 3) e em relação à taxa de juros doméstica (eixo direito na figura 3). A figura 3 demonstra que, dada a composição dos choques do modelo utilizado neste trabalho, o choque da taxa de juros externa tem contribuído pouco nos movimentos da taxa de câmbio (menos de 1% em módulo) e da taxa de juros doméstica (menos de 0,03% em módulo), esses efeitos ficaram próximos de zero durante o boom das commodities</w:t>
      </w:r>
      <w:r>
        <w:rPr>
          <w:rStyle w:val="Refdenotaderodap"/>
          <w:rFonts w:ascii="Times New Roman" w:hAnsi="Times New Roman" w:cs="Times New Roman"/>
          <w:sz w:val="24"/>
          <w:szCs w:val="24"/>
        </w:rPr>
        <w:footnoteReference w:id="2"/>
      </w:r>
      <w:r>
        <w:rPr>
          <w:rFonts w:ascii="Times New Roman" w:hAnsi="Times New Roman" w:cs="Times New Roman"/>
          <w:sz w:val="24"/>
          <w:szCs w:val="24"/>
        </w:rPr>
        <w:t>. E no período pós-crise de 2008, os efeitos tiveram papéis invertidos em relação a essas variáveis, começou a ter um efeito positivo na taxa de câmbio, atingindo 1% em 2017, por outro lado, o efeito passou a ser negativo em relação à taxa de juros doméstica. Resumindo, entre os choques do modelo, o choque na taxa de juros externa explica pouco os movimentos nas duas variáveis apresentadas na figura 3.</w:t>
      </w:r>
    </w:p>
    <w:p w14:paraId="55CD74A0" w14:textId="77777777" w:rsidR="00DF75D0" w:rsidRPr="00380DA9" w:rsidRDefault="00DF75D0" w:rsidP="00DF75D0">
      <w:pPr>
        <w:pStyle w:val="PargrafodaLista"/>
        <w:spacing w:after="0" w:line="240" w:lineRule="auto"/>
        <w:ind w:left="0" w:right="142" w:firstLine="708"/>
        <w:contextualSpacing w:val="0"/>
        <w:jc w:val="both"/>
        <w:rPr>
          <w:rFonts w:ascii="Times New Roman" w:hAnsi="Times New Roman" w:cs="Times New Roman"/>
          <w:sz w:val="24"/>
          <w:szCs w:val="24"/>
        </w:rPr>
      </w:pPr>
      <w:r>
        <w:rPr>
          <w:rFonts w:ascii="Times New Roman" w:hAnsi="Times New Roman" w:cs="Times New Roman"/>
          <w:sz w:val="24"/>
          <w:szCs w:val="24"/>
        </w:rPr>
        <w:t xml:space="preserve">Uma análise qualitativa desse processo de </w:t>
      </w:r>
      <w:proofErr w:type="spellStart"/>
      <w:r w:rsidRPr="008E6B35">
        <w:rPr>
          <w:rFonts w:ascii="Times New Roman" w:hAnsi="Times New Roman" w:cs="Times New Roman"/>
          <w:i/>
          <w:sz w:val="24"/>
          <w:szCs w:val="24"/>
        </w:rPr>
        <w:t>tapering</w:t>
      </w:r>
      <w:proofErr w:type="spellEnd"/>
      <w:r>
        <w:rPr>
          <w:rFonts w:ascii="Times New Roman" w:hAnsi="Times New Roman" w:cs="Times New Roman"/>
          <w:sz w:val="24"/>
          <w:szCs w:val="24"/>
        </w:rPr>
        <w:t xml:space="preserve"> da economia americana é feita por meio da análise das funções impulso-resposta para o choque positivo de um erro-padrão dessa variável (Figura 4). U</w:t>
      </w:r>
      <w:r w:rsidRPr="00380DA9">
        <w:rPr>
          <w:rFonts w:ascii="Times New Roman" w:hAnsi="Times New Roman" w:cs="Times New Roman"/>
          <w:sz w:val="24"/>
          <w:szCs w:val="24"/>
        </w:rPr>
        <w:t xml:space="preserve">m choque positivo na taxa </w:t>
      </w:r>
      <w:proofErr w:type="gramStart"/>
      <w:r w:rsidRPr="00380DA9">
        <w:rPr>
          <w:rFonts w:ascii="Times New Roman" w:hAnsi="Times New Roman" w:cs="Times New Roman"/>
          <w:sz w:val="24"/>
          <w:szCs w:val="24"/>
        </w:rPr>
        <w:t xml:space="preserve">juros </w:t>
      </w:r>
      <w:r>
        <w:rPr>
          <w:rFonts w:ascii="Times New Roman" w:hAnsi="Times New Roman" w:cs="Times New Roman"/>
          <w:sz w:val="24"/>
          <w:szCs w:val="24"/>
        </w:rPr>
        <w:t>externa</w:t>
      </w:r>
      <w:proofErr w:type="gramEnd"/>
      <w:r w:rsidRPr="00380DA9">
        <w:rPr>
          <w:rFonts w:ascii="Times New Roman" w:hAnsi="Times New Roman" w:cs="Times New Roman"/>
          <w:sz w:val="24"/>
          <w:szCs w:val="24"/>
        </w:rPr>
        <w:t xml:space="preserve"> eleva a taxa </w:t>
      </w:r>
      <w:r>
        <w:rPr>
          <w:rFonts w:ascii="Times New Roman" w:hAnsi="Times New Roman" w:cs="Times New Roman"/>
          <w:sz w:val="24"/>
          <w:szCs w:val="24"/>
        </w:rPr>
        <w:t>nominal</w:t>
      </w:r>
      <w:r w:rsidRPr="00380DA9">
        <w:rPr>
          <w:rFonts w:ascii="Times New Roman" w:hAnsi="Times New Roman" w:cs="Times New Roman"/>
          <w:sz w:val="24"/>
          <w:szCs w:val="24"/>
        </w:rPr>
        <w:t xml:space="preserve"> de câmbio, que só retorna ao seu valor</w:t>
      </w:r>
      <w:r>
        <w:rPr>
          <w:rFonts w:ascii="Times New Roman" w:hAnsi="Times New Roman" w:cs="Times New Roman"/>
          <w:sz w:val="24"/>
          <w:szCs w:val="24"/>
        </w:rPr>
        <w:t xml:space="preserve"> de estado</w:t>
      </w:r>
      <w:r w:rsidRPr="00380DA9">
        <w:rPr>
          <w:rFonts w:ascii="Times New Roman" w:hAnsi="Times New Roman" w:cs="Times New Roman"/>
          <w:sz w:val="24"/>
          <w:szCs w:val="24"/>
        </w:rPr>
        <w:t xml:space="preserve"> estacionário </w:t>
      </w:r>
      <w:r>
        <w:rPr>
          <w:rFonts w:ascii="Times New Roman" w:hAnsi="Times New Roman" w:cs="Times New Roman"/>
          <w:sz w:val="24"/>
          <w:szCs w:val="24"/>
        </w:rPr>
        <w:t>em cinco períodos (trimestres)</w:t>
      </w:r>
      <w:r w:rsidRPr="00380DA9">
        <w:rPr>
          <w:rFonts w:ascii="Times New Roman" w:hAnsi="Times New Roman" w:cs="Times New Roman"/>
          <w:sz w:val="24"/>
          <w:szCs w:val="24"/>
        </w:rPr>
        <w:t xml:space="preserve">. Esse efeito é esperado, uma vez que os investidores internacionais vão elevar suas posições em títulos da dívida americana que apresentarão, após o choque, maiores retornos combinados com os baixos riscos que são característicos destes papeis. Desta forma, </w:t>
      </w:r>
      <w:r>
        <w:rPr>
          <w:rFonts w:ascii="Times New Roman" w:hAnsi="Times New Roman" w:cs="Times New Roman"/>
          <w:sz w:val="24"/>
          <w:szCs w:val="24"/>
        </w:rPr>
        <w:t xml:space="preserve">dados esse choque, </w:t>
      </w:r>
      <w:r w:rsidRPr="00380DA9">
        <w:rPr>
          <w:rFonts w:ascii="Times New Roman" w:hAnsi="Times New Roman" w:cs="Times New Roman"/>
          <w:sz w:val="24"/>
          <w:szCs w:val="24"/>
        </w:rPr>
        <w:t>ocorr</w:t>
      </w:r>
      <w:r>
        <w:rPr>
          <w:rFonts w:ascii="Times New Roman" w:hAnsi="Times New Roman" w:cs="Times New Roman"/>
          <w:sz w:val="24"/>
          <w:szCs w:val="24"/>
        </w:rPr>
        <w:t>ia</w:t>
      </w:r>
      <w:r w:rsidRPr="00380DA9">
        <w:rPr>
          <w:rFonts w:ascii="Times New Roman" w:hAnsi="Times New Roman" w:cs="Times New Roman"/>
          <w:sz w:val="24"/>
          <w:szCs w:val="24"/>
        </w:rPr>
        <w:t xml:space="preserve"> fluxo de capital dos países emergentes como o Brasil em direção aos Estados Unidos.</w:t>
      </w:r>
    </w:p>
    <w:p w14:paraId="656E5C07" w14:textId="45FFF02C" w:rsidR="00DF75D0" w:rsidRDefault="00DF75D0" w:rsidP="00D90DE6">
      <w:pPr>
        <w:pStyle w:val="PargrafodaLista"/>
        <w:spacing w:after="0" w:line="240" w:lineRule="auto"/>
        <w:ind w:left="0" w:right="142" w:firstLine="709"/>
        <w:contextualSpacing w:val="0"/>
        <w:jc w:val="both"/>
        <w:rPr>
          <w:rFonts w:ascii="Times New Roman" w:hAnsi="Times New Roman" w:cs="Times New Roman"/>
          <w:sz w:val="24"/>
          <w:szCs w:val="24"/>
        </w:rPr>
      </w:pPr>
    </w:p>
    <w:p w14:paraId="06AD9DDB" w14:textId="4D8D942E" w:rsidR="00DF75D0" w:rsidRDefault="00DF75D0" w:rsidP="00D90DE6">
      <w:pPr>
        <w:pStyle w:val="PargrafodaLista"/>
        <w:spacing w:after="0" w:line="240" w:lineRule="auto"/>
        <w:ind w:left="0" w:right="142" w:firstLine="709"/>
        <w:contextualSpacing w:val="0"/>
        <w:jc w:val="both"/>
        <w:rPr>
          <w:rFonts w:ascii="Times New Roman" w:hAnsi="Times New Roman" w:cs="Times New Roman"/>
          <w:sz w:val="24"/>
          <w:szCs w:val="24"/>
        </w:rPr>
      </w:pPr>
    </w:p>
    <w:p w14:paraId="4B7A7656" w14:textId="77777777" w:rsidR="00DF75D0" w:rsidRDefault="00DF75D0" w:rsidP="00D90DE6">
      <w:pPr>
        <w:pStyle w:val="PargrafodaLista"/>
        <w:spacing w:after="0" w:line="240" w:lineRule="auto"/>
        <w:ind w:left="0" w:right="142" w:firstLine="709"/>
        <w:contextualSpacing w:val="0"/>
        <w:jc w:val="both"/>
        <w:rPr>
          <w:rFonts w:ascii="Times New Roman" w:hAnsi="Times New Roman" w:cs="Times New Roman"/>
          <w:sz w:val="24"/>
          <w:szCs w:val="24"/>
        </w:rPr>
      </w:pPr>
    </w:p>
    <w:p w14:paraId="44A045B5" w14:textId="77777777" w:rsidR="00DF75D0" w:rsidRDefault="00DF75D0" w:rsidP="00E742A7">
      <w:pPr>
        <w:spacing w:after="0" w:line="240" w:lineRule="auto"/>
        <w:ind w:right="-142"/>
        <w:jc w:val="center"/>
        <w:rPr>
          <w:rFonts w:ascii="Times New Roman" w:hAnsi="Times New Roman" w:cs="Times New Roman"/>
          <w:b/>
          <w:sz w:val="24"/>
          <w:szCs w:val="24"/>
          <w:shd w:val="clear" w:color="auto" w:fill="FFFFFF"/>
          <w:lang w:val="en-US"/>
        </w:rPr>
      </w:pPr>
    </w:p>
    <w:p w14:paraId="542F1D52" w14:textId="6B4B58F3" w:rsidR="00E742A7" w:rsidRPr="00380DA9" w:rsidRDefault="00E742A7" w:rsidP="00E742A7">
      <w:pPr>
        <w:spacing w:after="0" w:line="240" w:lineRule="auto"/>
        <w:ind w:right="-142"/>
        <w:jc w:val="center"/>
        <w:rPr>
          <w:rFonts w:ascii="Times New Roman" w:hAnsi="Times New Roman" w:cs="Times New Roman"/>
          <w:noProof/>
          <w:lang w:val="en-US" w:eastAsia="pt-BR"/>
        </w:rPr>
      </w:pPr>
      <w:proofErr w:type="spellStart"/>
      <w:r w:rsidRPr="00380DA9">
        <w:rPr>
          <w:rFonts w:ascii="Times New Roman" w:hAnsi="Times New Roman" w:cs="Times New Roman"/>
          <w:b/>
          <w:sz w:val="24"/>
          <w:szCs w:val="24"/>
          <w:shd w:val="clear" w:color="auto" w:fill="FFFFFF"/>
          <w:lang w:val="en-US"/>
        </w:rPr>
        <w:lastRenderedPageBreak/>
        <w:t>Figura</w:t>
      </w:r>
      <w:proofErr w:type="spellEnd"/>
      <w:r w:rsidRPr="00380DA9">
        <w:rPr>
          <w:rFonts w:ascii="Times New Roman" w:hAnsi="Times New Roman" w:cs="Times New Roman"/>
          <w:b/>
          <w:sz w:val="24"/>
          <w:szCs w:val="24"/>
          <w:shd w:val="clear" w:color="auto" w:fill="FFFFFF"/>
          <w:lang w:val="en-US"/>
        </w:rPr>
        <w:t xml:space="preserve"> </w:t>
      </w:r>
      <w:r>
        <w:rPr>
          <w:rFonts w:ascii="Times New Roman" w:hAnsi="Times New Roman" w:cs="Times New Roman"/>
          <w:b/>
          <w:sz w:val="24"/>
          <w:szCs w:val="24"/>
          <w:shd w:val="clear" w:color="auto" w:fill="FFFFFF"/>
          <w:lang w:val="en-US"/>
        </w:rPr>
        <w:t>2</w:t>
      </w:r>
      <w:r w:rsidRPr="00380DA9">
        <w:rPr>
          <w:rFonts w:ascii="Times New Roman" w:hAnsi="Times New Roman" w:cs="Times New Roman"/>
          <w:b/>
          <w:sz w:val="24"/>
          <w:szCs w:val="24"/>
          <w:shd w:val="clear" w:color="auto" w:fill="FFFFFF"/>
          <w:lang w:val="en-US"/>
        </w:rPr>
        <w:t xml:space="preserve">. </w:t>
      </w:r>
      <w:r w:rsidR="00F00F1D">
        <w:rPr>
          <w:rFonts w:ascii="Times New Roman" w:hAnsi="Times New Roman" w:cs="Times New Roman"/>
          <w:b/>
          <w:sz w:val="24"/>
          <w:szCs w:val="24"/>
          <w:shd w:val="clear" w:color="auto" w:fill="FFFFFF"/>
          <w:lang w:val="en-US"/>
        </w:rPr>
        <w:t>T</w:t>
      </w:r>
      <w:r w:rsidR="00F00F1D" w:rsidRPr="00F00F1D">
        <w:rPr>
          <w:rFonts w:ascii="Times New Roman" w:hAnsi="Times New Roman" w:cs="Times New Roman"/>
          <w:b/>
          <w:sz w:val="24"/>
          <w:szCs w:val="24"/>
          <w:shd w:val="clear" w:color="auto" w:fill="FFFFFF"/>
          <w:lang w:val="en-US"/>
        </w:rPr>
        <w:t xml:space="preserve">axa de </w:t>
      </w:r>
      <w:proofErr w:type="spellStart"/>
      <w:r w:rsidR="00F00F1D" w:rsidRPr="00F00F1D">
        <w:rPr>
          <w:rFonts w:ascii="Times New Roman" w:hAnsi="Times New Roman" w:cs="Times New Roman"/>
          <w:b/>
          <w:sz w:val="24"/>
          <w:szCs w:val="24"/>
          <w:shd w:val="clear" w:color="auto" w:fill="FFFFFF"/>
          <w:lang w:val="en-US"/>
        </w:rPr>
        <w:t>juros</w:t>
      </w:r>
      <w:proofErr w:type="spellEnd"/>
      <w:r w:rsidR="00F00F1D">
        <w:rPr>
          <w:rFonts w:ascii="Times New Roman" w:hAnsi="Times New Roman" w:cs="Times New Roman"/>
          <w:b/>
          <w:sz w:val="24"/>
          <w:szCs w:val="24"/>
          <w:shd w:val="clear" w:color="auto" w:fill="FFFFFF"/>
          <w:lang w:val="en-US"/>
        </w:rPr>
        <w:t xml:space="preserve"> dos </w:t>
      </w:r>
      <w:proofErr w:type="spellStart"/>
      <w:r w:rsidR="00F00F1D" w:rsidRPr="00F00F1D">
        <w:rPr>
          <w:rFonts w:ascii="Times New Roman" w:hAnsi="Times New Roman" w:cs="Times New Roman"/>
          <w:b/>
          <w:sz w:val="24"/>
          <w:szCs w:val="24"/>
          <w:shd w:val="clear" w:color="auto" w:fill="FFFFFF"/>
          <w:lang w:val="en-US"/>
        </w:rPr>
        <w:t>Estados</w:t>
      </w:r>
      <w:proofErr w:type="spellEnd"/>
      <w:r w:rsidR="00F00F1D" w:rsidRPr="00F00F1D">
        <w:rPr>
          <w:rFonts w:ascii="Times New Roman" w:hAnsi="Times New Roman" w:cs="Times New Roman"/>
          <w:b/>
          <w:sz w:val="24"/>
          <w:szCs w:val="24"/>
          <w:shd w:val="clear" w:color="auto" w:fill="FFFFFF"/>
          <w:lang w:val="en-US"/>
        </w:rPr>
        <w:t xml:space="preserve"> </w:t>
      </w:r>
      <w:proofErr w:type="spellStart"/>
      <w:r w:rsidR="00F00F1D" w:rsidRPr="00F00F1D">
        <w:rPr>
          <w:rFonts w:ascii="Times New Roman" w:hAnsi="Times New Roman" w:cs="Times New Roman"/>
          <w:b/>
          <w:sz w:val="24"/>
          <w:szCs w:val="24"/>
          <w:shd w:val="clear" w:color="auto" w:fill="FFFFFF"/>
          <w:lang w:val="en-US"/>
        </w:rPr>
        <w:t>Unidos</w:t>
      </w:r>
      <w:proofErr w:type="spellEnd"/>
      <w:r w:rsidR="00F00F1D" w:rsidRPr="00F00F1D">
        <w:rPr>
          <w:rFonts w:ascii="Times New Roman" w:hAnsi="Times New Roman" w:cs="Times New Roman"/>
          <w:b/>
          <w:sz w:val="24"/>
          <w:szCs w:val="24"/>
          <w:shd w:val="clear" w:color="auto" w:fill="FFFFFF"/>
          <w:lang w:val="en-US"/>
        </w:rPr>
        <w:t xml:space="preserve"> - T-Note (10 </w:t>
      </w:r>
      <w:proofErr w:type="spellStart"/>
      <w:r w:rsidR="00F00F1D" w:rsidRPr="00F00F1D">
        <w:rPr>
          <w:rFonts w:ascii="Times New Roman" w:hAnsi="Times New Roman" w:cs="Times New Roman"/>
          <w:b/>
          <w:sz w:val="24"/>
          <w:szCs w:val="24"/>
          <w:shd w:val="clear" w:color="auto" w:fill="FFFFFF"/>
          <w:lang w:val="en-US"/>
        </w:rPr>
        <w:t>anos</w:t>
      </w:r>
      <w:proofErr w:type="spellEnd"/>
      <w:r w:rsidR="00F00F1D" w:rsidRPr="00F00F1D">
        <w:rPr>
          <w:rFonts w:ascii="Times New Roman" w:hAnsi="Times New Roman" w:cs="Times New Roman"/>
          <w:b/>
          <w:sz w:val="24"/>
          <w:szCs w:val="24"/>
          <w:shd w:val="clear" w:color="auto" w:fill="FFFFFF"/>
          <w:lang w:val="en-US"/>
        </w:rPr>
        <w:t xml:space="preserve">) - (% </w:t>
      </w:r>
      <w:proofErr w:type="spellStart"/>
      <w:r w:rsidR="00F00F1D" w:rsidRPr="00F00F1D">
        <w:rPr>
          <w:rFonts w:ascii="Times New Roman" w:hAnsi="Times New Roman" w:cs="Times New Roman"/>
          <w:b/>
          <w:sz w:val="24"/>
          <w:szCs w:val="24"/>
          <w:shd w:val="clear" w:color="auto" w:fill="FFFFFF"/>
          <w:lang w:val="en-US"/>
        </w:rPr>
        <w:t>a.a</w:t>
      </w:r>
      <w:proofErr w:type="spellEnd"/>
      <w:r w:rsidR="00F00F1D" w:rsidRPr="00F00F1D">
        <w:rPr>
          <w:rFonts w:ascii="Times New Roman" w:hAnsi="Times New Roman" w:cs="Times New Roman"/>
          <w:b/>
          <w:sz w:val="24"/>
          <w:szCs w:val="24"/>
          <w:shd w:val="clear" w:color="auto" w:fill="FFFFFF"/>
          <w:lang w:val="en-US"/>
        </w:rPr>
        <w:t>.)</w:t>
      </w:r>
    </w:p>
    <w:p w14:paraId="3204F7FD" w14:textId="3BF81797" w:rsidR="00E742A7" w:rsidRPr="00380DA9" w:rsidRDefault="00C254C4" w:rsidP="00E742A7">
      <w:pPr>
        <w:spacing w:after="0" w:line="240" w:lineRule="auto"/>
        <w:ind w:left="-720" w:right="-142" w:hanging="180"/>
        <w:jc w:val="center"/>
        <w:rPr>
          <w:rFonts w:ascii="Times New Roman" w:hAnsi="Times New Roman" w:cs="Times New Roman"/>
          <w:shd w:val="clear" w:color="auto" w:fill="FFFFFF"/>
          <w:lang w:val="en-US"/>
        </w:rPr>
      </w:pPr>
      <w:r>
        <w:rPr>
          <w:rFonts w:ascii="Times New Roman" w:hAnsi="Times New Roman" w:cs="Times New Roman"/>
          <w:noProof/>
          <w:shd w:val="clear" w:color="auto" w:fill="FFFFFF"/>
          <w:lang w:val="en-US"/>
        </w:rPr>
        <w:drawing>
          <wp:inline distT="0" distB="0" distL="0" distR="0" wp14:anchorId="37ADD432" wp14:editId="26E9575D">
            <wp:extent cx="4228024" cy="2324100"/>
            <wp:effectExtent l="0" t="0" r="127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png"/>
                    <pic:cNvPicPr/>
                  </pic:nvPicPr>
                  <pic:blipFill>
                    <a:blip r:embed="rId9"/>
                    <a:stretch>
                      <a:fillRect/>
                    </a:stretch>
                  </pic:blipFill>
                  <pic:spPr>
                    <a:xfrm>
                      <a:off x="0" y="0"/>
                      <a:ext cx="4245745" cy="2333841"/>
                    </a:xfrm>
                    <a:prstGeom prst="rect">
                      <a:avLst/>
                    </a:prstGeom>
                  </pic:spPr>
                </pic:pic>
              </a:graphicData>
            </a:graphic>
          </wp:inline>
        </w:drawing>
      </w:r>
    </w:p>
    <w:p w14:paraId="03AA8499" w14:textId="2A6F3A79" w:rsidR="00E742A7" w:rsidRPr="00380DA9" w:rsidRDefault="00E742A7" w:rsidP="00E742A7">
      <w:pPr>
        <w:spacing w:after="0" w:line="360" w:lineRule="auto"/>
        <w:ind w:right="-142"/>
        <w:rPr>
          <w:rFonts w:ascii="Times New Roman" w:hAnsi="Times New Roman" w:cs="Times New Roman"/>
          <w:sz w:val="20"/>
          <w:szCs w:val="20"/>
          <w:lang w:eastAsia="pt-BR"/>
        </w:rPr>
      </w:pPr>
      <w:r w:rsidRPr="00380DA9">
        <w:rPr>
          <w:rFonts w:ascii="Times New Roman" w:hAnsi="Times New Roman" w:cs="Times New Roman"/>
          <w:shd w:val="clear" w:color="auto" w:fill="FFFFFF"/>
        </w:rPr>
        <w:t xml:space="preserve"> Fontes: </w:t>
      </w:r>
      <w:r w:rsidR="008A7BA8" w:rsidRPr="008A7BA8">
        <w:rPr>
          <w:rFonts w:ascii="Times New Roman" w:hAnsi="Times New Roman" w:cs="Times New Roman"/>
          <w:shd w:val="clear" w:color="auto" w:fill="FFFFFF"/>
        </w:rPr>
        <w:t xml:space="preserve">Valor Econômico </w:t>
      </w:r>
      <w:r w:rsidR="008A7BA8">
        <w:rPr>
          <w:rFonts w:ascii="Times New Roman" w:hAnsi="Times New Roman" w:cs="Times New Roman"/>
          <w:shd w:val="clear" w:color="auto" w:fill="FFFFFF"/>
        </w:rPr>
        <w:t>(</w:t>
      </w:r>
      <w:r w:rsidR="00F90C6F">
        <w:rPr>
          <w:rFonts w:ascii="Times New Roman" w:hAnsi="Times New Roman" w:cs="Times New Roman"/>
          <w:sz w:val="20"/>
          <w:szCs w:val="20"/>
          <w:lang w:eastAsia="pt-BR"/>
        </w:rPr>
        <w:t>E</w:t>
      </w:r>
      <w:r w:rsidRPr="00380DA9">
        <w:rPr>
          <w:rFonts w:ascii="Times New Roman" w:hAnsi="Times New Roman" w:cs="Times New Roman"/>
          <w:sz w:val="20"/>
          <w:szCs w:val="20"/>
          <w:lang w:eastAsia="pt-BR"/>
        </w:rPr>
        <w:t>laborado pelos autores</w:t>
      </w:r>
      <w:r w:rsidR="008A7BA8">
        <w:rPr>
          <w:rFonts w:ascii="Times New Roman" w:hAnsi="Times New Roman" w:cs="Times New Roman"/>
          <w:sz w:val="20"/>
          <w:szCs w:val="20"/>
          <w:lang w:eastAsia="pt-BR"/>
        </w:rPr>
        <w:t>)</w:t>
      </w:r>
      <w:r w:rsidRPr="00380DA9">
        <w:rPr>
          <w:rFonts w:ascii="Times New Roman" w:hAnsi="Times New Roman" w:cs="Times New Roman"/>
          <w:sz w:val="20"/>
          <w:szCs w:val="20"/>
          <w:lang w:eastAsia="pt-BR"/>
        </w:rPr>
        <w:t>.</w:t>
      </w:r>
    </w:p>
    <w:p w14:paraId="789F9564" w14:textId="77777777" w:rsidR="00D90DE6" w:rsidRDefault="00D90DE6" w:rsidP="002D71B5">
      <w:pPr>
        <w:spacing w:after="0" w:line="240" w:lineRule="auto"/>
        <w:ind w:right="-142"/>
        <w:jc w:val="center"/>
        <w:rPr>
          <w:rFonts w:ascii="Times New Roman" w:hAnsi="Times New Roman" w:cs="Times New Roman"/>
          <w:b/>
          <w:sz w:val="24"/>
          <w:szCs w:val="24"/>
          <w:shd w:val="clear" w:color="auto" w:fill="FFFFFF"/>
          <w:lang w:val="en-US"/>
        </w:rPr>
      </w:pPr>
    </w:p>
    <w:p w14:paraId="4952D60B" w14:textId="69C9AA85" w:rsidR="002D71B5" w:rsidRPr="00380DA9" w:rsidRDefault="002D71B5" w:rsidP="002D71B5">
      <w:pPr>
        <w:spacing w:after="0" w:line="240" w:lineRule="auto"/>
        <w:ind w:right="-142"/>
        <w:jc w:val="center"/>
        <w:rPr>
          <w:rFonts w:ascii="Times New Roman" w:hAnsi="Times New Roman" w:cs="Times New Roman"/>
          <w:noProof/>
          <w:lang w:val="en-US" w:eastAsia="pt-BR"/>
        </w:rPr>
      </w:pPr>
      <w:proofErr w:type="spellStart"/>
      <w:r w:rsidRPr="00380DA9">
        <w:rPr>
          <w:rFonts w:ascii="Times New Roman" w:hAnsi="Times New Roman" w:cs="Times New Roman"/>
          <w:b/>
          <w:sz w:val="24"/>
          <w:szCs w:val="24"/>
          <w:shd w:val="clear" w:color="auto" w:fill="FFFFFF"/>
          <w:lang w:val="en-US"/>
        </w:rPr>
        <w:t>Figura</w:t>
      </w:r>
      <w:proofErr w:type="spellEnd"/>
      <w:r w:rsidRPr="00380DA9">
        <w:rPr>
          <w:rFonts w:ascii="Times New Roman" w:hAnsi="Times New Roman" w:cs="Times New Roman"/>
          <w:b/>
          <w:sz w:val="24"/>
          <w:szCs w:val="24"/>
          <w:shd w:val="clear" w:color="auto" w:fill="FFFFFF"/>
          <w:lang w:val="en-US"/>
        </w:rPr>
        <w:t xml:space="preserve"> </w:t>
      </w:r>
      <w:r w:rsidR="00163911">
        <w:rPr>
          <w:rFonts w:ascii="Times New Roman" w:hAnsi="Times New Roman" w:cs="Times New Roman"/>
          <w:b/>
          <w:sz w:val="24"/>
          <w:szCs w:val="24"/>
          <w:shd w:val="clear" w:color="auto" w:fill="FFFFFF"/>
          <w:lang w:val="en-US"/>
        </w:rPr>
        <w:t>3</w:t>
      </w:r>
      <w:r w:rsidRPr="00380DA9">
        <w:rPr>
          <w:rFonts w:ascii="Times New Roman" w:hAnsi="Times New Roman" w:cs="Times New Roman"/>
          <w:b/>
          <w:sz w:val="24"/>
          <w:szCs w:val="24"/>
          <w:shd w:val="clear" w:color="auto" w:fill="FFFFFF"/>
          <w:lang w:val="en-US"/>
        </w:rPr>
        <w:t xml:space="preserve">. </w:t>
      </w:r>
      <w:proofErr w:type="spellStart"/>
      <w:r>
        <w:rPr>
          <w:rFonts w:ascii="Times New Roman" w:hAnsi="Times New Roman" w:cs="Times New Roman"/>
          <w:b/>
          <w:shd w:val="clear" w:color="auto" w:fill="FFFFFF"/>
          <w:lang w:val="en-US"/>
        </w:rPr>
        <w:t>Decomposição</w:t>
      </w:r>
      <w:proofErr w:type="spellEnd"/>
      <w:r>
        <w:rPr>
          <w:rFonts w:ascii="Times New Roman" w:hAnsi="Times New Roman" w:cs="Times New Roman"/>
          <w:b/>
          <w:shd w:val="clear" w:color="auto" w:fill="FFFFFF"/>
          <w:lang w:val="en-US"/>
        </w:rPr>
        <w:t xml:space="preserve"> do </w:t>
      </w:r>
      <w:proofErr w:type="spellStart"/>
      <w:r>
        <w:rPr>
          <w:rFonts w:ascii="Times New Roman" w:hAnsi="Times New Roman" w:cs="Times New Roman"/>
          <w:b/>
          <w:shd w:val="clear" w:color="auto" w:fill="FFFFFF"/>
          <w:lang w:val="en-US"/>
        </w:rPr>
        <w:t>choque</w:t>
      </w:r>
      <w:proofErr w:type="spellEnd"/>
      <w:r>
        <w:rPr>
          <w:rFonts w:ascii="Times New Roman" w:hAnsi="Times New Roman" w:cs="Times New Roman"/>
          <w:b/>
          <w:shd w:val="clear" w:color="auto" w:fill="FFFFFF"/>
          <w:lang w:val="en-US"/>
        </w:rPr>
        <w:t xml:space="preserve"> da taxa de </w:t>
      </w:r>
      <w:proofErr w:type="spellStart"/>
      <w:r>
        <w:rPr>
          <w:rFonts w:ascii="Times New Roman" w:hAnsi="Times New Roman" w:cs="Times New Roman"/>
          <w:b/>
          <w:shd w:val="clear" w:color="auto" w:fill="FFFFFF"/>
          <w:lang w:val="en-US"/>
        </w:rPr>
        <w:t>juros</w:t>
      </w:r>
      <w:proofErr w:type="spellEnd"/>
      <w:r>
        <w:rPr>
          <w:rFonts w:ascii="Times New Roman" w:hAnsi="Times New Roman" w:cs="Times New Roman"/>
          <w:b/>
          <w:shd w:val="clear" w:color="auto" w:fill="FFFFFF"/>
          <w:lang w:val="en-US"/>
        </w:rPr>
        <w:t xml:space="preserve"> externa </w:t>
      </w:r>
      <w:proofErr w:type="spellStart"/>
      <w:r>
        <w:rPr>
          <w:rFonts w:ascii="Times New Roman" w:hAnsi="Times New Roman" w:cs="Times New Roman"/>
          <w:b/>
          <w:shd w:val="clear" w:color="auto" w:fill="FFFFFF"/>
          <w:lang w:val="en-US"/>
        </w:rPr>
        <w:t>na</w:t>
      </w:r>
      <w:proofErr w:type="spellEnd"/>
      <w:r>
        <w:rPr>
          <w:rFonts w:ascii="Times New Roman" w:hAnsi="Times New Roman" w:cs="Times New Roman"/>
          <w:b/>
          <w:shd w:val="clear" w:color="auto" w:fill="FFFFFF"/>
          <w:lang w:val="en-US"/>
        </w:rPr>
        <w:t xml:space="preserve"> taxa de </w:t>
      </w:r>
      <w:proofErr w:type="spellStart"/>
      <w:r>
        <w:rPr>
          <w:rFonts w:ascii="Times New Roman" w:hAnsi="Times New Roman" w:cs="Times New Roman"/>
          <w:b/>
          <w:shd w:val="clear" w:color="auto" w:fill="FFFFFF"/>
          <w:lang w:val="en-US"/>
        </w:rPr>
        <w:t>câmbio</w:t>
      </w:r>
      <w:proofErr w:type="spellEnd"/>
      <w:r>
        <w:rPr>
          <w:rFonts w:ascii="Times New Roman" w:hAnsi="Times New Roman" w:cs="Times New Roman"/>
          <w:b/>
          <w:shd w:val="clear" w:color="auto" w:fill="FFFFFF"/>
          <w:lang w:val="en-US"/>
        </w:rPr>
        <w:t xml:space="preserve"> (S) e </w:t>
      </w:r>
      <w:proofErr w:type="spellStart"/>
      <w:r>
        <w:rPr>
          <w:rFonts w:ascii="Times New Roman" w:hAnsi="Times New Roman" w:cs="Times New Roman"/>
          <w:b/>
          <w:shd w:val="clear" w:color="auto" w:fill="FFFFFF"/>
          <w:lang w:val="en-US"/>
        </w:rPr>
        <w:t>na</w:t>
      </w:r>
      <w:proofErr w:type="spellEnd"/>
      <w:r>
        <w:rPr>
          <w:rFonts w:ascii="Times New Roman" w:hAnsi="Times New Roman" w:cs="Times New Roman"/>
          <w:b/>
          <w:shd w:val="clear" w:color="auto" w:fill="FFFFFF"/>
          <w:lang w:val="en-US"/>
        </w:rPr>
        <w:t xml:space="preserve"> taxa de </w:t>
      </w:r>
      <w:proofErr w:type="spellStart"/>
      <w:r>
        <w:rPr>
          <w:rFonts w:ascii="Times New Roman" w:hAnsi="Times New Roman" w:cs="Times New Roman"/>
          <w:b/>
          <w:shd w:val="clear" w:color="auto" w:fill="FFFFFF"/>
          <w:lang w:val="en-US"/>
        </w:rPr>
        <w:t>juros</w:t>
      </w:r>
      <w:proofErr w:type="spellEnd"/>
      <w:r>
        <w:rPr>
          <w:rFonts w:ascii="Times New Roman" w:hAnsi="Times New Roman" w:cs="Times New Roman"/>
          <w:b/>
          <w:shd w:val="clear" w:color="auto" w:fill="FFFFFF"/>
          <w:lang w:val="en-US"/>
        </w:rPr>
        <w:t xml:space="preserve"> </w:t>
      </w:r>
      <w:proofErr w:type="spellStart"/>
      <w:r>
        <w:rPr>
          <w:rFonts w:ascii="Times New Roman" w:hAnsi="Times New Roman" w:cs="Times New Roman"/>
          <w:b/>
          <w:shd w:val="clear" w:color="auto" w:fill="FFFFFF"/>
          <w:lang w:val="en-US"/>
        </w:rPr>
        <w:t>doméstica</w:t>
      </w:r>
      <w:proofErr w:type="spellEnd"/>
      <w:r>
        <w:rPr>
          <w:rFonts w:ascii="Times New Roman" w:hAnsi="Times New Roman" w:cs="Times New Roman"/>
          <w:b/>
          <w:shd w:val="clear" w:color="auto" w:fill="FFFFFF"/>
          <w:lang w:val="en-US"/>
        </w:rPr>
        <w:t xml:space="preserve"> (RB).</w:t>
      </w:r>
      <w:r w:rsidRPr="00380DA9">
        <w:rPr>
          <w:rFonts w:ascii="Times New Roman" w:hAnsi="Times New Roman" w:cs="Times New Roman"/>
          <w:noProof/>
          <w:lang w:val="en-US" w:eastAsia="pt-BR"/>
        </w:rPr>
        <w:t xml:space="preserve"> </w:t>
      </w:r>
    </w:p>
    <w:p w14:paraId="09EA3599" w14:textId="77777777" w:rsidR="002D71B5" w:rsidRPr="00380DA9" w:rsidRDefault="002D71B5" w:rsidP="002D71B5">
      <w:pPr>
        <w:spacing w:after="0" w:line="240" w:lineRule="auto"/>
        <w:ind w:right="-142"/>
        <w:jc w:val="center"/>
        <w:rPr>
          <w:rFonts w:ascii="Times New Roman" w:hAnsi="Times New Roman" w:cs="Times New Roman"/>
          <w:noProof/>
          <w:lang w:val="en-US" w:eastAsia="pt-BR"/>
        </w:rPr>
      </w:pPr>
    </w:p>
    <w:p w14:paraId="7916DAA3" w14:textId="0BA7BEB4" w:rsidR="002D71B5" w:rsidRPr="00380DA9" w:rsidRDefault="00322E5A" w:rsidP="002D71B5">
      <w:pPr>
        <w:spacing w:after="0" w:line="240" w:lineRule="auto"/>
        <w:ind w:left="-720" w:right="-142" w:hanging="180"/>
        <w:jc w:val="center"/>
        <w:rPr>
          <w:rFonts w:ascii="Times New Roman" w:hAnsi="Times New Roman" w:cs="Times New Roman"/>
          <w:shd w:val="clear" w:color="auto" w:fill="FFFFFF"/>
          <w:lang w:val="en-US"/>
        </w:rPr>
      </w:pPr>
      <w:r>
        <w:rPr>
          <w:rFonts w:ascii="Times New Roman" w:hAnsi="Times New Roman" w:cs="Times New Roman"/>
          <w:noProof/>
          <w:shd w:val="clear" w:color="auto" w:fill="FFFFFF"/>
          <w:lang w:val="en-US"/>
        </w:rPr>
        <w:drawing>
          <wp:inline distT="0" distB="0" distL="0" distR="0" wp14:anchorId="3D4BB005" wp14:editId="1B7B6A29">
            <wp:extent cx="4781715" cy="2114304"/>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ompChoques.png"/>
                    <pic:cNvPicPr/>
                  </pic:nvPicPr>
                  <pic:blipFill>
                    <a:blip r:embed="rId10"/>
                    <a:stretch>
                      <a:fillRect/>
                    </a:stretch>
                  </pic:blipFill>
                  <pic:spPr>
                    <a:xfrm>
                      <a:off x="0" y="0"/>
                      <a:ext cx="4786268" cy="2116317"/>
                    </a:xfrm>
                    <a:prstGeom prst="rect">
                      <a:avLst/>
                    </a:prstGeom>
                  </pic:spPr>
                </pic:pic>
              </a:graphicData>
            </a:graphic>
          </wp:inline>
        </w:drawing>
      </w:r>
    </w:p>
    <w:p w14:paraId="7CCE97EC" w14:textId="77777777" w:rsidR="002D71B5" w:rsidRPr="00380DA9" w:rsidRDefault="002D71B5" w:rsidP="002D71B5">
      <w:pPr>
        <w:spacing w:after="0" w:line="360" w:lineRule="auto"/>
        <w:ind w:right="-142"/>
        <w:rPr>
          <w:rFonts w:ascii="Times New Roman" w:hAnsi="Times New Roman" w:cs="Times New Roman"/>
          <w:sz w:val="20"/>
          <w:szCs w:val="20"/>
          <w:lang w:eastAsia="pt-BR"/>
        </w:rPr>
      </w:pPr>
      <w:r w:rsidRPr="00380DA9">
        <w:rPr>
          <w:rFonts w:ascii="Times New Roman" w:hAnsi="Times New Roman" w:cs="Times New Roman"/>
          <w:shd w:val="clear" w:color="auto" w:fill="FFFFFF"/>
        </w:rPr>
        <w:t xml:space="preserve"> Fontes: </w:t>
      </w:r>
      <w:r>
        <w:rPr>
          <w:rFonts w:ascii="Times New Roman" w:hAnsi="Times New Roman" w:cs="Times New Roman"/>
          <w:sz w:val="20"/>
          <w:szCs w:val="20"/>
          <w:lang w:eastAsia="pt-BR"/>
        </w:rPr>
        <w:t>E</w:t>
      </w:r>
      <w:r w:rsidRPr="00380DA9">
        <w:rPr>
          <w:rFonts w:ascii="Times New Roman" w:hAnsi="Times New Roman" w:cs="Times New Roman"/>
          <w:sz w:val="20"/>
          <w:szCs w:val="20"/>
          <w:lang w:eastAsia="pt-BR"/>
        </w:rPr>
        <w:t>laborado pelos autores.</w:t>
      </w:r>
    </w:p>
    <w:p w14:paraId="3FD58779" w14:textId="341AA1FA" w:rsidR="0059391D" w:rsidRPr="00380DA9" w:rsidRDefault="008B393F" w:rsidP="00511A46">
      <w:pPr>
        <w:pStyle w:val="PargrafodaLista"/>
        <w:spacing w:after="0" w:line="240" w:lineRule="auto"/>
        <w:ind w:left="0" w:right="142"/>
        <w:contextualSpacing w:val="0"/>
        <w:jc w:val="both"/>
        <w:rPr>
          <w:rFonts w:ascii="Times New Roman" w:hAnsi="Times New Roman" w:cs="Times New Roman"/>
          <w:sz w:val="24"/>
          <w:szCs w:val="24"/>
        </w:rPr>
      </w:pPr>
      <w:r>
        <w:rPr>
          <w:rFonts w:ascii="Times New Roman" w:hAnsi="Times New Roman" w:cs="Times New Roman"/>
          <w:sz w:val="24"/>
          <w:szCs w:val="24"/>
        </w:rPr>
        <w:tab/>
      </w:r>
    </w:p>
    <w:p w14:paraId="7DBB0D29" w14:textId="326A18C1" w:rsidR="0059391D" w:rsidRPr="00380DA9" w:rsidRDefault="0059391D" w:rsidP="00511A46">
      <w:pPr>
        <w:pStyle w:val="PargrafodaLista"/>
        <w:spacing w:after="0" w:line="240" w:lineRule="auto"/>
        <w:ind w:left="0" w:right="142" w:firstLine="708"/>
        <w:contextualSpacing w:val="0"/>
        <w:jc w:val="both"/>
        <w:rPr>
          <w:rFonts w:ascii="Times New Roman" w:hAnsi="Times New Roman" w:cs="Times New Roman"/>
          <w:sz w:val="24"/>
          <w:szCs w:val="24"/>
        </w:rPr>
      </w:pPr>
      <w:r w:rsidRPr="00380DA9">
        <w:rPr>
          <w:rFonts w:ascii="Times New Roman" w:hAnsi="Times New Roman" w:cs="Times New Roman"/>
          <w:sz w:val="24"/>
          <w:szCs w:val="24"/>
        </w:rPr>
        <w:t xml:space="preserve">Consequentemente, a desvalorização cambial exerce um efeito de alta sobre a taxa de inflação. </w:t>
      </w:r>
      <w:r w:rsidR="0069258B">
        <w:rPr>
          <w:rFonts w:ascii="Times New Roman" w:hAnsi="Times New Roman" w:cs="Times New Roman"/>
          <w:sz w:val="24"/>
          <w:szCs w:val="24"/>
        </w:rPr>
        <w:t>Pela paridade descoberta da taxa de juro e pela</w:t>
      </w:r>
      <w:r w:rsidRPr="00380DA9">
        <w:rPr>
          <w:rFonts w:ascii="Times New Roman" w:hAnsi="Times New Roman" w:cs="Times New Roman"/>
          <w:sz w:val="24"/>
          <w:szCs w:val="24"/>
        </w:rPr>
        <w:t xml:space="preserve"> autoridade monetária segu</w:t>
      </w:r>
      <w:r w:rsidR="00D5463A">
        <w:rPr>
          <w:rFonts w:ascii="Times New Roman" w:hAnsi="Times New Roman" w:cs="Times New Roman"/>
          <w:sz w:val="24"/>
          <w:szCs w:val="24"/>
        </w:rPr>
        <w:t>ir</w:t>
      </w:r>
      <w:r w:rsidRPr="00380DA9">
        <w:rPr>
          <w:rFonts w:ascii="Times New Roman" w:hAnsi="Times New Roman" w:cs="Times New Roman"/>
          <w:sz w:val="24"/>
          <w:szCs w:val="24"/>
        </w:rPr>
        <w:t xml:space="preserve"> uma regra de Taylor, a taxa básica de juros </w:t>
      </w:r>
      <w:r w:rsidR="00D5463A">
        <w:rPr>
          <w:rFonts w:ascii="Times New Roman" w:hAnsi="Times New Roman" w:cs="Times New Roman"/>
          <w:sz w:val="24"/>
          <w:szCs w:val="24"/>
        </w:rPr>
        <w:t>doméstica</w:t>
      </w:r>
      <w:r w:rsidRPr="00380DA9">
        <w:rPr>
          <w:rFonts w:ascii="Times New Roman" w:hAnsi="Times New Roman" w:cs="Times New Roman"/>
          <w:sz w:val="24"/>
          <w:szCs w:val="24"/>
        </w:rPr>
        <w:t xml:space="preserve"> é elevada. E</w:t>
      </w:r>
      <w:r w:rsidR="000F2AFB">
        <w:rPr>
          <w:rFonts w:ascii="Times New Roman" w:hAnsi="Times New Roman" w:cs="Times New Roman"/>
          <w:sz w:val="24"/>
          <w:szCs w:val="24"/>
        </w:rPr>
        <w:t>sse efeito arrefece</w:t>
      </w:r>
      <w:r w:rsidRPr="00380DA9">
        <w:rPr>
          <w:rFonts w:ascii="Times New Roman" w:hAnsi="Times New Roman" w:cs="Times New Roman"/>
          <w:sz w:val="24"/>
          <w:szCs w:val="24"/>
        </w:rPr>
        <w:t xml:space="preserve"> </w:t>
      </w:r>
      <w:r w:rsidR="00004292">
        <w:rPr>
          <w:rFonts w:ascii="Times New Roman" w:hAnsi="Times New Roman" w:cs="Times New Roman"/>
          <w:sz w:val="24"/>
          <w:szCs w:val="24"/>
        </w:rPr>
        <w:t xml:space="preserve">o </w:t>
      </w:r>
      <w:r w:rsidR="00EA5A7E">
        <w:rPr>
          <w:rFonts w:ascii="Times New Roman" w:hAnsi="Times New Roman" w:cs="Times New Roman"/>
          <w:sz w:val="24"/>
          <w:szCs w:val="24"/>
        </w:rPr>
        <w:t>impacto</w:t>
      </w:r>
      <w:r w:rsidR="00004292">
        <w:rPr>
          <w:rFonts w:ascii="Times New Roman" w:hAnsi="Times New Roman" w:cs="Times New Roman"/>
          <w:sz w:val="24"/>
          <w:szCs w:val="24"/>
        </w:rPr>
        <w:t xml:space="preserve"> inicial na</w:t>
      </w:r>
      <w:r w:rsidRPr="00380DA9">
        <w:rPr>
          <w:rFonts w:ascii="Times New Roman" w:hAnsi="Times New Roman" w:cs="Times New Roman"/>
          <w:sz w:val="24"/>
          <w:szCs w:val="24"/>
        </w:rPr>
        <w:t xml:space="preserve"> taxa de câmbio.</w:t>
      </w:r>
    </w:p>
    <w:p w14:paraId="0BF4E6CB" w14:textId="02773CDE" w:rsidR="0059391D" w:rsidRPr="00380DA9" w:rsidRDefault="00511F71" w:rsidP="00511A46">
      <w:pPr>
        <w:pStyle w:val="PargrafodaLista"/>
        <w:spacing w:after="0" w:line="240" w:lineRule="auto"/>
        <w:ind w:left="0" w:right="142" w:firstLine="708"/>
        <w:contextualSpacing w:val="0"/>
        <w:jc w:val="both"/>
        <w:rPr>
          <w:rFonts w:ascii="Times New Roman" w:hAnsi="Times New Roman" w:cs="Times New Roman"/>
          <w:sz w:val="24"/>
          <w:szCs w:val="24"/>
        </w:rPr>
      </w:pPr>
      <w:r>
        <w:rPr>
          <w:rFonts w:ascii="Times New Roman" w:hAnsi="Times New Roman" w:cs="Times New Roman"/>
          <w:sz w:val="24"/>
          <w:szCs w:val="24"/>
        </w:rPr>
        <w:t>E</w:t>
      </w:r>
      <w:r w:rsidR="0059391D" w:rsidRPr="00380DA9">
        <w:rPr>
          <w:rFonts w:ascii="Times New Roman" w:hAnsi="Times New Roman" w:cs="Times New Roman"/>
          <w:sz w:val="24"/>
          <w:szCs w:val="24"/>
        </w:rPr>
        <w:t xml:space="preserve">mbora </w:t>
      </w:r>
      <w:r w:rsidR="00D14CE6">
        <w:rPr>
          <w:rFonts w:ascii="Times New Roman" w:hAnsi="Times New Roman" w:cs="Times New Roman"/>
          <w:sz w:val="24"/>
          <w:szCs w:val="24"/>
        </w:rPr>
        <w:t>a taxa de inflação</w:t>
      </w:r>
      <w:r w:rsidR="0059391D" w:rsidRPr="00380DA9">
        <w:rPr>
          <w:rFonts w:ascii="Times New Roman" w:hAnsi="Times New Roman" w:cs="Times New Roman"/>
          <w:sz w:val="24"/>
          <w:szCs w:val="24"/>
        </w:rPr>
        <w:t xml:space="preserve"> se eleve logo </w:t>
      </w:r>
      <w:r w:rsidR="00D14CE6">
        <w:rPr>
          <w:rFonts w:ascii="Times New Roman" w:hAnsi="Times New Roman" w:cs="Times New Roman"/>
          <w:sz w:val="24"/>
          <w:szCs w:val="24"/>
        </w:rPr>
        <w:t>com</w:t>
      </w:r>
      <w:r w:rsidR="0059391D" w:rsidRPr="00380DA9">
        <w:rPr>
          <w:rFonts w:ascii="Times New Roman" w:hAnsi="Times New Roman" w:cs="Times New Roman"/>
          <w:sz w:val="24"/>
          <w:szCs w:val="24"/>
        </w:rPr>
        <w:t xml:space="preserve"> o choque, est</w:t>
      </w:r>
      <w:r w:rsidR="002B1A7B">
        <w:rPr>
          <w:rFonts w:ascii="Times New Roman" w:hAnsi="Times New Roman" w:cs="Times New Roman"/>
          <w:sz w:val="24"/>
          <w:szCs w:val="24"/>
        </w:rPr>
        <w:t>a</w:t>
      </w:r>
      <w:r w:rsidR="0059391D" w:rsidRPr="00380DA9">
        <w:rPr>
          <w:rFonts w:ascii="Times New Roman" w:hAnsi="Times New Roman" w:cs="Times New Roman"/>
          <w:sz w:val="24"/>
          <w:szCs w:val="24"/>
        </w:rPr>
        <w:t xml:space="preserve"> </w:t>
      </w:r>
      <w:r w:rsidR="002B1A7B">
        <w:rPr>
          <w:rFonts w:ascii="Times New Roman" w:hAnsi="Times New Roman" w:cs="Times New Roman"/>
          <w:sz w:val="24"/>
          <w:szCs w:val="24"/>
        </w:rPr>
        <w:t>variável</w:t>
      </w:r>
      <w:r w:rsidR="0059391D" w:rsidRPr="00380DA9">
        <w:rPr>
          <w:rFonts w:ascii="Times New Roman" w:hAnsi="Times New Roman" w:cs="Times New Roman"/>
          <w:sz w:val="24"/>
          <w:szCs w:val="24"/>
        </w:rPr>
        <w:t xml:space="preserve"> </w:t>
      </w:r>
      <w:r w:rsidR="002B1A7B">
        <w:rPr>
          <w:rFonts w:ascii="Times New Roman" w:hAnsi="Times New Roman" w:cs="Times New Roman"/>
          <w:sz w:val="24"/>
          <w:szCs w:val="24"/>
        </w:rPr>
        <w:t>retorna ao seu estado estacionário em três períodos</w:t>
      </w:r>
      <w:r w:rsidR="0059391D" w:rsidRPr="00380DA9">
        <w:rPr>
          <w:rFonts w:ascii="Times New Roman" w:hAnsi="Times New Roman" w:cs="Times New Roman"/>
          <w:sz w:val="24"/>
          <w:szCs w:val="24"/>
        </w:rPr>
        <w:t>. Uma vez que um dos principais objetivos do regime de metas de inflação é o de ancorar os índices de preços, permitindo um balizamento das expectativas dos agentes (BERNANKE et. al., 2001).</w:t>
      </w:r>
    </w:p>
    <w:p w14:paraId="2AA13EB1" w14:textId="08FB2E24" w:rsidR="0059391D" w:rsidRDefault="0059391D" w:rsidP="00511A46">
      <w:pPr>
        <w:pStyle w:val="PargrafodaLista"/>
        <w:spacing w:after="0" w:line="240" w:lineRule="auto"/>
        <w:ind w:left="0" w:right="142" w:firstLine="708"/>
        <w:contextualSpacing w:val="0"/>
        <w:jc w:val="both"/>
        <w:rPr>
          <w:rFonts w:ascii="Times New Roman" w:hAnsi="Times New Roman" w:cs="Times New Roman"/>
          <w:sz w:val="24"/>
          <w:szCs w:val="24"/>
        </w:rPr>
      </w:pPr>
      <w:r w:rsidRPr="00380DA9">
        <w:rPr>
          <w:rFonts w:ascii="Times New Roman" w:hAnsi="Times New Roman" w:cs="Times New Roman"/>
          <w:sz w:val="24"/>
          <w:szCs w:val="24"/>
        </w:rPr>
        <w:t>Como provável consequência da elevação dos juros, do nível de preços e, portanto, do aumento da incerteza relacionada ao choque, observa-se no modelo um efeito negativo sobre o produto, consumo e investimento nacional</w:t>
      </w:r>
      <w:r w:rsidR="000F1480">
        <w:rPr>
          <w:rFonts w:ascii="Times New Roman" w:hAnsi="Times New Roman" w:cs="Times New Roman"/>
          <w:sz w:val="24"/>
          <w:szCs w:val="24"/>
        </w:rPr>
        <w:t xml:space="preserve"> no curto prazo</w:t>
      </w:r>
      <w:r w:rsidRPr="00380DA9">
        <w:rPr>
          <w:rFonts w:ascii="Times New Roman" w:hAnsi="Times New Roman" w:cs="Times New Roman"/>
          <w:sz w:val="24"/>
          <w:szCs w:val="24"/>
        </w:rPr>
        <w:t xml:space="preserve">. Esse efeito se dissipa </w:t>
      </w:r>
      <w:r w:rsidR="006D1FA8">
        <w:rPr>
          <w:rFonts w:ascii="Times New Roman" w:hAnsi="Times New Roman" w:cs="Times New Roman"/>
          <w:sz w:val="24"/>
          <w:szCs w:val="24"/>
        </w:rPr>
        <w:t>em poucos períod</w:t>
      </w:r>
      <w:r w:rsidR="00395E25">
        <w:rPr>
          <w:rFonts w:ascii="Times New Roman" w:hAnsi="Times New Roman" w:cs="Times New Roman"/>
          <w:sz w:val="24"/>
          <w:szCs w:val="24"/>
        </w:rPr>
        <w:t xml:space="preserve">os devido ao aumento das exportações </w:t>
      </w:r>
      <w:r w:rsidR="004E6A01">
        <w:rPr>
          <w:rFonts w:ascii="Times New Roman" w:hAnsi="Times New Roman" w:cs="Times New Roman"/>
          <w:sz w:val="24"/>
          <w:szCs w:val="24"/>
        </w:rPr>
        <w:t>em consequência da depreciação cambial.</w:t>
      </w:r>
      <w:r w:rsidRPr="00380DA9">
        <w:rPr>
          <w:rFonts w:ascii="Times New Roman" w:hAnsi="Times New Roman" w:cs="Times New Roman"/>
          <w:sz w:val="24"/>
          <w:szCs w:val="24"/>
        </w:rPr>
        <w:t xml:space="preserve"> </w:t>
      </w:r>
    </w:p>
    <w:p w14:paraId="2725C723" w14:textId="1D331ECF" w:rsidR="000F1480" w:rsidRPr="00380DA9" w:rsidRDefault="000F1480" w:rsidP="00511A46">
      <w:pPr>
        <w:pStyle w:val="PargrafodaLista"/>
        <w:spacing w:after="0" w:line="240" w:lineRule="auto"/>
        <w:ind w:left="0" w:right="142" w:firstLine="708"/>
        <w:contextualSpacing w:val="0"/>
        <w:jc w:val="both"/>
        <w:rPr>
          <w:rFonts w:ascii="Times New Roman" w:hAnsi="Times New Roman" w:cs="Times New Roman"/>
          <w:sz w:val="24"/>
          <w:szCs w:val="24"/>
        </w:rPr>
      </w:pPr>
      <w:r>
        <w:rPr>
          <w:rFonts w:ascii="Times New Roman" w:hAnsi="Times New Roman" w:cs="Times New Roman"/>
          <w:sz w:val="24"/>
          <w:szCs w:val="24"/>
        </w:rPr>
        <w:t xml:space="preserve">Note que o modelo prevê que após um efeito recessivo sobre o produto no curto prazo, esta variável passa a apresentar valores acima do </w:t>
      </w:r>
      <w:r w:rsidR="00A81466">
        <w:rPr>
          <w:rFonts w:ascii="Times New Roman" w:hAnsi="Times New Roman" w:cs="Times New Roman"/>
          <w:sz w:val="24"/>
          <w:szCs w:val="24"/>
        </w:rPr>
        <w:t xml:space="preserve">valor inicial de equilíbrio. Isso ocorre provavelmente devido à melhora na balança comercial, ocasionada pela desvalorização. Os efeitos poderiam ser diferentes na ausência de uma regra de política monetária que age no </w:t>
      </w:r>
      <w:r w:rsidR="00A81466">
        <w:rPr>
          <w:rFonts w:ascii="Times New Roman" w:hAnsi="Times New Roman" w:cs="Times New Roman"/>
          <w:sz w:val="24"/>
          <w:szCs w:val="24"/>
        </w:rPr>
        <w:lastRenderedPageBreak/>
        <w:t>sentido de estabilizar o nível de preços. Desta forma, tem-se mais um</w:t>
      </w:r>
      <w:r w:rsidR="00D90DE6">
        <w:rPr>
          <w:rFonts w:ascii="Times New Roman" w:hAnsi="Times New Roman" w:cs="Times New Roman"/>
          <w:sz w:val="24"/>
          <w:szCs w:val="24"/>
        </w:rPr>
        <w:t>a</w:t>
      </w:r>
      <w:r w:rsidR="00A81466">
        <w:rPr>
          <w:rFonts w:ascii="Times New Roman" w:hAnsi="Times New Roman" w:cs="Times New Roman"/>
          <w:sz w:val="24"/>
          <w:szCs w:val="24"/>
        </w:rPr>
        <w:t xml:space="preserve"> hipótese a ser testada favorável à adoção de um regime de metas de inflação.</w:t>
      </w:r>
    </w:p>
    <w:p w14:paraId="651D16AA" w14:textId="7CC4BA66" w:rsidR="0059391D" w:rsidRDefault="00511F71" w:rsidP="00511A46">
      <w:pPr>
        <w:pStyle w:val="PargrafodaLista"/>
        <w:spacing w:after="0" w:line="240" w:lineRule="auto"/>
        <w:ind w:left="0" w:right="142" w:firstLine="708"/>
        <w:contextualSpacing w:val="0"/>
        <w:jc w:val="both"/>
        <w:rPr>
          <w:rFonts w:ascii="Times New Roman" w:hAnsi="Times New Roman" w:cs="Times New Roman"/>
          <w:sz w:val="24"/>
          <w:szCs w:val="24"/>
        </w:rPr>
      </w:pPr>
      <w:r>
        <w:rPr>
          <w:rFonts w:ascii="Times New Roman" w:hAnsi="Times New Roman" w:cs="Times New Roman"/>
          <w:sz w:val="24"/>
          <w:szCs w:val="24"/>
        </w:rPr>
        <w:t>E por fim, o</w:t>
      </w:r>
      <w:r w:rsidR="0059391D" w:rsidRPr="00380DA9">
        <w:rPr>
          <w:rFonts w:ascii="Times New Roman" w:hAnsi="Times New Roman" w:cs="Times New Roman"/>
          <w:sz w:val="24"/>
          <w:szCs w:val="24"/>
        </w:rPr>
        <w:t xml:space="preserve"> aumento da taxa de juros e a redução inicial dos salários possibilitam a ocorrência de um efeito </w:t>
      </w:r>
      <w:r w:rsidR="00072BFB">
        <w:rPr>
          <w:rFonts w:ascii="Times New Roman" w:hAnsi="Times New Roman" w:cs="Times New Roman"/>
          <w:sz w:val="24"/>
          <w:szCs w:val="24"/>
        </w:rPr>
        <w:t>renda</w:t>
      </w:r>
      <w:r w:rsidR="0059391D" w:rsidRPr="00380DA9">
        <w:rPr>
          <w:rFonts w:ascii="Times New Roman" w:hAnsi="Times New Roman" w:cs="Times New Roman"/>
          <w:sz w:val="24"/>
          <w:szCs w:val="24"/>
        </w:rPr>
        <w:t xml:space="preserve"> no mercado de </w:t>
      </w:r>
      <w:r w:rsidR="00E67004">
        <w:rPr>
          <w:rFonts w:ascii="Times New Roman" w:hAnsi="Times New Roman" w:cs="Times New Roman"/>
          <w:sz w:val="24"/>
          <w:szCs w:val="24"/>
        </w:rPr>
        <w:t>trabalho</w:t>
      </w:r>
      <w:r w:rsidR="0012731F">
        <w:rPr>
          <w:rFonts w:ascii="Times New Roman" w:hAnsi="Times New Roman" w:cs="Times New Roman"/>
          <w:sz w:val="24"/>
          <w:szCs w:val="24"/>
        </w:rPr>
        <w:t xml:space="preserve"> </w:t>
      </w:r>
      <w:r>
        <w:rPr>
          <w:rFonts w:ascii="Times New Roman" w:hAnsi="Times New Roman" w:cs="Times New Roman"/>
          <w:sz w:val="24"/>
          <w:szCs w:val="24"/>
        </w:rPr>
        <w:t>e, portanto</w:t>
      </w:r>
      <w:r w:rsidR="0012731F">
        <w:rPr>
          <w:rFonts w:ascii="Times New Roman" w:hAnsi="Times New Roman" w:cs="Times New Roman"/>
          <w:sz w:val="24"/>
          <w:szCs w:val="24"/>
        </w:rPr>
        <w:t>, observa-se um aumento na demanda por trabalho</w:t>
      </w:r>
      <w:r w:rsidR="0059391D" w:rsidRPr="00380DA9">
        <w:rPr>
          <w:rFonts w:ascii="Times New Roman" w:hAnsi="Times New Roman" w:cs="Times New Roman"/>
          <w:sz w:val="24"/>
          <w:szCs w:val="24"/>
        </w:rPr>
        <w:t>. Tais resultados são coerentes com o proposto pela literatura teórica. Dado que os insumos domésticos ficam mais baratos em relação aos importados,</w:t>
      </w:r>
      <w:r w:rsidR="0012731F">
        <w:rPr>
          <w:rFonts w:ascii="Times New Roman" w:hAnsi="Times New Roman" w:cs="Times New Roman"/>
          <w:sz w:val="24"/>
          <w:szCs w:val="24"/>
        </w:rPr>
        <w:t xml:space="preserve"> devido à desvalorização cambial,</w:t>
      </w:r>
      <w:r w:rsidR="0059391D" w:rsidRPr="00380DA9">
        <w:rPr>
          <w:rFonts w:ascii="Times New Roman" w:hAnsi="Times New Roman" w:cs="Times New Roman"/>
          <w:sz w:val="24"/>
          <w:szCs w:val="24"/>
        </w:rPr>
        <w:t xml:space="preserve"> também ocorre um efeito substituição nesse mercado, diminuindo a demanda </w:t>
      </w:r>
      <w:r w:rsidR="0012731F">
        <w:rPr>
          <w:rFonts w:ascii="Times New Roman" w:hAnsi="Times New Roman" w:cs="Times New Roman"/>
          <w:sz w:val="24"/>
          <w:szCs w:val="24"/>
        </w:rPr>
        <w:t>insumos importados</w:t>
      </w:r>
      <w:r w:rsidR="0059391D" w:rsidRPr="00380DA9">
        <w:rPr>
          <w:rFonts w:ascii="Times New Roman" w:hAnsi="Times New Roman" w:cs="Times New Roman"/>
          <w:sz w:val="24"/>
          <w:szCs w:val="24"/>
        </w:rPr>
        <w:t xml:space="preserve"> e elevando a demanda por insumo doméstico. </w:t>
      </w:r>
    </w:p>
    <w:p w14:paraId="222FDF4E" w14:textId="77777777" w:rsidR="00DF75D0" w:rsidRDefault="00DF75D0" w:rsidP="00511A46">
      <w:pPr>
        <w:pStyle w:val="PargrafodaLista"/>
        <w:spacing w:after="0" w:line="240" w:lineRule="auto"/>
        <w:ind w:left="0" w:right="142" w:firstLine="708"/>
        <w:contextualSpacing w:val="0"/>
        <w:jc w:val="both"/>
        <w:rPr>
          <w:rFonts w:ascii="Times New Roman" w:hAnsi="Times New Roman" w:cs="Times New Roman"/>
          <w:sz w:val="24"/>
          <w:szCs w:val="24"/>
        </w:rPr>
      </w:pPr>
    </w:p>
    <w:p w14:paraId="37DAA3A4" w14:textId="77777777" w:rsidR="0059391D" w:rsidRPr="00380DA9" w:rsidRDefault="0059391D" w:rsidP="0059391D">
      <w:pPr>
        <w:pStyle w:val="PargrafodaLista"/>
        <w:spacing w:after="0" w:line="360" w:lineRule="auto"/>
        <w:ind w:left="0" w:right="142"/>
        <w:contextualSpacing w:val="0"/>
        <w:jc w:val="center"/>
        <w:rPr>
          <w:rFonts w:ascii="Times New Roman" w:hAnsi="Times New Roman" w:cs="Times New Roman"/>
          <w:b/>
          <w:sz w:val="24"/>
          <w:szCs w:val="24"/>
        </w:rPr>
      </w:pPr>
      <w:r w:rsidRPr="00380DA9">
        <w:rPr>
          <w:rFonts w:ascii="Times New Roman" w:hAnsi="Times New Roman" w:cs="Times New Roman"/>
          <w:b/>
          <w:sz w:val="24"/>
          <w:szCs w:val="24"/>
        </w:rPr>
        <w:t xml:space="preserve">Figura </w:t>
      </w:r>
      <w:r>
        <w:rPr>
          <w:rFonts w:ascii="Times New Roman" w:hAnsi="Times New Roman" w:cs="Times New Roman"/>
          <w:b/>
          <w:sz w:val="24"/>
          <w:szCs w:val="24"/>
        </w:rPr>
        <w:t>4</w:t>
      </w:r>
      <w:r w:rsidRPr="00380DA9">
        <w:rPr>
          <w:rFonts w:ascii="Times New Roman" w:hAnsi="Times New Roman" w:cs="Times New Roman"/>
          <w:b/>
          <w:sz w:val="24"/>
          <w:szCs w:val="24"/>
        </w:rPr>
        <w:t xml:space="preserve"> - Funções impulso-resposta para o choque na taxa de juros americana</w:t>
      </w:r>
    </w:p>
    <w:p w14:paraId="59C49368" w14:textId="543BE42D" w:rsidR="0059391D" w:rsidRDefault="00343F45" w:rsidP="00D90DE6">
      <w:pPr>
        <w:pStyle w:val="PargrafodaLista"/>
        <w:spacing w:after="0" w:line="360" w:lineRule="auto"/>
        <w:ind w:left="-851"/>
        <w:contextualSpacing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AD8763" wp14:editId="31D780BE">
            <wp:extent cx="5886450" cy="48768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RF2.png"/>
                    <pic:cNvPicPr/>
                  </pic:nvPicPr>
                  <pic:blipFill>
                    <a:blip r:embed="rId11"/>
                    <a:stretch>
                      <a:fillRect/>
                    </a:stretch>
                  </pic:blipFill>
                  <pic:spPr>
                    <a:xfrm>
                      <a:off x="0" y="0"/>
                      <a:ext cx="5886450" cy="4876800"/>
                    </a:xfrm>
                    <a:prstGeom prst="rect">
                      <a:avLst/>
                    </a:prstGeom>
                  </pic:spPr>
                </pic:pic>
              </a:graphicData>
            </a:graphic>
          </wp:inline>
        </w:drawing>
      </w:r>
    </w:p>
    <w:p w14:paraId="6557EBE6" w14:textId="7672E0EA" w:rsidR="0059391D" w:rsidRDefault="0059391D" w:rsidP="0059391D">
      <w:pPr>
        <w:pStyle w:val="PargrafodaLista"/>
        <w:spacing w:after="0" w:line="360" w:lineRule="auto"/>
        <w:ind w:left="-567" w:right="142"/>
        <w:contextualSpacing w:val="0"/>
        <w:jc w:val="both"/>
        <w:rPr>
          <w:rFonts w:ascii="Times New Roman" w:hAnsi="Times New Roman" w:cs="Times New Roman"/>
          <w:sz w:val="24"/>
          <w:szCs w:val="24"/>
        </w:rPr>
      </w:pPr>
      <w:r w:rsidRPr="00380DA9">
        <w:rPr>
          <w:rFonts w:ascii="Times New Roman" w:hAnsi="Times New Roman" w:cs="Times New Roman"/>
          <w:sz w:val="24"/>
          <w:szCs w:val="24"/>
        </w:rPr>
        <w:t>Fonte: Elaborada pelos autores.</w:t>
      </w:r>
    </w:p>
    <w:p w14:paraId="302B69A5" w14:textId="77777777" w:rsidR="00511A46" w:rsidRPr="00380DA9" w:rsidRDefault="00511A46" w:rsidP="0059391D">
      <w:pPr>
        <w:pStyle w:val="PargrafodaLista"/>
        <w:spacing w:after="0" w:line="360" w:lineRule="auto"/>
        <w:ind w:left="-567" w:right="142"/>
        <w:contextualSpacing w:val="0"/>
        <w:jc w:val="both"/>
        <w:rPr>
          <w:rFonts w:ascii="Times New Roman" w:hAnsi="Times New Roman" w:cs="Times New Roman"/>
          <w:sz w:val="24"/>
          <w:szCs w:val="24"/>
        </w:rPr>
      </w:pPr>
      <w:bookmarkStart w:id="0" w:name="_GoBack"/>
      <w:bookmarkEnd w:id="0"/>
    </w:p>
    <w:p w14:paraId="111C4731" w14:textId="77777777" w:rsidR="00DA5B79" w:rsidRPr="00380DA9" w:rsidRDefault="00DA5B79" w:rsidP="00511A46">
      <w:pPr>
        <w:pStyle w:val="PargrafodaLista"/>
        <w:numPr>
          <w:ilvl w:val="0"/>
          <w:numId w:val="7"/>
        </w:numPr>
        <w:spacing w:after="0" w:line="240" w:lineRule="auto"/>
        <w:ind w:left="0" w:right="142" w:firstLine="0"/>
        <w:contextualSpacing w:val="0"/>
        <w:jc w:val="both"/>
        <w:rPr>
          <w:rFonts w:ascii="Times New Roman" w:hAnsi="Times New Roman" w:cs="Times New Roman"/>
          <w:b/>
          <w:sz w:val="24"/>
          <w:szCs w:val="24"/>
        </w:rPr>
      </w:pPr>
      <w:r w:rsidRPr="00380DA9">
        <w:rPr>
          <w:rFonts w:ascii="Times New Roman" w:hAnsi="Times New Roman" w:cs="Times New Roman"/>
          <w:b/>
          <w:sz w:val="24"/>
          <w:szCs w:val="24"/>
        </w:rPr>
        <w:t xml:space="preserve">Conclusões </w:t>
      </w:r>
    </w:p>
    <w:p w14:paraId="111C4732" w14:textId="77777777" w:rsidR="00DA5B79" w:rsidRPr="00380DA9" w:rsidRDefault="00DA5B79" w:rsidP="00511A46">
      <w:pPr>
        <w:pStyle w:val="PargrafodaLista"/>
        <w:spacing w:after="0" w:line="240" w:lineRule="auto"/>
        <w:ind w:left="0" w:right="142" w:firstLine="720"/>
        <w:contextualSpacing w:val="0"/>
        <w:jc w:val="both"/>
        <w:rPr>
          <w:rFonts w:ascii="Times New Roman" w:hAnsi="Times New Roman" w:cs="Times New Roman"/>
          <w:sz w:val="24"/>
          <w:szCs w:val="24"/>
        </w:rPr>
      </w:pPr>
      <w:r w:rsidRPr="00380DA9">
        <w:rPr>
          <w:rFonts w:ascii="Times New Roman" w:hAnsi="Times New Roman" w:cs="Times New Roman"/>
          <w:sz w:val="24"/>
          <w:szCs w:val="24"/>
        </w:rPr>
        <w:t xml:space="preserve">O presente artigo teve como objetivo avaliar os efeitos da elevação da taxa básica de juros americana, resultante do processo de </w:t>
      </w:r>
      <w:proofErr w:type="spellStart"/>
      <w:r w:rsidRPr="00380DA9">
        <w:rPr>
          <w:rFonts w:ascii="Times New Roman" w:hAnsi="Times New Roman" w:cs="Times New Roman"/>
          <w:i/>
          <w:sz w:val="24"/>
          <w:szCs w:val="24"/>
        </w:rPr>
        <w:t>tapering</w:t>
      </w:r>
      <w:proofErr w:type="spellEnd"/>
      <w:r w:rsidRPr="00380DA9">
        <w:rPr>
          <w:rFonts w:ascii="Times New Roman" w:hAnsi="Times New Roman" w:cs="Times New Roman"/>
          <w:i/>
          <w:sz w:val="24"/>
          <w:szCs w:val="24"/>
        </w:rPr>
        <w:t>,</w:t>
      </w:r>
      <w:r w:rsidRPr="00380DA9">
        <w:rPr>
          <w:rFonts w:ascii="Times New Roman" w:hAnsi="Times New Roman" w:cs="Times New Roman"/>
          <w:sz w:val="24"/>
          <w:szCs w:val="24"/>
        </w:rPr>
        <w:t xml:space="preserve"> sobre a economia brasileira. Para isso, utilizou-se de um modelo do tipo DSGE, para uma economia aberta, que busca reproduzir tal fenômeno econômico.</w:t>
      </w:r>
    </w:p>
    <w:p w14:paraId="43E75AD4" w14:textId="58CDC92B" w:rsidR="00EF43FB" w:rsidRPr="000152D6" w:rsidRDefault="00DA5B79" w:rsidP="00511A46">
      <w:pPr>
        <w:pStyle w:val="PargrafodaLista"/>
        <w:spacing w:after="0" w:line="240" w:lineRule="auto"/>
        <w:ind w:left="0" w:right="142" w:firstLine="720"/>
        <w:contextualSpacing w:val="0"/>
        <w:jc w:val="both"/>
        <w:rPr>
          <w:rFonts w:ascii="Times New Roman" w:hAnsi="Times New Roman" w:cs="Times New Roman"/>
          <w:sz w:val="24"/>
          <w:szCs w:val="24"/>
        </w:rPr>
      </w:pPr>
      <w:r w:rsidRPr="00380DA9">
        <w:rPr>
          <w:rFonts w:ascii="Times New Roman" w:hAnsi="Times New Roman" w:cs="Times New Roman"/>
          <w:sz w:val="24"/>
          <w:szCs w:val="24"/>
        </w:rPr>
        <w:t xml:space="preserve"> Verificou-se que um choque na </w:t>
      </w:r>
      <w:r w:rsidR="003D1E9B">
        <w:rPr>
          <w:rFonts w:ascii="Times New Roman" w:hAnsi="Times New Roman" w:cs="Times New Roman"/>
          <w:sz w:val="24"/>
          <w:szCs w:val="24"/>
        </w:rPr>
        <w:t>taxa de juros</w:t>
      </w:r>
      <w:r w:rsidRPr="00380DA9">
        <w:rPr>
          <w:rFonts w:ascii="Times New Roman" w:hAnsi="Times New Roman" w:cs="Times New Roman"/>
          <w:sz w:val="24"/>
          <w:szCs w:val="24"/>
        </w:rPr>
        <w:t xml:space="preserve"> proporciona uma desvalorização da taxa de câmbio no curto prazo e, consequentemente, um aumento da inflação. Dado que o principal mecanismo de transmissão da política monetária americana para a economia brasileira é a taxa </w:t>
      </w:r>
      <w:r w:rsidRPr="00380DA9">
        <w:rPr>
          <w:rFonts w:ascii="Times New Roman" w:hAnsi="Times New Roman" w:cs="Times New Roman"/>
          <w:sz w:val="24"/>
          <w:szCs w:val="24"/>
        </w:rPr>
        <w:lastRenderedPageBreak/>
        <w:t xml:space="preserve">de câmbio, os resultados sugerem que a retomada da política monetária do FED para níveis próximos aos verificados antes da crise financeira de 2007/2008 afeta </w:t>
      </w:r>
      <w:r w:rsidR="007F1346">
        <w:rPr>
          <w:rFonts w:ascii="Times New Roman" w:hAnsi="Times New Roman" w:cs="Times New Roman"/>
          <w:sz w:val="24"/>
          <w:szCs w:val="24"/>
        </w:rPr>
        <w:t>relativamente</w:t>
      </w:r>
      <w:r w:rsidRPr="00380DA9">
        <w:rPr>
          <w:rFonts w:ascii="Times New Roman" w:hAnsi="Times New Roman" w:cs="Times New Roman"/>
          <w:sz w:val="24"/>
          <w:szCs w:val="24"/>
        </w:rPr>
        <w:t xml:space="preserve"> a economia brasileira</w:t>
      </w:r>
      <w:r w:rsidR="00EF43FB">
        <w:rPr>
          <w:rFonts w:ascii="Times New Roman" w:hAnsi="Times New Roman" w:cs="Times New Roman"/>
          <w:sz w:val="24"/>
          <w:szCs w:val="24"/>
        </w:rPr>
        <w:t xml:space="preserve">, pois a decomposição dos choques </w:t>
      </w:r>
      <w:r w:rsidR="00D6199C">
        <w:rPr>
          <w:rFonts w:ascii="Times New Roman" w:hAnsi="Times New Roman" w:cs="Times New Roman"/>
          <w:sz w:val="24"/>
          <w:szCs w:val="24"/>
        </w:rPr>
        <w:t xml:space="preserve">apresentou uma baixa relação entre a taxa de câmbio e a taxa de juros doméstica </w:t>
      </w:r>
      <w:r w:rsidR="000152D6">
        <w:rPr>
          <w:rFonts w:ascii="Times New Roman" w:hAnsi="Times New Roman" w:cs="Times New Roman"/>
          <w:sz w:val="24"/>
          <w:szCs w:val="24"/>
        </w:rPr>
        <w:t>aos choques na taxa de juros externa.</w:t>
      </w:r>
      <w:r w:rsidRPr="00380DA9">
        <w:rPr>
          <w:rFonts w:ascii="Times New Roman" w:hAnsi="Times New Roman" w:cs="Times New Roman"/>
          <w:sz w:val="24"/>
          <w:szCs w:val="24"/>
        </w:rPr>
        <w:t xml:space="preserve"> </w:t>
      </w:r>
    </w:p>
    <w:p w14:paraId="111C4733" w14:textId="3857126A" w:rsidR="00DA5B79" w:rsidRPr="00380DA9" w:rsidRDefault="00114E7B" w:rsidP="00511A46">
      <w:pPr>
        <w:pStyle w:val="PargrafodaLista"/>
        <w:spacing w:after="0" w:line="240" w:lineRule="auto"/>
        <w:ind w:left="0" w:right="142" w:firstLine="720"/>
        <w:contextualSpacing w:val="0"/>
        <w:jc w:val="both"/>
        <w:rPr>
          <w:rFonts w:ascii="Times New Roman" w:hAnsi="Times New Roman" w:cs="Times New Roman"/>
          <w:sz w:val="24"/>
          <w:szCs w:val="24"/>
        </w:rPr>
      </w:pPr>
      <w:r>
        <w:rPr>
          <w:rFonts w:ascii="Times New Roman" w:hAnsi="Times New Roman" w:cs="Times New Roman"/>
          <w:sz w:val="24"/>
          <w:szCs w:val="24"/>
        </w:rPr>
        <w:t>Também é relevante destacar que e</w:t>
      </w:r>
      <w:r w:rsidR="00DA5B79" w:rsidRPr="00380DA9">
        <w:rPr>
          <w:rFonts w:ascii="Times New Roman" w:hAnsi="Times New Roman" w:cs="Times New Roman"/>
          <w:sz w:val="24"/>
          <w:szCs w:val="24"/>
        </w:rPr>
        <w:t xml:space="preserve">sses efeitos repercutem para além dos efeitos diretos sobre o câmbio e suas consequências sobre a inflação. Pode-se notar também um efeito pernicioso no curto prazo sobre o nível do produto, investimentos e salários. </w:t>
      </w:r>
    </w:p>
    <w:p w14:paraId="111C4749" w14:textId="5B9ABE82" w:rsidR="00D565D1" w:rsidRDefault="00DA5B79" w:rsidP="00511A46">
      <w:pPr>
        <w:pStyle w:val="PargrafodaLista"/>
        <w:spacing w:after="0" w:line="240" w:lineRule="auto"/>
        <w:ind w:left="0" w:right="142" w:firstLine="720"/>
        <w:contextualSpacing w:val="0"/>
        <w:jc w:val="both"/>
        <w:rPr>
          <w:rFonts w:ascii="Times New Roman" w:hAnsi="Times New Roman" w:cs="Times New Roman"/>
          <w:sz w:val="24"/>
          <w:szCs w:val="24"/>
        </w:rPr>
      </w:pPr>
      <w:r w:rsidRPr="00380DA9">
        <w:rPr>
          <w:rFonts w:ascii="Times New Roman" w:hAnsi="Times New Roman" w:cs="Times New Roman"/>
          <w:sz w:val="24"/>
          <w:szCs w:val="24"/>
        </w:rPr>
        <w:t xml:space="preserve">Os resultados do modelo indicaram também a presença de um efeito </w:t>
      </w:r>
      <w:r w:rsidR="00015C9A">
        <w:rPr>
          <w:rFonts w:ascii="Times New Roman" w:hAnsi="Times New Roman" w:cs="Times New Roman"/>
          <w:sz w:val="24"/>
          <w:szCs w:val="24"/>
        </w:rPr>
        <w:t>renda</w:t>
      </w:r>
      <w:r w:rsidRPr="00380DA9">
        <w:rPr>
          <w:rFonts w:ascii="Times New Roman" w:hAnsi="Times New Roman" w:cs="Times New Roman"/>
          <w:sz w:val="24"/>
          <w:szCs w:val="24"/>
        </w:rPr>
        <w:t xml:space="preserve"> </w:t>
      </w:r>
      <w:r w:rsidR="00842C5C">
        <w:rPr>
          <w:rFonts w:ascii="Times New Roman" w:hAnsi="Times New Roman" w:cs="Times New Roman"/>
          <w:sz w:val="24"/>
          <w:szCs w:val="24"/>
        </w:rPr>
        <w:t>no mercado de trabalho</w:t>
      </w:r>
      <w:r w:rsidRPr="00380DA9">
        <w:rPr>
          <w:rFonts w:ascii="Times New Roman" w:hAnsi="Times New Roman" w:cs="Times New Roman"/>
          <w:sz w:val="24"/>
          <w:szCs w:val="24"/>
        </w:rPr>
        <w:t xml:space="preserve">, bem como um efeito substituição da demanda por insumos importados por insumos </w:t>
      </w:r>
      <w:r w:rsidR="00602D23">
        <w:rPr>
          <w:rFonts w:ascii="Times New Roman" w:hAnsi="Times New Roman" w:cs="Times New Roman"/>
          <w:sz w:val="24"/>
          <w:szCs w:val="24"/>
        </w:rPr>
        <w:t>domésticos</w:t>
      </w:r>
      <w:r w:rsidRPr="00380DA9">
        <w:rPr>
          <w:rFonts w:ascii="Times New Roman" w:hAnsi="Times New Roman" w:cs="Times New Roman"/>
          <w:sz w:val="24"/>
          <w:szCs w:val="24"/>
        </w:rPr>
        <w:t>, diante da desvalorização cambial.</w:t>
      </w:r>
      <w:r w:rsidR="00563199">
        <w:rPr>
          <w:rFonts w:ascii="Times New Roman" w:hAnsi="Times New Roman" w:cs="Times New Roman"/>
          <w:sz w:val="24"/>
          <w:szCs w:val="24"/>
        </w:rPr>
        <w:t xml:space="preserve"> Ainda, o aumento na taxa de juros doméstica </w:t>
      </w:r>
      <w:r w:rsidR="00E12F71">
        <w:rPr>
          <w:rFonts w:ascii="Times New Roman" w:hAnsi="Times New Roman" w:cs="Times New Roman"/>
          <w:sz w:val="24"/>
          <w:szCs w:val="24"/>
        </w:rPr>
        <w:t>para</w:t>
      </w:r>
      <w:r w:rsidR="00BE599E">
        <w:rPr>
          <w:rFonts w:ascii="Times New Roman" w:hAnsi="Times New Roman" w:cs="Times New Roman"/>
          <w:sz w:val="24"/>
          <w:szCs w:val="24"/>
        </w:rPr>
        <w:t xml:space="preserve"> amenizar a</w:t>
      </w:r>
      <w:r w:rsidR="00E12F71">
        <w:rPr>
          <w:rFonts w:ascii="Times New Roman" w:hAnsi="Times New Roman" w:cs="Times New Roman"/>
          <w:sz w:val="24"/>
          <w:szCs w:val="24"/>
        </w:rPr>
        <w:t xml:space="preserve"> </w:t>
      </w:r>
      <w:r w:rsidR="00E12F71" w:rsidRPr="00380DA9">
        <w:rPr>
          <w:rFonts w:ascii="Times New Roman" w:hAnsi="Times New Roman" w:cs="Times New Roman"/>
          <w:sz w:val="24"/>
          <w:szCs w:val="24"/>
        </w:rPr>
        <w:t xml:space="preserve">redução do diferencial </w:t>
      </w:r>
      <w:r w:rsidR="00E12F71">
        <w:rPr>
          <w:rFonts w:ascii="Times New Roman" w:hAnsi="Times New Roman" w:cs="Times New Roman"/>
          <w:sz w:val="24"/>
          <w:szCs w:val="24"/>
        </w:rPr>
        <w:t>d</w:t>
      </w:r>
      <w:r w:rsidR="00E12F71" w:rsidRPr="00380DA9">
        <w:rPr>
          <w:rFonts w:ascii="Times New Roman" w:hAnsi="Times New Roman" w:cs="Times New Roman"/>
          <w:sz w:val="24"/>
          <w:szCs w:val="24"/>
        </w:rPr>
        <w:t>as taxas</w:t>
      </w:r>
      <w:r w:rsidR="00E12F71">
        <w:rPr>
          <w:rFonts w:ascii="Times New Roman" w:hAnsi="Times New Roman" w:cs="Times New Roman"/>
          <w:sz w:val="24"/>
          <w:szCs w:val="24"/>
        </w:rPr>
        <w:t xml:space="preserve"> de juros </w:t>
      </w:r>
      <w:r w:rsidR="00BE599E">
        <w:rPr>
          <w:rFonts w:ascii="Times New Roman" w:hAnsi="Times New Roman" w:cs="Times New Roman"/>
          <w:sz w:val="24"/>
          <w:szCs w:val="24"/>
        </w:rPr>
        <w:t>doméstica e externa e por motivos de combate à inflação</w:t>
      </w:r>
      <w:r w:rsidR="00B5712F">
        <w:rPr>
          <w:rFonts w:ascii="Times New Roman" w:hAnsi="Times New Roman" w:cs="Times New Roman"/>
          <w:sz w:val="24"/>
          <w:szCs w:val="24"/>
        </w:rPr>
        <w:t xml:space="preserve"> </w:t>
      </w:r>
      <w:r w:rsidRPr="00380DA9">
        <w:rPr>
          <w:rFonts w:ascii="Times New Roman" w:hAnsi="Times New Roman" w:cs="Times New Roman"/>
          <w:sz w:val="24"/>
          <w:szCs w:val="24"/>
        </w:rPr>
        <w:t>fornecem subsídios para ressaltar a importância do gerenciamento da política monetária baseada em regras que permitem a economia absorver choques exógenos de forma mais eficaz e reduzir as flutuações cíclicas.</w:t>
      </w:r>
    </w:p>
    <w:p w14:paraId="5A8B6A0D" w14:textId="77777777" w:rsidR="00B5712F" w:rsidRPr="00B5712F" w:rsidRDefault="00B5712F" w:rsidP="00511A46">
      <w:pPr>
        <w:pStyle w:val="PargrafodaLista"/>
        <w:spacing w:after="0" w:line="240" w:lineRule="auto"/>
        <w:ind w:left="0" w:right="142" w:firstLine="720"/>
        <w:contextualSpacing w:val="0"/>
        <w:jc w:val="both"/>
        <w:rPr>
          <w:rFonts w:ascii="Times New Roman" w:hAnsi="Times New Roman" w:cs="Times New Roman"/>
          <w:sz w:val="24"/>
          <w:szCs w:val="24"/>
        </w:rPr>
      </w:pPr>
    </w:p>
    <w:p w14:paraId="111C474A" w14:textId="77777777" w:rsidR="00DA5B79" w:rsidRPr="00380DA9" w:rsidRDefault="00DA5B79" w:rsidP="00511A46">
      <w:pPr>
        <w:pStyle w:val="PargrafodaLista"/>
        <w:spacing w:after="0" w:line="240" w:lineRule="auto"/>
        <w:ind w:left="0" w:right="142"/>
        <w:contextualSpacing w:val="0"/>
        <w:jc w:val="both"/>
        <w:rPr>
          <w:rFonts w:ascii="Times New Roman" w:hAnsi="Times New Roman" w:cs="Times New Roman"/>
          <w:b/>
          <w:sz w:val="24"/>
          <w:szCs w:val="24"/>
        </w:rPr>
      </w:pPr>
      <w:r w:rsidRPr="00380DA9">
        <w:rPr>
          <w:rFonts w:ascii="Times New Roman" w:hAnsi="Times New Roman" w:cs="Times New Roman"/>
          <w:b/>
          <w:sz w:val="24"/>
          <w:szCs w:val="24"/>
        </w:rPr>
        <w:t>Referências bibliográficas</w:t>
      </w:r>
    </w:p>
    <w:p w14:paraId="111C474B" w14:textId="77777777" w:rsidR="00DA5B79" w:rsidRPr="00380DA9" w:rsidRDefault="00DA5B79" w:rsidP="00511A46">
      <w:pPr>
        <w:pStyle w:val="PargrafodaLista"/>
        <w:spacing w:after="0" w:line="240" w:lineRule="auto"/>
        <w:ind w:left="0" w:right="142"/>
        <w:contextualSpacing w:val="0"/>
        <w:jc w:val="both"/>
        <w:rPr>
          <w:rFonts w:ascii="Times New Roman" w:hAnsi="Times New Roman" w:cs="Times New Roman"/>
          <w:sz w:val="24"/>
          <w:szCs w:val="24"/>
          <w:lang w:val="en-US"/>
        </w:rPr>
      </w:pPr>
      <w:r w:rsidRPr="00380DA9">
        <w:rPr>
          <w:rFonts w:ascii="Times New Roman" w:hAnsi="Times New Roman" w:cs="Times New Roman"/>
          <w:sz w:val="24"/>
          <w:szCs w:val="24"/>
          <w:lang w:val="es-ES"/>
        </w:rPr>
        <w:t xml:space="preserve">BERNANKE, Ben S. et al. </w:t>
      </w:r>
      <w:r w:rsidRPr="00380DA9">
        <w:rPr>
          <w:rFonts w:ascii="Times New Roman" w:hAnsi="Times New Roman" w:cs="Times New Roman"/>
          <w:b/>
          <w:sz w:val="24"/>
          <w:szCs w:val="24"/>
          <w:lang w:val="en-US"/>
        </w:rPr>
        <w:t>Inflation Targeting: Lessons from the International Experience</w:t>
      </w:r>
      <w:r w:rsidRPr="00380DA9">
        <w:rPr>
          <w:rFonts w:ascii="Times New Roman" w:hAnsi="Times New Roman" w:cs="Times New Roman"/>
          <w:sz w:val="24"/>
          <w:szCs w:val="24"/>
          <w:lang w:val="en-US"/>
        </w:rPr>
        <w:t>. Princeton University Press. 2001.</w:t>
      </w:r>
    </w:p>
    <w:p w14:paraId="111C474C" w14:textId="77777777" w:rsidR="00DA5B79" w:rsidRPr="00380DA9" w:rsidRDefault="00DA5B79" w:rsidP="00511A46">
      <w:pPr>
        <w:pStyle w:val="PargrafodaLista"/>
        <w:spacing w:after="0" w:line="240" w:lineRule="auto"/>
        <w:ind w:left="0" w:right="142"/>
        <w:contextualSpacing w:val="0"/>
        <w:jc w:val="both"/>
        <w:rPr>
          <w:rFonts w:ascii="Times New Roman" w:hAnsi="Times New Roman" w:cs="Times New Roman"/>
          <w:sz w:val="24"/>
          <w:szCs w:val="24"/>
          <w:lang w:val="en-US"/>
        </w:rPr>
      </w:pPr>
      <w:r w:rsidRPr="00380DA9">
        <w:rPr>
          <w:rFonts w:ascii="Times New Roman" w:hAnsi="Times New Roman" w:cs="Times New Roman"/>
          <w:sz w:val="24"/>
          <w:szCs w:val="24"/>
          <w:lang w:val="en-US"/>
        </w:rPr>
        <w:t>BLANCHARD, Olivier; DELL'ARICCIA, Giovanni; MAURO, Paolo. Rethinking Macro Policy II: Getting Granular. IMF Staff Discussion Note. April, v. 15, p. 25, 2013.</w:t>
      </w:r>
    </w:p>
    <w:p w14:paraId="111C474D" w14:textId="77777777" w:rsidR="00DA5B79" w:rsidRPr="00380DA9" w:rsidRDefault="00DA5B79" w:rsidP="00511A46">
      <w:pPr>
        <w:pStyle w:val="PargrafodaLista"/>
        <w:spacing w:after="0" w:line="240" w:lineRule="auto"/>
        <w:ind w:left="0" w:right="142"/>
        <w:contextualSpacing w:val="0"/>
        <w:jc w:val="both"/>
        <w:rPr>
          <w:rFonts w:ascii="Times New Roman" w:hAnsi="Times New Roman" w:cs="Times New Roman"/>
          <w:sz w:val="24"/>
          <w:szCs w:val="24"/>
          <w:lang w:val="en-US"/>
        </w:rPr>
      </w:pPr>
      <w:r w:rsidRPr="00380DA9">
        <w:rPr>
          <w:rFonts w:ascii="Times New Roman" w:hAnsi="Times New Roman" w:cs="Times New Roman"/>
          <w:sz w:val="24"/>
          <w:szCs w:val="24"/>
          <w:lang w:val="en-US"/>
        </w:rPr>
        <w:t xml:space="preserve">CALVO, G. </w:t>
      </w:r>
      <w:r w:rsidRPr="00380DA9">
        <w:rPr>
          <w:rFonts w:ascii="Times New Roman" w:hAnsi="Times New Roman" w:cs="Times New Roman"/>
          <w:b/>
          <w:sz w:val="24"/>
          <w:szCs w:val="24"/>
          <w:lang w:val="en-US"/>
        </w:rPr>
        <w:t>Staggered Prices in A Utility-Maximizing Framework</w:t>
      </w:r>
      <w:r w:rsidRPr="00380DA9">
        <w:rPr>
          <w:rFonts w:ascii="Times New Roman" w:hAnsi="Times New Roman" w:cs="Times New Roman"/>
          <w:sz w:val="24"/>
          <w:szCs w:val="24"/>
          <w:lang w:val="en-US"/>
        </w:rPr>
        <w:t>. Journal of Monetary Economics, 12, p. 383-398. 1983</w:t>
      </w:r>
    </w:p>
    <w:p w14:paraId="111C474E" w14:textId="77777777" w:rsidR="00DA5B79" w:rsidRPr="00380DA9" w:rsidRDefault="00DA5B79" w:rsidP="00511A46">
      <w:pPr>
        <w:tabs>
          <w:tab w:val="center" w:pos="567"/>
        </w:tabs>
        <w:spacing w:after="0" w:line="240" w:lineRule="auto"/>
        <w:ind w:right="142"/>
        <w:jc w:val="both"/>
        <w:rPr>
          <w:rFonts w:ascii="Times New Roman" w:hAnsi="Times New Roman" w:cs="Times New Roman"/>
          <w:sz w:val="24"/>
          <w:szCs w:val="24"/>
          <w:shd w:val="clear" w:color="auto" w:fill="FFFFFF"/>
        </w:rPr>
      </w:pPr>
      <w:r w:rsidRPr="00380DA9">
        <w:rPr>
          <w:rFonts w:ascii="Times New Roman" w:hAnsi="Times New Roman" w:cs="Times New Roman"/>
          <w:sz w:val="24"/>
          <w:szCs w:val="24"/>
          <w:shd w:val="clear" w:color="auto" w:fill="FFFFFF"/>
          <w:lang w:val="en-US"/>
        </w:rPr>
        <w:t xml:space="preserve">CANOVA, F. </w:t>
      </w:r>
      <w:r w:rsidRPr="00380DA9">
        <w:rPr>
          <w:rFonts w:ascii="Times New Roman" w:hAnsi="Times New Roman" w:cs="Times New Roman"/>
          <w:b/>
          <w:sz w:val="24"/>
          <w:szCs w:val="24"/>
          <w:shd w:val="clear" w:color="auto" w:fill="FFFFFF"/>
          <w:lang w:val="en-US"/>
        </w:rPr>
        <w:t>The transmission of US shocks to Latin America</w:t>
      </w:r>
      <w:r w:rsidRPr="00380DA9">
        <w:rPr>
          <w:rFonts w:ascii="Times New Roman" w:hAnsi="Times New Roman" w:cs="Times New Roman"/>
          <w:sz w:val="24"/>
          <w:szCs w:val="24"/>
          <w:shd w:val="clear" w:color="auto" w:fill="FFFFFF"/>
          <w:lang w:val="en-US"/>
        </w:rPr>
        <w:t>.</w:t>
      </w:r>
      <w:r w:rsidRPr="00380DA9">
        <w:rPr>
          <w:rStyle w:val="apple-converted-space"/>
          <w:rFonts w:ascii="Times New Roman" w:hAnsi="Times New Roman"/>
          <w:sz w:val="24"/>
          <w:szCs w:val="24"/>
          <w:shd w:val="clear" w:color="auto" w:fill="FFFFFF"/>
          <w:lang w:val="en-US"/>
        </w:rPr>
        <w:t> </w:t>
      </w:r>
      <w:r w:rsidRPr="00380DA9">
        <w:rPr>
          <w:rStyle w:val="Forte"/>
          <w:rFonts w:ascii="Times New Roman" w:hAnsi="Times New Roman"/>
          <w:sz w:val="24"/>
          <w:szCs w:val="24"/>
          <w:shd w:val="clear" w:color="auto" w:fill="FFFFFF"/>
          <w:lang w:val="en-US"/>
        </w:rPr>
        <w:t>J. Appl. Econ.,</w:t>
      </w:r>
      <w:r w:rsidRPr="00380DA9">
        <w:rPr>
          <w:rStyle w:val="apple-converted-space"/>
          <w:rFonts w:ascii="Times New Roman" w:hAnsi="Times New Roman"/>
          <w:b/>
          <w:bCs/>
          <w:sz w:val="24"/>
          <w:szCs w:val="24"/>
          <w:shd w:val="clear" w:color="auto" w:fill="FFFFFF"/>
          <w:lang w:val="en-US"/>
        </w:rPr>
        <w:t> </w:t>
      </w:r>
      <w:r w:rsidRPr="00380DA9">
        <w:rPr>
          <w:rFonts w:ascii="Times New Roman" w:hAnsi="Times New Roman" w:cs="Times New Roman"/>
          <w:sz w:val="24"/>
          <w:szCs w:val="24"/>
          <w:shd w:val="clear" w:color="auto" w:fill="FFFFFF"/>
          <w:lang w:val="en-US"/>
        </w:rPr>
        <w:t>[</w:t>
      </w:r>
      <w:proofErr w:type="spellStart"/>
      <w:r w:rsidRPr="00380DA9">
        <w:rPr>
          <w:rFonts w:ascii="Times New Roman" w:hAnsi="Times New Roman" w:cs="Times New Roman"/>
          <w:sz w:val="24"/>
          <w:szCs w:val="24"/>
          <w:shd w:val="clear" w:color="auto" w:fill="FFFFFF"/>
          <w:lang w:val="en-US"/>
        </w:rPr>
        <w:t>s.l.</w:t>
      </w:r>
      <w:proofErr w:type="spellEnd"/>
      <w:r w:rsidRPr="00380DA9">
        <w:rPr>
          <w:rFonts w:ascii="Times New Roman" w:hAnsi="Times New Roman" w:cs="Times New Roman"/>
          <w:sz w:val="24"/>
          <w:szCs w:val="24"/>
          <w:shd w:val="clear" w:color="auto" w:fill="FFFFFF"/>
          <w:lang w:val="en-US"/>
        </w:rPr>
        <w:t xml:space="preserve">], v. 20, n. 2, p.229-251, Wiley-Blackwell.  </w:t>
      </w:r>
      <w:r w:rsidRPr="00380DA9">
        <w:rPr>
          <w:rFonts w:ascii="Times New Roman" w:hAnsi="Times New Roman" w:cs="Times New Roman"/>
          <w:sz w:val="24"/>
          <w:szCs w:val="24"/>
          <w:shd w:val="clear" w:color="auto" w:fill="FFFFFF"/>
        </w:rPr>
        <w:t>2005.</w:t>
      </w:r>
    </w:p>
    <w:p w14:paraId="111C474F" w14:textId="1386BAAC" w:rsidR="00DA5B79" w:rsidRPr="00380DA9" w:rsidRDefault="00DA5B79" w:rsidP="00511A46">
      <w:pPr>
        <w:tabs>
          <w:tab w:val="center" w:pos="567"/>
        </w:tabs>
        <w:spacing w:after="0" w:line="240" w:lineRule="auto"/>
        <w:ind w:right="142"/>
        <w:jc w:val="both"/>
        <w:rPr>
          <w:rFonts w:ascii="Times New Roman" w:hAnsi="Times New Roman" w:cs="Times New Roman"/>
          <w:sz w:val="24"/>
          <w:szCs w:val="24"/>
          <w:shd w:val="clear" w:color="auto" w:fill="FFFFFF"/>
          <w:lang w:val="en-US"/>
        </w:rPr>
      </w:pPr>
      <w:r w:rsidRPr="00380DA9">
        <w:rPr>
          <w:rFonts w:ascii="Times New Roman" w:hAnsi="Times New Roman" w:cs="Times New Roman"/>
          <w:sz w:val="24"/>
          <w:szCs w:val="24"/>
          <w:shd w:val="clear" w:color="auto" w:fill="FFFFFF"/>
        </w:rPr>
        <w:t>CASTRO, M. R. de; GOUVEA, S. N.; MINELLA, A.; SANTOS, R. C. e SOUZA-SOBRINHO, N. F. 201</w:t>
      </w:r>
      <w:r w:rsidR="009050DF">
        <w:rPr>
          <w:rFonts w:ascii="Times New Roman" w:hAnsi="Times New Roman" w:cs="Times New Roman"/>
          <w:sz w:val="24"/>
          <w:szCs w:val="24"/>
          <w:shd w:val="clear" w:color="auto" w:fill="FFFFFF"/>
        </w:rPr>
        <w:t>5</w:t>
      </w:r>
      <w:r w:rsidRPr="00380DA9">
        <w:rPr>
          <w:rFonts w:ascii="Times New Roman" w:hAnsi="Times New Roman" w:cs="Times New Roman"/>
          <w:sz w:val="24"/>
          <w:szCs w:val="24"/>
          <w:shd w:val="clear" w:color="auto" w:fill="FFFFFF"/>
        </w:rPr>
        <w:t xml:space="preserve">. </w:t>
      </w:r>
      <w:r w:rsidRPr="00380DA9">
        <w:rPr>
          <w:rFonts w:ascii="Times New Roman" w:hAnsi="Times New Roman" w:cs="Times New Roman"/>
          <w:sz w:val="24"/>
          <w:szCs w:val="24"/>
          <w:shd w:val="clear" w:color="auto" w:fill="FFFFFF"/>
          <w:lang w:val="en-US"/>
        </w:rPr>
        <w:t xml:space="preserve">SAMBA: </w:t>
      </w:r>
      <w:r w:rsidRPr="00380DA9">
        <w:rPr>
          <w:rFonts w:ascii="Times New Roman" w:hAnsi="Times New Roman" w:cs="Times New Roman"/>
          <w:b/>
          <w:sz w:val="24"/>
          <w:szCs w:val="24"/>
          <w:shd w:val="clear" w:color="auto" w:fill="FFFFFF"/>
          <w:lang w:val="en-US"/>
        </w:rPr>
        <w:t xml:space="preserve">Stochastic analytical model with a </w:t>
      </w:r>
      <w:proofErr w:type="spellStart"/>
      <w:r w:rsidRPr="00380DA9">
        <w:rPr>
          <w:rFonts w:ascii="Times New Roman" w:hAnsi="Times New Roman" w:cs="Times New Roman"/>
          <w:b/>
          <w:sz w:val="24"/>
          <w:szCs w:val="24"/>
          <w:shd w:val="clear" w:color="auto" w:fill="FFFFFF"/>
          <w:lang w:val="en-US"/>
        </w:rPr>
        <w:t>bayesian</w:t>
      </w:r>
      <w:proofErr w:type="spellEnd"/>
      <w:r w:rsidRPr="00380DA9">
        <w:rPr>
          <w:rFonts w:ascii="Times New Roman" w:hAnsi="Times New Roman" w:cs="Times New Roman"/>
          <w:b/>
          <w:sz w:val="24"/>
          <w:szCs w:val="24"/>
          <w:shd w:val="clear" w:color="auto" w:fill="FFFFFF"/>
          <w:lang w:val="en-US"/>
        </w:rPr>
        <w:t xml:space="preserve"> approach. </w:t>
      </w:r>
      <w:r w:rsidRPr="009050DF">
        <w:rPr>
          <w:rFonts w:ascii="Times New Roman" w:hAnsi="Times New Roman" w:cs="Times New Roman"/>
          <w:sz w:val="24"/>
          <w:szCs w:val="24"/>
          <w:shd w:val="clear" w:color="auto" w:fill="FFFFFF"/>
          <w:lang w:val="en-US"/>
        </w:rPr>
        <w:t>Brazilian</w:t>
      </w:r>
      <w:r w:rsidRPr="00380DA9">
        <w:rPr>
          <w:rFonts w:ascii="Times New Roman" w:hAnsi="Times New Roman" w:cs="Times New Roman"/>
          <w:sz w:val="24"/>
          <w:szCs w:val="24"/>
          <w:shd w:val="clear" w:color="auto" w:fill="FFFFFF"/>
          <w:lang w:val="en-US"/>
        </w:rPr>
        <w:t xml:space="preserve"> Review of Econometrics, 35(2), 103-170.</w:t>
      </w:r>
    </w:p>
    <w:p w14:paraId="111C4750" w14:textId="77777777" w:rsidR="00DA5B79" w:rsidRPr="00380DA9" w:rsidRDefault="00DA5B79" w:rsidP="00511A46">
      <w:pPr>
        <w:tabs>
          <w:tab w:val="center" w:pos="567"/>
        </w:tabs>
        <w:spacing w:after="0" w:line="240" w:lineRule="auto"/>
        <w:ind w:right="142"/>
        <w:jc w:val="both"/>
        <w:rPr>
          <w:rFonts w:ascii="Times New Roman" w:hAnsi="Times New Roman" w:cs="Times New Roman"/>
          <w:sz w:val="24"/>
          <w:szCs w:val="24"/>
          <w:shd w:val="clear" w:color="auto" w:fill="FFFFFF"/>
          <w:lang w:val="en-US"/>
        </w:rPr>
      </w:pPr>
      <w:proofErr w:type="spellStart"/>
      <w:r w:rsidRPr="00380DA9">
        <w:rPr>
          <w:rFonts w:ascii="Times New Roman" w:hAnsi="Times New Roman" w:cs="Times New Roman"/>
          <w:sz w:val="24"/>
          <w:szCs w:val="24"/>
          <w:shd w:val="clear" w:color="auto" w:fill="FFFFFF"/>
        </w:rPr>
        <w:t>CAVALCANTi</w:t>
      </w:r>
      <w:proofErr w:type="spellEnd"/>
      <w:r w:rsidRPr="00380DA9">
        <w:rPr>
          <w:rFonts w:ascii="Times New Roman" w:hAnsi="Times New Roman" w:cs="Times New Roman"/>
          <w:sz w:val="24"/>
          <w:szCs w:val="24"/>
          <w:shd w:val="clear" w:color="auto" w:fill="FFFFFF"/>
        </w:rPr>
        <w:t xml:space="preserve">, M. A. F. H. e VEREDA, L. 2010. </w:t>
      </w:r>
      <w:r w:rsidRPr="00380DA9">
        <w:rPr>
          <w:rFonts w:ascii="Times New Roman" w:hAnsi="Times New Roman" w:cs="Times New Roman"/>
          <w:b/>
          <w:sz w:val="24"/>
          <w:szCs w:val="24"/>
          <w:shd w:val="clear" w:color="auto" w:fill="FFFFFF"/>
        </w:rPr>
        <w:t>Propriedades dinâmicas de um modelo DSGE com parametrizações alternativas para o Brasil</w:t>
      </w:r>
      <w:r w:rsidRPr="00380DA9">
        <w:rPr>
          <w:rFonts w:ascii="Times New Roman" w:hAnsi="Times New Roman" w:cs="Times New Roman"/>
          <w:sz w:val="24"/>
          <w:szCs w:val="24"/>
          <w:shd w:val="clear" w:color="auto" w:fill="FFFFFF"/>
        </w:rPr>
        <w:t xml:space="preserve">. </w:t>
      </w:r>
      <w:proofErr w:type="spellStart"/>
      <w:r w:rsidRPr="00380DA9">
        <w:rPr>
          <w:rFonts w:ascii="Times New Roman" w:hAnsi="Times New Roman" w:cs="Times New Roman"/>
          <w:sz w:val="24"/>
          <w:szCs w:val="24"/>
          <w:shd w:val="clear" w:color="auto" w:fill="FFFFFF"/>
          <w:lang w:val="en-US"/>
        </w:rPr>
        <w:t>Ipea</w:t>
      </w:r>
      <w:proofErr w:type="spellEnd"/>
      <w:r w:rsidRPr="00380DA9">
        <w:rPr>
          <w:rFonts w:ascii="Times New Roman" w:hAnsi="Times New Roman" w:cs="Times New Roman"/>
          <w:sz w:val="24"/>
          <w:szCs w:val="24"/>
          <w:shd w:val="clear" w:color="auto" w:fill="FFFFFF"/>
          <w:lang w:val="en-US"/>
        </w:rPr>
        <w:t xml:space="preserve">, </w:t>
      </w:r>
      <w:proofErr w:type="spellStart"/>
      <w:r w:rsidRPr="00380DA9">
        <w:rPr>
          <w:rFonts w:ascii="Times New Roman" w:hAnsi="Times New Roman" w:cs="Times New Roman"/>
          <w:sz w:val="24"/>
          <w:szCs w:val="24"/>
          <w:shd w:val="clear" w:color="auto" w:fill="FFFFFF"/>
          <w:lang w:val="en-US"/>
        </w:rPr>
        <w:t>Texto</w:t>
      </w:r>
      <w:proofErr w:type="spellEnd"/>
      <w:r w:rsidRPr="00380DA9">
        <w:rPr>
          <w:rFonts w:ascii="Times New Roman" w:hAnsi="Times New Roman" w:cs="Times New Roman"/>
          <w:sz w:val="24"/>
          <w:szCs w:val="24"/>
          <w:shd w:val="clear" w:color="auto" w:fill="FFFFFF"/>
          <w:lang w:val="en-US"/>
        </w:rPr>
        <w:t xml:space="preserve"> para </w:t>
      </w:r>
      <w:proofErr w:type="spellStart"/>
      <w:r w:rsidRPr="00380DA9">
        <w:rPr>
          <w:rFonts w:ascii="Times New Roman" w:hAnsi="Times New Roman" w:cs="Times New Roman"/>
          <w:sz w:val="24"/>
          <w:szCs w:val="24"/>
          <w:shd w:val="clear" w:color="auto" w:fill="FFFFFF"/>
          <w:lang w:val="en-US"/>
        </w:rPr>
        <w:t>Discussao</w:t>
      </w:r>
      <w:proofErr w:type="spellEnd"/>
      <w:r w:rsidRPr="00380DA9">
        <w:rPr>
          <w:rFonts w:ascii="Times New Roman" w:hAnsi="Times New Roman" w:cs="Times New Roman"/>
          <w:sz w:val="24"/>
          <w:szCs w:val="24"/>
          <w:shd w:val="clear" w:color="auto" w:fill="FFFFFF"/>
          <w:lang w:val="en-US"/>
        </w:rPr>
        <w:t>, n. 1588.</w:t>
      </w:r>
    </w:p>
    <w:p w14:paraId="3AD6A061" w14:textId="1F2B0CAB" w:rsidR="00491A57" w:rsidRDefault="00491A57" w:rsidP="00511A46">
      <w:pPr>
        <w:tabs>
          <w:tab w:val="center" w:pos="567"/>
        </w:tabs>
        <w:spacing w:after="0" w:line="240" w:lineRule="auto"/>
        <w:ind w:right="142"/>
        <w:jc w:val="both"/>
        <w:rPr>
          <w:rFonts w:ascii="Times New Roman" w:hAnsi="Times New Roman" w:cs="Times New Roman"/>
          <w:sz w:val="24"/>
          <w:szCs w:val="24"/>
          <w:lang w:val="en-US"/>
        </w:rPr>
      </w:pPr>
      <w:r>
        <w:rPr>
          <w:rFonts w:ascii="Times New Roman" w:hAnsi="Times New Roman" w:cs="Times New Roman"/>
          <w:sz w:val="24"/>
          <w:szCs w:val="24"/>
          <w:lang w:val="en-US"/>
        </w:rPr>
        <w:t>COSTA JUNIOR</w:t>
      </w:r>
      <w:r w:rsidR="00420C94" w:rsidRPr="00420C94">
        <w:rPr>
          <w:rFonts w:ascii="Times New Roman" w:hAnsi="Times New Roman" w:cs="Times New Roman"/>
          <w:sz w:val="24"/>
          <w:szCs w:val="24"/>
          <w:lang w:val="en-US"/>
        </w:rPr>
        <w:t xml:space="preserve">, C. J., </w:t>
      </w:r>
      <w:r>
        <w:rPr>
          <w:rFonts w:ascii="Times New Roman" w:hAnsi="Times New Roman" w:cs="Times New Roman"/>
          <w:sz w:val="24"/>
          <w:szCs w:val="24"/>
          <w:lang w:val="en-US"/>
        </w:rPr>
        <w:t>GARCIA-CINTADO</w:t>
      </w:r>
      <w:r w:rsidR="00420C94" w:rsidRPr="00420C94">
        <w:rPr>
          <w:rFonts w:ascii="Times New Roman" w:hAnsi="Times New Roman" w:cs="Times New Roman"/>
          <w:sz w:val="24"/>
          <w:szCs w:val="24"/>
          <w:lang w:val="en-US"/>
        </w:rPr>
        <w:t xml:space="preserve">, A. C., </w:t>
      </w:r>
      <w:r>
        <w:rPr>
          <w:rFonts w:ascii="Times New Roman" w:hAnsi="Times New Roman" w:cs="Times New Roman"/>
          <w:sz w:val="24"/>
          <w:szCs w:val="24"/>
          <w:lang w:val="en-US"/>
        </w:rPr>
        <w:t>e</w:t>
      </w:r>
      <w:r w:rsidR="00420C94" w:rsidRPr="00420C94">
        <w:rPr>
          <w:rFonts w:ascii="Times New Roman" w:hAnsi="Times New Roman" w:cs="Times New Roman"/>
          <w:sz w:val="24"/>
          <w:szCs w:val="24"/>
          <w:lang w:val="en-US"/>
        </w:rPr>
        <w:t xml:space="preserve"> </w:t>
      </w:r>
      <w:r>
        <w:rPr>
          <w:rFonts w:ascii="Times New Roman" w:hAnsi="Times New Roman" w:cs="Times New Roman"/>
          <w:sz w:val="24"/>
          <w:szCs w:val="24"/>
          <w:lang w:val="en-US"/>
        </w:rPr>
        <w:t>SAMPAIO</w:t>
      </w:r>
      <w:r w:rsidR="00420C94" w:rsidRPr="00420C94">
        <w:rPr>
          <w:rFonts w:ascii="Times New Roman" w:hAnsi="Times New Roman" w:cs="Times New Roman"/>
          <w:sz w:val="24"/>
          <w:szCs w:val="24"/>
          <w:lang w:val="en-US"/>
        </w:rPr>
        <w:t xml:space="preserve">, A. V. (2017). </w:t>
      </w:r>
      <w:r w:rsidR="00420C94" w:rsidRPr="00491A57">
        <w:rPr>
          <w:rFonts w:ascii="Times New Roman" w:hAnsi="Times New Roman" w:cs="Times New Roman"/>
          <w:b/>
          <w:sz w:val="24"/>
          <w:szCs w:val="24"/>
          <w:lang w:val="en-US"/>
        </w:rPr>
        <w:t>Post-2008 Brazilian fiscal policy: an interpretation through the analysis of fiscal multipliers</w:t>
      </w:r>
      <w:r w:rsidR="00420C94" w:rsidRPr="00420C94">
        <w:rPr>
          <w:rFonts w:ascii="Times New Roman" w:hAnsi="Times New Roman" w:cs="Times New Roman"/>
          <w:sz w:val="24"/>
          <w:szCs w:val="24"/>
          <w:lang w:val="en-US"/>
        </w:rPr>
        <w:t xml:space="preserve">. </w:t>
      </w:r>
      <w:proofErr w:type="spellStart"/>
      <w:r w:rsidR="00420C94" w:rsidRPr="00420C94">
        <w:rPr>
          <w:rFonts w:ascii="Times New Roman" w:hAnsi="Times New Roman" w:cs="Times New Roman"/>
          <w:sz w:val="24"/>
          <w:szCs w:val="24"/>
          <w:lang w:val="en-US"/>
        </w:rPr>
        <w:t>Estudos</w:t>
      </w:r>
      <w:proofErr w:type="spellEnd"/>
      <w:r w:rsidR="00420C94" w:rsidRPr="00420C94">
        <w:rPr>
          <w:rFonts w:ascii="Times New Roman" w:hAnsi="Times New Roman" w:cs="Times New Roman"/>
          <w:sz w:val="24"/>
          <w:szCs w:val="24"/>
          <w:lang w:val="en-US"/>
        </w:rPr>
        <w:t xml:space="preserve"> </w:t>
      </w:r>
      <w:proofErr w:type="spellStart"/>
      <w:r w:rsidR="00420C94" w:rsidRPr="00420C94">
        <w:rPr>
          <w:rFonts w:ascii="Times New Roman" w:hAnsi="Times New Roman" w:cs="Times New Roman"/>
          <w:sz w:val="24"/>
          <w:szCs w:val="24"/>
          <w:lang w:val="en-US"/>
        </w:rPr>
        <w:t>Econômicos</w:t>
      </w:r>
      <w:proofErr w:type="spellEnd"/>
      <w:r w:rsidR="00420C94" w:rsidRPr="00420C94">
        <w:rPr>
          <w:rFonts w:ascii="Times New Roman" w:hAnsi="Times New Roman" w:cs="Times New Roman"/>
          <w:sz w:val="24"/>
          <w:szCs w:val="24"/>
          <w:lang w:val="en-US"/>
        </w:rPr>
        <w:t xml:space="preserve"> (São Paulo), 47(1), 93-124. </w:t>
      </w:r>
    </w:p>
    <w:p w14:paraId="111C4752" w14:textId="27427030" w:rsidR="00DA5B79" w:rsidRPr="00380DA9" w:rsidRDefault="00DA5B79" w:rsidP="00511A46">
      <w:pPr>
        <w:tabs>
          <w:tab w:val="center" w:pos="567"/>
        </w:tabs>
        <w:spacing w:after="0" w:line="240" w:lineRule="auto"/>
        <w:ind w:right="142"/>
        <w:jc w:val="both"/>
        <w:rPr>
          <w:rFonts w:ascii="Times New Roman" w:hAnsi="Times New Roman" w:cs="Times New Roman"/>
          <w:sz w:val="24"/>
          <w:szCs w:val="24"/>
          <w:shd w:val="clear" w:color="auto" w:fill="FFFFFF"/>
        </w:rPr>
      </w:pPr>
      <w:r w:rsidRPr="00380DA9">
        <w:rPr>
          <w:rFonts w:ascii="Times New Roman" w:hAnsi="Times New Roman" w:cs="Times New Roman"/>
          <w:sz w:val="24"/>
          <w:szCs w:val="24"/>
          <w:shd w:val="clear" w:color="auto" w:fill="FFFFFF"/>
        </w:rPr>
        <w:t xml:space="preserve">DE HOLANDA BARBOSA FILHO, Fernando. </w:t>
      </w:r>
      <w:r w:rsidRPr="00380DA9">
        <w:rPr>
          <w:rFonts w:ascii="Times New Roman" w:hAnsi="Times New Roman" w:cs="Times New Roman"/>
          <w:b/>
          <w:sz w:val="24"/>
          <w:szCs w:val="24"/>
          <w:shd w:val="clear" w:color="auto" w:fill="FFFFFF"/>
        </w:rPr>
        <w:t>Crescimento acelerado no Brasil: as pedras em nosso caminho</w:t>
      </w:r>
      <w:r w:rsidRPr="00380DA9">
        <w:rPr>
          <w:rFonts w:ascii="Times New Roman" w:hAnsi="Times New Roman" w:cs="Times New Roman"/>
          <w:sz w:val="24"/>
          <w:szCs w:val="24"/>
          <w:shd w:val="clear" w:color="auto" w:fill="FFFFFF"/>
        </w:rPr>
        <w:t>. Economia &amp; Tecnologia, Ano 06, Vol. 23 - Outubro/Dezembro de 2010.</w:t>
      </w:r>
    </w:p>
    <w:p w14:paraId="111C4753" w14:textId="77777777" w:rsidR="00DA5B79" w:rsidRPr="00380DA9" w:rsidRDefault="00DA5B79" w:rsidP="00511A46">
      <w:pPr>
        <w:tabs>
          <w:tab w:val="center" w:pos="567"/>
        </w:tabs>
        <w:spacing w:after="0" w:line="240" w:lineRule="auto"/>
        <w:ind w:right="142"/>
        <w:jc w:val="both"/>
        <w:rPr>
          <w:rFonts w:ascii="Times New Roman" w:hAnsi="Times New Roman" w:cs="Times New Roman"/>
          <w:sz w:val="24"/>
          <w:szCs w:val="24"/>
          <w:shd w:val="clear" w:color="auto" w:fill="FFFFFF"/>
          <w:lang w:val="en-US"/>
        </w:rPr>
      </w:pPr>
      <w:r w:rsidRPr="00380DA9">
        <w:rPr>
          <w:rFonts w:ascii="Times New Roman" w:hAnsi="Times New Roman" w:cs="Times New Roman"/>
          <w:sz w:val="24"/>
          <w:szCs w:val="24"/>
          <w:shd w:val="clear" w:color="auto" w:fill="FFFFFF"/>
        </w:rPr>
        <w:t xml:space="preserve">EICHENGREEN, Barry; GUPTA, </w:t>
      </w:r>
      <w:proofErr w:type="spellStart"/>
      <w:r w:rsidRPr="00380DA9">
        <w:rPr>
          <w:rFonts w:ascii="Times New Roman" w:hAnsi="Times New Roman" w:cs="Times New Roman"/>
          <w:sz w:val="24"/>
          <w:szCs w:val="24"/>
          <w:shd w:val="clear" w:color="auto" w:fill="FFFFFF"/>
        </w:rPr>
        <w:t>Poonam</w:t>
      </w:r>
      <w:proofErr w:type="spellEnd"/>
      <w:r w:rsidRPr="00380DA9">
        <w:rPr>
          <w:rFonts w:ascii="Times New Roman" w:hAnsi="Times New Roman" w:cs="Times New Roman"/>
          <w:sz w:val="24"/>
          <w:szCs w:val="24"/>
          <w:shd w:val="clear" w:color="auto" w:fill="FFFFFF"/>
        </w:rPr>
        <w:t xml:space="preserve">. </w:t>
      </w:r>
      <w:r w:rsidRPr="00380DA9">
        <w:rPr>
          <w:rFonts w:ascii="Times New Roman" w:hAnsi="Times New Roman" w:cs="Times New Roman"/>
          <w:b/>
          <w:sz w:val="24"/>
          <w:szCs w:val="24"/>
          <w:shd w:val="clear" w:color="auto" w:fill="FFFFFF"/>
          <w:lang w:val="en-US"/>
        </w:rPr>
        <w:t>Tapering talk: The impact of expectations of reduced Federal Reserve security purchases on emerging markets.</w:t>
      </w:r>
      <w:r w:rsidRPr="00380DA9">
        <w:rPr>
          <w:rFonts w:ascii="Times New Roman" w:hAnsi="Times New Roman" w:cs="Times New Roman"/>
          <w:sz w:val="24"/>
          <w:szCs w:val="24"/>
          <w:shd w:val="clear" w:color="auto" w:fill="FFFFFF"/>
          <w:lang w:val="en-US"/>
        </w:rPr>
        <w:t xml:space="preserve"> Emerging Markets Review, v. 25, p. 1-15, 2015.</w:t>
      </w:r>
    </w:p>
    <w:p w14:paraId="111C4754" w14:textId="77777777" w:rsidR="00DA5B79" w:rsidRPr="00380DA9" w:rsidRDefault="00DA5B79" w:rsidP="00511A46">
      <w:pPr>
        <w:tabs>
          <w:tab w:val="center" w:pos="567"/>
        </w:tabs>
        <w:spacing w:after="0" w:line="240" w:lineRule="auto"/>
        <w:ind w:right="142"/>
        <w:jc w:val="both"/>
        <w:rPr>
          <w:rFonts w:ascii="Times New Roman" w:hAnsi="Times New Roman" w:cs="Times New Roman"/>
          <w:sz w:val="24"/>
          <w:szCs w:val="24"/>
          <w:shd w:val="clear" w:color="auto" w:fill="FFFFFF"/>
          <w:lang w:val="es-ES"/>
        </w:rPr>
      </w:pPr>
      <w:r w:rsidRPr="00380DA9">
        <w:rPr>
          <w:rFonts w:ascii="Times New Roman" w:hAnsi="Times New Roman" w:cs="Times New Roman"/>
          <w:sz w:val="24"/>
          <w:szCs w:val="24"/>
          <w:shd w:val="clear" w:color="auto" w:fill="FFFFFF"/>
          <w:lang w:val="en-US"/>
        </w:rPr>
        <w:t xml:space="preserve">FISCHER, Stanley. </w:t>
      </w:r>
      <w:r w:rsidRPr="00380DA9">
        <w:rPr>
          <w:rFonts w:ascii="Times New Roman" w:hAnsi="Times New Roman" w:cs="Times New Roman"/>
          <w:b/>
          <w:sz w:val="24"/>
          <w:szCs w:val="24"/>
          <w:shd w:val="clear" w:color="auto" w:fill="FFFFFF"/>
          <w:lang w:val="en-US"/>
        </w:rPr>
        <w:t>Monetary Policy Expectations and Surprises</w:t>
      </w:r>
      <w:r w:rsidRPr="00380DA9">
        <w:rPr>
          <w:rFonts w:ascii="Times New Roman" w:hAnsi="Times New Roman" w:cs="Times New Roman"/>
          <w:sz w:val="24"/>
          <w:szCs w:val="24"/>
          <w:shd w:val="clear" w:color="auto" w:fill="FFFFFF"/>
          <w:lang w:val="en-US"/>
        </w:rPr>
        <w:t xml:space="preserve">. For release on delivery 5: 00 pm EDT April 17, 2017. </w:t>
      </w:r>
      <w:r w:rsidRPr="00380DA9">
        <w:rPr>
          <w:rFonts w:ascii="Times New Roman" w:hAnsi="Times New Roman" w:cs="Times New Roman"/>
          <w:sz w:val="24"/>
          <w:szCs w:val="24"/>
          <w:shd w:val="clear" w:color="auto" w:fill="FFFFFF"/>
          <w:lang w:val="es-ES"/>
        </w:rPr>
        <w:t>2017.</w:t>
      </w:r>
    </w:p>
    <w:p w14:paraId="111C4755" w14:textId="77777777" w:rsidR="00DA5B79" w:rsidRPr="00380DA9" w:rsidRDefault="00DA5B79" w:rsidP="00511A46">
      <w:pPr>
        <w:spacing w:after="0" w:line="240" w:lineRule="auto"/>
        <w:ind w:right="142"/>
        <w:jc w:val="both"/>
        <w:rPr>
          <w:rFonts w:ascii="Times New Roman" w:hAnsi="Times New Roman" w:cs="Times New Roman"/>
          <w:sz w:val="24"/>
          <w:szCs w:val="24"/>
          <w:lang w:val="es-ES"/>
        </w:rPr>
      </w:pPr>
      <w:r w:rsidRPr="00380DA9">
        <w:rPr>
          <w:rFonts w:ascii="Times New Roman" w:hAnsi="Times New Roman" w:cs="Times New Roman"/>
          <w:sz w:val="24"/>
          <w:szCs w:val="24"/>
          <w:lang w:val="es-ES"/>
        </w:rPr>
        <w:t xml:space="preserve">FLORES, Jairo. 2015. </w:t>
      </w:r>
      <w:r w:rsidRPr="00380DA9">
        <w:rPr>
          <w:rFonts w:ascii="Times New Roman" w:hAnsi="Times New Roman" w:cs="Times New Roman"/>
          <w:b/>
          <w:sz w:val="24"/>
          <w:szCs w:val="24"/>
          <w:lang w:val="es-ES"/>
        </w:rPr>
        <w:t xml:space="preserve">Transmisión de Choques de Política Monetaria de Estados Unidos sobre </w:t>
      </w:r>
      <w:proofErr w:type="spellStart"/>
      <w:r w:rsidRPr="00380DA9">
        <w:rPr>
          <w:rFonts w:ascii="Times New Roman" w:hAnsi="Times New Roman" w:cs="Times New Roman"/>
          <w:b/>
          <w:sz w:val="24"/>
          <w:szCs w:val="24"/>
          <w:lang w:val="es-ES"/>
        </w:rPr>
        <w:t>America</w:t>
      </w:r>
      <w:proofErr w:type="spellEnd"/>
      <w:r w:rsidRPr="00380DA9">
        <w:rPr>
          <w:rFonts w:ascii="Times New Roman" w:hAnsi="Times New Roman" w:cs="Times New Roman"/>
          <w:b/>
          <w:sz w:val="24"/>
          <w:szCs w:val="24"/>
          <w:lang w:val="es-ES"/>
        </w:rPr>
        <w:t xml:space="preserve"> Latina: Un Enfoque GVAR</w:t>
      </w:r>
      <w:r w:rsidRPr="00380DA9">
        <w:rPr>
          <w:rFonts w:ascii="Times New Roman" w:hAnsi="Times New Roman" w:cs="Times New Roman"/>
          <w:sz w:val="24"/>
          <w:szCs w:val="24"/>
          <w:lang w:val="es-ES"/>
        </w:rPr>
        <w:t>. Banco Central de Reserva Del Perú.</w:t>
      </w:r>
    </w:p>
    <w:p w14:paraId="111C4756" w14:textId="77777777" w:rsidR="00DA5B79" w:rsidRPr="00380DA9" w:rsidRDefault="00DA5B79" w:rsidP="00511A46">
      <w:pPr>
        <w:spacing w:after="0" w:line="240" w:lineRule="auto"/>
        <w:ind w:right="142"/>
        <w:jc w:val="both"/>
        <w:rPr>
          <w:rFonts w:ascii="Times New Roman" w:hAnsi="Times New Roman" w:cs="Times New Roman"/>
          <w:sz w:val="24"/>
          <w:szCs w:val="24"/>
        </w:rPr>
      </w:pPr>
      <w:r w:rsidRPr="00380DA9">
        <w:rPr>
          <w:rFonts w:ascii="Times New Roman" w:hAnsi="Times New Roman" w:cs="Times New Roman"/>
          <w:sz w:val="24"/>
          <w:szCs w:val="24"/>
          <w:lang w:val="es-ES"/>
        </w:rPr>
        <w:t>FRATZSCHER, Marcel; LO DUCA, Marco; STRAUB, Roland</w:t>
      </w:r>
      <w:r w:rsidRPr="00380DA9">
        <w:rPr>
          <w:rFonts w:ascii="Times New Roman" w:hAnsi="Times New Roman" w:cs="Times New Roman"/>
          <w:b/>
          <w:sz w:val="24"/>
          <w:szCs w:val="24"/>
          <w:lang w:val="es-ES"/>
        </w:rPr>
        <w:t xml:space="preserve">. </w:t>
      </w:r>
      <w:proofErr w:type="spellStart"/>
      <w:r w:rsidRPr="00380DA9">
        <w:rPr>
          <w:rFonts w:ascii="Times New Roman" w:hAnsi="Times New Roman" w:cs="Times New Roman"/>
          <w:b/>
          <w:sz w:val="24"/>
          <w:szCs w:val="24"/>
          <w:lang w:val="es-ES"/>
        </w:rPr>
        <w:t>On</w:t>
      </w:r>
      <w:proofErr w:type="spellEnd"/>
      <w:r w:rsidRPr="00380DA9">
        <w:rPr>
          <w:rFonts w:ascii="Times New Roman" w:hAnsi="Times New Roman" w:cs="Times New Roman"/>
          <w:b/>
          <w:sz w:val="24"/>
          <w:szCs w:val="24"/>
          <w:lang w:val="es-ES"/>
        </w:rPr>
        <w:t xml:space="preserve"> </w:t>
      </w:r>
      <w:proofErr w:type="spellStart"/>
      <w:r w:rsidRPr="00380DA9">
        <w:rPr>
          <w:rFonts w:ascii="Times New Roman" w:hAnsi="Times New Roman" w:cs="Times New Roman"/>
          <w:b/>
          <w:sz w:val="24"/>
          <w:szCs w:val="24"/>
          <w:lang w:val="es-ES"/>
        </w:rPr>
        <w:t>the</w:t>
      </w:r>
      <w:proofErr w:type="spellEnd"/>
      <w:r w:rsidRPr="00380DA9">
        <w:rPr>
          <w:rFonts w:ascii="Times New Roman" w:hAnsi="Times New Roman" w:cs="Times New Roman"/>
          <w:b/>
          <w:sz w:val="24"/>
          <w:szCs w:val="24"/>
          <w:lang w:val="es-ES"/>
        </w:rPr>
        <w:t xml:space="preserve"> </w:t>
      </w:r>
      <w:proofErr w:type="spellStart"/>
      <w:r w:rsidRPr="00380DA9">
        <w:rPr>
          <w:rFonts w:ascii="Times New Roman" w:hAnsi="Times New Roman" w:cs="Times New Roman"/>
          <w:b/>
          <w:sz w:val="24"/>
          <w:szCs w:val="24"/>
          <w:lang w:val="es-ES"/>
        </w:rPr>
        <w:t>international</w:t>
      </w:r>
      <w:proofErr w:type="spellEnd"/>
      <w:r w:rsidRPr="00380DA9">
        <w:rPr>
          <w:rFonts w:ascii="Times New Roman" w:hAnsi="Times New Roman" w:cs="Times New Roman"/>
          <w:b/>
          <w:sz w:val="24"/>
          <w:szCs w:val="24"/>
          <w:lang w:val="es-ES"/>
        </w:rPr>
        <w:t xml:space="preserve"> </w:t>
      </w:r>
      <w:proofErr w:type="spellStart"/>
      <w:r w:rsidRPr="00380DA9">
        <w:rPr>
          <w:rFonts w:ascii="Times New Roman" w:hAnsi="Times New Roman" w:cs="Times New Roman"/>
          <w:b/>
          <w:sz w:val="24"/>
          <w:szCs w:val="24"/>
          <w:lang w:val="es-ES"/>
        </w:rPr>
        <w:t>spillovers</w:t>
      </w:r>
      <w:proofErr w:type="spellEnd"/>
      <w:r w:rsidRPr="00380DA9">
        <w:rPr>
          <w:rFonts w:ascii="Times New Roman" w:hAnsi="Times New Roman" w:cs="Times New Roman"/>
          <w:b/>
          <w:sz w:val="24"/>
          <w:szCs w:val="24"/>
          <w:lang w:val="es-ES"/>
        </w:rPr>
        <w:t xml:space="preserve"> </w:t>
      </w:r>
      <w:proofErr w:type="spellStart"/>
      <w:r w:rsidRPr="00380DA9">
        <w:rPr>
          <w:rFonts w:ascii="Times New Roman" w:hAnsi="Times New Roman" w:cs="Times New Roman"/>
          <w:b/>
          <w:sz w:val="24"/>
          <w:szCs w:val="24"/>
          <w:lang w:val="es-ES"/>
        </w:rPr>
        <w:t>of</w:t>
      </w:r>
      <w:proofErr w:type="spellEnd"/>
      <w:r w:rsidRPr="00380DA9">
        <w:rPr>
          <w:rFonts w:ascii="Times New Roman" w:hAnsi="Times New Roman" w:cs="Times New Roman"/>
          <w:b/>
          <w:sz w:val="24"/>
          <w:szCs w:val="24"/>
          <w:lang w:val="es-ES"/>
        </w:rPr>
        <w:t xml:space="preserve"> US </w:t>
      </w:r>
      <w:proofErr w:type="spellStart"/>
      <w:r w:rsidRPr="00380DA9">
        <w:rPr>
          <w:rFonts w:ascii="Times New Roman" w:hAnsi="Times New Roman" w:cs="Times New Roman"/>
          <w:b/>
          <w:sz w:val="24"/>
          <w:szCs w:val="24"/>
          <w:lang w:val="es-ES"/>
        </w:rPr>
        <w:t>quantitative</w:t>
      </w:r>
      <w:proofErr w:type="spellEnd"/>
      <w:r w:rsidRPr="00380DA9">
        <w:rPr>
          <w:rFonts w:ascii="Times New Roman" w:hAnsi="Times New Roman" w:cs="Times New Roman"/>
          <w:b/>
          <w:sz w:val="24"/>
          <w:szCs w:val="24"/>
          <w:lang w:val="es-ES"/>
        </w:rPr>
        <w:t xml:space="preserve"> </w:t>
      </w:r>
      <w:proofErr w:type="spellStart"/>
      <w:r w:rsidRPr="00380DA9">
        <w:rPr>
          <w:rFonts w:ascii="Times New Roman" w:hAnsi="Times New Roman" w:cs="Times New Roman"/>
          <w:b/>
          <w:sz w:val="24"/>
          <w:szCs w:val="24"/>
          <w:lang w:val="es-ES"/>
        </w:rPr>
        <w:t>easing</w:t>
      </w:r>
      <w:proofErr w:type="spellEnd"/>
      <w:r w:rsidRPr="00380DA9">
        <w:rPr>
          <w:rFonts w:ascii="Times New Roman" w:hAnsi="Times New Roman" w:cs="Times New Roman"/>
          <w:b/>
          <w:sz w:val="24"/>
          <w:szCs w:val="24"/>
          <w:lang w:val="es-ES"/>
        </w:rPr>
        <w:t>.</w:t>
      </w:r>
      <w:r w:rsidRPr="00380DA9">
        <w:rPr>
          <w:rFonts w:ascii="Times New Roman" w:hAnsi="Times New Roman" w:cs="Times New Roman"/>
          <w:sz w:val="24"/>
          <w:szCs w:val="24"/>
          <w:lang w:val="es-ES"/>
        </w:rPr>
        <w:t xml:space="preserve"> </w:t>
      </w:r>
      <w:proofErr w:type="spellStart"/>
      <w:r w:rsidRPr="00380DA9">
        <w:rPr>
          <w:rFonts w:ascii="Times New Roman" w:hAnsi="Times New Roman" w:cs="Times New Roman"/>
          <w:sz w:val="24"/>
          <w:szCs w:val="24"/>
        </w:rPr>
        <w:t>European</w:t>
      </w:r>
      <w:proofErr w:type="spellEnd"/>
      <w:r w:rsidRPr="00380DA9">
        <w:rPr>
          <w:rFonts w:ascii="Times New Roman" w:hAnsi="Times New Roman" w:cs="Times New Roman"/>
          <w:sz w:val="24"/>
          <w:szCs w:val="24"/>
        </w:rPr>
        <w:t xml:space="preserve"> Central Bank </w:t>
      </w:r>
      <w:proofErr w:type="spellStart"/>
      <w:r w:rsidRPr="00380DA9">
        <w:rPr>
          <w:rFonts w:ascii="Times New Roman" w:hAnsi="Times New Roman" w:cs="Times New Roman"/>
          <w:sz w:val="24"/>
          <w:szCs w:val="24"/>
        </w:rPr>
        <w:t>Working</w:t>
      </w:r>
      <w:proofErr w:type="spellEnd"/>
      <w:r w:rsidRPr="00380DA9">
        <w:rPr>
          <w:rFonts w:ascii="Times New Roman" w:hAnsi="Times New Roman" w:cs="Times New Roman"/>
          <w:sz w:val="24"/>
          <w:szCs w:val="24"/>
        </w:rPr>
        <w:t xml:space="preserve"> </w:t>
      </w:r>
      <w:proofErr w:type="spellStart"/>
      <w:r w:rsidRPr="00380DA9">
        <w:rPr>
          <w:rFonts w:ascii="Times New Roman" w:hAnsi="Times New Roman" w:cs="Times New Roman"/>
          <w:sz w:val="24"/>
          <w:szCs w:val="24"/>
        </w:rPr>
        <w:t>Paper</w:t>
      </w:r>
      <w:proofErr w:type="spellEnd"/>
      <w:r w:rsidRPr="00380DA9">
        <w:rPr>
          <w:rFonts w:ascii="Times New Roman" w:hAnsi="Times New Roman" w:cs="Times New Roman"/>
          <w:sz w:val="24"/>
          <w:szCs w:val="24"/>
        </w:rPr>
        <w:t xml:space="preserve"> Series n° 1557. </w:t>
      </w:r>
      <w:proofErr w:type="spellStart"/>
      <w:r w:rsidRPr="00380DA9">
        <w:rPr>
          <w:rFonts w:ascii="Times New Roman" w:hAnsi="Times New Roman" w:cs="Times New Roman"/>
          <w:sz w:val="24"/>
          <w:szCs w:val="24"/>
        </w:rPr>
        <w:t>june</w:t>
      </w:r>
      <w:proofErr w:type="spellEnd"/>
      <w:r w:rsidRPr="00380DA9">
        <w:rPr>
          <w:rFonts w:ascii="Times New Roman" w:hAnsi="Times New Roman" w:cs="Times New Roman"/>
          <w:sz w:val="24"/>
          <w:szCs w:val="24"/>
        </w:rPr>
        <w:t>. 2013.</w:t>
      </w:r>
    </w:p>
    <w:p w14:paraId="111C4757" w14:textId="77777777" w:rsidR="00DA5B79" w:rsidRPr="00380DA9" w:rsidRDefault="00DA5B79" w:rsidP="00511A46">
      <w:pPr>
        <w:spacing w:after="0" w:line="240" w:lineRule="auto"/>
        <w:ind w:right="142"/>
        <w:jc w:val="both"/>
        <w:rPr>
          <w:rFonts w:ascii="Times New Roman" w:hAnsi="Times New Roman" w:cs="Times New Roman"/>
          <w:sz w:val="24"/>
          <w:szCs w:val="24"/>
        </w:rPr>
      </w:pPr>
      <w:r w:rsidRPr="00380DA9">
        <w:rPr>
          <w:rFonts w:ascii="Times New Roman" w:hAnsi="Times New Roman" w:cs="Times New Roman"/>
          <w:sz w:val="24"/>
          <w:szCs w:val="24"/>
        </w:rPr>
        <w:t xml:space="preserve">YELLEN, Janet L. </w:t>
      </w:r>
      <w:r w:rsidRPr="00380DA9">
        <w:rPr>
          <w:rFonts w:ascii="Times New Roman" w:hAnsi="Times New Roman" w:cs="Times New Roman"/>
          <w:b/>
          <w:sz w:val="24"/>
          <w:szCs w:val="24"/>
        </w:rPr>
        <w:t xml:space="preserve">Muitos objetivos, muitos instrumentos: Em que ponto estamos? </w:t>
      </w:r>
      <w:r w:rsidRPr="00380DA9">
        <w:rPr>
          <w:rFonts w:ascii="Times New Roman" w:hAnsi="Times New Roman" w:cs="Times New Roman"/>
          <w:sz w:val="24"/>
          <w:szCs w:val="24"/>
        </w:rPr>
        <w:t xml:space="preserve">In: </w:t>
      </w:r>
      <w:r w:rsidRPr="00380DA9">
        <w:rPr>
          <w:rFonts w:ascii="Times New Roman" w:hAnsi="Times New Roman" w:cs="Times New Roman"/>
          <w:szCs w:val="24"/>
        </w:rPr>
        <w:t xml:space="preserve">AKERLOF, </w:t>
      </w:r>
      <w:r w:rsidRPr="00380DA9">
        <w:rPr>
          <w:rFonts w:ascii="Times New Roman" w:hAnsi="Times New Roman" w:cs="Times New Roman"/>
          <w:sz w:val="24"/>
          <w:szCs w:val="24"/>
        </w:rPr>
        <w:t xml:space="preserve">George.; STIGLITZ, Joseph; ROMER, David; BLANCHARD, Olivier.  O que nós aprendemos? A política macroeconômica no Pós-Crise. Editora Alta Books. </w:t>
      </w:r>
      <w:proofErr w:type="spellStart"/>
      <w:r w:rsidRPr="00380DA9">
        <w:rPr>
          <w:rFonts w:ascii="Times New Roman" w:hAnsi="Times New Roman" w:cs="Times New Roman"/>
          <w:sz w:val="24"/>
          <w:szCs w:val="24"/>
        </w:rPr>
        <w:t>Pg</w:t>
      </w:r>
      <w:proofErr w:type="spellEnd"/>
      <w:r w:rsidRPr="00380DA9">
        <w:rPr>
          <w:rFonts w:ascii="Times New Roman" w:hAnsi="Times New Roman" w:cs="Times New Roman"/>
          <w:sz w:val="24"/>
          <w:szCs w:val="24"/>
        </w:rPr>
        <w:t xml:space="preserve"> 3-6. 2016.</w:t>
      </w:r>
    </w:p>
    <w:p w14:paraId="111C4758" w14:textId="77777777" w:rsidR="00DA5B79" w:rsidRPr="00380DA9" w:rsidRDefault="00DA5B79" w:rsidP="00511A46">
      <w:pPr>
        <w:tabs>
          <w:tab w:val="center" w:pos="567"/>
        </w:tabs>
        <w:spacing w:after="0" w:line="240" w:lineRule="auto"/>
        <w:ind w:right="142"/>
        <w:jc w:val="both"/>
        <w:rPr>
          <w:rFonts w:ascii="Times New Roman" w:hAnsi="Times New Roman" w:cs="Times New Roman"/>
          <w:sz w:val="24"/>
          <w:szCs w:val="24"/>
          <w:shd w:val="clear" w:color="auto" w:fill="FFFFFF"/>
        </w:rPr>
      </w:pPr>
      <w:r w:rsidRPr="00380DA9">
        <w:rPr>
          <w:rFonts w:ascii="Times New Roman" w:hAnsi="Times New Roman" w:cs="Times New Roman"/>
          <w:sz w:val="24"/>
          <w:szCs w:val="24"/>
        </w:rPr>
        <w:lastRenderedPageBreak/>
        <w:t>K</w:t>
      </w:r>
      <w:r w:rsidRPr="00380DA9">
        <w:rPr>
          <w:rFonts w:ascii="Times New Roman" w:hAnsi="Times New Roman" w:cs="Times New Roman"/>
          <w:sz w:val="24"/>
          <w:szCs w:val="24"/>
          <w:shd w:val="clear" w:color="auto" w:fill="FFFFFF"/>
        </w:rPr>
        <w:t xml:space="preserve">ANCZUK, F. </w:t>
      </w:r>
      <w:r w:rsidRPr="00380DA9">
        <w:rPr>
          <w:rFonts w:ascii="Times New Roman" w:hAnsi="Times New Roman" w:cs="Times New Roman"/>
          <w:b/>
          <w:sz w:val="24"/>
          <w:szCs w:val="24"/>
          <w:shd w:val="clear" w:color="auto" w:fill="FFFFFF"/>
        </w:rPr>
        <w:t>Juros reais e ciclos reais brasileiros.</w:t>
      </w:r>
      <w:r w:rsidRPr="00380DA9">
        <w:rPr>
          <w:rFonts w:ascii="Times New Roman" w:hAnsi="Times New Roman" w:cs="Times New Roman"/>
          <w:sz w:val="24"/>
          <w:szCs w:val="24"/>
          <w:shd w:val="clear" w:color="auto" w:fill="FFFFFF"/>
        </w:rPr>
        <w:t xml:space="preserve"> Revista Brasileira de Economia, 56, 249-267, 2002.</w:t>
      </w:r>
    </w:p>
    <w:p w14:paraId="111C4759" w14:textId="67F31C8D" w:rsidR="00DA5B79" w:rsidRDefault="00DA5B79" w:rsidP="00511A46">
      <w:pPr>
        <w:pStyle w:val="Default"/>
        <w:tabs>
          <w:tab w:val="center" w:pos="567"/>
        </w:tabs>
        <w:ind w:right="142"/>
        <w:jc w:val="both"/>
        <w:rPr>
          <w:rFonts w:ascii="Times New Roman" w:hAnsi="Times New Roman" w:cs="Times New Roman"/>
          <w:color w:val="auto"/>
          <w:shd w:val="clear" w:color="auto" w:fill="FFFFFF"/>
          <w:lang w:val="en-US"/>
        </w:rPr>
      </w:pPr>
      <w:r w:rsidRPr="00380DA9">
        <w:rPr>
          <w:rFonts w:ascii="Times New Roman" w:hAnsi="Times New Roman" w:cs="Times New Roman"/>
          <w:color w:val="auto"/>
          <w:shd w:val="clear" w:color="auto" w:fill="FFFFFF"/>
        </w:rPr>
        <w:t xml:space="preserve">LIM, </w:t>
      </w:r>
      <w:proofErr w:type="spellStart"/>
      <w:r w:rsidRPr="00380DA9">
        <w:rPr>
          <w:rFonts w:ascii="Times New Roman" w:hAnsi="Times New Roman" w:cs="Times New Roman"/>
          <w:color w:val="auto"/>
          <w:shd w:val="clear" w:color="auto" w:fill="FFFFFF"/>
        </w:rPr>
        <w:t>Jamus</w:t>
      </w:r>
      <w:proofErr w:type="spellEnd"/>
      <w:r w:rsidRPr="00380DA9">
        <w:rPr>
          <w:rFonts w:ascii="Times New Roman" w:hAnsi="Times New Roman" w:cs="Times New Roman"/>
          <w:color w:val="auto"/>
          <w:shd w:val="clear" w:color="auto" w:fill="FFFFFF"/>
        </w:rPr>
        <w:t xml:space="preserve"> J.; MOHAPATRA, </w:t>
      </w:r>
      <w:proofErr w:type="spellStart"/>
      <w:r w:rsidRPr="00380DA9">
        <w:rPr>
          <w:rFonts w:ascii="Times New Roman" w:hAnsi="Times New Roman" w:cs="Times New Roman"/>
          <w:color w:val="auto"/>
          <w:shd w:val="clear" w:color="auto" w:fill="FFFFFF"/>
        </w:rPr>
        <w:t>Sanket</w:t>
      </w:r>
      <w:proofErr w:type="spellEnd"/>
      <w:r w:rsidRPr="00380DA9">
        <w:rPr>
          <w:rFonts w:ascii="Times New Roman" w:hAnsi="Times New Roman" w:cs="Times New Roman"/>
          <w:color w:val="auto"/>
          <w:shd w:val="clear" w:color="auto" w:fill="FFFFFF"/>
        </w:rPr>
        <w:t xml:space="preserve">; STOCKER, Marc. </w:t>
      </w:r>
      <w:r w:rsidRPr="00380DA9">
        <w:rPr>
          <w:rFonts w:ascii="Times New Roman" w:hAnsi="Times New Roman" w:cs="Times New Roman"/>
          <w:b/>
          <w:color w:val="auto"/>
          <w:shd w:val="clear" w:color="auto" w:fill="FFFFFF"/>
          <w:lang w:val="en-US"/>
        </w:rPr>
        <w:t>Tinker, Taper, QE, Bye?</w:t>
      </w:r>
      <w:r w:rsidRPr="00380DA9">
        <w:rPr>
          <w:rFonts w:ascii="Times New Roman" w:hAnsi="Times New Roman" w:cs="Times New Roman"/>
          <w:color w:val="auto"/>
          <w:lang w:val="en-US"/>
        </w:rPr>
        <w:t xml:space="preserve"> </w:t>
      </w:r>
      <w:r w:rsidRPr="00380DA9">
        <w:rPr>
          <w:rFonts w:ascii="Times New Roman" w:hAnsi="Times New Roman" w:cs="Times New Roman"/>
          <w:b/>
          <w:color w:val="auto"/>
          <w:shd w:val="clear" w:color="auto" w:fill="FFFFFF"/>
          <w:lang w:val="en-US"/>
        </w:rPr>
        <w:t>The effect of quantitative easing on financial flows to developing countries</w:t>
      </w:r>
      <w:r w:rsidRPr="00380DA9">
        <w:rPr>
          <w:rFonts w:ascii="Times New Roman" w:hAnsi="Times New Roman" w:cs="Times New Roman"/>
          <w:color w:val="auto"/>
          <w:shd w:val="clear" w:color="auto" w:fill="FFFFFF"/>
          <w:lang w:val="en-US"/>
        </w:rPr>
        <w:t>. Policy Research Working Paper 6820 - World Bank, 2014.</w:t>
      </w:r>
    </w:p>
    <w:p w14:paraId="749B2A0E" w14:textId="2BDAF73F" w:rsidR="0076634B" w:rsidRPr="00380DA9" w:rsidRDefault="0076634B" w:rsidP="00511A46">
      <w:pPr>
        <w:pStyle w:val="Default"/>
        <w:tabs>
          <w:tab w:val="center" w:pos="567"/>
        </w:tabs>
        <w:ind w:right="142"/>
        <w:jc w:val="both"/>
        <w:rPr>
          <w:rFonts w:ascii="Times New Roman" w:hAnsi="Times New Roman" w:cs="Times New Roman"/>
          <w:color w:val="auto"/>
          <w:shd w:val="clear" w:color="auto" w:fill="FFFFFF"/>
          <w:lang w:val="en-US"/>
        </w:rPr>
      </w:pPr>
      <w:r>
        <w:rPr>
          <w:rFonts w:ascii="Times New Roman" w:hAnsi="Times New Roman" w:cs="Times New Roman"/>
          <w:color w:val="auto"/>
          <w:shd w:val="clear" w:color="auto" w:fill="FFFFFF"/>
          <w:lang w:val="en-US"/>
        </w:rPr>
        <w:t>MUSSOLINI</w:t>
      </w:r>
      <w:r w:rsidRPr="0076634B">
        <w:rPr>
          <w:rFonts w:ascii="Times New Roman" w:hAnsi="Times New Roman" w:cs="Times New Roman"/>
          <w:color w:val="auto"/>
          <w:shd w:val="clear" w:color="auto" w:fill="FFFFFF"/>
          <w:lang w:val="en-US"/>
        </w:rPr>
        <w:t xml:space="preserve">, C. C. 2011. </w:t>
      </w:r>
      <w:proofErr w:type="spellStart"/>
      <w:r w:rsidRPr="0076634B">
        <w:rPr>
          <w:rFonts w:ascii="Times New Roman" w:hAnsi="Times New Roman" w:cs="Times New Roman"/>
          <w:b/>
          <w:color w:val="auto"/>
          <w:shd w:val="clear" w:color="auto" w:fill="FFFFFF"/>
          <w:lang w:val="en-US"/>
        </w:rPr>
        <w:t>Ensaios</w:t>
      </w:r>
      <w:proofErr w:type="spellEnd"/>
      <w:r w:rsidRPr="0076634B">
        <w:rPr>
          <w:rFonts w:ascii="Times New Roman" w:hAnsi="Times New Roman" w:cs="Times New Roman"/>
          <w:b/>
          <w:color w:val="auto"/>
          <w:shd w:val="clear" w:color="auto" w:fill="FFFFFF"/>
          <w:lang w:val="en-US"/>
        </w:rPr>
        <w:t xml:space="preserve"> </w:t>
      </w:r>
      <w:proofErr w:type="spellStart"/>
      <w:r w:rsidRPr="0076634B">
        <w:rPr>
          <w:rFonts w:ascii="Times New Roman" w:hAnsi="Times New Roman" w:cs="Times New Roman"/>
          <w:b/>
          <w:color w:val="auto"/>
          <w:shd w:val="clear" w:color="auto" w:fill="FFFFFF"/>
          <w:lang w:val="en-US"/>
        </w:rPr>
        <w:t>em</w:t>
      </w:r>
      <w:proofErr w:type="spellEnd"/>
      <w:r w:rsidRPr="0076634B">
        <w:rPr>
          <w:rFonts w:ascii="Times New Roman" w:hAnsi="Times New Roman" w:cs="Times New Roman"/>
          <w:b/>
          <w:color w:val="auto"/>
          <w:shd w:val="clear" w:color="auto" w:fill="FFFFFF"/>
          <w:lang w:val="en-US"/>
        </w:rPr>
        <w:t xml:space="preserve"> </w:t>
      </w:r>
      <w:proofErr w:type="spellStart"/>
      <w:r w:rsidRPr="0076634B">
        <w:rPr>
          <w:rFonts w:ascii="Times New Roman" w:hAnsi="Times New Roman" w:cs="Times New Roman"/>
          <w:b/>
          <w:color w:val="auto"/>
          <w:shd w:val="clear" w:color="auto" w:fill="FFFFFF"/>
          <w:lang w:val="en-US"/>
        </w:rPr>
        <w:t>política</w:t>
      </w:r>
      <w:proofErr w:type="spellEnd"/>
      <w:r w:rsidRPr="0076634B">
        <w:rPr>
          <w:rFonts w:ascii="Times New Roman" w:hAnsi="Times New Roman" w:cs="Times New Roman"/>
          <w:b/>
          <w:color w:val="auto"/>
          <w:shd w:val="clear" w:color="auto" w:fill="FFFFFF"/>
          <w:lang w:val="en-US"/>
        </w:rPr>
        <w:t xml:space="preserve"> fiscal</w:t>
      </w:r>
      <w:r w:rsidRPr="0076634B">
        <w:rPr>
          <w:rFonts w:ascii="Times New Roman" w:hAnsi="Times New Roman" w:cs="Times New Roman"/>
          <w:color w:val="auto"/>
          <w:shd w:val="clear" w:color="auto" w:fill="FFFFFF"/>
          <w:lang w:val="en-US"/>
        </w:rPr>
        <w:t xml:space="preserve">. </w:t>
      </w:r>
      <w:proofErr w:type="spellStart"/>
      <w:r w:rsidRPr="0076634B">
        <w:rPr>
          <w:rFonts w:ascii="Times New Roman" w:hAnsi="Times New Roman" w:cs="Times New Roman"/>
          <w:color w:val="auto"/>
          <w:shd w:val="clear" w:color="auto" w:fill="FFFFFF"/>
          <w:lang w:val="en-US"/>
        </w:rPr>
        <w:t>Tese</w:t>
      </w:r>
      <w:proofErr w:type="spellEnd"/>
      <w:r w:rsidRPr="0076634B">
        <w:rPr>
          <w:rFonts w:ascii="Times New Roman" w:hAnsi="Times New Roman" w:cs="Times New Roman"/>
          <w:color w:val="auto"/>
          <w:shd w:val="clear" w:color="auto" w:fill="FFFFFF"/>
          <w:lang w:val="en-US"/>
        </w:rPr>
        <w:t xml:space="preserve"> de </w:t>
      </w:r>
      <w:proofErr w:type="spellStart"/>
      <w:r w:rsidRPr="0076634B">
        <w:rPr>
          <w:rFonts w:ascii="Times New Roman" w:hAnsi="Times New Roman" w:cs="Times New Roman"/>
          <w:color w:val="auto"/>
          <w:shd w:val="clear" w:color="auto" w:fill="FFFFFF"/>
          <w:lang w:val="en-US"/>
        </w:rPr>
        <w:t>Doutorado</w:t>
      </w:r>
      <w:proofErr w:type="spellEnd"/>
      <w:r w:rsidRPr="0076634B">
        <w:rPr>
          <w:rFonts w:ascii="Times New Roman" w:hAnsi="Times New Roman" w:cs="Times New Roman"/>
          <w:color w:val="auto"/>
          <w:shd w:val="clear" w:color="auto" w:fill="FFFFFF"/>
          <w:lang w:val="en-US"/>
        </w:rPr>
        <w:t xml:space="preserve"> (</w:t>
      </w:r>
      <w:proofErr w:type="spellStart"/>
      <w:r w:rsidRPr="0076634B">
        <w:rPr>
          <w:rFonts w:ascii="Times New Roman" w:hAnsi="Times New Roman" w:cs="Times New Roman"/>
          <w:color w:val="auto"/>
          <w:shd w:val="clear" w:color="auto" w:fill="FFFFFF"/>
          <w:lang w:val="en-US"/>
        </w:rPr>
        <w:t>Doutorado</w:t>
      </w:r>
      <w:proofErr w:type="spellEnd"/>
      <w:r w:rsidRPr="0076634B">
        <w:rPr>
          <w:rFonts w:ascii="Times New Roman" w:hAnsi="Times New Roman" w:cs="Times New Roman"/>
          <w:color w:val="auto"/>
          <w:shd w:val="clear" w:color="auto" w:fill="FFFFFF"/>
          <w:lang w:val="en-US"/>
        </w:rPr>
        <w:t xml:space="preserve"> </w:t>
      </w:r>
      <w:proofErr w:type="spellStart"/>
      <w:r w:rsidRPr="0076634B">
        <w:rPr>
          <w:rFonts w:ascii="Times New Roman" w:hAnsi="Times New Roman" w:cs="Times New Roman"/>
          <w:color w:val="auto"/>
          <w:shd w:val="clear" w:color="auto" w:fill="FFFFFF"/>
          <w:lang w:val="en-US"/>
        </w:rPr>
        <w:t>em</w:t>
      </w:r>
      <w:proofErr w:type="spellEnd"/>
      <w:r w:rsidRPr="0076634B">
        <w:rPr>
          <w:rFonts w:ascii="Times New Roman" w:hAnsi="Times New Roman" w:cs="Times New Roman"/>
          <w:color w:val="auto"/>
          <w:shd w:val="clear" w:color="auto" w:fill="FFFFFF"/>
          <w:lang w:val="en-US"/>
        </w:rPr>
        <w:t xml:space="preserve"> Economia de </w:t>
      </w:r>
      <w:proofErr w:type="spellStart"/>
      <w:r w:rsidRPr="0076634B">
        <w:rPr>
          <w:rFonts w:ascii="Times New Roman" w:hAnsi="Times New Roman" w:cs="Times New Roman"/>
          <w:color w:val="auto"/>
          <w:shd w:val="clear" w:color="auto" w:fill="FFFFFF"/>
          <w:lang w:val="en-US"/>
        </w:rPr>
        <w:t>Empresas</w:t>
      </w:r>
      <w:proofErr w:type="spellEnd"/>
      <w:r w:rsidRPr="0076634B">
        <w:rPr>
          <w:rFonts w:ascii="Times New Roman" w:hAnsi="Times New Roman" w:cs="Times New Roman"/>
          <w:color w:val="auto"/>
          <w:shd w:val="clear" w:color="auto" w:fill="FFFFFF"/>
          <w:lang w:val="en-US"/>
        </w:rPr>
        <w:t xml:space="preserve">) </w:t>
      </w:r>
      <w:proofErr w:type="spellStart"/>
      <w:r w:rsidRPr="0076634B">
        <w:rPr>
          <w:rFonts w:ascii="Times New Roman" w:hAnsi="Times New Roman" w:cs="Times New Roman"/>
          <w:color w:val="auto"/>
          <w:shd w:val="clear" w:color="auto" w:fill="FFFFFF"/>
          <w:lang w:val="en-US"/>
        </w:rPr>
        <w:t>Fundação</w:t>
      </w:r>
      <w:proofErr w:type="spellEnd"/>
      <w:r w:rsidRPr="0076634B">
        <w:rPr>
          <w:rFonts w:ascii="Times New Roman" w:hAnsi="Times New Roman" w:cs="Times New Roman"/>
          <w:color w:val="auto"/>
          <w:shd w:val="clear" w:color="auto" w:fill="FFFFFF"/>
          <w:lang w:val="en-US"/>
        </w:rPr>
        <w:t xml:space="preserve"> </w:t>
      </w:r>
      <w:proofErr w:type="spellStart"/>
      <w:r w:rsidRPr="0076634B">
        <w:rPr>
          <w:rFonts w:ascii="Times New Roman" w:hAnsi="Times New Roman" w:cs="Times New Roman"/>
          <w:color w:val="auto"/>
          <w:shd w:val="clear" w:color="auto" w:fill="FFFFFF"/>
          <w:lang w:val="en-US"/>
        </w:rPr>
        <w:t>Getúlio</w:t>
      </w:r>
      <w:proofErr w:type="spellEnd"/>
      <w:r w:rsidRPr="0076634B">
        <w:rPr>
          <w:rFonts w:ascii="Times New Roman" w:hAnsi="Times New Roman" w:cs="Times New Roman"/>
          <w:color w:val="auto"/>
          <w:shd w:val="clear" w:color="auto" w:fill="FFFFFF"/>
          <w:lang w:val="en-US"/>
        </w:rPr>
        <w:t xml:space="preserve"> Vargas - Escola de Economia São Paulo.</w:t>
      </w:r>
    </w:p>
    <w:p w14:paraId="111C475A" w14:textId="77777777" w:rsidR="00DA5B79" w:rsidRPr="00380DA9" w:rsidRDefault="00DA5B79" w:rsidP="00511A46">
      <w:pPr>
        <w:pStyle w:val="Default"/>
        <w:tabs>
          <w:tab w:val="center" w:pos="567"/>
        </w:tabs>
        <w:ind w:right="142"/>
        <w:jc w:val="both"/>
        <w:rPr>
          <w:rFonts w:ascii="Times New Roman" w:hAnsi="Times New Roman" w:cs="Times New Roman"/>
          <w:color w:val="auto"/>
          <w:shd w:val="clear" w:color="auto" w:fill="FFFFFF"/>
        </w:rPr>
      </w:pPr>
      <w:r w:rsidRPr="00380DA9">
        <w:rPr>
          <w:rFonts w:ascii="Times New Roman" w:hAnsi="Times New Roman" w:cs="Times New Roman"/>
          <w:color w:val="auto"/>
          <w:shd w:val="clear" w:color="auto" w:fill="FFFFFF"/>
          <w:lang w:val="en-US"/>
        </w:rPr>
        <w:t xml:space="preserve">PRATES, Daniela </w:t>
      </w:r>
      <w:proofErr w:type="spellStart"/>
      <w:r w:rsidRPr="00380DA9">
        <w:rPr>
          <w:rFonts w:ascii="Times New Roman" w:hAnsi="Times New Roman" w:cs="Times New Roman"/>
          <w:color w:val="auto"/>
          <w:shd w:val="clear" w:color="auto" w:fill="FFFFFF"/>
          <w:lang w:val="en-US"/>
        </w:rPr>
        <w:t>Magalhãe</w:t>
      </w:r>
      <w:proofErr w:type="spellEnd"/>
      <w:r w:rsidRPr="00380DA9">
        <w:rPr>
          <w:rFonts w:ascii="Times New Roman" w:hAnsi="Times New Roman" w:cs="Times New Roman"/>
          <w:color w:val="auto"/>
          <w:shd w:val="clear" w:color="auto" w:fill="FFFFFF"/>
          <w:lang w:val="en-US"/>
        </w:rPr>
        <w:t xml:space="preserve">.; CUNHA, André Moreira. </w:t>
      </w:r>
      <w:r w:rsidRPr="00380DA9">
        <w:rPr>
          <w:rFonts w:ascii="Times New Roman" w:hAnsi="Times New Roman" w:cs="Times New Roman"/>
          <w:b/>
          <w:color w:val="auto"/>
          <w:shd w:val="clear" w:color="auto" w:fill="FFFFFF"/>
        </w:rPr>
        <w:t>A Vulnerabilidade Externa em Tempos de Instabilidade: avaliando a liquidez e a solvência da economia brasileira entre 2007 e 2013</w:t>
      </w:r>
      <w:r w:rsidRPr="00380DA9">
        <w:rPr>
          <w:rFonts w:ascii="Times New Roman" w:hAnsi="Times New Roman" w:cs="Times New Roman"/>
          <w:color w:val="auto"/>
          <w:shd w:val="clear" w:color="auto" w:fill="FFFFFF"/>
        </w:rPr>
        <w:t>. Revista Economia &amp; Tecnologia, v. 10, n. 3.2014</w:t>
      </w:r>
    </w:p>
    <w:p w14:paraId="111C475B" w14:textId="77777777" w:rsidR="00DA5B79" w:rsidRPr="00380DA9" w:rsidRDefault="00DA5B79" w:rsidP="00511A46">
      <w:pPr>
        <w:pStyle w:val="Default"/>
        <w:tabs>
          <w:tab w:val="center" w:pos="567"/>
        </w:tabs>
        <w:ind w:right="142"/>
        <w:jc w:val="both"/>
        <w:rPr>
          <w:rFonts w:ascii="Times New Roman" w:hAnsi="Times New Roman" w:cs="Times New Roman"/>
          <w:color w:val="auto"/>
          <w:shd w:val="clear" w:color="auto" w:fill="FFFFFF"/>
          <w:lang w:val="en-US"/>
        </w:rPr>
      </w:pPr>
      <w:r w:rsidRPr="00380DA9">
        <w:rPr>
          <w:rFonts w:ascii="Times New Roman" w:hAnsi="Times New Roman" w:cs="Times New Roman"/>
          <w:color w:val="auto"/>
          <w:shd w:val="clear" w:color="auto" w:fill="FFFFFF"/>
        </w:rPr>
        <w:t xml:space="preserve">SCHMITT-GROHÉ, S., </w:t>
      </w:r>
      <w:proofErr w:type="spellStart"/>
      <w:r w:rsidRPr="00380DA9">
        <w:rPr>
          <w:rFonts w:ascii="Times New Roman" w:hAnsi="Times New Roman" w:cs="Times New Roman"/>
          <w:color w:val="auto"/>
          <w:shd w:val="clear" w:color="auto" w:fill="FFFFFF"/>
        </w:rPr>
        <w:t>and</w:t>
      </w:r>
      <w:proofErr w:type="spellEnd"/>
      <w:r w:rsidRPr="00380DA9">
        <w:rPr>
          <w:rFonts w:ascii="Times New Roman" w:hAnsi="Times New Roman" w:cs="Times New Roman"/>
          <w:color w:val="auto"/>
          <w:shd w:val="clear" w:color="auto" w:fill="FFFFFF"/>
        </w:rPr>
        <w:t xml:space="preserve"> URIBE, Martín. </w:t>
      </w:r>
      <w:r w:rsidRPr="00380DA9">
        <w:rPr>
          <w:rFonts w:ascii="Times New Roman" w:hAnsi="Times New Roman" w:cs="Times New Roman"/>
          <w:b/>
          <w:color w:val="auto"/>
          <w:shd w:val="clear" w:color="auto" w:fill="FFFFFF"/>
          <w:lang w:val="en-US"/>
        </w:rPr>
        <w:t>Closing small open economy models. Journal of International Economics</w:t>
      </w:r>
      <w:r w:rsidRPr="00380DA9">
        <w:rPr>
          <w:rFonts w:ascii="Times New Roman" w:hAnsi="Times New Roman" w:cs="Times New Roman"/>
          <w:color w:val="auto"/>
          <w:shd w:val="clear" w:color="auto" w:fill="FFFFFF"/>
          <w:lang w:val="en-US"/>
        </w:rPr>
        <w:t xml:space="preserve">, 61, </w:t>
      </w:r>
      <w:proofErr w:type="spellStart"/>
      <w:r w:rsidRPr="00380DA9">
        <w:rPr>
          <w:rFonts w:ascii="Times New Roman" w:hAnsi="Times New Roman" w:cs="Times New Roman"/>
          <w:color w:val="auto"/>
          <w:shd w:val="clear" w:color="auto" w:fill="FFFFFF"/>
          <w:lang w:val="en-US"/>
        </w:rPr>
        <w:t>pg</w:t>
      </w:r>
      <w:proofErr w:type="spellEnd"/>
      <w:r w:rsidRPr="00380DA9">
        <w:rPr>
          <w:rFonts w:ascii="Times New Roman" w:hAnsi="Times New Roman" w:cs="Times New Roman"/>
          <w:color w:val="auto"/>
          <w:shd w:val="clear" w:color="auto" w:fill="FFFFFF"/>
          <w:lang w:val="en-US"/>
        </w:rPr>
        <w:t xml:space="preserve"> 163-185. 2003</w:t>
      </w:r>
    </w:p>
    <w:p w14:paraId="111C475C" w14:textId="77777777" w:rsidR="00DA5B79" w:rsidRPr="00380DA9" w:rsidRDefault="00DA5B79" w:rsidP="00511A46">
      <w:pPr>
        <w:pStyle w:val="PargrafodaLista"/>
        <w:spacing w:after="0" w:line="240" w:lineRule="auto"/>
        <w:ind w:left="0" w:right="142"/>
        <w:contextualSpacing w:val="0"/>
        <w:jc w:val="both"/>
        <w:rPr>
          <w:rFonts w:ascii="Times New Roman" w:hAnsi="Times New Roman" w:cs="Times New Roman"/>
          <w:sz w:val="24"/>
          <w:szCs w:val="24"/>
          <w:lang w:val="en-US"/>
        </w:rPr>
      </w:pPr>
      <w:r w:rsidRPr="00380DA9">
        <w:rPr>
          <w:rFonts w:ascii="Times New Roman" w:hAnsi="Times New Roman" w:cs="Times New Roman"/>
          <w:sz w:val="24"/>
          <w:szCs w:val="24"/>
          <w:lang w:val="en-US"/>
        </w:rPr>
        <w:t xml:space="preserve">TORRES, José L. </w:t>
      </w:r>
      <w:r w:rsidRPr="00380DA9">
        <w:rPr>
          <w:rFonts w:ascii="Times New Roman" w:hAnsi="Times New Roman" w:cs="Times New Roman"/>
          <w:b/>
          <w:sz w:val="24"/>
          <w:szCs w:val="24"/>
          <w:lang w:val="en-US"/>
        </w:rPr>
        <w:t>Introduction to Dynamic Macroeconomic General Equilibrium Models</w:t>
      </w:r>
      <w:r w:rsidRPr="00380DA9">
        <w:rPr>
          <w:rFonts w:ascii="Times New Roman" w:hAnsi="Times New Roman" w:cs="Times New Roman"/>
          <w:sz w:val="24"/>
          <w:szCs w:val="24"/>
          <w:lang w:val="en-US"/>
        </w:rPr>
        <w:t>. Vernon Art &amp; Science, Incorporated, 2015.</w:t>
      </w:r>
    </w:p>
    <w:p w14:paraId="111C475E" w14:textId="3501E9AF" w:rsidR="00DA5B79" w:rsidRPr="00380DA9" w:rsidRDefault="00DA5B79" w:rsidP="00511A46">
      <w:pPr>
        <w:pStyle w:val="PargrafodaLista"/>
        <w:spacing w:after="0" w:line="240" w:lineRule="auto"/>
        <w:ind w:left="0" w:right="142"/>
        <w:contextualSpacing w:val="0"/>
        <w:jc w:val="both"/>
        <w:rPr>
          <w:rFonts w:ascii="Times New Roman" w:hAnsi="Times New Roman" w:cs="Times New Roman"/>
        </w:rPr>
      </w:pPr>
      <w:r w:rsidRPr="00380DA9">
        <w:rPr>
          <w:rFonts w:ascii="Times New Roman" w:hAnsi="Times New Roman" w:cs="Times New Roman"/>
          <w:sz w:val="24"/>
          <w:szCs w:val="24"/>
          <w:lang w:val="en-US"/>
        </w:rPr>
        <w:t xml:space="preserve">WICKENS, Michael. </w:t>
      </w:r>
      <w:r w:rsidRPr="00380DA9">
        <w:rPr>
          <w:rFonts w:ascii="Times New Roman" w:hAnsi="Times New Roman" w:cs="Times New Roman"/>
          <w:b/>
          <w:sz w:val="24"/>
          <w:szCs w:val="24"/>
          <w:lang w:val="en-US"/>
        </w:rPr>
        <w:t>Macroeconomic theory: a dynamic general equilibrium approach</w:t>
      </w:r>
      <w:r w:rsidRPr="00380DA9">
        <w:rPr>
          <w:rFonts w:ascii="Times New Roman" w:hAnsi="Times New Roman" w:cs="Times New Roman"/>
          <w:sz w:val="24"/>
          <w:szCs w:val="24"/>
          <w:lang w:val="en-US"/>
        </w:rPr>
        <w:t xml:space="preserve">. </w:t>
      </w:r>
      <w:r w:rsidRPr="00380DA9">
        <w:rPr>
          <w:rFonts w:ascii="Times New Roman" w:hAnsi="Times New Roman" w:cs="Times New Roman"/>
          <w:sz w:val="24"/>
          <w:szCs w:val="24"/>
        </w:rPr>
        <w:t xml:space="preserve">Princeton </w:t>
      </w:r>
      <w:proofErr w:type="spellStart"/>
      <w:r w:rsidRPr="00380DA9">
        <w:rPr>
          <w:rFonts w:ascii="Times New Roman" w:hAnsi="Times New Roman" w:cs="Times New Roman"/>
          <w:sz w:val="24"/>
          <w:szCs w:val="24"/>
        </w:rPr>
        <w:t>University</w:t>
      </w:r>
      <w:proofErr w:type="spellEnd"/>
      <w:r w:rsidRPr="00380DA9">
        <w:rPr>
          <w:rFonts w:ascii="Times New Roman" w:hAnsi="Times New Roman" w:cs="Times New Roman"/>
          <w:sz w:val="24"/>
          <w:szCs w:val="24"/>
        </w:rPr>
        <w:t xml:space="preserve"> Press, 2012.</w:t>
      </w:r>
      <w:r w:rsidR="00AC4E05" w:rsidRPr="00380DA9">
        <w:rPr>
          <w:rFonts w:ascii="Times New Roman" w:hAnsi="Times New Roman" w:cs="Times New Roman"/>
        </w:rPr>
        <w:t xml:space="preserve"> </w:t>
      </w:r>
    </w:p>
    <w:sectPr w:rsidR="00DA5B79" w:rsidRPr="00380DA9" w:rsidSect="00D90DE6">
      <w:pgSz w:w="11906" w:h="16838"/>
      <w:pgMar w:top="1418" w:right="1133" w:bottom="1418"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7F6D4" w14:textId="77777777" w:rsidR="00BC24B5" w:rsidRDefault="00BC24B5" w:rsidP="00131952">
      <w:pPr>
        <w:spacing w:after="0" w:line="240" w:lineRule="auto"/>
      </w:pPr>
      <w:r>
        <w:separator/>
      </w:r>
    </w:p>
  </w:endnote>
  <w:endnote w:type="continuationSeparator" w:id="0">
    <w:p w14:paraId="62BFBC1B" w14:textId="77777777" w:rsidR="00BC24B5" w:rsidRDefault="00BC24B5" w:rsidP="00131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CA1B1" w14:textId="77777777" w:rsidR="00BC24B5" w:rsidRDefault="00BC24B5" w:rsidP="00131952">
      <w:pPr>
        <w:spacing w:after="0" w:line="240" w:lineRule="auto"/>
      </w:pPr>
      <w:r>
        <w:separator/>
      </w:r>
    </w:p>
  </w:footnote>
  <w:footnote w:type="continuationSeparator" w:id="0">
    <w:p w14:paraId="0507EBA7" w14:textId="77777777" w:rsidR="00BC24B5" w:rsidRDefault="00BC24B5" w:rsidP="00131952">
      <w:pPr>
        <w:spacing w:after="0" w:line="240" w:lineRule="auto"/>
      </w:pPr>
      <w:r>
        <w:continuationSeparator/>
      </w:r>
    </w:p>
  </w:footnote>
  <w:footnote w:id="1">
    <w:p w14:paraId="4A91A099" w14:textId="3495B872" w:rsidR="00511A46" w:rsidRDefault="00511A46">
      <w:pPr>
        <w:pStyle w:val="Textodenotaderodap"/>
      </w:pPr>
      <w:r>
        <w:rPr>
          <w:rStyle w:val="Refdenotaderodap"/>
        </w:rPr>
        <w:footnoteRef/>
      </w:r>
      <w:r>
        <w:t xml:space="preserve"> Paul Krugman </w:t>
      </w:r>
      <w:r w:rsidRPr="003F7318">
        <w:t>cham</w:t>
      </w:r>
      <w:r>
        <w:t>ou</w:t>
      </w:r>
      <w:r w:rsidRPr="003F7318">
        <w:t xml:space="preserve"> de “Grande Moderação” o período de 1985 a 2007, durante o qual a inflação</w:t>
      </w:r>
      <w:r>
        <w:t xml:space="preserve"> americana</w:t>
      </w:r>
      <w:r w:rsidRPr="003F7318">
        <w:t xml:space="preserve"> foi contida e as recessões foram relativamente suaves.</w:t>
      </w:r>
    </w:p>
  </w:footnote>
  <w:footnote w:id="2">
    <w:p w14:paraId="4136AE4E" w14:textId="77777777" w:rsidR="00D90DE6" w:rsidRDefault="00D90DE6" w:rsidP="00D90DE6">
      <w:pPr>
        <w:pStyle w:val="Textodenotaderodap"/>
      </w:pPr>
      <w:r>
        <w:rPr>
          <w:rStyle w:val="Refdenotaderodap"/>
        </w:rPr>
        <w:footnoteRef/>
      </w:r>
      <w:r>
        <w:t xml:space="preserve"> </w:t>
      </w:r>
      <w:r w:rsidRPr="00143E67">
        <w:t>Na década de 2000, a economia chinesa cresceu muito rapidamente. Por causa de seu peso no comércio internacional, o país deu um empurrão na demanda por commodities de várias economias.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738"/>
    <w:multiLevelType w:val="multilevel"/>
    <w:tmpl w:val="F5F096A0"/>
    <w:lvl w:ilvl="0">
      <w:start w:val="4"/>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F4917B1"/>
    <w:multiLevelType w:val="multilevel"/>
    <w:tmpl w:val="24EA774A"/>
    <w:lvl w:ilvl="0">
      <w:start w:val="3"/>
      <w:numFmt w:val="decimal"/>
      <w:lvlText w:val="%1."/>
      <w:lvlJc w:val="left"/>
      <w:pPr>
        <w:ind w:left="360" w:hanging="360"/>
      </w:pPr>
      <w:rPr>
        <w:rFonts w:cs="Times New Roman" w:hint="default"/>
      </w:rPr>
    </w:lvl>
    <w:lvl w:ilvl="1">
      <w:start w:val="2"/>
      <w:numFmt w:val="decimal"/>
      <w:lvlText w:val="%1.%2."/>
      <w:lvlJc w:val="left"/>
      <w:pPr>
        <w:ind w:left="-491" w:hanging="360"/>
      </w:pPr>
      <w:rPr>
        <w:rFonts w:cs="Times New Roman" w:hint="default"/>
      </w:rPr>
    </w:lvl>
    <w:lvl w:ilvl="2">
      <w:start w:val="1"/>
      <w:numFmt w:val="decimal"/>
      <w:lvlText w:val="%1.%2.%3."/>
      <w:lvlJc w:val="left"/>
      <w:pPr>
        <w:ind w:left="-982" w:hanging="720"/>
      </w:pPr>
      <w:rPr>
        <w:rFonts w:cs="Times New Roman" w:hint="default"/>
      </w:rPr>
    </w:lvl>
    <w:lvl w:ilvl="3">
      <w:start w:val="1"/>
      <w:numFmt w:val="decimal"/>
      <w:lvlText w:val="%1.%2.%3.%4."/>
      <w:lvlJc w:val="left"/>
      <w:pPr>
        <w:ind w:left="-1833" w:hanging="720"/>
      </w:pPr>
      <w:rPr>
        <w:rFonts w:cs="Times New Roman" w:hint="default"/>
      </w:rPr>
    </w:lvl>
    <w:lvl w:ilvl="4">
      <w:start w:val="1"/>
      <w:numFmt w:val="decimal"/>
      <w:lvlText w:val="%1.%2.%3.%4.%5."/>
      <w:lvlJc w:val="left"/>
      <w:pPr>
        <w:ind w:left="-2324" w:hanging="1080"/>
      </w:pPr>
      <w:rPr>
        <w:rFonts w:cs="Times New Roman" w:hint="default"/>
      </w:rPr>
    </w:lvl>
    <w:lvl w:ilvl="5">
      <w:start w:val="1"/>
      <w:numFmt w:val="decimal"/>
      <w:lvlText w:val="%1.%2.%3.%4.%5.%6."/>
      <w:lvlJc w:val="left"/>
      <w:pPr>
        <w:ind w:left="-3175" w:hanging="1080"/>
      </w:pPr>
      <w:rPr>
        <w:rFonts w:cs="Times New Roman" w:hint="default"/>
      </w:rPr>
    </w:lvl>
    <w:lvl w:ilvl="6">
      <w:start w:val="1"/>
      <w:numFmt w:val="decimal"/>
      <w:lvlText w:val="%1.%2.%3.%4.%5.%6.%7."/>
      <w:lvlJc w:val="left"/>
      <w:pPr>
        <w:ind w:left="-3666" w:hanging="1440"/>
      </w:pPr>
      <w:rPr>
        <w:rFonts w:cs="Times New Roman" w:hint="default"/>
      </w:rPr>
    </w:lvl>
    <w:lvl w:ilvl="7">
      <w:start w:val="1"/>
      <w:numFmt w:val="decimal"/>
      <w:lvlText w:val="%1.%2.%3.%4.%5.%6.%7.%8."/>
      <w:lvlJc w:val="left"/>
      <w:pPr>
        <w:ind w:left="-4517" w:hanging="1440"/>
      </w:pPr>
      <w:rPr>
        <w:rFonts w:cs="Times New Roman" w:hint="default"/>
      </w:rPr>
    </w:lvl>
    <w:lvl w:ilvl="8">
      <w:start w:val="1"/>
      <w:numFmt w:val="decimal"/>
      <w:lvlText w:val="%1.%2.%3.%4.%5.%6.%7.%8.%9."/>
      <w:lvlJc w:val="left"/>
      <w:pPr>
        <w:ind w:left="-5008" w:hanging="1800"/>
      </w:pPr>
      <w:rPr>
        <w:rFonts w:cs="Times New Roman" w:hint="default"/>
      </w:rPr>
    </w:lvl>
  </w:abstractNum>
  <w:abstractNum w:abstractNumId="2" w15:restartNumberingAfterBreak="0">
    <w:nsid w:val="16020000"/>
    <w:multiLevelType w:val="multilevel"/>
    <w:tmpl w:val="3AB6C9DE"/>
    <w:lvl w:ilvl="0">
      <w:start w:val="3"/>
      <w:numFmt w:val="decimal"/>
      <w:lvlText w:val="%1"/>
      <w:lvlJc w:val="left"/>
      <w:pPr>
        <w:ind w:left="360" w:hanging="360"/>
      </w:pPr>
      <w:rPr>
        <w:rFonts w:cs="Times New Roman" w:hint="default"/>
      </w:rPr>
    </w:lvl>
    <w:lvl w:ilvl="1">
      <w:start w:val="1"/>
      <w:numFmt w:val="decimal"/>
      <w:lvlText w:val="%1.%2"/>
      <w:lvlJc w:val="left"/>
      <w:pPr>
        <w:ind w:left="-491" w:hanging="360"/>
      </w:pPr>
      <w:rPr>
        <w:rFonts w:cs="Times New Roman" w:hint="default"/>
      </w:rPr>
    </w:lvl>
    <w:lvl w:ilvl="2">
      <w:start w:val="1"/>
      <w:numFmt w:val="decimal"/>
      <w:lvlText w:val="%1.%2.%3"/>
      <w:lvlJc w:val="left"/>
      <w:pPr>
        <w:ind w:left="-982" w:hanging="720"/>
      </w:pPr>
      <w:rPr>
        <w:rFonts w:cs="Times New Roman" w:hint="default"/>
      </w:rPr>
    </w:lvl>
    <w:lvl w:ilvl="3">
      <w:start w:val="1"/>
      <w:numFmt w:val="decimal"/>
      <w:lvlText w:val="%1.%2.%3.%4"/>
      <w:lvlJc w:val="left"/>
      <w:pPr>
        <w:ind w:left="-1833" w:hanging="720"/>
      </w:pPr>
      <w:rPr>
        <w:rFonts w:cs="Times New Roman" w:hint="default"/>
      </w:rPr>
    </w:lvl>
    <w:lvl w:ilvl="4">
      <w:start w:val="1"/>
      <w:numFmt w:val="decimal"/>
      <w:lvlText w:val="%1.%2.%3.%4.%5"/>
      <w:lvlJc w:val="left"/>
      <w:pPr>
        <w:ind w:left="-2324" w:hanging="1080"/>
      </w:pPr>
      <w:rPr>
        <w:rFonts w:cs="Times New Roman" w:hint="default"/>
      </w:rPr>
    </w:lvl>
    <w:lvl w:ilvl="5">
      <w:start w:val="1"/>
      <w:numFmt w:val="decimal"/>
      <w:lvlText w:val="%1.%2.%3.%4.%5.%6"/>
      <w:lvlJc w:val="left"/>
      <w:pPr>
        <w:ind w:left="-3175" w:hanging="1080"/>
      </w:pPr>
      <w:rPr>
        <w:rFonts w:cs="Times New Roman" w:hint="default"/>
      </w:rPr>
    </w:lvl>
    <w:lvl w:ilvl="6">
      <w:start w:val="1"/>
      <w:numFmt w:val="decimal"/>
      <w:lvlText w:val="%1.%2.%3.%4.%5.%6.%7"/>
      <w:lvlJc w:val="left"/>
      <w:pPr>
        <w:ind w:left="-3666" w:hanging="1440"/>
      </w:pPr>
      <w:rPr>
        <w:rFonts w:cs="Times New Roman" w:hint="default"/>
      </w:rPr>
    </w:lvl>
    <w:lvl w:ilvl="7">
      <w:start w:val="1"/>
      <w:numFmt w:val="decimal"/>
      <w:lvlText w:val="%1.%2.%3.%4.%5.%6.%7.%8"/>
      <w:lvlJc w:val="left"/>
      <w:pPr>
        <w:ind w:left="-4517" w:hanging="1440"/>
      </w:pPr>
      <w:rPr>
        <w:rFonts w:cs="Times New Roman" w:hint="default"/>
      </w:rPr>
    </w:lvl>
    <w:lvl w:ilvl="8">
      <w:start w:val="1"/>
      <w:numFmt w:val="decimal"/>
      <w:lvlText w:val="%1.%2.%3.%4.%5.%6.%7.%8.%9"/>
      <w:lvlJc w:val="left"/>
      <w:pPr>
        <w:ind w:left="-5008" w:hanging="1800"/>
      </w:pPr>
      <w:rPr>
        <w:rFonts w:cs="Times New Roman" w:hint="default"/>
      </w:rPr>
    </w:lvl>
  </w:abstractNum>
  <w:abstractNum w:abstractNumId="3" w15:restartNumberingAfterBreak="0">
    <w:nsid w:val="16D75C3E"/>
    <w:multiLevelType w:val="multilevel"/>
    <w:tmpl w:val="48B485C6"/>
    <w:lvl w:ilvl="0">
      <w:start w:val="1"/>
      <w:numFmt w:val="decimal"/>
      <w:lvlText w:val="%1."/>
      <w:lvlJc w:val="left"/>
      <w:pPr>
        <w:ind w:left="1080" w:hanging="360"/>
      </w:pPr>
      <w:rPr>
        <w:rFonts w:cs="Times New Roman" w:hint="default"/>
        <w:b w:val="0"/>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4" w15:restartNumberingAfterBreak="0">
    <w:nsid w:val="1A0E52ED"/>
    <w:multiLevelType w:val="multilevel"/>
    <w:tmpl w:val="340C2BA0"/>
    <w:lvl w:ilvl="0">
      <w:start w:val="3"/>
      <w:numFmt w:val="decimal"/>
      <w:lvlText w:val="%1."/>
      <w:lvlJc w:val="left"/>
      <w:pPr>
        <w:ind w:left="540" w:hanging="540"/>
      </w:pPr>
      <w:rPr>
        <w:rFonts w:cs="Times New Roman" w:hint="default"/>
      </w:rPr>
    </w:lvl>
    <w:lvl w:ilvl="1">
      <w:start w:val="3"/>
      <w:numFmt w:val="decimal"/>
      <w:lvlText w:val="%1.%2."/>
      <w:lvlJc w:val="left"/>
      <w:pPr>
        <w:ind w:left="540" w:hanging="540"/>
      </w:pPr>
      <w:rPr>
        <w:rFonts w:cs="Times New Roman" w:hint="default"/>
      </w:rPr>
    </w:lvl>
    <w:lvl w:ilvl="2">
      <w:start w:val="3"/>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15:restartNumberingAfterBreak="0">
    <w:nsid w:val="1DEA5CE1"/>
    <w:multiLevelType w:val="multilevel"/>
    <w:tmpl w:val="E9FCFEC2"/>
    <w:lvl w:ilvl="0">
      <w:start w:val="3"/>
      <w:numFmt w:val="decimal"/>
      <w:lvlText w:val="%1"/>
      <w:lvlJc w:val="left"/>
      <w:pPr>
        <w:tabs>
          <w:tab w:val="num" w:pos="480"/>
        </w:tabs>
        <w:ind w:left="480" w:hanging="480"/>
      </w:pPr>
      <w:rPr>
        <w:rFonts w:cs="Times New Roman" w:hint="default"/>
      </w:rPr>
    </w:lvl>
    <w:lvl w:ilvl="1">
      <w:start w:val="2"/>
      <w:numFmt w:val="decimal"/>
      <w:lvlText w:val="%1.%2"/>
      <w:lvlJc w:val="left"/>
      <w:pPr>
        <w:tabs>
          <w:tab w:val="num" w:pos="480"/>
        </w:tabs>
        <w:ind w:left="480" w:hanging="48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15:restartNumberingAfterBreak="0">
    <w:nsid w:val="38A1318F"/>
    <w:multiLevelType w:val="multilevel"/>
    <w:tmpl w:val="D4AEC41E"/>
    <w:lvl w:ilvl="0">
      <w:start w:val="3"/>
      <w:numFmt w:val="decimal"/>
      <w:lvlText w:val="%1."/>
      <w:lvlJc w:val="left"/>
      <w:pPr>
        <w:ind w:left="360" w:hanging="360"/>
      </w:pPr>
      <w:rPr>
        <w:rFonts w:cs="Times New Roman" w:hint="default"/>
      </w:rPr>
    </w:lvl>
    <w:lvl w:ilvl="1">
      <w:start w:val="1"/>
      <w:numFmt w:val="decimal"/>
      <w:lvlText w:val="%1.%2."/>
      <w:lvlJc w:val="left"/>
      <w:pPr>
        <w:ind w:left="-491" w:hanging="360"/>
      </w:pPr>
      <w:rPr>
        <w:rFonts w:cs="Times New Roman" w:hint="default"/>
      </w:rPr>
    </w:lvl>
    <w:lvl w:ilvl="2">
      <w:start w:val="1"/>
      <w:numFmt w:val="decimal"/>
      <w:lvlText w:val="%1.%2.%3."/>
      <w:lvlJc w:val="left"/>
      <w:pPr>
        <w:ind w:left="-982" w:hanging="720"/>
      </w:pPr>
      <w:rPr>
        <w:rFonts w:cs="Times New Roman" w:hint="default"/>
      </w:rPr>
    </w:lvl>
    <w:lvl w:ilvl="3">
      <w:start w:val="1"/>
      <w:numFmt w:val="decimal"/>
      <w:lvlText w:val="%1.%2.%3.%4."/>
      <w:lvlJc w:val="left"/>
      <w:pPr>
        <w:ind w:left="-1833" w:hanging="720"/>
      </w:pPr>
      <w:rPr>
        <w:rFonts w:cs="Times New Roman" w:hint="default"/>
      </w:rPr>
    </w:lvl>
    <w:lvl w:ilvl="4">
      <w:start w:val="1"/>
      <w:numFmt w:val="decimal"/>
      <w:lvlText w:val="%1.%2.%3.%4.%5."/>
      <w:lvlJc w:val="left"/>
      <w:pPr>
        <w:ind w:left="-2324" w:hanging="1080"/>
      </w:pPr>
      <w:rPr>
        <w:rFonts w:cs="Times New Roman" w:hint="default"/>
      </w:rPr>
    </w:lvl>
    <w:lvl w:ilvl="5">
      <w:start w:val="1"/>
      <w:numFmt w:val="decimal"/>
      <w:lvlText w:val="%1.%2.%3.%4.%5.%6."/>
      <w:lvlJc w:val="left"/>
      <w:pPr>
        <w:ind w:left="-3175" w:hanging="1080"/>
      </w:pPr>
      <w:rPr>
        <w:rFonts w:cs="Times New Roman" w:hint="default"/>
      </w:rPr>
    </w:lvl>
    <w:lvl w:ilvl="6">
      <w:start w:val="1"/>
      <w:numFmt w:val="decimal"/>
      <w:lvlText w:val="%1.%2.%3.%4.%5.%6.%7."/>
      <w:lvlJc w:val="left"/>
      <w:pPr>
        <w:ind w:left="-3666" w:hanging="1440"/>
      </w:pPr>
      <w:rPr>
        <w:rFonts w:cs="Times New Roman" w:hint="default"/>
      </w:rPr>
    </w:lvl>
    <w:lvl w:ilvl="7">
      <w:start w:val="1"/>
      <w:numFmt w:val="decimal"/>
      <w:lvlText w:val="%1.%2.%3.%4.%5.%6.%7.%8."/>
      <w:lvlJc w:val="left"/>
      <w:pPr>
        <w:ind w:left="-4517" w:hanging="1440"/>
      </w:pPr>
      <w:rPr>
        <w:rFonts w:cs="Times New Roman" w:hint="default"/>
      </w:rPr>
    </w:lvl>
    <w:lvl w:ilvl="8">
      <w:start w:val="1"/>
      <w:numFmt w:val="decimal"/>
      <w:lvlText w:val="%1.%2.%3.%4.%5.%6.%7.%8.%9."/>
      <w:lvlJc w:val="left"/>
      <w:pPr>
        <w:ind w:left="-5008" w:hanging="1800"/>
      </w:pPr>
      <w:rPr>
        <w:rFonts w:cs="Times New Roman" w:hint="default"/>
      </w:rPr>
    </w:lvl>
  </w:abstractNum>
  <w:abstractNum w:abstractNumId="7" w15:restartNumberingAfterBreak="0">
    <w:nsid w:val="442A4DD1"/>
    <w:multiLevelType w:val="multilevel"/>
    <w:tmpl w:val="FD7E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62171"/>
    <w:multiLevelType w:val="hybridMultilevel"/>
    <w:tmpl w:val="86E2227A"/>
    <w:lvl w:ilvl="0" w:tplc="C50A98BA">
      <w:start w:val="6"/>
      <w:numFmt w:val="decimal"/>
      <w:lvlText w:val="%1."/>
      <w:lvlJc w:val="left"/>
      <w:pPr>
        <w:ind w:left="360" w:hanging="360"/>
      </w:pPr>
      <w:rPr>
        <w:rFonts w:eastAsia="Times New Roman" w:cs="Times New Roman" w:hint="default"/>
      </w:rPr>
    </w:lvl>
    <w:lvl w:ilvl="1" w:tplc="04160019" w:tentative="1">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9" w15:restartNumberingAfterBreak="0">
    <w:nsid w:val="70C219FA"/>
    <w:multiLevelType w:val="multilevel"/>
    <w:tmpl w:val="98A216DA"/>
    <w:lvl w:ilvl="0">
      <w:start w:val="3"/>
      <w:numFmt w:val="decimal"/>
      <w:lvlText w:val="%1"/>
      <w:lvlJc w:val="left"/>
      <w:pPr>
        <w:ind w:left="480" w:hanging="480"/>
      </w:pPr>
      <w:rPr>
        <w:rFonts w:cs="Times New Roman" w:hint="default"/>
      </w:rPr>
    </w:lvl>
    <w:lvl w:ilvl="1">
      <w:start w:val="3"/>
      <w:numFmt w:val="decimal"/>
      <w:lvlText w:val="%1.%2"/>
      <w:lvlJc w:val="left"/>
      <w:pPr>
        <w:ind w:left="480" w:hanging="480"/>
      </w:pPr>
      <w:rPr>
        <w:rFonts w:cs="Times New Roman" w:hint="default"/>
      </w:rPr>
    </w:lvl>
    <w:lvl w:ilvl="2">
      <w:start w:val="3"/>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15:restartNumberingAfterBreak="0">
    <w:nsid w:val="7B32094F"/>
    <w:multiLevelType w:val="multilevel"/>
    <w:tmpl w:val="7A302A14"/>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1" w15:restartNumberingAfterBreak="0">
    <w:nsid w:val="7CB63869"/>
    <w:multiLevelType w:val="multilevel"/>
    <w:tmpl w:val="A49A2400"/>
    <w:lvl w:ilvl="0">
      <w:start w:val="3"/>
      <w:numFmt w:val="decimal"/>
      <w:lvlText w:val="%1."/>
      <w:lvlJc w:val="left"/>
      <w:pPr>
        <w:ind w:left="360" w:hanging="360"/>
      </w:pPr>
      <w:rPr>
        <w:rFonts w:cs="Times New Roman" w:hint="default"/>
      </w:rPr>
    </w:lvl>
    <w:lvl w:ilvl="1">
      <w:start w:val="3"/>
      <w:numFmt w:val="decimal"/>
      <w:lvlText w:val="%1.%2."/>
      <w:lvlJc w:val="left"/>
      <w:pPr>
        <w:ind w:left="-131" w:hanging="360"/>
      </w:pPr>
      <w:rPr>
        <w:rFonts w:cs="Times New Roman" w:hint="default"/>
      </w:rPr>
    </w:lvl>
    <w:lvl w:ilvl="2">
      <w:start w:val="1"/>
      <w:numFmt w:val="decimal"/>
      <w:lvlText w:val="%1.%2.%3."/>
      <w:lvlJc w:val="left"/>
      <w:pPr>
        <w:ind w:left="-262" w:hanging="720"/>
      </w:pPr>
      <w:rPr>
        <w:rFonts w:cs="Times New Roman" w:hint="default"/>
      </w:rPr>
    </w:lvl>
    <w:lvl w:ilvl="3">
      <w:start w:val="1"/>
      <w:numFmt w:val="decimal"/>
      <w:lvlText w:val="%1.%2.%3.%4."/>
      <w:lvlJc w:val="left"/>
      <w:pPr>
        <w:ind w:left="-753" w:hanging="720"/>
      </w:pPr>
      <w:rPr>
        <w:rFonts w:cs="Times New Roman" w:hint="default"/>
      </w:rPr>
    </w:lvl>
    <w:lvl w:ilvl="4">
      <w:start w:val="1"/>
      <w:numFmt w:val="decimal"/>
      <w:lvlText w:val="%1.%2.%3.%4.%5."/>
      <w:lvlJc w:val="left"/>
      <w:pPr>
        <w:ind w:left="-884" w:hanging="1080"/>
      </w:pPr>
      <w:rPr>
        <w:rFonts w:cs="Times New Roman" w:hint="default"/>
      </w:rPr>
    </w:lvl>
    <w:lvl w:ilvl="5">
      <w:start w:val="1"/>
      <w:numFmt w:val="decimal"/>
      <w:lvlText w:val="%1.%2.%3.%4.%5.%6."/>
      <w:lvlJc w:val="left"/>
      <w:pPr>
        <w:ind w:left="-1375" w:hanging="1080"/>
      </w:pPr>
      <w:rPr>
        <w:rFonts w:cs="Times New Roman" w:hint="default"/>
      </w:rPr>
    </w:lvl>
    <w:lvl w:ilvl="6">
      <w:start w:val="1"/>
      <w:numFmt w:val="decimal"/>
      <w:lvlText w:val="%1.%2.%3.%4.%5.%6.%7."/>
      <w:lvlJc w:val="left"/>
      <w:pPr>
        <w:ind w:left="-1506" w:hanging="1440"/>
      </w:pPr>
      <w:rPr>
        <w:rFonts w:cs="Times New Roman" w:hint="default"/>
      </w:rPr>
    </w:lvl>
    <w:lvl w:ilvl="7">
      <w:start w:val="1"/>
      <w:numFmt w:val="decimal"/>
      <w:lvlText w:val="%1.%2.%3.%4.%5.%6.%7.%8."/>
      <w:lvlJc w:val="left"/>
      <w:pPr>
        <w:ind w:left="-1997" w:hanging="1440"/>
      </w:pPr>
      <w:rPr>
        <w:rFonts w:cs="Times New Roman" w:hint="default"/>
      </w:rPr>
    </w:lvl>
    <w:lvl w:ilvl="8">
      <w:start w:val="1"/>
      <w:numFmt w:val="decimal"/>
      <w:lvlText w:val="%1.%2.%3.%4.%5.%6.%7.%8.%9."/>
      <w:lvlJc w:val="left"/>
      <w:pPr>
        <w:ind w:left="-2128" w:hanging="1800"/>
      </w:pPr>
      <w:rPr>
        <w:rFonts w:cs="Times New Roman" w:hint="default"/>
      </w:rPr>
    </w:lvl>
  </w:abstractNum>
  <w:abstractNum w:abstractNumId="12" w15:restartNumberingAfterBreak="0">
    <w:nsid w:val="7D4E6390"/>
    <w:multiLevelType w:val="multilevel"/>
    <w:tmpl w:val="9A5659BA"/>
    <w:lvl w:ilvl="0">
      <w:start w:val="3"/>
      <w:numFmt w:val="decimal"/>
      <w:lvlText w:val="%1."/>
      <w:lvlJc w:val="left"/>
      <w:pPr>
        <w:ind w:left="540" w:hanging="540"/>
      </w:pPr>
      <w:rPr>
        <w:rFonts w:cs="Times New Roman" w:hint="default"/>
      </w:rPr>
    </w:lvl>
    <w:lvl w:ilvl="1">
      <w:start w:val="2"/>
      <w:numFmt w:val="decimal"/>
      <w:lvlText w:val="%1.%2."/>
      <w:lvlJc w:val="left"/>
      <w:pPr>
        <w:ind w:left="398" w:hanging="540"/>
      </w:pPr>
      <w:rPr>
        <w:rFonts w:cs="Times New Roman" w:hint="default"/>
      </w:rPr>
    </w:lvl>
    <w:lvl w:ilvl="2">
      <w:start w:val="2"/>
      <w:numFmt w:val="decimal"/>
      <w:lvlText w:val="%1.%2.%3."/>
      <w:lvlJc w:val="left"/>
      <w:pPr>
        <w:ind w:left="436" w:hanging="720"/>
      </w:pPr>
      <w:rPr>
        <w:rFonts w:cs="Times New Roman" w:hint="default"/>
      </w:rPr>
    </w:lvl>
    <w:lvl w:ilvl="3">
      <w:start w:val="1"/>
      <w:numFmt w:val="decimal"/>
      <w:lvlText w:val="%1.%2.%3.%4."/>
      <w:lvlJc w:val="left"/>
      <w:pPr>
        <w:ind w:left="294" w:hanging="720"/>
      </w:pPr>
      <w:rPr>
        <w:rFonts w:cs="Times New Roman" w:hint="default"/>
      </w:rPr>
    </w:lvl>
    <w:lvl w:ilvl="4">
      <w:start w:val="1"/>
      <w:numFmt w:val="decimal"/>
      <w:lvlText w:val="%1.%2.%3.%4.%5."/>
      <w:lvlJc w:val="left"/>
      <w:pPr>
        <w:ind w:left="512" w:hanging="1080"/>
      </w:pPr>
      <w:rPr>
        <w:rFonts w:cs="Times New Roman" w:hint="default"/>
      </w:rPr>
    </w:lvl>
    <w:lvl w:ilvl="5">
      <w:start w:val="1"/>
      <w:numFmt w:val="decimal"/>
      <w:lvlText w:val="%1.%2.%3.%4.%5.%6."/>
      <w:lvlJc w:val="left"/>
      <w:pPr>
        <w:ind w:left="370" w:hanging="1080"/>
      </w:pPr>
      <w:rPr>
        <w:rFonts w:cs="Times New Roman" w:hint="default"/>
      </w:rPr>
    </w:lvl>
    <w:lvl w:ilvl="6">
      <w:start w:val="1"/>
      <w:numFmt w:val="decimal"/>
      <w:lvlText w:val="%1.%2.%3.%4.%5.%6.%7."/>
      <w:lvlJc w:val="left"/>
      <w:pPr>
        <w:ind w:left="588" w:hanging="1440"/>
      </w:pPr>
      <w:rPr>
        <w:rFonts w:cs="Times New Roman" w:hint="default"/>
      </w:rPr>
    </w:lvl>
    <w:lvl w:ilvl="7">
      <w:start w:val="1"/>
      <w:numFmt w:val="decimal"/>
      <w:lvlText w:val="%1.%2.%3.%4.%5.%6.%7.%8."/>
      <w:lvlJc w:val="left"/>
      <w:pPr>
        <w:ind w:left="446" w:hanging="1440"/>
      </w:pPr>
      <w:rPr>
        <w:rFonts w:cs="Times New Roman" w:hint="default"/>
      </w:rPr>
    </w:lvl>
    <w:lvl w:ilvl="8">
      <w:start w:val="1"/>
      <w:numFmt w:val="decimal"/>
      <w:lvlText w:val="%1.%2.%3.%4.%5.%6.%7.%8.%9."/>
      <w:lvlJc w:val="left"/>
      <w:pPr>
        <w:ind w:left="664" w:hanging="1800"/>
      </w:pPr>
      <w:rPr>
        <w:rFonts w:cs="Times New Roman" w:hint="default"/>
      </w:rPr>
    </w:lvl>
  </w:abstractNum>
  <w:abstractNum w:abstractNumId="13" w15:restartNumberingAfterBreak="0">
    <w:nsid w:val="7EB07BD8"/>
    <w:multiLevelType w:val="hybridMultilevel"/>
    <w:tmpl w:val="907EADF8"/>
    <w:lvl w:ilvl="0" w:tplc="5CF243F6">
      <w:start w:val="1"/>
      <w:numFmt w:val="decimal"/>
      <w:lvlText w:val="%1."/>
      <w:lvlJc w:val="left"/>
      <w:pPr>
        <w:ind w:left="-491" w:hanging="360"/>
      </w:pPr>
      <w:rPr>
        <w:rFonts w:cs="Times New Roman" w:hint="default"/>
      </w:rPr>
    </w:lvl>
    <w:lvl w:ilvl="1" w:tplc="04160019">
      <w:start w:val="1"/>
      <w:numFmt w:val="lowerLetter"/>
      <w:lvlText w:val="%2."/>
      <w:lvlJc w:val="left"/>
      <w:pPr>
        <w:ind w:left="229" w:hanging="360"/>
      </w:pPr>
      <w:rPr>
        <w:rFonts w:cs="Times New Roman"/>
      </w:rPr>
    </w:lvl>
    <w:lvl w:ilvl="2" w:tplc="0416001B">
      <w:start w:val="1"/>
      <w:numFmt w:val="lowerRoman"/>
      <w:lvlText w:val="%3."/>
      <w:lvlJc w:val="right"/>
      <w:pPr>
        <w:ind w:left="949" w:hanging="180"/>
      </w:pPr>
      <w:rPr>
        <w:rFonts w:cs="Times New Roman"/>
      </w:rPr>
    </w:lvl>
    <w:lvl w:ilvl="3" w:tplc="0416000F" w:tentative="1">
      <w:start w:val="1"/>
      <w:numFmt w:val="decimal"/>
      <w:lvlText w:val="%4."/>
      <w:lvlJc w:val="left"/>
      <w:pPr>
        <w:ind w:left="1669" w:hanging="360"/>
      </w:pPr>
      <w:rPr>
        <w:rFonts w:cs="Times New Roman"/>
      </w:rPr>
    </w:lvl>
    <w:lvl w:ilvl="4" w:tplc="04160019" w:tentative="1">
      <w:start w:val="1"/>
      <w:numFmt w:val="lowerLetter"/>
      <w:lvlText w:val="%5."/>
      <w:lvlJc w:val="left"/>
      <w:pPr>
        <w:ind w:left="2389" w:hanging="360"/>
      </w:pPr>
      <w:rPr>
        <w:rFonts w:cs="Times New Roman"/>
      </w:rPr>
    </w:lvl>
    <w:lvl w:ilvl="5" w:tplc="0416001B" w:tentative="1">
      <w:start w:val="1"/>
      <w:numFmt w:val="lowerRoman"/>
      <w:lvlText w:val="%6."/>
      <w:lvlJc w:val="right"/>
      <w:pPr>
        <w:ind w:left="3109" w:hanging="180"/>
      </w:pPr>
      <w:rPr>
        <w:rFonts w:cs="Times New Roman"/>
      </w:rPr>
    </w:lvl>
    <w:lvl w:ilvl="6" w:tplc="0416000F" w:tentative="1">
      <w:start w:val="1"/>
      <w:numFmt w:val="decimal"/>
      <w:lvlText w:val="%7."/>
      <w:lvlJc w:val="left"/>
      <w:pPr>
        <w:ind w:left="3829" w:hanging="360"/>
      </w:pPr>
      <w:rPr>
        <w:rFonts w:cs="Times New Roman"/>
      </w:rPr>
    </w:lvl>
    <w:lvl w:ilvl="7" w:tplc="04160019" w:tentative="1">
      <w:start w:val="1"/>
      <w:numFmt w:val="lowerLetter"/>
      <w:lvlText w:val="%8."/>
      <w:lvlJc w:val="left"/>
      <w:pPr>
        <w:ind w:left="4549" w:hanging="360"/>
      </w:pPr>
      <w:rPr>
        <w:rFonts w:cs="Times New Roman"/>
      </w:rPr>
    </w:lvl>
    <w:lvl w:ilvl="8" w:tplc="0416001B" w:tentative="1">
      <w:start w:val="1"/>
      <w:numFmt w:val="lowerRoman"/>
      <w:lvlText w:val="%9."/>
      <w:lvlJc w:val="right"/>
      <w:pPr>
        <w:ind w:left="5269" w:hanging="180"/>
      </w:pPr>
      <w:rPr>
        <w:rFonts w:cs="Times New Roman"/>
      </w:rPr>
    </w:lvl>
  </w:abstractNum>
  <w:num w:numId="1">
    <w:abstractNumId w:val="0"/>
  </w:num>
  <w:num w:numId="2">
    <w:abstractNumId w:val="10"/>
  </w:num>
  <w:num w:numId="3">
    <w:abstractNumId w:val="3"/>
  </w:num>
  <w:num w:numId="4">
    <w:abstractNumId w:val="13"/>
  </w:num>
  <w:num w:numId="5">
    <w:abstractNumId w:val="2"/>
  </w:num>
  <w:num w:numId="6">
    <w:abstractNumId w:val="9"/>
  </w:num>
  <w:num w:numId="7">
    <w:abstractNumId w:val="8"/>
  </w:num>
  <w:num w:numId="8">
    <w:abstractNumId w:val="11"/>
  </w:num>
  <w:num w:numId="9">
    <w:abstractNumId w:val="12"/>
  </w:num>
  <w:num w:numId="10">
    <w:abstractNumId w:val="4"/>
  </w:num>
  <w:num w:numId="11">
    <w:abstractNumId w:val="1"/>
  </w:num>
  <w:num w:numId="12">
    <w:abstractNumId w:val="6"/>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AE2"/>
    <w:rsid w:val="0000073C"/>
    <w:rsid w:val="000015C0"/>
    <w:rsid w:val="00004292"/>
    <w:rsid w:val="00006D20"/>
    <w:rsid w:val="00013C21"/>
    <w:rsid w:val="00013D65"/>
    <w:rsid w:val="00014F4C"/>
    <w:rsid w:val="000152D6"/>
    <w:rsid w:val="00015C9A"/>
    <w:rsid w:val="000329B9"/>
    <w:rsid w:val="00034760"/>
    <w:rsid w:val="00035757"/>
    <w:rsid w:val="000360E0"/>
    <w:rsid w:val="0004141A"/>
    <w:rsid w:val="0004177A"/>
    <w:rsid w:val="00042E04"/>
    <w:rsid w:val="00044CF4"/>
    <w:rsid w:val="000472BA"/>
    <w:rsid w:val="00050193"/>
    <w:rsid w:val="00053A50"/>
    <w:rsid w:val="00056C42"/>
    <w:rsid w:val="000657C4"/>
    <w:rsid w:val="00072566"/>
    <w:rsid w:val="00072BFB"/>
    <w:rsid w:val="00082402"/>
    <w:rsid w:val="000840FA"/>
    <w:rsid w:val="00085B8F"/>
    <w:rsid w:val="000903FA"/>
    <w:rsid w:val="00090F08"/>
    <w:rsid w:val="00091474"/>
    <w:rsid w:val="00093A2A"/>
    <w:rsid w:val="0009446E"/>
    <w:rsid w:val="00094B25"/>
    <w:rsid w:val="000A1B9D"/>
    <w:rsid w:val="000A35C5"/>
    <w:rsid w:val="000A64EE"/>
    <w:rsid w:val="000B1638"/>
    <w:rsid w:val="000B3809"/>
    <w:rsid w:val="000B48E3"/>
    <w:rsid w:val="000B5600"/>
    <w:rsid w:val="000B656B"/>
    <w:rsid w:val="000C238F"/>
    <w:rsid w:val="000C41B8"/>
    <w:rsid w:val="000C4EB7"/>
    <w:rsid w:val="000D46A9"/>
    <w:rsid w:val="000D4F4B"/>
    <w:rsid w:val="000D4FEA"/>
    <w:rsid w:val="000D6E15"/>
    <w:rsid w:val="000D7561"/>
    <w:rsid w:val="000E5D05"/>
    <w:rsid w:val="000E66F6"/>
    <w:rsid w:val="000F0471"/>
    <w:rsid w:val="000F1480"/>
    <w:rsid w:val="000F26A3"/>
    <w:rsid w:val="000F2AFB"/>
    <w:rsid w:val="000F2CD9"/>
    <w:rsid w:val="000F4B9C"/>
    <w:rsid w:val="000F7074"/>
    <w:rsid w:val="00100ADA"/>
    <w:rsid w:val="00112BE5"/>
    <w:rsid w:val="00114E7B"/>
    <w:rsid w:val="00117F80"/>
    <w:rsid w:val="00123362"/>
    <w:rsid w:val="00127207"/>
    <w:rsid w:val="0012731F"/>
    <w:rsid w:val="00131721"/>
    <w:rsid w:val="00131952"/>
    <w:rsid w:val="0013648E"/>
    <w:rsid w:val="001401AD"/>
    <w:rsid w:val="001415DD"/>
    <w:rsid w:val="0014338F"/>
    <w:rsid w:val="00143E67"/>
    <w:rsid w:val="00144B24"/>
    <w:rsid w:val="00147681"/>
    <w:rsid w:val="00150AA3"/>
    <w:rsid w:val="00151BD7"/>
    <w:rsid w:val="00157907"/>
    <w:rsid w:val="0016166B"/>
    <w:rsid w:val="001625C5"/>
    <w:rsid w:val="00163911"/>
    <w:rsid w:val="00167203"/>
    <w:rsid w:val="00170DF8"/>
    <w:rsid w:val="0017548E"/>
    <w:rsid w:val="00176D48"/>
    <w:rsid w:val="00181454"/>
    <w:rsid w:val="00184DF5"/>
    <w:rsid w:val="0018763F"/>
    <w:rsid w:val="0019059F"/>
    <w:rsid w:val="00190C2E"/>
    <w:rsid w:val="00190F48"/>
    <w:rsid w:val="001A3DC8"/>
    <w:rsid w:val="001A7F1A"/>
    <w:rsid w:val="001B1B8B"/>
    <w:rsid w:val="001B2FD0"/>
    <w:rsid w:val="001B3BEC"/>
    <w:rsid w:val="001B74BC"/>
    <w:rsid w:val="001C0521"/>
    <w:rsid w:val="001C3424"/>
    <w:rsid w:val="001C541A"/>
    <w:rsid w:val="001C579F"/>
    <w:rsid w:val="001C78A3"/>
    <w:rsid w:val="001D1B32"/>
    <w:rsid w:val="001D3C02"/>
    <w:rsid w:val="001D626E"/>
    <w:rsid w:val="001E0F29"/>
    <w:rsid w:val="001E6CA7"/>
    <w:rsid w:val="001E72CC"/>
    <w:rsid w:val="001F071A"/>
    <w:rsid w:val="001F082C"/>
    <w:rsid w:val="001F29A5"/>
    <w:rsid w:val="001F45EC"/>
    <w:rsid w:val="001F5BE4"/>
    <w:rsid w:val="001F6EF5"/>
    <w:rsid w:val="002015D9"/>
    <w:rsid w:val="002037BE"/>
    <w:rsid w:val="00203F7D"/>
    <w:rsid w:val="002054D9"/>
    <w:rsid w:val="0021435F"/>
    <w:rsid w:val="00232148"/>
    <w:rsid w:val="00237C3D"/>
    <w:rsid w:val="002400AA"/>
    <w:rsid w:val="0024066C"/>
    <w:rsid w:val="00247FE3"/>
    <w:rsid w:val="0025149E"/>
    <w:rsid w:val="00252D6E"/>
    <w:rsid w:val="0025369C"/>
    <w:rsid w:val="00255C0B"/>
    <w:rsid w:val="0026483A"/>
    <w:rsid w:val="0026581F"/>
    <w:rsid w:val="00265B00"/>
    <w:rsid w:val="00270D9D"/>
    <w:rsid w:val="0027171B"/>
    <w:rsid w:val="00277E13"/>
    <w:rsid w:val="00283676"/>
    <w:rsid w:val="0028682A"/>
    <w:rsid w:val="00287C6C"/>
    <w:rsid w:val="00290F27"/>
    <w:rsid w:val="00291332"/>
    <w:rsid w:val="002928AC"/>
    <w:rsid w:val="00293B56"/>
    <w:rsid w:val="002A1830"/>
    <w:rsid w:val="002A27FE"/>
    <w:rsid w:val="002A4F99"/>
    <w:rsid w:val="002A5317"/>
    <w:rsid w:val="002A7273"/>
    <w:rsid w:val="002A7B2C"/>
    <w:rsid w:val="002B1768"/>
    <w:rsid w:val="002B1A7B"/>
    <w:rsid w:val="002B2636"/>
    <w:rsid w:val="002C1188"/>
    <w:rsid w:val="002C2EE4"/>
    <w:rsid w:val="002C3B0C"/>
    <w:rsid w:val="002C49B5"/>
    <w:rsid w:val="002D09B2"/>
    <w:rsid w:val="002D2CD6"/>
    <w:rsid w:val="002D4ACE"/>
    <w:rsid w:val="002D71B5"/>
    <w:rsid w:val="002D7689"/>
    <w:rsid w:val="002E1982"/>
    <w:rsid w:val="002E5CBF"/>
    <w:rsid w:val="002E7E60"/>
    <w:rsid w:val="002F1655"/>
    <w:rsid w:val="002F206B"/>
    <w:rsid w:val="00300AB7"/>
    <w:rsid w:val="00310399"/>
    <w:rsid w:val="003110F4"/>
    <w:rsid w:val="00312CE8"/>
    <w:rsid w:val="0031623D"/>
    <w:rsid w:val="00322E5A"/>
    <w:rsid w:val="00333FEF"/>
    <w:rsid w:val="00334859"/>
    <w:rsid w:val="003361F6"/>
    <w:rsid w:val="00336994"/>
    <w:rsid w:val="0034285B"/>
    <w:rsid w:val="00343F45"/>
    <w:rsid w:val="00350D70"/>
    <w:rsid w:val="00352CC6"/>
    <w:rsid w:val="0035391D"/>
    <w:rsid w:val="003726D4"/>
    <w:rsid w:val="0037508D"/>
    <w:rsid w:val="00377B67"/>
    <w:rsid w:val="00380DA9"/>
    <w:rsid w:val="003837DE"/>
    <w:rsid w:val="0038507F"/>
    <w:rsid w:val="00386BA5"/>
    <w:rsid w:val="003934E6"/>
    <w:rsid w:val="003952A0"/>
    <w:rsid w:val="00395E25"/>
    <w:rsid w:val="003A54E1"/>
    <w:rsid w:val="003B4015"/>
    <w:rsid w:val="003C19B1"/>
    <w:rsid w:val="003C4815"/>
    <w:rsid w:val="003C5FF5"/>
    <w:rsid w:val="003C6EDC"/>
    <w:rsid w:val="003D1E9B"/>
    <w:rsid w:val="003D7665"/>
    <w:rsid w:val="003E082F"/>
    <w:rsid w:val="003E51E5"/>
    <w:rsid w:val="003E6FE6"/>
    <w:rsid w:val="003E7240"/>
    <w:rsid w:val="003F257A"/>
    <w:rsid w:val="003F7318"/>
    <w:rsid w:val="003F7681"/>
    <w:rsid w:val="0040274E"/>
    <w:rsid w:val="00402F85"/>
    <w:rsid w:val="004060FB"/>
    <w:rsid w:val="0041118F"/>
    <w:rsid w:val="00413F01"/>
    <w:rsid w:val="004165C0"/>
    <w:rsid w:val="00416854"/>
    <w:rsid w:val="00417DA4"/>
    <w:rsid w:val="00420C94"/>
    <w:rsid w:val="00421C36"/>
    <w:rsid w:val="00427430"/>
    <w:rsid w:val="00431EAC"/>
    <w:rsid w:val="00432DEA"/>
    <w:rsid w:val="00435F00"/>
    <w:rsid w:val="0043661E"/>
    <w:rsid w:val="0043676B"/>
    <w:rsid w:val="004523D4"/>
    <w:rsid w:val="00452C9D"/>
    <w:rsid w:val="004559AC"/>
    <w:rsid w:val="0046370D"/>
    <w:rsid w:val="004645C5"/>
    <w:rsid w:val="00467178"/>
    <w:rsid w:val="00467A47"/>
    <w:rsid w:val="0047033B"/>
    <w:rsid w:val="004733D1"/>
    <w:rsid w:val="0047414F"/>
    <w:rsid w:val="004742FC"/>
    <w:rsid w:val="004748DA"/>
    <w:rsid w:val="004750DF"/>
    <w:rsid w:val="00480286"/>
    <w:rsid w:val="00485B48"/>
    <w:rsid w:val="00486A5E"/>
    <w:rsid w:val="004875CD"/>
    <w:rsid w:val="00490576"/>
    <w:rsid w:val="00491A57"/>
    <w:rsid w:val="004925ED"/>
    <w:rsid w:val="004938F2"/>
    <w:rsid w:val="00496FCE"/>
    <w:rsid w:val="004A34FE"/>
    <w:rsid w:val="004A4717"/>
    <w:rsid w:val="004B1738"/>
    <w:rsid w:val="004B1FA3"/>
    <w:rsid w:val="004B2F1E"/>
    <w:rsid w:val="004B32B6"/>
    <w:rsid w:val="004B679D"/>
    <w:rsid w:val="004B6DC8"/>
    <w:rsid w:val="004C3B1B"/>
    <w:rsid w:val="004C4053"/>
    <w:rsid w:val="004C5298"/>
    <w:rsid w:val="004D2050"/>
    <w:rsid w:val="004D3BB3"/>
    <w:rsid w:val="004D6519"/>
    <w:rsid w:val="004D7BA4"/>
    <w:rsid w:val="004E03EE"/>
    <w:rsid w:val="004E07CD"/>
    <w:rsid w:val="004E0D92"/>
    <w:rsid w:val="004E3886"/>
    <w:rsid w:val="004E5176"/>
    <w:rsid w:val="004E6A01"/>
    <w:rsid w:val="004E7D8E"/>
    <w:rsid w:val="004F35A1"/>
    <w:rsid w:val="004F451A"/>
    <w:rsid w:val="004F4E3F"/>
    <w:rsid w:val="004F672A"/>
    <w:rsid w:val="00504C95"/>
    <w:rsid w:val="00507896"/>
    <w:rsid w:val="00511A46"/>
    <w:rsid w:val="00511F71"/>
    <w:rsid w:val="0051252F"/>
    <w:rsid w:val="00513A90"/>
    <w:rsid w:val="00517699"/>
    <w:rsid w:val="0052386C"/>
    <w:rsid w:val="00525B38"/>
    <w:rsid w:val="0053256D"/>
    <w:rsid w:val="00534679"/>
    <w:rsid w:val="005356FE"/>
    <w:rsid w:val="00541568"/>
    <w:rsid w:val="00546BA5"/>
    <w:rsid w:val="00553831"/>
    <w:rsid w:val="00554650"/>
    <w:rsid w:val="00557C89"/>
    <w:rsid w:val="00563199"/>
    <w:rsid w:val="005633F9"/>
    <w:rsid w:val="00563E8C"/>
    <w:rsid w:val="00567FD8"/>
    <w:rsid w:val="00574A67"/>
    <w:rsid w:val="00577075"/>
    <w:rsid w:val="00577620"/>
    <w:rsid w:val="00585288"/>
    <w:rsid w:val="00591EBA"/>
    <w:rsid w:val="005933FF"/>
    <w:rsid w:val="0059391D"/>
    <w:rsid w:val="005B24F2"/>
    <w:rsid w:val="005B5D7E"/>
    <w:rsid w:val="005C172B"/>
    <w:rsid w:val="005C737F"/>
    <w:rsid w:val="005D674A"/>
    <w:rsid w:val="005E0560"/>
    <w:rsid w:val="005E4177"/>
    <w:rsid w:val="005E52D7"/>
    <w:rsid w:val="005E68E8"/>
    <w:rsid w:val="005F0949"/>
    <w:rsid w:val="005F14DA"/>
    <w:rsid w:val="00600938"/>
    <w:rsid w:val="00602D23"/>
    <w:rsid w:val="00603A9A"/>
    <w:rsid w:val="00607B44"/>
    <w:rsid w:val="00607F75"/>
    <w:rsid w:val="006141A8"/>
    <w:rsid w:val="006163AA"/>
    <w:rsid w:val="00622B95"/>
    <w:rsid w:val="00625537"/>
    <w:rsid w:val="00625569"/>
    <w:rsid w:val="0063535D"/>
    <w:rsid w:val="006363FB"/>
    <w:rsid w:val="00637BD0"/>
    <w:rsid w:val="00640181"/>
    <w:rsid w:val="00640674"/>
    <w:rsid w:val="00640D10"/>
    <w:rsid w:val="00643FCC"/>
    <w:rsid w:val="00644215"/>
    <w:rsid w:val="006443B2"/>
    <w:rsid w:val="00645082"/>
    <w:rsid w:val="00645329"/>
    <w:rsid w:val="00647422"/>
    <w:rsid w:val="00647CE3"/>
    <w:rsid w:val="00652FAE"/>
    <w:rsid w:val="006703B3"/>
    <w:rsid w:val="0067345B"/>
    <w:rsid w:val="006738F7"/>
    <w:rsid w:val="00677D05"/>
    <w:rsid w:val="006804C6"/>
    <w:rsid w:val="006827AA"/>
    <w:rsid w:val="0068290C"/>
    <w:rsid w:val="00683EF9"/>
    <w:rsid w:val="00686923"/>
    <w:rsid w:val="00690879"/>
    <w:rsid w:val="0069258B"/>
    <w:rsid w:val="00693150"/>
    <w:rsid w:val="0069430A"/>
    <w:rsid w:val="00695229"/>
    <w:rsid w:val="006A0CD4"/>
    <w:rsid w:val="006A0D38"/>
    <w:rsid w:val="006A0F64"/>
    <w:rsid w:val="006A1D3A"/>
    <w:rsid w:val="006B077B"/>
    <w:rsid w:val="006B0BD2"/>
    <w:rsid w:val="006B3AF2"/>
    <w:rsid w:val="006B5F2A"/>
    <w:rsid w:val="006C01E9"/>
    <w:rsid w:val="006C20F7"/>
    <w:rsid w:val="006C3EF9"/>
    <w:rsid w:val="006C6AAC"/>
    <w:rsid w:val="006C7748"/>
    <w:rsid w:val="006D097F"/>
    <w:rsid w:val="006D1292"/>
    <w:rsid w:val="006D1FA8"/>
    <w:rsid w:val="006D2E7B"/>
    <w:rsid w:val="006D77D3"/>
    <w:rsid w:val="006D7F37"/>
    <w:rsid w:val="006E25B2"/>
    <w:rsid w:val="006E3DE9"/>
    <w:rsid w:val="006E72F9"/>
    <w:rsid w:val="006F04D9"/>
    <w:rsid w:val="006F302E"/>
    <w:rsid w:val="006F4001"/>
    <w:rsid w:val="006F642E"/>
    <w:rsid w:val="007056CF"/>
    <w:rsid w:val="00705D64"/>
    <w:rsid w:val="00717AB1"/>
    <w:rsid w:val="007205AE"/>
    <w:rsid w:val="00720BED"/>
    <w:rsid w:val="00722745"/>
    <w:rsid w:val="007245BA"/>
    <w:rsid w:val="007308FB"/>
    <w:rsid w:val="00730A1D"/>
    <w:rsid w:val="007431BB"/>
    <w:rsid w:val="007553BE"/>
    <w:rsid w:val="00757689"/>
    <w:rsid w:val="0076358F"/>
    <w:rsid w:val="00763EA3"/>
    <w:rsid w:val="00764475"/>
    <w:rsid w:val="00765CCF"/>
    <w:rsid w:val="0076634B"/>
    <w:rsid w:val="00766E75"/>
    <w:rsid w:val="0077056D"/>
    <w:rsid w:val="00774AC4"/>
    <w:rsid w:val="00776530"/>
    <w:rsid w:val="00784E0C"/>
    <w:rsid w:val="0078610B"/>
    <w:rsid w:val="00786C02"/>
    <w:rsid w:val="00787A50"/>
    <w:rsid w:val="007A1008"/>
    <w:rsid w:val="007A75E7"/>
    <w:rsid w:val="007B1011"/>
    <w:rsid w:val="007B2395"/>
    <w:rsid w:val="007B26D7"/>
    <w:rsid w:val="007C09AC"/>
    <w:rsid w:val="007C1362"/>
    <w:rsid w:val="007C2054"/>
    <w:rsid w:val="007C3457"/>
    <w:rsid w:val="007C3CFC"/>
    <w:rsid w:val="007C71FC"/>
    <w:rsid w:val="007D37E1"/>
    <w:rsid w:val="007D43F3"/>
    <w:rsid w:val="007D6A4F"/>
    <w:rsid w:val="007D6B8F"/>
    <w:rsid w:val="007D7572"/>
    <w:rsid w:val="007E07F8"/>
    <w:rsid w:val="007E1EF6"/>
    <w:rsid w:val="007E25C9"/>
    <w:rsid w:val="007E2BEA"/>
    <w:rsid w:val="007E59AA"/>
    <w:rsid w:val="007F1346"/>
    <w:rsid w:val="007F1D49"/>
    <w:rsid w:val="007F5FE3"/>
    <w:rsid w:val="0080043C"/>
    <w:rsid w:val="008037B1"/>
    <w:rsid w:val="0080608B"/>
    <w:rsid w:val="008069EF"/>
    <w:rsid w:val="0080737E"/>
    <w:rsid w:val="0081070B"/>
    <w:rsid w:val="00812F07"/>
    <w:rsid w:val="00813CE5"/>
    <w:rsid w:val="0081686A"/>
    <w:rsid w:val="008245F9"/>
    <w:rsid w:val="00825278"/>
    <w:rsid w:val="008252C7"/>
    <w:rsid w:val="00830833"/>
    <w:rsid w:val="00832FDF"/>
    <w:rsid w:val="00841169"/>
    <w:rsid w:val="00842C5C"/>
    <w:rsid w:val="00843734"/>
    <w:rsid w:val="0084426A"/>
    <w:rsid w:val="0084459F"/>
    <w:rsid w:val="00854F3F"/>
    <w:rsid w:val="00857C4C"/>
    <w:rsid w:val="0086023F"/>
    <w:rsid w:val="00860F76"/>
    <w:rsid w:val="00862349"/>
    <w:rsid w:val="00863AE2"/>
    <w:rsid w:val="00863BB4"/>
    <w:rsid w:val="008701FF"/>
    <w:rsid w:val="0087027C"/>
    <w:rsid w:val="00870A50"/>
    <w:rsid w:val="00876002"/>
    <w:rsid w:val="00885064"/>
    <w:rsid w:val="00892509"/>
    <w:rsid w:val="00893CA3"/>
    <w:rsid w:val="00895C5F"/>
    <w:rsid w:val="008A125B"/>
    <w:rsid w:val="008A167D"/>
    <w:rsid w:val="008A4365"/>
    <w:rsid w:val="008A7BA8"/>
    <w:rsid w:val="008B0F06"/>
    <w:rsid w:val="008B0FE9"/>
    <w:rsid w:val="008B393F"/>
    <w:rsid w:val="008B4F9A"/>
    <w:rsid w:val="008B5090"/>
    <w:rsid w:val="008B5162"/>
    <w:rsid w:val="008C27A7"/>
    <w:rsid w:val="008C67A7"/>
    <w:rsid w:val="008C7300"/>
    <w:rsid w:val="008C7AC8"/>
    <w:rsid w:val="008D3F04"/>
    <w:rsid w:val="008D6461"/>
    <w:rsid w:val="008D6795"/>
    <w:rsid w:val="008E057D"/>
    <w:rsid w:val="008E2CE8"/>
    <w:rsid w:val="008E6693"/>
    <w:rsid w:val="008E6B35"/>
    <w:rsid w:val="008E7597"/>
    <w:rsid w:val="008E7909"/>
    <w:rsid w:val="008F13A3"/>
    <w:rsid w:val="008F731E"/>
    <w:rsid w:val="009013B1"/>
    <w:rsid w:val="00901BA1"/>
    <w:rsid w:val="009047FC"/>
    <w:rsid w:val="009050DF"/>
    <w:rsid w:val="00905C9B"/>
    <w:rsid w:val="00906FC5"/>
    <w:rsid w:val="009077E9"/>
    <w:rsid w:val="00911547"/>
    <w:rsid w:val="009146B9"/>
    <w:rsid w:val="0092246A"/>
    <w:rsid w:val="00930262"/>
    <w:rsid w:val="00933F16"/>
    <w:rsid w:val="0093492E"/>
    <w:rsid w:val="009368B7"/>
    <w:rsid w:val="0094239D"/>
    <w:rsid w:val="0094343C"/>
    <w:rsid w:val="009445E9"/>
    <w:rsid w:val="00944CDE"/>
    <w:rsid w:val="00944EC0"/>
    <w:rsid w:val="009468FF"/>
    <w:rsid w:val="00947AC7"/>
    <w:rsid w:val="00950545"/>
    <w:rsid w:val="009533AF"/>
    <w:rsid w:val="00957124"/>
    <w:rsid w:val="0095718D"/>
    <w:rsid w:val="00961A70"/>
    <w:rsid w:val="0096382F"/>
    <w:rsid w:val="00966BD0"/>
    <w:rsid w:val="0097255C"/>
    <w:rsid w:val="00974B5F"/>
    <w:rsid w:val="0097521D"/>
    <w:rsid w:val="00975BAB"/>
    <w:rsid w:val="00980728"/>
    <w:rsid w:val="0098106A"/>
    <w:rsid w:val="00982F10"/>
    <w:rsid w:val="00984147"/>
    <w:rsid w:val="00995A56"/>
    <w:rsid w:val="00996530"/>
    <w:rsid w:val="00996F24"/>
    <w:rsid w:val="009A09EC"/>
    <w:rsid w:val="009A37C1"/>
    <w:rsid w:val="009B4756"/>
    <w:rsid w:val="009C01D3"/>
    <w:rsid w:val="009C3AAD"/>
    <w:rsid w:val="009C56DD"/>
    <w:rsid w:val="009D1E51"/>
    <w:rsid w:val="009D613E"/>
    <w:rsid w:val="009E2B38"/>
    <w:rsid w:val="009E35CF"/>
    <w:rsid w:val="009E53E1"/>
    <w:rsid w:val="009E5534"/>
    <w:rsid w:val="009F4531"/>
    <w:rsid w:val="009F7CFE"/>
    <w:rsid w:val="00A0032C"/>
    <w:rsid w:val="00A014DA"/>
    <w:rsid w:val="00A01889"/>
    <w:rsid w:val="00A023BB"/>
    <w:rsid w:val="00A0285E"/>
    <w:rsid w:val="00A03000"/>
    <w:rsid w:val="00A03081"/>
    <w:rsid w:val="00A05C46"/>
    <w:rsid w:val="00A06364"/>
    <w:rsid w:val="00A10117"/>
    <w:rsid w:val="00A1124A"/>
    <w:rsid w:val="00A11A4D"/>
    <w:rsid w:val="00A11DEE"/>
    <w:rsid w:val="00A11EDC"/>
    <w:rsid w:val="00A12CA1"/>
    <w:rsid w:val="00A15D02"/>
    <w:rsid w:val="00A210CC"/>
    <w:rsid w:val="00A21AEF"/>
    <w:rsid w:val="00A23FB8"/>
    <w:rsid w:val="00A24690"/>
    <w:rsid w:val="00A258E0"/>
    <w:rsid w:val="00A364BF"/>
    <w:rsid w:val="00A41A97"/>
    <w:rsid w:val="00A4294F"/>
    <w:rsid w:val="00A47AF2"/>
    <w:rsid w:val="00A50B44"/>
    <w:rsid w:val="00A51AF4"/>
    <w:rsid w:val="00A526E9"/>
    <w:rsid w:val="00A553C2"/>
    <w:rsid w:val="00A62C3F"/>
    <w:rsid w:val="00A63748"/>
    <w:rsid w:val="00A701B0"/>
    <w:rsid w:val="00A81466"/>
    <w:rsid w:val="00A82C5C"/>
    <w:rsid w:val="00A82CA5"/>
    <w:rsid w:val="00A85739"/>
    <w:rsid w:val="00A866EA"/>
    <w:rsid w:val="00A87E74"/>
    <w:rsid w:val="00A906D1"/>
    <w:rsid w:val="00A927DD"/>
    <w:rsid w:val="00AA005E"/>
    <w:rsid w:val="00AA4CCB"/>
    <w:rsid w:val="00AA69AB"/>
    <w:rsid w:val="00AB39A4"/>
    <w:rsid w:val="00AB55A1"/>
    <w:rsid w:val="00AB63E7"/>
    <w:rsid w:val="00AC30E2"/>
    <w:rsid w:val="00AC356A"/>
    <w:rsid w:val="00AC4E05"/>
    <w:rsid w:val="00AC6359"/>
    <w:rsid w:val="00AC7A76"/>
    <w:rsid w:val="00AC7FD6"/>
    <w:rsid w:val="00AD132F"/>
    <w:rsid w:val="00AD2AAB"/>
    <w:rsid w:val="00AD397F"/>
    <w:rsid w:val="00AE2C87"/>
    <w:rsid w:val="00AF11B3"/>
    <w:rsid w:val="00AF3C17"/>
    <w:rsid w:val="00AF668C"/>
    <w:rsid w:val="00B03536"/>
    <w:rsid w:val="00B06D76"/>
    <w:rsid w:val="00B137CF"/>
    <w:rsid w:val="00B148E5"/>
    <w:rsid w:val="00B14E4C"/>
    <w:rsid w:val="00B1514F"/>
    <w:rsid w:val="00B1623D"/>
    <w:rsid w:val="00B16249"/>
    <w:rsid w:val="00B24741"/>
    <w:rsid w:val="00B25AEF"/>
    <w:rsid w:val="00B315F3"/>
    <w:rsid w:val="00B32F51"/>
    <w:rsid w:val="00B3597D"/>
    <w:rsid w:val="00B37FB9"/>
    <w:rsid w:val="00B40E9A"/>
    <w:rsid w:val="00B42851"/>
    <w:rsid w:val="00B42BC1"/>
    <w:rsid w:val="00B5712F"/>
    <w:rsid w:val="00B6087B"/>
    <w:rsid w:val="00B65E33"/>
    <w:rsid w:val="00B6738F"/>
    <w:rsid w:val="00B710AF"/>
    <w:rsid w:val="00B7684B"/>
    <w:rsid w:val="00B8015A"/>
    <w:rsid w:val="00B80F4C"/>
    <w:rsid w:val="00B84016"/>
    <w:rsid w:val="00B936B2"/>
    <w:rsid w:val="00B9444C"/>
    <w:rsid w:val="00B96542"/>
    <w:rsid w:val="00BA3F77"/>
    <w:rsid w:val="00BA4284"/>
    <w:rsid w:val="00BA5713"/>
    <w:rsid w:val="00BB63BB"/>
    <w:rsid w:val="00BB6975"/>
    <w:rsid w:val="00BC24B5"/>
    <w:rsid w:val="00BC265A"/>
    <w:rsid w:val="00BC2974"/>
    <w:rsid w:val="00BE2ADE"/>
    <w:rsid w:val="00BE599E"/>
    <w:rsid w:val="00BF2D3B"/>
    <w:rsid w:val="00C0201B"/>
    <w:rsid w:val="00C04353"/>
    <w:rsid w:val="00C05311"/>
    <w:rsid w:val="00C11565"/>
    <w:rsid w:val="00C12853"/>
    <w:rsid w:val="00C22CAC"/>
    <w:rsid w:val="00C254C4"/>
    <w:rsid w:val="00C2707F"/>
    <w:rsid w:val="00C35413"/>
    <w:rsid w:val="00C407C6"/>
    <w:rsid w:val="00C452FA"/>
    <w:rsid w:val="00C459EB"/>
    <w:rsid w:val="00C51A27"/>
    <w:rsid w:val="00C56006"/>
    <w:rsid w:val="00C57893"/>
    <w:rsid w:val="00C612F0"/>
    <w:rsid w:val="00C64D34"/>
    <w:rsid w:val="00C6712F"/>
    <w:rsid w:val="00C7267A"/>
    <w:rsid w:val="00C735D3"/>
    <w:rsid w:val="00C8308B"/>
    <w:rsid w:val="00C85C4F"/>
    <w:rsid w:val="00C861DB"/>
    <w:rsid w:val="00C869DF"/>
    <w:rsid w:val="00C94980"/>
    <w:rsid w:val="00C95F30"/>
    <w:rsid w:val="00C97ACB"/>
    <w:rsid w:val="00CA1872"/>
    <w:rsid w:val="00CA72E6"/>
    <w:rsid w:val="00CA7396"/>
    <w:rsid w:val="00CA79F2"/>
    <w:rsid w:val="00CB10A3"/>
    <w:rsid w:val="00CB1CBF"/>
    <w:rsid w:val="00CB34E7"/>
    <w:rsid w:val="00CB3F7C"/>
    <w:rsid w:val="00CC3908"/>
    <w:rsid w:val="00CD0D24"/>
    <w:rsid w:val="00CD1039"/>
    <w:rsid w:val="00CD54E7"/>
    <w:rsid w:val="00CD63D5"/>
    <w:rsid w:val="00CE21E3"/>
    <w:rsid w:val="00CE5B40"/>
    <w:rsid w:val="00CF3968"/>
    <w:rsid w:val="00CF3DF9"/>
    <w:rsid w:val="00CF422D"/>
    <w:rsid w:val="00CF4C78"/>
    <w:rsid w:val="00CF4E0C"/>
    <w:rsid w:val="00D038F1"/>
    <w:rsid w:val="00D12CF9"/>
    <w:rsid w:val="00D14CE6"/>
    <w:rsid w:val="00D15EE5"/>
    <w:rsid w:val="00D216D6"/>
    <w:rsid w:val="00D23486"/>
    <w:rsid w:val="00D26963"/>
    <w:rsid w:val="00D27463"/>
    <w:rsid w:val="00D310A1"/>
    <w:rsid w:val="00D345F2"/>
    <w:rsid w:val="00D4335E"/>
    <w:rsid w:val="00D45231"/>
    <w:rsid w:val="00D45601"/>
    <w:rsid w:val="00D517E1"/>
    <w:rsid w:val="00D51D6D"/>
    <w:rsid w:val="00D51E87"/>
    <w:rsid w:val="00D5378F"/>
    <w:rsid w:val="00D5463A"/>
    <w:rsid w:val="00D55E2B"/>
    <w:rsid w:val="00D56169"/>
    <w:rsid w:val="00D565D1"/>
    <w:rsid w:val="00D566C1"/>
    <w:rsid w:val="00D6199C"/>
    <w:rsid w:val="00D61F64"/>
    <w:rsid w:val="00D64AD9"/>
    <w:rsid w:val="00D71AD1"/>
    <w:rsid w:val="00D73201"/>
    <w:rsid w:val="00D732BA"/>
    <w:rsid w:val="00D76D51"/>
    <w:rsid w:val="00D87299"/>
    <w:rsid w:val="00D90DE6"/>
    <w:rsid w:val="00D925A7"/>
    <w:rsid w:val="00D93CCD"/>
    <w:rsid w:val="00D97733"/>
    <w:rsid w:val="00DA2A27"/>
    <w:rsid w:val="00DA2A35"/>
    <w:rsid w:val="00DA3668"/>
    <w:rsid w:val="00DA3F4B"/>
    <w:rsid w:val="00DA5B79"/>
    <w:rsid w:val="00DB5180"/>
    <w:rsid w:val="00DC6523"/>
    <w:rsid w:val="00DD4497"/>
    <w:rsid w:val="00DD44A5"/>
    <w:rsid w:val="00DD7C5C"/>
    <w:rsid w:val="00DE51CF"/>
    <w:rsid w:val="00DF1558"/>
    <w:rsid w:val="00DF46E2"/>
    <w:rsid w:val="00DF75D0"/>
    <w:rsid w:val="00E0514C"/>
    <w:rsid w:val="00E116A5"/>
    <w:rsid w:val="00E12F71"/>
    <w:rsid w:val="00E139D3"/>
    <w:rsid w:val="00E30CD1"/>
    <w:rsid w:val="00E338F5"/>
    <w:rsid w:val="00E3400E"/>
    <w:rsid w:val="00E36D77"/>
    <w:rsid w:val="00E416B7"/>
    <w:rsid w:val="00E42B45"/>
    <w:rsid w:val="00E43512"/>
    <w:rsid w:val="00E44D36"/>
    <w:rsid w:val="00E45397"/>
    <w:rsid w:val="00E503A6"/>
    <w:rsid w:val="00E60EC7"/>
    <w:rsid w:val="00E626E1"/>
    <w:rsid w:val="00E67004"/>
    <w:rsid w:val="00E742A7"/>
    <w:rsid w:val="00E751D6"/>
    <w:rsid w:val="00E75598"/>
    <w:rsid w:val="00E82298"/>
    <w:rsid w:val="00E94406"/>
    <w:rsid w:val="00EA0C86"/>
    <w:rsid w:val="00EA1044"/>
    <w:rsid w:val="00EA16F0"/>
    <w:rsid w:val="00EA2222"/>
    <w:rsid w:val="00EA3BC8"/>
    <w:rsid w:val="00EA4F35"/>
    <w:rsid w:val="00EA5A7E"/>
    <w:rsid w:val="00EA665D"/>
    <w:rsid w:val="00EB28F0"/>
    <w:rsid w:val="00EB6FF8"/>
    <w:rsid w:val="00EB75C9"/>
    <w:rsid w:val="00EC0F87"/>
    <w:rsid w:val="00EC4F2C"/>
    <w:rsid w:val="00EC5C8F"/>
    <w:rsid w:val="00EC7BB6"/>
    <w:rsid w:val="00EC7E2A"/>
    <w:rsid w:val="00EE25ED"/>
    <w:rsid w:val="00EE3301"/>
    <w:rsid w:val="00EE4187"/>
    <w:rsid w:val="00EE55FE"/>
    <w:rsid w:val="00EF43FB"/>
    <w:rsid w:val="00F00F1D"/>
    <w:rsid w:val="00F0121D"/>
    <w:rsid w:val="00F01999"/>
    <w:rsid w:val="00F01F81"/>
    <w:rsid w:val="00F02982"/>
    <w:rsid w:val="00F04137"/>
    <w:rsid w:val="00F06AD3"/>
    <w:rsid w:val="00F118A6"/>
    <w:rsid w:val="00F220AF"/>
    <w:rsid w:val="00F24D6C"/>
    <w:rsid w:val="00F26AD3"/>
    <w:rsid w:val="00F27657"/>
    <w:rsid w:val="00F31DB2"/>
    <w:rsid w:val="00F34C9B"/>
    <w:rsid w:val="00F355E0"/>
    <w:rsid w:val="00F40170"/>
    <w:rsid w:val="00F42196"/>
    <w:rsid w:val="00F47362"/>
    <w:rsid w:val="00F536B6"/>
    <w:rsid w:val="00F55001"/>
    <w:rsid w:val="00F65D6C"/>
    <w:rsid w:val="00F71095"/>
    <w:rsid w:val="00F72970"/>
    <w:rsid w:val="00F74B14"/>
    <w:rsid w:val="00F75743"/>
    <w:rsid w:val="00F7757D"/>
    <w:rsid w:val="00F7769D"/>
    <w:rsid w:val="00F830A1"/>
    <w:rsid w:val="00F830CF"/>
    <w:rsid w:val="00F840A0"/>
    <w:rsid w:val="00F876BE"/>
    <w:rsid w:val="00F90118"/>
    <w:rsid w:val="00F90C6F"/>
    <w:rsid w:val="00F913BF"/>
    <w:rsid w:val="00FA2C8B"/>
    <w:rsid w:val="00FA4B14"/>
    <w:rsid w:val="00FB509B"/>
    <w:rsid w:val="00FC3BF0"/>
    <w:rsid w:val="00FC5DCE"/>
    <w:rsid w:val="00FD4770"/>
    <w:rsid w:val="00FD690A"/>
    <w:rsid w:val="00FD7F57"/>
    <w:rsid w:val="00FE13BC"/>
    <w:rsid w:val="00FE3CA4"/>
    <w:rsid w:val="00FE4E2C"/>
    <w:rsid w:val="00FF0E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111C4586"/>
  <w15:docId w15:val="{01F52526-0E1F-4069-B3B9-D84E18CC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locked/>
    <w:rPr>
      <w:rFonts w:ascii="Tahoma" w:hAnsi="Tahoma" w:cs="Tahoma"/>
      <w:sz w:val="16"/>
      <w:szCs w:val="16"/>
    </w:rPr>
  </w:style>
  <w:style w:type="character" w:styleId="TextodoEspaoReservado">
    <w:name w:val="Placeholder Text"/>
    <w:basedOn w:val="Fontepargpadro"/>
    <w:uiPriority w:val="99"/>
    <w:semiHidden/>
    <w:rPr>
      <w:rFonts w:cs="Times New Roman"/>
      <w:color w:val="808080"/>
    </w:rPr>
  </w:style>
  <w:style w:type="character" w:customStyle="1" w:styleId="ListLabel1">
    <w:name w:val="ListLabel 1"/>
    <w:uiPriority w:val="99"/>
    <w:rsid w:val="00270D9D"/>
    <w:rPr>
      <w:rFonts w:ascii="Times New Roman" w:hAnsi="Times New Roman"/>
      <w:sz w:val="24"/>
    </w:rPr>
  </w:style>
  <w:style w:type="character" w:customStyle="1" w:styleId="ListLabel2">
    <w:name w:val="ListLabel 2"/>
    <w:uiPriority w:val="99"/>
    <w:rsid w:val="00270D9D"/>
  </w:style>
  <w:style w:type="character" w:customStyle="1" w:styleId="ListLabel3">
    <w:name w:val="ListLabel 3"/>
    <w:uiPriority w:val="99"/>
    <w:rsid w:val="00270D9D"/>
  </w:style>
  <w:style w:type="character" w:customStyle="1" w:styleId="ListLabel4">
    <w:name w:val="ListLabel 4"/>
    <w:uiPriority w:val="99"/>
    <w:rsid w:val="00270D9D"/>
  </w:style>
  <w:style w:type="paragraph" w:styleId="Ttulo">
    <w:name w:val="Title"/>
    <w:basedOn w:val="Normal"/>
    <w:next w:val="Corpodetexto"/>
    <w:link w:val="TtuloChar"/>
    <w:uiPriority w:val="99"/>
    <w:qFormat/>
    <w:rsid w:val="00270D9D"/>
    <w:pPr>
      <w:keepNext/>
      <w:spacing w:before="240" w:after="120"/>
    </w:pPr>
    <w:rPr>
      <w:rFonts w:ascii="Liberation Sans" w:eastAsia="Microsoft YaHei" w:hAnsi="Liberation Sans" w:cs="Mangal"/>
      <w:sz w:val="28"/>
      <w:szCs w:val="28"/>
    </w:rPr>
  </w:style>
  <w:style w:type="character" w:customStyle="1" w:styleId="TtuloChar">
    <w:name w:val="Título Char"/>
    <w:basedOn w:val="Fontepargpadro"/>
    <w:link w:val="Ttulo"/>
    <w:uiPriority w:val="10"/>
    <w:rsid w:val="001F61EE"/>
    <w:rPr>
      <w:rFonts w:asciiTheme="majorHAnsi" w:eastAsiaTheme="majorEastAsia" w:hAnsiTheme="majorHAnsi" w:cstheme="majorBidi"/>
      <w:b/>
      <w:bCs/>
      <w:kern w:val="28"/>
      <w:sz w:val="32"/>
      <w:szCs w:val="32"/>
      <w:lang w:eastAsia="en-US"/>
    </w:rPr>
  </w:style>
  <w:style w:type="paragraph" w:styleId="Corpodetexto">
    <w:name w:val="Body Text"/>
    <w:basedOn w:val="Normal"/>
    <w:link w:val="CorpodetextoChar"/>
    <w:uiPriority w:val="99"/>
    <w:rsid w:val="00270D9D"/>
    <w:pPr>
      <w:spacing w:after="140" w:line="288" w:lineRule="auto"/>
    </w:pPr>
  </w:style>
  <w:style w:type="character" w:customStyle="1" w:styleId="CorpodetextoChar">
    <w:name w:val="Corpo de texto Char"/>
    <w:basedOn w:val="Fontepargpadro"/>
    <w:link w:val="Corpodetexto"/>
    <w:uiPriority w:val="99"/>
    <w:semiHidden/>
    <w:rsid w:val="001F61EE"/>
    <w:rPr>
      <w:lang w:eastAsia="en-US"/>
    </w:rPr>
  </w:style>
  <w:style w:type="paragraph" w:styleId="Lista">
    <w:name w:val="List"/>
    <w:basedOn w:val="Corpodetexto"/>
    <w:uiPriority w:val="99"/>
    <w:rsid w:val="00270D9D"/>
    <w:rPr>
      <w:rFonts w:cs="Mangal"/>
    </w:rPr>
  </w:style>
  <w:style w:type="paragraph" w:styleId="Legenda">
    <w:name w:val="caption"/>
    <w:basedOn w:val="Normal"/>
    <w:uiPriority w:val="99"/>
    <w:qFormat/>
    <w:rsid w:val="00270D9D"/>
    <w:pPr>
      <w:suppressLineNumbers/>
      <w:spacing w:before="120" w:after="120"/>
    </w:pPr>
    <w:rPr>
      <w:rFonts w:cs="Mangal"/>
      <w:i/>
      <w:iCs/>
      <w:sz w:val="24"/>
      <w:szCs w:val="24"/>
    </w:rPr>
  </w:style>
  <w:style w:type="paragraph" w:customStyle="1" w:styleId="ndice">
    <w:name w:val="Índice"/>
    <w:basedOn w:val="Normal"/>
    <w:uiPriority w:val="99"/>
    <w:rsid w:val="00270D9D"/>
    <w:pPr>
      <w:suppressLineNumbers/>
    </w:pPr>
    <w:rPr>
      <w:rFonts w:cs="Mangal"/>
    </w:rPr>
  </w:style>
  <w:style w:type="paragraph" w:styleId="Textodebalo">
    <w:name w:val="Balloon Text"/>
    <w:basedOn w:val="Normal"/>
    <w:link w:val="TextodebaloChar"/>
    <w:uiPriority w:val="99"/>
    <w:semiHidden/>
    <w:pPr>
      <w:spacing w:after="0" w:line="240" w:lineRule="auto"/>
    </w:pPr>
    <w:rPr>
      <w:rFonts w:ascii="Tahoma" w:hAnsi="Tahoma" w:cs="Tahoma"/>
      <w:sz w:val="16"/>
      <w:szCs w:val="16"/>
    </w:rPr>
  </w:style>
  <w:style w:type="character" w:customStyle="1" w:styleId="BalloonTextChar1">
    <w:name w:val="Balloon Text Char1"/>
    <w:basedOn w:val="Fontepargpadro"/>
    <w:uiPriority w:val="99"/>
    <w:semiHidden/>
    <w:rsid w:val="001F61EE"/>
    <w:rPr>
      <w:rFonts w:ascii="Times New Roman" w:hAnsi="Times New Roman"/>
      <w:sz w:val="0"/>
      <w:szCs w:val="0"/>
      <w:lang w:eastAsia="en-US"/>
    </w:rPr>
  </w:style>
  <w:style w:type="paragraph" w:styleId="PargrafodaLista">
    <w:name w:val="List Paragraph"/>
    <w:basedOn w:val="Normal"/>
    <w:uiPriority w:val="99"/>
    <w:qFormat/>
    <w:pPr>
      <w:ind w:left="720"/>
      <w:contextualSpacing/>
    </w:pPr>
  </w:style>
  <w:style w:type="paragraph" w:styleId="Cabealho">
    <w:name w:val="header"/>
    <w:basedOn w:val="Normal"/>
    <w:link w:val="CabealhoChar"/>
    <w:uiPriority w:val="99"/>
    <w:rsid w:val="00131952"/>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131952"/>
    <w:rPr>
      <w:rFonts w:cs="Times New Roman"/>
    </w:rPr>
  </w:style>
  <w:style w:type="paragraph" w:styleId="Rodap">
    <w:name w:val="footer"/>
    <w:basedOn w:val="Normal"/>
    <w:link w:val="RodapChar"/>
    <w:uiPriority w:val="99"/>
    <w:rsid w:val="00131952"/>
    <w:pPr>
      <w:tabs>
        <w:tab w:val="center" w:pos="4252"/>
        <w:tab w:val="right" w:pos="8504"/>
      </w:tabs>
      <w:spacing w:after="0" w:line="240" w:lineRule="auto"/>
    </w:pPr>
  </w:style>
  <w:style w:type="character" w:customStyle="1" w:styleId="RodapChar">
    <w:name w:val="Rodapé Char"/>
    <w:basedOn w:val="Fontepargpadro"/>
    <w:link w:val="Rodap"/>
    <w:uiPriority w:val="99"/>
    <w:locked/>
    <w:rsid w:val="00131952"/>
    <w:rPr>
      <w:rFonts w:cs="Times New Roman"/>
    </w:rPr>
  </w:style>
  <w:style w:type="table" w:styleId="Tabelacomgrade">
    <w:name w:val="Table Grid"/>
    <w:basedOn w:val="Tabelanormal"/>
    <w:uiPriority w:val="99"/>
    <w:rsid w:val="00F26AD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ontepargpadro"/>
    <w:uiPriority w:val="99"/>
    <w:rsid w:val="0035391D"/>
    <w:rPr>
      <w:rFonts w:cs="Times New Roman"/>
    </w:rPr>
  </w:style>
  <w:style w:type="character" w:styleId="Forte">
    <w:name w:val="Strong"/>
    <w:basedOn w:val="Fontepargpadro"/>
    <w:uiPriority w:val="22"/>
    <w:qFormat/>
    <w:rsid w:val="0035391D"/>
    <w:rPr>
      <w:rFonts w:cs="Times New Roman"/>
      <w:b/>
      <w:bCs/>
    </w:rPr>
  </w:style>
  <w:style w:type="paragraph" w:customStyle="1" w:styleId="Default">
    <w:name w:val="Default"/>
    <w:uiPriority w:val="99"/>
    <w:rsid w:val="0035391D"/>
    <w:pPr>
      <w:autoSpaceDE w:val="0"/>
      <w:autoSpaceDN w:val="0"/>
      <w:adjustRightInd w:val="0"/>
    </w:pPr>
    <w:rPr>
      <w:rFonts w:ascii="Arial" w:hAnsi="Arial" w:cs="Arial"/>
      <w:color w:val="000000"/>
      <w:sz w:val="24"/>
      <w:szCs w:val="24"/>
      <w:lang w:eastAsia="en-US"/>
    </w:rPr>
  </w:style>
  <w:style w:type="character" w:customStyle="1" w:styleId="fontstyle01">
    <w:name w:val="fontstyle01"/>
    <w:basedOn w:val="Fontepargpadro"/>
    <w:uiPriority w:val="99"/>
    <w:rsid w:val="007A1008"/>
    <w:rPr>
      <w:rFonts w:ascii="LMRoman10-Regular" w:hAnsi="LMRoman10-Regular" w:cs="Times New Roman"/>
      <w:color w:val="000000"/>
      <w:sz w:val="22"/>
      <w:szCs w:val="22"/>
    </w:rPr>
  </w:style>
  <w:style w:type="paragraph" w:styleId="NormalWeb">
    <w:name w:val="Normal (Web)"/>
    <w:basedOn w:val="Normal"/>
    <w:uiPriority w:val="99"/>
    <w:semiHidden/>
    <w:rsid w:val="001A7F1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3F731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F7318"/>
    <w:rPr>
      <w:sz w:val="20"/>
      <w:szCs w:val="20"/>
      <w:lang w:eastAsia="en-US"/>
    </w:rPr>
  </w:style>
  <w:style w:type="character" w:styleId="Refdenotaderodap">
    <w:name w:val="footnote reference"/>
    <w:basedOn w:val="Fontepargpadro"/>
    <w:uiPriority w:val="99"/>
    <w:semiHidden/>
    <w:unhideWhenUsed/>
    <w:rsid w:val="003F7318"/>
    <w:rPr>
      <w:vertAlign w:val="superscript"/>
    </w:rPr>
  </w:style>
  <w:style w:type="character" w:styleId="Hyperlink">
    <w:name w:val="Hyperlink"/>
    <w:basedOn w:val="Fontepargpadro"/>
    <w:uiPriority w:val="99"/>
    <w:semiHidden/>
    <w:unhideWhenUsed/>
    <w:rsid w:val="001905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2839">
      <w:bodyDiv w:val="1"/>
      <w:marLeft w:val="0"/>
      <w:marRight w:val="0"/>
      <w:marTop w:val="0"/>
      <w:marBottom w:val="0"/>
      <w:divBdr>
        <w:top w:val="none" w:sz="0" w:space="0" w:color="auto"/>
        <w:left w:val="none" w:sz="0" w:space="0" w:color="auto"/>
        <w:bottom w:val="none" w:sz="0" w:space="0" w:color="auto"/>
        <w:right w:val="none" w:sz="0" w:space="0" w:color="auto"/>
      </w:divBdr>
    </w:div>
    <w:div w:id="683938317">
      <w:marLeft w:val="0"/>
      <w:marRight w:val="0"/>
      <w:marTop w:val="0"/>
      <w:marBottom w:val="0"/>
      <w:divBdr>
        <w:top w:val="none" w:sz="0" w:space="0" w:color="auto"/>
        <w:left w:val="none" w:sz="0" w:space="0" w:color="auto"/>
        <w:bottom w:val="none" w:sz="0" w:space="0" w:color="auto"/>
        <w:right w:val="none" w:sz="0" w:space="0" w:color="auto"/>
      </w:divBdr>
    </w:div>
    <w:div w:id="683938318">
      <w:marLeft w:val="0"/>
      <w:marRight w:val="0"/>
      <w:marTop w:val="0"/>
      <w:marBottom w:val="0"/>
      <w:divBdr>
        <w:top w:val="none" w:sz="0" w:space="0" w:color="auto"/>
        <w:left w:val="none" w:sz="0" w:space="0" w:color="auto"/>
        <w:bottom w:val="none" w:sz="0" w:space="0" w:color="auto"/>
        <w:right w:val="none" w:sz="0" w:space="0" w:color="auto"/>
      </w:divBdr>
    </w:div>
    <w:div w:id="683938319">
      <w:marLeft w:val="0"/>
      <w:marRight w:val="0"/>
      <w:marTop w:val="0"/>
      <w:marBottom w:val="0"/>
      <w:divBdr>
        <w:top w:val="none" w:sz="0" w:space="0" w:color="auto"/>
        <w:left w:val="none" w:sz="0" w:space="0" w:color="auto"/>
        <w:bottom w:val="none" w:sz="0" w:space="0" w:color="auto"/>
        <w:right w:val="none" w:sz="0" w:space="0" w:color="auto"/>
      </w:divBdr>
    </w:div>
    <w:div w:id="1019359479">
      <w:bodyDiv w:val="1"/>
      <w:marLeft w:val="0"/>
      <w:marRight w:val="0"/>
      <w:marTop w:val="0"/>
      <w:marBottom w:val="0"/>
      <w:divBdr>
        <w:top w:val="none" w:sz="0" w:space="0" w:color="auto"/>
        <w:left w:val="none" w:sz="0" w:space="0" w:color="auto"/>
        <w:bottom w:val="none" w:sz="0" w:space="0" w:color="auto"/>
        <w:right w:val="none" w:sz="0" w:space="0" w:color="auto"/>
      </w:divBdr>
    </w:div>
    <w:div w:id="130354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Karlo\Downloads\FEDFUND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1"/>
  <c:style val="2"/>
  <c:chart>
    <c:title>
      <c:tx>
        <c:rich>
          <a:bodyPr rot="0" spcFirstLastPara="1" vertOverflow="ellipsis" vert="horz" wrap="square" anchor="t" anchorCtr="1"/>
          <a:lstStyle/>
          <a:p>
            <a:pPr algn="r">
              <a:defRPr sz="1400" b="0" i="0" u="none" strike="noStrike" kern="1200" spc="0" baseline="0">
                <a:solidFill>
                  <a:schemeClr val="tx1">
                    <a:lumMod val="65000"/>
                    <a:lumOff val="35000"/>
                  </a:schemeClr>
                </a:solidFill>
                <a:latin typeface="+mn-lt"/>
                <a:ea typeface="+mn-ea"/>
                <a:cs typeface="+mn-cs"/>
              </a:defRPr>
            </a:pPr>
            <a:r>
              <a:rPr lang="en-US" sz="1200" baseline="0">
                <a:solidFill>
                  <a:schemeClr val="tx1"/>
                </a:solidFill>
              </a:rPr>
              <a:t>FFR (% a.m) x Taxa Nominal de Câmbio (R$/US$)</a:t>
            </a:r>
          </a:p>
        </c:rich>
      </c:tx>
      <c:layout>
        <c:manualLayout>
          <c:xMode val="edge"/>
          <c:yMode val="edge"/>
          <c:x val="0.26035230495516926"/>
          <c:y val="4.2024832855778418E-2"/>
        </c:manualLayout>
      </c:layout>
      <c:overlay val="1"/>
      <c:spPr>
        <a:noFill/>
        <a:ln>
          <a:noFill/>
        </a:ln>
        <a:effectLst/>
      </c:spPr>
    </c:title>
    <c:autoTitleDeleted val="0"/>
    <c:plotArea>
      <c:layout/>
      <c:lineChart>
        <c:grouping val="standard"/>
        <c:varyColors val="1"/>
        <c:ser>
          <c:idx val="0"/>
          <c:order val="0"/>
          <c:tx>
            <c:v>Effective Federal Funds Rate(% a.m) </c:v>
          </c:tx>
          <c:spPr>
            <a:ln w="28575" cap="rnd">
              <a:solidFill>
                <a:schemeClr val="tx1">
                  <a:lumMod val="50000"/>
                  <a:lumOff val="50000"/>
                </a:schemeClr>
              </a:solidFill>
              <a:round/>
            </a:ln>
            <a:effectLst/>
          </c:spPr>
          <c:marker>
            <c:symbol val="none"/>
          </c:marker>
          <c:dLbls>
            <c:spPr>
              <a:noFill/>
              <a:ln>
                <a:noFill/>
              </a:ln>
              <a:effectLst/>
            </c:spPr>
            <c:showLegendKey val="1"/>
            <c:showVal val="1"/>
            <c:showCatName val="1"/>
            <c:showSerName val="1"/>
            <c:showPercent val="1"/>
            <c:showBubbleSize val="1"/>
            <c:showLeaderLines val="0"/>
            <c:extLst>
              <c:ext xmlns:c15="http://schemas.microsoft.com/office/drawing/2012/chart" uri="{CE6537A1-D6FC-4f65-9D91-7224C49458BB}">
                <c15:showLeaderLines val="0"/>
              </c:ext>
            </c:extLst>
          </c:dLbls>
          <c:cat>
            <c:numRef>
              <c:f>'FRED Graph'!$A$12:$A$116</c:f>
              <c:numCache>
                <c:formatCode>yyyy\-mm\-dd</c:formatCode>
                <c:ptCount val="105"/>
                <c:pt idx="0">
                  <c:v>39264</c:v>
                </c:pt>
                <c:pt idx="1">
                  <c:v>39295</c:v>
                </c:pt>
                <c:pt idx="2">
                  <c:v>39326</c:v>
                </c:pt>
                <c:pt idx="3">
                  <c:v>39356</c:v>
                </c:pt>
                <c:pt idx="4">
                  <c:v>39387</c:v>
                </c:pt>
                <c:pt idx="5">
                  <c:v>39417</c:v>
                </c:pt>
                <c:pt idx="6">
                  <c:v>39448</c:v>
                </c:pt>
                <c:pt idx="7">
                  <c:v>39479</c:v>
                </c:pt>
                <c:pt idx="8">
                  <c:v>39508</c:v>
                </c:pt>
                <c:pt idx="9">
                  <c:v>39539</c:v>
                </c:pt>
                <c:pt idx="10">
                  <c:v>39569</c:v>
                </c:pt>
                <c:pt idx="11">
                  <c:v>39600</c:v>
                </c:pt>
                <c:pt idx="12">
                  <c:v>39630</c:v>
                </c:pt>
                <c:pt idx="13">
                  <c:v>39661</c:v>
                </c:pt>
                <c:pt idx="14">
                  <c:v>39692</c:v>
                </c:pt>
                <c:pt idx="15">
                  <c:v>39722</c:v>
                </c:pt>
                <c:pt idx="16">
                  <c:v>39753</c:v>
                </c:pt>
                <c:pt idx="17">
                  <c:v>39783</c:v>
                </c:pt>
                <c:pt idx="18">
                  <c:v>39814</c:v>
                </c:pt>
                <c:pt idx="19">
                  <c:v>39845</c:v>
                </c:pt>
                <c:pt idx="20">
                  <c:v>39873</c:v>
                </c:pt>
                <c:pt idx="21">
                  <c:v>39904</c:v>
                </c:pt>
                <c:pt idx="22">
                  <c:v>39934</c:v>
                </c:pt>
                <c:pt idx="23">
                  <c:v>39965</c:v>
                </c:pt>
                <c:pt idx="24">
                  <c:v>39995</c:v>
                </c:pt>
                <c:pt idx="25">
                  <c:v>40026</c:v>
                </c:pt>
                <c:pt idx="26">
                  <c:v>40057</c:v>
                </c:pt>
                <c:pt idx="27">
                  <c:v>40087</c:v>
                </c:pt>
                <c:pt idx="28">
                  <c:v>40118</c:v>
                </c:pt>
                <c:pt idx="29">
                  <c:v>40148</c:v>
                </c:pt>
                <c:pt idx="30">
                  <c:v>40179</c:v>
                </c:pt>
                <c:pt idx="31">
                  <c:v>40210</c:v>
                </c:pt>
                <c:pt idx="32">
                  <c:v>40238</c:v>
                </c:pt>
                <c:pt idx="33">
                  <c:v>40269</c:v>
                </c:pt>
                <c:pt idx="34">
                  <c:v>40299</c:v>
                </c:pt>
                <c:pt idx="35">
                  <c:v>40330</c:v>
                </c:pt>
                <c:pt idx="36">
                  <c:v>40360</c:v>
                </c:pt>
                <c:pt idx="37">
                  <c:v>40391</c:v>
                </c:pt>
                <c:pt idx="38">
                  <c:v>40422</c:v>
                </c:pt>
                <c:pt idx="39">
                  <c:v>40452</c:v>
                </c:pt>
                <c:pt idx="40">
                  <c:v>40483</c:v>
                </c:pt>
                <c:pt idx="41">
                  <c:v>40513</c:v>
                </c:pt>
                <c:pt idx="42">
                  <c:v>40544</c:v>
                </c:pt>
                <c:pt idx="43">
                  <c:v>40575</c:v>
                </c:pt>
                <c:pt idx="44">
                  <c:v>40603</c:v>
                </c:pt>
                <c:pt idx="45">
                  <c:v>40634</c:v>
                </c:pt>
                <c:pt idx="46">
                  <c:v>40664</c:v>
                </c:pt>
                <c:pt idx="47">
                  <c:v>40695</c:v>
                </c:pt>
                <c:pt idx="48">
                  <c:v>40725</c:v>
                </c:pt>
                <c:pt idx="49">
                  <c:v>40756</c:v>
                </c:pt>
                <c:pt idx="50">
                  <c:v>40787</c:v>
                </c:pt>
                <c:pt idx="51">
                  <c:v>40817</c:v>
                </c:pt>
                <c:pt idx="52">
                  <c:v>40848</c:v>
                </c:pt>
                <c:pt idx="53">
                  <c:v>40878</c:v>
                </c:pt>
                <c:pt idx="54">
                  <c:v>40909</c:v>
                </c:pt>
                <c:pt idx="55">
                  <c:v>40940</c:v>
                </c:pt>
                <c:pt idx="56">
                  <c:v>40969</c:v>
                </c:pt>
                <c:pt idx="57">
                  <c:v>41000</c:v>
                </c:pt>
                <c:pt idx="58">
                  <c:v>41030</c:v>
                </c:pt>
                <c:pt idx="59">
                  <c:v>41061</c:v>
                </c:pt>
                <c:pt idx="60">
                  <c:v>41091</c:v>
                </c:pt>
                <c:pt idx="61">
                  <c:v>41122</c:v>
                </c:pt>
                <c:pt idx="62">
                  <c:v>41153</c:v>
                </c:pt>
                <c:pt idx="63">
                  <c:v>41183</c:v>
                </c:pt>
                <c:pt idx="64">
                  <c:v>41214</c:v>
                </c:pt>
                <c:pt idx="65">
                  <c:v>41244</c:v>
                </c:pt>
                <c:pt idx="66">
                  <c:v>41275</c:v>
                </c:pt>
                <c:pt idx="67">
                  <c:v>41306</c:v>
                </c:pt>
                <c:pt idx="68">
                  <c:v>41334</c:v>
                </c:pt>
                <c:pt idx="69">
                  <c:v>41365</c:v>
                </c:pt>
                <c:pt idx="70">
                  <c:v>41395</c:v>
                </c:pt>
                <c:pt idx="71">
                  <c:v>41426</c:v>
                </c:pt>
                <c:pt idx="72">
                  <c:v>41456</c:v>
                </c:pt>
                <c:pt idx="73">
                  <c:v>41487</c:v>
                </c:pt>
                <c:pt idx="74">
                  <c:v>41518</c:v>
                </c:pt>
                <c:pt idx="75">
                  <c:v>41548</c:v>
                </c:pt>
                <c:pt idx="76">
                  <c:v>41579</c:v>
                </c:pt>
                <c:pt idx="77">
                  <c:v>41609</c:v>
                </c:pt>
                <c:pt idx="78">
                  <c:v>41640</c:v>
                </c:pt>
                <c:pt idx="79">
                  <c:v>41671</c:v>
                </c:pt>
                <c:pt idx="80">
                  <c:v>41699</c:v>
                </c:pt>
                <c:pt idx="81">
                  <c:v>41730</c:v>
                </c:pt>
                <c:pt idx="82">
                  <c:v>41760</c:v>
                </c:pt>
                <c:pt idx="83">
                  <c:v>41791</c:v>
                </c:pt>
                <c:pt idx="84">
                  <c:v>41821</c:v>
                </c:pt>
                <c:pt idx="85">
                  <c:v>41852</c:v>
                </c:pt>
                <c:pt idx="86">
                  <c:v>41883</c:v>
                </c:pt>
                <c:pt idx="87">
                  <c:v>41913</c:v>
                </c:pt>
                <c:pt idx="88">
                  <c:v>41944</c:v>
                </c:pt>
                <c:pt idx="89">
                  <c:v>41974</c:v>
                </c:pt>
                <c:pt idx="90">
                  <c:v>42005</c:v>
                </c:pt>
                <c:pt idx="91">
                  <c:v>42036</c:v>
                </c:pt>
                <c:pt idx="92">
                  <c:v>42064</c:v>
                </c:pt>
                <c:pt idx="93">
                  <c:v>42095</c:v>
                </c:pt>
                <c:pt idx="94">
                  <c:v>42125</c:v>
                </c:pt>
                <c:pt idx="95">
                  <c:v>42156</c:v>
                </c:pt>
                <c:pt idx="96">
                  <c:v>42186</c:v>
                </c:pt>
                <c:pt idx="97">
                  <c:v>42217</c:v>
                </c:pt>
                <c:pt idx="98">
                  <c:v>42248</c:v>
                </c:pt>
                <c:pt idx="99">
                  <c:v>42278</c:v>
                </c:pt>
                <c:pt idx="100">
                  <c:v>42309</c:v>
                </c:pt>
                <c:pt idx="101">
                  <c:v>42339</c:v>
                </c:pt>
                <c:pt idx="102">
                  <c:v>42370</c:v>
                </c:pt>
                <c:pt idx="103">
                  <c:v>42401</c:v>
                </c:pt>
                <c:pt idx="104">
                  <c:v>42430</c:v>
                </c:pt>
              </c:numCache>
            </c:numRef>
          </c:cat>
          <c:val>
            <c:numRef>
              <c:f>'FRED Graph'!$B$12:$B$116</c:f>
              <c:numCache>
                <c:formatCode>0.00</c:formatCode>
                <c:ptCount val="105"/>
                <c:pt idx="0">
                  <c:v>5.26</c:v>
                </c:pt>
                <c:pt idx="1">
                  <c:v>5.0199999999999996</c:v>
                </c:pt>
                <c:pt idx="2">
                  <c:v>4.9400000000000004</c:v>
                </c:pt>
                <c:pt idx="3">
                  <c:v>4.76</c:v>
                </c:pt>
                <c:pt idx="4">
                  <c:v>4.49</c:v>
                </c:pt>
                <c:pt idx="5">
                  <c:v>4.24</c:v>
                </c:pt>
                <c:pt idx="6">
                  <c:v>3.94</c:v>
                </c:pt>
                <c:pt idx="7">
                  <c:v>2.98</c:v>
                </c:pt>
                <c:pt idx="8">
                  <c:v>2.61</c:v>
                </c:pt>
                <c:pt idx="9">
                  <c:v>2.2799999999999998</c:v>
                </c:pt>
                <c:pt idx="10">
                  <c:v>1.98</c:v>
                </c:pt>
                <c:pt idx="11">
                  <c:v>2</c:v>
                </c:pt>
                <c:pt idx="12">
                  <c:v>2.0099999999999998</c:v>
                </c:pt>
                <c:pt idx="13">
                  <c:v>2</c:v>
                </c:pt>
                <c:pt idx="14">
                  <c:v>1.81</c:v>
                </c:pt>
                <c:pt idx="15">
                  <c:v>0.97</c:v>
                </c:pt>
                <c:pt idx="16">
                  <c:v>0.39000000000000007</c:v>
                </c:pt>
                <c:pt idx="17">
                  <c:v>0.16000000000000003</c:v>
                </c:pt>
                <c:pt idx="18">
                  <c:v>0.15000000000000002</c:v>
                </c:pt>
                <c:pt idx="19">
                  <c:v>0.22000000000000003</c:v>
                </c:pt>
                <c:pt idx="20">
                  <c:v>0.18000000000000002</c:v>
                </c:pt>
                <c:pt idx="21">
                  <c:v>0.15000000000000002</c:v>
                </c:pt>
                <c:pt idx="22">
                  <c:v>0.18000000000000002</c:v>
                </c:pt>
                <c:pt idx="23">
                  <c:v>0.21000000000000002</c:v>
                </c:pt>
                <c:pt idx="24">
                  <c:v>0.16000000000000003</c:v>
                </c:pt>
                <c:pt idx="25">
                  <c:v>0.16000000000000003</c:v>
                </c:pt>
                <c:pt idx="26">
                  <c:v>0.15000000000000002</c:v>
                </c:pt>
                <c:pt idx="27">
                  <c:v>0.12000000000000001</c:v>
                </c:pt>
                <c:pt idx="28">
                  <c:v>0.12000000000000001</c:v>
                </c:pt>
                <c:pt idx="29">
                  <c:v>0.12000000000000001</c:v>
                </c:pt>
                <c:pt idx="30">
                  <c:v>0.11000000000000001</c:v>
                </c:pt>
                <c:pt idx="31">
                  <c:v>0.13</c:v>
                </c:pt>
                <c:pt idx="32">
                  <c:v>0.16000000000000003</c:v>
                </c:pt>
                <c:pt idx="33">
                  <c:v>0.2</c:v>
                </c:pt>
                <c:pt idx="34">
                  <c:v>0.2</c:v>
                </c:pt>
                <c:pt idx="35">
                  <c:v>0.18000000000000002</c:v>
                </c:pt>
                <c:pt idx="36">
                  <c:v>0.18000000000000002</c:v>
                </c:pt>
                <c:pt idx="37">
                  <c:v>0.19000000000000003</c:v>
                </c:pt>
                <c:pt idx="38">
                  <c:v>0.19000000000000003</c:v>
                </c:pt>
                <c:pt idx="39">
                  <c:v>0.19000000000000003</c:v>
                </c:pt>
                <c:pt idx="40">
                  <c:v>0.19000000000000003</c:v>
                </c:pt>
                <c:pt idx="41">
                  <c:v>0.18000000000000002</c:v>
                </c:pt>
                <c:pt idx="42">
                  <c:v>0.17</c:v>
                </c:pt>
                <c:pt idx="43">
                  <c:v>0.16000000000000003</c:v>
                </c:pt>
                <c:pt idx="44">
                  <c:v>0.14000000000000001</c:v>
                </c:pt>
                <c:pt idx="45">
                  <c:v>0.1</c:v>
                </c:pt>
                <c:pt idx="46">
                  <c:v>9.0000000000000024E-2</c:v>
                </c:pt>
                <c:pt idx="47">
                  <c:v>9.0000000000000024E-2</c:v>
                </c:pt>
                <c:pt idx="48">
                  <c:v>7.0000000000000021E-2</c:v>
                </c:pt>
                <c:pt idx="49">
                  <c:v>0.1</c:v>
                </c:pt>
                <c:pt idx="50">
                  <c:v>8.0000000000000016E-2</c:v>
                </c:pt>
                <c:pt idx="51">
                  <c:v>7.0000000000000021E-2</c:v>
                </c:pt>
                <c:pt idx="52">
                  <c:v>8.0000000000000016E-2</c:v>
                </c:pt>
                <c:pt idx="53">
                  <c:v>7.0000000000000021E-2</c:v>
                </c:pt>
                <c:pt idx="54">
                  <c:v>8.0000000000000016E-2</c:v>
                </c:pt>
                <c:pt idx="55">
                  <c:v>0.1</c:v>
                </c:pt>
                <c:pt idx="56">
                  <c:v>0.13</c:v>
                </c:pt>
                <c:pt idx="57">
                  <c:v>0.14000000000000001</c:v>
                </c:pt>
                <c:pt idx="58">
                  <c:v>0.16000000000000003</c:v>
                </c:pt>
                <c:pt idx="59">
                  <c:v>0.16000000000000003</c:v>
                </c:pt>
                <c:pt idx="60">
                  <c:v>0.16000000000000003</c:v>
                </c:pt>
                <c:pt idx="61">
                  <c:v>0.13</c:v>
                </c:pt>
                <c:pt idx="62">
                  <c:v>0.14000000000000001</c:v>
                </c:pt>
                <c:pt idx="63">
                  <c:v>0.16000000000000003</c:v>
                </c:pt>
                <c:pt idx="64">
                  <c:v>0.16000000000000003</c:v>
                </c:pt>
                <c:pt idx="65">
                  <c:v>0.16000000000000003</c:v>
                </c:pt>
                <c:pt idx="66">
                  <c:v>0.14000000000000001</c:v>
                </c:pt>
                <c:pt idx="67">
                  <c:v>0.15000000000000002</c:v>
                </c:pt>
                <c:pt idx="68">
                  <c:v>0.14000000000000001</c:v>
                </c:pt>
                <c:pt idx="69">
                  <c:v>0.15000000000000002</c:v>
                </c:pt>
                <c:pt idx="70">
                  <c:v>0.11000000000000001</c:v>
                </c:pt>
                <c:pt idx="71">
                  <c:v>9.0000000000000024E-2</c:v>
                </c:pt>
                <c:pt idx="72">
                  <c:v>9.0000000000000024E-2</c:v>
                </c:pt>
                <c:pt idx="73">
                  <c:v>8.0000000000000016E-2</c:v>
                </c:pt>
                <c:pt idx="74">
                  <c:v>8.0000000000000016E-2</c:v>
                </c:pt>
                <c:pt idx="75">
                  <c:v>9.0000000000000024E-2</c:v>
                </c:pt>
                <c:pt idx="76">
                  <c:v>8.0000000000000016E-2</c:v>
                </c:pt>
                <c:pt idx="77">
                  <c:v>9.0000000000000024E-2</c:v>
                </c:pt>
                <c:pt idx="78">
                  <c:v>7.0000000000000021E-2</c:v>
                </c:pt>
                <c:pt idx="79">
                  <c:v>7.0000000000000021E-2</c:v>
                </c:pt>
                <c:pt idx="80">
                  <c:v>8.0000000000000016E-2</c:v>
                </c:pt>
                <c:pt idx="81">
                  <c:v>9.0000000000000024E-2</c:v>
                </c:pt>
                <c:pt idx="82">
                  <c:v>9.0000000000000024E-2</c:v>
                </c:pt>
                <c:pt idx="83">
                  <c:v>0.1</c:v>
                </c:pt>
                <c:pt idx="84">
                  <c:v>9.0000000000000024E-2</c:v>
                </c:pt>
                <c:pt idx="85">
                  <c:v>9.0000000000000024E-2</c:v>
                </c:pt>
                <c:pt idx="86">
                  <c:v>9.0000000000000024E-2</c:v>
                </c:pt>
                <c:pt idx="87">
                  <c:v>9.0000000000000024E-2</c:v>
                </c:pt>
                <c:pt idx="88">
                  <c:v>9.0000000000000024E-2</c:v>
                </c:pt>
                <c:pt idx="89">
                  <c:v>0.12000000000000001</c:v>
                </c:pt>
                <c:pt idx="90">
                  <c:v>0.11000000000000001</c:v>
                </c:pt>
                <c:pt idx="91">
                  <c:v>0.11000000000000001</c:v>
                </c:pt>
                <c:pt idx="92">
                  <c:v>0.11000000000000001</c:v>
                </c:pt>
                <c:pt idx="93">
                  <c:v>0.12000000000000001</c:v>
                </c:pt>
                <c:pt idx="94">
                  <c:v>0.12000000000000001</c:v>
                </c:pt>
                <c:pt idx="95">
                  <c:v>0.13</c:v>
                </c:pt>
                <c:pt idx="96">
                  <c:v>0.13</c:v>
                </c:pt>
                <c:pt idx="97">
                  <c:v>0.14000000000000001</c:v>
                </c:pt>
                <c:pt idx="98">
                  <c:v>0.14000000000000001</c:v>
                </c:pt>
                <c:pt idx="99">
                  <c:v>0.12000000000000001</c:v>
                </c:pt>
                <c:pt idx="100">
                  <c:v>0.12000000000000001</c:v>
                </c:pt>
                <c:pt idx="101">
                  <c:v>0.24000000000000002</c:v>
                </c:pt>
                <c:pt idx="102">
                  <c:v>0.34000000000000008</c:v>
                </c:pt>
                <c:pt idx="103">
                  <c:v>0.38000000000000006</c:v>
                </c:pt>
                <c:pt idx="104">
                  <c:v>0.36000000000000004</c:v>
                </c:pt>
              </c:numCache>
            </c:numRef>
          </c:val>
          <c:smooth val="1"/>
          <c:extLst>
            <c:ext xmlns:c16="http://schemas.microsoft.com/office/drawing/2014/chart" uri="{C3380CC4-5D6E-409C-BE32-E72D297353CC}">
              <c16:uniqueId val="{00000000-BC1E-45F0-B238-3F7CBB0AB5FA}"/>
            </c:ext>
          </c:extLst>
        </c:ser>
        <c:ser>
          <c:idx val="1"/>
          <c:order val="1"/>
          <c:tx>
            <c:v>Taxa Nomina de Câmbio (R$/US$)</c:v>
          </c:tx>
          <c:spPr>
            <a:ln>
              <a:solidFill>
                <a:schemeClr val="tx1"/>
              </a:solidFill>
              <a:prstDash val="sysDash"/>
            </a:ln>
          </c:spPr>
          <c:marker>
            <c:symbol val="none"/>
          </c:marker>
          <c:dLbls>
            <c:spPr>
              <a:noFill/>
              <a:ln>
                <a:noFill/>
              </a:ln>
              <a:effectLst/>
            </c:spPr>
            <c:showLegendKey val="1"/>
            <c:showVal val="1"/>
            <c:showCatName val="1"/>
            <c:showSerName val="1"/>
            <c:showPercent val="1"/>
            <c:showBubbleSize val="1"/>
            <c:showLeaderLines val="0"/>
            <c:extLst>
              <c:ext xmlns:c15="http://schemas.microsoft.com/office/drawing/2012/chart" uri="{CE6537A1-D6FC-4f65-9D91-7224C49458BB}">
                <c15:showLeaderLines val="0"/>
              </c:ext>
            </c:extLst>
          </c:dLbls>
          <c:val>
            <c:numRef>
              <c:f>'FRED Graph'!$C$12:$C$116</c:f>
              <c:numCache>
                <c:formatCode>#,##0.0000</c:formatCode>
                <c:ptCount val="105"/>
                <c:pt idx="0">
                  <c:v>1.8828</c:v>
                </c:pt>
                <c:pt idx="1">
                  <c:v>1.966</c:v>
                </c:pt>
                <c:pt idx="2">
                  <c:v>1.8996</c:v>
                </c:pt>
                <c:pt idx="3">
                  <c:v>1.8009999999999997</c:v>
                </c:pt>
                <c:pt idx="4">
                  <c:v>1.7699</c:v>
                </c:pt>
                <c:pt idx="5">
                  <c:v>1.7860000000000003</c:v>
                </c:pt>
                <c:pt idx="6">
                  <c:v>1.7743000000000002</c:v>
                </c:pt>
                <c:pt idx="7">
                  <c:v>1.7277</c:v>
                </c:pt>
                <c:pt idx="8">
                  <c:v>1.7076</c:v>
                </c:pt>
                <c:pt idx="9">
                  <c:v>1.6889000000000001</c:v>
                </c:pt>
                <c:pt idx="10">
                  <c:v>1.6605000000000001</c:v>
                </c:pt>
                <c:pt idx="11">
                  <c:v>1.6189</c:v>
                </c:pt>
                <c:pt idx="12">
                  <c:v>1.5913999999999997</c:v>
                </c:pt>
                <c:pt idx="13">
                  <c:v>1.6123000000000001</c:v>
                </c:pt>
                <c:pt idx="14">
                  <c:v>1.7996000000000001</c:v>
                </c:pt>
                <c:pt idx="15">
                  <c:v>2.1728999999999994</c:v>
                </c:pt>
                <c:pt idx="16">
                  <c:v>2.2663000000000002</c:v>
                </c:pt>
                <c:pt idx="17">
                  <c:v>2.3943999999999996</c:v>
                </c:pt>
                <c:pt idx="18">
                  <c:v>2.3073999999999999</c:v>
                </c:pt>
                <c:pt idx="19">
                  <c:v>2.3126999999999995</c:v>
                </c:pt>
                <c:pt idx="20">
                  <c:v>2.3137999999999996</c:v>
                </c:pt>
                <c:pt idx="21">
                  <c:v>2.2059000000000002</c:v>
                </c:pt>
                <c:pt idx="22">
                  <c:v>2.0609000000000002</c:v>
                </c:pt>
                <c:pt idx="23">
                  <c:v>1.9575999999999998</c:v>
                </c:pt>
                <c:pt idx="24">
                  <c:v>1.9327999999999999</c:v>
                </c:pt>
                <c:pt idx="25">
                  <c:v>1.8452</c:v>
                </c:pt>
                <c:pt idx="26">
                  <c:v>1.8197999999999999</c:v>
                </c:pt>
                <c:pt idx="27">
                  <c:v>1.7383999999999999</c:v>
                </c:pt>
                <c:pt idx="28">
                  <c:v>1.7260000000000002</c:v>
                </c:pt>
                <c:pt idx="29">
                  <c:v>1.7506999999999999</c:v>
                </c:pt>
                <c:pt idx="30">
                  <c:v>1.7798</c:v>
                </c:pt>
                <c:pt idx="31">
                  <c:v>1.8402000000000001</c:v>
                </c:pt>
                <c:pt idx="32">
                  <c:v>1.7858000000000001</c:v>
                </c:pt>
                <c:pt idx="33">
                  <c:v>1.7576000000000001</c:v>
                </c:pt>
                <c:pt idx="34">
                  <c:v>1.8131999999999997</c:v>
                </c:pt>
                <c:pt idx="35">
                  <c:v>1.8058999999999998</c:v>
                </c:pt>
                <c:pt idx="36">
                  <c:v>1.7696000000000001</c:v>
                </c:pt>
                <c:pt idx="37">
                  <c:v>1.7596000000000001</c:v>
                </c:pt>
                <c:pt idx="38">
                  <c:v>1.7186999999999999</c:v>
                </c:pt>
                <c:pt idx="39">
                  <c:v>1.6859999999999997</c:v>
                </c:pt>
                <c:pt idx="40">
                  <c:v>1.71333</c:v>
                </c:pt>
                <c:pt idx="41">
                  <c:v>1.693418182</c:v>
                </c:pt>
                <c:pt idx="42">
                  <c:v>1.6748000000000001</c:v>
                </c:pt>
                <c:pt idx="43">
                  <c:v>1.6679999999999997</c:v>
                </c:pt>
                <c:pt idx="44">
                  <c:v>1.6591</c:v>
                </c:pt>
                <c:pt idx="45">
                  <c:v>1.5864473680000002</c:v>
                </c:pt>
                <c:pt idx="46">
                  <c:v>1.613490909</c:v>
                </c:pt>
                <c:pt idx="47">
                  <c:v>1.5870428569999999</c:v>
                </c:pt>
                <c:pt idx="48">
                  <c:v>1.5638999999999998</c:v>
                </c:pt>
                <c:pt idx="49">
                  <c:v>1.597</c:v>
                </c:pt>
                <c:pt idx="50">
                  <c:v>1.7498</c:v>
                </c:pt>
                <c:pt idx="51">
                  <c:v>1.7726000000000002</c:v>
                </c:pt>
                <c:pt idx="52">
                  <c:v>1.7904900000000001</c:v>
                </c:pt>
                <c:pt idx="53">
                  <c:v>1.8369</c:v>
                </c:pt>
                <c:pt idx="54">
                  <c:v>1.789681818</c:v>
                </c:pt>
                <c:pt idx="55">
                  <c:v>1.7183947369999999</c:v>
                </c:pt>
                <c:pt idx="56">
                  <c:v>1.795309091</c:v>
                </c:pt>
                <c:pt idx="57">
                  <c:v>1.8548</c:v>
                </c:pt>
                <c:pt idx="58">
                  <c:v>1.9859909089999999</c:v>
                </c:pt>
                <c:pt idx="59">
                  <c:v>2.0491950000000001</c:v>
                </c:pt>
                <c:pt idx="60">
                  <c:v>2.0287363640000002</c:v>
                </c:pt>
                <c:pt idx="61">
                  <c:v>2.0294434779999997</c:v>
                </c:pt>
                <c:pt idx="62">
                  <c:v>2.028078947</c:v>
                </c:pt>
                <c:pt idx="63">
                  <c:v>2.0298454549999994</c:v>
                </c:pt>
                <c:pt idx="64">
                  <c:v>2.0677500000000002</c:v>
                </c:pt>
                <c:pt idx="65">
                  <c:v>2.0778349999999999</c:v>
                </c:pt>
                <c:pt idx="66">
                  <c:v>2.0310772729999997</c:v>
                </c:pt>
                <c:pt idx="67">
                  <c:v>1.9732499999999997</c:v>
                </c:pt>
                <c:pt idx="68">
                  <c:v>1.9828399999999997</c:v>
                </c:pt>
                <c:pt idx="69">
                  <c:v>2.0022136359999996</c:v>
                </c:pt>
                <c:pt idx="70">
                  <c:v>2.0348428569999997</c:v>
                </c:pt>
                <c:pt idx="71">
                  <c:v>2.1729549999999995</c:v>
                </c:pt>
                <c:pt idx="72">
                  <c:v>2.252169565</c:v>
                </c:pt>
                <c:pt idx="73">
                  <c:v>2.3421909089999997</c:v>
                </c:pt>
                <c:pt idx="74">
                  <c:v>2.2705095239999999</c:v>
                </c:pt>
                <c:pt idx="75">
                  <c:v>2.188647826</c:v>
                </c:pt>
                <c:pt idx="76">
                  <c:v>2.29535</c:v>
                </c:pt>
                <c:pt idx="77">
                  <c:v>2.3454857139999996</c:v>
                </c:pt>
                <c:pt idx="78">
                  <c:v>2.3822090909999996</c:v>
                </c:pt>
                <c:pt idx="79">
                  <c:v>2.38368</c:v>
                </c:pt>
                <c:pt idx="80">
                  <c:v>2.3260894739999993</c:v>
                </c:pt>
                <c:pt idx="81">
                  <c:v>2.2327699999999995</c:v>
                </c:pt>
                <c:pt idx="82">
                  <c:v>2.2208809520000004</c:v>
                </c:pt>
                <c:pt idx="83">
                  <c:v>2.2354699999999994</c:v>
                </c:pt>
                <c:pt idx="84">
                  <c:v>2.224647826</c:v>
                </c:pt>
                <c:pt idx="85">
                  <c:v>2.2656476189999997</c:v>
                </c:pt>
                <c:pt idx="86">
                  <c:v>2.332868181999999</c:v>
                </c:pt>
                <c:pt idx="87">
                  <c:v>2.4482608699999999</c:v>
                </c:pt>
                <c:pt idx="88">
                  <c:v>2.548365</c:v>
                </c:pt>
                <c:pt idx="89">
                  <c:v>2.6393636359999997</c:v>
                </c:pt>
                <c:pt idx="90">
                  <c:v>2.634228571</c:v>
                </c:pt>
                <c:pt idx="91">
                  <c:v>2.8164499999999992</c:v>
                </c:pt>
                <c:pt idx="92">
                  <c:v>3.1394772730000002</c:v>
                </c:pt>
                <c:pt idx="93">
                  <c:v>3.0432199999999998</c:v>
                </c:pt>
                <c:pt idx="94">
                  <c:v>3.061715</c:v>
                </c:pt>
                <c:pt idx="95">
                  <c:v>3.1117380949999998</c:v>
                </c:pt>
                <c:pt idx="96">
                  <c:v>3.2231434780000003</c:v>
                </c:pt>
                <c:pt idx="97">
                  <c:v>3.5143047620000005</c:v>
                </c:pt>
                <c:pt idx="98">
                  <c:v>3.9064571429999999</c:v>
                </c:pt>
                <c:pt idx="99">
                  <c:v>3.880138095</c:v>
                </c:pt>
                <c:pt idx="100">
                  <c:v>3.7764599999999997</c:v>
                </c:pt>
                <c:pt idx="101">
                  <c:v>3.8711363639999998</c:v>
                </c:pt>
                <c:pt idx="102">
                  <c:v>4.0523499999999997</c:v>
                </c:pt>
                <c:pt idx="103">
                  <c:v>3.9737421049999995</c:v>
                </c:pt>
                <c:pt idx="104">
                  <c:v>3.7039181820000002</c:v>
                </c:pt>
              </c:numCache>
            </c:numRef>
          </c:val>
          <c:smooth val="1"/>
          <c:extLst>
            <c:ext xmlns:c16="http://schemas.microsoft.com/office/drawing/2014/chart" uri="{C3380CC4-5D6E-409C-BE32-E72D297353CC}">
              <c16:uniqueId val="{00000001-BC1E-45F0-B238-3F7CBB0AB5FA}"/>
            </c:ext>
          </c:extLst>
        </c:ser>
        <c:dLbls>
          <c:showLegendKey val="0"/>
          <c:showVal val="0"/>
          <c:showCatName val="0"/>
          <c:showSerName val="0"/>
          <c:showPercent val="0"/>
          <c:showBubbleSize val="0"/>
        </c:dLbls>
        <c:smooth val="0"/>
        <c:axId val="16181120"/>
        <c:axId val="16182656"/>
      </c:lineChart>
      <c:dateAx>
        <c:axId val="16181120"/>
        <c:scaling>
          <c:orientation val="minMax"/>
          <c:max val="42430"/>
          <c:min val="39264"/>
        </c:scaling>
        <c:delete val="1"/>
        <c:axPos val="b"/>
        <c:numFmt formatCode="yyyy\-mm" sourceLinked="0"/>
        <c:majorTickMark val="none"/>
        <c:minorTickMark val="cross"/>
        <c:tickLblPos val="nextTo"/>
        <c:crossAx val="16182656"/>
        <c:crosses val="autoZero"/>
        <c:auto val="1"/>
        <c:lblOffset val="100"/>
        <c:baseTimeUnit val="months"/>
      </c:dateAx>
      <c:valAx>
        <c:axId val="16182656"/>
        <c:scaling>
          <c:orientation val="minMax"/>
          <c:max val="5.5"/>
          <c:min val="0"/>
        </c:scaling>
        <c:delete val="1"/>
        <c:axPos val="l"/>
        <c:majorGridlines>
          <c:spPr>
            <a:ln w="9525" cap="flat" cmpd="sng" algn="ctr">
              <a:solidFill>
                <a:schemeClr val="tx1">
                  <a:lumMod val="15000"/>
                  <a:lumOff val="85000"/>
                </a:schemeClr>
              </a:solidFill>
              <a:round/>
            </a:ln>
            <a:effectLst/>
          </c:spPr>
        </c:majorGridlines>
        <c:numFmt formatCode="0.00" sourceLinked="1"/>
        <c:majorTickMark val="in"/>
        <c:minorTickMark val="cross"/>
        <c:tickLblPos val="nextTo"/>
        <c:crossAx val="16181120"/>
        <c:crosses val="autoZero"/>
        <c:crossBetween val="between"/>
        <c:majorUnit val="0.75000000000000022"/>
        <c:minorUnit val="0.5"/>
      </c:valAx>
      <c:spPr>
        <a:noFill/>
        <a:ln w="25400">
          <a:noFill/>
        </a:ln>
      </c:spPr>
    </c:plotArea>
    <c:legend>
      <c:legendPos val="b"/>
      <c:overlay val="1"/>
    </c:legend>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1"/>
  </c:externalData>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6514286" cy="3304762"/>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4019B-7A70-47FA-8441-88FF761C1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6063</Words>
  <Characters>32746</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Marques Junior</dc:creator>
  <cp:keywords/>
  <dc:description/>
  <cp:lastModifiedBy>Karlo Marques Junior</cp:lastModifiedBy>
  <cp:revision>4</cp:revision>
  <cp:lastPrinted>2017-04-04T00:20:00Z</cp:lastPrinted>
  <dcterms:created xsi:type="dcterms:W3CDTF">2018-07-20T15:48:00Z</dcterms:created>
  <dcterms:modified xsi:type="dcterms:W3CDTF">2018-07-20T16:09:00Z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