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57C35" w14:textId="77777777" w:rsidR="00F50EE1" w:rsidRPr="00C00819" w:rsidRDefault="00CF2494" w:rsidP="00580FCE">
      <w:pPr>
        <w:jc w:val="center"/>
        <w:rPr>
          <w:b/>
        </w:rPr>
      </w:pPr>
      <w:bookmarkStart w:id="0" w:name="_Toc432493959"/>
      <w:bookmarkStart w:id="1" w:name="_Toc451294375"/>
      <w:r w:rsidRPr="00C00819">
        <w:rPr>
          <w:b/>
        </w:rPr>
        <w:t xml:space="preserve">RISCO DE CRÉDITO E </w:t>
      </w:r>
      <w:r w:rsidR="005A6870" w:rsidRPr="00C00819">
        <w:rPr>
          <w:b/>
        </w:rPr>
        <w:t>A</w:t>
      </w:r>
      <w:r w:rsidRPr="00C00819">
        <w:rPr>
          <w:b/>
        </w:rPr>
        <w:t xml:space="preserve"> </w:t>
      </w:r>
      <w:r w:rsidR="00A851A1" w:rsidRPr="00C00819">
        <w:rPr>
          <w:b/>
        </w:rPr>
        <w:t>TRANSMISSÃO DA POLÍTICA MONETÁRIA PELO CANAL DO CRÉDITO: O CASO BRASILEIRO</w:t>
      </w:r>
      <w:bookmarkEnd w:id="0"/>
      <w:bookmarkEnd w:id="1"/>
    </w:p>
    <w:p w14:paraId="7A457C36" w14:textId="77777777" w:rsidR="00F9349E" w:rsidRPr="00C00819" w:rsidRDefault="00F9349E" w:rsidP="00580FCE">
      <w:pPr>
        <w:jc w:val="center"/>
        <w:rPr>
          <w:b/>
        </w:rPr>
      </w:pPr>
    </w:p>
    <w:p w14:paraId="7A457C37" w14:textId="77777777" w:rsidR="00F9349E" w:rsidRPr="00C00819" w:rsidRDefault="00F9349E" w:rsidP="00580FCE">
      <w:pPr>
        <w:jc w:val="center"/>
        <w:rPr>
          <w:b/>
        </w:rPr>
      </w:pPr>
    </w:p>
    <w:p w14:paraId="0AC8130A" w14:textId="16AC4934" w:rsidR="005B3A1F" w:rsidRDefault="00B336D9" w:rsidP="00CF2494">
      <w:pPr>
        <w:tabs>
          <w:tab w:val="left" w:pos="6120"/>
          <w:tab w:val="right" w:pos="9214"/>
        </w:tabs>
        <w:jc w:val="right"/>
        <w:sectPr w:rsidR="005B3A1F" w:rsidSect="006C30CC">
          <w:footnotePr>
            <w:numFmt w:val="chicago"/>
            <w:numStart w:val="2"/>
          </w:footnotePr>
          <w:type w:val="continuous"/>
          <w:pgSz w:w="11906" w:h="16838" w:code="9"/>
          <w:pgMar w:top="1134" w:right="851" w:bottom="1134" w:left="851" w:header="709" w:footer="709" w:gutter="0"/>
          <w:pgNumType w:start="1"/>
          <w:cols w:space="708"/>
          <w:titlePg/>
          <w:docGrid w:linePitch="360"/>
        </w:sectPr>
      </w:pPr>
      <w:r w:rsidRPr="00504264">
        <w:t>Fernanda Dantas Almeida</w:t>
      </w:r>
      <w:r w:rsidR="003C3838">
        <w:rPr>
          <w:rStyle w:val="Refdenotaderodap"/>
        </w:rPr>
        <w:footnoteReference w:id="1"/>
      </w:r>
    </w:p>
    <w:p w14:paraId="3AE931C2" w14:textId="4875F264" w:rsidR="005B4940" w:rsidRDefault="004E4469" w:rsidP="00CF2494">
      <w:pPr>
        <w:tabs>
          <w:tab w:val="left" w:pos="6120"/>
          <w:tab w:val="right" w:pos="9214"/>
        </w:tabs>
        <w:jc w:val="right"/>
        <w:sectPr w:rsidR="005B4940" w:rsidSect="006C30CC">
          <w:footnotePr>
            <w:numFmt w:val="chicago"/>
            <w:numStart w:val="2"/>
          </w:footnotePr>
          <w:type w:val="continuous"/>
          <w:pgSz w:w="11906" w:h="16838" w:code="9"/>
          <w:pgMar w:top="1134" w:right="851" w:bottom="1134" w:left="851" w:header="709" w:footer="709" w:gutter="0"/>
          <w:pgNumType w:start="1"/>
          <w:cols w:space="708"/>
          <w:titlePg/>
          <w:docGrid w:linePitch="360"/>
        </w:sectPr>
      </w:pPr>
      <w:r w:rsidRPr="00504264">
        <w:t xml:space="preserve">José </w:t>
      </w:r>
      <w:proofErr w:type="spellStart"/>
      <w:r w:rsidRPr="00504264">
        <w:t>Angelo</w:t>
      </w:r>
      <w:proofErr w:type="spellEnd"/>
      <w:r w:rsidRPr="00504264">
        <w:t xml:space="preserve"> Divino</w:t>
      </w:r>
      <w:r w:rsidR="00330367">
        <w:rPr>
          <w:rStyle w:val="Refdenotaderodap"/>
        </w:rPr>
        <w:footnoteReference w:id="2"/>
      </w:r>
    </w:p>
    <w:p w14:paraId="3029A20E" w14:textId="53D203D0" w:rsidR="00B336D9" w:rsidRPr="00C00819" w:rsidRDefault="00B336D9" w:rsidP="00CF2494">
      <w:pPr>
        <w:tabs>
          <w:tab w:val="left" w:pos="6120"/>
          <w:tab w:val="right" w:pos="9214"/>
        </w:tabs>
        <w:jc w:val="right"/>
      </w:pPr>
    </w:p>
    <w:p w14:paraId="7A457C3B" w14:textId="77777777" w:rsidR="00F9349E" w:rsidRPr="00C00819" w:rsidRDefault="00F9349E" w:rsidP="00580FCE">
      <w:pPr>
        <w:jc w:val="center"/>
        <w:rPr>
          <w:b/>
        </w:rPr>
      </w:pPr>
    </w:p>
    <w:p w14:paraId="7A457C3C" w14:textId="77777777" w:rsidR="00F9349E" w:rsidRPr="00C00819" w:rsidRDefault="00F9349E" w:rsidP="00580FCE">
      <w:pPr>
        <w:jc w:val="center"/>
        <w:rPr>
          <w:b/>
        </w:rPr>
      </w:pPr>
    </w:p>
    <w:p w14:paraId="7A457C3D" w14:textId="77777777" w:rsidR="00F9349E" w:rsidRPr="00C00819" w:rsidRDefault="00F9349E" w:rsidP="00580FCE">
      <w:pPr>
        <w:rPr>
          <w:lang w:eastAsia="en-US"/>
        </w:rPr>
      </w:pPr>
    </w:p>
    <w:p w14:paraId="7A457C3E" w14:textId="77777777" w:rsidR="00F9349E" w:rsidRPr="00C00819" w:rsidRDefault="00F9349E" w:rsidP="00580FCE">
      <w:pPr>
        <w:jc w:val="both"/>
        <w:rPr>
          <w:b/>
        </w:rPr>
      </w:pPr>
      <w:bookmarkStart w:id="2" w:name="_Toc451294376"/>
      <w:bookmarkStart w:id="3" w:name="_Toc432493960"/>
      <w:r w:rsidRPr="00C00819">
        <w:rPr>
          <w:b/>
        </w:rPr>
        <w:t>Resumo</w:t>
      </w:r>
    </w:p>
    <w:p w14:paraId="7A457C3F" w14:textId="310EF985" w:rsidR="008D20E3" w:rsidRPr="00C00819" w:rsidRDefault="006107E4" w:rsidP="00580FCE">
      <w:pPr>
        <w:jc w:val="both"/>
      </w:pPr>
      <w:r w:rsidRPr="0025768B">
        <w:t xml:space="preserve">O crédito bancário possui um papel fundamental para o desenvolvimento econômico de um país e, por isso, é importante compreender sua dinâmica e sua atuação na transmissão da política monetária. Este artigo tem como objetivo investigar os efeitos do risco de crédito sobre a intermediação financeira e como esse risco é repassado aos demais setores da economia. Para tanto, utilizou-se o modelo DSGE com fricções financeiras de </w:t>
      </w:r>
      <w:proofErr w:type="spellStart"/>
      <w:r w:rsidRPr="0025768B">
        <w:t>Gertler</w:t>
      </w:r>
      <w:proofErr w:type="spellEnd"/>
      <w:r w:rsidRPr="0025768B">
        <w:t xml:space="preserve"> e </w:t>
      </w:r>
      <w:proofErr w:type="spellStart"/>
      <w:r w:rsidRPr="0025768B">
        <w:t>Karadi</w:t>
      </w:r>
      <w:proofErr w:type="spellEnd"/>
      <w:r w:rsidRPr="0025768B">
        <w:t xml:space="preserve"> (2011), que foi modificado de modo a incorporar o risco de </w:t>
      </w:r>
      <w:r w:rsidRPr="0025768B">
        <w:rPr>
          <w:i/>
        </w:rPr>
        <w:t>default</w:t>
      </w:r>
      <w:r w:rsidRPr="0025768B">
        <w:t xml:space="preserve"> dado pela probabilidade de não pagamento dos empréstimos concedidos pelo banco. Esse estudo contribui com a literatura ao derivar a probabilidade de </w:t>
      </w:r>
      <w:r w:rsidRPr="0025768B">
        <w:rPr>
          <w:i/>
        </w:rPr>
        <w:t xml:space="preserve">default </w:t>
      </w:r>
      <w:r w:rsidRPr="0025768B">
        <w:t>das firmas endogenamente ao modelo, diferente de grande parte dos artigos que a tratam como uma medida exógena. Ademais, ao trazer duas taxas de juros distintas para diferentes tomadores de crédito, os “bons” e os “maus” pagadores, o modelo permite a análise de como a qualidade dos mutuários impacta na</w:t>
      </w:r>
      <w:r w:rsidRPr="00CC64C3">
        <w:t xml:space="preserve"> taxa de juros global dos empréstimos. </w:t>
      </w:r>
      <w:r w:rsidRPr="00386176">
        <w:t xml:space="preserve">Como resultado, encontra-se uma taxa de </w:t>
      </w:r>
      <w:r w:rsidRPr="00386176">
        <w:rPr>
          <w:i/>
        </w:rPr>
        <w:t>default</w:t>
      </w:r>
      <w:r w:rsidRPr="00386176">
        <w:t xml:space="preserve"> anticíclica, que funciona como uma compensação para o banco pelas p</w:t>
      </w:r>
      <w:r>
        <w:t>erdas com os “maus” pagadores.</w:t>
      </w:r>
    </w:p>
    <w:p w14:paraId="7A457C40" w14:textId="77777777" w:rsidR="008D20E3" w:rsidRPr="00C00819" w:rsidRDefault="008D20E3" w:rsidP="00580FCE">
      <w:pPr>
        <w:jc w:val="both"/>
      </w:pPr>
    </w:p>
    <w:p w14:paraId="7A457C41" w14:textId="550BA73C" w:rsidR="008D20E3" w:rsidRPr="00C00819" w:rsidRDefault="008D20E3" w:rsidP="00580FCE">
      <w:pPr>
        <w:ind w:left="1843" w:hanging="1843"/>
        <w:jc w:val="both"/>
        <w:rPr>
          <w:b/>
        </w:rPr>
      </w:pPr>
      <w:r w:rsidRPr="00C00819">
        <w:rPr>
          <w:b/>
        </w:rPr>
        <w:t>Palavras-chave</w:t>
      </w:r>
      <w:r w:rsidR="00545F28" w:rsidRPr="00C00819">
        <w:t>: DSGE; Risco de c</w:t>
      </w:r>
      <w:r w:rsidR="0025768B" w:rsidRPr="00C00819">
        <w:t>rédito;</w:t>
      </w:r>
      <w:r w:rsidRPr="00C00819">
        <w:t xml:space="preserve"> </w:t>
      </w:r>
      <w:proofErr w:type="gramStart"/>
      <w:r w:rsidR="00545F28" w:rsidRPr="00C00819">
        <w:t>Política</w:t>
      </w:r>
      <w:proofErr w:type="gramEnd"/>
      <w:r w:rsidR="00545F28" w:rsidRPr="00C00819">
        <w:t xml:space="preserve"> monetária.</w:t>
      </w:r>
      <w:r w:rsidRPr="00C00819">
        <w:t xml:space="preserve"> </w:t>
      </w:r>
    </w:p>
    <w:p w14:paraId="7A457C42" w14:textId="77777777" w:rsidR="00A20521" w:rsidRPr="00C00819" w:rsidRDefault="00A20521" w:rsidP="00580FCE">
      <w:pPr>
        <w:rPr>
          <w:b/>
          <w:i/>
        </w:rPr>
      </w:pPr>
    </w:p>
    <w:p w14:paraId="7A457C43" w14:textId="77777777" w:rsidR="001B7849" w:rsidRPr="00C00819" w:rsidRDefault="001B7849" w:rsidP="00580FCE">
      <w:pPr>
        <w:ind w:left="1843" w:hanging="1843"/>
        <w:jc w:val="both"/>
        <w:rPr>
          <w:b/>
        </w:rPr>
      </w:pPr>
    </w:p>
    <w:p w14:paraId="7A457C44" w14:textId="77777777" w:rsidR="001B7849" w:rsidRPr="00C00819" w:rsidRDefault="001B7849" w:rsidP="00580FCE">
      <w:pPr>
        <w:jc w:val="both"/>
        <w:rPr>
          <w:b/>
          <w:lang w:val="en-US"/>
        </w:rPr>
      </w:pPr>
      <w:r w:rsidRPr="00C00819">
        <w:rPr>
          <w:b/>
          <w:lang w:val="en-US"/>
        </w:rPr>
        <w:t>Abstract</w:t>
      </w:r>
    </w:p>
    <w:p w14:paraId="7A457C45" w14:textId="79BA7A43" w:rsidR="008D20E3" w:rsidRPr="00C00819" w:rsidRDefault="000D6AC7" w:rsidP="00580FCE">
      <w:pPr>
        <w:jc w:val="both"/>
        <w:rPr>
          <w:lang w:val="en-US"/>
        </w:rPr>
      </w:pPr>
      <w:r w:rsidRPr="00386176">
        <w:rPr>
          <w:lang w:val="en-US"/>
        </w:rPr>
        <w:t>Bank</w:t>
      </w:r>
      <w:r>
        <w:rPr>
          <w:lang w:val="en-US"/>
        </w:rPr>
        <w:t>ing credit plays a key role for the</w:t>
      </w:r>
      <w:r w:rsidRPr="00386176">
        <w:rPr>
          <w:lang w:val="en-US"/>
        </w:rPr>
        <w:t xml:space="preserve"> economic development and, therefore, it is important to </w:t>
      </w:r>
      <w:r>
        <w:rPr>
          <w:lang w:val="en-US"/>
        </w:rPr>
        <w:t xml:space="preserve">understand its dynamics and </w:t>
      </w:r>
      <w:r w:rsidRPr="00386176">
        <w:rPr>
          <w:lang w:val="en-US"/>
        </w:rPr>
        <w:t>it</w:t>
      </w:r>
      <w:r>
        <w:rPr>
          <w:lang w:val="en-US"/>
        </w:rPr>
        <w:t xml:space="preserve">s actuation for </w:t>
      </w:r>
      <w:r w:rsidRPr="00386176">
        <w:rPr>
          <w:lang w:val="en-US"/>
        </w:rPr>
        <w:t xml:space="preserve">the transmission of </w:t>
      </w:r>
      <w:r>
        <w:rPr>
          <w:lang w:val="en-US"/>
        </w:rPr>
        <w:t xml:space="preserve">the </w:t>
      </w:r>
      <w:r w:rsidRPr="00386176">
        <w:rPr>
          <w:lang w:val="en-US"/>
        </w:rPr>
        <w:t xml:space="preserve">monetary policy. </w:t>
      </w:r>
      <w:r>
        <w:rPr>
          <w:rStyle w:val="shorttext"/>
          <w:rFonts w:eastAsiaTheme="majorEastAsia"/>
          <w:lang w:val="en"/>
        </w:rPr>
        <w:t>This paper</w:t>
      </w:r>
      <w:r w:rsidRPr="00386176">
        <w:rPr>
          <w:lang w:val="en"/>
        </w:rPr>
        <w:t xml:space="preserve"> </w:t>
      </w:r>
      <w:r w:rsidRPr="00386176">
        <w:rPr>
          <w:lang w:val="en-US"/>
        </w:rPr>
        <w:t xml:space="preserve">investigates </w:t>
      </w:r>
      <w:r w:rsidRPr="00386176">
        <w:rPr>
          <w:rStyle w:val="hps"/>
          <w:lang w:val="en"/>
        </w:rPr>
        <w:t>the effects</w:t>
      </w:r>
      <w:r w:rsidRPr="00386176">
        <w:rPr>
          <w:lang w:val="en"/>
        </w:rPr>
        <w:t xml:space="preserve"> </w:t>
      </w:r>
      <w:r w:rsidRPr="00386176">
        <w:rPr>
          <w:rStyle w:val="hps"/>
          <w:lang w:val="en"/>
        </w:rPr>
        <w:t>of credit risk</w:t>
      </w:r>
      <w:r w:rsidRPr="00386176">
        <w:rPr>
          <w:lang w:val="en"/>
        </w:rPr>
        <w:t xml:space="preserve"> </w:t>
      </w:r>
      <w:r>
        <w:rPr>
          <w:rStyle w:val="hps"/>
          <w:lang w:val="en"/>
        </w:rPr>
        <w:t>for the</w:t>
      </w:r>
      <w:r w:rsidRPr="00386176">
        <w:rPr>
          <w:rStyle w:val="hps"/>
          <w:lang w:val="en"/>
        </w:rPr>
        <w:t xml:space="preserve"> financial intermediation and</w:t>
      </w:r>
      <w:r w:rsidRPr="00386176">
        <w:rPr>
          <w:lang w:val="en"/>
        </w:rPr>
        <w:t xml:space="preserve"> </w:t>
      </w:r>
      <w:r w:rsidRPr="00386176">
        <w:rPr>
          <w:rStyle w:val="hps"/>
          <w:lang w:val="en"/>
        </w:rPr>
        <w:t xml:space="preserve">how </w:t>
      </w:r>
      <w:r>
        <w:rPr>
          <w:rStyle w:val="hps"/>
          <w:lang w:val="en"/>
        </w:rPr>
        <w:t xml:space="preserve">this risk is </w:t>
      </w:r>
      <w:r w:rsidRPr="0025768B">
        <w:rPr>
          <w:rStyle w:val="hps"/>
          <w:lang w:val="en"/>
        </w:rPr>
        <w:t>transmitted to</w:t>
      </w:r>
      <w:r w:rsidRPr="0025768B">
        <w:rPr>
          <w:lang w:val="en"/>
        </w:rPr>
        <w:t xml:space="preserve"> </w:t>
      </w:r>
      <w:r w:rsidRPr="0025768B">
        <w:rPr>
          <w:rStyle w:val="hps"/>
          <w:lang w:val="en"/>
        </w:rPr>
        <w:t>other agents in the</w:t>
      </w:r>
      <w:r w:rsidRPr="0025768B">
        <w:rPr>
          <w:lang w:val="en"/>
        </w:rPr>
        <w:t xml:space="preserve"> </w:t>
      </w:r>
      <w:r w:rsidRPr="0025768B">
        <w:rPr>
          <w:rStyle w:val="hps"/>
          <w:lang w:val="en"/>
        </w:rPr>
        <w:t>economy.</w:t>
      </w:r>
      <w:r w:rsidRPr="0025768B">
        <w:rPr>
          <w:lang w:val="en-US"/>
        </w:rPr>
        <w:t xml:space="preserve"> </w:t>
      </w:r>
      <w:proofErr w:type="spellStart"/>
      <w:r w:rsidRPr="0025768B">
        <w:rPr>
          <w:lang w:val="en-US"/>
        </w:rPr>
        <w:t>T</w:t>
      </w:r>
      <w:r w:rsidRPr="0025768B">
        <w:rPr>
          <w:rStyle w:val="hps"/>
          <w:lang w:val="en"/>
        </w:rPr>
        <w:t>he</w:t>
      </w:r>
      <w:proofErr w:type="spellEnd"/>
      <w:r w:rsidRPr="0025768B">
        <w:rPr>
          <w:lang w:val="en"/>
        </w:rPr>
        <w:t xml:space="preserve"> </w:t>
      </w:r>
      <w:r w:rsidRPr="0025768B">
        <w:rPr>
          <w:rStyle w:val="hps"/>
          <w:lang w:val="en"/>
        </w:rPr>
        <w:t>DSGE</w:t>
      </w:r>
      <w:r w:rsidRPr="0025768B">
        <w:rPr>
          <w:lang w:val="en"/>
        </w:rPr>
        <w:t xml:space="preserve"> </w:t>
      </w:r>
      <w:r w:rsidRPr="0025768B">
        <w:rPr>
          <w:rStyle w:val="hps"/>
          <w:lang w:val="en"/>
        </w:rPr>
        <w:t>model</w:t>
      </w:r>
      <w:r w:rsidRPr="0025768B">
        <w:rPr>
          <w:lang w:val="en"/>
        </w:rPr>
        <w:t xml:space="preserve"> </w:t>
      </w:r>
      <w:r w:rsidRPr="0025768B">
        <w:rPr>
          <w:rStyle w:val="hps"/>
          <w:lang w:val="en"/>
        </w:rPr>
        <w:t>with</w:t>
      </w:r>
      <w:r w:rsidRPr="0025768B">
        <w:rPr>
          <w:lang w:val="en"/>
        </w:rPr>
        <w:t xml:space="preserve"> </w:t>
      </w:r>
      <w:r w:rsidRPr="0025768B">
        <w:rPr>
          <w:rStyle w:val="hps"/>
          <w:lang w:val="en"/>
        </w:rPr>
        <w:t>financial frictions</w:t>
      </w:r>
      <w:r w:rsidRPr="0025768B">
        <w:rPr>
          <w:lang w:val="en"/>
        </w:rPr>
        <w:t xml:space="preserve"> </w:t>
      </w:r>
      <w:r w:rsidRPr="0025768B">
        <w:rPr>
          <w:rStyle w:val="hps"/>
          <w:lang w:val="en"/>
        </w:rPr>
        <w:t>of</w:t>
      </w:r>
      <w:r w:rsidRPr="0025768B">
        <w:rPr>
          <w:lang w:val="en"/>
        </w:rPr>
        <w:t xml:space="preserve"> </w:t>
      </w:r>
      <w:r w:rsidRPr="0025768B">
        <w:rPr>
          <w:rStyle w:val="hps"/>
          <w:lang w:val="en"/>
        </w:rPr>
        <w:t>Gertler</w:t>
      </w:r>
      <w:r w:rsidRPr="0025768B">
        <w:rPr>
          <w:lang w:val="en"/>
        </w:rPr>
        <w:t xml:space="preserve"> </w:t>
      </w:r>
      <w:r w:rsidRPr="0025768B">
        <w:rPr>
          <w:rStyle w:val="hps"/>
          <w:lang w:val="en"/>
        </w:rPr>
        <w:t>and</w:t>
      </w:r>
      <w:r w:rsidRPr="0025768B">
        <w:rPr>
          <w:lang w:val="en"/>
        </w:rPr>
        <w:t xml:space="preserve"> </w:t>
      </w:r>
      <w:proofErr w:type="spellStart"/>
      <w:r w:rsidRPr="0025768B">
        <w:rPr>
          <w:rStyle w:val="hps"/>
          <w:lang w:val="en"/>
        </w:rPr>
        <w:t>Karadi</w:t>
      </w:r>
      <w:proofErr w:type="spellEnd"/>
      <w:r w:rsidRPr="0025768B">
        <w:rPr>
          <w:lang w:val="en"/>
        </w:rPr>
        <w:t xml:space="preserve"> </w:t>
      </w:r>
      <w:r w:rsidRPr="0025768B">
        <w:rPr>
          <w:rStyle w:val="hps"/>
          <w:lang w:val="en"/>
        </w:rPr>
        <w:t>(2011</w:t>
      </w:r>
      <w:r w:rsidRPr="0025768B">
        <w:rPr>
          <w:lang w:val="en"/>
        </w:rPr>
        <w:t xml:space="preserve">) was modified </w:t>
      </w:r>
      <w:r w:rsidRPr="0025768B">
        <w:rPr>
          <w:rStyle w:val="hps"/>
          <w:lang w:val="en"/>
        </w:rPr>
        <w:t>to</w:t>
      </w:r>
      <w:r w:rsidRPr="0025768B">
        <w:rPr>
          <w:lang w:val="en"/>
        </w:rPr>
        <w:t xml:space="preserve"> </w:t>
      </w:r>
      <w:r w:rsidRPr="0025768B">
        <w:rPr>
          <w:rStyle w:val="hps"/>
          <w:lang w:val="en"/>
        </w:rPr>
        <w:t>incorporate</w:t>
      </w:r>
      <w:r w:rsidRPr="0025768B">
        <w:rPr>
          <w:lang w:val="en"/>
        </w:rPr>
        <w:t xml:space="preserve"> </w:t>
      </w:r>
      <w:r w:rsidRPr="0025768B">
        <w:rPr>
          <w:rStyle w:val="hps"/>
          <w:lang w:val="en"/>
        </w:rPr>
        <w:t>the risk of</w:t>
      </w:r>
      <w:r w:rsidRPr="0025768B">
        <w:rPr>
          <w:lang w:val="en"/>
        </w:rPr>
        <w:t xml:space="preserve"> </w:t>
      </w:r>
      <w:r w:rsidRPr="0025768B">
        <w:rPr>
          <w:rStyle w:val="hps"/>
          <w:lang w:val="en"/>
        </w:rPr>
        <w:t>default</w:t>
      </w:r>
      <w:r w:rsidRPr="0025768B">
        <w:rPr>
          <w:lang w:val="en"/>
        </w:rPr>
        <w:t xml:space="preserve"> </w:t>
      </w:r>
      <w:r w:rsidRPr="0025768B">
        <w:rPr>
          <w:rStyle w:val="hps"/>
          <w:lang w:val="en"/>
        </w:rPr>
        <w:t>given</w:t>
      </w:r>
      <w:r w:rsidRPr="0025768B">
        <w:rPr>
          <w:lang w:val="en"/>
        </w:rPr>
        <w:t xml:space="preserve"> </w:t>
      </w:r>
      <w:r w:rsidRPr="0025768B">
        <w:rPr>
          <w:rStyle w:val="hps"/>
          <w:lang w:val="en"/>
        </w:rPr>
        <w:t>by the probability</w:t>
      </w:r>
      <w:r w:rsidRPr="0025768B">
        <w:rPr>
          <w:lang w:val="en"/>
        </w:rPr>
        <w:t xml:space="preserve"> </w:t>
      </w:r>
      <w:r w:rsidRPr="0025768B">
        <w:rPr>
          <w:rStyle w:val="hps"/>
          <w:lang w:val="en"/>
        </w:rPr>
        <w:t>of non-payment</w:t>
      </w:r>
      <w:r w:rsidRPr="0025768B">
        <w:rPr>
          <w:lang w:val="en"/>
        </w:rPr>
        <w:t xml:space="preserve"> </w:t>
      </w:r>
      <w:r w:rsidRPr="0025768B">
        <w:rPr>
          <w:rStyle w:val="hps"/>
          <w:lang w:val="en"/>
        </w:rPr>
        <w:t>of loans granted</w:t>
      </w:r>
      <w:r w:rsidRPr="0025768B">
        <w:rPr>
          <w:lang w:val="en"/>
        </w:rPr>
        <w:t xml:space="preserve"> </w:t>
      </w:r>
      <w:r w:rsidRPr="0025768B">
        <w:rPr>
          <w:rStyle w:val="hps"/>
          <w:lang w:val="en"/>
        </w:rPr>
        <w:t>by the bank.</w:t>
      </w:r>
      <w:r w:rsidRPr="0025768B">
        <w:rPr>
          <w:lang w:val="en"/>
        </w:rPr>
        <w:t xml:space="preserve"> This study contributes to the literature by deriving the probability of default of firms endogenously in the model, unlike most of the studies that assume it as exogenous. Moreover, as the model assumes two different interest rates for the two kinds of borrowers ("good" and "bad" payers), it allows the analysis of the impacts of the borrowers’ quality on the overall interest rate on loans. As a result, we identified a countercyclical default rate, which compensates the bank for the lost with “ba</w:t>
      </w:r>
      <w:r>
        <w:rPr>
          <w:lang w:val="en"/>
        </w:rPr>
        <w:t>d” payers</w:t>
      </w:r>
      <w:r w:rsidRPr="00386176">
        <w:rPr>
          <w:lang w:val="en"/>
        </w:rPr>
        <w:t>.</w:t>
      </w:r>
      <w:r w:rsidR="008D20E3" w:rsidRPr="00C00819">
        <w:rPr>
          <w:lang w:val="en"/>
        </w:rPr>
        <w:t xml:space="preserve"> </w:t>
      </w:r>
    </w:p>
    <w:p w14:paraId="7A457C46" w14:textId="77777777" w:rsidR="001B7849" w:rsidRPr="00C00819" w:rsidRDefault="001B7849" w:rsidP="00580FCE">
      <w:pPr>
        <w:jc w:val="both"/>
        <w:rPr>
          <w:lang w:val="en-US"/>
        </w:rPr>
      </w:pPr>
    </w:p>
    <w:p w14:paraId="7A457C47" w14:textId="52DB9753" w:rsidR="00213857" w:rsidRPr="00C00819" w:rsidRDefault="008D20E3" w:rsidP="00580FCE">
      <w:pPr>
        <w:ind w:left="1276" w:hanging="1276"/>
        <w:jc w:val="both"/>
        <w:rPr>
          <w:lang w:val="en-US"/>
        </w:rPr>
      </w:pPr>
      <w:r w:rsidRPr="00C00819">
        <w:rPr>
          <w:b/>
          <w:lang w:val="en-US"/>
        </w:rPr>
        <w:t xml:space="preserve">Keywords: </w:t>
      </w:r>
      <w:r w:rsidRPr="00C00819">
        <w:rPr>
          <w:lang w:val="en-US"/>
        </w:rPr>
        <w:t>DSGE</w:t>
      </w:r>
      <w:r w:rsidR="0025768B" w:rsidRPr="00C00819">
        <w:rPr>
          <w:lang w:val="en-US"/>
        </w:rPr>
        <w:t>; Credit r</w:t>
      </w:r>
      <w:r w:rsidRPr="00C00819">
        <w:rPr>
          <w:lang w:val="en-US"/>
        </w:rPr>
        <w:t>isk</w:t>
      </w:r>
      <w:r w:rsidR="0025768B" w:rsidRPr="00C00819">
        <w:rPr>
          <w:lang w:val="en-US"/>
        </w:rPr>
        <w:t>;</w:t>
      </w:r>
      <w:r w:rsidR="00545F28" w:rsidRPr="00C00819">
        <w:rPr>
          <w:lang w:val="en-US"/>
        </w:rPr>
        <w:t xml:space="preserve"> Monetary policy.</w:t>
      </w:r>
    </w:p>
    <w:p w14:paraId="7A457C48" w14:textId="77777777" w:rsidR="00CF2494" w:rsidRPr="00C00819" w:rsidRDefault="00CF2494" w:rsidP="00CF2494">
      <w:pPr>
        <w:rPr>
          <w:b/>
          <w:lang w:val="en-US"/>
        </w:rPr>
      </w:pPr>
    </w:p>
    <w:p w14:paraId="7A457C49" w14:textId="7E21E67A" w:rsidR="00CF2494" w:rsidRDefault="00CF2494" w:rsidP="00CF2494">
      <w:r w:rsidRPr="00C00819">
        <w:rPr>
          <w:b/>
        </w:rPr>
        <w:t xml:space="preserve">JEL Codes: </w:t>
      </w:r>
      <w:r w:rsidRPr="00C00819">
        <w:t>E51; E52; G21.</w:t>
      </w:r>
    </w:p>
    <w:p w14:paraId="7593E1E9" w14:textId="454E90C5" w:rsidR="00BC7DCA" w:rsidRDefault="00BC7DCA" w:rsidP="00CF2494">
      <w:pPr>
        <w:rPr>
          <w:b/>
        </w:rPr>
      </w:pPr>
    </w:p>
    <w:p w14:paraId="0D568551" w14:textId="77777777" w:rsidR="00BC7DCA" w:rsidRPr="00EC709F" w:rsidRDefault="00BC7DCA" w:rsidP="00BC7DCA">
      <w:r w:rsidRPr="00EC709F">
        <w:rPr>
          <w:b/>
        </w:rPr>
        <w:t>Área 8</w:t>
      </w:r>
      <w:r w:rsidRPr="00EC709F">
        <w:t xml:space="preserve"> – Microeconomia, Métodos Quantitativos e Finanças.</w:t>
      </w:r>
    </w:p>
    <w:p w14:paraId="7214A969" w14:textId="77777777" w:rsidR="00BC7DCA" w:rsidRPr="00C00819" w:rsidRDefault="00BC7DCA" w:rsidP="00CF2494">
      <w:pPr>
        <w:rPr>
          <w:b/>
        </w:rPr>
      </w:pPr>
    </w:p>
    <w:p w14:paraId="7A457C4A" w14:textId="77777777" w:rsidR="00CF2494" w:rsidRPr="00C00819" w:rsidRDefault="00CF2494" w:rsidP="00CF2494"/>
    <w:p w14:paraId="7A457C4B" w14:textId="77777777" w:rsidR="00213857" w:rsidRPr="00C00819" w:rsidRDefault="00213857">
      <w:pPr>
        <w:spacing w:after="240" w:line="259" w:lineRule="auto"/>
      </w:pPr>
      <w:r w:rsidRPr="00C00819">
        <w:br w:type="page"/>
      </w:r>
    </w:p>
    <w:p w14:paraId="0C2A3FE7" w14:textId="77777777" w:rsidR="007E2A29" w:rsidRDefault="007E2A29" w:rsidP="007E2A29">
      <w:pPr>
        <w:pStyle w:val="Ttulo2"/>
        <w:tabs>
          <w:tab w:val="left" w:pos="426"/>
        </w:tabs>
        <w:spacing w:before="120" w:after="120" w:line="240" w:lineRule="auto"/>
        <w:rPr>
          <w:rFonts w:ascii="Times New Roman" w:hAnsi="Times New Roman" w:cs="Times New Roman"/>
          <w:sz w:val="24"/>
          <w:szCs w:val="24"/>
        </w:rPr>
        <w:sectPr w:rsidR="007E2A29" w:rsidSect="006C30CC">
          <w:footnotePr>
            <w:numRestart w:val="eachSect"/>
          </w:footnotePr>
          <w:type w:val="continuous"/>
          <w:pgSz w:w="11906" w:h="16838" w:code="9"/>
          <w:pgMar w:top="1134" w:right="851" w:bottom="1134" w:left="851" w:header="709" w:footer="709" w:gutter="0"/>
          <w:pgNumType w:start="1"/>
          <w:cols w:space="708"/>
          <w:titlePg/>
          <w:docGrid w:linePitch="360"/>
        </w:sectPr>
      </w:pPr>
    </w:p>
    <w:p w14:paraId="6999B605" w14:textId="77777777" w:rsidR="005D7F8B" w:rsidRDefault="005D7F8B" w:rsidP="00254CB3">
      <w:pPr>
        <w:pStyle w:val="Ttulo2"/>
        <w:numPr>
          <w:ilvl w:val="1"/>
          <w:numId w:val="9"/>
        </w:numPr>
        <w:tabs>
          <w:tab w:val="left" w:pos="426"/>
        </w:tabs>
        <w:spacing w:before="120" w:after="120" w:line="240" w:lineRule="auto"/>
        <w:ind w:left="0" w:firstLine="0"/>
        <w:rPr>
          <w:rFonts w:ascii="Times New Roman" w:hAnsi="Times New Roman" w:cs="Times New Roman"/>
          <w:sz w:val="24"/>
          <w:szCs w:val="24"/>
        </w:rPr>
        <w:sectPr w:rsidR="005D7F8B" w:rsidSect="006C30CC">
          <w:footnotePr>
            <w:numRestart w:val="eachSect"/>
          </w:footnotePr>
          <w:type w:val="continuous"/>
          <w:pgSz w:w="11906" w:h="16838" w:code="9"/>
          <w:pgMar w:top="1134" w:right="851" w:bottom="1134" w:left="851" w:header="709" w:footer="709" w:gutter="0"/>
          <w:pgNumType w:start="1"/>
          <w:cols w:space="708"/>
          <w:titlePg/>
          <w:docGrid w:linePitch="360"/>
        </w:sectPr>
      </w:pPr>
    </w:p>
    <w:p w14:paraId="7A457C4C" w14:textId="59A6A877" w:rsidR="00C50613" w:rsidRPr="00C00819" w:rsidRDefault="007601B2" w:rsidP="00254CB3">
      <w:pPr>
        <w:pStyle w:val="Ttulo2"/>
        <w:numPr>
          <w:ilvl w:val="1"/>
          <w:numId w:val="9"/>
        </w:numPr>
        <w:tabs>
          <w:tab w:val="left" w:pos="426"/>
        </w:tabs>
        <w:spacing w:before="120" w:after="120" w:line="240" w:lineRule="auto"/>
        <w:ind w:left="0" w:firstLine="0"/>
        <w:rPr>
          <w:rFonts w:ascii="Times New Roman" w:hAnsi="Times New Roman" w:cs="Times New Roman"/>
          <w:sz w:val="24"/>
          <w:szCs w:val="24"/>
        </w:rPr>
      </w:pPr>
      <w:r w:rsidRPr="00C00819">
        <w:rPr>
          <w:rFonts w:ascii="Times New Roman" w:hAnsi="Times New Roman" w:cs="Times New Roman"/>
          <w:sz w:val="24"/>
          <w:szCs w:val="24"/>
        </w:rPr>
        <w:t>INTRODUÇÃO</w:t>
      </w:r>
      <w:bookmarkEnd w:id="2"/>
    </w:p>
    <w:p w14:paraId="7A457C4D" w14:textId="77777777" w:rsidR="00D71DB1" w:rsidRPr="00C00819" w:rsidRDefault="00D3232B" w:rsidP="00621550">
      <w:pPr>
        <w:ind w:firstLine="708"/>
        <w:jc w:val="both"/>
      </w:pPr>
      <w:r w:rsidRPr="00C00819">
        <w:t xml:space="preserve">A crise financeira </w:t>
      </w:r>
      <w:r w:rsidR="003D3BCC" w:rsidRPr="00C00819">
        <w:t xml:space="preserve">internacional </w:t>
      </w:r>
      <w:r w:rsidRPr="00C00819">
        <w:t>de 2008 evidenciou que medidas convencion</w:t>
      </w:r>
      <w:r w:rsidR="003D3BCC" w:rsidRPr="00C00819">
        <w:t xml:space="preserve">ais de política monetária </w:t>
      </w:r>
      <w:r w:rsidR="009F5166" w:rsidRPr="00C00819">
        <w:t>não foram</w:t>
      </w:r>
      <w:r w:rsidRPr="00C00819">
        <w:t xml:space="preserve"> suf</w:t>
      </w:r>
      <w:r w:rsidR="003D3BCC" w:rsidRPr="00C00819">
        <w:t xml:space="preserve">icientes para dirimir seus </w:t>
      </w:r>
      <w:r w:rsidRPr="00C00819">
        <w:t xml:space="preserve">efeitos </w:t>
      </w:r>
      <w:r w:rsidR="003D3BCC" w:rsidRPr="00C00819">
        <w:t>negativos sobre o lado real da</w:t>
      </w:r>
      <w:r w:rsidR="009F5166" w:rsidRPr="00C00819">
        <w:t xml:space="preserve">s </w:t>
      </w:r>
      <w:r w:rsidRPr="00C00819">
        <w:t>economia</w:t>
      </w:r>
      <w:r w:rsidR="00D71DB1" w:rsidRPr="00C00819">
        <w:t>s afetadas</w:t>
      </w:r>
      <w:r w:rsidRPr="00C00819">
        <w:t xml:space="preserve">. </w:t>
      </w:r>
      <w:r w:rsidR="00B54CE8" w:rsidRPr="00C00819">
        <w:t>No Brasil, o combate aos efeitos d</w:t>
      </w:r>
      <w:r w:rsidR="00D71DB1" w:rsidRPr="00C00819">
        <w:t>ess</w:t>
      </w:r>
      <w:r w:rsidR="00B54CE8" w:rsidRPr="00C00819">
        <w:t>a crise deu-se, principalmente, pela utilização de políticas anticíclicas de estímulo ao crescimento econômic</w:t>
      </w:r>
      <w:bookmarkStart w:id="4" w:name="_GoBack"/>
      <w:bookmarkEnd w:id="4"/>
      <w:r w:rsidR="00B54CE8" w:rsidRPr="00C00819">
        <w:t>o por meio do crédito bancário</w:t>
      </w:r>
      <w:r w:rsidR="009F5166" w:rsidRPr="00C00819">
        <w:t>. Esta política foi financiada,</w:t>
      </w:r>
      <w:r w:rsidR="00392563" w:rsidRPr="00C00819">
        <w:t xml:space="preserve"> </w:t>
      </w:r>
      <w:r w:rsidR="00B70671" w:rsidRPr="00C00819">
        <w:t>inicialmente</w:t>
      </w:r>
      <w:r w:rsidR="009F5166" w:rsidRPr="00C00819">
        <w:t>,</w:t>
      </w:r>
      <w:r w:rsidR="00392563" w:rsidRPr="00C00819">
        <w:t xml:space="preserve"> pelas </w:t>
      </w:r>
      <w:r w:rsidR="00B54CE8" w:rsidRPr="00C00819">
        <w:t xml:space="preserve">instituições </w:t>
      </w:r>
      <w:r w:rsidR="00392563" w:rsidRPr="00C00819">
        <w:t xml:space="preserve">financeiras </w:t>
      </w:r>
      <w:r w:rsidR="00B54CE8" w:rsidRPr="00C00819">
        <w:t>públicas</w:t>
      </w:r>
      <w:r w:rsidR="00392563" w:rsidRPr="00C00819">
        <w:t xml:space="preserve"> </w:t>
      </w:r>
      <w:r w:rsidR="00B70671" w:rsidRPr="00C00819">
        <w:t xml:space="preserve">que praticaram </w:t>
      </w:r>
      <w:r w:rsidR="009F5166" w:rsidRPr="00C00819">
        <w:t>sucessivas</w:t>
      </w:r>
      <w:r w:rsidR="00244C5B" w:rsidRPr="00C00819">
        <w:t xml:space="preserve"> </w:t>
      </w:r>
      <w:r w:rsidR="009F5166" w:rsidRPr="00C00819">
        <w:t>reduções</w:t>
      </w:r>
      <w:r w:rsidR="00B70671" w:rsidRPr="00C00819">
        <w:t xml:space="preserve"> nas taxas dos empréstimos de forma a </w:t>
      </w:r>
      <w:r w:rsidR="00392563" w:rsidRPr="00C00819">
        <w:t>aument</w:t>
      </w:r>
      <w:r w:rsidR="00B70671" w:rsidRPr="00C00819">
        <w:t>ar o volume</w:t>
      </w:r>
      <w:r w:rsidR="009F5166" w:rsidRPr="00C00819">
        <w:t xml:space="preserve"> das </w:t>
      </w:r>
      <w:r w:rsidR="00392563" w:rsidRPr="00C00819">
        <w:t>concessões</w:t>
      </w:r>
      <w:r w:rsidR="00B54CE8" w:rsidRPr="00C00819">
        <w:t xml:space="preserve">. </w:t>
      </w:r>
      <w:r w:rsidR="00721262" w:rsidRPr="00C00819">
        <w:t>Como consequência</w:t>
      </w:r>
      <w:r w:rsidR="00E36496" w:rsidRPr="00C00819">
        <w:t xml:space="preserve">, a expansão do </w:t>
      </w:r>
      <w:r w:rsidR="00BB4344" w:rsidRPr="00C00819">
        <w:t>crédito trouxe</w:t>
      </w:r>
      <w:r w:rsidR="00E36496" w:rsidRPr="00C00819">
        <w:t xml:space="preserve"> o aumento da inadimplência, pois, para crescer, o</w:t>
      </w:r>
      <w:r w:rsidR="009F5166" w:rsidRPr="00C00819">
        <w:t>s</w:t>
      </w:r>
      <w:r w:rsidR="00E36496" w:rsidRPr="00C00819">
        <w:t xml:space="preserve"> banco</w:t>
      </w:r>
      <w:r w:rsidR="009F5166" w:rsidRPr="00C00819">
        <w:t>s</w:t>
      </w:r>
      <w:r w:rsidR="00E36496" w:rsidRPr="00C00819">
        <w:t xml:space="preserve"> necessita</w:t>
      </w:r>
      <w:r w:rsidR="00D71DB1" w:rsidRPr="00C00819">
        <w:t>va</w:t>
      </w:r>
      <w:r w:rsidR="009F5166" w:rsidRPr="00C00819">
        <w:t>m</w:t>
      </w:r>
      <w:r w:rsidR="00E36496" w:rsidRPr="00C00819">
        <w:t xml:space="preserve"> conceder empréstimos também a tomadores de maior risco.</w:t>
      </w:r>
      <w:r w:rsidR="003D3BCC" w:rsidRPr="00C00819">
        <w:t xml:space="preserve"> </w:t>
      </w:r>
    </w:p>
    <w:p w14:paraId="7A457C4E" w14:textId="77777777" w:rsidR="009742DC" w:rsidRPr="00C00819" w:rsidRDefault="009F5166" w:rsidP="00580FCE">
      <w:pPr>
        <w:ind w:firstLine="709"/>
        <w:jc w:val="both"/>
      </w:pPr>
      <w:r w:rsidRPr="00C00819">
        <w:t>Dada a importância do</w:t>
      </w:r>
      <w:r w:rsidR="003D3BCC" w:rsidRPr="00C00819">
        <w:t xml:space="preserve"> crédito</w:t>
      </w:r>
      <w:r w:rsidRPr="00C00819">
        <w:t xml:space="preserve"> como</w:t>
      </w:r>
      <w:r w:rsidR="003D3BCC" w:rsidRPr="00C00819">
        <w:t xml:space="preserve"> canal de transmissão para a polí</w:t>
      </w:r>
      <w:r w:rsidRPr="00C00819">
        <w:t xml:space="preserve">tica monetária, como destaca </w:t>
      </w:r>
      <w:proofErr w:type="spellStart"/>
      <w:r w:rsidRPr="00C00819">
        <w:t>Mishkin</w:t>
      </w:r>
      <w:proofErr w:type="spellEnd"/>
      <w:r w:rsidRPr="00C00819">
        <w:t xml:space="preserve"> (1995),</w:t>
      </w:r>
      <w:r w:rsidR="00D71DB1" w:rsidRPr="00C00819">
        <w:t xml:space="preserve"> </w:t>
      </w:r>
      <w:r w:rsidR="009742DC" w:rsidRPr="00C00819">
        <w:t xml:space="preserve">este </w:t>
      </w:r>
      <w:r w:rsidR="001B7849" w:rsidRPr="00C00819">
        <w:t>artigo</w:t>
      </w:r>
      <w:r w:rsidR="009742DC" w:rsidRPr="00C00819">
        <w:t xml:space="preserve"> tem como objetivo investigar </w:t>
      </w:r>
      <w:r w:rsidR="00C549CD" w:rsidRPr="00C00819">
        <w:t xml:space="preserve">os efeitos do risco de crédito sobre </w:t>
      </w:r>
      <w:r w:rsidR="009742DC" w:rsidRPr="00C00819">
        <w:t>a intermediaç</w:t>
      </w:r>
      <w:r w:rsidR="006D77ED" w:rsidRPr="00C00819">
        <w:t>ão financeira</w:t>
      </w:r>
      <w:r w:rsidR="007A7CC3" w:rsidRPr="00C00819">
        <w:t xml:space="preserve"> e</w:t>
      </w:r>
      <w:r w:rsidR="006D77ED" w:rsidRPr="00C00819">
        <w:t xml:space="preserve"> </w:t>
      </w:r>
      <w:r w:rsidRPr="00C00819">
        <w:t>a transmissão</w:t>
      </w:r>
      <w:r w:rsidR="00C549CD" w:rsidRPr="00C00819">
        <w:t xml:space="preserve"> d</w:t>
      </w:r>
      <w:r w:rsidR="006D77ED" w:rsidRPr="00C00819">
        <w:t xml:space="preserve">esses efeitos </w:t>
      </w:r>
      <w:r w:rsidR="007A7CC3" w:rsidRPr="00C00819">
        <w:t>a</w:t>
      </w:r>
      <w:r w:rsidR="009742DC" w:rsidRPr="00C00819">
        <w:t xml:space="preserve">os demais </w:t>
      </w:r>
      <w:r w:rsidR="002A3E75" w:rsidRPr="00C00819">
        <w:t>setores</w:t>
      </w:r>
      <w:r w:rsidR="00C549CD" w:rsidRPr="00C00819">
        <w:t xml:space="preserve"> da economia. Para tanto</w:t>
      </w:r>
      <w:r w:rsidR="009742DC" w:rsidRPr="00C00819">
        <w:t xml:space="preserve">, </w:t>
      </w:r>
      <w:r w:rsidR="006D77ED" w:rsidRPr="00C00819">
        <w:t>utiliz</w:t>
      </w:r>
      <w:r w:rsidR="00C549CD" w:rsidRPr="00C00819">
        <w:t xml:space="preserve">a-se como referência básica o modelo </w:t>
      </w:r>
      <w:r w:rsidR="006D77ED" w:rsidRPr="00C00819">
        <w:t xml:space="preserve">de </w:t>
      </w:r>
      <w:proofErr w:type="spellStart"/>
      <w:r w:rsidR="006D77ED" w:rsidRPr="00C00819">
        <w:t>Gertler</w:t>
      </w:r>
      <w:proofErr w:type="spellEnd"/>
      <w:r w:rsidR="006D77ED" w:rsidRPr="00C00819">
        <w:t xml:space="preserve"> e </w:t>
      </w:r>
      <w:proofErr w:type="spellStart"/>
      <w:r w:rsidR="006D77ED" w:rsidRPr="00C00819">
        <w:t>Karadi</w:t>
      </w:r>
      <w:proofErr w:type="spellEnd"/>
      <w:r w:rsidR="006D77ED" w:rsidRPr="00C00819">
        <w:t xml:space="preserve"> (2011)</w:t>
      </w:r>
      <w:r w:rsidR="00FD49C0" w:rsidRPr="00C00819">
        <w:t>,</w:t>
      </w:r>
      <w:r w:rsidR="006D77ED" w:rsidRPr="00C00819">
        <w:t xml:space="preserve"> que </w:t>
      </w:r>
      <w:r w:rsidR="00C549CD" w:rsidRPr="00C00819">
        <w:t xml:space="preserve">é </w:t>
      </w:r>
      <w:r w:rsidR="006D77ED" w:rsidRPr="00C00819">
        <w:t xml:space="preserve">modificado </w:t>
      </w:r>
      <w:r w:rsidR="00C549CD" w:rsidRPr="00C00819">
        <w:t xml:space="preserve">para </w:t>
      </w:r>
      <w:r w:rsidR="006D77ED" w:rsidRPr="00C00819">
        <w:t xml:space="preserve">incorporar o risco de </w:t>
      </w:r>
      <w:r w:rsidR="006D77ED" w:rsidRPr="00C00819">
        <w:rPr>
          <w:i/>
        </w:rPr>
        <w:t xml:space="preserve">default </w:t>
      </w:r>
      <w:r w:rsidR="007E73E3" w:rsidRPr="00C00819">
        <w:t xml:space="preserve">dado pela probabilidade de </w:t>
      </w:r>
      <w:r w:rsidR="00C549CD" w:rsidRPr="00C00819">
        <w:t xml:space="preserve">a firma </w:t>
      </w:r>
      <w:r w:rsidR="007E73E3" w:rsidRPr="00C00819">
        <w:t>não paga</w:t>
      </w:r>
      <w:r w:rsidR="00C549CD" w:rsidRPr="00C00819">
        <w:t xml:space="preserve">r </w:t>
      </w:r>
      <w:r w:rsidR="007E73E3" w:rsidRPr="00C00819">
        <w:t xml:space="preserve">os empréstimos concedidos pelo banco. Além disso, </w:t>
      </w:r>
      <w:r w:rsidR="006D77ED" w:rsidRPr="00C00819">
        <w:t>os requerimentos de reservas compuls</w:t>
      </w:r>
      <w:r w:rsidR="00FD49C0" w:rsidRPr="00C00819">
        <w:t xml:space="preserve">órias pelo Banco Central </w:t>
      </w:r>
      <w:r w:rsidR="00C549CD" w:rsidRPr="00C00819">
        <w:t>são</w:t>
      </w:r>
      <w:r w:rsidR="00BB2F7B" w:rsidRPr="00C00819">
        <w:t xml:space="preserve"> considerados </w:t>
      </w:r>
      <w:r w:rsidR="006D77ED" w:rsidRPr="00C00819">
        <w:t xml:space="preserve">como </w:t>
      </w:r>
      <w:r w:rsidR="007A7CC3" w:rsidRPr="00C00819">
        <w:t>instrumento de política monet</w:t>
      </w:r>
      <w:r w:rsidR="007E73E3" w:rsidRPr="00C00819">
        <w:t>ária</w:t>
      </w:r>
      <w:r w:rsidR="00C549CD" w:rsidRPr="00C00819">
        <w:t xml:space="preserve"> não-convencional, em conformidade</w:t>
      </w:r>
      <w:r w:rsidR="007E73E3" w:rsidRPr="00C00819">
        <w:t xml:space="preserve"> com </w:t>
      </w:r>
      <w:r w:rsidR="007E73E3" w:rsidRPr="00C00819">
        <w:rPr>
          <w:iCs/>
        </w:rPr>
        <w:t>Kornelius e Divino (2015).</w:t>
      </w:r>
      <w:r w:rsidRPr="00C00819">
        <w:rPr>
          <w:iCs/>
        </w:rPr>
        <w:t xml:space="preserve"> Analisa-se como a combinação desses elementos afeta a dinâmica da economia brasileira por meio de simulações do modelo modificado.</w:t>
      </w:r>
    </w:p>
    <w:p w14:paraId="7A457C4F" w14:textId="77777777" w:rsidR="00B0631F" w:rsidRPr="00C00819" w:rsidRDefault="00F15019" w:rsidP="00580FCE">
      <w:pPr>
        <w:ind w:firstLine="709"/>
        <w:jc w:val="both"/>
      </w:pPr>
      <w:r w:rsidRPr="00C00819">
        <w:t xml:space="preserve">Essa abordagem guarda uma interseção com </w:t>
      </w:r>
      <w:proofErr w:type="spellStart"/>
      <w:r w:rsidR="007A0CA9" w:rsidRPr="00C00819">
        <w:t>Bernanke</w:t>
      </w:r>
      <w:proofErr w:type="spellEnd"/>
      <w:r w:rsidR="007A0CA9" w:rsidRPr="00C00819">
        <w:t xml:space="preserve">, </w:t>
      </w:r>
      <w:proofErr w:type="spellStart"/>
      <w:r w:rsidR="007A0CA9" w:rsidRPr="00C00819">
        <w:t>Gertler</w:t>
      </w:r>
      <w:proofErr w:type="spellEnd"/>
      <w:r w:rsidR="007A0CA9" w:rsidRPr="00C00819">
        <w:t xml:space="preserve"> e </w:t>
      </w:r>
      <w:proofErr w:type="spellStart"/>
      <w:r w:rsidR="007A0CA9" w:rsidRPr="00C00819">
        <w:t>Gilchrist</w:t>
      </w:r>
      <w:proofErr w:type="spellEnd"/>
      <w:r w:rsidR="007A0CA9" w:rsidRPr="00C00819">
        <w:t xml:space="preserve"> (1996)</w:t>
      </w:r>
      <w:r w:rsidRPr="00C00819">
        <w:t>, que</w:t>
      </w:r>
      <w:r w:rsidR="00885B4D" w:rsidRPr="00C00819">
        <w:t xml:space="preserve"> </w:t>
      </w:r>
      <w:r w:rsidRPr="00C00819">
        <w:t>foram pioneiros a</w:t>
      </w:r>
      <w:r w:rsidR="00E176F4" w:rsidRPr="00C00819">
        <w:t xml:space="preserve"> propor o</w:t>
      </w:r>
      <w:r w:rsidR="007A0CA9" w:rsidRPr="00C00819">
        <w:t xml:space="preserve"> conceito de </w:t>
      </w:r>
      <w:r w:rsidR="007A0CA9" w:rsidRPr="00C00819">
        <w:rPr>
          <w:i/>
        </w:rPr>
        <w:t>acelerador financeiro</w:t>
      </w:r>
      <w:r w:rsidR="009A63CB" w:rsidRPr="00C00819">
        <w:t xml:space="preserve">. </w:t>
      </w:r>
      <w:r w:rsidR="0032445F" w:rsidRPr="00C00819">
        <w:t>P</w:t>
      </w:r>
      <w:r w:rsidR="00E176F4" w:rsidRPr="00C00819">
        <w:t xml:space="preserve">osteriormente, </w:t>
      </w:r>
      <w:proofErr w:type="spellStart"/>
      <w:r w:rsidR="00951CCD" w:rsidRPr="00C00819">
        <w:t>Bernanke</w:t>
      </w:r>
      <w:proofErr w:type="spellEnd"/>
      <w:r w:rsidR="00951CCD" w:rsidRPr="00C00819">
        <w:t xml:space="preserve">, </w:t>
      </w:r>
      <w:proofErr w:type="spellStart"/>
      <w:r w:rsidR="00951CCD" w:rsidRPr="00C00819">
        <w:t>Gertler</w:t>
      </w:r>
      <w:proofErr w:type="spellEnd"/>
      <w:r w:rsidR="00951CCD" w:rsidRPr="00C00819">
        <w:t xml:space="preserve"> e </w:t>
      </w:r>
      <w:proofErr w:type="spellStart"/>
      <w:r w:rsidR="00951CCD" w:rsidRPr="00C00819">
        <w:t>Gilchrist</w:t>
      </w:r>
      <w:proofErr w:type="spellEnd"/>
      <w:r w:rsidR="00951CCD" w:rsidRPr="00C00819">
        <w:t xml:space="preserve"> (1999)</w:t>
      </w:r>
      <w:r w:rsidR="00E176F4" w:rsidRPr="00C00819">
        <w:t xml:space="preserve"> (ou BGG) </w:t>
      </w:r>
      <w:r w:rsidR="007E0EB2" w:rsidRPr="00C00819">
        <w:t>apresentaram</w:t>
      </w:r>
      <w:r w:rsidR="0032445F" w:rsidRPr="00C00819">
        <w:t xml:space="preserve"> a estrutura do </w:t>
      </w:r>
      <w:r w:rsidR="0032445F" w:rsidRPr="00C00819">
        <w:rPr>
          <w:i/>
        </w:rPr>
        <w:t xml:space="preserve">acelerador </w:t>
      </w:r>
      <w:proofErr w:type="spellStart"/>
      <w:r w:rsidR="0032445F" w:rsidRPr="00C00819">
        <w:rPr>
          <w:i/>
        </w:rPr>
        <w:t>ﬁnanceiro</w:t>
      </w:r>
      <w:proofErr w:type="spellEnd"/>
      <w:r w:rsidR="0032445F" w:rsidRPr="00C00819">
        <w:t xml:space="preserve"> em uma modelagem Novo Keynesiana</w:t>
      </w:r>
      <w:r w:rsidR="007E0EB2" w:rsidRPr="00C00819">
        <w:t>,</w:t>
      </w:r>
      <w:r w:rsidR="00E64D25" w:rsidRPr="00C00819">
        <w:t xml:space="preserve"> mostrando que </w:t>
      </w:r>
      <w:r w:rsidR="00B0631F" w:rsidRPr="00C00819">
        <w:t>fricções</w:t>
      </w:r>
      <w:r w:rsidR="00E64D25" w:rsidRPr="00C00819">
        <w:t xml:space="preserve"> do mercado </w:t>
      </w:r>
      <w:r w:rsidRPr="00C00819">
        <w:t>de crédito pode</w:t>
      </w:r>
      <w:r w:rsidR="00B0631F" w:rsidRPr="00C00819">
        <w:t>m</w:t>
      </w:r>
      <w:r w:rsidRPr="00C00819">
        <w:t xml:space="preserve"> ser incorporadas aos</w:t>
      </w:r>
      <w:r w:rsidR="00E64D25" w:rsidRPr="00C00819">
        <w:t xml:space="preserve"> modelos macroeconômicos.</w:t>
      </w:r>
      <w:r w:rsidR="00B0631F" w:rsidRPr="00C00819">
        <w:t xml:space="preserve"> </w:t>
      </w:r>
    </w:p>
    <w:p w14:paraId="7A457C50" w14:textId="77777777" w:rsidR="00E878DB" w:rsidRPr="00C00819" w:rsidRDefault="0060394A" w:rsidP="00580FCE">
      <w:pPr>
        <w:ind w:firstLine="709"/>
        <w:jc w:val="both"/>
      </w:pPr>
      <w:r w:rsidRPr="00C00819">
        <w:t xml:space="preserve">Outros autores deram continuidade à investigação do acelerador financeiro de BGG, como </w:t>
      </w:r>
      <w:proofErr w:type="spellStart"/>
      <w:r w:rsidRPr="00C00819">
        <w:t>Kiyotaki</w:t>
      </w:r>
      <w:proofErr w:type="spellEnd"/>
      <w:r w:rsidRPr="00C00819">
        <w:t xml:space="preserve"> e Moore (1997), </w:t>
      </w:r>
      <w:proofErr w:type="spellStart"/>
      <w:r w:rsidRPr="00C00819">
        <w:t>Carlstrom</w:t>
      </w:r>
      <w:proofErr w:type="spellEnd"/>
      <w:r w:rsidRPr="00C00819">
        <w:t xml:space="preserve"> e </w:t>
      </w:r>
      <w:proofErr w:type="spellStart"/>
      <w:r w:rsidRPr="00C00819">
        <w:t>Fuerst</w:t>
      </w:r>
      <w:proofErr w:type="spellEnd"/>
      <w:r w:rsidRPr="00C00819">
        <w:t xml:space="preserve"> (1997), </w:t>
      </w:r>
      <w:proofErr w:type="spellStart"/>
      <w:r w:rsidRPr="00C00819">
        <w:t>Christensen</w:t>
      </w:r>
      <w:proofErr w:type="spellEnd"/>
      <w:r w:rsidRPr="00C00819">
        <w:t xml:space="preserve"> e Dib (2008) e </w:t>
      </w:r>
      <w:proofErr w:type="spellStart"/>
      <w:r w:rsidRPr="00C00819">
        <w:t>Degraeve</w:t>
      </w:r>
      <w:proofErr w:type="spellEnd"/>
      <w:r w:rsidRPr="00C00819">
        <w:t xml:space="preserve"> (2008).</w:t>
      </w:r>
      <w:r w:rsidR="00E176F4" w:rsidRPr="00C00819">
        <w:t xml:space="preserve"> Mais tarde</w:t>
      </w:r>
      <w:r w:rsidR="00E25D68" w:rsidRPr="00C00819">
        <w:t xml:space="preserve">, </w:t>
      </w:r>
      <w:proofErr w:type="spellStart"/>
      <w:r w:rsidR="00E25D68" w:rsidRPr="00C00819">
        <w:t>Kyotaki</w:t>
      </w:r>
      <w:proofErr w:type="spellEnd"/>
      <w:r w:rsidR="00E25D68" w:rsidRPr="00C00819">
        <w:t xml:space="preserve"> e Moore (2007), </w:t>
      </w:r>
      <w:proofErr w:type="spellStart"/>
      <w:r w:rsidR="00E25D68" w:rsidRPr="00C00819">
        <w:t>Gerali</w:t>
      </w:r>
      <w:proofErr w:type="spellEnd"/>
      <w:r w:rsidR="00E25D68" w:rsidRPr="00C00819">
        <w:t xml:space="preserve"> et al. (2010), </w:t>
      </w:r>
      <w:proofErr w:type="spellStart"/>
      <w:r w:rsidR="00E25D68" w:rsidRPr="00C00819">
        <w:t>Cúrdia</w:t>
      </w:r>
      <w:proofErr w:type="spellEnd"/>
      <w:r w:rsidR="00E25D68" w:rsidRPr="00C00819">
        <w:t xml:space="preserve"> e </w:t>
      </w:r>
      <w:proofErr w:type="spellStart"/>
      <w:r w:rsidR="00E25D68" w:rsidRPr="00C00819">
        <w:t>Woodford</w:t>
      </w:r>
      <w:proofErr w:type="spellEnd"/>
      <w:r w:rsidR="00E25D68" w:rsidRPr="00C00819">
        <w:t xml:space="preserve"> (2010), inovaram ao considerar fricções financeiras no nível dos intermediários financeiros e n</w:t>
      </w:r>
      <w:r w:rsidR="00E176F4" w:rsidRPr="00C00819">
        <w:t>ão no nível das firmas, como havia sido</w:t>
      </w:r>
      <w:r w:rsidR="00E25D68" w:rsidRPr="00C00819">
        <w:t xml:space="preserve"> feito anteriormente. </w:t>
      </w:r>
      <w:proofErr w:type="spellStart"/>
      <w:r w:rsidR="00F21A63" w:rsidRPr="00C00819">
        <w:t>Gertler</w:t>
      </w:r>
      <w:proofErr w:type="spellEnd"/>
      <w:r w:rsidR="00F21A63" w:rsidRPr="00C00819">
        <w:t xml:space="preserve"> e </w:t>
      </w:r>
      <w:proofErr w:type="spellStart"/>
      <w:r w:rsidR="00F21A63" w:rsidRPr="00C00819">
        <w:t>Karadi</w:t>
      </w:r>
      <w:proofErr w:type="spellEnd"/>
      <w:r w:rsidR="00F21A63" w:rsidRPr="00C00819">
        <w:t xml:space="preserve"> (2011)</w:t>
      </w:r>
      <w:r w:rsidR="001D6D30" w:rsidRPr="00C00819">
        <w:t xml:space="preserve">, com base em </w:t>
      </w:r>
      <w:r w:rsidR="00E176F4" w:rsidRPr="00C00819">
        <w:t xml:space="preserve"> </w:t>
      </w:r>
      <w:r w:rsidR="001D6D30" w:rsidRPr="00C00819">
        <w:t xml:space="preserve">Christiano et al. (2005a) e </w:t>
      </w:r>
      <w:proofErr w:type="spellStart"/>
      <w:r w:rsidR="001D6D30" w:rsidRPr="00C00819">
        <w:t>Smets</w:t>
      </w:r>
      <w:proofErr w:type="spellEnd"/>
      <w:r w:rsidR="001D6D30" w:rsidRPr="00C00819">
        <w:t xml:space="preserve"> e </w:t>
      </w:r>
      <w:proofErr w:type="spellStart"/>
      <w:r w:rsidR="001D6D30" w:rsidRPr="00C00819">
        <w:t>Wouters</w:t>
      </w:r>
      <w:proofErr w:type="spellEnd"/>
      <w:r w:rsidR="001D6D30" w:rsidRPr="00C00819">
        <w:t xml:space="preserve"> (2007), </w:t>
      </w:r>
      <w:r w:rsidR="00E176F4" w:rsidRPr="00C00819">
        <w:t xml:space="preserve">desenvolveram </w:t>
      </w:r>
      <w:r w:rsidR="00F21A63" w:rsidRPr="00C00819">
        <w:t>um</w:t>
      </w:r>
      <w:r w:rsidR="00F15019" w:rsidRPr="00C00819">
        <w:t xml:space="preserve">a abordagem </w:t>
      </w:r>
      <w:r w:rsidR="00F21A63" w:rsidRPr="00C00819">
        <w:t xml:space="preserve">com foco na política </w:t>
      </w:r>
      <w:r w:rsidR="00E25D68" w:rsidRPr="00C00819">
        <w:t xml:space="preserve">monetária </w:t>
      </w:r>
      <w:r w:rsidR="00F21A63" w:rsidRPr="00C00819">
        <w:t xml:space="preserve">não convencional </w:t>
      </w:r>
      <w:r w:rsidR="00F15019" w:rsidRPr="00C00819">
        <w:t>adotada pelos Estados Unidos para fazer face à</w:t>
      </w:r>
      <w:r w:rsidR="00E25D68" w:rsidRPr="00C00819">
        <w:t xml:space="preserve"> crise de 2007-2008, </w:t>
      </w:r>
      <w:r w:rsidR="00F15019" w:rsidRPr="00C00819">
        <w:t>na qual consideram</w:t>
      </w:r>
      <w:r w:rsidR="00360465" w:rsidRPr="00C00819">
        <w:t xml:space="preserve"> explicitamente a intermediação fina</w:t>
      </w:r>
      <w:r w:rsidR="00E176F4" w:rsidRPr="00C00819">
        <w:t>nceira direta</w:t>
      </w:r>
      <w:r w:rsidR="00F15019" w:rsidRPr="00C00819">
        <w:t>mente exercida</w:t>
      </w:r>
      <w:r w:rsidR="00E176F4" w:rsidRPr="00C00819">
        <w:t xml:space="preserve"> pelo Federal Reserve (</w:t>
      </w:r>
      <w:proofErr w:type="spellStart"/>
      <w:r w:rsidR="00E176F4" w:rsidRPr="00C00819">
        <w:t>Fed</w:t>
      </w:r>
      <w:proofErr w:type="spellEnd"/>
      <w:r w:rsidR="00E176F4" w:rsidRPr="00C00819">
        <w:t>)</w:t>
      </w:r>
      <w:r w:rsidR="00360465" w:rsidRPr="00C00819">
        <w:t xml:space="preserve"> como instrumento de política monetária não convencional</w:t>
      </w:r>
      <w:r w:rsidR="00F15019" w:rsidRPr="00C00819">
        <w:t>, além d</w:t>
      </w:r>
      <w:r w:rsidR="000C302A" w:rsidRPr="00C00819">
        <w:t>e fricções financeiras no âmbito dos intermediários financeiros</w:t>
      </w:r>
      <w:r w:rsidR="00360465" w:rsidRPr="00C00819">
        <w:t xml:space="preserve">. </w:t>
      </w:r>
    </w:p>
    <w:p w14:paraId="7A457C51" w14:textId="77777777" w:rsidR="001D149E" w:rsidRPr="00C00819" w:rsidRDefault="00F15019" w:rsidP="00580FCE">
      <w:pPr>
        <w:ind w:firstLine="709"/>
        <w:jc w:val="both"/>
      </w:pPr>
      <w:r w:rsidRPr="00C00819">
        <w:t xml:space="preserve">Para </w:t>
      </w:r>
      <w:r w:rsidR="00350A16" w:rsidRPr="00C00819">
        <w:t xml:space="preserve">o Brasil, </w:t>
      </w:r>
      <w:r w:rsidRPr="00C00819">
        <w:t xml:space="preserve">há </w:t>
      </w:r>
      <w:r w:rsidR="00350A16" w:rsidRPr="00C00819">
        <w:t xml:space="preserve">diversas aplicações </w:t>
      </w:r>
      <w:r w:rsidR="00E878DB" w:rsidRPr="00C00819">
        <w:t>da</w:t>
      </w:r>
      <w:r w:rsidR="00350A16" w:rsidRPr="00C00819">
        <w:t xml:space="preserve"> modelagem DSGE</w:t>
      </w:r>
      <w:r w:rsidRPr="00C00819">
        <w:t>, embora a estrutura do acelerador financeiro tenha sido pouco explorada</w:t>
      </w:r>
      <w:r w:rsidR="00350A16" w:rsidRPr="00C00819">
        <w:t>.</w:t>
      </w:r>
      <w:r w:rsidR="00E878DB" w:rsidRPr="00C00819">
        <w:t xml:space="preserve"> </w:t>
      </w:r>
      <w:r w:rsidR="001D149E" w:rsidRPr="00C00819">
        <w:t>Seguindo a linha de Christiano et al.</w:t>
      </w:r>
      <w:r w:rsidR="00E878DB" w:rsidRPr="00C00819">
        <w:t xml:space="preserve"> (2005) e </w:t>
      </w:r>
      <w:proofErr w:type="spellStart"/>
      <w:r w:rsidR="001D149E" w:rsidRPr="00C00819">
        <w:t>Smets</w:t>
      </w:r>
      <w:proofErr w:type="spellEnd"/>
      <w:r w:rsidR="001D149E" w:rsidRPr="00C00819">
        <w:t xml:space="preserve"> e </w:t>
      </w:r>
      <w:proofErr w:type="spellStart"/>
      <w:r w:rsidR="001D149E" w:rsidRPr="00C00819">
        <w:t>Wouters</w:t>
      </w:r>
      <w:proofErr w:type="spellEnd"/>
      <w:r w:rsidR="00E878DB" w:rsidRPr="00C00819">
        <w:t xml:space="preserve"> (</w:t>
      </w:r>
      <w:r w:rsidR="001D149E" w:rsidRPr="00C00819">
        <w:t>200</w:t>
      </w:r>
      <w:r w:rsidR="00774C43" w:rsidRPr="00C00819">
        <w:t>7</w:t>
      </w:r>
      <w:r w:rsidR="001D149E" w:rsidRPr="00C00819">
        <w:t xml:space="preserve">), Silveira (2006) estima e compara formas alternativas de especificações para a economia brasileira. A fim de avaliar a interação entre as políticas fiscal e monetária, </w:t>
      </w:r>
      <w:proofErr w:type="spellStart"/>
      <w:r w:rsidR="001D149E" w:rsidRPr="00C00819">
        <w:t>Valli</w:t>
      </w:r>
      <w:proofErr w:type="spellEnd"/>
      <w:r w:rsidR="001D149E" w:rsidRPr="00C00819">
        <w:t xml:space="preserve"> e Carvalho (2010) estendem o modelo Europeu </w:t>
      </w:r>
      <w:r w:rsidR="000C302A" w:rsidRPr="00C00819">
        <w:rPr>
          <w:i/>
        </w:rPr>
        <w:t xml:space="preserve">New </w:t>
      </w:r>
      <w:proofErr w:type="spellStart"/>
      <w:r w:rsidR="000C302A" w:rsidRPr="00C00819">
        <w:rPr>
          <w:i/>
        </w:rPr>
        <w:t>Area-Wide</w:t>
      </w:r>
      <w:proofErr w:type="spellEnd"/>
      <w:r w:rsidR="000C302A" w:rsidRPr="00C00819">
        <w:rPr>
          <w:i/>
        </w:rPr>
        <w:t xml:space="preserve"> </w:t>
      </w:r>
      <w:proofErr w:type="spellStart"/>
      <w:r w:rsidR="000C302A" w:rsidRPr="00C00819">
        <w:rPr>
          <w:i/>
        </w:rPr>
        <w:t>Model</w:t>
      </w:r>
      <w:proofErr w:type="spellEnd"/>
      <w:r w:rsidR="000C302A" w:rsidRPr="00C00819">
        <w:rPr>
          <w:i/>
        </w:rPr>
        <w:t xml:space="preserve"> </w:t>
      </w:r>
      <w:r w:rsidR="000C302A" w:rsidRPr="00C00819">
        <w:t xml:space="preserve">- </w:t>
      </w:r>
      <w:r w:rsidR="001D149E" w:rsidRPr="00C00819">
        <w:t xml:space="preserve">NAWM, aumentando o âmbito de aplicação de políticas fiscais e permitindo heterogeneidade no mercado de trabalho. </w:t>
      </w:r>
      <w:r w:rsidR="002A3E75" w:rsidRPr="00C00819">
        <w:t>Já</w:t>
      </w:r>
      <w:r w:rsidR="001D149E" w:rsidRPr="00C00819">
        <w:t xml:space="preserve"> </w:t>
      </w:r>
      <w:proofErr w:type="spellStart"/>
      <w:r w:rsidR="001D149E" w:rsidRPr="00C00819">
        <w:t>Valli</w:t>
      </w:r>
      <w:proofErr w:type="spellEnd"/>
      <w:r w:rsidR="001D149E" w:rsidRPr="00C00819">
        <w:t xml:space="preserve"> e Carvalho (2011) considera</w:t>
      </w:r>
      <w:r w:rsidR="002A3E75" w:rsidRPr="00C00819">
        <w:t>m</w:t>
      </w:r>
      <w:r w:rsidR="001D149E" w:rsidRPr="00C00819">
        <w:t xml:space="preserve"> não somente metas de saldo primário, mas também </w:t>
      </w:r>
      <w:r w:rsidR="005533A7" w:rsidRPr="00C00819">
        <w:t>incorporam</w:t>
      </w:r>
      <w:r w:rsidRPr="00C00819">
        <w:t xml:space="preserve"> à modelagem</w:t>
      </w:r>
      <w:r w:rsidR="001D149E" w:rsidRPr="00C00819">
        <w:t xml:space="preserve"> despesas cíclicas e programas sociais sob a forma de transferências públicas, investimento público e distorções na tributação. </w:t>
      </w:r>
    </w:p>
    <w:p w14:paraId="7A457C52" w14:textId="7F935C67" w:rsidR="001D149E" w:rsidRPr="00C00819" w:rsidRDefault="001D149E" w:rsidP="00580FCE">
      <w:pPr>
        <w:ind w:firstLine="709"/>
        <w:jc w:val="both"/>
      </w:pPr>
      <w:r w:rsidRPr="00C00819">
        <w:t>Castro et al (2011)</w:t>
      </w:r>
      <w:r w:rsidRPr="00C00819">
        <w:rPr>
          <w:b/>
        </w:rPr>
        <w:t xml:space="preserve"> </w:t>
      </w:r>
      <w:r w:rsidRPr="00C00819">
        <w:t xml:space="preserve">desenvolveram um modelo DSGE </w:t>
      </w:r>
      <w:r w:rsidR="0020138D" w:rsidRPr="00C00819">
        <w:t>de grande escala p</w:t>
      </w:r>
      <w:r w:rsidRPr="00C00819">
        <w:t xml:space="preserve">ara a economia brasileira </w:t>
      </w:r>
      <w:r w:rsidR="0020138D" w:rsidRPr="00C00819">
        <w:t>(</w:t>
      </w:r>
      <w:r w:rsidRPr="00C00819">
        <w:t xml:space="preserve">denominado SAMBA – </w:t>
      </w:r>
      <w:proofErr w:type="spellStart"/>
      <w:r w:rsidRPr="00C00819">
        <w:rPr>
          <w:i/>
        </w:rPr>
        <w:t>Stochastic</w:t>
      </w:r>
      <w:proofErr w:type="spellEnd"/>
      <w:r w:rsidRPr="00C00819">
        <w:rPr>
          <w:i/>
        </w:rPr>
        <w:t xml:space="preserve"> </w:t>
      </w:r>
      <w:proofErr w:type="spellStart"/>
      <w:r w:rsidRPr="00C00819">
        <w:rPr>
          <w:i/>
        </w:rPr>
        <w:t>Analytical</w:t>
      </w:r>
      <w:proofErr w:type="spellEnd"/>
      <w:r w:rsidRPr="00C00819">
        <w:rPr>
          <w:i/>
        </w:rPr>
        <w:t xml:space="preserve"> </w:t>
      </w:r>
      <w:proofErr w:type="spellStart"/>
      <w:r w:rsidRPr="00C00819">
        <w:rPr>
          <w:i/>
        </w:rPr>
        <w:t>Model</w:t>
      </w:r>
      <w:proofErr w:type="spellEnd"/>
      <w:r w:rsidRPr="00C00819">
        <w:rPr>
          <w:i/>
        </w:rPr>
        <w:t xml:space="preserve"> </w:t>
      </w:r>
      <w:proofErr w:type="spellStart"/>
      <w:r w:rsidRPr="00C00819">
        <w:rPr>
          <w:i/>
        </w:rPr>
        <w:t>with</w:t>
      </w:r>
      <w:proofErr w:type="spellEnd"/>
      <w:r w:rsidRPr="00C00819">
        <w:rPr>
          <w:i/>
        </w:rPr>
        <w:t xml:space="preserve"> </w:t>
      </w:r>
      <w:proofErr w:type="spellStart"/>
      <w:r w:rsidRPr="00C00819">
        <w:rPr>
          <w:i/>
        </w:rPr>
        <w:t>Bayesian</w:t>
      </w:r>
      <w:proofErr w:type="spellEnd"/>
      <w:r w:rsidRPr="00C00819">
        <w:rPr>
          <w:i/>
        </w:rPr>
        <w:t xml:space="preserve"> Approach</w:t>
      </w:r>
      <w:r w:rsidR="0020138D" w:rsidRPr="00C00819">
        <w:t xml:space="preserve">), </w:t>
      </w:r>
      <w:r w:rsidRPr="00C00819">
        <w:t>combina</w:t>
      </w:r>
      <w:r w:rsidR="0020138D" w:rsidRPr="00C00819">
        <w:t>ndo</w:t>
      </w:r>
      <w:r w:rsidRPr="00C00819">
        <w:t xml:space="preserve"> caracter</w:t>
      </w:r>
      <w:r w:rsidR="00F15019" w:rsidRPr="00C00819">
        <w:t>ísticas usuais da abordagem Novo-Keynesiana</w:t>
      </w:r>
      <w:r w:rsidR="0020138D" w:rsidRPr="00C00819">
        <w:t>, como rigidez de preços e salários e custos de ajustamento,</w:t>
      </w:r>
      <w:r w:rsidRPr="00C00819">
        <w:t xml:space="preserve"> com características representativas da economia brasileira. </w:t>
      </w:r>
      <w:r w:rsidR="00F15019" w:rsidRPr="00C00819">
        <w:t>Já</w:t>
      </w:r>
      <w:r w:rsidR="0020138D" w:rsidRPr="00C00819">
        <w:t xml:space="preserve"> </w:t>
      </w:r>
      <w:r w:rsidRPr="00C00819">
        <w:t xml:space="preserve">Vasconcelos e Divino (2012) estimaram o modelo de </w:t>
      </w:r>
      <w:proofErr w:type="spellStart"/>
      <w:r w:rsidRPr="00C00819">
        <w:t>Smets</w:t>
      </w:r>
      <w:proofErr w:type="spellEnd"/>
      <w:r w:rsidRPr="00C00819">
        <w:t xml:space="preserve"> e </w:t>
      </w:r>
      <w:proofErr w:type="spellStart"/>
      <w:r w:rsidRPr="00C00819">
        <w:t>Wouters</w:t>
      </w:r>
      <w:proofErr w:type="spellEnd"/>
      <w:r w:rsidRPr="00C00819">
        <w:t xml:space="preserve"> (2007) para a economi</w:t>
      </w:r>
      <w:r w:rsidR="00F15019" w:rsidRPr="00C00819">
        <w:t xml:space="preserve">a brasileira visando comparar as dinâmicas </w:t>
      </w:r>
      <w:r w:rsidR="0020138D" w:rsidRPr="00C00819">
        <w:t xml:space="preserve">das economias brasileira e americana. Por outro lado, </w:t>
      </w:r>
      <w:r w:rsidR="00675B56" w:rsidRPr="00C00819">
        <w:t>Kornelius e Divino (2015</w:t>
      </w:r>
      <w:r w:rsidRPr="00C00819">
        <w:t xml:space="preserve">) alteram o modelo DSGE proposto por </w:t>
      </w:r>
      <w:proofErr w:type="spellStart"/>
      <w:r w:rsidRPr="00C00819">
        <w:t>Ger</w:t>
      </w:r>
      <w:r w:rsidR="0020138D" w:rsidRPr="00C00819">
        <w:t>tler</w:t>
      </w:r>
      <w:proofErr w:type="spellEnd"/>
      <w:r w:rsidR="0020138D" w:rsidRPr="00C00819">
        <w:t xml:space="preserve"> e </w:t>
      </w:r>
      <w:proofErr w:type="spellStart"/>
      <w:r w:rsidR="0020138D" w:rsidRPr="00C00819">
        <w:t>Karadi</w:t>
      </w:r>
      <w:proofErr w:type="spellEnd"/>
      <w:r w:rsidR="0020138D" w:rsidRPr="00C00819">
        <w:t xml:space="preserve"> (2011) para</w:t>
      </w:r>
      <w:r w:rsidRPr="00C00819">
        <w:t xml:space="preserve"> introduzir a exigência de depósitos compulsórios pela Autoridade Monetária e um choque de confiança dos depositantes no sistema financeiro. </w:t>
      </w:r>
      <w:r w:rsidR="00E176F4" w:rsidRPr="00C00819">
        <w:t>Observou</w:t>
      </w:r>
      <w:r w:rsidRPr="00C00819">
        <w:t xml:space="preserve">-se que o compulsório afeta a dinâmica de propagação e amplia os efeitos de choques </w:t>
      </w:r>
      <w:r w:rsidR="00E176F4" w:rsidRPr="00C00819">
        <w:t xml:space="preserve">exógenos </w:t>
      </w:r>
      <w:r w:rsidRPr="00C00819">
        <w:t>por meio do canal do crédito.</w:t>
      </w:r>
      <w:r w:rsidR="00E176F4" w:rsidRPr="00C00819">
        <w:t xml:space="preserve"> Nessa mesma linha,</w:t>
      </w:r>
      <w:r w:rsidR="000A5509" w:rsidRPr="00C00819">
        <w:rPr>
          <w:b/>
        </w:rPr>
        <w:t xml:space="preserve"> </w:t>
      </w:r>
      <w:r w:rsidRPr="00C00819">
        <w:t xml:space="preserve">Areosa e Coelho (2013) verificaram que o impacto da redução da alíquota do recolhimento </w:t>
      </w:r>
      <w:r w:rsidRPr="00C00819">
        <w:lastRenderedPageBreak/>
        <w:t>compulsório possui efeitos semelhantes aos de uma redução na taxa básica de juros, porém quantitativamente menores.</w:t>
      </w:r>
    </w:p>
    <w:p w14:paraId="7A457C53" w14:textId="77777777" w:rsidR="00C620CC" w:rsidRPr="00C00819" w:rsidRDefault="001D149E" w:rsidP="00580FCE">
      <w:pPr>
        <w:ind w:firstLine="709"/>
        <w:jc w:val="both"/>
      </w:pPr>
      <w:r w:rsidRPr="00C00819">
        <w:t>Silva e Divino (2013) examinaram os canais de transmissão da crise financeira para o lado real da economia</w:t>
      </w:r>
      <w:r w:rsidR="00E176F4" w:rsidRPr="00C00819">
        <w:t xml:space="preserve"> brasileira</w:t>
      </w:r>
      <w:r w:rsidRPr="00C00819">
        <w:t>. Além disso, analisa</w:t>
      </w:r>
      <w:r w:rsidR="006E33AB" w:rsidRPr="00C00819">
        <w:t>ram</w:t>
      </w:r>
      <w:r w:rsidRPr="00C00819">
        <w:t xml:space="preserve"> a eficiência das instituições financeiras, considerando que o banco transforma os recursos captados em crédito por </w:t>
      </w:r>
      <w:r w:rsidR="00E176F4" w:rsidRPr="00C00819">
        <w:t>meio de uma função de produção</w:t>
      </w:r>
      <w:r w:rsidRPr="00C00819">
        <w:t xml:space="preserve">. </w:t>
      </w:r>
      <w:r w:rsidR="00C620CC" w:rsidRPr="00C00819">
        <w:t xml:space="preserve">Como resultado, </w:t>
      </w:r>
      <w:r w:rsidR="006E33AB" w:rsidRPr="00C00819">
        <w:t>encontraram que a</w:t>
      </w:r>
      <w:r w:rsidR="005C70A4" w:rsidRPr="00C00819">
        <w:t xml:space="preserve"> taxa de pagamento</w:t>
      </w:r>
      <w:r w:rsidR="001B7849" w:rsidRPr="00C00819">
        <w:t xml:space="preserve"> é pró</w:t>
      </w:r>
      <w:r w:rsidR="005C70A4" w:rsidRPr="00C00819">
        <w:t>-cíclica</w:t>
      </w:r>
      <w:r w:rsidR="00E176F4" w:rsidRPr="00C00819">
        <w:t xml:space="preserve"> e </w:t>
      </w:r>
      <w:r w:rsidR="00C620CC" w:rsidRPr="00C00819">
        <w:t xml:space="preserve">o risco de </w:t>
      </w:r>
      <w:r w:rsidR="00C620CC" w:rsidRPr="00C00819">
        <w:rPr>
          <w:i/>
        </w:rPr>
        <w:t xml:space="preserve">default </w:t>
      </w:r>
      <w:r w:rsidR="00C620CC" w:rsidRPr="00C00819">
        <w:t>depende de características estruturais.</w:t>
      </w:r>
    </w:p>
    <w:p w14:paraId="7A457C54" w14:textId="77777777" w:rsidR="00F15019" w:rsidRPr="00C00819" w:rsidRDefault="00F15019" w:rsidP="00F15019">
      <w:pPr>
        <w:ind w:firstLine="709"/>
        <w:jc w:val="both"/>
      </w:pPr>
      <w:r w:rsidRPr="00C00819">
        <w:t xml:space="preserve">O presente estudo contribui com a literatura ao obter a probabilidade de </w:t>
      </w:r>
      <w:r w:rsidRPr="00C00819">
        <w:rPr>
          <w:i/>
        </w:rPr>
        <w:t xml:space="preserve">default </w:t>
      </w:r>
      <w:r w:rsidRPr="00C00819">
        <w:t xml:space="preserve">das firmas endogenamente ao modelo, diferente de grande parte dos artigos que a tratam de forma exógena. Ademais, ao trazer duas taxas de juros distintas para diferentes tomadores de crédito, </w:t>
      </w:r>
      <w:r w:rsidR="006E33AB" w:rsidRPr="00C00819">
        <w:t xml:space="preserve">chamados de </w:t>
      </w:r>
      <w:r w:rsidRPr="00C00819">
        <w:t>“</w:t>
      </w:r>
      <w:r w:rsidRPr="00C00819">
        <w:rPr>
          <w:i/>
        </w:rPr>
        <w:t>bons</w:t>
      </w:r>
      <w:r w:rsidRPr="00C00819">
        <w:t>” e “</w:t>
      </w:r>
      <w:r w:rsidRPr="00C00819">
        <w:rPr>
          <w:i/>
        </w:rPr>
        <w:t>maus</w:t>
      </w:r>
      <w:r w:rsidR="006E33AB" w:rsidRPr="00C00819">
        <w:t>” pagadores, o modelo permite ana</w:t>
      </w:r>
      <w:r w:rsidRPr="00C00819">
        <w:t>lis</w:t>
      </w:r>
      <w:r w:rsidR="006E33AB" w:rsidRPr="00C00819">
        <w:t>ar</w:t>
      </w:r>
      <w:r w:rsidRPr="00C00819">
        <w:t xml:space="preserve"> como a qualidade dos mutuários impacta na taxa de juros global dos empréstimos. Como resultado, verifica-se a existência de uma relação negativa entre a taxa de juros da economia e a taxa de pagamento dos empréstimos que funciona como uma compensação para o banco pelas perdas com o </w:t>
      </w:r>
      <w:r w:rsidRPr="00C00819">
        <w:rPr>
          <w:i/>
        </w:rPr>
        <w:t>default</w:t>
      </w:r>
      <w:r w:rsidRPr="00C00819">
        <w:t xml:space="preserve"> dos “</w:t>
      </w:r>
      <w:r w:rsidRPr="00C00819">
        <w:rPr>
          <w:i/>
        </w:rPr>
        <w:t>maus</w:t>
      </w:r>
      <w:r w:rsidR="006E33AB" w:rsidRPr="00C00819">
        <w:t>” pagadores. Além disso</w:t>
      </w:r>
      <w:r w:rsidRPr="00C00819">
        <w:t>, o custo mais elevado para o crédito, devido ao risco de crédito, resulta em efeit</w:t>
      </w:r>
      <w:r w:rsidR="006E33AB" w:rsidRPr="00C00819">
        <w:t>os mais danosos para a economia</w:t>
      </w:r>
      <w:r w:rsidRPr="00C00819">
        <w:t xml:space="preserve"> em termos de </w:t>
      </w:r>
      <w:r w:rsidR="006E33AB" w:rsidRPr="00C00819">
        <w:t xml:space="preserve">queda no </w:t>
      </w:r>
      <w:r w:rsidRPr="00C00819">
        <w:t xml:space="preserve">produto. Adicionalmente, o estudo também trata das consequências de alterações nos depósitos compulsórios sobre a </w:t>
      </w:r>
      <w:r w:rsidR="006E33AB" w:rsidRPr="00C00819">
        <w:t xml:space="preserve">dinâmica da </w:t>
      </w:r>
      <w:r w:rsidRPr="00C00819">
        <w:t>economia. A</w:t>
      </w:r>
      <w:r w:rsidR="006E33AB" w:rsidRPr="00C00819">
        <w:t>s avaliações individuais</w:t>
      </w:r>
      <w:r w:rsidRPr="00C00819">
        <w:t xml:space="preserve"> de variações na alíquota e na remuneração do compulsório mostraram que alíquotas maiores e remunerações menores trazem efeitos recessivos mais severos para o produto da economia na presença de um choque de política monetária. Quanto ao resultado sobre a inflação, as </w:t>
      </w:r>
      <w:r w:rsidR="006E33AB" w:rsidRPr="00C00819">
        <w:t xml:space="preserve">respostas dinâmicas </w:t>
      </w:r>
      <w:r w:rsidRPr="00C00819">
        <w:t>indicam que alterações nos depósitos compulsórios, sejam elas na alíquota ou na remuneração, influenciam pouco na resposta da inflação a esse choque.</w:t>
      </w:r>
    </w:p>
    <w:p w14:paraId="7A457C55" w14:textId="77777777" w:rsidR="000F31EE" w:rsidRPr="00C00819" w:rsidRDefault="00F15019" w:rsidP="000F31EE">
      <w:pPr>
        <w:tabs>
          <w:tab w:val="left" w:pos="709"/>
        </w:tabs>
        <w:jc w:val="both"/>
      </w:pPr>
      <w:r w:rsidRPr="00C00819">
        <w:tab/>
      </w:r>
      <w:r w:rsidR="000F31EE" w:rsidRPr="00C00819">
        <w:t xml:space="preserve">Este artigo está organizado do seguinte modo. A </w:t>
      </w:r>
      <w:r w:rsidR="001D6D30" w:rsidRPr="00C00819">
        <w:t xml:space="preserve">segunda </w:t>
      </w:r>
      <w:r w:rsidR="000F31EE" w:rsidRPr="00C00819">
        <w:t xml:space="preserve">seção apresenta o modelo teórico </w:t>
      </w:r>
      <w:r w:rsidR="001D6D30" w:rsidRPr="00C00819">
        <w:t xml:space="preserve">base </w:t>
      </w:r>
      <w:r w:rsidR="000F31EE" w:rsidRPr="00C00819">
        <w:t xml:space="preserve">e discorre sobre as alterações realizadas nesse modelo. A terceira seção </w:t>
      </w:r>
      <w:r w:rsidR="001D6D30" w:rsidRPr="00C00819">
        <w:t xml:space="preserve">reporta </w:t>
      </w:r>
      <w:r w:rsidR="000F31EE" w:rsidRPr="00C00819">
        <w:t xml:space="preserve">os resultados de choques na política monetária, na taxa de pagamento dos empréstimos e na alíquota dos requerimentos compulsórios. </w:t>
      </w:r>
      <w:r w:rsidR="001D6D30" w:rsidRPr="00C00819">
        <w:t>Por fim, a quarta</w:t>
      </w:r>
      <w:r w:rsidR="000F31EE" w:rsidRPr="00C00819">
        <w:t xml:space="preserve"> seção trata das </w:t>
      </w:r>
      <w:r w:rsidR="001D6D30" w:rsidRPr="00C00819">
        <w:t xml:space="preserve">observações conclusivas. </w:t>
      </w:r>
    </w:p>
    <w:p w14:paraId="7A457C57" w14:textId="77777777" w:rsidR="00F50EE1" w:rsidRPr="00C00819" w:rsidRDefault="00F50EE1" w:rsidP="001367AA">
      <w:pPr>
        <w:pStyle w:val="Ttulo2"/>
        <w:numPr>
          <w:ilvl w:val="1"/>
          <w:numId w:val="9"/>
        </w:numPr>
        <w:tabs>
          <w:tab w:val="left" w:pos="426"/>
        </w:tabs>
        <w:spacing w:before="120" w:after="120" w:line="240" w:lineRule="auto"/>
        <w:ind w:left="0" w:firstLine="0"/>
        <w:rPr>
          <w:rFonts w:ascii="Times New Roman" w:hAnsi="Times New Roman" w:cs="Times New Roman"/>
          <w:sz w:val="24"/>
          <w:szCs w:val="24"/>
        </w:rPr>
      </w:pPr>
      <w:bookmarkStart w:id="5" w:name="_Toc451294378"/>
      <w:r w:rsidRPr="00C00819">
        <w:rPr>
          <w:rFonts w:ascii="Times New Roman" w:hAnsi="Times New Roman" w:cs="Times New Roman"/>
          <w:sz w:val="24"/>
          <w:szCs w:val="24"/>
        </w:rPr>
        <w:t>MODEL</w:t>
      </w:r>
      <w:bookmarkEnd w:id="3"/>
      <w:bookmarkEnd w:id="5"/>
      <w:r w:rsidR="004A45C6" w:rsidRPr="00C00819">
        <w:rPr>
          <w:rFonts w:ascii="Times New Roman" w:hAnsi="Times New Roman" w:cs="Times New Roman"/>
          <w:sz w:val="24"/>
          <w:szCs w:val="24"/>
        </w:rPr>
        <w:t xml:space="preserve">O </w:t>
      </w:r>
    </w:p>
    <w:p w14:paraId="7A457C59" w14:textId="77777777" w:rsidR="00F80447" w:rsidRPr="00C00819" w:rsidRDefault="00F80447" w:rsidP="00F40F0E">
      <w:pPr>
        <w:ind w:firstLine="708"/>
        <w:jc w:val="both"/>
      </w:pPr>
      <w:r w:rsidRPr="00C00819">
        <w:t xml:space="preserve">Conforme já mencionado, </w:t>
      </w:r>
      <w:r w:rsidR="003070B3" w:rsidRPr="00C00819">
        <w:t>o m</w:t>
      </w:r>
      <w:r w:rsidR="00F50EE1" w:rsidRPr="00C00819">
        <w:t xml:space="preserve">odelo </w:t>
      </w:r>
      <w:r w:rsidR="003070B3" w:rsidRPr="00C00819">
        <w:t xml:space="preserve">de </w:t>
      </w:r>
      <w:proofErr w:type="spellStart"/>
      <w:r w:rsidR="003070B3" w:rsidRPr="00C00819">
        <w:t>Gertler</w:t>
      </w:r>
      <w:proofErr w:type="spellEnd"/>
      <w:r w:rsidR="003070B3" w:rsidRPr="00C00819">
        <w:t xml:space="preserve"> e</w:t>
      </w:r>
      <w:r w:rsidRPr="00C00819">
        <w:t xml:space="preserve"> </w:t>
      </w:r>
      <w:proofErr w:type="spellStart"/>
      <w:r w:rsidRPr="00C00819">
        <w:t>Karadi</w:t>
      </w:r>
      <w:proofErr w:type="spellEnd"/>
      <w:r w:rsidRPr="00C00819">
        <w:t xml:space="preserve"> (2011)</w:t>
      </w:r>
      <w:r w:rsidR="003070B3" w:rsidRPr="00C00819">
        <w:t xml:space="preserve"> </w:t>
      </w:r>
      <w:r w:rsidR="001F26A3" w:rsidRPr="00C00819">
        <w:t xml:space="preserve">balizou </w:t>
      </w:r>
      <w:r w:rsidR="00B14397" w:rsidRPr="00C00819">
        <w:t xml:space="preserve">o </w:t>
      </w:r>
      <w:r w:rsidR="003070B3" w:rsidRPr="00C00819">
        <w:t xml:space="preserve">estudo. </w:t>
      </w:r>
      <w:r w:rsidR="00196EE1" w:rsidRPr="00C00819">
        <w:t>E</w:t>
      </w:r>
      <w:r w:rsidRPr="00C00819">
        <w:t xml:space="preserve">le </w:t>
      </w:r>
      <w:r w:rsidR="00196EE1" w:rsidRPr="00C00819">
        <w:t xml:space="preserve">foi escolhido </w:t>
      </w:r>
      <w:r w:rsidR="001F26A3" w:rsidRPr="00C00819">
        <w:t xml:space="preserve">como referência </w:t>
      </w:r>
      <w:r w:rsidR="00196EE1" w:rsidRPr="00C00819">
        <w:t>por incorporar dir</w:t>
      </w:r>
      <w:r w:rsidR="001F26A3" w:rsidRPr="00C00819">
        <w:t xml:space="preserve">etamente o sistema </w:t>
      </w:r>
      <w:r w:rsidR="00D96200" w:rsidRPr="00C00819">
        <w:t>bancário</w:t>
      </w:r>
      <w:r w:rsidR="001F26A3" w:rsidRPr="00C00819">
        <w:t xml:space="preserve"> em um</w:t>
      </w:r>
      <w:r w:rsidR="00196EE1" w:rsidRPr="00C00819">
        <w:t xml:space="preserve"> modelo</w:t>
      </w:r>
      <w:r w:rsidR="001F26A3" w:rsidRPr="00C00819">
        <w:t xml:space="preserve"> DSGE</w:t>
      </w:r>
      <w:r w:rsidRPr="00C00819">
        <w:t xml:space="preserve">, permitindo </w:t>
      </w:r>
      <w:r w:rsidR="001F26A3" w:rsidRPr="00C00819">
        <w:t>alterações na modelagem d</w:t>
      </w:r>
      <w:r w:rsidR="00D96200" w:rsidRPr="00C00819">
        <w:t>o</w:t>
      </w:r>
      <w:r w:rsidR="001F26A3" w:rsidRPr="00C00819">
        <w:t xml:space="preserve">s </w:t>
      </w:r>
      <w:r w:rsidRPr="00C00819">
        <w:t>bancos e</w:t>
      </w:r>
      <w:r w:rsidR="00221310" w:rsidRPr="00C00819">
        <w:t xml:space="preserve"> favorecendo a análise d</w:t>
      </w:r>
      <w:r w:rsidR="002E06C1" w:rsidRPr="00C00819">
        <w:t>os efeitos d</w:t>
      </w:r>
      <w:r w:rsidR="00221310" w:rsidRPr="00C00819">
        <w:t>e fricções financeiras</w:t>
      </w:r>
      <w:r w:rsidR="002E06C1" w:rsidRPr="00C00819">
        <w:t xml:space="preserve"> sobre o lado real da economia</w:t>
      </w:r>
      <w:r w:rsidR="001F26A3" w:rsidRPr="00C00819">
        <w:t xml:space="preserve">. Assim, foi possível introduzir o risco de crédito na </w:t>
      </w:r>
      <w:r w:rsidR="00D32943" w:rsidRPr="00C00819">
        <w:t>intermediação financeira</w:t>
      </w:r>
      <w:r w:rsidR="00221310" w:rsidRPr="00C00819">
        <w:t xml:space="preserve">, de modo a avaliar </w:t>
      </w:r>
      <w:r w:rsidR="00D32943" w:rsidRPr="00C00819">
        <w:t>a consequência</w:t>
      </w:r>
      <w:r w:rsidR="00221310" w:rsidRPr="00C00819">
        <w:t xml:space="preserve"> do não pagamento dos empréstimos sobre o balanço </w:t>
      </w:r>
      <w:r w:rsidR="00D32943" w:rsidRPr="00C00819">
        <w:t xml:space="preserve">dos bancos e </w:t>
      </w:r>
      <w:r w:rsidR="0005173F" w:rsidRPr="00C00819">
        <w:t>qual a repercussão</w:t>
      </w:r>
      <w:r w:rsidR="00227A6E" w:rsidRPr="00C00819">
        <w:t xml:space="preserve"> dessa variável</w:t>
      </w:r>
      <w:r w:rsidR="0005173F" w:rsidRPr="00C00819">
        <w:t xml:space="preserve"> sobre </w:t>
      </w:r>
      <w:r w:rsidR="00D32943" w:rsidRPr="00C00819">
        <w:t>os demais agentes da economia.</w:t>
      </w:r>
      <w:r w:rsidR="003070B3" w:rsidRPr="00C00819">
        <w:t xml:space="preserve"> </w:t>
      </w:r>
      <w:r w:rsidRPr="00C00819">
        <w:t xml:space="preserve">Outro elemento acrescido à estrutura original, que se mostrou relevante ao caso brasileiro na aplicação pioneira realizada por Kornelius e Divino (2015), é o </w:t>
      </w:r>
      <w:r w:rsidR="00F50EE1" w:rsidRPr="00C00819">
        <w:t>requerimento de depósitos compulsó</w:t>
      </w:r>
      <w:r w:rsidR="00C92DC5" w:rsidRPr="00C00819">
        <w:t>rios pela Autoridade Monetária</w:t>
      </w:r>
      <w:r w:rsidR="00F50EE1" w:rsidRPr="00C00819">
        <w:t>.</w:t>
      </w:r>
    </w:p>
    <w:p w14:paraId="7A457C5A" w14:textId="77777777" w:rsidR="004A45C6" w:rsidRPr="00C00819" w:rsidRDefault="00F80447" w:rsidP="004A45C6">
      <w:pPr>
        <w:jc w:val="both"/>
      </w:pPr>
      <w:r w:rsidRPr="00C00819">
        <w:tab/>
        <w:t xml:space="preserve">Como a versão original do modelo é bastante conhecida na literatura, tendo sido </w:t>
      </w:r>
      <w:r w:rsidR="004A45C6" w:rsidRPr="00C00819">
        <w:t xml:space="preserve">ampliada e modificada em diversas dimensões, omite-se a sua apresentação, que pode ser encontrada em </w:t>
      </w:r>
      <w:proofErr w:type="spellStart"/>
      <w:r w:rsidR="004A45C6" w:rsidRPr="00C00819">
        <w:t>Gertler</w:t>
      </w:r>
      <w:proofErr w:type="spellEnd"/>
      <w:r w:rsidR="004A45C6" w:rsidRPr="00C00819">
        <w:t xml:space="preserve"> e </w:t>
      </w:r>
      <w:proofErr w:type="spellStart"/>
      <w:r w:rsidR="004A45C6" w:rsidRPr="00C00819">
        <w:t>Karadi</w:t>
      </w:r>
      <w:proofErr w:type="spellEnd"/>
      <w:r w:rsidR="004A45C6" w:rsidRPr="00C00819">
        <w:t xml:space="preserve"> (2011). </w:t>
      </w:r>
      <w:bookmarkStart w:id="6" w:name="_Toc432493972"/>
      <w:r w:rsidR="004A45C6" w:rsidRPr="00C00819">
        <w:t xml:space="preserve">Descreve-se, a seguir, </w:t>
      </w:r>
      <w:bookmarkEnd w:id="6"/>
      <w:r w:rsidR="009F2036" w:rsidRPr="00C00819">
        <w:t>as mo</w:t>
      </w:r>
      <w:r w:rsidR="004A45C6" w:rsidRPr="00C00819">
        <w:t>dificações realizadas no modelo-base, a saber,</w:t>
      </w:r>
      <w:r w:rsidR="00486030" w:rsidRPr="00C00819">
        <w:t xml:space="preserve"> introdução de requerimentos </w:t>
      </w:r>
      <w:r w:rsidR="00C57016" w:rsidRPr="00C00819">
        <w:t>compulsórios e risco de crédito</w:t>
      </w:r>
    </w:p>
    <w:p w14:paraId="7A457C5B" w14:textId="77777777" w:rsidR="00F50EE1" w:rsidRPr="00C00819" w:rsidRDefault="00C57016" w:rsidP="00C57016">
      <w:pPr>
        <w:pStyle w:val="Ttulo3"/>
        <w:spacing w:before="120" w:after="120" w:line="240" w:lineRule="auto"/>
        <w:rPr>
          <w:rFonts w:ascii="Times New Roman" w:hAnsi="Times New Roman" w:cs="Times New Roman"/>
        </w:rPr>
      </w:pPr>
      <w:bookmarkStart w:id="7" w:name="_Toc442076368"/>
      <w:bookmarkStart w:id="8" w:name="_Toc442076606"/>
      <w:bookmarkStart w:id="9" w:name="_Toc442166281"/>
      <w:bookmarkStart w:id="10" w:name="_Toc442607420"/>
      <w:bookmarkStart w:id="11" w:name="_Toc442703406"/>
      <w:bookmarkStart w:id="12" w:name="_Toc442703450"/>
      <w:bookmarkStart w:id="13" w:name="_Toc442703536"/>
      <w:bookmarkStart w:id="14" w:name="_Toc442704220"/>
      <w:bookmarkStart w:id="15" w:name="_Toc442720883"/>
      <w:bookmarkStart w:id="16" w:name="_Toc442797866"/>
      <w:bookmarkStart w:id="17" w:name="_Toc443216701"/>
      <w:bookmarkStart w:id="18" w:name="_Toc443217151"/>
      <w:bookmarkStart w:id="19" w:name="_Toc443217411"/>
      <w:bookmarkStart w:id="20" w:name="_Toc443280444"/>
      <w:bookmarkStart w:id="21" w:name="_Toc443286324"/>
      <w:bookmarkStart w:id="22" w:name="_Toc443286370"/>
      <w:bookmarkStart w:id="23" w:name="_Toc443287408"/>
      <w:bookmarkStart w:id="24" w:name="_Toc443287453"/>
      <w:bookmarkStart w:id="25" w:name="_Toc443452185"/>
      <w:bookmarkStart w:id="26" w:name="_Toc443452232"/>
      <w:bookmarkStart w:id="27" w:name="_Toc443452279"/>
      <w:bookmarkStart w:id="28" w:name="_Toc443452353"/>
      <w:bookmarkStart w:id="29" w:name="_Toc443452401"/>
      <w:bookmarkStart w:id="30" w:name="_Toc443462244"/>
      <w:bookmarkStart w:id="31" w:name="_Toc443462505"/>
      <w:bookmarkStart w:id="32" w:name="_Toc443462623"/>
      <w:bookmarkStart w:id="33" w:name="_Toc443463010"/>
      <w:bookmarkStart w:id="34" w:name="_Toc443500095"/>
      <w:bookmarkStart w:id="35" w:name="_Toc443504926"/>
      <w:bookmarkStart w:id="36" w:name="_Toc443505162"/>
      <w:bookmarkStart w:id="37" w:name="_Toc443542887"/>
      <w:bookmarkStart w:id="38" w:name="_Toc443550229"/>
      <w:bookmarkStart w:id="39" w:name="_Toc443550585"/>
      <w:bookmarkStart w:id="40" w:name="_Toc443577950"/>
      <w:bookmarkStart w:id="41" w:name="_Toc443592855"/>
      <w:bookmarkStart w:id="42" w:name="_Toc443597021"/>
      <w:bookmarkStart w:id="43" w:name="_Toc443597068"/>
      <w:bookmarkStart w:id="44" w:name="_Toc447441000"/>
      <w:bookmarkStart w:id="45" w:name="_Toc447989461"/>
      <w:bookmarkStart w:id="46" w:name="_Toc447989894"/>
      <w:bookmarkStart w:id="47" w:name="_Toc448596273"/>
      <w:bookmarkStart w:id="48" w:name="_Toc448678401"/>
      <w:bookmarkStart w:id="49" w:name="_Toc449864138"/>
      <w:bookmarkStart w:id="50" w:name="_Toc449864195"/>
      <w:bookmarkStart w:id="51" w:name="_Toc449864360"/>
      <w:bookmarkStart w:id="52" w:name="_Toc449905911"/>
      <w:bookmarkStart w:id="53" w:name="_Toc449905961"/>
      <w:bookmarkStart w:id="54" w:name="_Toc449906613"/>
      <w:bookmarkStart w:id="55" w:name="_Toc450118172"/>
      <w:bookmarkStart w:id="56" w:name="_Toc450118237"/>
      <w:bookmarkStart w:id="57" w:name="_Toc450167932"/>
      <w:bookmarkStart w:id="58" w:name="_Toc450197726"/>
      <w:bookmarkStart w:id="59" w:name="_Toc450256348"/>
      <w:bookmarkStart w:id="60" w:name="_Toc450259560"/>
      <w:bookmarkStart w:id="61" w:name="_Toc432493976"/>
      <w:bookmarkStart w:id="62" w:name="_Toc451294390"/>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rsidRPr="00C00819">
        <w:rPr>
          <w:rFonts w:ascii="Times New Roman" w:hAnsi="Times New Roman" w:cs="Times New Roman"/>
        </w:rPr>
        <w:t xml:space="preserve">2.1 </w:t>
      </w:r>
      <w:r w:rsidR="00F50EE1" w:rsidRPr="00C00819">
        <w:rPr>
          <w:rFonts w:ascii="Times New Roman" w:hAnsi="Times New Roman" w:cs="Times New Roman"/>
        </w:rPr>
        <w:t>Depósitos Compulsórios</w:t>
      </w:r>
      <w:bookmarkEnd w:id="61"/>
      <w:bookmarkEnd w:id="62"/>
    </w:p>
    <w:p w14:paraId="7A457C5C" w14:textId="6E799198" w:rsidR="00F50EE1" w:rsidRPr="00C00819" w:rsidRDefault="00F50EE1" w:rsidP="00580FCE">
      <w:pPr>
        <w:ind w:firstLine="709"/>
        <w:jc w:val="both"/>
        <w:rPr>
          <w:iCs/>
        </w:rPr>
      </w:pPr>
      <w:r w:rsidRPr="00C00819">
        <w:rPr>
          <w:iCs/>
        </w:rPr>
        <w:t>A inclusão do requerimento de depósitos compulsórios é realizada conforme Montoro e Tovar (2010)</w:t>
      </w:r>
      <w:r w:rsidR="00C57016" w:rsidRPr="00C00819">
        <w:rPr>
          <w:iCs/>
        </w:rPr>
        <w:t xml:space="preserve">, que </w:t>
      </w:r>
      <w:r w:rsidR="008A48BA" w:rsidRPr="00C00819">
        <w:rPr>
          <w:iCs/>
        </w:rPr>
        <w:t>também foi aplicada ao caso brasileiro por Kornelius e Divino (2015)</w:t>
      </w:r>
      <w:r w:rsidRPr="00C00819">
        <w:rPr>
          <w:iCs/>
        </w:rPr>
        <w:t xml:space="preserve">. Dessa forma, </w:t>
      </w:r>
      <w:r w:rsidR="00F249F5" w:rsidRPr="00C00819">
        <w:rPr>
          <w:iCs/>
        </w:rPr>
        <w:t xml:space="preserve">considera </w:t>
      </w:r>
      <w:r w:rsidRPr="00C00819">
        <w:rPr>
          <w:iCs/>
        </w:rPr>
        <w:t xml:space="preserve">que a Autoridade Monetária recolhe uma fração dos depósitos recebidos pelos bancos, </w:t>
      </w:r>
      <w:r w:rsidR="00082F91" w:rsidRPr="00C00819">
        <w:t>de modo a interferir na quantidade de moeda da economia</w:t>
      </w:r>
      <w:r w:rsidRPr="00C00819">
        <w:rPr>
          <w:iCs/>
        </w:rPr>
        <w:t xml:space="preserve">. Então, dado que </w:t>
      </w:r>
      <m:oMath>
        <m:sSub>
          <m:sSubPr>
            <m:ctrlPr>
              <w:rPr>
                <w:rFonts w:ascii="Cambria Math" w:hAnsi="Cambria Math"/>
                <w:i/>
                <w:iCs/>
              </w:rPr>
            </m:ctrlPr>
          </m:sSubPr>
          <m:e>
            <m:r>
              <w:rPr>
                <w:rFonts w:ascii="Cambria Math" w:hAnsi="Cambria Math"/>
              </w:rPr>
              <m:t>B</m:t>
            </m:r>
          </m:e>
          <m:sub>
            <m:r>
              <w:rPr>
                <w:rFonts w:ascii="Cambria Math" w:hAnsi="Cambria Math"/>
              </w:rPr>
              <m:t>jt+1</m:t>
            </m:r>
          </m:sub>
        </m:sSub>
      </m:oMath>
      <w:r w:rsidRPr="00C00819">
        <w:rPr>
          <w:iCs/>
        </w:rPr>
        <w:t xml:space="preserve"> é o volume de depósitos captados em </w:t>
      </w:r>
      <m:oMath>
        <m:r>
          <w:rPr>
            <w:rFonts w:ascii="Cambria Math" w:hAnsi="Cambria Math"/>
          </w:rPr>
          <m:t>t</m:t>
        </m:r>
      </m:oMath>
      <w:r w:rsidR="004008ED" w:rsidRPr="00C00819">
        <w:t xml:space="preserve"> pelo banco </w:t>
      </w:r>
      <m:oMath>
        <m:r>
          <w:rPr>
            <w:rFonts w:ascii="Cambria Math" w:hAnsi="Cambria Math"/>
          </w:rPr>
          <m:t>j</m:t>
        </m:r>
      </m:oMath>
      <w:r w:rsidRPr="00C00819">
        <w:rPr>
          <w:iCs/>
        </w:rPr>
        <w:t xml:space="preserve">, considera-se que os bancos devem recolher, no mesmo período da captação, o montante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jt</m:t>
            </m:r>
          </m:sub>
        </m:sSub>
      </m:oMath>
      <w:r w:rsidRPr="00C00819">
        <w:t xml:space="preserve"> </w:t>
      </w:r>
      <w:r w:rsidRPr="00C00819">
        <w:rPr>
          <w:iCs/>
        </w:rPr>
        <w:t>sob a forma de reservas bancárias. Assim,</w:t>
      </w:r>
      <w:r w:rsidR="008221BB" w:rsidRPr="00C00819">
        <w:rPr>
          <w:iCs/>
        </w:rPr>
        <w:t xml:space="preserve"> seja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8221BB" w:rsidRPr="00C00819">
        <w:t xml:space="preserve"> o preço do crédito, </w:t>
      </w:r>
      <m:oMath>
        <m:sSub>
          <m:sSubPr>
            <m:ctrlPr>
              <w:rPr>
                <w:rFonts w:ascii="Cambria Math" w:hAnsi="Cambria Math"/>
                <w:i/>
              </w:rPr>
            </m:ctrlPr>
          </m:sSubPr>
          <m:e>
            <m:r>
              <w:rPr>
                <w:rFonts w:ascii="Cambria Math" w:hAnsi="Cambria Math"/>
              </w:rPr>
              <m:t>S</m:t>
            </m:r>
          </m:e>
          <m:sub>
            <m:r>
              <w:rPr>
                <w:rFonts w:ascii="Cambria Math" w:hAnsi="Cambria Math"/>
              </w:rPr>
              <m:t>jt</m:t>
            </m:r>
          </m:sub>
        </m:sSub>
      </m:oMath>
      <w:r w:rsidR="008221BB" w:rsidRPr="00C00819">
        <w:t xml:space="preserve"> a quantidade de crédito concedido às firmas não financeiras e </w:t>
      </w:r>
      <m:oMath>
        <m:sSub>
          <m:sSubPr>
            <m:ctrlPr>
              <w:rPr>
                <w:rFonts w:ascii="Cambria Math" w:hAnsi="Cambria Math"/>
                <w:i/>
              </w:rPr>
            </m:ctrlPr>
          </m:sSubPr>
          <m:e>
            <m:r>
              <w:rPr>
                <w:rFonts w:ascii="Cambria Math" w:hAnsi="Cambria Math"/>
              </w:rPr>
              <m:t>N</m:t>
            </m:r>
          </m:e>
          <m:sub>
            <m:r>
              <w:rPr>
                <w:rFonts w:ascii="Cambria Math" w:hAnsi="Cambria Math"/>
              </w:rPr>
              <m:t>jt</m:t>
            </m:r>
          </m:sub>
        </m:sSub>
      </m:oMath>
      <w:r w:rsidR="008221BB" w:rsidRPr="00C00819">
        <w:t xml:space="preserve"> a riqueza do banqueiro </w:t>
      </w:r>
      <m:oMath>
        <m:r>
          <w:rPr>
            <w:rFonts w:ascii="Cambria Math" w:hAnsi="Cambria Math"/>
          </w:rPr>
          <m:t>j</m:t>
        </m:r>
      </m:oMath>
      <w:r w:rsidR="008221BB" w:rsidRPr="00C00819">
        <w:t xml:space="preserve"> no fim do período </w:t>
      </w:r>
      <m:oMath>
        <m:r>
          <w:rPr>
            <w:rFonts w:ascii="Cambria Math" w:hAnsi="Cambria Math"/>
          </w:rPr>
          <m:t>t</m:t>
        </m:r>
      </m:oMath>
      <w:r w:rsidRPr="00C00819">
        <w:rPr>
          <w:iCs/>
        </w:rPr>
        <w:t xml:space="preserve"> o balanço dos bancos passa a ser:</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1510"/>
      </w:tblGrid>
      <w:tr w:rsidR="00F50EE1" w:rsidRPr="00C00819" w14:paraId="7A457C5F" w14:textId="77777777" w:rsidTr="00A271A9">
        <w:trPr>
          <w:jc w:val="center"/>
        </w:trPr>
        <w:tc>
          <w:tcPr>
            <w:tcW w:w="0" w:type="auto"/>
            <w:vAlign w:val="center"/>
          </w:tcPr>
          <w:p w14:paraId="7A457C5D" w14:textId="77777777" w:rsidR="00F50EE1" w:rsidRPr="00C00819" w:rsidRDefault="000D6AC7" w:rsidP="00D21B85">
            <w:pPr>
              <w:spacing w:before="120" w:after="120"/>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jt</m:t>
                    </m:r>
                  </m:sub>
                </m:sSub>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jt</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jt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jt+1</m:t>
                    </m:r>
                  </m:sub>
                </m:sSub>
              </m:oMath>
            </m:oMathPara>
          </w:p>
        </w:tc>
        <w:tc>
          <w:tcPr>
            <w:tcW w:w="1510" w:type="dxa"/>
            <w:vAlign w:val="center"/>
          </w:tcPr>
          <w:p w14:paraId="7A457C5E" w14:textId="77777777" w:rsidR="00F50EE1" w:rsidRPr="00C00819" w:rsidRDefault="00F50EE1" w:rsidP="00C57016">
            <w:pPr>
              <w:pStyle w:val="Legenda"/>
              <w:spacing w:before="120" w:after="120" w:line="240" w:lineRule="auto"/>
              <w:rPr>
                <w:rFonts w:cs="Times New Roman"/>
                <w:b w:val="0"/>
                <w:iCs/>
                <w:color w:val="auto"/>
                <w:sz w:val="24"/>
                <w:szCs w:val="24"/>
              </w:rPr>
            </w:pPr>
            <w:r w:rsidRPr="00C00819">
              <w:rPr>
                <w:rFonts w:cs="Times New Roman"/>
                <w:b w:val="0"/>
                <w:color w:val="auto"/>
                <w:sz w:val="24"/>
                <w:szCs w:val="24"/>
              </w:rPr>
              <w:t>(</w:t>
            </w:r>
            <w:r w:rsidR="00C57016" w:rsidRPr="00C00819">
              <w:rPr>
                <w:rFonts w:cs="Times New Roman"/>
                <w:b w:val="0"/>
                <w:color w:val="auto"/>
                <w:sz w:val="24"/>
                <w:szCs w:val="24"/>
              </w:rPr>
              <w:t>1</w:t>
            </w:r>
            <w:r w:rsidRPr="00C00819">
              <w:rPr>
                <w:rFonts w:cs="Times New Roman"/>
                <w:b w:val="0"/>
                <w:color w:val="auto"/>
                <w:sz w:val="24"/>
                <w:szCs w:val="24"/>
              </w:rPr>
              <w:t>)</w:t>
            </w:r>
          </w:p>
        </w:tc>
      </w:tr>
    </w:tbl>
    <w:p w14:paraId="7A457C60" w14:textId="421ECBA4" w:rsidR="00F50EE1" w:rsidRPr="00C00819" w:rsidRDefault="00F50EE1" w:rsidP="00580FCE">
      <w:pPr>
        <w:jc w:val="both"/>
        <w:rPr>
          <w:iCs/>
        </w:rPr>
      </w:pPr>
      <w:r w:rsidRPr="00C00819">
        <w:rPr>
          <w:iCs/>
        </w:rPr>
        <w:t xml:space="preserve">onde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m:t>
            </m:r>
          </m:sub>
        </m:sSub>
        <m:sSub>
          <m:sSubPr>
            <m:ctrlPr>
              <w:rPr>
                <w:rFonts w:ascii="Cambria Math" w:hAnsi="Cambria Math"/>
                <w:i/>
                <w:iCs/>
              </w:rPr>
            </m:ctrlPr>
          </m:sSubPr>
          <m:e>
            <m:r>
              <w:rPr>
                <w:rFonts w:ascii="Cambria Math" w:hAnsi="Cambria Math"/>
              </w:rPr>
              <m:t>B</m:t>
            </m:r>
          </m:e>
          <m:sub>
            <m:r>
              <w:rPr>
                <w:rFonts w:ascii="Cambria Math" w:hAnsi="Cambria Math"/>
              </w:rPr>
              <m:t>jt+1</m:t>
            </m:r>
          </m:sub>
        </m:sSub>
        <m:r>
          <w:rPr>
            <w:rFonts w:ascii="Cambria Math" w:hAnsi="Cambria Math"/>
          </w:rPr>
          <m:t>, 0&lt;</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&lt;1</m:t>
        </m:r>
      </m:oMath>
      <w:r w:rsidRPr="00C00819">
        <w:rPr>
          <w:iCs/>
        </w:rPr>
        <w:t>.</w:t>
      </w:r>
    </w:p>
    <w:p w14:paraId="7A457C61" w14:textId="108A148B" w:rsidR="00F50EE1" w:rsidRPr="00C00819" w:rsidRDefault="00F50EE1" w:rsidP="00580FCE">
      <w:pPr>
        <w:ind w:firstLine="709"/>
        <w:jc w:val="both"/>
        <w:rPr>
          <w:iCs/>
        </w:rPr>
      </w:pPr>
      <w:r w:rsidRPr="00C00819">
        <w:rPr>
          <w:iCs/>
        </w:rPr>
        <w:t xml:space="preserve">De </w:t>
      </w:r>
      <w:r w:rsidR="00300063" w:rsidRPr="00C00819">
        <w:rPr>
          <w:iCs/>
        </w:rPr>
        <w:t>(</w:t>
      </w:r>
      <w:r w:rsidR="00D4141C" w:rsidRPr="00C00819">
        <w:rPr>
          <w:iCs/>
        </w:rPr>
        <w:t>1</w:t>
      </w:r>
      <w:r w:rsidRPr="00C00819">
        <w:rPr>
          <w:iCs/>
        </w:rPr>
        <w:t xml:space="preserve">) obtém-se a seguinte expressão para </w:t>
      </w:r>
      <m:oMath>
        <m:sSub>
          <m:sSubPr>
            <m:ctrlPr>
              <w:rPr>
                <w:rFonts w:ascii="Cambria Math" w:hAnsi="Cambria Math"/>
                <w:i/>
                <w:iCs/>
              </w:rPr>
            </m:ctrlPr>
          </m:sSubPr>
          <m:e>
            <m:r>
              <w:rPr>
                <w:rFonts w:ascii="Cambria Math" w:hAnsi="Cambria Math"/>
              </w:rPr>
              <m:t>B</m:t>
            </m:r>
          </m:e>
          <m:sub>
            <m:r>
              <w:rPr>
                <w:rFonts w:ascii="Cambria Math" w:hAnsi="Cambria Math"/>
              </w:rPr>
              <m:t>jt</m:t>
            </m:r>
          </m:sub>
        </m:sSub>
      </m:oMath>
      <w:r w:rsidRPr="00C00819">
        <w:rPr>
          <w:iCs/>
        </w:rPr>
        <w:t>:</w:t>
      </w:r>
      <w:r w:rsidR="00182813" w:rsidRPr="00C00819">
        <w:rPr>
          <w:iCs/>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1510"/>
      </w:tblGrid>
      <w:tr w:rsidR="00F50EE1" w:rsidRPr="00C00819" w14:paraId="7A457C64" w14:textId="77777777" w:rsidTr="00A271A9">
        <w:trPr>
          <w:jc w:val="center"/>
        </w:trPr>
        <w:tc>
          <w:tcPr>
            <w:tcW w:w="0" w:type="auto"/>
            <w:vAlign w:val="center"/>
          </w:tcPr>
          <w:p w14:paraId="7A457C62" w14:textId="77777777" w:rsidR="00F50EE1" w:rsidRPr="00C00819" w:rsidRDefault="000D6AC7" w:rsidP="00D21B85">
            <w:pPr>
              <w:spacing w:before="120" w:after="120"/>
              <w:rPr>
                <w:iCs/>
              </w:rPr>
            </w:pPr>
            <m:oMathPara>
              <m:oMath>
                <m:sSub>
                  <m:sSubPr>
                    <m:ctrlPr>
                      <w:rPr>
                        <w:rFonts w:ascii="Cambria Math" w:hAnsi="Cambria Math"/>
                        <w:i/>
                        <w:iCs/>
                      </w:rPr>
                    </m:ctrlPr>
                  </m:sSubPr>
                  <m:e>
                    <m:r>
                      <w:rPr>
                        <w:rFonts w:ascii="Cambria Math" w:hAnsi="Cambria Math"/>
                      </w:rPr>
                      <m:t>B</m:t>
                    </m:r>
                  </m:e>
                  <m:sub>
                    <m:r>
                      <w:rPr>
                        <w:rFonts w:ascii="Cambria Math" w:hAnsi="Cambria Math"/>
                      </w:rPr>
                      <m:t>jt+1</m:t>
                    </m:r>
                  </m:sub>
                </m:sSub>
                <m:r>
                  <w:rPr>
                    <w:rFonts w:ascii="Cambria Math" w:hAnsi="Cambria Math"/>
                  </w:rPr>
                  <m:t>=</m:t>
                </m:r>
                <m:f>
                  <m:fPr>
                    <m:ctrlPr>
                      <w:rPr>
                        <w:rFonts w:ascii="Cambria Math" w:hAnsi="Cambria Math"/>
                        <w:i/>
                        <w:iCs/>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t</m:t>
                            </m:r>
                          </m:sub>
                        </m:sSub>
                      </m:e>
                    </m:d>
                  </m:den>
                </m:f>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jt</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jt</m:t>
                    </m:r>
                  </m:sub>
                </m:sSub>
                <m:r>
                  <w:rPr>
                    <w:rFonts w:ascii="Cambria Math" w:hAnsi="Cambria Math"/>
                  </w:rPr>
                  <m:t>)</m:t>
                </m:r>
              </m:oMath>
            </m:oMathPara>
          </w:p>
        </w:tc>
        <w:tc>
          <w:tcPr>
            <w:tcW w:w="1510" w:type="dxa"/>
            <w:vAlign w:val="center"/>
          </w:tcPr>
          <w:p w14:paraId="7A457C63" w14:textId="77777777" w:rsidR="00F50EE1" w:rsidRPr="00C00819" w:rsidRDefault="00F50EE1" w:rsidP="00C57016">
            <w:pPr>
              <w:pStyle w:val="Legenda"/>
              <w:spacing w:before="120" w:after="120" w:line="240" w:lineRule="auto"/>
              <w:rPr>
                <w:rFonts w:cs="Times New Roman"/>
                <w:b w:val="0"/>
                <w:iCs/>
                <w:color w:val="auto"/>
                <w:sz w:val="24"/>
                <w:szCs w:val="24"/>
              </w:rPr>
            </w:pPr>
            <w:r w:rsidRPr="00C00819">
              <w:rPr>
                <w:rFonts w:cs="Times New Roman"/>
                <w:b w:val="0"/>
                <w:color w:val="auto"/>
                <w:sz w:val="24"/>
                <w:szCs w:val="24"/>
              </w:rPr>
              <w:t>(</w:t>
            </w:r>
            <w:r w:rsidR="00C57016" w:rsidRPr="00C00819">
              <w:rPr>
                <w:rFonts w:cs="Times New Roman"/>
                <w:b w:val="0"/>
                <w:color w:val="auto"/>
                <w:sz w:val="24"/>
                <w:szCs w:val="24"/>
              </w:rPr>
              <w:t>2</w:t>
            </w:r>
            <w:r w:rsidRPr="00C00819">
              <w:rPr>
                <w:rFonts w:cs="Times New Roman"/>
                <w:b w:val="0"/>
                <w:color w:val="auto"/>
                <w:sz w:val="24"/>
                <w:szCs w:val="24"/>
              </w:rPr>
              <w:t>)</w:t>
            </w:r>
          </w:p>
        </w:tc>
      </w:tr>
    </w:tbl>
    <w:p w14:paraId="7A457C65" w14:textId="1C42D591" w:rsidR="00F50EE1" w:rsidRPr="00C00819" w:rsidRDefault="008C0A99" w:rsidP="005E3DCC">
      <w:pPr>
        <w:ind w:firstLine="708"/>
        <w:jc w:val="both"/>
        <w:rPr>
          <w:iCs/>
        </w:rPr>
      </w:pPr>
      <w:r w:rsidRPr="00C00819">
        <w:rPr>
          <w:iCs/>
        </w:rPr>
        <w:t>Desta forma</w:t>
      </w:r>
      <w:r w:rsidR="00F50EE1" w:rsidRPr="00C00819">
        <w:rPr>
          <w:iCs/>
        </w:rPr>
        <w:t xml:space="preserve">, </w:t>
      </w:r>
      <w:r w:rsidR="00082F91" w:rsidRPr="00C00819">
        <w:rPr>
          <w:iCs/>
        </w:rPr>
        <w:t>o</w:t>
      </w:r>
      <w:r w:rsidR="00F50EE1" w:rsidRPr="00C00819">
        <w:rPr>
          <w:iCs/>
        </w:rPr>
        <w:t xml:space="preserve"> requerimento compulsório</w:t>
      </w:r>
      <w:r w:rsidR="00082F91" w:rsidRPr="00C00819">
        <w:rPr>
          <w:iCs/>
        </w:rPr>
        <w:t xml:space="preserve"> atua retirando </w:t>
      </w:r>
      <w:r w:rsidR="00F50EE1" w:rsidRPr="00C00819">
        <w:rPr>
          <w:iCs/>
        </w:rPr>
        <w:t>liquidez da economia</w:t>
      </w:r>
      <w:r w:rsidR="00082F91" w:rsidRPr="00C00819">
        <w:rPr>
          <w:iCs/>
        </w:rPr>
        <w:t>, pois, para um mesmo nível de depósitos, a concessão de empréstimos é reduzida</w:t>
      </w:r>
      <w:r w:rsidR="00F50EE1" w:rsidRPr="00C00819">
        <w:rPr>
          <w:iCs/>
        </w:rPr>
        <w:t>.</w:t>
      </w:r>
      <w:r w:rsidR="00082F91" w:rsidRPr="00C00819">
        <w:rPr>
          <w:iCs/>
        </w:rPr>
        <w:t xml:space="preserve"> Do mesmo modo, caso uma instituição financeira deseje manter o nível de concessões, deve realizar uma captação maior.</w:t>
      </w:r>
    </w:p>
    <w:p w14:paraId="7A457C66" w14:textId="77777777" w:rsidR="00F50EE1" w:rsidRPr="00C00819" w:rsidRDefault="00A22335" w:rsidP="00580FCE">
      <w:pPr>
        <w:ind w:firstLine="709"/>
        <w:jc w:val="both"/>
        <w:rPr>
          <w:iCs/>
        </w:rPr>
      </w:pPr>
      <w:r w:rsidRPr="00C00819">
        <w:rPr>
          <w:iCs/>
        </w:rPr>
        <w:t>Com essa alteração</w:t>
      </w:r>
      <w:r w:rsidR="00F50EE1" w:rsidRPr="00C00819">
        <w:rPr>
          <w:iCs/>
        </w:rPr>
        <w:t>, a evolução do capital bancário é dada por:</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1510"/>
      </w:tblGrid>
      <w:tr w:rsidR="00F50EE1" w:rsidRPr="00C00819" w14:paraId="7A457C69" w14:textId="77777777" w:rsidTr="00A271A9">
        <w:trPr>
          <w:jc w:val="center"/>
        </w:trPr>
        <w:tc>
          <w:tcPr>
            <w:tcW w:w="0" w:type="auto"/>
            <w:vAlign w:val="center"/>
          </w:tcPr>
          <w:p w14:paraId="7A457C67" w14:textId="77777777" w:rsidR="00F50EE1" w:rsidRPr="00C00819" w:rsidRDefault="000D6AC7" w:rsidP="00D21B85">
            <w:pPr>
              <w:spacing w:before="120" w:after="120"/>
              <w:rPr>
                <w:iCs/>
              </w:rPr>
            </w:pPr>
            <m:oMathPara>
              <m:oMath>
                <m:sSub>
                  <m:sSubPr>
                    <m:ctrlPr>
                      <w:rPr>
                        <w:rFonts w:ascii="Cambria Math" w:hAnsi="Cambria Math"/>
                        <w:i/>
                        <w:iCs/>
                      </w:rPr>
                    </m:ctrlPr>
                  </m:sSubPr>
                  <m:e>
                    <m:r>
                      <w:rPr>
                        <w:rFonts w:ascii="Cambria Math" w:hAnsi="Cambria Math"/>
                      </w:rPr>
                      <m:t>N</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kt</m:t>
                    </m:r>
                  </m:sub>
                </m:sSub>
                <m:sSub>
                  <m:sSubPr>
                    <m:ctrlPr>
                      <w:rPr>
                        <w:rFonts w:ascii="Cambria Math" w:hAnsi="Cambria Math"/>
                        <w:i/>
                        <w:iCs/>
                      </w:rPr>
                    </m:ctrlPr>
                  </m:sSubPr>
                  <m:e>
                    <m:r>
                      <w:rPr>
                        <w:rFonts w:ascii="Cambria Math" w:hAnsi="Cambria Math"/>
                      </w:rPr>
                      <m:t>Q</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RR,t+1</m:t>
                    </m:r>
                  </m:sub>
                </m:sSub>
                <m:sSub>
                  <m:sSubPr>
                    <m:ctrlPr>
                      <w:rPr>
                        <w:rFonts w:ascii="Cambria Math" w:hAnsi="Cambria Math"/>
                        <w:i/>
                      </w:rPr>
                    </m:ctrlPr>
                  </m:sSubPr>
                  <m:e>
                    <m:r>
                      <w:rPr>
                        <w:rFonts w:ascii="Cambria Math" w:hAnsi="Cambria Math"/>
                      </w:rPr>
                      <m:t>τ</m:t>
                    </m:r>
                  </m:e>
                  <m:sub>
                    <m:r>
                      <w:rPr>
                        <w:rFonts w:ascii="Cambria Math" w:hAnsi="Cambria Math"/>
                      </w:rPr>
                      <m:t>t</m:t>
                    </m:r>
                  </m:sub>
                </m:sSub>
                <m:sSub>
                  <m:sSubPr>
                    <m:ctrlPr>
                      <w:rPr>
                        <w:rFonts w:ascii="Cambria Math" w:hAnsi="Cambria Math"/>
                        <w:i/>
                        <w:iCs/>
                      </w:rPr>
                    </m:ctrlPr>
                  </m:sSubPr>
                  <m:e>
                    <m:r>
                      <w:rPr>
                        <w:rFonts w:ascii="Cambria Math" w:hAnsi="Cambria Math"/>
                      </w:rPr>
                      <m:t>B</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sSub>
                  <m:sSubPr>
                    <m:ctrlPr>
                      <w:rPr>
                        <w:rFonts w:ascii="Cambria Math" w:hAnsi="Cambria Math"/>
                        <w:i/>
                        <w:iCs/>
                      </w:rPr>
                    </m:ctrlPr>
                  </m:sSubPr>
                  <m:e>
                    <m:r>
                      <w:rPr>
                        <w:rFonts w:ascii="Cambria Math" w:hAnsi="Cambria Math"/>
                      </w:rPr>
                      <m:t>B</m:t>
                    </m:r>
                  </m:e>
                  <m:sub>
                    <m:r>
                      <w:rPr>
                        <w:rFonts w:ascii="Cambria Math" w:hAnsi="Cambria Math"/>
                      </w:rPr>
                      <m:t>jt+1</m:t>
                    </m:r>
                  </m:sub>
                </m:sSub>
              </m:oMath>
            </m:oMathPara>
          </w:p>
        </w:tc>
        <w:tc>
          <w:tcPr>
            <w:tcW w:w="1510" w:type="dxa"/>
            <w:vAlign w:val="center"/>
          </w:tcPr>
          <w:p w14:paraId="7A457C68" w14:textId="77777777" w:rsidR="00F50EE1" w:rsidRPr="00C00819" w:rsidRDefault="00F50EE1" w:rsidP="00C57016">
            <w:pPr>
              <w:pStyle w:val="Legenda"/>
              <w:spacing w:before="120" w:after="120" w:line="240" w:lineRule="auto"/>
              <w:rPr>
                <w:rFonts w:cs="Times New Roman"/>
                <w:b w:val="0"/>
                <w:iCs/>
                <w:color w:val="auto"/>
                <w:sz w:val="24"/>
                <w:szCs w:val="24"/>
              </w:rPr>
            </w:pPr>
            <w:r w:rsidRPr="00C00819">
              <w:rPr>
                <w:rFonts w:cs="Times New Roman"/>
                <w:b w:val="0"/>
                <w:color w:val="auto"/>
                <w:sz w:val="24"/>
                <w:szCs w:val="24"/>
              </w:rPr>
              <w:t>(</w:t>
            </w:r>
            <w:r w:rsidR="00C57016" w:rsidRPr="00C00819">
              <w:rPr>
                <w:rFonts w:cs="Times New Roman"/>
                <w:b w:val="0"/>
                <w:color w:val="auto"/>
                <w:sz w:val="24"/>
                <w:szCs w:val="24"/>
              </w:rPr>
              <w:t>3</w:t>
            </w:r>
            <w:r w:rsidRPr="00C00819">
              <w:rPr>
                <w:rFonts w:cs="Times New Roman"/>
                <w:b w:val="0"/>
                <w:color w:val="auto"/>
                <w:sz w:val="24"/>
                <w:szCs w:val="24"/>
              </w:rPr>
              <w:t>)</w:t>
            </w:r>
          </w:p>
        </w:tc>
      </w:tr>
    </w:tbl>
    <w:p w14:paraId="7A457C6A" w14:textId="3E8A82AC" w:rsidR="00F50EE1" w:rsidRPr="00C00819" w:rsidRDefault="00936ACD" w:rsidP="000702C5">
      <w:pPr>
        <w:spacing w:line="360" w:lineRule="auto"/>
        <w:jc w:val="both"/>
      </w:pPr>
      <w:r w:rsidRPr="00C00819">
        <w:rPr>
          <w:iCs/>
        </w:rPr>
        <w:t>O</w:t>
      </w:r>
      <w:r w:rsidR="00F50EE1" w:rsidRPr="00C00819">
        <w:rPr>
          <w:iCs/>
        </w:rPr>
        <w:t xml:space="preserve">nde </w:t>
      </w:r>
      <m:oMath>
        <m:sSub>
          <m:sSubPr>
            <m:ctrlPr>
              <w:rPr>
                <w:rFonts w:ascii="Cambria Math" w:hAnsi="Cambria Math"/>
                <w:i/>
              </w:rPr>
            </m:ctrlPr>
          </m:sSubPr>
          <m:e>
            <m:r>
              <w:rPr>
                <w:rFonts w:ascii="Cambria Math" w:hAnsi="Cambria Math"/>
              </w:rPr>
              <m:t>R</m:t>
            </m:r>
          </m:e>
          <m:sub>
            <m:r>
              <w:rPr>
                <w:rFonts w:ascii="Cambria Math" w:hAnsi="Cambria Math"/>
              </w:rPr>
              <m:t>kt</m:t>
            </m:r>
          </m:sub>
        </m:sSub>
      </m:oMath>
      <w:r w:rsidR="003A37B7" w:rsidRPr="00C00819">
        <w:t xml:space="preserve"> é a taxa de juros cobrada pelos empréstimos</w:t>
      </w:r>
      <w:r w:rsidR="003A37B7" w:rsidRPr="00C00819">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t+1</m:t>
            </m:r>
          </m:sub>
        </m:sSub>
      </m:oMath>
      <w:r w:rsidR="003A37B7" w:rsidRPr="00C00819">
        <w:t xml:space="preserve"> é a taxa paga em </w:t>
      </w:r>
      <m:oMath>
        <m:r>
          <w:rPr>
            <w:rFonts w:ascii="Cambria Math" w:hAnsi="Cambria Math"/>
          </w:rPr>
          <m:t>t+1</m:t>
        </m:r>
      </m:oMath>
      <w:r w:rsidR="003A37B7" w:rsidRPr="00C00819">
        <w:rPr>
          <w:rFonts w:eastAsiaTheme="minorEastAsia"/>
        </w:rPr>
        <w:t xml:space="preserve"> </w:t>
      </w:r>
      <w:r w:rsidR="003A37B7" w:rsidRPr="00C00819">
        <w:t xml:space="preserve">aos depósitos realizados em </w:t>
      </w:r>
      <m:oMath>
        <m:r>
          <w:rPr>
            <w:rFonts w:ascii="Cambria Math" w:hAnsi="Cambria Math"/>
          </w:rPr>
          <m:t>t</m:t>
        </m:r>
      </m:oMath>
      <w:r w:rsidR="000702C5" w:rsidRPr="00C00819">
        <w:t xml:space="preserve">, </w:t>
      </w:r>
      <m:oMath>
        <m:sSub>
          <m:sSubPr>
            <m:ctrlPr>
              <w:rPr>
                <w:rFonts w:ascii="Cambria Math" w:hAnsi="Cambria Math"/>
                <w:i/>
              </w:rPr>
            </m:ctrlPr>
          </m:sSubPr>
          <m:e>
            <m:r>
              <w:rPr>
                <w:rFonts w:ascii="Cambria Math" w:hAnsi="Cambria Math"/>
              </w:rPr>
              <m:t>R</m:t>
            </m:r>
          </m:e>
          <m:sub>
            <m:r>
              <w:rPr>
                <w:rFonts w:ascii="Cambria Math" w:hAnsi="Cambria Math"/>
              </w:rPr>
              <m:t>RR,t+1</m:t>
            </m:r>
          </m:sub>
        </m:sSub>
      </m:oMath>
      <w:r w:rsidR="00F50EE1" w:rsidRPr="00C00819">
        <w:t xml:space="preserve"> é a remuneração do requerimento compulsório,</w:t>
      </w:r>
      <w:r w:rsidR="00A22335" w:rsidRPr="00C00819">
        <w:t xml:space="preserve"> sendo</w:t>
      </w:r>
      <w:r w:rsidR="00F50EE1" w:rsidRPr="00C00819">
        <w:t xml:space="preserve"> </w:t>
      </w:r>
      <m:oMath>
        <m:sSub>
          <m:sSubPr>
            <m:ctrlPr>
              <w:rPr>
                <w:rFonts w:ascii="Cambria Math" w:hAnsi="Cambria Math"/>
                <w:i/>
              </w:rPr>
            </m:ctrlPr>
          </m:sSubPr>
          <m:e>
            <m:r>
              <w:rPr>
                <w:rFonts w:ascii="Cambria Math" w:hAnsi="Cambria Math"/>
              </w:rPr>
              <m:t>R</m:t>
            </m:r>
          </m:e>
          <m:sub>
            <m:r>
              <w:rPr>
                <w:rFonts w:ascii="Cambria Math" w:hAnsi="Cambria Math"/>
              </w:rPr>
              <m:t>RRt</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RR</m:t>
            </m:r>
          </m:sub>
        </m:sSub>
        <m:sSub>
          <m:sSubPr>
            <m:ctrlPr>
              <w:rPr>
                <w:rFonts w:ascii="Cambria Math" w:hAnsi="Cambria Math"/>
                <w:i/>
              </w:rPr>
            </m:ctrlPr>
          </m:sSubPr>
          <m:e>
            <m:r>
              <w:rPr>
                <w:rFonts w:ascii="Cambria Math" w:hAnsi="Cambria Math"/>
              </w:rPr>
              <m:t>R</m:t>
            </m:r>
          </m:e>
          <m:sub>
            <m:r>
              <w:rPr>
                <w:rFonts w:ascii="Cambria Math" w:hAnsi="Cambria Math"/>
              </w:rPr>
              <m:t>t</m:t>
            </m:r>
          </m:sub>
        </m:sSub>
      </m:oMath>
      <w:r w:rsidR="004A48AB" w:rsidRPr="00C00819">
        <w:t xml:space="preserve"> com </w:t>
      </w:r>
      <m:oMath>
        <m:r>
          <w:rPr>
            <w:rFonts w:ascii="Cambria Math" w:hAnsi="Cambria Math"/>
          </w:rPr>
          <m:t>0≤</m:t>
        </m:r>
        <m:sSub>
          <m:sSubPr>
            <m:ctrlPr>
              <w:rPr>
                <w:rFonts w:ascii="Cambria Math" w:hAnsi="Cambria Math"/>
                <w:i/>
              </w:rPr>
            </m:ctrlPr>
          </m:sSubPr>
          <m:e>
            <m:r>
              <w:rPr>
                <w:rFonts w:ascii="Cambria Math" w:hAnsi="Cambria Math"/>
              </w:rPr>
              <m:t>κ</m:t>
            </m:r>
          </m:e>
          <m:sub>
            <m:r>
              <w:rPr>
                <w:rFonts w:ascii="Cambria Math" w:hAnsi="Cambria Math"/>
              </w:rPr>
              <m:t>RR</m:t>
            </m:r>
          </m:sub>
        </m:sSub>
        <m:r>
          <w:rPr>
            <w:rFonts w:ascii="Cambria Math" w:hAnsi="Cambria Math"/>
          </w:rPr>
          <m:t>≤1</m:t>
        </m:r>
      </m:oMath>
      <w:r w:rsidR="004A48AB" w:rsidRPr="00C00819">
        <w:t>.</w:t>
      </w:r>
      <w:r w:rsidR="00A22335" w:rsidRPr="00C00819">
        <w:t xml:space="preserve"> </w:t>
      </w:r>
    </w:p>
    <w:p w14:paraId="7A457C6B" w14:textId="77777777" w:rsidR="00F50EE1" w:rsidRPr="00C00819" w:rsidRDefault="00F50EE1" w:rsidP="00580FCE">
      <w:pPr>
        <w:ind w:firstLine="709"/>
        <w:jc w:val="both"/>
        <w:rPr>
          <w:iCs/>
        </w:rPr>
      </w:pPr>
      <w:r w:rsidRPr="00C00819">
        <w:rPr>
          <w:iCs/>
        </w:rPr>
        <w:t xml:space="preserve">Substituindo </w:t>
      </w:r>
      <m:oMath>
        <m:sSub>
          <m:sSubPr>
            <m:ctrlPr>
              <w:rPr>
                <w:rFonts w:ascii="Cambria Math" w:hAnsi="Cambria Math"/>
                <w:i/>
                <w:iCs/>
              </w:rPr>
            </m:ctrlPr>
          </m:sSubPr>
          <m:e>
            <m:r>
              <w:rPr>
                <w:rFonts w:ascii="Cambria Math" w:hAnsi="Cambria Math"/>
              </w:rPr>
              <m:t>B</m:t>
            </m:r>
          </m:e>
          <m:sub>
            <m:r>
              <w:rPr>
                <w:rFonts w:ascii="Cambria Math" w:hAnsi="Cambria Math"/>
              </w:rPr>
              <m:t>jt+1</m:t>
            </m:r>
          </m:sub>
        </m:sSub>
      </m:oMath>
      <w:r w:rsidRPr="00C00819">
        <w:rPr>
          <w:iCs/>
        </w:rPr>
        <w:t xml:space="preserve"> de (</w:t>
      </w:r>
      <w:r w:rsidR="00C57016" w:rsidRPr="00C00819">
        <w:rPr>
          <w:iCs/>
        </w:rPr>
        <w:t>2</w:t>
      </w:r>
      <w:r w:rsidRPr="00C00819">
        <w:rPr>
          <w:iCs/>
        </w:rPr>
        <w:t>) em (</w:t>
      </w:r>
      <w:r w:rsidR="00C57016" w:rsidRPr="00C00819">
        <w:rPr>
          <w:iCs/>
        </w:rPr>
        <w:t>3</w:t>
      </w:r>
      <w:r w:rsidRPr="00C00819">
        <w:rPr>
          <w:iCs/>
        </w:rPr>
        <w:t>):</w:t>
      </w:r>
    </w:p>
    <w:tbl>
      <w:tblPr>
        <w:tblStyle w:val="Tabelacomgrade"/>
        <w:tblW w:w="84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5"/>
        <w:gridCol w:w="171"/>
        <w:gridCol w:w="538"/>
        <w:gridCol w:w="78"/>
      </w:tblGrid>
      <w:tr w:rsidR="00F50EE1" w:rsidRPr="00C00819" w14:paraId="7A457C6E" w14:textId="77777777" w:rsidTr="00565D53">
        <w:trPr>
          <w:gridAfter w:val="1"/>
          <w:wAfter w:w="78" w:type="dxa"/>
        </w:trPr>
        <w:tc>
          <w:tcPr>
            <w:tcW w:w="7655" w:type="dxa"/>
            <w:shd w:val="clear" w:color="auto" w:fill="FFFFFF" w:themeFill="background1"/>
          </w:tcPr>
          <w:p w14:paraId="7A457C6C" w14:textId="77777777" w:rsidR="00F50EE1" w:rsidRPr="00C00819" w:rsidRDefault="000D6AC7" w:rsidP="00D21B85">
            <w:pPr>
              <w:spacing w:before="120" w:after="120"/>
              <w:rPr>
                <w:iCs/>
              </w:rPr>
            </w:pPr>
            <m:oMathPara>
              <m:oMath>
                <m:sSub>
                  <m:sSubPr>
                    <m:ctrlPr>
                      <w:rPr>
                        <w:rFonts w:ascii="Cambria Math" w:hAnsi="Cambria Math"/>
                        <w:i/>
                        <w:iCs/>
                      </w:rPr>
                    </m:ctrlPr>
                  </m:sSubPr>
                  <m:e>
                    <m:r>
                      <w:rPr>
                        <w:rFonts w:ascii="Cambria Math" w:hAnsi="Cambria Math"/>
                      </w:rPr>
                      <m:t>N</m:t>
                    </m:r>
                  </m:e>
                  <m:sub>
                    <m:r>
                      <w:rPr>
                        <w:rFonts w:ascii="Cambria Math" w:hAnsi="Cambria Math"/>
                      </w:rPr>
                      <m:t>jt+1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kt+1</m:t>
                        </m:r>
                      </m:sub>
                    </m:sSub>
                    <m: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RR,t+1</m:t>
                            </m:r>
                          </m:sub>
                        </m:sSub>
                      </m:num>
                      <m:den>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t</m:t>
                            </m:r>
                          </m:sub>
                        </m:sSub>
                      </m:den>
                    </m:f>
                  </m:e>
                </m:d>
                <m:sSub>
                  <m:sSubPr>
                    <m:ctrlPr>
                      <w:rPr>
                        <w:rFonts w:ascii="Cambria Math" w:hAnsi="Cambria Math"/>
                        <w:i/>
                        <w:iCs/>
                      </w:rPr>
                    </m:ctrlPr>
                  </m:sSubPr>
                  <m:e>
                    <m:r>
                      <w:rPr>
                        <w:rFonts w:ascii="Cambria Math" w:hAnsi="Cambria Math"/>
                      </w:rPr>
                      <m:t>Q</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jt</m:t>
                    </m:r>
                  </m:sub>
                </m:sSub>
                <m:r>
                  <w:rPr>
                    <w:rFonts w:ascii="Cambria Math" w:hAnsi="Cambria Math"/>
                  </w:rPr>
                  <m:t>+</m:t>
                </m:r>
                <m:d>
                  <m:dPr>
                    <m:begChr m:val="["/>
                    <m:endChr m:val="]"/>
                    <m:ctrlPr>
                      <w:rPr>
                        <w:rFonts w:ascii="Cambria Math" w:hAnsi="Cambria Math"/>
                        <w:i/>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RR,t+1</m:t>
                            </m:r>
                          </m:sub>
                        </m:sSub>
                      </m:num>
                      <m:den>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t</m:t>
                            </m:r>
                          </m:sub>
                        </m:sSub>
                      </m:den>
                    </m:f>
                  </m:e>
                </m:d>
                <m:sSub>
                  <m:sSubPr>
                    <m:ctrlPr>
                      <w:rPr>
                        <w:rFonts w:ascii="Cambria Math" w:hAnsi="Cambria Math"/>
                        <w:i/>
                        <w:iCs/>
                      </w:rPr>
                    </m:ctrlPr>
                  </m:sSubPr>
                  <m:e>
                    <m:r>
                      <w:rPr>
                        <w:rFonts w:ascii="Cambria Math" w:hAnsi="Cambria Math"/>
                      </w:rPr>
                      <m:t>N</m:t>
                    </m:r>
                  </m:e>
                  <m:sub>
                    <m:r>
                      <w:rPr>
                        <w:rFonts w:ascii="Cambria Math" w:hAnsi="Cambria Math"/>
                      </w:rPr>
                      <m:t>jt</m:t>
                    </m:r>
                  </m:sub>
                </m:sSub>
              </m:oMath>
            </m:oMathPara>
          </w:p>
        </w:tc>
        <w:tc>
          <w:tcPr>
            <w:tcW w:w="709" w:type="dxa"/>
            <w:gridSpan w:val="2"/>
            <w:shd w:val="clear" w:color="auto" w:fill="FFFFFF" w:themeFill="background1"/>
          </w:tcPr>
          <w:p w14:paraId="7A457C6D" w14:textId="77777777" w:rsidR="00F50EE1" w:rsidRPr="00C00819" w:rsidRDefault="00F50EE1" w:rsidP="00C57016">
            <w:pPr>
              <w:pStyle w:val="Legenda"/>
              <w:keepNext/>
              <w:spacing w:after="0" w:line="240" w:lineRule="auto"/>
              <w:jc w:val="both"/>
              <w:rPr>
                <w:rFonts w:cs="Times New Roman"/>
                <w:b w:val="0"/>
                <w:iCs/>
                <w:color w:val="auto"/>
                <w:sz w:val="24"/>
                <w:szCs w:val="24"/>
              </w:rPr>
            </w:pPr>
            <w:r w:rsidRPr="00C00819">
              <w:rPr>
                <w:rFonts w:cs="Times New Roman"/>
                <w:b w:val="0"/>
                <w:color w:val="auto"/>
                <w:sz w:val="24"/>
                <w:szCs w:val="24"/>
              </w:rPr>
              <w:t>(</w:t>
            </w:r>
            <w:r w:rsidR="00C57016" w:rsidRPr="00C00819">
              <w:rPr>
                <w:rFonts w:cs="Times New Roman"/>
                <w:b w:val="0"/>
                <w:color w:val="auto"/>
                <w:sz w:val="24"/>
                <w:szCs w:val="24"/>
              </w:rPr>
              <w:t>4</w:t>
            </w:r>
            <w:r w:rsidRPr="00C00819">
              <w:rPr>
                <w:rFonts w:cs="Times New Roman"/>
                <w:b w:val="0"/>
                <w:color w:val="auto"/>
                <w:sz w:val="24"/>
                <w:szCs w:val="24"/>
              </w:rPr>
              <w:t>)</w:t>
            </w:r>
          </w:p>
        </w:tc>
      </w:tr>
      <w:tr w:rsidR="00F50EE1" w:rsidRPr="00C00819" w14:paraId="7A457C71" w14:textId="77777777" w:rsidTr="00565D53">
        <w:tblPrEx>
          <w:jc w:val="center"/>
        </w:tblPrEx>
        <w:trPr>
          <w:jc w:val="center"/>
        </w:trPr>
        <w:tc>
          <w:tcPr>
            <w:tcW w:w="7826" w:type="dxa"/>
            <w:gridSpan w:val="2"/>
            <w:shd w:val="clear" w:color="auto" w:fill="auto"/>
          </w:tcPr>
          <w:p w14:paraId="7A457C6F" w14:textId="77777777" w:rsidR="00F50EE1" w:rsidRPr="00C00819" w:rsidRDefault="00F50EE1" w:rsidP="00D21B85">
            <w:pPr>
              <w:spacing w:before="120" w:after="120"/>
              <w:rPr>
                <w:iCs/>
              </w:rPr>
            </w:pPr>
            <w:r w:rsidRPr="00C00819">
              <w:rPr>
                <w:iCs/>
              </w:rPr>
              <w:tab/>
              <w:t xml:space="preserve">Defina: </w:t>
            </w:r>
            <m:oMath>
              <m:sSubSup>
                <m:sSubSupPr>
                  <m:ctrlPr>
                    <w:rPr>
                      <w:rFonts w:ascii="Cambria Math" w:hAnsi="Cambria Math"/>
                      <w:i/>
                    </w:rPr>
                  </m:ctrlPr>
                </m:sSubSupPr>
                <m:e>
                  <m:r>
                    <w:rPr>
                      <w:rFonts w:ascii="Cambria Math" w:hAnsi="Cambria Math"/>
                    </w:rPr>
                    <m:t>R</m:t>
                  </m:r>
                </m:e>
                <m:sub>
                  <m:r>
                    <w:rPr>
                      <w:rFonts w:ascii="Cambria Math" w:hAnsi="Cambria Math"/>
                    </w:rPr>
                    <m:t>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RR,t+1</m:t>
                  </m:r>
                </m:sub>
              </m:sSub>
              <m:r>
                <w:rPr>
                  <w:rFonts w:ascii="Cambria Math" w:hAnsi="Cambria Math"/>
                </w:rPr>
                <m:t>)</m:t>
              </m:r>
            </m:oMath>
          </w:p>
        </w:tc>
        <w:tc>
          <w:tcPr>
            <w:tcW w:w="616" w:type="dxa"/>
            <w:gridSpan w:val="2"/>
            <w:shd w:val="clear" w:color="auto" w:fill="auto"/>
          </w:tcPr>
          <w:p w14:paraId="7A457C70" w14:textId="77777777" w:rsidR="00F50EE1" w:rsidRPr="00C00819" w:rsidRDefault="00F50EE1" w:rsidP="00C57016">
            <w:pPr>
              <w:pStyle w:val="Legenda"/>
              <w:spacing w:before="120" w:after="120" w:line="240" w:lineRule="auto"/>
              <w:rPr>
                <w:rFonts w:cs="Times New Roman"/>
                <w:b w:val="0"/>
                <w:iCs/>
                <w:color w:val="auto"/>
                <w:sz w:val="24"/>
                <w:szCs w:val="24"/>
              </w:rPr>
            </w:pPr>
            <w:r w:rsidRPr="00C00819">
              <w:rPr>
                <w:rFonts w:cs="Times New Roman"/>
                <w:b w:val="0"/>
                <w:color w:val="auto"/>
                <w:sz w:val="24"/>
                <w:szCs w:val="24"/>
              </w:rPr>
              <w:t>(</w:t>
            </w:r>
            <w:r w:rsidR="00C57016" w:rsidRPr="00C00819">
              <w:rPr>
                <w:rFonts w:cs="Times New Roman"/>
                <w:b w:val="0"/>
                <w:color w:val="auto"/>
                <w:sz w:val="24"/>
                <w:szCs w:val="24"/>
              </w:rPr>
              <w:t>5</w:t>
            </w:r>
            <w:r w:rsidRPr="00C00819">
              <w:rPr>
                <w:rFonts w:cs="Times New Roman"/>
                <w:b w:val="0"/>
                <w:color w:val="auto"/>
                <w:sz w:val="24"/>
                <w:szCs w:val="24"/>
              </w:rPr>
              <w:t>)</w:t>
            </w:r>
          </w:p>
        </w:tc>
      </w:tr>
    </w:tbl>
    <w:p w14:paraId="7A457C72" w14:textId="77777777" w:rsidR="00F50EE1" w:rsidRPr="00C00819" w:rsidRDefault="00F50EE1" w:rsidP="00580FCE">
      <w:pPr>
        <w:ind w:firstLine="709"/>
        <w:jc w:val="both"/>
      </w:pPr>
      <w:r w:rsidRPr="00C00819">
        <w:rPr>
          <w:iCs/>
        </w:rPr>
        <w:t xml:space="preserve">Nota-se que a taxa </w:t>
      </w:r>
      <m:oMath>
        <m:sSubSup>
          <m:sSubSupPr>
            <m:ctrlPr>
              <w:rPr>
                <w:rFonts w:ascii="Cambria Math" w:hAnsi="Cambria Math"/>
                <w:i/>
              </w:rPr>
            </m:ctrlPr>
          </m:sSubSupPr>
          <m:e>
            <m:r>
              <w:rPr>
                <w:rFonts w:ascii="Cambria Math" w:hAnsi="Cambria Math"/>
              </w:rPr>
              <m:t>R</m:t>
            </m:r>
          </m:e>
          <m:sub>
            <m:r>
              <w:rPr>
                <w:rFonts w:ascii="Cambria Math" w:hAnsi="Cambria Math"/>
              </w:rPr>
              <m:t>t+1</m:t>
            </m:r>
          </m:sub>
          <m:sup>
            <m:r>
              <w:rPr>
                <w:rFonts w:ascii="Cambria Math" w:hAnsi="Cambria Math"/>
              </w:rPr>
              <m:t>*</m:t>
            </m:r>
          </m:sup>
        </m:sSubSup>
      </m:oMath>
      <w:r w:rsidRPr="00C00819">
        <w:rPr>
          <w:iCs/>
        </w:rPr>
        <w:t xml:space="preserve"> corresponde à taxa de remuneração dos depósitos, </w:t>
      </w:r>
      <m:oMath>
        <m:sSub>
          <m:sSubPr>
            <m:ctrlPr>
              <w:rPr>
                <w:rFonts w:ascii="Cambria Math" w:hAnsi="Cambria Math"/>
                <w:i/>
              </w:rPr>
            </m:ctrlPr>
          </m:sSubPr>
          <m:e>
            <m:r>
              <w:rPr>
                <w:rFonts w:ascii="Cambria Math" w:hAnsi="Cambria Math"/>
              </w:rPr>
              <m:t>R</m:t>
            </m:r>
          </m:e>
          <m:sub>
            <m:r>
              <w:rPr>
                <w:rFonts w:ascii="Cambria Math" w:hAnsi="Cambria Math"/>
              </w:rPr>
              <m:t>t+1</m:t>
            </m:r>
          </m:sub>
        </m:sSub>
      </m:oMath>
      <w:r w:rsidRPr="00C00819">
        <w:t>, mais um incremento positivo</w:t>
      </w:r>
      <w:r w:rsidRPr="00C00819">
        <w:rPr>
          <w:rStyle w:val="Refdenotaderodap"/>
        </w:rPr>
        <w:footnoteReference w:id="3"/>
      </w:r>
      <w:r w:rsidRPr="00C00819">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t</m:t>
                </m:r>
              </m:sub>
            </m:sSub>
          </m:num>
          <m:den>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RR,t+1</m:t>
            </m:r>
          </m:sub>
        </m:sSub>
        <m:r>
          <w:rPr>
            <w:rFonts w:ascii="Cambria Math" w:hAnsi="Cambria Math"/>
          </w:rPr>
          <m:t>)</m:t>
        </m:r>
      </m:oMath>
      <w:r w:rsidRPr="00C00819">
        <w:t xml:space="preserve">. Esse incremento é formado pela diferença entre a própria taxa de remuneração dos depósitos das famílias e a remuneração do depósito compulsório. Assim, o depósito compulsório pode ser interpretado como um custo incremental que encarece o custo total do </w:t>
      </w:r>
      <w:proofErr w:type="spellStart"/>
      <w:r w:rsidRPr="00C00819">
        <w:rPr>
          <w:i/>
        </w:rPr>
        <w:t>funding</w:t>
      </w:r>
      <w:proofErr w:type="spellEnd"/>
      <w:r w:rsidRPr="00C00819">
        <w:t xml:space="preserve"> do banco </w:t>
      </w:r>
      <m:oMath>
        <m:sSubSup>
          <m:sSubSupPr>
            <m:ctrlPr>
              <w:rPr>
                <w:rFonts w:ascii="Cambria Math" w:hAnsi="Cambria Math"/>
                <w:i/>
              </w:rPr>
            </m:ctrlPr>
          </m:sSubSupPr>
          <m:e>
            <m:r>
              <w:rPr>
                <w:rFonts w:ascii="Cambria Math" w:hAnsi="Cambria Math"/>
              </w:rPr>
              <m:t>R</m:t>
            </m:r>
          </m:e>
          <m:sub>
            <m:r>
              <w:rPr>
                <w:rFonts w:ascii="Cambria Math" w:hAnsi="Cambria Math"/>
              </w:rPr>
              <m:t>t+1</m:t>
            </m:r>
          </m:sub>
          <m:sup>
            <m:r>
              <w:rPr>
                <w:rFonts w:ascii="Cambria Math" w:hAnsi="Cambria Math"/>
              </w:rPr>
              <m:t>*</m:t>
            </m:r>
          </m:sup>
        </m:sSubSup>
      </m:oMath>
      <w:r w:rsidRPr="00C00819">
        <w:t>.</w:t>
      </w:r>
    </w:p>
    <w:p w14:paraId="7A457C73" w14:textId="77777777" w:rsidR="00F50EE1" w:rsidRPr="00C00819" w:rsidRDefault="00F50EE1" w:rsidP="00580FCE">
      <w:pPr>
        <w:ind w:firstLine="709"/>
        <w:jc w:val="both"/>
        <w:rPr>
          <w:iCs/>
        </w:rPr>
      </w:pPr>
      <w:r w:rsidRPr="00C00819">
        <w:rPr>
          <w:iCs/>
        </w:rPr>
        <w:t xml:space="preserve">Nesse caso, a evolução do capital próprio da instituição financeira é dada por: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2"/>
        <w:gridCol w:w="1510"/>
      </w:tblGrid>
      <w:tr w:rsidR="00F50EE1" w:rsidRPr="00C00819" w14:paraId="7A457C76" w14:textId="77777777" w:rsidTr="00A271A9">
        <w:trPr>
          <w:jc w:val="center"/>
        </w:trPr>
        <w:tc>
          <w:tcPr>
            <w:tcW w:w="0" w:type="auto"/>
            <w:vAlign w:val="center"/>
          </w:tcPr>
          <w:p w14:paraId="7A457C74" w14:textId="77777777" w:rsidR="00F50EE1" w:rsidRPr="00C00819" w:rsidRDefault="000D6AC7" w:rsidP="00D21B85">
            <w:pPr>
              <w:spacing w:before="120" w:after="120"/>
              <w:rPr>
                <w:iCs/>
              </w:rPr>
            </w:pPr>
            <m:oMathPara>
              <m:oMath>
                <m:sSub>
                  <m:sSubPr>
                    <m:ctrlPr>
                      <w:rPr>
                        <w:rFonts w:ascii="Cambria Math" w:hAnsi="Cambria Math"/>
                        <w:i/>
                        <w:iCs/>
                      </w:rPr>
                    </m:ctrlPr>
                  </m:sSubPr>
                  <m:e>
                    <m:r>
                      <w:rPr>
                        <w:rFonts w:ascii="Cambria Math" w:hAnsi="Cambria Math"/>
                      </w:rPr>
                      <m:t>N</m:t>
                    </m:r>
                  </m:e>
                  <m:sub>
                    <m:r>
                      <w:rPr>
                        <w:rFonts w:ascii="Cambria Math" w:hAnsi="Cambria Math"/>
                      </w:rPr>
                      <m:t>jt+1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kt+1</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t+1</m:t>
                        </m:r>
                      </m:sub>
                      <m:sup>
                        <m:r>
                          <w:rPr>
                            <w:rFonts w:ascii="Cambria Math" w:hAnsi="Cambria Math"/>
                          </w:rPr>
                          <m:t>*</m:t>
                        </m:r>
                      </m:sup>
                    </m:sSubSup>
                    <m:ctrlPr>
                      <w:rPr>
                        <w:rFonts w:ascii="Cambria Math" w:hAnsi="Cambria Math"/>
                        <w:i/>
                        <w:iCs/>
                      </w:rPr>
                    </m:ctrlPr>
                  </m:e>
                </m:d>
                <m:sSub>
                  <m:sSubPr>
                    <m:ctrlPr>
                      <w:rPr>
                        <w:rFonts w:ascii="Cambria Math" w:hAnsi="Cambria Math"/>
                        <w:i/>
                        <w:iCs/>
                      </w:rPr>
                    </m:ctrlPr>
                  </m:sSubPr>
                  <m:e>
                    <m:r>
                      <w:rPr>
                        <w:rFonts w:ascii="Cambria Math" w:hAnsi="Cambria Math"/>
                      </w:rPr>
                      <m:t>Q</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jt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t+1</m:t>
                    </m:r>
                  </m:sub>
                  <m:sup>
                    <m:r>
                      <w:rPr>
                        <w:rFonts w:ascii="Cambria Math" w:hAnsi="Cambria Math"/>
                      </w:rPr>
                      <m:t>*</m:t>
                    </m:r>
                  </m:sup>
                </m:sSubSup>
                <m:sSub>
                  <m:sSubPr>
                    <m:ctrlPr>
                      <w:rPr>
                        <w:rFonts w:ascii="Cambria Math" w:hAnsi="Cambria Math"/>
                        <w:i/>
                        <w:iCs/>
                      </w:rPr>
                    </m:ctrlPr>
                  </m:sSubPr>
                  <m:e>
                    <m:r>
                      <w:rPr>
                        <w:rFonts w:ascii="Cambria Math" w:hAnsi="Cambria Math"/>
                      </w:rPr>
                      <m:t>N</m:t>
                    </m:r>
                  </m:e>
                  <m:sub>
                    <m:r>
                      <w:rPr>
                        <w:rFonts w:ascii="Cambria Math" w:hAnsi="Cambria Math"/>
                      </w:rPr>
                      <m:t>jt</m:t>
                    </m:r>
                  </m:sub>
                </m:sSub>
              </m:oMath>
            </m:oMathPara>
          </w:p>
        </w:tc>
        <w:tc>
          <w:tcPr>
            <w:tcW w:w="1510" w:type="dxa"/>
            <w:vAlign w:val="center"/>
          </w:tcPr>
          <w:p w14:paraId="7A457C75" w14:textId="77777777" w:rsidR="00F50EE1" w:rsidRPr="00C00819" w:rsidRDefault="00F50EE1" w:rsidP="00C57016">
            <w:pPr>
              <w:pStyle w:val="Legenda"/>
              <w:spacing w:before="120" w:after="120" w:line="240" w:lineRule="auto"/>
              <w:rPr>
                <w:rFonts w:cs="Times New Roman"/>
                <w:b w:val="0"/>
                <w:iCs/>
                <w:color w:val="auto"/>
                <w:sz w:val="24"/>
                <w:szCs w:val="24"/>
              </w:rPr>
            </w:pPr>
            <w:r w:rsidRPr="00C00819">
              <w:rPr>
                <w:rFonts w:cs="Times New Roman"/>
                <w:b w:val="0"/>
                <w:color w:val="auto"/>
                <w:sz w:val="24"/>
                <w:szCs w:val="24"/>
              </w:rPr>
              <w:t>(</w:t>
            </w:r>
            <w:r w:rsidR="00C57016" w:rsidRPr="00C00819">
              <w:rPr>
                <w:rFonts w:cs="Times New Roman"/>
                <w:b w:val="0"/>
                <w:color w:val="auto"/>
                <w:sz w:val="24"/>
                <w:szCs w:val="24"/>
              </w:rPr>
              <w:t>6</w:t>
            </w:r>
            <w:r w:rsidRPr="00C00819">
              <w:rPr>
                <w:rFonts w:cs="Times New Roman"/>
                <w:b w:val="0"/>
                <w:color w:val="auto"/>
                <w:sz w:val="24"/>
                <w:szCs w:val="24"/>
              </w:rPr>
              <w:t>)</w:t>
            </w:r>
          </w:p>
        </w:tc>
      </w:tr>
    </w:tbl>
    <w:p w14:paraId="7A457C77" w14:textId="77777777" w:rsidR="00F50EE1" w:rsidRPr="00C00819" w:rsidRDefault="00F50EE1" w:rsidP="00580FCE">
      <w:pPr>
        <w:ind w:firstLine="709"/>
        <w:jc w:val="both"/>
        <w:rPr>
          <w:iCs/>
        </w:rPr>
      </w:pPr>
      <w:r w:rsidRPr="00C00819">
        <w:rPr>
          <w:iCs/>
        </w:rPr>
        <w:t xml:space="preserve">A evolução do capital do banco continua semelhante, entretanto no lugar da taxa paga aos depósitos, há uma taxa modificada que contempla o requerimento compulsório e que pode ser interpretada como o custo total do </w:t>
      </w:r>
      <w:proofErr w:type="spellStart"/>
      <w:r w:rsidRPr="00C00819">
        <w:rPr>
          <w:i/>
          <w:iCs/>
        </w:rPr>
        <w:t>funding</w:t>
      </w:r>
      <w:proofErr w:type="spellEnd"/>
      <w:r w:rsidRPr="00C00819">
        <w:rPr>
          <w:iCs/>
        </w:rPr>
        <w:t xml:space="preserve"> da instituição financeira. </w:t>
      </w:r>
    </w:p>
    <w:p w14:paraId="7A457C78" w14:textId="77777777" w:rsidR="00C82468" w:rsidRPr="00C00819" w:rsidRDefault="00C82468" w:rsidP="00C82468">
      <w:pPr>
        <w:ind w:firstLine="709"/>
        <w:jc w:val="both"/>
      </w:pPr>
      <w:r w:rsidRPr="00C00819">
        <w:rPr>
          <w:iCs/>
        </w:rPr>
        <w:t xml:space="preserve">Algumas observações devem ser realizadas a respeito do requerimento compulsório. Caso </w:t>
      </w:r>
      <m:oMath>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&gt;0</m:t>
        </m:r>
      </m:oMath>
      <w:r w:rsidRPr="00C00819">
        <w:t xml:space="preserve"> 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RR</m:t>
            </m:r>
          </m:sub>
        </m:sSub>
      </m:oMath>
      <w:r w:rsidRPr="00C00819">
        <w:t xml:space="preserve">, o compulsório continua atuando de modo a retirar liquidez da economia, entretanto, seu valor não impacta na gestão de ativos e passivos do banco, pois </w:t>
      </w:r>
      <m:oMath>
        <m:sSubSup>
          <m:sSubSupPr>
            <m:ctrlPr>
              <w:rPr>
                <w:rFonts w:ascii="Cambria Math" w:hAnsi="Cambria Math"/>
                <w:i/>
              </w:rPr>
            </m:ctrlPr>
          </m:sSubSupPr>
          <m:e>
            <m:r>
              <w:rPr>
                <w:rFonts w:ascii="Cambria Math" w:hAnsi="Cambria Math"/>
              </w:rPr>
              <m:t>R</m:t>
            </m:r>
          </m:e>
          <m:sub>
            <m:r>
              <w:rPr>
                <w:rFonts w:ascii="Cambria Math" w:hAnsi="Cambria Math"/>
              </w:rPr>
              <m:t>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oMath>
      <w:r w:rsidRPr="00C00819">
        <w:t xml:space="preserve">. Por outro lado, se </w:t>
      </w:r>
      <m:oMath>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&gt;0</m:t>
        </m:r>
      </m:oMath>
      <w:r w:rsidRPr="00C00819">
        <w:t xml:space="preserve"> 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RR</m:t>
            </m:r>
          </m:sub>
        </m:sSub>
      </m:oMath>
      <w:r w:rsidRPr="00C00819">
        <w:t xml:space="preserve">, a estratégia do banco deve ser revisada, tendo em vista que </w:t>
      </w:r>
      <m:oMath>
        <m:sSubSup>
          <m:sSubSupPr>
            <m:ctrlPr>
              <w:rPr>
                <w:rFonts w:ascii="Cambria Math" w:hAnsi="Cambria Math"/>
                <w:i/>
              </w:rPr>
            </m:ctrlPr>
          </m:sSubSupPr>
          <m:e>
            <m:r>
              <w:rPr>
                <w:rFonts w:ascii="Cambria Math" w:hAnsi="Cambria Math"/>
              </w:rPr>
              <m:t>R</m:t>
            </m:r>
          </m:e>
          <m:sub>
            <m:r>
              <w:rPr>
                <w:rFonts w:ascii="Cambria Math" w:hAnsi="Cambria Math"/>
              </w:rPr>
              <m:t>t+1</m:t>
            </m:r>
          </m:sub>
          <m:sup>
            <m:r>
              <w:rPr>
                <w:rFonts w:ascii="Cambria Math" w:hAnsi="Cambria Math"/>
              </w:rPr>
              <m:t>*</m:t>
            </m:r>
          </m:sup>
        </m:sSubSup>
        <m: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t+1</m:t>
            </m:r>
          </m:sub>
        </m:sSub>
      </m:oMath>
      <w:r w:rsidRPr="00C00819">
        <w:t xml:space="preserve"> terá impactos sobre o nível de alavancagem da instituição</w:t>
      </w:r>
      <w:r w:rsidRPr="00C00819">
        <w:rPr>
          <w:rStyle w:val="Refdenotaderodap"/>
        </w:rPr>
        <w:footnoteReference w:id="4"/>
      </w:r>
      <w:r w:rsidRPr="00C00819">
        <w:t xml:space="preserve">. </w:t>
      </w:r>
    </w:p>
    <w:p w14:paraId="7A457C79" w14:textId="77777777" w:rsidR="00C82468" w:rsidRPr="00C00819" w:rsidRDefault="00C82468" w:rsidP="00C82468">
      <w:pPr>
        <w:ind w:firstLine="709"/>
        <w:jc w:val="both"/>
      </w:pPr>
      <w:r w:rsidRPr="00C00819">
        <w:t xml:space="preserve">Conforme Montoro e Tovar (2010) e, seguindo aplicação ao caso brasileiro por Kornelius e Divino (2015), serão consideradas duas possibilidades de especificação do nível dos depósitos compulsórios. A primeira considera um nível fixo e a segunda uma regra anticíclica em relação ao crédito, na qual o nível do compulsório aumenta quando o crédito ultrapassa o seu valor de equilíbrio e reduz no caso oposto: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4"/>
        <w:gridCol w:w="1510"/>
      </w:tblGrid>
      <w:tr w:rsidR="00C82468" w:rsidRPr="00C00819" w14:paraId="7A457C7C" w14:textId="77777777" w:rsidTr="0025622C">
        <w:trPr>
          <w:jc w:val="center"/>
        </w:trPr>
        <w:tc>
          <w:tcPr>
            <w:tcW w:w="0" w:type="auto"/>
            <w:vAlign w:val="center"/>
          </w:tcPr>
          <w:p w14:paraId="7A457C7A" w14:textId="77777777" w:rsidR="00C82468" w:rsidRPr="00C00819" w:rsidRDefault="000D6AC7" w:rsidP="00C82468">
            <w:pPr>
              <w:spacing w:before="120" w:after="120"/>
              <w:rPr>
                <w:iCs/>
              </w:rPr>
            </w:pPr>
            <m:oMathPara>
              <m:oMath>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τ</m:t>
                            </m:r>
                          </m:e>
                        </m:acc>
                      </m:e>
                      <m:e>
                        <m:acc>
                          <m:accPr>
                            <m:chr m:val="̅"/>
                            <m:ctrlPr>
                              <w:rPr>
                                <w:rFonts w:ascii="Cambria Math" w:hAnsi="Cambria Math"/>
                                <w:i/>
                              </w:rPr>
                            </m:ctrlPr>
                          </m:accPr>
                          <m:e>
                            <m:r>
                              <w:rPr>
                                <w:rFonts w:ascii="Cambria Math" w:hAnsi="Cambria Math"/>
                              </w:rPr>
                              <m:t>τ</m:t>
                            </m:r>
                          </m:e>
                        </m:acc>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τ</m:t>
                            </m:r>
                          </m:sub>
                        </m:sSub>
                        <m:r>
                          <w:rPr>
                            <w:rFonts w:ascii="Cambria Math" w:hAnsi="Cambria Math"/>
                          </w:rPr>
                          <m:t>(log</m:t>
                        </m:r>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-log</m:t>
                        </m:r>
                        <m:sSubSup>
                          <m:sSubSupPr>
                            <m:ctrlPr>
                              <w:rPr>
                                <w:rFonts w:ascii="Cambria Math" w:hAnsi="Cambria Math"/>
                                <w:i/>
                              </w:rPr>
                            </m:ctrlPr>
                          </m:sSubSupPr>
                          <m:e>
                            <m:r>
                              <w:rPr>
                                <w:rFonts w:ascii="Cambria Math" w:hAnsi="Cambria Math"/>
                              </w:rPr>
                              <m:t>Q</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e>
                    </m:eqArr>
                  </m:e>
                </m:d>
              </m:oMath>
            </m:oMathPara>
          </w:p>
        </w:tc>
        <w:tc>
          <w:tcPr>
            <w:tcW w:w="1510" w:type="dxa"/>
            <w:vAlign w:val="center"/>
          </w:tcPr>
          <w:p w14:paraId="7A457C7B" w14:textId="77777777" w:rsidR="00C82468" w:rsidRPr="00C00819" w:rsidRDefault="00C82468" w:rsidP="00C57016">
            <w:pPr>
              <w:pStyle w:val="Legenda"/>
              <w:spacing w:before="120" w:after="120" w:line="240" w:lineRule="auto"/>
              <w:rPr>
                <w:rFonts w:cs="Times New Roman"/>
                <w:b w:val="0"/>
                <w:iCs/>
                <w:color w:val="auto"/>
                <w:sz w:val="24"/>
                <w:szCs w:val="24"/>
              </w:rPr>
            </w:pPr>
            <w:r w:rsidRPr="00C00819">
              <w:rPr>
                <w:rFonts w:cs="Times New Roman"/>
                <w:b w:val="0"/>
                <w:color w:val="auto"/>
                <w:sz w:val="24"/>
                <w:szCs w:val="24"/>
              </w:rPr>
              <w:t>(</w:t>
            </w:r>
            <w:r w:rsidR="00C57016" w:rsidRPr="00C00819">
              <w:rPr>
                <w:rFonts w:cs="Times New Roman"/>
                <w:b w:val="0"/>
                <w:color w:val="auto"/>
                <w:sz w:val="24"/>
                <w:szCs w:val="24"/>
              </w:rPr>
              <w:t>7</w:t>
            </w:r>
            <w:r w:rsidRPr="00C00819">
              <w:rPr>
                <w:rFonts w:cs="Times New Roman"/>
                <w:b w:val="0"/>
                <w:color w:val="auto"/>
                <w:sz w:val="24"/>
                <w:szCs w:val="24"/>
              </w:rPr>
              <w:t>)</w:t>
            </w:r>
          </w:p>
        </w:tc>
      </w:tr>
    </w:tbl>
    <w:p w14:paraId="7A457C7D" w14:textId="6E0989BF" w:rsidR="00C82468" w:rsidRDefault="00C82468" w:rsidP="00C82468">
      <w:pPr>
        <w:jc w:val="both"/>
        <w:rPr>
          <w:rFonts w:eastAsiaTheme="minorEastAsia"/>
        </w:rPr>
      </w:pPr>
      <w:r w:rsidRPr="00C00819">
        <w:rPr>
          <w:rFonts w:eastAsiaTheme="minorEastAsia"/>
        </w:rPr>
        <w:t xml:space="preserve">onde </w:t>
      </w:r>
      <m:oMath>
        <m:acc>
          <m:accPr>
            <m:chr m:val="̅"/>
            <m:ctrlPr>
              <w:rPr>
                <w:rFonts w:ascii="Cambria Math" w:hAnsi="Cambria Math"/>
                <w:i/>
              </w:rPr>
            </m:ctrlPr>
          </m:accPr>
          <m:e>
            <m:r>
              <w:rPr>
                <w:rFonts w:ascii="Cambria Math" w:hAnsi="Cambria Math"/>
              </w:rPr>
              <m:t>τ</m:t>
            </m:r>
          </m:e>
        </m:acc>
      </m:oMath>
      <w:r w:rsidRPr="00C00819">
        <w:rPr>
          <w:rFonts w:eastAsiaTheme="minorEastAsia"/>
        </w:rPr>
        <w:t xml:space="preserve"> indica o valor fixo da alíquota dos depósitos compulsórios, </w:t>
      </w:r>
      <m:oMath>
        <m:sSub>
          <m:sSubPr>
            <m:ctrlPr>
              <w:rPr>
                <w:rFonts w:ascii="Cambria Math" w:hAnsi="Cambria Math"/>
                <w:i/>
              </w:rPr>
            </m:ctrlPr>
          </m:sSubPr>
          <m:e>
            <m:r>
              <w:rPr>
                <w:rFonts w:ascii="Cambria Math" w:hAnsi="Cambria Math"/>
              </w:rPr>
              <m:t>κ</m:t>
            </m:r>
          </m:e>
          <m:sub>
            <m:r>
              <w:rPr>
                <w:rFonts w:ascii="Cambria Math" w:hAnsi="Cambria Math"/>
              </w:rPr>
              <m:t>τ</m:t>
            </m:r>
          </m:sub>
        </m:sSub>
      </m:oMath>
      <w:r w:rsidRPr="00C00819">
        <w:rPr>
          <w:rFonts w:eastAsiaTheme="minorEastAsia"/>
        </w:rPr>
        <w:t xml:space="preserve"> caracteriza o peso que a Autoridade Monetária atribui aos desvios do nível de crédito do equilíbrio na regra de determinação dos recolhimentos compulsórios e </w:t>
      </w:r>
      <m:oMath>
        <m:sSubSup>
          <m:sSubSupPr>
            <m:ctrlPr>
              <w:rPr>
                <w:rFonts w:ascii="Cambria Math" w:hAnsi="Cambria Math"/>
                <w:i/>
              </w:rPr>
            </m:ctrlPr>
          </m:sSubSupPr>
          <m:e>
            <m:r>
              <w:rPr>
                <w:rFonts w:ascii="Cambria Math" w:hAnsi="Cambria Math"/>
              </w:rPr>
              <m:t>Q</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S</m:t>
            </m:r>
          </m:e>
          <m:sub>
            <m:r>
              <w:rPr>
                <w:rFonts w:ascii="Cambria Math" w:hAnsi="Cambria Math"/>
              </w:rPr>
              <m:t>t</m:t>
            </m:r>
          </m:sub>
        </m:sSub>
      </m:oMath>
      <w:r w:rsidRPr="00C00819">
        <w:rPr>
          <w:rFonts w:eastAsiaTheme="minorEastAsia"/>
        </w:rPr>
        <w:t xml:space="preserve"> consiste no nível de crédito de equilíbrio. </w:t>
      </w:r>
    </w:p>
    <w:p w14:paraId="7EF654DA" w14:textId="4B2221C3" w:rsidR="00CB169E" w:rsidRDefault="00CB169E" w:rsidP="00C82468">
      <w:pPr>
        <w:jc w:val="both"/>
        <w:rPr>
          <w:rFonts w:eastAsiaTheme="minorEastAsia"/>
        </w:rPr>
      </w:pPr>
    </w:p>
    <w:p w14:paraId="77760556" w14:textId="77777777" w:rsidR="00CB169E" w:rsidRPr="00C00819" w:rsidRDefault="00CB169E" w:rsidP="00C82468">
      <w:pPr>
        <w:jc w:val="both"/>
        <w:rPr>
          <w:rFonts w:eastAsiaTheme="minorEastAsia"/>
        </w:rPr>
      </w:pPr>
    </w:p>
    <w:p w14:paraId="7A457C7E" w14:textId="77777777" w:rsidR="00F50EE1" w:rsidRPr="00C00819" w:rsidRDefault="00F50EE1" w:rsidP="00CB169E">
      <w:pPr>
        <w:pStyle w:val="Ttulo3"/>
        <w:numPr>
          <w:ilvl w:val="1"/>
          <w:numId w:val="16"/>
        </w:numPr>
        <w:spacing w:before="120" w:after="120" w:line="240" w:lineRule="auto"/>
        <w:ind w:left="357" w:hanging="357"/>
        <w:rPr>
          <w:rFonts w:ascii="Times New Roman" w:hAnsi="Times New Roman" w:cs="Times New Roman"/>
        </w:rPr>
      </w:pPr>
      <w:bookmarkStart w:id="63" w:name="_Toc451294391"/>
      <w:r w:rsidRPr="00C00819">
        <w:rPr>
          <w:rFonts w:ascii="Times New Roman" w:hAnsi="Times New Roman" w:cs="Times New Roman"/>
        </w:rPr>
        <w:lastRenderedPageBreak/>
        <w:t>Risco de Crédito</w:t>
      </w:r>
      <w:bookmarkEnd w:id="63"/>
      <w:r w:rsidRPr="00C00819">
        <w:rPr>
          <w:rFonts w:ascii="Times New Roman" w:hAnsi="Times New Roman" w:cs="Times New Roman"/>
        </w:rPr>
        <w:t xml:space="preserve"> </w:t>
      </w:r>
    </w:p>
    <w:p w14:paraId="7A457C7F" w14:textId="77777777" w:rsidR="00F50EE1" w:rsidRPr="00C00819" w:rsidRDefault="00C57016" w:rsidP="00C57016">
      <w:pPr>
        <w:pStyle w:val="Ttulo4"/>
        <w:tabs>
          <w:tab w:val="left" w:pos="851"/>
        </w:tabs>
        <w:spacing w:before="120" w:after="120" w:line="240" w:lineRule="auto"/>
        <w:rPr>
          <w:rFonts w:ascii="Times New Roman" w:hAnsi="Times New Roman" w:cs="Times New Roman"/>
          <w:b w:val="0"/>
          <w:i w:val="0"/>
        </w:rPr>
      </w:pPr>
      <w:r w:rsidRPr="00C00819">
        <w:rPr>
          <w:rFonts w:ascii="Times New Roman" w:hAnsi="Times New Roman" w:cs="Times New Roman"/>
          <w:b w:val="0"/>
          <w:i w:val="0"/>
        </w:rPr>
        <w:t>2.2.1</w:t>
      </w:r>
      <w:r w:rsidR="00986556" w:rsidRPr="00C00819">
        <w:rPr>
          <w:rFonts w:ascii="Times New Roman" w:hAnsi="Times New Roman" w:cs="Times New Roman"/>
          <w:b w:val="0"/>
          <w:i w:val="0"/>
        </w:rPr>
        <w:t xml:space="preserve"> </w:t>
      </w:r>
      <w:r w:rsidR="00F50EE1" w:rsidRPr="00C00819">
        <w:rPr>
          <w:rFonts w:ascii="Times New Roman" w:hAnsi="Times New Roman" w:cs="Times New Roman"/>
          <w:b w:val="0"/>
          <w:i w:val="0"/>
        </w:rPr>
        <w:t>Firmas Produtoras de Bens Intermediários</w:t>
      </w:r>
    </w:p>
    <w:p w14:paraId="7A457C80" w14:textId="77777777" w:rsidR="001D2003" w:rsidRPr="00C00819" w:rsidRDefault="00AF5471" w:rsidP="00580FCE">
      <w:pPr>
        <w:ind w:firstLine="709"/>
        <w:jc w:val="both"/>
      </w:pPr>
      <w:r w:rsidRPr="00C00819">
        <w:t>Consider</w:t>
      </w:r>
      <w:r w:rsidR="00381C58" w:rsidRPr="00C00819">
        <w:t>a-se</w:t>
      </w:r>
      <w:r w:rsidR="001D2003" w:rsidRPr="00C00819">
        <w:t xml:space="preserve"> um </w:t>
      </w:r>
      <w:proofErr w:type="spellStart"/>
      <w:r w:rsidR="001D2003" w:rsidRPr="00C00819">
        <w:rPr>
          <w:i/>
        </w:rPr>
        <w:t>continuum</w:t>
      </w:r>
      <w:proofErr w:type="spellEnd"/>
      <w:r w:rsidR="001D2003" w:rsidRPr="00C00819">
        <w:t xml:space="preserve"> de firmas produtoras de bens intermediários com medida 1. </w:t>
      </w:r>
      <w:r w:rsidR="00381C58" w:rsidRPr="00C00819">
        <w:t>N</w:t>
      </w:r>
      <w:r w:rsidR="00381C58" w:rsidRPr="00C00819">
        <w:rPr>
          <w:iCs/>
        </w:rPr>
        <w:t xml:space="preserve">o início do período </w:t>
      </w:r>
      <m:oMath>
        <m:r>
          <w:rPr>
            <w:rFonts w:ascii="Cambria Math" w:hAnsi="Cambria Math"/>
          </w:rPr>
          <m:t>t</m:t>
        </m:r>
      </m:oMath>
      <w:r w:rsidR="00381C58" w:rsidRPr="00C00819">
        <w:rPr>
          <w:iCs/>
        </w:rPr>
        <w:t xml:space="preserve"> o produtor de cada firma adquire capital </w:t>
      </w:r>
      <m:oMath>
        <m:sSub>
          <m:sSubPr>
            <m:ctrlPr>
              <w:rPr>
                <w:rFonts w:ascii="Cambria Math" w:hAnsi="Cambria Math"/>
                <w:i/>
                <w:iCs/>
              </w:rPr>
            </m:ctrlPr>
          </m:sSubPr>
          <m:e>
            <m:r>
              <w:rPr>
                <w:rFonts w:ascii="Cambria Math" w:hAnsi="Cambria Math"/>
              </w:rPr>
              <m:t>K</m:t>
            </m:r>
          </m:e>
          <m:sub>
            <m:r>
              <w:rPr>
                <w:rFonts w:ascii="Cambria Math" w:hAnsi="Cambria Math"/>
              </w:rPr>
              <m:t>t</m:t>
            </m:r>
          </m:sub>
        </m:sSub>
      </m:oMath>
      <w:r w:rsidR="00381C58" w:rsidRPr="00C00819">
        <w:rPr>
          <w:iCs/>
        </w:rPr>
        <w:t xml:space="preserve"> para utilizar na produção do mesmo período</w:t>
      </w:r>
      <w:r w:rsidR="009341D1" w:rsidRPr="00C00819">
        <w:rPr>
          <w:rStyle w:val="Refdenotaderodap"/>
          <w:iCs/>
        </w:rPr>
        <w:footnoteReference w:id="5"/>
      </w:r>
      <w:r w:rsidR="00381C58" w:rsidRPr="00C00819">
        <w:rPr>
          <w:iCs/>
        </w:rPr>
        <w:t xml:space="preserve"> conjuntamente com o </w:t>
      </w:r>
      <w:r w:rsidR="001D2003" w:rsidRPr="00C00819">
        <w:t>trabalho, conforme a seguinte função:</w:t>
      </w:r>
    </w:p>
    <w:p w14:paraId="7A457C81" w14:textId="77777777" w:rsidR="001D2003" w:rsidRPr="00C00819" w:rsidRDefault="000D6AC7" w:rsidP="00D21B85">
      <w:pPr>
        <w:spacing w:before="120" w:after="120"/>
      </w:pPr>
      <m:oMathPara>
        <m:oMath>
          <m:sSub>
            <m:sSubPr>
              <m:ctrlPr>
                <w:rPr>
                  <w:rFonts w:ascii="Cambria Math" w:hAnsi="Cambria Math"/>
                  <w:i/>
                  <w:iCs/>
                </w:rPr>
              </m:ctrlPr>
            </m:sSubPr>
            <m:e>
              <m:r>
                <w:rPr>
                  <w:rFonts w:ascii="Cambria Math" w:hAnsi="Cambria Math"/>
                </w:rPr>
                <m:t>Y</m:t>
              </m:r>
            </m:e>
            <m:sub>
              <m:r>
                <w:rPr>
                  <w:rFonts w:ascii="Cambria Math" w:hAnsi="Cambria Math"/>
                </w:rPr>
                <m:t>mt</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t</m:t>
              </m:r>
            </m:sub>
          </m:sSub>
          <m:sSubSup>
            <m:sSubSupPr>
              <m:ctrlPr>
                <w:rPr>
                  <w:rFonts w:ascii="Cambria Math" w:eastAsiaTheme="minorEastAsia" w:hAnsi="Cambria Math"/>
                  <w:i/>
                  <w:iCs/>
                </w:rPr>
              </m:ctrlPr>
            </m:sSubSupPr>
            <m:e>
              <m:r>
                <w:rPr>
                  <w:rFonts w:ascii="Cambria Math" w:hAnsi="Cambria Math"/>
                </w:rPr>
                <m:t>K</m:t>
              </m:r>
              <m:ctrlPr>
                <w:rPr>
                  <w:rFonts w:ascii="Cambria Math" w:hAnsi="Cambria Math"/>
                  <w:i/>
                  <w:iCs/>
                </w:rPr>
              </m:ctrlPr>
            </m:e>
            <m:sub>
              <m:r>
                <w:rPr>
                  <w:rFonts w:ascii="Cambria Math" w:hAnsi="Cambria Math"/>
                </w:rPr>
                <m:t>t</m:t>
              </m:r>
              <m:ctrlPr>
                <w:rPr>
                  <w:rFonts w:ascii="Cambria Math" w:hAnsi="Cambria Math"/>
                  <w:i/>
                  <w:iCs/>
                </w:rPr>
              </m:ctrlPr>
            </m:sub>
            <m:sup>
              <m:r>
                <w:rPr>
                  <w:rFonts w:ascii="Cambria Math" w:hAnsi="Cambria Math"/>
                </w:rPr>
                <m:t>α</m:t>
              </m:r>
            </m:sup>
          </m:sSubSup>
          <m:sSubSup>
            <m:sSubSupPr>
              <m:ctrlPr>
                <w:rPr>
                  <w:rFonts w:ascii="Cambria Math" w:hAnsi="Cambria Math"/>
                  <w:i/>
                  <w:iCs/>
                </w:rPr>
              </m:ctrlPr>
            </m:sSubSupPr>
            <m:e>
              <m:r>
                <w:rPr>
                  <w:rFonts w:ascii="Cambria Math" w:hAnsi="Cambria Math"/>
                </w:rPr>
                <m:t>L</m:t>
              </m:r>
            </m:e>
            <m:sub>
              <m:r>
                <w:rPr>
                  <w:rFonts w:ascii="Cambria Math" w:hAnsi="Cambria Math"/>
                </w:rPr>
                <m:t>t</m:t>
              </m:r>
            </m:sub>
            <m:sup>
              <m:r>
                <w:rPr>
                  <w:rFonts w:ascii="Cambria Math" w:hAnsi="Cambria Math"/>
                </w:rPr>
                <m:t>1-α</m:t>
              </m:r>
            </m:sup>
          </m:sSubSup>
        </m:oMath>
      </m:oMathPara>
    </w:p>
    <w:p w14:paraId="7A457C82" w14:textId="77777777" w:rsidR="00386176" w:rsidRPr="00C00819" w:rsidRDefault="00386176" w:rsidP="00580FCE">
      <w:pPr>
        <w:ind w:firstLine="709"/>
        <w:jc w:val="both"/>
        <w:rPr>
          <w:iCs/>
        </w:rPr>
      </w:pPr>
      <w:r w:rsidRPr="00C00819">
        <w:rPr>
          <w:iCs/>
        </w:rPr>
        <w:t xml:space="preserve">As firmas financiam a compra do capital por meio da obtenção de fundos nas instituições financeiras. Assim, a </w:t>
      </w:r>
      <w:r w:rsidRPr="00C00819">
        <w:t xml:space="preserve">firma </w:t>
      </w:r>
      <w:r w:rsidRPr="00C00819">
        <w:rPr>
          <w:iCs/>
        </w:rPr>
        <w:t xml:space="preserve">obtém recursos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sidRPr="00C00819">
        <w:rPr>
          <w:iCs/>
        </w:rPr>
        <w:t xml:space="preserve"> igual ao número de unidades de capital adquiridos </w:t>
      </w:r>
      <m:oMath>
        <m:sSub>
          <m:sSubPr>
            <m:ctrlPr>
              <w:rPr>
                <w:rFonts w:ascii="Cambria Math" w:hAnsi="Cambria Math"/>
                <w:i/>
                <w:iCs/>
              </w:rPr>
            </m:ctrlPr>
          </m:sSubPr>
          <m:e>
            <m:r>
              <w:rPr>
                <w:rFonts w:ascii="Cambria Math" w:hAnsi="Cambria Math"/>
              </w:rPr>
              <m:t>K</m:t>
            </m:r>
          </m:e>
          <m:sub>
            <m:r>
              <w:rPr>
                <w:rFonts w:ascii="Cambria Math" w:hAnsi="Cambria Math"/>
              </w:rPr>
              <m:t>t</m:t>
            </m:r>
          </m:sub>
        </m:sSub>
      </m:oMath>
      <w:r w:rsidRPr="00C00819">
        <w:rPr>
          <w:iCs/>
        </w:rPr>
        <w:t xml:space="preserve"> com preço igual ao da unidade de capital </w:t>
      </w:r>
      <m:oMath>
        <m:sSub>
          <m:sSubPr>
            <m:ctrlPr>
              <w:rPr>
                <w:rFonts w:ascii="Cambria Math" w:hAnsi="Cambria Math"/>
                <w:i/>
                <w:iCs/>
              </w:rPr>
            </m:ctrlPr>
          </m:sSubPr>
          <m:e>
            <m:r>
              <w:rPr>
                <w:rFonts w:ascii="Cambria Math" w:hAnsi="Cambria Math"/>
              </w:rPr>
              <m:t>Q</m:t>
            </m:r>
          </m:e>
          <m:sub>
            <m:r>
              <w:rPr>
                <w:rFonts w:ascii="Cambria Math" w:hAnsi="Cambria Math"/>
              </w:rPr>
              <m:t>t</m:t>
            </m:r>
          </m:sub>
        </m:sSub>
      </m:oMath>
      <w:r w:rsidRPr="00C00819">
        <w:rPr>
          <w:iCs/>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496"/>
      </w:tblGrid>
      <w:tr w:rsidR="00386176" w:rsidRPr="00C00819" w14:paraId="7A457C85" w14:textId="77777777" w:rsidTr="00386176">
        <w:trPr>
          <w:jc w:val="center"/>
        </w:trPr>
        <w:tc>
          <w:tcPr>
            <w:tcW w:w="0" w:type="auto"/>
            <w:vAlign w:val="center"/>
          </w:tcPr>
          <w:p w14:paraId="7A457C83" w14:textId="77777777" w:rsidR="00386176" w:rsidRPr="00C00819" w:rsidRDefault="000D6AC7" w:rsidP="00D21B85">
            <w:pPr>
              <w:spacing w:before="120" w:after="120"/>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t</m:t>
                    </m:r>
                  </m:sub>
                </m:sSub>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t</m:t>
                    </m:r>
                  </m:sub>
                </m:sSub>
              </m:oMath>
            </m:oMathPara>
          </w:p>
        </w:tc>
        <w:tc>
          <w:tcPr>
            <w:tcW w:w="0" w:type="auto"/>
            <w:vAlign w:val="center"/>
          </w:tcPr>
          <w:p w14:paraId="7A457C84" w14:textId="77777777" w:rsidR="00386176" w:rsidRPr="00C00819" w:rsidRDefault="00386176" w:rsidP="00C57016">
            <w:pPr>
              <w:spacing w:before="120" w:after="120"/>
            </w:pPr>
            <w:r w:rsidRPr="00C00819">
              <w:t>(</w:t>
            </w:r>
            <w:r w:rsidR="00C57016" w:rsidRPr="00C00819">
              <w:t>8</w:t>
            </w:r>
            <w:r w:rsidRPr="00C00819">
              <w:t>)</w:t>
            </w:r>
          </w:p>
        </w:tc>
      </w:tr>
    </w:tbl>
    <w:p w14:paraId="7A457C86" w14:textId="77777777" w:rsidR="0063466D" w:rsidRPr="00C00819" w:rsidRDefault="0063466D" w:rsidP="00580FCE">
      <w:pPr>
        <w:ind w:firstLine="709"/>
        <w:jc w:val="both"/>
      </w:pPr>
      <w:r w:rsidRPr="00C00819">
        <w:t>Dado que os empréstimos têm maturidade de um período, ent</w:t>
      </w:r>
      <w:r w:rsidR="00F7220E" w:rsidRPr="00C00819">
        <w:t xml:space="preserve">ão, se </w:t>
      </w:r>
      <w:r w:rsidR="0061285D" w:rsidRPr="00C00819">
        <w:t xml:space="preserve">a firma toma emprestado </w:t>
      </w:r>
      <m:oMath>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oMath>
      <w:r w:rsidR="0061285D" w:rsidRPr="00C00819">
        <w:t xml:space="preserve"> </w:t>
      </w:r>
      <w:r w:rsidR="00F7220E" w:rsidRPr="00C00819">
        <w:t xml:space="preserve">em </w:t>
      </w:r>
      <m:oMath>
        <m:r>
          <w:rPr>
            <w:rFonts w:ascii="Cambria Math" w:hAnsi="Cambria Math"/>
          </w:rPr>
          <m:t>t</m:t>
        </m:r>
      </m:oMath>
      <w:r w:rsidR="00F7220E" w:rsidRPr="00C00819">
        <w:t xml:space="preserve"> </w:t>
      </w:r>
      <w:r w:rsidR="0061285D" w:rsidRPr="00C00819">
        <w:t xml:space="preserve">para financiar a aquisição de capital, em </w:t>
      </w:r>
      <m:oMath>
        <m:r>
          <w:rPr>
            <w:rFonts w:ascii="Cambria Math" w:hAnsi="Cambria Math"/>
          </w:rPr>
          <m:t>t+1</m:t>
        </m:r>
      </m:oMath>
      <w:r w:rsidR="0061285D" w:rsidRPr="00C00819">
        <w:t xml:space="preserve">, </w:t>
      </w:r>
      <w:r w:rsidRPr="00C00819">
        <w:t xml:space="preserve">deve pagar o montante </w:t>
      </w:r>
      <m:oMath>
        <m:sSub>
          <m:sSubPr>
            <m:ctrlPr>
              <w:rPr>
                <w:rFonts w:ascii="Cambria Math" w:hAnsi="Cambria Math"/>
                <w:i/>
              </w:rPr>
            </m:ctrlPr>
          </m:sSubPr>
          <m:e>
            <m:r>
              <w:rPr>
                <w:rFonts w:ascii="Cambria Math" w:hAnsi="Cambria Math"/>
              </w:rPr>
              <m:t>R</m:t>
            </m:r>
          </m:e>
          <m:sub>
            <m:r>
              <w:rPr>
                <w:rFonts w:ascii="Cambria Math" w:hAnsi="Cambria Math"/>
              </w:rPr>
              <m:t>kt+1</m:t>
            </m:r>
          </m:sub>
        </m:sSub>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oMath>
      <w:r w:rsidRPr="00C00819">
        <w:t xml:space="preserve"> correspondente ao valor inicial corrigido pela taxa ativa </w:t>
      </w:r>
      <m:oMath>
        <m:sSub>
          <m:sSubPr>
            <m:ctrlPr>
              <w:rPr>
                <w:rFonts w:ascii="Cambria Math" w:hAnsi="Cambria Math"/>
                <w:i/>
              </w:rPr>
            </m:ctrlPr>
          </m:sSubPr>
          <m:e>
            <m:r>
              <w:rPr>
                <w:rFonts w:ascii="Cambria Math" w:hAnsi="Cambria Math"/>
              </w:rPr>
              <m:t>R</m:t>
            </m:r>
          </m:e>
          <m:sub>
            <m:r>
              <w:rPr>
                <w:rFonts w:ascii="Cambria Math" w:hAnsi="Cambria Math"/>
              </w:rPr>
              <m:t>kt+1</m:t>
            </m:r>
          </m:sub>
        </m:sSub>
      </m:oMath>
      <w:r w:rsidRPr="00C00819">
        <w:t xml:space="preserve">. Cabe ressaltar que essa taxa somente será definida no período no qual ocorre o pagamento do empréstimo, ou seja, em </w:t>
      </w:r>
      <m:oMath>
        <m:r>
          <w:rPr>
            <w:rFonts w:ascii="Cambria Math" w:hAnsi="Cambria Math"/>
          </w:rPr>
          <m:t>t+1</m:t>
        </m:r>
      </m:oMath>
      <w:r w:rsidRPr="00C00819">
        <w:t>.</w:t>
      </w:r>
    </w:p>
    <w:p w14:paraId="7A457C87" w14:textId="78EDC6A5" w:rsidR="008B5CCF" w:rsidRPr="00C00819" w:rsidRDefault="001D2003" w:rsidP="00580FCE">
      <w:pPr>
        <w:ind w:firstLine="709"/>
        <w:jc w:val="both"/>
        <w:rPr>
          <w:iCs/>
        </w:rPr>
      </w:pPr>
      <w:r w:rsidRPr="00C00819">
        <w:t>Existem dois tipos de firmas</w:t>
      </w:r>
      <w:r w:rsidR="00D83B69" w:rsidRPr="00C00819">
        <w:t>,</w:t>
      </w:r>
      <w:r w:rsidRPr="00C00819">
        <w:t xml:space="preserve"> </w:t>
      </w:r>
      <w:r w:rsidR="00D83B69" w:rsidRPr="00C00819">
        <w:t>a do tipo 1</w:t>
      </w:r>
      <w:r w:rsidR="003C1EE3" w:rsidRPr="00C00819">
        <w:t xml:space="preserve"> (“</w:t>
      </w:r>
      <w:r w:rsidR="003C1EE3" w:rsidRPr="00C00819">
        <w:rPr>
          <w:i/>
        </w:rPr>
        <w:t>m</w:t>
      </w:r>
      <w:r w:rsidR="008B0D75" w:rsidRPr="00C00819">
        <w:rPr>
          <w:i/>
        </w:rPr>
        <w:t>aus</w:t>
      </w:r>
      <w:r w:rsidR="008B0D75" w:rsidRPr="00C00819">
        <w:t>” pagadores)</w:t>
      </w:r>
      <w:r w:rsidR="00D83B69" w:rsidRPr="00C00819">
        <w:t xml:space="preserve"> incorre em risco de </w:t>
      </w:r>
      <w:r w:rsidR="00D83B69" w:rsidRPr="00C00819">
        <w:rPr>
          <w:i/>
        </w:rPr>
        <w:t xml:space="preserve">default </w:t>
      </w:r>
      <w:r w:rsidR="00D83B69" w:rsidRPr="00C00819">
        <w:t>e a do tipo 2</w:t>
      </w:r>
      <w:r w:rsidR="003C1EE3" w:rsidRPr="00C00819">
        <w:t xml:space="preserve"> (“</w:t>
      </w:r>
      <w:r w:rsidR="003C1EE3" w:rsidRPr="00C00819">
        <w:rPr>
          <w:i/>
        </w:rPr>
        <w:t>b</w:t>
      </w:r>
      <w:r w:rsidR="008B0D75" w:rsidRPr="00C00819">
        <w:rPr>
          <w:i/>
        </w:rPr>
        <w:t>ons</w:t>
      </w:r>
      <w:r w:rsidR="008B0D75" w:rsidRPr="00C00819">
        <w:t>” pagadores)</w:t>
      </w:r>
      <w:r w:rsidR="00D83B69" w:rsidRPr="00C00819">
        <w:t xml:space="preserve"> não</w:t>
      </w:r>
      <w:r w:rsidR="00AF5471" w:rsidRPr="00C00819">
        <w:t>. Então, para a firma do tipo 1 é considerada a exi</w:t>
      </w:r>
      <w:r w:rsidR="00F50EE1" w:rsidRPr="00C00819">
        <w:rPr>
          <w:iCs/>
        </w:rPr>
        <w:t xml:space="preserve">stência de fricção na concessão de empréstimos. Assim, seja </w:t>
      </w:r>
      <m:oMath>
        <m:r>
          <w:rPr>
            <w:rFonts w:ascii="Cambria Math" w:hAnsi="Cambria Math"/>
          </w:rPr>
          <m:t>(1-</m:t>
        </m:r>
        <m:sSub>
          <m:sSubPr>
            <m:ctrlPr>
              <w:rPr>
                <w:rFonts w:ascii="Cambria Math" w:hAnsi="Cambria Math"/>
                <w:i/>
                <w:iCs/>
              </w:rPr>
            </m:ctrlPr>
          </m:sSubPr>
          <m:e>
            <m:r>
              <w:rPr>
                <w:rFonts w:ascii="Cambria Math" w:hAnsi="Cambria Math"/>
              </w:rPr>
              <m:t>pg</m:t>
            </m:r>
          </m:e>
          <m:sub>
            <m:r>
              <w:rPr>
                <w:rFonts w:ascii="Cambria Math" w:hAnsi="Cambria Math"/>
              </w:rPr>
              <m:t>t</m:t>
            </m:r>
          </m:sub>
        </m:sSub>
        <m:r>
          <w:rPr>
            <w:rFonts w:ascii="Cambria Math" w:hAnsi="Cambria Math"/>
          </w:rPr>
          <m:t>)</m:t>
        </m:r>
      </m:oMath>
      <w:r w:rsidR="00F50EE1" w:rsidRPr="00C00819">
        <w:rPr>
          <w:iCs/>
        </w:rPr>
        <w:t xml:space="preserve"> a probabilidade da firma</w:t>
      </w:r>
      <w:r w:rsidR="00AF5471" w:rsidRPr="00C00819">
        <w:rPr>
          <w:iCs/>
        </w:rPr>
        <w:t xml:space="preserve"> tipo 1</w:t>
      </w:r>
      <w:r w:rsidR="00F50EE1" w:rsidRPr="00C00819">
        <w:rPr>
          <w:iCs/>
        </w:rPr>
        <w:t xml:space="preserve"> não pagar em </w:t>
      </w:r>
      <m:oMath>
        <m:r>
          <w:rPr>
            <w:rFonts w:ascii="Cambria Math" w:hAnsi="Cambria Math"/>
          </w:rPr>
          <m:t>t</m:t>
        </m:r>
      </m:oMath>
      <w:r w:rsidR="00F50EE1" w:rsidRPr="00C00819">
        <w:rPr>
          <w:iCs/>
        </w:rPr>
        <w:t xml:space="preserve"> o empréstimo obtido em </w:t>
      </w:r>
      <m:oMath>
        <m:r>
          <w:rPr>
            <w:rFonts w:ascii="Cambria Math" w:hAnsi="Cambria Math"/>
          </w:rPr>
          <m:t>t-1</m:t>
        </m:r>
      </m:oMath>
      <w:r w:rsidR="00F50EE1" w:rsidRPr="00C00819">
        <w:rPr>
          <w:iCs/>
        </w:rPr>
        <w:t xml:space="preserve">. Logo, </w:t>
      </w:r>
      <m:oMath>
        <m:sSub>
          <m:sSubPr>
            <m:ctrlPr>
              <w:rPr>
                <w:rFonts w:ascii="Cambria Math" w:hAnsi="Cambria Math"/>
                <w:i/>
                <w:iCs/>
              </w:rPr>
            </m:ctrlPr>
          </m:sSubPr>
          <m:e>
            <m:r>
              <w:rPr>
                <w:rFonts w:ascii="Cambria Math" w:hAnsi="Cambria Math"/>
              </w:rPr>
              <m:t>pg</m:t>
            </m:r>
          </m:e>
          <m:sub>
            <m:r>
              <w:rPr>
                <w:rFonts w:ascii="Cambria Math" w:hAnsi="Cambria Math"/>
              </w:rPr>
              <m:t>t</m:t>
            </m:r>
          </m:sub>
        </m:sSub>
      </m:oMath>
      <w:r w:rsidR="00F50EE1" w:rsidRPr="00C00819">
        <w:rPr>
          <w:iCs/>
        </w:rPr>
        <w:t xml:space="preserve"> representa a taxa de pagamento escolhida </w:t>
      </w:r>
      <w:r w:rsidR="00AF5471" w:rsidRPr="00C00819">
        <w:rPr>
          <w:iCs/>
        </w:rPr>
        <w:t>por essa</w:t>
      </w:r>
      <w:r w:rsidR="00F50EE1" w:rsidRPr="00C00819">
        <w:rPr>
          <w:iCs/>
        </w:rPr>
        <w:t xml:space="preserve"> firma, onde </w:t>
      </w:r>
      <m:oMath>
        <m:sSub>
          <m:sSubPr>
            <m:ctrlPr>
              <w:rPr>
                <w:rFonts w:ascii="Cambria Math" w:hAnsi="Cambria Math"/>
                <w:i/>
                <w:iCs/>
              </w:rPr>
            </m:ctrlPr>
          </m:sSubPr>
          <m:e>
            <m:r>
              <w:rPr>
                <w:rFonts w:ascii="Cambria Math" w:hAnsi="Cambria Math"/>
              </w:rPr>
              <m:t>pg</m:t>
            </m:r>
          </m:e>
          <m:sub>
            <m:r>
              <w:rPr>
                <w:rFonts w:ascii="Cambria Math" w:hAnsi="Cambria Math"/>
              </w:rPr>
              <m:t>t</m:t>
            </m:r>
          </m:sub>
        </m:sSub>
        <m:r>
          <w:rPr>
            <w:rFonts w:ascii="Cambria Math" w:hAnsi="Cambria Math"/>
          </w:rPr>
          <m:t xml:space="preserve"> ϵ (0,1)</m:t>
        </m:r>
      </m:oMath>
      <w:r w:rsidR="00F50EE1" w:rsidRPr="00C00819">
        <w:rPr>
          <w:iCs/>
        </w:rPr>
        <w:t xml:space="preserve">. Então, como consequência da probabilidade de não pagamento da dívida, </w:t>
      </w:r>
      <w:r w:rsidR="00AF5471" w:rsidRPr="00C00819">
        <w:rPr>
          <w:iCs/>
        </w:rPr>
        <w:t>est</w:t>
      </w:r>
      <w:r w:rsidR="008B5CCF" w:rsidRPr="00C00819">
        <w:rPr>
          <w:iCs/>
        </w:rPr>
        <w:t xml:space="preserve">a firma incorre em um custo quadrático, </w:t>
      </w:r>
      <m:oMath>
        <m:f>
          <m:fPr>
            <m:ctrlPr>
              <w:rPr>
                <w:rFonts w:ascii="Cambria Math" w:hAnsi="Cambria Math"/>
                <w:i/>
                <w:iCs/>
              </w:rPr>
            </m:ctrlPr>
          </m:fPr>
          <m:num>
            <m:sSub>
              <m:sSubPr>
                <m:ctrlPr>
                  <w:rPr>
                    <w:rFonts w:ascii="Cambria Math" w:hAnsi="Cambria Math"/>
                    <w:i/>
                    <w:iCs/>
                  </w:rPr>
                </m:ctrlPr>
              </m:sSubPr>
              <m:e>
                <m:r>
                  <w:rPr>
                    <w:rFonts w:ascii="Cambria Math" w:hAnsi="Cambria Math"/>
                  </w:rPr>
                  <m:t>κ</m:t>
                </m:r>
              </m:e>
              <m:sub>
                <m:r>
                  <w:rPr>
                    <w:rFonts w:ascii="Cambria Math" w:hAnsi="Cambria Math"/>
                  </w:rPr>
                  <m:t>D</m:t>
                </m:r>
              </m:sub>
            </m:sSub>
            <m:ctrlPr>
              <w:rPr>
                <w:rFonts w:ascii="Cambria Math" w:hAnsi="Cambria Math"/>
                <w:i/>
              </w:rPr>
            </m:ctrlPr>
          </m:num>
          <m:den>
            <m: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pg</m:t>
                    </m:r>
                  </m:e>
                  <m:sub>
                    <m:r>
                      <w:rPr>
                        <w:rFonts w:ascii="Cambria Math" w:hAnsi="Cambria Math"/>
                      </w:rPr>
                      <m:t>t-1</m:t>
                    </m:r>
                  </m:sub>
                </m:sSub>
                <m:r>
                  <w:rPr>
                    <w:rFonts w:ascii="Cambria Math" w:hAnsi="Cambria Math"/>
                  </w:rPr>
                  <m:t>)</m:t>
                </m:r>
                <m:r>
                  <m:rPr>
                    <m:sty m:val="p"/>
                  </m:rP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M</m:t>
                    </m:r>
                  </m:sup>
                </m:sSubSup>
                <m:r>
                  <w:rPr>
                    <w:rFonts w:ascii="Cambria Math" w:hAnsi="Cambria Math"/>
                  </w:rPr>
                  <m:t>+δ)</m:t>
                </m:r>
                <m:sSub>
                  <m:sSubPr>
                    <m:ctrlPr>
                      <w:rPr>
                        <w:rFonts w:ascii="Cambria Math" w:hAnsi="Cambria Math"/>
                        <w:i/>
                      </w:rPr>
                    </m:ctrlPr>
                  </m:sSubPr>
                  <m:e>
                    <m:r>
                      <w:rPr>
                        <w:rFonts w:ascii="Cambria Math" w:hAnsi="Cambria Math"/>
                      </w:rPr>
                      <m:t>Q</m:t>
                    </m:r>
                  </m:e>
                  <m:sub>
                    <m:r>
                      <w:rPr>
                        <w:rFonts w:ascii="Cambria Math" w:hAnsi="Cambria Math"/>
                      </w:rPr>
                      <m:t>t-1</m:t>
                    </m:r>
                  </m:sub>
                </m:sSub>
                <m:sSub>
                  <m:sSubPr>
                    <m:ctrlPr>
                      <w:rPr>
                        <w:rFonts w:ascii="Cambria Math" w:hAnsi="Cambria Math"/>
                        <w:i/>
                      </w:rPr>
                    </m:ctrlPr>
                  </m:sSubPr>
                  <m:e>
                    <m:r>
                      <w:rPr>
                        <w:rFonts w:ascii="Cambria Math" w:hAnsi="Cambria Math"/>
                      </w:rPr>
                      <m:t>K</m:t>
                    </m:r>
                  </m:e>
                  <m:sub>
                    <m:r>
                      <w:rPr>
                        <w:rFonts w:ascii="Cambria Math" w:hAnsi="Cambria Math"/>
                      </w:rPr>
                      <m:t>t-1</m:t>
                    </m:r>
                  </m:sub>
                </m:sSub>
              </m:e>
            </m:d>
          </m:e>
          <m:sup>
            <m:r>
              <w:rPr>
                <w:rFonts w:ascii="Cambria Math" w:hAnsi="Cambria Math"/>
              </w:rPr>
              <m:t>2</m:t>
            </m:r>
          </m:sup>
        </m:sSup>
      </m:oMath>
      <w:r w:rsidR="00AE26A6" w:rsidRPr="00C00819">
        <w:rPr>
          <w:iCs/>
        </w:rPr>
        <w:t xml:space="preserve">, </w:t>
      </w:r>
      <w:r w:rsidR="008B5CCF" w:rsidRPr="00C00819">
        <w:rPr>
          <w:iCs/>
        </w:rPr>
        <w:t>que a penaliza pelo descumprimento das obrigações financeiras</w:t>
      </w:r>
      <w:r w:rsidR="00D83B69" w:rsidRPr="00C00819">
        <w:rPr>
          <w:iCs/>
        </w:rPr>
        <w:t xml:space="preserve"> </w:t>
      </w:r>
      <w:r w:rsidR="0008257F" w:rsidRPr="00C00819">
        <w:rPr>
          <w:iCs/>
        </w:rPr>
        <w:t>referentes ao empréstimo tomado no período anterior</w:t>
      </w:r>
      <w:r w:rsidR="008B5CCF" w:rsidRPr="00C00819">
        <w:rPr>
          <w:iCs/>
        </w:rPr>
        <w:t>. Dessa forma, o problema d</w:t>
      </w:r>
      <w:r w:rsidR="00AF5471" w:rsidRPr="00C00819">
        <w:rPr>
          <w:iCs/>
        </w:rPr>
        <w:t>ess</w:t>
      </w:r>
      <w:r w:rsidR="008B5CCF" w:rsidRPr="00C00819">
        <w:rPr>
          <w:iCs/>
        </w:rPr>
        <w:t xml:space="preserve">a firma </w:t>
      </w:r>
      <w:r w:rsidR="00FC7B68" w:rsidRPr="00C00819">
        <w:rPr>
          <w:iCs/>
        </w:rPr>
        <w:t>consiste na maximização do valor presente esperado do fluxo de lucros futuros, no qual a firma escolhe a demanda por mão-de-obra, o capital</w:t>
      </w:r>
      <w:r w:rsidR="00C30E9B" w:rsidRPr="00C00819">
        <w:rPr>
          <w:rStyle w:val="Refdenotaderodap"/>
          <w:iCs/>
        </w:rPr>
        <w:footnoteReference w:id="6"/>
      </w:r>
      <w:r w:rsidR="00FC7B68" w:rsidRPr="00C00819">
        <w:rPr>
          <w:iCs/>
        </w:rPr>
        <w:t xml:space="preserve"> e a taxa de pagamento dos empréstimos</w:t>
      </w:r>
      <w:r w:rsidR="008B5CCF" w:rsidRPr="00C00819">
        <w:rPr>
          <w:iCs/>
        </w:rPr>
        <w:t xml:space="preserve">:  </w:t>
      </w:r>
    </w:p>
    <w:p w14:paraId="7A457C88" w14:textId="77777777" w:rsidR="00930620" w:rsidRPr="00C00819" w:rsidRDefault="000D6AC7" w:rsidP="00D21B85">
      <w:pPr>
        <w:spacing w:before="60" w:after="60"/>
        <w:ind w:firstLine="709"/>
        <w:jc w:val="both"/>
        <w:rPr>
          <w:iCs/>
        </w:rPr>
      </w:pPr>
      <m:oMathPara>
        <m:oMath>
          <m:func>
            <m:funcPr>
              <m:ctrlPr>
                <w:rPr>
                  <w:rFonts w:ascii="Cambria Math" w:hAnsi="Cambria Math"/>
                  <w:i/>
                </w:rPr>
              </m:ctrlPr>
            </m:funcPr>
            <m:fName>
              <m:eqArr>
                <m:eqArrPr>
                  <m:ctrlPr>
                    <w:rPr>
                      <w:rFonts w:ascii="Cambria Math" w:hAnsi="Cambria Math"/>
                    </w:rPr>
                  </m:ctrlPr>
                </m:eqArrPr>
                <m:e>
                  <m:r>
                    <m:rPr>
                      <m:sty m:val="p"/>
                    </m:rPr>
                    <w:rPr>
                      <w:rFonts w:ascii="Cambria Math" w:hAnsi="Cambria Math"/>
                    </w:rPr>
                    <m:t>max</m:t>
                  </m:r>
                </m:e>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iCs/>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 p</m:t>
                          </m:r>
                          <m:sSub>
                            <m:sSubPr>
                              <m:ctrlPr>
                                <w:rPr>
                                  <w:rFonts w:ascii="Cambria Math" w:hAnsi="Cambria Math"/>
                                  <w:i/>
                                  <w:iCs/>
                                </w:rPr>
                              </m:ctrlPr>
                            </m:sSubPr>
                            <m:e>
                              <m:r>
                                <w:rPr>
                                  <w:rFonts w:ascii="Cambria Math" w:hAnsi="Cambria Math"/>
                                </w:rPr>
                                <m:t>g</m:t>
                              </m:r>
                              <m:ctrlPr>
                                <w:rPr>
                                  <w:rFonts w:ascii="Cambria Math" w:hAnsi="Cambria Math"/>
                                  <w:i/>
                                </w:rPr>
                              </m:ctrlPr>
                            </m:e>
                            <m:sub>
                              <m:r>
                                <w:rPr>
                                  <w:rFonts w:ascii="Cambria Math" w:hAnsi="Cambria Math"/>
                                </w:rPr>
                                <m:t>t</m:t>
                              </m:r>
                            </m:sub>
                          </m:sSub>
                        </m:e>
                      </m:d>
                    </m:e>
                    <m:sub>
                      <m:r>
                        <w:rPr>
                          <w:rFonts w:ascii="Cambria Math" w:hAnsi="Cambria Math"/>
                        </w:rPr>
                        <m:t>t=i</m:t>
                      </m:r>
                    </m:sub>
                    <m:sup>
                      <m:r>
                        <w:rPr>
                          <w:rFonts w:ascii="Cambria Math" w:hAnsi="Cambria Math"/>
                        </w:rPr>
                        <m:t>∞</m:t>
                      </m:r>
                    </m:sup>
                  </m:sSubSup>
                </m:e>
              </m:eqArr>
            </m:fName>
            <m:e>
              <m:sSub>
                <m:sSubPr>
                  <m:ctrlPr>
                    <w:rPr>
                      <w:rFonts w:ascii="Cambria Math" w:hAnsi="Cambria Math"/>
                      <w:i/>
                    </w:rPr>
                  </m:ctrlPr>
                </m:sSubPr>
                <m:e>
                  <m:r>
                    <w:rPr>
                      <w:rFonts w:ascii="Cambria Math" w:hAnsi="Cambria Math"/>
                    </w:rPr>
                    <m:t>E</m:t>
                  </m:r>
                </m:e>
                <m:sub>
                  <m:r>
                    <w:rPr>
                      <w:rFonts w:ascii="Cambria Math" w:hAnsi="Cambria Math"/>
                    </w:rPr>
                    <m:t>t</m:t>
                  </m:r>
                </m:sub>
              </m:sSub>
            </m:e>
          </m:func>
          <m:d>
            <m:dPr>
              <m:begChr m:val="{"/>
              <m:endChr m:val="}"/>
              <m:ctrlPr>
                <w:rPr>
                  <w:rFonts w:ascii="Cambria Math" w:hAnsi="Cambria Math"/>
                  <w:i/>
                  <w:iCs/>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i</m:t>
                      </m:r>
                    </m:sup>
                  </m:sSup>
                  <m:sSub>
                    <m:sSubPr>
                      <m:ctrlPr>
                        <w:rPr>
                          <w:rFonts w:ascii="Cambria Math" w:hAnsi="Cambria Math"/>
                          <w:i/>
                        </w:rPr>
                      </m:ctrlPr>
                    </m:sSubPr>
                    <m:e>
                      <m:r>
                        <w:rPr>
                          <w:rFonts w:ascii="Cambria Math" w:hAnsi="Cambria Math"/>
                        </w:rPr>
                        <m:t>Λ</m:t>
                      </m:r>
                    </m:e>
                    <m:sub>
                      <m:r>
                        <w:rPr>
                          <w:rFonts w:ascii="Cambria Math" w:hAnsi="Cambria Math"/>
                        </w:rPr>
                        <m:t>t,t+i</m:t>
                      </m:r>
                    </m:sub>
                  </m:sSub>
                </m:e>
              </m:nary>
              <m:sSub>
                <m:sSubPr>
                  <m:ctrlPr>
                    <w:rPr>
                      <w:rFonts w:ascii="Cambria Math" w:hAnsi="Cambria Math"/>
                      <w:i/>
                    </w:rPr>
                  </m:ctrlPr>
                </m:sSubPr>
                <m:e>
                  <m:r>
                    <w:rPr>
                      <w:rFonts w:ascii="Cambria Math" w:hAnsi="Cambria Math"/>
                    </w:rPr>
                    <m:t>Π</m:t>
                  </m:r>
                </m:e>
                <m:sub>
                  <m:r>
                    <w:rPr>
                      <w:rFonts w:ascii="Cambria Math" w:hAnsi="Cambria Math"/>
                    </w:rPr>
                    <m:t>mt+i</m:t>
                  </m:r>
                </m:sub>
              </m:sSub>
              <m:ctrlPr>
                <w:rPr>
                  <w:rFonts w:ascii="Cambria Math" w:hAnsi="Cambria Math"/>
                  <w:i/>
                </w:rPr>
              </m:ctrlPr>
            </m:e>
          </m:d>
        </m:oMath>
      </m:oMathPara>
    </w:p>
    <w:p w14:paraId="7A457C89" w14:textId="77777777" w:rsidR="00930620" w:rsidRPr="00C00819" w:rsidRDefault="00930620" w:rsidP="00D21B85">
      <w:pPr>
        <w:spacing w:before="60" w:after="60"/>
        <w:ind w:firstLine="709"/>
        <w:jc w:val="both"/>
        <w:rPr>
          <w:iCs/>
        </w:rPr>
      </w:pPr>
      <m:oMathPara>
        <m:oMathParaPr>
          <m:jc m:val="left"/>
        </m:oMathParaPr>
        <m:oMath>
          <m:r>
            <w:rPr>
              <w:rFonts w:ascii="Cambria Math" w:hAnsi="Cambria Math"/>
            </w:rPr>
            <m:t>sujeito a:</m:t>
          </m:r>
        </m:oMath>
      </m:oMathPara>
    </w:p>
    <w:p w14:paraId="7A457C8A" w14:textId="77777777" w:rsidR="00930620" w:rsidRPr="00C00819" w:rsidRDefault="000D6AC7" w:rsidP="00D21B85">
      <w:pPr>
        <w:spacing w:before="60" w:after="60"/>
        <w:jc w:val="both"/>
        <w:rPr>
          <w:rFonts w:eastAsiaTheme="minorEastAsia"/>
        </w:rPr>
      </w:pPr>
      <m:oMathPara>
        <m:oMathParaPr>
          <m:jc m:val="centerGroup"/>
        </m:oMathParaPr>
        <m:oMath>
          <m:sSub>
            <m:sSubPr>
              <m:ctrlPr>
                <w:rPr>
                  <w:rFonts w:ascii="Cambria Math" w:hAnsi="Cambria Math"/>
                  <w:i/>
                </w:rPr>
              </m:ctrlPr>
            </m:sSubPr>
            <m:e>
              <m:r>
                <w:rPr>
                  <w:rFonts w:ascii="Cambria Math" w:hAnsi="Cambria Math"/>
                </w:rPr>
                <m:t>Π</m:t>
              </m:r>
            </m:e>
            <m:sub>
              <m:r>
                <w:rPr>
                  <w:rFonts w:ascii="Cambria Math" w:hAnsi="Cambria Math"/>
                </w:rPr>
                <m:t>mt</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mt</m:t>
              </m:r>
            </m:sub>
          </m:sSub>
          <m:sSub>
            <m:sSubPr>
              <m:ctrlPr>
                <w:rPr>
                  <w:rFonts w:ascii="Cambria Math" w:hAnsi="Cambria Math"/>
                  <w:i/>
                  <w:iCs/>
                </w:rPr>
              </m:ctrlPr>
            </m:sSubPr>
            <m:e>
              <m:r>
                <w:rPr>
                  <w:rFonts w:ascii="Cambria Math" w:hAnsi="Cambria Math"/>
                </w:rPr>
                <m:t>Y</m:t>
              </m:r>
            </m:e>
            <m:sub>
              <m:r>
                <w:rPr>
                  <w:rFonts w:ascii="Cambria Math" w:hAnsi="Cambria Math"/>
                </w:rPr>
                <m:t>mt</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t</m:t>
              </m:r>
            </m:sub>
          </m:sSub>
          <m:sSub>
            <m:sSubPr>
              <m:ctrlPr>
                <w:rPr>
                  <w:rFonts w:ascii="Cambria Math" w:hAnsi="Cambria Math"/>
                  <w:i/>
                  <w:iCs/>
                </w:rPr>
              </m:ctrlPr>
            </m:sSubPr>
            <m:e>
              <m:r>
                <w:rPr>
                  <w:rFonts w:ascii="Cambria Math" w:hAnsi="Cambria Math"/>
                </w:rPr>
                <m:t>L</m:t>
              </m:r>
            </m:e>
            <m:sub>
              <m:r>
                <w:rPr>
                  <w:rFonts w:ascii="Cambria Math" w:hAnsi="Cambria Math"/>
                </w:rPr>
                <m:t>t</m:t>
              </m:r>
            </m:sub>
          </m:sSub>
          <m:r>
            <w:rPr>
              <w:rFonts w:ascii="Cambria Math" w:hAnsi="Cambria Math"/>
            </w:rPr>
            <m:t>-p</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kt</m:t>
              </m:r>
            </m:sub>
            <m:sup>
              <m:r>
                <w:rPr>
                  <w:rFonts w:ascii="Cambria Math" w:hAnsi="Cambria Math"/>
                </w:rPr>
                <m:t>M</m:t>
              </m:r>
            </m:sup>
          </m:sSubSup>
          <m:r>
            <w:rPr>
              <w:rFonts w:ascii="Cambria Math" w:hAnsi="Cambria Math"/>
            </w:rPr>
            <m:t>+δ)</m:t>
          </m:r>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t</m:t>
              </m:r>
            </m:sub>
          </m:sSub>
          <m:r>
            <m:rPr>
              <m:sty m:val="bi"/>
            </m:rP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κ</m:t>
                  </m:r>
                </m:e>
                <m:sub>
                  <m:r>
                    <w:rPr>
                      <w:rFonts w:ascii="Cambria Math" w:hAnsi="Cambria Math"/>
                    </w:rPr>
                    <m:t>D</m:t>
                  </m:r>
                </m:sub>
              </m:sSub>
              <m:ctrlPr>
                <w:rPr>
                  <w:rFonts w:ascii="Cambria Math" w:hAnsi="Cambria Math"/>
                  <w:i/>
                </w:rPr>
              </m:ctrlPr>
            </m:num>
            <m:den>
              <m: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(1-p</m:t>
                  </m:r>
                  <m:sSub>
                    <m:sSubPr>
                      <m:ctrlPr>
                        <w:rPr>
                          <w:rFonts w:ascii="Cambria Math" w:hAnsi="Cambria Math"/>
                          <w:i/>
                          <w:iCs/>
                        </w:rPr>
                      </m:ctrlPr>
                    </m:sSubPr>
                    <m:e>
                      <m:r>
                        <w:rPr>
                          <w:rFonts w:ascii="Cambria Math" w:hAnsi="Cambria Math"/>
                        </w:rPr>
                        <m:t>g</m:t>
                      </m:r>
                    </m:e>
                    <m:sub>
                      <m:r>
                        <w:rPr>
                          <w:rFonts w:ascii="Cambria Math" w:hAnsi="Cambria Math"/>
                        </w:rPr>
                        <m:t>t-1</m:t>
                      </m:r>
                    </m:sub>
                  </m:sSub>
                  <m:r>
                    <w:rPr>
                      <w:rFonts w:ascii="Cambria Math" w:hAnsi="Cambria Math"/>
                    </w:rPr>
                    <m:t>)(</m:t>
                  </m:r>
                  <m:r>
                    <m:rPr>
                      <m:sty m:val="p"/>
                    </m:rP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M</m:t>
                      </m:r>
                    </m:sup>
                  </m:sSubSup>
                  <m:r>
                    <w:rPr>
                      <w:rFonts w:ascii="Cambria Math" w:hAnsi="Cambria Math"/>
                    </w:rPr>
                    <m:t>+δ)</m:t>
                  </m:r>
                  <m:sSub>
                    <m:sSubPr>
                      <m:ctrlPr>
                        <w:rPr>
                          <w:rFonts w:ascii="Cambria Math" w:hAnsi="Cambria Math"/>
                          <w:i/>
                        </w:rPr>
                      </m:ctrlPr>
                    </m:sSubPr>
                    <m:e>
                      <m:r>
                        <w:rPr>
                          <w:rFonts w:ascii="Cambria Math" w:hAnsi="Cambria Math"/>
                        </w:rPr>
                        <m:t>Q</m:t>
                      </m:r>
                    </m:e>
                    <m:sub>
                      <m:r>
                        <w:rPr>
                          <w:rFonts w:ascii="Cambria Math" w:hAnsi="Cambria Math"/>
                        </w:rPr>
                        <m:t>t-1</m:t>
                      </m:r>
                    </m:sub>
                  </m:sSub>
                  <m:sSub>
                    <m:sSubPr>
                      <m:ctrlPr>
                        <w:rPr>
                          <w:rFonts w:ascii="Cambria Math" w:hAnsi="Cambria Math"/>
                          <w:i/>
                        </w:rPr>
                      </m:ctrlPr>
                    </m:sSubPr>
                    <m:e>
                      <m:r>
                        <w:rPr>
                          <w:rFonts w:ascii="Cambria Math" w:hAnsi="Cambria Math"/>
                        </w:rPr>
                        <m:t>K</m:t>
                      </m:r>
                    </m:e>
                    <m:sub>
                      <m:r>
                        <w:rPr>
                          <w:rFonts w:ascii="Cambria Math" w:hAnsi="Cambria Math"/>
                        </w:rPr>
                        <m:t>t-1</m:t>
                      </m:r>
                    </m:sub>
                  </m:sSub>
                </m:e>
              </m:d>
            </m:e>
            <m:sup>
              <m:r>
                <w:rPr>
                  <w:rFonts w:ascii="Cambria Math" w:hAnsi="Cambria Math"/>
                </w:rPr>
                <m:t>2</m:t>
              </m:r>
            </m:sup>
          </m:sSup>
        </m:oMath>
      </m:oMathPara>
    </w:p>
    <w:p w14:paraId="7A457C8B" w14:textId="3F2837D8" w:rsidR="00FC7B68" w:rsidRPr="00C00819" w:rsidRDefault="00930620" w:rsidP="00580FCE">
      <w:pPr>
        <w:tabs>
          <w:tab w:val="left" w:pos="0"/>
        </w:tabs>
        <w:jc w:val="both"/>
        <w:rPr>
          <w:iCs/>
        </w:rPr>
      </w:pPr>
      <w:r w:rsidRPr="00C00819">
        <w:rPr>
          <w:iCs/>
        </w:rPr>
        <w:t xml:space="preserve">onde </w:t>
      </w:r>
      <m:oMath>
        <m:sSub>
          <m:sSubPr>
            <m:ctrlPr>
              <w:rPr>
                <w:rFonts w:ascii="Cambria Math" w:hAnsi="Cambria Math"/>
                <w:i/>
                <w:iCs/>
              </w:rPr>
            </m:ctrlPr>
          </m:sSubPr>
          <m:e>
            <m:r>
              <w:rPr>
                <w:rFonts w:ascii="Cambria Math" w:hAnsi="Cambria Math"/>
              </w:rPr>
              <m:t>P</m:t>
            </m:r>
          </m:e>
          <m:sub>
            <m:r>
              <w:rPr>
                <w:rFonts w:ascii="Cambria Math" w:hAnsi="Cambria Math"/>
              </w:rPr>
              <m:t>mt</m:t>
            </m:r>
          </m:sub>
        </m:sSub>
        <m:sSub>
          <m:sSubPr>
            <m:ctrlPr>
              <w:rPr>
                <w:rFonts w:ascii="Cambria Math" w:hAnsi="Cambria Math"/>
                <w:i/>
                <w:iCs/>
              </w:rPr>
            </m:ctrlPr>
          </m:sSubPr>
          <m:e>
            <m:r>
              <w:rPr>
                <w:rFonts w:ascii="Cambria Math" w:hAnsi="Cambria Math"/>
              </w:rPr>
              <m:t>Y</m:t>
            </m:r>
          </m:e>
          <m:sub>
            <m:r>
              <w:rPr>
                <w:rFonts w:ascii="Cambria Math" w:hAnsi="Cambria Math"/>
              </w:rPr>
              <m:t>mt</m:t>
            </m:r>
          </m:sub>
        </m:sSub>
      </m:oMath>
      <w:r w:rsidRPr="00C00819">
        <w:rPr>
          <w:iCs/>
        </w:rPr>
        <w:t xml:space="preserve"> é a receita da firma, </w:t>
      </w:r>
      <m:oMath>
        <m:sSub>
          <m:sSubPr>
            <m:ctrlPr>
              <w:rPr>
                <w:rFonts w:ascii="Cambria Math" w:hAnsi="Cambria Math"/>
                <w:i/>
                <w:iCs/>
              </w:rPr>
            </m:ctrlPr>
          </m:sSubPr>
          <m:e>
            <m:r>
              <w:rPr>
                <w:rFonts w:ascii="Cambria Math" w:hAnsi="Cambria Math"/>
              </w:rPr>
              <m:t>W</m:t>
            </m:r>
          </m:e>
          <m:sub>
            <m:r>
              <w:rPr>
                <w:rFonts w:ascii="Cambria Math" w:hAnsi="Cambria Math"/>
              </w:rPr>
              <m:t>t</m:t>
            </m:r>
          </m:sub>
        </m:sSub>
        <m:sSub>
          <m:sSubPr>
            <m:ctrlPr>
              <w:rPr>
                <w:rFonts w:ascii="Cambria Math" w:hAnsi="Cambria Math"/>
                <w:i/>
                <w:iCs/>
              </w:rPr>
            </m:ctrlPr>
          </m:sSubPr>
          <m:e>
            <m:r>
              <w:rPr>
                <w:rFonts w:ascii="Cambria Math" w:hAnsi="Cambria Math"/>
              </w:rPr>
              <m:t>L</m:t>
            </m:r>
          </m:e>
          <m:sub>
            <m:r>
              <w:rPr>
                <w:rFonts w:ascii="Cambria Math" w:hAnsi="Cambria Math"/>
              </w:rPr>
              <m:t>t</m:t>
            </m:r>
          </m:sub>
        </m:sSub>
      </m:oMath>
      <w:r w:rsidRPr="00C00819">
        <w:rPr>
          <w:iCs/>
        </w:rPr>
        <w:t xml:space="preserve"> corresponde à despesa com salários,</w:t>
      </w:r>
      <w:r w:rsidR="00721519" w:rsidRPr="00C00819">
        <w:rPr>
          <w:iCs/>
        </w:rPr>
        <w:t xml:space="preserve"> </w:t>
      </w:r>
      <m:oMath>
        <m:r>
          <w:rPr>
            <w:rFonts w:ascii="Cambria Math" w:hAnsi="Cambria Math"/>
          </w:rPr>
          <m:t>p</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kt</m:t>
            </m:r>
          </m:sub>
          <m:sup>
            <m:r>
              <w:rPr>
                <w:rFonts w:ascii="Cambria Math" w:hAnsi="Cambria Math"/>
              </w:rPr>
              <m:t>M</m:t>
            </m:r>
          </m:sup>
        </m:sSubSup>
        <m:r>
          <w:rPr>
            <w:rFonts w:ascii="Cambria Math" w:hAnsi="Cambria Math"/>
          </w:rPr>
          <m:t>+δ)</m:t>
        </m:r>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t</m:t>
            </m:r>
          </m:sub>
        </m:sSub>
      </m:oMath>
      <w:r w:rsidRPr="00C00819">
        <w:rPr>
          <w:rFonts w:eastAsiaTheme="minorEastAsia"/>
          <w:iCs/>
        </w:rPr>
        <w:t xml:space="preserve"> é o custo</w:t>
      </w:r>
      <w:r w:rsidR="00721519" w:rsidRPr="00C00819">
        <w:rPr>
          <w:rFonts w:eastAsiaTheme="minorEastAsia"/>
          <w:iCs/>
        </w:rPr>
        <w:t xml:space="preserve"> </w:t>
      </w:r>
      <w:r w:rsidR="001A600E" w:rsidRPr="00C00819">
        <w:rPr>
          <w:rFonts w:eastAsiaTheme="minorEastAsia"/>
          <w:iCs/>
        </w:rPr>
        <w:t>do capital</w:t>
      </w:r>
      <w:r w:rsidR="00721519" w:rsidRPr="00C00819">
        <w:rPr>
          <w:rFonts w:eastAsiaTheme="minorEastAsia"/>
          <w:iCs/>
        </w:rPr>
        <w:t xml:space="preserve"> </w:t>
      </w:r>
      <w:r w:rsidR="00E91254" w:rsidRPr="00C00819">
        <w:rPr>
          <w:rFonts w:eastAsiaTheme="minorEastAsia"/>
          <w:iCs/>
        </w:rPr>
        <w:t xml:space="preserve">após a reposição da depreciação, </w:t>
      </w:r>
      <w:r w:rsidRPr="00C00819">
        <w:rPr>
          <w:rFonts w:eastAsiaTheme="minorEastAsia"/>
          <w:iCs/>
        </w:rPr>
        <w:t>sendo</w:t>
      </w:r>
      <w:r w:rsidR="00225CF1" w:rsidRPr="00C00819">
        <w:rPr>
          <w:rFonts w:eastAsiaTheme="minorEastAsia"/>
          <w:iCs/>
        </w:rP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kt</m:t>
            </m:r>
          </m:sub>
          <m:sup>
            <m:r>
              <w:rPr>
                <w:rFonts w:ascii="Cambria Math" w:hAnsi="Cambria Math"/>
              </w:rPr>
              <m:t>M</m:t>
            </m:r>
          </m:sup>
        </m:sSubSup>
      </m:oMath>
      <w:r w:rsidRPr="00C00819">
        <w:rPr>
          <w:rFonts w:eastAsiaTheme="minorEastAsia"/>
          <w:iCs/>
        </w:rPr>
        <w:t xml:space="preserve"> a taxa de juros </w:t>
      </w:r>
      <w:r w:rsidR="0061285D" w:rsidRPr="00C00819">
        <w:rPr>
          <w:rFonts w:eastAsiaTheme="minorEastAsia"/>
          <w:iCs/>
        </w:rPr>
        <w:t xml:space="preserve">ativa que será definida no período de pagamento do empréstimo em </w:t>
      </w:r>
      <m:oMath>
        <m:r>
          <w:rPr>
            <w:rFonts w:ascii="Cambria Math" w:eastAsiaTheme="minorEastAsia" w:hAnsi="Cambria Math"/>
          </w:rPr>
          <m:t>t+1</m:t>
        </m:r>
      </m:oMath>
      <w:r w:rsidR="00FB6E7A" w:rsidRPr="00C00819">
        <w:rPr>
          <w:iCs/>
        </w:rPr>
        <w:t>,</w:t>
      </w:r>
      <w:r w:rsidR="008B5CCF" w:rsidRPr="00C00819">
        <w:rPr>
          <w:iCs/>
        </w:rPr>
        <w:t xml:space="preserve"> </w:t>
      </w:r>
      <m:oMath>
        <m:r>
          <w:rPr>
            <w:rFonts w:ascii="Cambria Math" w:hAnsi="Cambria Math"/>
          </w:rPr>
          <m:t>p</m:t>
        </m:r>
        <m:sSub>
          <m:sSubPr>
            <m:ctrlPr>
              <w:rPr>
                <w:rFonts w:ascii="Cambria Math" w:hAnsi="Cambria Math"/>
                <w:i/>
              </w:rPr>
            </m:ctrlPr>
          </m:sSubPr>
          <m:e>
            <m:r>
              <w:rPr>
                <w:rFonts w:ascii="Cambria Math" w:hAnsi="Cambria Math"/>
              </w:rPr>
              <m:t>g</m:t>
            </m:r>
          </m:e>
          <m:sub>
            <m:r>
              <w:rPr>
                <w:rFonts w:ascii="Cambria Math" w:hAnsi="Cambria Math"/>
              </w:rPr>
              <m:t>t</m:t>
            </m:r>
          </m:sub>
        </m:sSub>
      </m:oMath>
      <w:r w:rsidR="008B5CCF" w:rsidRPr="00C00819">
        <w:rPr>
          <w:rFonts w:eastAsiaTheme="minorEastAsia"/>
        </w:rPr>
        <w:t xml:space="preserve"> é a taxa </w:t>
      </w:r>
      <w:r w:rsidR="00060633" w:rsidRPr="00C00819">
        <w:rPr>
          <w:rFonts w:eastAsiaTheme="minorEastAsia"/>
        </w:rPr>
        <w:t xml:space="preserve">que define o nível </w:t>
      </w:r>
      <w:r w:rsidR="0062381F" w:rsidRPr="00C00819">
        <w:rPr>
          <w:rFonts w:eastAsiaTheme="minorEastAsia"/>
        </w:rPr>
        <w:t>de pagamento dos empréstimos</w:t>
      </w:r>
      <w:r w:rsidRPr="00C00819">
        <w:rPr>
          <w:iCs/>
        </w:rPr>
        <w:t xml:space="preserve"> </w:t>
      </w:r>
      <w:r w:rsidR="008B5CCF" w:rsidRPr="00C00819">
        <w:rPr>
          <w:rFonts w:eastAsiaTheme="minorEastAsia"/>
          <w:iCs/>
        </w:rPr>
        <w:t xml:space="preserve">e </w:t>
      </w:r>
      <m:oMath>
        <m:f>
          <m:fPr>
            <m:ctrlPr>
              <w:rPr>
                <w:rFonts w:ascii="Cambria Math" w:hAnsi="Cambria Math"/>
                <w:i/>
                <w:iCs/>
              </w:rPr>
            </m:ctrlPr>
          </m:fPr>
          <m:num>
            <m:sSub>
              <m:sSubPr>
                <m:ctrlPr>
                  <w:rPr>
                    <w:rFonts w:ascii="Cambria Math" w:hAnsi="Cambria Math"/>
                    <w:i/>
                    <w:iCs/>
                  </w:rPr>
                </m:ctrlPr>
              </m:sSubPr>
              <m:e>
                <m:r>
                  <w:rPr>
                    <w:rFonts w:ascii="Cambria Math" w:hAnsi="Cambria Math"/>
                  </w:rPr>
                  <m:t>κ</m:t>
                </m:r>
              </m:e>
              <m:sub>
                <m:r>
                  <w:rPr>
                    <w:rFonts w:ascii="Cambria Math" w:hAnsi="Cambria Math"/>
                  </w:rPr>
                  <m:t>D</m:t>
                </m:r>
              </m:sub>
            </m:sSub>
            <m:ctrlPr>
              <w:rPr>
                <w:rFonts w:ascii="Cambria Math" w:hAnsi="Cambria Math"/>
                <w:i/>
              </w:rPr>
            </m:ctrlPr>
          </m:num>
          <m:den>
            <m: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pg</m:t>
                    </m:r>
                  </m:e>
                  <m:sub>
                    <m:r>
                      <w:rPr>
                        <w:rFonts w:ascii="Cambria Math" w:hAnsi="Cambria Math"/>
                      </w:rPr>
                      <m:t>t-1</m:t>
                    </m:r>
                  </m:sub>
                </m:sSub>
                <m:r>
                  <w:rPr>
                    <w:rFonts w:ascii="Cambria Math" w:hAnsi="Cambria Math"/>
                  </w:rPr>
                  <m:t>)</m:t>
                </m:r>
                <m:r>
                  <m:rPr>
                    <m:sty m:val="p"/>
                  </m:rP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M</m:t>
                    </m:r>
                  </m:sup>
                </m:sSubSup>
                <m:r>
                  <w:rPr>
                    <w:rFonts w:ascii="Cambria Math" w:hAnsi="Cambria Math"/>
                  </w:rPr>
                  <m:t>+δ)</m:t>
                </m:r>
                <m:sSub>
                  <m:sSubPr>
                    <m:ctrlPr>
                      <w:rPr>
                        <w:rFonts w:ascii="Cambria Math" w:hAnsi="Cambria Math"/>
                        <w:i/>
                      </w:rPr>
                    </m:ctrlPr>
                  </m:sSubPr>
                  <m:e>
                    <m:r>
                      <w:rPr>
                        <w:rFonts w:ascii="Cambria Math" w:hAnsi="Cambria Math"/>
                      </w:rPr>
                      <m:t>Q</m:t>
                    </m:r>
                  </m:e>
                  <m:sub>
                    <m:r>
                      <w:rPr>
                        <w:rFonts w:ascii="Cambria Math" w:hAnsi="Cambria Math"/>
                      </w:rPr>
                      <m:t>t-1</m:t>
                    </m:r>
                  </m:sub>
                </m:sSub>
                <m:sSub>
                  <m:sSubPr>
                    <m:ctrlPr>
                      <w:rPr>
                        <w:rFonts w:ascii="Cambria Math" w:hAnsi="Cambria Math"/>
                        <w:i/>
                      </w:rPr>
                    </m:ctrlPr>
                  </m:sSubPr>
                  <m:e>
                    <m:r>
                      <w:rPr>
                        <w:rFonts w:ascii="Cambria Math" w:hAnsi="Cambria Math"/>
                      </w:rPr>
                      <m:t>K</m:t>
                    </m:r>
                  </m:e>
                  <m:sub>
                    <m:r>
                      <w:rPr>
                        <w:rFonts w:ascii="Cambria Math" w:hAnsi="Cambria Math"/>
                      </w:rPr>
                      <m:t>t-1</m:t>
                    </m:r>
                  </m:sub>
                </m:sSub>
              </m:e>
            </m:d>
          </m:e>
          <m:sup>
            <m:r>
              <w:rPr>
                <w:rFonts w:ascii="Cambria Math" w:hAnsi="Cambria Math"/>
              </w:rPr>
              <m:t>2</m:t>
            </m:r>
          </m:sup>
        </m:sSup>
      </m:oMath>
      <w:r w:rsidR="008B5CCF" w:rsidRPr="00C00819">
        <w:rPr>
          <w:rFonts w:eastAsiaTheme="minorEastAsia"/>
          <w:iCs/>
        </w:rPr>
        <w:t xml:space="preserve"> é o custo com o </w:t>
      </w:r>
      <w:r w:rsidR="008B5CCF" w:rsidRPr="00C00819">
        <w:rPr>
          <w:rFonts w:eastAsiaTheme="minorEastAsia"/>
          <w:i/>
          <w:iCs/>
        </w:rPr>
        <w:t>default</w:t>
      </w:r>
      <w:r w:rsidR="008B5CCF" w:rsidRPr="00C00819">
        <w:rPr>
          <w:rFonts w:eastAsiaTheme="minorEastAsia"/>
          <w:iCs/>
        </w:rPr>
        <w:t xml:space="preserve"> incidente sobre a parcela de crédito inadimplido</w:t>
      </w:r>
      <w:r w:rsidR="00555593" w:rsidRPr="00C00819">
        <w:rPr>
          <w:rFonts w:eastAsiaTheme="minorEastAsia"/>
          <w:iCs/>
        </w:rPr>
        <w:t xml:space="preserve"> no período</w:t>
      </w:r>
      <w:r w:rsidR="002115D3" w:rsidRPr="00C00819">
        <w:rPr>
          <w:rFonts w:eastAsiaTheme="minorEastAsia"/>
          <w:iCs/>
        </w:rPr>
        <w:t xml:space="preserve"> anterior</w:t>
      </w:r>
      <w:r w:rsidRPr="00C00819">
        <w:rPr>
          <w:iCs/>
        </w:rPr>
        <w:t>.</w:t>
      </w:r>
      <w:r w:rsidR="008B5CCF" w:rsidRPr="00C00819">
        <w:rPr>
          <w:iCs/>
        </w:rPr>
        <w:t xml:space="preserve"> Nota-se que</w:t>
      </w:r>
      <w:r w:rsidR="0066149E" w:rsidRPr="00C00819">
        <w:rPr>
          <w:iCs/>
        </w:rPr>
        <w:t xml:space="preserve">, em </w:t>
      </w:r>
      <m:oMath>
        <m:r>
          <w:rPr>
            <w:rFonts w:ascii="Cambria Math" w:hAnsi="Cambria Math"/>
          </w:rPr>
          <m:t>t</m:t>
        </m:r>
      </m:oMath>
      <w:r w:rsidR="0066149E" w:rsidRPr="00C00819">
        <w:rPr>
          <w:iCs/>
        </w:rPr>
        <w:t>,</w:t>
      </w:r>
      <w:r w:rsidR="008B5CCF" w:rsidRPr="00C00819">
        <w:rPr>
          <w:iCs/>
        </w:rPr>
        <w:t xml:space="preserve"> </w:t>
      </w:r>
      <w:r w:rsidR="0066149E" w:rsidRPr="00C00819">
        <w:rPr>
          <w:iCs/>
        </w:rPr>
        <w:t>a firma decide o quanto deve pagar do empréstimo adquirido para obter o lucro máximo. Como consequência, o montante que não foi pago afeta negativamente o lucro do período seguinte</w:t>
      </w:r>
      <w:r w:rsidR="008B5CCF" w:rsidRPr="00C00819">
        <w:rPr>
          <w:iCs/>
        </w:rPr>
        <w:t>.</w:t>
      </w:r>
      <w:r w:rsidR="0066149E" w:rsidRPr="00C00819">
        <w:rPr>
          <w:iCs/>
        </w:rPr>
        <w:t xml:space="preserve"> Assim, o custo com </w:t>
      </w:r>
      <w:r w:rsidR="0066149E" w:rsidRPr="00C00819">
        <w:rPr>
          <w:i/>
          <w:iCs/>
        </w:rPr>
        <w:t>default</w:t>
      </w:r>
      <w:r w:rsidR="0066149E" w:rsidRPr="00C00819">
        <w:rPr>
          <w:iCs/>
        </w:rPr>
        <w:t xml:space="preserve"> pode</w:t>
      </w:r>
      <w:r w:rsidR="00FC7B68" w:rsidRPr="00C00819">
        <w:rPr>
          <w:iCs/>
        </w:rPr>
        <w:t xml:space="preserve"> ser visto como uma penalidade na taxa de juros das concessões, ag</w:t>
      </w:r>
      <w:r w:rsidR="0066149E" w:rsidRPr="00C00819">
        <w:rPr>
          <w:iCs/>
        </w:rPr>
        <w:t>indo</w:t>
      </w:r>
      <w:r w:rsidR="00FC7B68" w:rsidRPr="00C00819">
        <w:rPr>
          <w:iCs/>
        </w:rPr>
        <w:t xml:space="preserve"> de f</w:t>
      </w:r>
      <w:r w:rsidR="0066149E" w:rsidRPr="00C00819">
        <w:rPr>
          <w:iCs/>
        </w:rPr>
        <w:t>orma a encarecer os empréstimos e</w:t>
      </w:r>
      <w:r w:rsidR="00FC7B68" w:rsidRPr="00C00819">
        <w:rPr>
          <w:iCs/>
        </w:rPr>
        <w:t xml:space="preserve"> podendo dificultar a obtenção de novos financiamentos. Essa estrutura baseia-se em De </w:t>
      </w:r>
      <w:proofErr w:type="spellStart"/>
      <w:r w:rsidR="00FC7B68" w:rsidRPr="00C00819">
        <w:rPr>
          <w:iCs/>
        </w:rPr>
        <w:t>Walque</w:t>
      </w:r>
      <w:proofErr w:type="spellEnd"/>
      <w:r w:rsidR="00FC7B68" w:rsidRPr="00C00819">
        <w:rPr>
          <w:iCs/>
        </w:rPr>
        <w:t xml:space="preserve"> et al. (2009) que foi aplicada ao caso brasileiro por Silva e Divino (2013) em um modelo RBC –</w:t>
      </w:r>
      <w:r w:rsidR="00FC7B68" w:rsidRPr="00C00819">
        <w:rPr>
          <w:i/>
          <w:iCs/>
        </w:rPr>
        <w:t xml:space="preserve"> Real Business </w:t>
      </w:r>
      <w:proofErr w:type="spellStart"/>
      <w:r w:rsidR="00FC7B68" w:rsidRPr="00C00819">
        <w:rPr>
          <w:i/>
          <w:iCs/>
        </w:rPr>
        <w:t>Cycles</w:t>
      </w:r>
      <w:proofErr w:type="spellEnd"/>
      <w:r w:rsidR="00FC7B68" w:rsidRPr="00C00819">
        <w:rPr>
          <w:iCs/>
        </w:rPr>
        <w:t xml:space="preserve">. </w:t>
      </w:r>
    </w:p>
    <w:p w14:paraId="7A457C8C" w14:textId="77777777" w:rsidR="00930620" w:rsidRPr="00C00819" w:rsidRDefault="00930620" w:rsidP="00580FCE">
      <w:pPr>
        <w:ind w:firstLine="709"/>
        <w:jc w:val="both"/>
        <w:rPr>
          <w:iCs/>
        </w:rPr>
      </w:pPr>
      <w:r w:rsidRPr="00C00819">
        <w:rPr>
          <w:iCs/>
        </w:rPr>
        <w:t>Como solução desse problema, obtêm-se a demanda por trabalho</w:t>
      </w:r>
      <w:r w:rsidR="00555593" w:rsidRPr="00C00819">
        <w:rPr>
          <w:iCs/>
        </w:rPr>
        <w:t xml:space="preserve">, </w:t>
      </w:r>
      <w:r w:rsidR="001B679C" w:rsidRPr="00C00819">
        <w:rPr>
          <w:iCs/>
        </w:rPr>
        <w:t xml:space="preserve">a taxa ótima de </w:t>
      </w:r>
      <w:r w:rsidR="001B679C" w:rsidRPr="00C00819">
        <w:rPr>
          <w:i/>
          <w:iCs/>
        </w:rPr>
        <w:t>default</w:t>
      </w:r>
      <w:r w:rsidR="001B679C" w:rsidRPr="00C00819">
        <w:rPr>
          <w:iCs/>
        </w:rPr>
        <w:t xml:space="preserve"> e </w:t>
      </w:r>
      <w:r w:rsidRPr="00C00819">
        <w:rPr>
          <w:iCs/>
        </w:rPr>
        <w:t>a taxa de juros aplicada aos empréstimos: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9"/>
        <w:gridCol w:w="616"/>
        <w:gridCol w:w="222"/>
      </w:tblGrid>
      <w:tr w:rsidR="008B5CCF" w:rsidRPr="00C00819" w14:paraId="7A457C90" w14:textId="77777777" w:rsidTr="00B8255E">
        <w:trPr>
          <w:jc w:val="center"/>
        </w:trPr>
        <w:tc>
          <w:tcPr>
            <w:tcW w:w="0" w:type="auto"/>
            <w:vAlign w:val="center"/>
          </w:tcPr>
          <w:p w14:paraId="7A457C8D" w14:textId="77777777" w:rsidR="008B5CCF" w:rsidRPr="00C00819" w:rsidRDefault="000D6AC7" w:rsidP="00D21B85">
            <w:pPr>
              <w:spacing w:before="60" w:after="60"/>
              <w:jc w:val="both"/>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mt</m:t>
                    </m:r>
                  </m:sub>
                </m:sSub>
                <m:d>
                  <m:dPr>
                    <m:ctrlPr>
                      <w:rPr>
                        <w:rFonts w:ascii="Cambria Math" w:hAnsi="Cambria Math"/>
                        <w:i/>
                        <w:iCs/>
                      </w:rPr>
                    </m:ctrlPr>
                  </m:dPr>
                  <m:e>
                    <m:r>
                      <w:rPr>
                        <w:rFonts w:ascii="Cambria Math" w:hAnsi="Cambria Math"/>
                      </w:rPr>
                      <m:t>1-α</m:t>
                    </m:r>
                  </m:e>
                </m:d>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mt</m:t>
                        </m:r>
                      </m:sub>
                    </m:sSub>
                  </m:num>
                  <m:den>
                    <m:sSub>
                      <m:sSubPr>
                        <m:ctrlPr>
                          <w:rPr>
                            <w:rFonts w:ascii="Cambria Math" w:hAnsi="Cambria Math"/>
                            <w:i/>
                            <w:iCs/>
                          </w:rPr>
                        </m:ctrlPr>
                      </m:sSubPr>
                      <m:e>
                        <m:r>
                          <w:rPr>
                            <w:rFonts w:ascii="Cambria Math" w:hAnsi="Cambria Math"/>
                          </w:rPr>
                          <m:t>L</m:t>
                        </m:r>
                      </m:e>
                      <m:sub>
                        <m:r>
                          <w:rPr>
                            <w:rFonts w:ascii="Cambria Math" w:hAnsi="Cambria Math"/>
                          </w:rPr>
                          <m:t>t</m:t>
                        </m:r>
                      </m:sub>
                    </m:sSub>
                  </m:den>
                </m:f>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t</m:t>
                    </m:r>
                  </m:sub>
                </m:sSub>
              </m:oMath>
            </m:oMathPara>
          </w:p>
        </w:tc>
        <w:tc>
          <w:tcPr>
            <w:tcW w:w="0" w:type="auto"/>
            <w:vAlign w:val="center"/>
          </w:tcPr>
          <w:p w14:paraId="7A457C8E" w14:textId="77777777" w:rsidR="008B5CCF" w:rsidRPr="00C00819" w:rsidRDefault="008B5CCF" w:rsidP="00C57016">
            <w:pPr>
              <w:spacing w:before="60" w:after="60"/>
              <w:jc w:val="both"/>
            </w:pPr>
            <w:r w:rsidRPr="00C00819">
              <w:t>(</w:t>
            </w:r>
            <w:r w:rsidR="00C57016" w:rsidRPr="00C00819">
              <w:t>9</w:t>
            </w:r>
            <w:r w:rsidRPr="00C00819">
              <w:t>)</w:t>
            </w:r>
          </w:p>
        </w:tc>
        <w:tc>
          <w:tcPr>
            <w:tcW w:w="0" w:type="auto"/>
          </w:tcPr>
          <w:p w14:paraId="7A457C8F" w14:textId="77777777" w:rsidR="008B5CCF" w:rsidRPr="00C00819" w:rsidRDefault="008B5CCF" w:rsidP="00D21B85">
            <w:pPr>
              <w:spacing w:before="60" w:after="60"/>
              <w:jc w:val="both"/>
            </w:pPr>
          </w:p>
        </w:tc>
      </w:tr>
      <w:tr w:rsidR="008403F8" w:rsidRPr="00C00819" w14:paraId="7A457C94" w14:textId="77777777" w:rsidTr="00B8255E">
        <w:trPr>
          <w:jc w:val="center"/>
        </w:trPr>
        <w:tc>
          <w:tcPr>
            <w:tcW w:w="0" w:type="auto"/>
            <w:vAlign w:val="center"/>
          </w:tcPr>
          <w:p w14:paraId="7A457C91" w14:textId="77777777" w:rsidR="008B5CCF" w:rsidRPr="00C00819" w:rsidRDefault="002115D3" w:rsidP="00D21B85">
            <w:pPr>
              <w:spacing w:before="60" w:after="60"/>
              <w:jc w:val="both"/>
              <w:rPr>
                <w:iCs/>
              </w:rPr>
            </w:pPr>
            <m:oMathPara>
              <m:oMath>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Λ</m:t>
                        </m:r>
                      </m:e>
                      <m:sub>
                        <m:r>
                          <w:rPr>
                            <w:rFonts w:ascii="Cambria Math" w:hAnsi="Cambria Math"/>
                          </w:rPr>
                          <m:t>t,t+1</m:t>
                        </m:r>
                      </m:sub>
                    </m:sSub>
                    <m:sSub>
                      <m:sSubPr>
                        <m:ctrlPr>
                          <w:rPr>
                            <w:rFonts w:ascii="Cambria Math" w:hAnsi="Cambria Math"/>
                            <w:i/>
                            <w:iCs/>
                          </w:rPr>
                        </m:ctrlPr>
                      </m:sSubPr>
                      <m:e>
                        <m:r>
                          <w:rPr>
                            <w:rFonts w:ascii="Cambria Math" w:hAnsi="Cambria Math"/>
                          </w:rPr>
                          <m:t>κ</m:t>
                        </m:r>
                      </m:e>
                      <m:sub>
                        <m:r>
                          <w:rPr>
                            <w:rFonts w:ascii="Cambria Math" w:hAnsi="Cambria Math"/>
                          </w:rPr>
                          <m:t>D</m:t>
                        </m:r>
                      </m:sub>
                    </m:sSub>
                    <m:d>
                      <m:dPr>
                        <m:begChr m:val="["/>
                        <m:endChr m:val="]"/>
                        <m:ctrlPr>
                          <w:rPr>
                            <w:rFonts w:ascii="Cambria Math" w:hAnsi="Cambria Math"/>
                            <w:i/>
                            <w:iCs/>
                          </w:rPr>
                        </m:ctrlPr>
                      </m:dPr>
                      <m:e>
                        <m:d>
                          <m:dPr>
                            <m:ctrlPr>
                              <w:rPr>
                                <w:rFonts w:ascii="Cambria Math" w:hAnsi="Cambria Math"/>
                                <w:i/>
                              </w:rPr>
                            </m:ctrlPr>
                          </m:dPr>
                          <m:e>
                            <m:r>
                              <w:rPr>
                                <w:rFonts w:ascii="Cambria Math" w:hAnsi="Cambria Math"/>
                              </w:rPr>
                              <m:t>1-p</m:t>
                            </m:r>
                            <m:sSub>
                              <m:sSubPr>
                                <m:ctrlPr>
                                  <w:rPr>
                                    <w:rFonts w:ascii="Cambria Math" w:hAnsi="Cambria Math"/>
                                    <w:i/>
                                    <w:iCs/>
                                  </w:rPr>
                                </m:ctrlPr>
                              </m:sSubPr>
                              <m:e>
                                <m:r>
                                  <w:rPr>
                                    <w:rFonts w:ascii="Cambria Math" w:hAnsi="Cambria Math"/>
                                  </w:rPr>
                                  <m:t>g</m:t>
                                </m:r>
                              </m:e>
                              <m:sub>
                                <m:r>
                                  <w:rPr>
                                    <w:rFonts w:ascii="Cambria Math" w:hAnsi="Cambria Math"/>
                                  </w:rPr>
                                  <m:t>t</m:t>
                                </m:r>
                              </m:sub>
                            </m:sSub>
                          </m:e>
                        </m:d>
                        <m:d>
                          <m:dPr>
                            <m:ctrlPr>
                              <w:rPr>
                                <w:rFonts w:ascii="Cambria Math" w:hAnsi="Cambria Math"/>
                                <w:i/>
                              </w:rPr>
                            </m:ctrlPr>
                          </m:dPr>
                          <m:e>
                            <m:r>
                              <m:rPr>
                                <m:sty m:val="p"/>
                              </m:rP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kt</m:t>
                                </m:r>
                              </m:sub>
                              <m:sup>
                                <m:r>
                                  <w:rPr>
                                    <w:rFonts w:ascii="Cambria Math" w:hAnsi="Cambria Math"/>
                                  </w:rPr>
                                  <m:t>M</m:t>
                                </m:r>
                              </m:sup>
                            </m:sSubSup>
                            <m:r>
                              <w:rPr>
                                <w:rFonts w:ascii="Cambria Math" w:hAnsi="Cambria Math"/>
                              </w:rPr>
                              <m:t>+δ</m:t>
                            </m:r>
                          </m:e>
                        </m:d>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t</m:t>
                            </m:r>
                          </m:sub>
                        </m:sSub>
                      </m:e>
                    </m:d>
                  </m:e>
                </m:d>
              </m:oMath>
            </m:oMathPara>
          </w:p>
        </w:tc>
        <w:tc>
          <w:tcPr>
            <w:tcW w:w="0" w:type="auto"/>
            <w:vAlign w:val="center"/>
          </w:tcPr>
          <w:p w14:paraId="7A457C92" w14:textId="77777777" w:rsidR="008B5CCF" w:rsidRPr="00C00819" w:rsidRDefault="008B5CCF" w:rsidP="00C57016">
            <w:pPr>
              <w:spacing w:before="60" w:after="60"/>
              <w:jc w:val="both"/>
            </w:pPr>
            <w:r w:rsidRPr="00C00819">
              <w:t>(</w:t>
            </w:r>
            <w:r w:rsidR="00C57016" w:rsidRPr="00C00819">
              <w:t>10</w:t>
            </w:r>
            <w:r w:rsidRPr="00C00819">
              <w:t>)</w:t>
            </w:r>
          </w:p>
        </w:tc>
        <w:tc>
          <w:tcPr>
            <w:tcW w:w="0" w:type="auto"/>
          </w:tcPr>
          <w:p w14:paraId="7A457C93" w14:textId="77777777" w:rsidR="008B5CCF" w:rsidRPr="00C00819" w:rsidRDefault="008B5CCF" w:rsidP="00D21B85">
            <w:pPr>
              <w:spacing w:before="60" w:after="60"/>
              <w:jc w:val="both"/>
            </w:pPr>
          </w:p>
        </w:tc>
      </w:tr>
      <w:tr w:rsidR="00E25A3D" w:rsidRPr="00C00819" w14:paraId="7A457C98" w14:textId="77777777" w:rsidTr="00B8255E">
        <w:trPr>
          <w:jc w:val="center"/>
        </w:trPr>
        <w:tc>
          <w:tcPr>
            <w:tcW w:w="0" w:type="auto"/>
            <w:vAlign w:val="center"/>
          </w:tcPr>
          <w:p w14:paraId="7A457C95" w14:textId="77777777" w:rsidR="00E25A3D" w:rsidRPr="00C00819" w:rsidRDefault="000D6AC7" w:rsidP="00D21B85">
            <w:pPr>
              <w:spacing w:before="60" w:after="60"/>
              <w:jc w:val="both"/>
              <w:rPr>
                <w:iCs/>
              </w:rPr>
            </w:pPr>
            <m:oMathPara>
              <m:oMath>
                <m:sSub>
                  <m:sSubPr>
                    <m:ctrlPr>
                      <w:rPr>
                        <w:rFonts w:ascii="Cambria Math" w:hAnsi="Cambria Math"/>
                        <w:i/>
                      </w:rPr>
                    </m:ctrlPr>
                  </m:sSubPr>
                  <m:e>
                    <m: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Λ</m:t>
                        </m:r>
                      </m:e>
                      <m:sub>
                        <m:r>
                          <w:rPr>
                            <w:rFonts w:ascii="Cambria Math" w:hAnsi="Cambria Math"/>
                          </w:rPr>
                          <m:t>t,t+1</m:t>
                        </m:r>
                      </m:sub>
                    </m:sSub>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M</m:t>
                        </m:r>
                      </m:sup>
                    </m:sSubSup>
                  </m:e>
                </m:d>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i/>
                            <w:iCs/>
                          </w:rPr>
                        </m:ctrlPr>
                      </m:sSubPr>
                      <m:e>
                        <m:r>
                          <w:rPr>
                            <w:rFonts w:ascii="Cambria Math" w:hAnsi="Cambria Math"/>
                          </w:rPr>
                          <m:t>P</m:t>
                        </m:r>
                      </m:e>
                      <m:sub>
                        <m:r>
                          <w:rPr>
                            <w:rFonts w:ascii="Cambria Math" w:hAnsi="Cambria Math"/>
                          </w:rPr>
                          <m:t>mt</m:t>
                        </m:r>
                      </m:sub>
                    </m:sSub>
                    <m:sSub>
                      <m:sSubPr>
                        <m:ctrlPr>
                          <w:rPr>
                            <w:rFonts w:ascii="Cambria Math" w:hAnsi="Cambria Math"/>
                            <w:i/>
                            <w:iCs/>
                          </w:rPr>
                        </m:ctrlPr>
                      </m:sSubPr>
                      <m:e>
                        <m:r>
                          <w:rPr>
                            <w:rFonts w:ascii="Cambria Math" w:hAnsi="Cambria Math"/>
                          </w:rPr>
                          <m:t>Y</m:t>
                        </m:r>
                      </m:e>
                      <m:sub>
                        <m:r>
                          <w:rPr>
                            <w:rFonts w:ascii="Cambria Math" w:hAnsi="Cambria Math"/>
                          </w:rPr>
                          <m:t>mt</m:t>
                        </m:r>
                      </m:sub>
                    </m:sSub>
                  </m:num>
                  <m:den>
                    <m:r>
                      <w:rPr>
                        <w:rFonts w:ascii="Cambria Math" w:hAnsi="Cambria Math"/>
                      </w:rPr>
                      <m:t>p</m:t>
                    </m:r>
                    <m:sSub>
                      <m:sSubPr>
                        <m:ctrlPr>
                          <w:rPr>
                            <w:rFonts w:ascii="Cambria Math" w:hAnsi="Cambria Math"/>
                            <w:i/>
                          </w:rPr>
                        </m:ctrlPr>
                      </m:sSubPr>
                      <m:e>
                        <m:r>
                          <w:rPr>
                            <w:rFonts w:ascii="Cambria Math" w:hAnsi="Cambria Math"/>
                          </w:rPr>
                          <m:t>g</m:t>
                        </m:r>
                      </m:e>
                      <m:sub>
                        <m:r>
                          <w:rPr>
                            <w:rFonts w:ascii="Cambria Math" w:hAnsi="Cambria Math"/>
                          </w:rPr>
                          <m:t>t</m:t>
                        </m:r>
                      </m:sub>
                    </m:sSub>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-δ</m:t>
                </m:r>
              </m:oMath>
            </m:oMathPara>
          </w:p>
        </w:tc>
        <w:tc>
          <w:tcPr>
            <w:tcW w:w="0" w:type="auto"/>
            <w:vAlign w:val="center"/>
          </w:tcPr>
          <w:p w14:paraId="7A457C96" w14:textId="77777777" w:rsidR="00E25A3D" w:rsidRPr="00C00819" w:rsidRDefault="00E25A3D" w:rsidP="00C57016">
            <w:pPr>
              <w:spacing w:before="60" w:after="60"/>
              <w:jc w:val="both"/>
            </w:pPr>
            <w:r w:rsidRPr="00C00819">
              <w:t>(</w:t>
            </w:r>
            <w:r w:rsidR="00C57016" w:rsidRPr="00C00819">
              <w:t>11</w:t>
            </w:r>
            <w:r w:rsidRPr="00C00819">
              <w:t>)</w:t>
            </w:r>
          </w:p>
        </w:tc>
        <w:tc>
          <w:tcPr>
            <w:tcW w:w="0" w:type="auto"/>
          </w:tcPr>
          <w:p w14:paraId="7A457C97" w14:textId="77777777" w:rsidR="00E25A3D" w:rsidRPr="00C00819" w:rsidRDefault="00E25A3D" w:rsidP="00D21B85">
            <w:pPr>
              <w:spacing w:before="60" w:after="60"/>
              <w:jc w:val="both"/>
            </w:pPr>
          </w:p>
        </w:tc>
      </w:tr>
    </w:tbl>
    <w:p w14:paraId="7A457C99" w14:textId="77777777" w:rsidR="001F3640" w:rsidRPr="00C00819" w:rsidRDefault="00A06CDF" w:rsidP="00580FCE">
      <w:pPr>
        <w:tabs>
          <w:tab w:val="num" w:pos="720"/>
        </w:tabs>
        <w:ind w:firstLine="720"/>
        <w:jc w:val="both"/>
        <w:rPr>
          <w:iCs/>
        </w:rPr>
      </w:pPr>
      <w:r w:rsidRPr="00C00819">
        <w:t>A eq. (</w:t>
      </w:r>
      <w:r w:rsidR="00C57016" w:rsidRPr="00C00819">
        <w:t>9</w:t>
      </w:r>
      <w:r w:rsidRPr="00C00819">
        <w:t>) significa a demanda por trabalho que permanec</w:t>
      </w:r>
      <w:r w:rsidR="003C2B9C" w:rsidRPr="00C00819">
        <w:t>e</w:t>
      </w:r>
      <w:r w:rsidRPr="00C00819">
        <w:t xml:space="preserve"> igual ao problema original de </w:t>
      </w:r>
      <w:proofErr w:type="spellStart"/>
      <w:r w:rsidRPr="00C00819">
        <w:t>Gertler</w:t>
      </w:r>
      <w:proofErr w:type="spellEnd"/>
      <w:r w:rsidRPr="00C00819">
        <w:t xml:space="preserve"> e </w:t>
      </w:r>
      <w:proofErr w:type="spellStart"/>
      <w:r w:rsidRPr="00C00819">
        <w:t>Karadi</w:t>
      </w:r>
      <w:proofErr w:type="spellEnd"/>
      <w:r w:rsidRPr="00C00819">
        <w:t xml:space="preserve"> (2011). </w:t>
      </w:r>
      <w:r w:rsidR="00930620" w:rsidRPr="00C00819">
        <w:t>A eq. (</w:t>
      </w:r>
      <w:r w:rsidR="00C57016" w:rsidRPr="00C00819">
        <w:t>10</w:t>
      </w:r>
      <w:r w:rsidR="00930620" w:rsidRPr="00C00819">
        <w:t xml:space="preserve">) </w:t>
      </w:r>
      <w:r w:rsidR="008B3B30" w:rsidRPr="00C00819">
        <w:t xml:space="preserve">representa o custo marginal de </w:t>
      </w:r>
      <w:r w:rsidR="008B3B30" w:rsidRPr="00C00819">
        <w:rPr>
          <w:i/>
        </w:rPr>
        <w:t>default</w:t>
      </w:r>
      <w:r w:rsidR="008B3B30" w:rsidRPr="00C00819">
        <w:t xml:space="preserve"> pago pela firma</w:t>
      </w:r>
      <w:r w:rsidR="00E91254" w:rsidRPr="00C00819">
        <w:t xml:space="preserve"> no caso de retenção de uma unidade de investimento corrente</w:t>
      </w:r>
      <w:r w:rsidR="008B3B30" w:rsidRPr="00C00819">
        <w:t>. A eq. (</w:t>
      </w:r>
      <w:r w:rsidR="00C57016" w:rsidRPr="00C00819">
        <w:t>11</w:t>
      </w:r>
      <w:r w:rsidR="008B3B30" w:rsidRPr="00C00819">
        <w:t xml:space="preserve">) </w:t>
      </w:r>
      <w:r w:rsidR="00930620" w:rsidRPr="00C00819">
        <w:t xml:space="preserve">indica </w:t>
      </w:r>
      <w:r w:rsidR="008B3B30" w:rsidRPr="00C00819">
        <w:t>a</w:t>
      </w:r>
      <w:r w:rsidR="00930620" w:rsidRPr="00C00819">
        <w:t xml:space="preserve"> taxa </w:t>
      </w:r>
      <w:r w:rsidR="008B3B30" w:rsidRPr="00C00819">
        <w:t>de juros aplicada ao</w:t>
      </w:r>
      <w:r w:rsidR="00930620" w:rsidRPr="00C00819">
        <w:t>s empréstimos</w:t>
      </w:r>
      <w:r w:rsidR="003C2B9C" w:rsidRPr="00C00819">
        <w:t xml:space="preserve"> </w:t>
      </w:r>
      <w:r w:rsidR="00150A35" w:rsidRPr="00C00819">
        <w:t>alterada para considerar</w:t>
      </w:r>
      <w:r w:rsidR="008A4AEE" w:rsidRPr="00C00819">
        <w:t xml:space="preserve"> </w:t>
      </w:r>
      <w:r w:rsidR="00150A35" w:rsidRPr="00C00819">
        <w:t xml:space="preserve">a taxa de pagamento </w:t>
      </w:r>
      <w:r w:rsidR="003C2B9C" w:rsidRPr="00C00819">
        <w:t>dos empréstimos</w:t>
      </w:r>
      <w:r w:rsidR="008725E7" w:rsidRPr="00C00819">
        <w:t xml:space="preserve">. </w:t>
      </w:r>
      <w:r w:rsidRPr="00C00819">
        <w:rPr>
          <w:rFonts w:eastAsiaTheme="minorEastAsia"/>
          <w:iCs/>
        </w:rPr>
        <w:t>Cabe salientar que</w:t>
      </w:r>
      <w:r w:rsidR="00DC1509" w:rsidRPr="00C00819">
        <w:rPr>
          <w:rFonts w:eastAsiaTheme="minorEastAsia"/>
          <w:iCs/>
        </w:rPr>
        <w:t>, conforme eq. (</w:t>
      </w:r>
      <w:r w:rsidR="00C57016" w:rsidRPr="00C00819">
        <w:rPr>
          <w:rFonts w:eastAsiaTheme="minorEastAsia"/>
          <w:iCs/>
        </w:rPr>
        <w:t>11</w:t>
      </w:r>
      <w:r w:rsidR="00DC1509" w:rsidRPr="00C00819">
        <w:rPr>
          <w:rFonts w:eastAsiaTheme="minorEastAsia"/>
          <w:iCs/>
        </w:rPr>
        <w:t>),</w:t>
      </w:r>
      <w:r w:rsidRPr="00C00819">
        <w:rPr>
          <w:rFonts w:eastAsiaTheme="minorEastAsia"/>
          <w:iCs/>
        </w:rPr>
        <w:t xml:space="preserve"> </w:t>
      </w:r>
      <w:r w:rsidR="00DC1509" w:rsidRPr="00C00819">
        <w:rPr>
          <w:rFonts w:eastAsiaTheme="minorEastAsia"/>
          <w:iCs/>
        </w:rPr>
        <w:t>a</w:t>
      </w:r>
      <w:r w:rsidR="008A4AEE" w:rsidRPr="00C00819">
        <w:rPr>
          <w:rFonts w:eastAsiaTheme="minorEastAsia"/>
          <w:iCs/>
        </w:rPr>
        <w:t xml:space="preserve"> </w:t>
      </w:r>
      <w:r w:rsidR="001F3640" w:rsidRPr="00C00819">
        <w:rPr>
          <w:rFonts w:eastAsiaTheme="minorEastAsia"/>
          <w:iCs/>
        </w:rPr>
        <w:t>taxa</w:t>
      </w:r>
      <w:r w:rsidR="008A4AEE" w:rsidRPr="00C00819">
        <w:rPr>
          <w:rFonts w:eastAsiaTheme="minorEastAsia"/>
          <w:iCs/>
        </w:rPr>
        <w:t xml:space="preserve"> </w:t>
      </w:r>
      <m:oMath>
        <m:r>
          <w:rPr>
            <w:rFonts w:ascii="Cambria Math" w:hAnsi="Cambria Math"/>
          </w:rPr>
          <m:t>p</m:t>
        </m:r>
        <m:sSub>
          <m:sSubPr>
            <m:ctrlPr>
              <w:rPr>
                <w:rFonts w:ascii="Cambria Math" w:hAnsi="Cambria Math"/>
                <w:i/>
                <w:iCs/>
              </w:rPr>
            </m:ctrlPr>
          </m:sSubPr>
          <m:e>
            <m:r>
              <w:rPr>
                <w:rFonts w:ascii="Cambria Math" w:hAnsi="Cambria Math"/>
              </w:rPr>
              <m:t>g</m:t>
            </m:r>
          </m:e>
          <m:sub>
            <m:r>
              <w:rPr>
                <w:rFonts w:ascii="Cambria Math" w:hAnsi="Cambria Math"/>
              </w:rPr>
              <m:t>t</m:t>
            </m:r>
          </m:sub>
        </m:sSub>
      </m:oMath>
      <w:r w:rsidR="00DC1509" w:rsidRPr="00C00819">
        <w:rPr>
          <w:rFonts w:eastAsiaTheme="minorEastAsia"/>
          <w:iCs/>
        </w:rPr>
        <w:t xml:space="preserve"> </w:t>
      </w:r>
      <w:r w:rsidR="008A4AEE" w:rsidRPr="00C00819">
        <w:rPr>
          <w:rFonts w:eastAsiaTheme="minorEastAsia"/>
          <w:iCs/>
        </w:rPr>
        <w:t xml:space="preserve">possui um efeito negativo sobre </w:t>
      </w:r>
      <w:r w:rsidR="00F50EE1" w:rsidRPr="00C00819">
        <w:t xml:space="preserve">a taxa </w:t>
      </w:r>
      <w:r w:rsidR="00BC1296" w:rsidRPr="00C00819">
        <w:t>d</w:t>
      </w:r>
      <w:r w:rsidR="00F50EE1" w:rsidRPr="00C00819">
        <w:t xml:space="preserve">os empréstimos, de forma que um aumento </w:t>
      </w:r>
      <w:r w:rsidR="008A4AEE" w:rsidRPr="00C00819">
        <w:t xml:space="preserve">em seu valor </w:t>
      </w:r>
      <w:r w:rsidR="00F50EE1" w:rsidRPr="00C00819">
        <w:t>provoca uma queda de</w:t>
      </w:r>
      <w:r w:rsidR="00FB7E67" w:rsidRPr="00C00819">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M</m:t>
            </m:r>
          </m:sup>
        </m:sSubSup>
      </m:oMath>
      <w:r w:rsidR="00F50EE1" w:rsidRPr="00C00819">
        <w:t xml:space="preserve">. Em outras palavras, um aumento </w:t>
      </w:r>
      <w:r w:rsidR="001F3640" w:rsidRPr="00C00819">
        <w:t xml:space="preserve">no </w:t>
      </w:r>
      <w:r w:rsidR="001F3640" w:rsidRPr="00C00819">
        <w:rPr>
          <w:i/>
        </w:rPr>
        <w:t xml:space="preserve">default, </w:t>
      </w:r>
      <m:oMath>
        <m:r>
          <w:rPr>
            <w:rFonts w:ascii="Cambria Math" w:hAnsi="Cambria Math"/>
          </w:rPr>
          <m:t>(1-p</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oMath>
      <w:r w:rsidR="00F50EE1" w:rsidRPr="00C00819">
        <w:rPr>
          <w:i/>
          <w:iCs/>
        </w:rPr>
        <w:t xml:space="preserve"> </w:t>
      </w:r>
      <w:r w:rsidR="008A4AEE" w:rsidRPr="00C00819">
        <w:rPr>
          <w:iCs/>
        </w:rPr>
        <w:t xml:space="preserve">implica em </w:t>
      </w:r>
      <w:r w:rsidR="00F50EE1" w:rsidRPr="00C00819">
        <w:rPr>
          <w:iCs/>
        </w:rPr>
        <w:t>aumento n</w:t>
      </w:r>
      <w:r w:rsidR="001F3640" w:rsidRPr="00C00819">
        <w:rPr>
          <w:iCs/>
        </w:rPr>
        <w:t>a</w:t>
      </w:r>
      <w:r w:rsidR="00EF1DA6" w:rsidRPr="00C00819">
        <w:rPr>
          <w:iCs/>
        </w:rPr>
        <w:t xml:space="preserve"> da</w:t>
      </w:r>
      <w:r w:rsidR="00BC1296" w:rsidRPr="00C00819">
        <w:rPr>
          <w:iCs/>
        </w:rPr>
        <w:t xml:space="preserve"> </w:t>
      </w:r>
      <w:r w:rsidR="00F50EE1" w:rsidRPr="00C00819">
        <w:rPr>
          <w:iCs/>
        </w:rPr>
        <w:t>taxa dos empréstimos</w:t>
      </w:r>
      <w:r w:rsidR="001F3640" w:rsidRPr="00C00819">
        <w:rPr>
          <w:iCs/>
        </w:rPr>
        <w:t>.</w:t>
      </w:r>
      <w:r w:rsidR="00AE16B8" w:rsidRPr="00C00819">
        <w:rPr>
          <w:iCs/>
        </w:rPr>
        <w:t xml:space="preserve"> Isso ocorre, pois, conforme De </w:t>
      </w:r>
      <w:proofErr w:type="spellStart"/>
      <w:r w:rsidR="00AE16B8" w:rsidRPr="00C00819">
        <w:rPr>
          <w:iCs/>
        </w:rPr>
        <w:t>Walque</w:t>
      </w:r>
      <w:proofErr w:type="spellEnd"/>
      <w:r w:rsidR="00AE16B8" w:rsidRPr="00C00819">
        <w:rPr>
          <w:iCs/>
        </w:rPr>
        <w:t xml:space="preserve"> et al. (2009), os bancos estão interessados no retorno líquido dos empréstimos que depende positivamente da taxa de pagamento.</w:t>
      </w:r>
    </w:p>
    <w:p w14:paraId="7A457C9A" w14:textId="77777777" w:rsidR="00EF57CF" w:rsidRPr="00C00819" w:rsidRDefault="00EF57CF" w:rsidP="00580FCE">
      <w:pPr>
        <w:tabs>
          <w:tab w:val="num" w:pos="720"/>
        </w:tabs>
        <w:ind w:firstLine="720"/>
        <w:jc w:val="both"/>
        <w:rPr>
          <w:iCs/>
        </w:rPr>
      </w:pPr>
      <w:r w:rsidRPr="00C00819">
        <w:rPr>
          <w:iCs/>
        </w:rPr>
        <w:t xml:space="preserve">De maneira a possibilitar a análise de um choque na taxa de pagamento, a eq. </w:t>
      </w:r>
      <w:r w:rsidR="00A87946" w:rsidRPr="00C00819">
        <w:rPr>
          <w:iCs/>
        </w:rPr>
        <w:t>(</w:t>
      </w:r>
      <w:r w:rsidR="00C57016" w:rsidRPr="00C00819">
        <w:rPr>
          <w:iCs/>
        </w:rPr>
        <w:t>10</w:t>
      </w:r>
      <w:r w:rsidR="00A87946" w:rsidRPr="00C00819">
        <w:rPr>
          <w:iCs/>
        </w:rPr>
        <w:t>)</w:t>
      </w:r>
      <w:r w:rsidRPr="00C00819">
        <w:rPr>
          <w:iCs/>
        </w:rPr>
        <w:t xml:space="preserve"> será considerada no modelo da seguinte forma: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7"/>
        <w:gridCol w:w="616"/>
        <w:gridCol w:w="222"/>
      </w:tblGrid>
      <w:tr w:rsidR="00EF57CF" w:rsidRPr="00C00819" w14:paraId="7A457C9E" w14:textId="77777777" w:rsidTr="00B75CB6">
        <w:trPr>
          <w:jc w:val="center"/>
        </w:trPr>
        <w:tc>
          <w:tcPr>
            <w:tcW w:w="0" w:type="auto"/>
            <w:vAlign w:val="center"/>
          </w:tcPr>
          <w:p w14:paraId="7A457C9B" w14:textId="77777777" w:rsidR="00EF57CF" w:rsidRPr="00C00819" w:rsidRDefault="00DC1509" w:rsidP="0049080C">
            <w:pPr>
              <w:spacing w:before="120" w:after="120"/>
              <w:jc w:val="both"/>
              <w:rPr>
                <w:iCs/>
              </w:rPr>
            </w:pPr>
            <m:oMathPara>
              <m:oMath>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Λ</m:t>
                        </m:r>
                      </m:e>
                      <m:sub>
                        <m:r>
                          <w:rPr>
                            <w:rFonts w:ascii="Cambria Math" w:hAnsi="Cambria Math"/>
                          </w:rPr>
                          <m:t>t,t+1</m:t>
                        </m:r>
                      </m:sub>
                    </m:sSub>
                    <m:sSub>
                      <m:sSubPr>
                        <m:ctrlPr>
                          <w:rPr>
                            <w:rFonts w:ascii="Cambria Math" w:hAnsi="Cambria Math"/>
                            <w:i/>
                            <w:iCs/>
                          </w:rPr>
                        </m:ctrlPr>
                      </m:sSubPr>
                      <m:e>
                        <m:r>
                          <w:rPr>
                            <w:rFonts w:ascii="Cambria Math" w:hAnsi="Cambria Math"/>
                          </w:rPr>
                          <m:t>κ</m:t>
                        </m:r>
                      </m:e>
                      <m:sub>
                        <m:r>
                          <w:rPr>
                            <w:rFonts w:ascii="Cambria Math" w:hAnsi="Cambria Math"/>
                          </w:rPr>
                          <m:t>D</m:t>
                        </m:r>
                      </m:sub>
                    </m:sSub>
                    <m:d>
                      <m:dPr>
                        <m:begChr m:val="["/>
                        <m:endChr m:val="]"/>
                        <m:ctrlPr>
                          <w:rPr>
                            <w:rFonts w:ascii="Cambria Math" w:hAnsi="Cambria Math"/>
                            <w:i/>
                            <w:iCs/>
                          </w:rPr>
                        </m:ctrlPr>
                      </m:dPr>
                      <m:e>
                        <m:d>
                          <m:dPr>
                            <m:ctrlPr>
                              <w:rPr>
                                <w:rFonts w:ascii="Cambria Math" w:hAnsi="Cambria Math"/>
                                <w:i/>
                              </w:rPr>
                            </m:ctrlPr>
                          </m:dPr>
                          <m:e>
                            <m:r>
                              <w:rPr>
                                <w:rFonts w:ascii="Cambria Math" w:hAnsi="Cambria Math"/>
                              </w:rPr>
                              <m:t>1-p</m:t>
                            </m:r>
                            <m:sSub>
                              <m:sSubPr>
                                <m:ctrlPr>
                                  <w:rPr>
                                    <w:rFonts w:ascii="Cambria Math" w:hAnsi="Cambria Math"/>
                                    <w:i/>
                                    <w:iCs/>
                                  </w:rPr>
                                </m:ctrlPr>
                              </m:sSubPr>
                              <m:e>
                                <m:r>
                                  <w:rPr>
                                    <w:rFonts w:ascii="Cambria Math" w:hAnsi="Cambria Math"/>
                                  </w:rPr>
                                  <m:t>g</m:t>
                                </m:r>
                              </m:e>
                              <m:sub>
                                <m:r>
                                  <w:rPr>
                                    <w:rFonts w:ascii="Cambria Math" w:hAnsi="Cambria Math"/>
                                  </w:rPr>
                                  <m:t>t</m:t>
                                </m:r>
                              </m:sub>
                            </m:sSub>
                          </m:e>
                        </m:d>
                        <m:d>
                          <m:dPr>
                            <m:ctrlPr>
                              <w:rPr>
                                <w:rFonts w:ascii="Cambria Math" w:hAnsi="Cambria Math"/>
                                <w:i/>
                              </w:rPr>
                            </m:ctrlPr>
                          </m:dPr>
                          <m:e>
                            <m:r>
                              <m:rPr>
                                <m:sty m:val="p"/>
                              </m:rP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kt</m:t>
                                </m:r>
                              </m:sub>
                              <m:sup>
                                <m:r>
                                  <w:rPr>
                                    <w:rFonts w:ascii="Cambria Math" w:hAnsi="Cambria Math"/>
                                  </w:rPr>
                                  <m:t>M</m:t>
                                </m:r>
                              </m:sup>
                            </m:sSubSup>
                            <m:r>
                              <w:rPr>
                                <w:rFonts w:ascii="Cambria Math" w:hAnsi="Cambria Math"/>
                              </w:rPr>
                              <m:t>+δ</m:t>
                            </m:r>
                          </m:e>
                        </m:d>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t</m:t>
                            </m:r>
                          </m:sub>
                        </m:sSub>
                      </m:e>
                    </m:d>
                  </m:e>
                </m:d>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p</m:t>
                    </m:r>
                    <m:sSub>
                      <m:sSubPr>
                        <m:ctrlPr>
                          <w:rPr>
                            <w:rFonts w:ascii="Cambria Math" w:hAnsi="Cambria Math"/>
                            <w:i/>
                          </w:rPr>
                        </m:ctrlPr>
                      </m:sSubPr>
                      <m:e>
                        <m:r>
                          <w:rPr>
                            <w:rFonts w:ascii="Cambria Math" w:hAnsi="Cambria Math"/>
                          </w:rPr>
                          <m:t>g</m:t>
                        </m:r>
                      </m:e>
                      <m:sub>
                        <m:r>
                          <w:rPr>
                            <w:rFonts w:ascii="Cambria Math" w:hAnsi="Cambria Math"/>
                          </w:rPr>
                          <m:t>t</m:t>
                        </m:r>
                      </m:sub>
                    </m:sSub>
                  </m:sub>
                </m:sSub>
              </m:oMath>
            </m:oMathPara>
          </w:p>
        </w:tc>
        <w:tc>
          <w:tcPr>
            <w:tcW w:w="0" w:type="auto"/>
            <w:vAlign w:val="center"/>
          </w:tcPr>
          <w:p w14:paraId="7A457C9C" w14:textId="77777777" w:rsidR="00EF57CF" w:rsidRPr="00C00819" w:rsidRDefault="00EF57CF" w:rsidP="00C57016">
            <w:pPr>
              <w:spacing w:before="120" w:after="120"/>
              <w:jc w:val="both"/>
            </w:pPr>
            <w:r w:rsidRPr="00C00819">
              <w:t>(</w:t>
            </w:r>
            <w:r w:rsidR="00C57016" w:rsidRPr="00C00819">
              <w:t>12</w:t>
            </w:r>
            <w:r w:rsidRPr="00C00819">
              <w:t>)</w:t>
            </w:r>
          </w:p>
        </w:tc>
        <w:tc>
          <w:tcPr>
            <w:tcW w:w="0" w:type="auto"/>
          </w:tcPr>
          <w:p w14:paraId="7A457C9D" w14:textId="77777777" w:rsidR="00EF57CF" w:rsidRPr="00C00819" w:rsidRDefault="00EF57CF" w:rsidP="0049080C">
            <w:pPr>
              <w:spacing w:before="120" w:after="120"/>
              <w:jc w:val="both"/>
            </w:pPr>
          </w:p>
        </w:tc>
      </w:tr>
    </w:tbl>
    <w:p w14:paraId="7A457C9F" w14:textId="77777777" w:rsidR="00EF57CF" w:rsidRPr="00C00819" w:rsidRDefault="00EF57CF" w:rsidP="00580FCE">
      <w:pPr>
        <w:jc w:val="both"/>
        <w:rPr>
          <w:rFonts w:eastAsiaTheme="minorEastAsia"/>
        </w:rPr>
      </w:pPr>
      <w:r w:rsidRPr="00C00819">
        <w:rPr>
          <w:iCs/>
        </w:rPr>
        <w:t xml:space="preserve">onde </w:t>
      </w:r>
      <m:oMath>
        <m:sSub>
          <m:sSubPr>
            <m:ctrlPr>
              <w:rPr>
                <w:rFonts w:ascii="Cambria Math" w:hAnsi="Cambria Math"/>
                <w:i/>
                <w:iCs/>
              </w:rPr>
            </m:ctrlPr>
          </m:sSubPr>
          <m:e>
            <m:r>
              <w:rPr>
                <w:rFonts w:ascii="Cambria Math" w:hAnsi="Cambria Math"/>
              </w:rPr>
              <m:t>ϵ</m:t>
            </m:r>
          </m:e>
          <m:sub>
            <m:r>
              <w:rPr>
                <w:rFonts w:ascii="Cambria Math" w:hAnsi="Cambria Math"/>
              </w:rPr>
              <m:t>p</m:t>
            </m:r>
            <m:sSub>
              <m:sSubPr>
                <m:ctrlPr>
                  <w:rPr>
                    <w:rFonts w:ascii="Cambria Math" w:hAnsi="Cambria Math"/>
                    <w:i/>
                  </w:rPr>
                </m:ctrlPr>
              </m:sSubPr>
              <m:e>
                <m:r>
                  <w:rPr>
                    <w:rFonts w:ascii="Cambria Math" w:hAnsi="Cambria Math"/>
                  </w:rPr>
                  <m:t>g</m:t>
                </m:r>
              </m:e>
              <m:sub>
                <m:r>
                  <w:rPr>
                    <w:rFonts w:ascii="Cambria Math" w:hAnsi="Cambria Math"/>
                  </w:rPr>
                  <m:t>t</m:t>
                </m:r>
              </m:sub>
            </m:sSub>
          </m:sub>
        </m:sSub>
        <m:r>
          <w:rPr>
            <w:rFonts w:ascii="Cambria Math" w:hAnsi="Cambria Math"/>
          </w:rPr>
          <m:t>≈iid(0,</m:t>
        </m:r>
        <m:sSubSup>
          <m:sSubSupPr>
            <m:ctrlPr>
              <w:rPr>
                <w:rFonts w:ascii="Cambria Math" w:hAnsi="Cambria Math"/>
                <w:i/>
                <w:iCs/>
              </w:rPr>
            </m:ctrlPr>
          </m:sSubSupPr>
          <m:e>
            <m:r>
              <w:rPr>
                <w:rFonts w:ascii="Cambria Math" w:hAnsi="Cambria Math"/>
              </w:rPr>
              <m:t>σ</m:t>
            </m:r>
          </m:e>
          <m:sub>
            <m:sSub>
              <m:sSubPr>
                <m:ctrlPr>
                  <w:rPr>
                    <w:rFonts w:ascii="Cambria Math" w:hAnsi="Cambria Math"/>
                    <w:i/>
                    <w:iCs/>
                  </w:rPr>
                </m:ctrlPr>
              </m:sSubPr>
              <m:e>
                <m:r>
                  <w:rPr>
                    <w:rFonts w:ascii="Cambria Math" w:hAnsi="Cambria Math"/>
                  </w:rPr>
                  <m:t>ϵ</m:t>
                </m:r>
              </m:e>
              <m:sub>
                <m:r>
                  <w:rPr>
                    <w:rFonts w:ascii="Cambria Math" w:hAnsi="Cambria Math"/>
                  </w:rPr>
                  <m:t>pg</m:t>
                </m:r>
              </m:sub>
            </m:sSub>
          </m:sub>
          <m:sup>
            <m:r>
              <w:rPr>
                <w:rFonts w:ascii="Cambria Math" w:hAnsi="Cambria Math"/>
              </w:rPr>
              <m:t>2</m:t>
            </m:r>
          </m:sup>
        </m:sSubSup>
        <m:r>
          <w:rPr>
            <w:rFonts w:ascii="Cambria Math" w:hAnsi="Cambria Math"/>
          </w:rPr>
          <m:t xml:space="preserve"> )</m:t>
        </m:r>
      </m:oMath>
      <w:r w:rsidRPr="00C00819">
        <w:rPr>
          <w:iCs/>
        </w:rPr>
        <w:t xml:space="preserve"> é um choque </w:t>
      </w:r>
      <m:oMath>
        <m:r>
          <w:rPr>
            <w:rFonts w:ascii="Cambria Math" w:hAnsi="Cambria Math"/>
          </w:rPr>
          <m:t>AR(1)</m:t>
        </m:r>
      </m:oMath>
      <w:r w:rsidRPr="00C00819">
        <w:rPr>
          <w:rFonts w:eastAsiaTheme="minorEastAsia"/>
          <w:iCs/>
        </w:rPr>
        <w:t xml:space="preserve"> na taxa de pagamento dos empréstimos</w:t>
      </w:r>
      <w:r w:rsidRPr="00C00819">
        <w:rPr>
          <w:iCs/>
        </w:rPr>
        <w:t xml:space="preserve">. </w:t>
      </w:r>
    </w:p>
    <w:p w14:paraId="7A457CA0" w14:textId="77777777" w:rsidR="005D62E7" w:rsidRPr="00C00819" w:rsidRDefault="005D62E7" w:rsidP="00580FCE">
      <w:pPr>
        <w:ind w:firstLine="709"/>
        <w:jc w:val="both"/>
        <w:rPr>
          <w:iCs/>
        </w:rPr>
      </w:pPr>
      <w:r w:rsidRPr="00C00819">
        <w:rPr>
          <w:rFonts w:eastAsiaTheme="minorEastAsia"/>
        </w:rPr>
        <w:t xml:space="preserve">Como a firma do tipo 2 não incorre em risco de </w:t>
      </w:r>
      <w:r w:rsidRPr="00C00819">
        <w:rPr>
          <w:rFonts w:eastAsiaTheme="minorEastAsia"/>
          <w:i/>
        </w:rPr>
        <w:t xml:space="preserve">default, </w:t>
      </w:r>
      <w:r w:rsidRPr="00C00819">
        <w:rPr>
          <w:rFonts w:eastAsiaTheme="minorEastAsia"/>
        </w:rPr>
        <w:t xml:space="preserve">seu problema </w:t>
      </w:r>
      <w:r w:rsidR="00FB7E67" w:rsidRPr="00C00819">
        <w:rPr>
          <w:rFonts w:eastAsiaTheme="minorEastAsia"/>
        </w:rPr>
        <w:t>consiste n</w:t>
      </w:r>
      <w:r w:rsidRPr="00C00819">
        <w:rPr>
          <w:iCs/>
        </w:rPr>
        <w:t xml:space="preserve">a escolha do capital que será utilizado na produção e da quantidade de trabalho:  </w:t>
      </w:r>
    </w:p>
    <w:p w14:paraId="7A457CA1" w14:textId="77777777" w:rsidR="00595626" w:rsidRPr="00C00819" w:rsidRDefault="00595626" w:rsidP="00580FCE">
      <w:pPr>
        <w:ind w:firstLine="709"/>
        <w:jc w:val="both"/>
        <w:rPr>
          <w:b/>
          <w:iCs/>
        </w:rPr>
      </w:pPr>
    </w:p>
    <w:p w14:paraId="7A457CA2" w14:textId="77777777" w:rsidR="005D62E7" w:rsidRPr="00C00819" w:rsidRDefault="000D6AC7" w:rsidP="00580FCE">
      <w:pPr>
        <w:ind w:firstLine="709"/>
        <w:jc w:val="both"/>
        <w:rPr>
          <w:iCs/>
        </w:rPr>
      </w:pPr>
      <m:oMathPara>
        <m:oMath>
          <m:func>
            <m:funcPr>
              <m:ctrlPr>
                <w:rPr>
                  <w:rFonts w:ascii="Cambria Math" w:hAnsi="Cambria Math"/>
                  <w:i/>
                </w:rPr>
              </m:ctrlPr>
            </m:funcPr>
            <m:fName>
              <m:eqArr>
                <m:eqArrPr>
                  <m:ctrlPr>
                    <w:rPr>
                      <w:rFonts w:ascii="Cambria Math" w:hAnsi="Cambria Math"/>
                    </w:rPr>
                  </m:ctrlPr>
                </m:eqArrPr>
                <m:e>
                  <m:r>
                    <m:rPr>
                      <m:sty m:val="p"/>
                    </m:rPr>
                    <w:rPr>
                      <w:rFonts w:ascii="Cambria Math" w:hAnsi="Cambria Math"/>
                    </w:rPr>
                    <m:t>max</m:t>
                  </m:r>
                </m:e>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iCs/>
                                </w:rPr>
                              </m:ctrlPr>
                            </m:sSubPr>
                            <m:e>
                              <m:r>
                                <w:rPr>
                                  <w:rFonts w:ascii="Cambria Math" w:hAnsi="Cambria Math"/>
                                </w:rPr>
                                <m:t>L</m:t>
                              </m:r>
                            </m:e>
                            <m:sub>
                              <m:r>
                                <w:rPr>
                                  <w:rFonts w:ascii="Cambria Math" w:hAnsi="Cambria Math"/>
                                </w:rPr>
                                <m:t>t</m:t>
                              </m:r>
                            </m:sub>
                          </m:sSub>
                          <m:r>
                            <w:rPr>
                              <w:rFonts w:ascii="Cambria Math" w:hAnsi="Cambria Math"/>
                            </w:rPr>
                            <m:t>, </m:t>
                          </m:r>
                          <m:sSub>
                            <m:sSubPr>
                              <m:ctrlPr>
                                <w:rPr>
                                  <w:rFonts w:ascii="Cambria Math" w:hAnsi="Cambria Math"/>
                                  <w:i/>
                                  <w:iCs/>
                                </w:rPr>
                              </m:ctrlPr>
                            </m:sSubPr>
                            <m:e>
                              <m:r>
                                <w:rPr>
                                  <w:rFonts w:ascii="Cambria Math" w:hAnsi="Cambria Math"/>
                                </w:rPr>
                                <m:t>K</m:t>
                              </m:r>
                            </m:e>
                            <m:sub>
                              <m:r>
                                <w:rPr>
                                  <w:rFonts w:ascii="Cambria Math" w:hAnsi="Cambria Math"/>
                                </w:rPr>
                                <m:t>t</m:t>
                              </m:r>
                            </m:sub>
                          </m:sSub>
                        </m:e>
                      </m:d>
                    </m:e>
                    <m:sub>
                      <m:r>
                        <w:rPr>
                          <w:rFonts w:ascii="Cambria Math" w:hAnsi="Cambria Math"/>
                        </w:rPr>
                        <m:t>t=i</m:t>
                      </m:r>
                    </m:sub>
                    <m:sup>
                      <m:r>
                        <w:rPr>
                          <w:rFonts w:ascii="Cambria Math" w:hAnsi="Cambria Math"/>
                        </w:rPr>
                        <m:t>∞</m:t>
                      </m:r>
                    </m:sup>
                  </m:sSubSup>
                </m:e>
              </m:eqArr>
            </m:fName>
            <m:e>
              <m:sSub>
                <m:sSubPr>
                  <m:ctrlPr>
                    <w:rPr>
                      <w:rFonts w:ascii="Cambria Math" w:hAnsi="Cambria Math"/>
                      <w:i/>
                    </w:rPr>
                  </m:ctrlPr>
                </m:sSubPr>
                <m:e>
                  <m:r>
                    <w:rPr>
                      <w:rFonts w:ascii="Cambria Math" w:hAnsi="Cambria Math"/>
                    </w:rPr>
                    <m:t>E</m:t>
                  </m:r>
                </m:e>
                <m:sub>
                  <m:r>
                    <w:rPr>
                      <w:rFonts w:ascii="Cambria Math" w:hAnsi="Cambria Math"/>
                    </w:rPr>
                    <m:t>t</m:t>
                  </m:r>
                </m:sub>
              </m:sSub>
            </m:e>
          </m:func>
          <m:d>
            <m:dPr>
              <m:begChr m:val="{"/>
              <m:endChr m:val="}"/>
              <m:ctrlPr>
                <w:rPr>
                  <w:rFonts w:ascii="Cambria Math" w:hAnsi="Cambria Math"/>
                  <w:i/>
                  <w:iCs/>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i</m:t>
                      </m:r>
                    </m:sup>
                  </m:sSup>
                  <m:sSub>
                    <m:sSubPr>
                      <m:ctrlPr>
                        <w:rPr>
                          <w:rFonts w:ascii="Cambria Math" w:hAnsi="Cambria Math"/>
                          <w:i/>
                        </w:rPr>
                      </m:ctrlPr>
                    </m:sSubPr>
                    <m:e>
                      <m:r>
                        <w:rPr>
                          <w:rFonts w:ascii="Cambria Math" w:hAnsi="Cambria Math"/>
                        </w:rPr>
                        <m:t>Λ</m:t>
                      </m:r>
                    </m:e>
                    <m:sub>
                      <m:r>
                        <w:rPr>
                          <w:rFonts w:ascii="Cambria Math" w:hAnsi="Cambria Math"/>
                        </w:rPr>
                        <m:t>t,t+i</m:t>
                      </m:r>
                    </m:sub>
                  </m:sSub>
                </m:e>
              </m:nary>
              <m:sSub>
                <m:sSubPr>
                  <m:ctrlPr>
                    <w:rPr>
                      <w:rFonts w:ascii="Cambria Math" w:hAnsi="Cambria Math"/>
                      <w:i/>
                    </w:rPr>
                  </m:ctrlPr>
                </m:sSubPr>
                <m:e>
                  <m:r>
                    <w:rPr>
                      <w:rFonts w:ascii="Cambria Math" w:hAnsi="Cambria Math"/>
                    </w:rPr>
                    <m:t>Π</m:t>
                  </m:r>
                </m:e>
                <m:sub>
                  <m:r>
                    <w:rPr>
                      <w:rFonts w:ascii="Cambria Math" w:hAnsi="Cambria Math"/>
                    </w:rPr>
                    <m:t>mt+i</m:t>
                  </m:r>
                </m:sub>
              </m:sSub>
              <m:ctrlPr>
                <w:rPr>
                  <w:rFonts w:ascii="Cambria Math" w:hAnsi="Cambria Math"/>
                  <w:i/>
                </w:rPr>
              </m:ctrlPr>
            </m:e>
          </m:d>
        </m:oMath>
      </m:oMathPara>
    </w:p>
    <w:p w14:paraId="7A457CA3" w14:textId="77777777" w:rsidR="005D62E7" w:rsidRPr="00C00819" w:rsidRDefault="005D62E7" w:rsidP="00F75D48">
      <w:pPr>
        <w:ind w:left="2410" w:firstLine="1418"/>
        <w:jc w:val="both"/>
        <w:rPr>
          <w:iCs/>
        </w:rPr>
      </w:pPr>
      <m:oMathPara>
        <m:oMathParaPr>
          <m:jc m:val="left"/>
        </m:oMathParaPr>
        <m:oMath>
          <m:r>
            <w:rPr>
              <w:rFonts w:ascii="Cambria Math" w:hAnsi="Cambria Math"/>
            </w:rPr>
            <m:t>sujeito a:</m:t>
          </m:r>
        </m:oMath>
      </m:oMathPara>
    </w:p>
    <w:p w14:paraId="7A457CA4" w14:textId="77777777" w:rsidR="005D62E7" w:rsidRPr="00C00819" w:rsidRDefault="000D6AC7" w:rsidP="00580FCE">
      <w:pPr>
        <w:jc w:val="both"/>
        <w:rPr>
          <w:rFonts w:eastAsiaTheme="minorEastAsia"/>
          <w:iCs/>
        </w:rPr>
      </w:pPr>
      <m:oMathPara>
        <m:oMathParaPr>
          <m:jc m:val="centerGroup"/>
        </m:oMathParaPr>
        <m:oMath>
          <m:sSub>
            <m:sSubPr>
              <m:ctrlPr>
                <w:rPr>
                  <w:rFonts w:ascii="Cambria Math" w:hAnsi="Cambria Math"/>
                  <w:i/>
                </w:rPr>
              </m:ctrlPr>
            </m:sSubPr>
            <m:e>
              <m:r>
                <w:rPr>
                  <w:rFonts w:ascii="Cambria Math" w:hAnsi="Cambria Math"/>
                </w:rPr>
                <m:t>Π</m:t>
              </m:r>
            </m:e>
            <m:sub>
              <m:r>
                <w:rPr>
                  <w:rFonts w:ascii="Cambria Math" w:hAnsi="Cambria Math"/>
                </w:rPr>
                <m:t>mt</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mt</m:t>
              </m:r>
            </m:sub>
          </m:sSub>
          <m:sSub>
            <m:sSubPr>
              <m:ctrlPr>
                <w:rPr>
                  <w:rFonts w:ascii="Cambria Math" w:hAnsi="Cambria Math"/>
                  <w:i/>
                  <w:iCs/>
                </w:rPr>
              </m:ctrlPr>
            </m:sSubPr>
            <m:e>
              <m:r>
                <w:rPr>
                  <w:rFonts w:ascii="Cambria Math" w:hAnsi="Cambria Math"/>
                </w:rPr>
                <m:t>Y</m:t>
              </m:r>
            </m:e>
            <m:sub>
              <m:r>
                <w:rPr>
                  <w:rFonts w:ascii="Cambria Math" w:hAnsi="Cambria Math"/>
                </w:rPr>
                <m:t>mt</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t</m:t>
              </m:r>
            </m:sub>
          </m:sSub>
          <m:sSub>
            <m:sSubPr>
              <m:ctrlPr>
                <w:rPr>
                  <w:rFonts w:ascii="Cambria Math" w:hAnsi="Cambria Math"/>
                  <w:i/>
                  <w:iCs/>
                </w:rPr>
              </m:ctrlPr>
            </m:sSubPr>
            <m:e>
              <m:r>
                <w:rPr>
                  <w:rFonts w:ascii="Cambria Math" w:hAnsi="Cambria Math"/>
                </w:rPr>
                <m:t>L</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kt</m:t>
              </m:r>
            </m:sub>
            <m:sup>
              <m:r>
                <w:rPr>
                  <w:rFonts w:ascii="Cambria Math" w:hAnsi="Cambria Math"/>
                </w:rPr>
                <m:t>B</m:t>
              </m:r>
            </m:sup>
          </m:sSubSup>
          <m:r>
            <w:rPr>
              <w:rFonts w:ascii="Cambria Math" w:hAnsi="Cambria Math"/>
            </w:rPr>
            <m:t>+δ)</m:t>
          </m:r>
          <m:sSub>
            <m:sSubPr>
              <m:ctrlPr>
                <w:rPr>
                  <w:rFonts w:ascii="Cambria Math" w:hAnsi="Cambria Math"/>
                  <w:i/>
                  <w:iCs/>
                </w:rPr>
              </m:ctrlPr>
            </m:sSubPr>
            <m:e>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K</m:t>
              </m:r>
            </m:e>
            <m:sub>
              <m:r>
                <w:rPr>
                  <w:rFonts w:ascii="Cambria Math" w:hAnsi="Cambria Math"/>
                </w:rPr>
                <m:t>t</m:t>
              </m:r>
            </m:sub>
          </m:sSub>
        </m:oMath>
      </m:oMathPara>
    </w:p>
    <w:p w14:paraId="7A457CA5" w14:textId="77777777" w:rsidR="005D62E7" w:rsidRPr="00C00819" w:rsidRDefault="005D62E7" w:rsidP="00580FCE">
      <w:pPr>
        <w:ind w:firstLine="709"/>
        <w:jc w:val="both"/>
        <w:rPr>
          <w:iCs/>
        </w:rPr>
      </w:pPr>
      <w:r w:rsidRPr="00C00819">
        <w:rPr>
          <w:iCs/>
        </w:rPr>
        <w:t>Do mes</w:t>
      </w:r>
      <w:r w:rsidR="00AD1C6F" w:rsidRPr="00C00819">
        <w:rPr>
          <w:iCs/>
        </w:rPr>
        <w:t>mo modo, a solução continua dada</w:t>
      </w:r>
      <w:r w:rsidRPr="00C00819">
        <w:rPr>
          <w:iCs/>
        </w:rPr>
        <w:t xml:space="preserve"> pela demanda por trabalho e pela taxa de juros aplicada aos empréstimos: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9"/>
        <w:gridCol w:w="616"/>
      </w:tblGrid>
      <w:tr w:rsidR="005D62E7" w:rsidRPr="00C00819" w14:paraId="7A457CA8" w14:textId="77777777" w:rsidTr="00806940">
        <w:trPr>
          <w:jc w:val="center"/>
        </w:trPr>
        <w:tc>
          <w:tcPr>
            <w:tcW w:w="0" w:type="auto"/>
            <w:vAlign w:val="center"/>
          </w:tcPr>
          <w:p w14:paraId="7A457CA6" w14:textId="77777777" w:rsidR="005D62E7" w:rsidRPr="00C00819" w:rsidRDefault="000D6AC7" w:rsidP="0049080C">
            <w:pPr>
              <w:spacing w:before="120" w:after="120"/>
              <w:jc w:val="both"/>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mt</m:t>
                    </m:r>
                  </m:sub>
                </m:sSub>
                <m:d>
                  <m:dPr>
                    <m:ctrlPr>
                      <w:rPr>
                        <w:rFonts w:ascii="Cambria Math" w:hAnsi="Cambria Math"/>
                        <w:i/>
                        <w:iCs/>
                      </w:rPr>
                    </m:ctrlPr>
                  </m:dPr>
                  <m:e>
                    <m:r>
                      <w:rPr>
                        <w:rFonts w:ascii="Cambria Math" w:hAnsi="Cambria Math"/>
                      </w:rPr>
                      <m:t>1-α</m:t>
                    </m:r>
                  </m:e>
                </m:d>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mt</m:t>
                        </m:r>
                      </m:sub>
                    </m:sSub>
                  </m:num>
                  <m:den>
                    <m:sSub>
                      <m:sSubPr>
                        <m:ctrlPr>
                          <w:rPr>
                            <w:rFonts w:ascii="Cambria Math" w:hAnsi="Cambria Math"/>
                            <w:i/>
                            <w:iCs/>
                          </w:rPr>
                        </m:ctrlPr>
                      </m:sSubPr>
                      <m:e>
                        <m:r>
                          <w:rPr>
                            <w:rFonts w:ascii="Cambria Math" w:hAnsi="Cambria Math"/>
                          </w:rPr>
                          <m:t>L</m:t>
                        </m:r>
                      </m:e>
                      <m:sub>
                        <m:r>
                          <w:rPr>
                            <w:rFonts w:ascii="Cambria Math" w:hAnsi="Cambria Math"/>
                          </w:rPr>
                          <m:t>t</m:t>
                        </m:r>
                      </m:sub>
                    </m:sSub>
                  </m:den>
                </m:f>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t</m:t>
                    </m:r>
                  </m:sub>
                </m:sSub>
              </m:oMath>
            </m:oMathPara>
          </w:p>
        </w:tc>
        <w:tc>
          <w:tcPr>
            <w:tcW w:w="0" w:type="auto"/>
            <w:vAlign w:val="center"/>
          </w:tcPr>
          <w:p w14:paraId="7A457CA7" w14:textId="77777777" w:rsidR="005D62E7" w:rsidRPr="00C00819" w:rsidRDefault="005D62E7" w:rsidP="00C57016">
            <w:pPr>
              <w:spacing w:before="120" w:after="120"/>
              <w:jc w:val="both"/>
            </w:pPr>
            <w:r w:rsidRPr="00C00819">
              <w:t>(</w:t>
            </w:r>
            <w:r w:rsidR="00C57016" w:rsidRPr="00C00819">
              <w:t>13</w:t>
            </w:r>
            <w:r w:rsidRPr="00C00819">
              <w:t>)</w:t>
            </w:r>
          </w:p>
        </w:tc>
      </w:tr>
      <w:tr w:rsidR="000E32A8" w:rsidRPr="00C00819" w14:paraId="7A457CAB" w14:textId="77777777" w:rsidTr="00806940">
        <w:trPr>
          <w:jc w:val="center"/>
        </w:trPr>
        <w:tc>
          <w:tcPr>
            <w:tcW w:w="0" w:type="auto"/>
            <w:vAlign w:val="center"/>
          </w:tcPr>
          <w:p w14:paraId="7A457CA9" w14:textId="77777777" w:rsidR="005D62E7" w:rsidRPr="00C00819" w:rsidRDefault="000D6AC7" w:rsidP="0049080C">
            <w:pPr>
              <w:spacing w:before="120" w:after="120"/>
              <w:jc w:val="both"/>
              <w:rPr>
                <w:iCs/>
              </w:rPr>
            </w:pPr>
            <m:oMathPara>
              <m:oMath>
                <m:sSub>
                  <m:sSubPr>
                    <m:ctrlPr>
                      <w:rPr>
                        <w:rFonts w:ascii="Cambria Math" w:hAnsi="Cambria Math"/>
                        <w:i/>
                      </w:rPr>
                    </m:ctrlPr>
                  </m:sSubPr>
                  <m:e>
                    <m: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Λ</m:t>
                        </m:r>
                      </m:e>
                      <m:sub>
                        <m:r>
                          <w:rPr>
                            <w:rFonts w:ascii="Cambria Math" w:hAnsi="Cambria Math"/>
                          </w:rPr>
                          <m:t>t,t+1</m:t>
                        </m:r>
                      </m:sub>
                    </m:sSub>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B</m:t>
                        </m:r>
                      </m:sup>
                    </m:sSubSup>
                  </m:e>
                </m:d>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i/>
                            <w:iCs/>
                          </w:rPr>
                        </m:ctrlPr>
                      </m:sSubPr>
                      <m:e>
                        <m:r>
                          <w:rPr>
                            <w:rFonts w:ascii="Cambria Math" w:hAnsi="Cambria Math"/>
                          </w:rPr>
                          <m:t>P</m:t>
                        </m:r>
                      </m:e>
                      <m:sub>
                        <m:r>
                          <w:rPr>
                            <w:rFonts w:ascii="Cambria Math" w:hAnsi="Cambria Math"/>
                          </w:rPr>
                          <m:t>mt</m:t>
                        </m:r>
                      </m:sub>
                    </m:sSub>
                    <m:sSub>
                      <m:sSubPr>
                        <m:ctrlPr>
                          <w:rPr>
                            <w:rFonts w:ascii="Cambria Math" w:hAnsi="Cambria Math"/>
                            <w:i/>
                            <w:iCs/>
                          </w:rPr>
                        </m:ctrlPr>
                      </m:sSubPr>
                      <m:e>
                        <m:r>
                          <w:rPr>
                            <w:rFonts w:ascii="Cambria Math" w:hAnsi="Cambria Math"/>
                          </w:rPr>
                          <m:t>Y</m:t>
                        </m:r>
                      </m:e>
                      <m:sub>
                        <m:r>
                          <w:rPr>
                            <w:rFonts w:ascii="Cambria Math" w:hAnsi="Cambria Math"/>
                          </w:rPr>
                          <m:t>mt</m:t>
                        </m:r>
                      </m:sub>
                    </m:sSub>
                  </m:num>
                  <m:den>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-δ</m:t>
                </m:r>
              </m:oMath>
            </m:oMathPara>
          </w:p>
        </w:tc>
        <w:tc>
          <w:tcPr>
            <w:tcW w:w="0" w:type="auto"/>
            <w:vAlign w:val="center"/>
          </w:tcPr>
          <w:p w14:paraId="7A457CAA" w14:textId="77777777" w:rsidR="005D62E7" w:rsidRPr="00C00819" w:rsidRDefault="005D62E7" w:rsidP="00C57016">
            <w:pPr>
              <w:spacing w:before="120" w:after="120"/>
              <w:jc w:val="both"/>
            </w:pPr>
            <w:r w:rsidRPr="00C00819">
              <w:t>(</w:t>
            </w:r>
            <w:r w:rsidR="00C57016" w:rsidRPr="00C00819">
              <w:t>14</w:t>
            </w:r>
            <w:r w:rsidRPr="00C00819">
              <w:t>)</w:t>
            </w:r>
          </w:p>
        </w:tc>
      </w:tr>
    </w:tbl>
    <w:p w14:paraId="7A457CAC" w14:textId="54EAB388" w:rsidR="009F446E" w:rsidRPr="00C00819" w:rsidRDefault="009F446E" w:rsidP="00580FCE">
      <w:pPr>
        <w:tabs>
          <w:tab w:val="num" w:pos="720"/>
        </w:tabs>
        <w:ind w:firstLine="720"/>
        <w:jc w:val="both"/>
      </w:pPr>
      <w:r w:rsidRPr="00C00819">
        <w:rPr>
          <w:rFonts w:eastAsiaTheme="minorEastAsia"/>
        </w:rPr>
        <w:t>Comparando</w:t>
      </w:r>
      <w:r w:rsidR="00C251C8" w:rsidRPr="00C00819">
        <w:rPr>
          <w:rFonts w:eastAsiaTheme="minorEastAsia"/>
        </w:rP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kt</m:t>
            </m:r>
          </m:sub>
          <m:sup>
            <m:r>
              <w:rPr>
                <w:rFonts w:ascii="Cambria Math" w:hAnsi="Cambria Math"/>
              </w:rPr>
              <m:t>M</m:t>
            </m:r>
          </m:sup>
        </m:sSubSup>
      </m:oMath>
      <w:r w:rsidR="00C251C8" w:rsidRPr="00C00819">
        <w:rPr>
          <w:rFonts w:eastAsiaTheme="minorEastAsia"/>
        </w:rPr>
        <w:t xml:space="preserve"> e </w:t>
      </w:r>
      <m:oMath>
        <m:sSubSup>
          <m:sSubSupPr>
            <m:ctrlPr>
              <w:rPr>
                <w:rFonts w:ascii="Cambria Math" w:hAnsi="Cambria Math"/>
                <w:i/>
              </w:rPr>
            </m:ctrlPr>
          </m:sSubSupPr>
          <m:e>
            <m:r>
              <w:rPr>
                <w:rFonts w:ascii="Cambria Math" w:hAnsi="Cambria Math"/>
              </w:rPr>
              <m:t>R</m:t>
            </m:r>
          </m:e>
          <m:sub>
            <m:r>
              <w:rPr>
                <w:rFonts w:ascii="Cambria Math" w:hAnsi="Cambria Math"/>
              </w:rPr>
              <m:t>kt</m:t>
            </m:r>
          </m:sub>
          <m:sup>
            <m:r>
              <w:rPr>
                <w:rFonts w:ascii="Cambria Math" w:hAnsi="Cambria Math"/>
              </w:rPr>
              <m:t>B</m:t>
            </m:r>
          </m:sup>
        </m:sSubSup>
      </m:oMath>
      <w:r w:rsidR="00C251C8" w:rsidRPr="00C00819">
        <w:rPr>
          <w:rFonts w:eastAsiaTheme="minorEastAsia"/>
        </w:rPr>
        <w:t>, por meio das</w:t>
      </w:r>
      <w:r w:rsidRPr="00C00819">
        <w:rPr>
          <w:rFonts w:eastAsiaTheme="minorEastAsia"/>
        </w:rPr>
        <w:t xml:space="preserve"> equações (</w:t>
      </w:r>
      <w:r w:rsidR="00C57016" w:rsidRPr="00C00819">
        <w:rPr>
          <w:rFonts w:eastAsiaTheme="minorEastAsia"/>
        </w:rPr>
        <w:t>11</w:t>
      </w:r>
      <w:r w:rsidRPr="00C00819">
        <w:rPr>
          <w:rFonts w:eastAsiaTheme="minorEastAsia"/>
        </w:rPr>
        <w:t>) e (</w:t>
      </w:r>
      <w:r w:rsidR="00C57016" w:rsidRPr="00C00819">
        <w:rPr>
          <w:rFonts w:eastAsiaTheme="minorEastAsia"/>
        </w:rPr>
        <w:t>14</w:t>
      </w:r>
      <w:r w:rsidR="00A87946" w:rsidRPr="00C00819">
        <w:rPr>
          <w:rFonts w:eastAsiaTheme="minorEastAsia"/>
        </w:rPr>
        <w:t>)</w:t>
      </w:r>
      <w:r w:rsidRPr="00C00819">
        <w:rPr>
          <w:rFonts w:eastAsiaTheme="minorEastAsia"/>
        </w:rPr>
        <w:t>,</w:t>
      </w:r>
      <w:r w:rsidR="00B4788A" w:rsidRPr="00C00819">
        <w:rPr>
          <w:rFonts w:eastAsiaTheme="minorEastAsia"/>
        </w:rPr>
        <w:t xml:space="preserve"> nota-se que</w:t>
      </w:r>
      <w:r w:rsidRPr="00C00819">
        <w:rPr>
          <w:rFonts w:eastAsiaTheme="minorEastAsia"/>
        </w:rPr>
        <w:t xml:space="preserve"> a</w:t>
      </w:r>
      <w:r w:rsidRPr="00C00819">
        <w:t xml:space="preserve"> taxa de juros aplicada aos empréstimos referente aos “</w:t>
      </w:r>
      <w:r w:rsidR="00C57016" w:rsidRPr="00C00819">
        <w:rPr>
          <w:i/>
        </w:rPr>
        <w:t>m</w:t>
      </w:r>
      <w:r w:rsidRPr="00C00819">
        <w:rPr>
          <w:i/>
        </w:rPr>
        <w:t>aus</w:t>
      </w:r>
      <w:r w:rsidRPr="00C00819">
        <w:t>” pagadores</w:t>
      </w:r>
      <w:r w:rsidR="00B4788A" w:rsidRPr="00C00819">
        <w:t>, firma do tipo 1</w:t>
      </w:r>
      <w:r w:rsidR="00806940" w:rsidRPr="00C00819">
        <w:t xml:space="preserve">, </w:t>
      </w:r>
      <w:r w:rsidRPr="00C00819">
        <w:t xml:space="preserve">contempla a </w:t>
      </w:r>
      <w:r w:rsidR="00C251C8" w:rsidRPr="00C00819">
        <w:t xml:space="preserve">expectativa da </w:t>
      </w:r>
      <w:r w:rsidRPr="00C00819">
        <w:t>taxa de pagamento</w:t>
      </w:r>
      <w:r w:rsidR="00C251C8" w:rsidRPr="00C00819">
        <w:t>, sendo</w:t>
      </w:r>
      <w:r w:rsidRPr="00C00819">
        <w:t xml:space="preserve"> </w:t>
      </w:r>
      <m:oMath>
        <m:r>
          <w:rPr>
            <w:rFonts w:ascii="Cambria Math" w:hAnsi="Cambria Math"/>
          </w:rPr>
          <m:t>p</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ϵ (0,1)</m:t>
        </m:r>
      </m:oMath>
      <w:r w:rsidRPr="00C00819">
        <w:rPr>
          <w:rFonts w:eastAsiaTheme="minorEastAsia"/>
        </w:rPr>
        <w:t xml:space="preserve">, o que implica em </w:t>
      </w:r>
      <m:oMath>
        <m:sSubSup>
          <m:sSubSupPr>
            <m:ctrlPr>
              <w:rPr>
                <w:rFonts w:ascii="Cambria Math" w:hAnsi="Cambria Math"/>
                <w:i/>
              </w:rPr>
            </m:ctrlPr>
          </m:sSubSupPr>
          <m:e>
            <m:r>
              <w:rPr>
                <w:rFonts w:ascii="Cambria Math" w:hAnsi="Cambria Math"/>
              </w:rPr>
              <m:t>R</m:t>
            </m:r>
          </m:e>
          <m:sub>
            <m:r>
              <w:rPr>
                <w:rFonts w:ascii="Cambria Math" w:hAnsi="Cambria Math"/>
              </w:rPr>
              <m:t>kt</m:t>
            </m:r>
          </m:sub>
          <m:sup>
            <m:r>
              <w:rPr>
                <w:rFonts w:ascii="Cambria Math" w:hAnsi="Cambria Math"/>
              </w:rPr>
              <m:t>M</m:t>
            </m:r>
          </m:sup>
        </m:sSubSup>
        <m:r>
          <w:rPr>
            <w:rFonts w:ascii="Cambria Math" w:hAnsi="Cambria Math"/>
          </w:rPr>
          <m:t>&gt;</m:t>
        </m:r>
        <m:sSubSup>
          <m:sSubSupPr>
            <m:ctrlPr>
              <w:rPr>
                <w:rFonts w:ascii="Cambria Math" w:hAnsi="Cambria Math"/>
                <w:i/>
              </w:rPr>
            </m:ctrlPr>
          </m:sSubSupPr>
          <m:e>
            <m:r>
              <w:rPr>
                <w:rFonts w:ascii="Cambria Math" w:hAnsi="Cambria Math"/>
              </w:rPr>
              <m:t>R</m:t>
            </m:r>
          </m:e>
          <m:sub>
            <m:r>
              <w:rPr>
                <w:rFonts w:ascii="Cambria Math" w:hAnsi="Cambria Math"/>
              </w:rPr>
              <m:t>kt</m:t>
            </m:r>
          </m:sub>
          <m:sup>
            <m:r>
              <w:rPr>
                <w:rFonts w:ascii="Cambria Math" w:hAnsi="Cambria Math"/>
              </w:rPr>
              <m:t>B</m:t>
            </m:r>
          </m:sup>
        </m:sSubSup>
      </m:oMath>
      <w:r w:rsidRPr="00C00819">
        <w:rPr>
          <w:rFonts w:eastAsiaTheme="minorEastAsia"/>
        </w:rPr>
        <w:t xml:space="preserve">, de modo a compensar a perda de receita do banco com o </w:t>
      </w:r>
      <w:r w:rsidRPr="00C00819">
        <w:rPr>
          <w:rFonts w:eastAsiaTheme="minorEastAsia"/>
          <w:i/>
        </w:rPr>
        <w:t xml:space="preserve">default. </w:t>
      </w:r>
      <w:r w:rsidRPr="00C00819">
        <w:t xml:space="preserve"> </w:t>
      </w:r>
    </w:p>
    <w:p w14:paraId="7A457CAD" w14:textId="77777777" w:rsidR="00F50EE1" w:rsidRPr="00C00819" w:rsidRDefault="00F50EE1" w:rsidP="00986556">
      <w:pPr>
        <w:pStyle w:val="Ttulo4"/>
        <w:numPr>
          <w:ilvl w:val="2"/>
          <w:numId w:val="18"/>
        </w:numPr>
        <w:tabs>
          <w:tab w:val="left" w:pos="851"/>
        </w:tabs>
        <w:spacing w:before="120" w:after="120" w:line="240" w:lineRule="auto"/>
        <w:rPr>
          <w:rFonts w:ascii="Times New Roman" w:hAnsi="Times New Roman" w:cs="Times New Roman"/>
          <w:b w:val="0"/>
          <w:i w:val="0"/>
        </w:rPr>
      </w:pPr>
      <w:r w:rsidRPr="00C00819">
        <w:rPr>
          <w:rFonts w:ascii="Times New Roman" w:hAnsi="Times New Roman" w:cs="Times New Roman"/>
          <w:b w:val="0"/>
          <w:i w:val="0"/>
        </w:rPr>
        <w:t>Instituições Financeiras</w:t>
      </w:r>
    </w:p>
    <w:p w14:paraId="7A457CAE" w14:textId="77777777" w:rsidR="00055D62" w:rsidRPr="00C00819" w:rsidRDefault="00F50EE1" w:rsidP="00580FCE">
      <w:pPr>
        <w:ind w:firstLine="709"/>
        <w:jc w:val="both"/>
      </w:pPr>
      <w:r w:rsidRPr="00C00819">
        <w:t xml:space="preserve">Com a possibilidade de </w:t>
      </w:r>
      <w:r w:rsidRPr="00C00819">
        <w:rPr>
          <w:i/>
        </w:rPr>
        <w:t>default</w:t>
      </w:r>
      <w:r w:rsidRPr="00C00819">
        <w:t xml:space="preserve"> por parte das firmas e dado que o empréstimo concedido em um período somente será pago no período posterior, o balanço da instituição financeira em </w:t>
      </w:r>
      <m:oMath>
        <m:r>
          <w:rPr>
            <w:rFonts w:ascii="Cambria Math" w:hAnsi="Cambria Math"/>
          </w:rPr>
          <m:t>t</m:t>
        </m:r>
      </m:oMath>
      <w:r w:rsidRPr="00C00819">
        <w:t xml:space="preserve"> não é afetado, permanecendo </w:t>
      </w:r>
      <m:oMath>
        <m:sSub>
          <m:sSubPr>
            <m:ctrlPr>
              <w:rPr>
                <w:rFonts w:ascii="Cambria Math" w:hAnsi="Cambria Math"/>
                <w:i/>
                <w:iCs/>
              </w:rPr>
            </m:ctrlPr>
          </m:sSubPr>
          <m:e>
            <m:r>
              <w:rPr>
                <w:rFonts w:ascii="Cambria Math" w:hAnsi="Cambria Math"/>
              </w:rPr>
              <m:t>Q</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jt</m:t>
            </m:r>
          </m:sub>
        </m:sSub>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jt</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jt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jt+1</m:t>
            </m:r>
          </m:sub>
        </m:sSub>
      </m:oMath>
      <w:r w:rsidRPr="00C00819">
        <w:t xml:space="preserve">. </w:t>
      </w:r>
    </w:p>
    <w:p w14:paraId="7A457CAF" w14:textId="4845E4B5" w:rsidR="00F50EE1" w:rsidRPr="00C00819" w:rsidRDefault="00C251C8" w:rsidP="00580FCE">
      <w:pPr>
        <w:ind w:firstLine="708"/>
        <w:jc w:val="both"/>
      </w:pPr>
      <w:r w:rsidRPr="00C00819">
        <w:rPr>
          <w:iCs/>
        </w:rPr>
        <w:t xml:space="preserve">Considere, agora, que </w:t>
      </w:r>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C00819">
        <w:rPr>
          <w:rFonts w:eastAsiaTheme="minorEastAsia"/>
        </w:rPr>
        <w:t xml:space="preserve"> representa a parcela das firmas do tipo 1, que pode não pagar os empréstimos</w:t>
      </w:r>
      <m:oMath>
        <m:r>
          <m:rPr>
            <m:sty m:val="bi"/>
          </m:rPr>
          <w:rPr>
            <w:rFonts w:ascii="Cambria Math" w:hAnsi="Cambria Math"/>
          </w:rPr>
          <m:t xml:space="preserve"> </m:t>
        </m:r>
      </m:oMath>
      <w:r w:rsidRPr="00C00819">
        <w:rPr>
          <w:rFonts w:eastAsiaTheme="minorEastAsia"/>
        </w:rPr>
        <w:t xml:space="preserve">e que, por essa razão, incorre na taxa dos empréstimos </w:t>
      </w:r>
      <m:oMath>
        <m:sSubSup>
          <m:sSubSupPr>
            <m:ctrlPr>
              <w:rPr>
                <w:rFonts w:ascii="Cambria Math" w:hAnsi="Cambria Math"/>
                <w:i/>
              </w:rPr>
            </m:ctrlPr>
          </m:sSubSupPr>
          <m:e>
            <m:r>
              <w:rPr>
                <w:rFonts w:ascii="Cambria Math" w:hAnsi="Cambria Math"/>
              </w:rPr>
              <m:t>R</m:t>
            </m:r>
          </m:e>
          <m:sub>
            <m:r>
              <w:rPr>
                <w:rFonts w:ascii="Cambria Math" w:hAnsi="Cambria Math"/>
              </w:rPr>
              <m:t>kt</m:t>
            </m:r>
          </m:sub>
          <m:sup>
            <m:r>
              <w:rPr>
                <w:rFonts w:ascii="Cambria Math" w:hAnsi="Cambria Math"/>
              </w:rPr>
              <m:t>1</m:t>
            </m:r>
          </m:sup>
        </m:sSubSup>
      </m:oMath>
      <w:r w:rsidRPr="00C00819">
        <w:rPr>
          <w:rFonts w:eastAsiaTheme="minorEastAsia"/>
          <w:iCs/>
        </w:rPr>
        <w:t xml:space="preserve"> e no custo de </w:t>
      </w:r>
      <w:r w:rsidRPr="00C00819">
        <w:rPr>
          <w:rFonts w:eastAsiaTheme="minorEastAsia"/>
          <w:i/>
          <w:iCs/>
        </w:rPr>
        <w:t>default</w:t>
      </w:r>
      <w:r w:rsidRPr="00C00819">
        <w:rPr>
          <w:rFonts w:eastAsiaTheme="minorEastAsia"/>
          <w:iCs/>
        </w:rPr>
        <w:t xml:space="preserve"> </w:t>
      </w:r>
      <m:oMath>
        <m:f>
          <m:fPr>
            <m:ctrlPr>
              <w:rPr>
                <w:rFonts w:ascii="Cambria Math" w:hAnsi="Cambria Math"/>
                <w:i/>
                <w:iCs/>
              </w:rPr>
            </m:ctrlPr>
          </m:fPr>
          <m:num>
            <m:sSub>
              <m:sSubPr>
                <m:ctrlPr>
                  <w:rPr>
                    <w:rFonts w:ascii="Cambria Math" w:hAnsi="Cambria Math"/>
                    <w:i/>
                    <w:iCs/>
                  </w:rPr>
                </m:ctrlPr>
              </m:sSubPr>
              <m:e>
                <m:r>
                  <w:rPr>
                    <w:rFonts w:ascii="Cambria Math" w:hAnsi="Cambria Math"/>
                  </w:rPr>
                  <m:t>κ</m:t>
                </m:r>
              </m:e>
              <m:sub>
                <m:r>
                  <w:rPr>
                    <w:rFonts w:ascii="Cambria Math" w:hAnsi="Cambria Math"/>
                  </w:rPr>
                  <m:t>D</m:t>
                </m:r>
              </m:sub>
            </m:sSub>
            <m:ctrlPr>
              <w:rPr>
                <w:rFonts w:ascii="Cambria Math" w:hAnsi="Cambria Math"/>
                <w:i/>
              </w:rPr>
            </m:ctrlPr>
          </m:num>
          <m:den>
            <m: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(1-p</m:t>
                </m:r>
                <m:sSub>
                  <m:sSubPr>
                    <m:ctrlPr>
                      <w:rPr>
                        <w:rFonts w:ascii="Cambria Math" w:hAnsi="Cambria Math"/>
                        <w:i/>
                        <w:iCs/>
                      </w:rPr>
                    </m:ctrlPr>
                  </m:sSubPr>
                  <m:e>
                    <m:r>
                      <w:rPr>
                        <w:rFonts w:ascii="Cambria Math" w:hAnsi="Cambria Math"/>
                      </w:rPr>
                      <m:t>g</m:t>
                    </m:r>
                  </m:e>
                  <m:sub>
                    <m:r>
                      <w:rPr>
                        <w:rFonts w:ascii="Cambria Math" w:hAnsi="Cambria Math"/>
                      </w:rPr>
                      <m:t>t-1</m:t>
                    </m:r>
                  </m:sub>
                </m:sSub>
                <m:r>
                  <w:rPr>
                    <w:rFonts w:ascii="Cambria Math" w:hAnsi="Cambria Math"/>
                  </w:rPr>
                  <m:t>)</m:t>
                </m:r>
                <m:r>
                  <m:rPr>
                    <m:sty m:val="p"/>
                  </m:rP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1</m:t>
                    </m:r>
                  </m:sup>
                </m:sSubSup>
                <m:sSub>
                  <m:sSubPr>
                    <m:ctrlPr>
                      <w:rPr>
                        <w:rFonts w:ascii="Cambria Math" w:hAnsi="Cambria Math"/>
                        <w:i/>
                      </w:rPr>
                    </m:ctrlPr>
                  </m:sSubPr>
                  <m:e>
                    <m:r>
                      <w:rPr>
                        <w:rFonts w:ascii="Cambria Math" w:hAnsi="Cambria Math"/>
                      </w:rPr>
                      <m:t>Q</m:t>
                    </m:r>
                  </m:e>
                  <m:sub>
                    <m:r>
                      <w:rPr>
                        <w:rFonts w:ascii="Cambria Math" w:hAnsi="Cambria Math"/>
                      </w:rPr>
                      <m:t>t-1</m:t>
                    </m:r>
                  </m:sub>
                </m:sSub>
                <m:sSub>
                  <m:sSubPr>
                    <m:ctrlPr>
                      <w:rPr>
                        <w:rFonts w:ascii="Cambria Math" w:hAnsi="Cambria Math"/>
                        <w:i/>
                      </w:rPr>
                    </m:ctrlPr>
                  </m:sSubPr>
                  <m:e>
                    <m:r>
                      <w:rPr>
                        <w:rFonts w:ascii="Cambria Math" w:hAnsi="Cambria Math"/>
                      </w:rPr>
                      <m:t>K</m:t>
                    </m:r>
                  </m:e>
                  <m:sub>
                    <m:r>
                      <w:rPr>
                        <w:rFonts w:ascii="Cambria Math" w:hAnsi="Cambria Math"/>
                      </w:rPr>
                      <m:t>t-1</m:t>
                    </m:r>
                  </m:sub>
                </m:sSub>
              </m:e>
            </m:d>
          </m:e>
          <m:sup>
            <m:r>
              <w:rPr>
                <w:rFonts w:ascii="Cambria Math" w:hAnsi="Cambria Math"/>
              </w:rPr>
              <m:t>2</m:t>
            </m:r>
          </m:sup>
        </m:sSup>
      </m:oMath>
      <w:r w:rsidRPr="00C00819">
        <w:rPr>
          <w:rFonts w:eastAsiaTheme="minorEastAsia"/>
          <w:iCs/>
        </w:rPr>
        <w:t xml:space="preserve">. De forma complementar, </w:t>
      </w:r>
      <m:oMath>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oMath>
      <w:r w:rsidRPr="00C00819">
        <w:rPr>
          <w:rFonts w:eastAsiaTheme="minorEastAsia"/>
        </w:rPr>
        <w:t xml:space="preserve"> refere-se à parcela das firmas do tipo 2, que cumprem com suas obrigações financeiras, pagando pelos empréstimos </w:t>
      </w:r>
      <m:oMath>
        <m:sSub>
          <m:sSubPr>
            <m:ctrlPr>
              <w:rPr>
                <w:rFonts w:ascii="Cambria Math" w:hAnsi="Cambria Math"/>
                <w:i/>
                <w:iCs/>
              </w:rPr>
            </m:ctrlPr>
          </m:sSubPr>
          <m:e>
            <m:r>
              <w:rPr>
                <w:rFonts w:ascii="Cambria Math" w:hAnsi="Cambria Math"/>
              </w:rPr>
              <m:t>K</m:t>
            </m:r>
          </m:e>
          <m:sub>
            <m:r>
              <w:rPr>
                <w:rFonts w:ascii="Cambria Math" w:hAnsi="Cambria Math"/>
              </w:rPr>
              <m:t>t</m:t>
            </m:r>
          </m:sub>
        </m:sSub>
      </m:oMath>
      <w:r w:rsidRPr="00C00819">
        <w:rPr>
          <w:rFonts w:eastAsiaTheme="minorEastAsia"/>
          <w:iCs/>
        </w:rPr>
        <w:t xml:space="preserve"> </w:t>
      </w:r>
      <w:r w:rsidRPr="00C00819">
        <w:rPr>
          <w:rFonts w:eastAsiaTheme="minorEastAsia"/>
        </w:rPr>
        <w:t xml:space="preserve">a taxa </w:t>
      </w:r>
      <m:oMath>
        <m:sSubSup>
          <m:sSubSupPr>
            <m:ctrlPr>
              <w:rPr>
                <w:rFonts w:ascii="Cambria Math" w:hAnsi="Cambria Math"/>
                <w:i/>
              </w:rPr>
            </m:ctrlPr>
          </m:sSubSupPr>
          <m:e>
            <m:r>
              <w:rPr>
                <w:rFonts w:ascii="Cambria Math" w:hAnsi="Cambria Math"/>
              </w:rPr>
              <m:t>R</m:t>
            </m:r>
          </m:e>
          <m:sub>
            <m:r>
              <w:rPr>
                <w:rFonts w:ascii="Cambria Math" w:hAnsi="Cambria Math"/>
              </w:rPr>
              <m:t>kt</m:t>
            </m:r>
          </m:sub>
          <m:sup>
            <m:r>
              <w:rPr>
                <w:rFonts w:ascii="Cambria Math" w:hAnsi="Cambria Math"/>
              </w:rPr>
              <m:t>2</m:t>
            </m:r>
          </m:sup>
        </m:sSubSup>
      </m:oMath>
      <w:r w:rsidRPr="00C00819">
        <w:rPr>
          <w:rFonts w:eastAsiaTheme="minorEastAsia"/>
          <w:iCs/>
        </w:rPr>
        <w:t xml:space="preserve">. Assim, </w:t>
      </w:r>
      <w:r w:rsidR="00F50EE1" w:rsidRPr="00C00819">
        <w:t xml:space="preserve">a evolução do patrimônio líquido do banco </w:t>
      </w:r>
      <w:r w:rsidR="001F27B2" w:rsidRPr="00C00819">
        <w:rPr>
          <w:iCs/>
        </w:rPr>
        <w:t xml:space="preserve">em </w:t>
      </w:r>
      <m:oMath>
        <m:r>
          <w:rPr>
            <w:rFonts w:ascii="Cambria Math" w:hAnsi="Cambria Math"/>
          </w:rPr>
          <m:t>t+1</m:t>
        </m:r>
      </m:oMath>
      <w:r w:rsidR="001F27B2" w:rsidRPr="00C00819">
        <w:rPr>
          <w:rFonts w:eastAsiaTheme="minorEastAsia"/>
        </w:rPr>
        <w:t xml:space="preserve"> </w:t>
      </w:r>
      <w:r w:rsidR="00055D62" w:rsidRPr="00C00819">
        <w:t>será de</w:t>
      </w:r>
      <w:r w:rsidR="00F50EE1" w:rsidRPr="00C00819">
        <w:t>:</w:t>
      </w:r>
    </w:p>
    <w:p w14:paraId="7A457CB0" w14:textId="77777777" w:rsidR="00410B7B" w:rsidRPr="00C00819" w:rsidRDefault="000D6AC7" w:rsidP="002A18EA">
      <w:pPr>
        <w:spacing w:before="120" w:after="120"/>
        <w:ind w:firstLine="709"/>
        <w:jc w:val="both"/>
      </w:pPr>
      <m:oMathPara>
        <m:oMath>
          <m:sSub>
            <m:sSubPr>
              <m:ctrlPr>
                <w:rPr>
                  <w:rFonts w:ascii="Cambria Math" w:hAnsi="Cambria Math"/>
                  <w:i/>
                  <w:iCs/>
                </w:rPr>
              </m:ctrlPr>
            </m:sSubPr>
            <m:e>
              <m:r>
                <w:rPr>
                  <w:rFonts w:ascii="Cambria Math" w:hAnsi="Cambria Math"/>
                </w:rPr>
                <m:t>N</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M</m:t>
              </m:r>
            </m:sup>
          </m:sSubSup>
          <m:r>
            <w:rPr>
              <w:rFonts w:ascii="Cambria Math" w:hAnsi="Cambria Math"/>
            </w:rPr>
            <m:t>+</m:t>
          </m:r>
          <m:sSub>
            <m:sSubPr>
              <m:ctrlPr>
                <w:rPr>
                  <w:rFonts w:ascii="Cambria Math" w:hAnsi="Cambria Math"/>
                  <w:i/>
                </w:rPr>
              </m:ctrlPr>
            </m:sSubPr>
            <m:e>
              <m:r>
                <w:rPr>
                  <w:rFonts w:ascii="Cambria Math" w:hAnsi="Cambria Math"/>
                </w:rPr>
                <m:t>(1-ρ</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B</m:t>
              </m:r>
            </m:sup>
          </m:sSubSup>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RR,t+1</m:t>
              </m:r>
            </m:sub>
          </m:sSub>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 xml:space="preserve"> </m:t>
          </m:r>
          <m:sSub>
            <m:sSubPr>
              <m:ctrlPr>
                <w:rPr>
                  <w:rFonts w:ascii="Cambria Math" w:hAnsi="Cambria Math"/>
                  <w:i/>
                  <w:iCs/>
                </w:rPr>
              </m:ctrlPr>
            </m:sSubPr>
            <m:e>
              <m:r>
                <w:rPr>
                  <w:rFonts w:ascii="Cambria Math" w:hAnsi="Cambria Math"/>
                </w:rPr>
                <m:t>B</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oMath>
      </m:oMathPara>
    </w:p>
    <w:p w14:paraId="7A457CB1" w14:textId="77777777" w:rsidR="00C251C8" w:rsidRPr="00C00819" w:rsidRDefault="00901039" w:rsidP="00580FCE">
      <w:pPr>
        <w:ind w:firstLine="708"/>
        <w:jc w:val="both"/>
      </w:pPr>
      <w:r w:rsidRPr="00C00819">
        <w:lastRenderedPageBreak/>
        <w:t>Seja</w:t>
      </w:r>
      <w:r w:rsidR="007B6F77" w:rsidRPr="00C00819">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M</m:t>
            </m:r>
          </m:sup>
        </m:sSubSup>
        <m:r>
          <w:rPr>
            <w:rFonts w:ascii="Cambria Math" w:hAnsi="Cambria Math"/>
          </w:rPr>
          <m:t>+</m:t>
        </m:r>
        <m:sSub>
          <m:sSubPr>
            <m:ctrlPr>
              <w:rPr>
                <w:rFonts w:ascii="Cambria Math" w:hAnsi="Cambria Math"/>
                <w:i/>
              </w:rPr>
            </m:ctrlPr>
          </m:sSubPr>
          <m:e>
            <m:r>
              <w:rPr>
                <w:rFonts w:ascii="Cambria Math" w:hAnsi="Cambria Math"/>
              </w:rPr>
              <m:t>(1-ρ</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B</m:t>
            </m:r>
          </m:sup>
        </m:sSubSup>
      </m:oMath>
      <w:r w:rsidR="007B6F77" w:rsidRPr="00C00819">
        <w:rPr>
          <w:rFonts w:eastAsiaTheme="minorEastAsia"/>
        </w:rPr>
        <w:t xml:space="preserve"> a taxa de juros agregada dos empréstimos, logo: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0"/>
        <w:gridCol w:w="616"/>
      </w:tblGrid>
      <w:tr w:rsidR="003C5D89" w:rsidRPr="00C00819" w14:paraId="7A457CB4" w14:textId="77777777" w:rsidTr="00AD4DAC">
        <w:trPr>
          <w:jc w:val="center"/>
        </w:trPr>
        <w:tc>
          <w:tcPr>
            <w:tcW w:w="0" w:type="auto"/>
            <w:vAlign w:val="center"/>
          </w:tcPr>
          <w:p w14:paraId="7A457CB2" w14:textId="77777777" w:rsidR="00F50EE1" w:rsidRPr="00C00819" w:rsidRDefault="000D6AC7" w:rsidP="0049080C">
            <w:pPr>
              <w:spacing w:before="120" w:after="120"/>
              <w:rPr>
                <w:iCs/>
              </w:rPr>
            </w:pPr>
            <m:oMathPara>
              <m:oMath>
                <m:sSub>
                  <m:sSubPr>
                    <m:ctrlPr>
                      <w:rPr>
                        <w:rFonts w:ascii="Cambria Math" w:hAnsi="Cambria Math"/>
                        <w:i/>
                        <w:iCs/>
                      </w:rPr>
                    </m:ctrlPr>
                  </m:sSubPr>
                  <m:e>
                    <m:r>
                      <w:rPr>
                        <w:rFonts w:ascii="Cambria Math" w:hAnsi="Cambria Math"/>
                      </w:rPr>
                      <m:t>N</m:t>
                    </m:r>
                  </m:e>
                  <m:sub>
                    <m:r>
                      <w:rPr>
                        <w:rFonts w:ascii="Cambria Math" w:hAnsi="Cambria Math"/>
                      </w:rPr>
                      <m:t>jt+1</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m:t>
                    </m:r>
                  </m:sup>
                </m:sSubSup>
                <m:sSub>
                  <m:sSubPr>
                    <m:ctrlPr>
                      <w:rPr>
                        <w:rFonts w:ascii="Cambria Math" w:hAnsi="Cambria Math"/>
                        <w:i/>
                        <w:iCs/>
                      </w:rPr>
                    </m:ctrlPr>
                  </m:sSubPr>
                  <m:e>
                    <m:r>
                      <w:rPr>
                        <w:rFonts w:ascii="Cambria Math" w:hAnsi="Cambria Math"/>
                      </w:rPr>
                      <m:t>Q</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RR,t+1</m:t>
                    </m:r>
                  </m:sub>
                </m:sSub>
                <m:sSub>
                  <m:sSubPr>
                    <m:ctrlPr>
                      <w:rPr>
                        <w:rFonts w:ascii="Cambria Math" w:hAnsi="Cambria Math"/>
                        <w:i/>
                      </w:rPr>
                    </m:ctrlPr>
                  </m:sSubPr>
                  <m:e>
                    <m:r>
                      <w:rPr>
                        <w:rFonts w:ascii="Cambria Math" w:hAnsi="Cambria Math"/>
                      </w:rPr>
                      <m:t>τ</m:t>
                    </m:r>
                  </m:e>
                  <m:sub>
                    <m:r>
                      <w:rPr>
                        <w:rFonts w:ascii="Cambria Math" w:hAnsi="Cambria Math"/>
                      </w:rPr>
                      <m:t>t</m:t>
                    </m:r>
                  </m:sub>
                </m:sSub>
                <m:sSub>
                  <m:sSubPr>
                    <m:ctrlPr>
                      <w:rPr>
                        <w:rFonts w:ascii="Cambria Math" w:hAnsi="Cambria Math"/>
                        <w:i/>
                        <w:iCs/>
                      </w:rPr>
                    </m:ctrlPr>
                  </m:sSubPr>
                  <m:e>
                    <m:r>
                      <w:rPr>
                        <w:rFonts w:ascii="Cambria Math" w:hAnsi="Cambria Math"/>
                      </w:rPr>
                      <m:t>B</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oMath>
            </m:oMathPara>
          </w:p>
        </w:tc>
        <w:tc>
          <w:tcPr>
            <w:tcW w:w="616" w:type="dxa"/>
            <w:vAlign w:val="center"/>
          </w:tcPr>
          <w:p w14:paraId="7A457CB3" w14:textId="77777777" w:rsidR="00F50EE1" w:rsidRPr="00C00819" w:rsidRDefault="00F50EE1" w:rsidP="00986556">
            <w:pPr>
              <w:pStyle w:val="Legenda"/>
              <w:keepNext/>
              <w:spacing w:before="120" w:after="120" w:line="240" w:lineRule="auto"/>
              <w:jc w:val="both"/>
              <w:rPr>
                <w:rFonts w:cs="Times New Roman"/>
                <w:b w:val="0"/>
                <w:iCs/>
                <w:color w:val="auto"/>
                <w:sz w:val="24"/>
                <w:szCs w:val="24"/>
              </w:rPr>
            </w:pPr>
            <w:r w:rsidRPr="00C00819">
              <w:rPr>
                <w:rFonts w:cs="Times New Roman"/>
                <w:b w:val="0"/>
                <w:color w:val="auto"/>
                <w:sz w:val="24"/>
                <w:szCs w:val="24"/>
              </w:rPr>
              <w:t>(</w:t>
            </w:r>
            <w:r w:rsidR="00986556" w:rsidRPr="00C00819">
              <w:rPr>
                <w:rFonts w:cs="Times New Roman"/>
                <w:b w:val="0"/>
                <w:color w:val="auto"/>
                <w:sz w:val="24"/>
                <w:szCs w:val="24"/>
              </w:rPr>
              <w:t>15</w:t>
            </w:r>
            <w:r w:rsidRPr="00C00819">
              <w:rPr>
                <w:rFonts w:cs="Times New Roman"/>
                <w:b w:val="0"/>
                <w:color w:val="auto"/>
                <w:sz w:val="24"/>
                <w:szCs w:val="24"/>
              </w:rPr>
              <w:t>)</w:t>
            </w:r>
          </w:p>
        </w:tc>
      </w:tr>
    </w:tbl>
    <w:p w14:paraId="7A457CB5" w14:textId="77777777" w:rsidR="00F50EE1" w:rsidRPr="00C00819" w:rsidRDefault="00F50EE1" w:rsidP="00580FCE">
      <w:pPr>
        <w:ind w:firstLine="708"/>
        <w:jc w:val="both"/>
        <w:rPr>
          <w:iCs/>
        </w:rPr>
      </w:pPr>
      <w:r w:rsidRPr="00C00819">
        <w:t xml:space="preserve">Substituindo </w:t>
      </w:r>
      <m:oMath>
        <m:sSub>
          <m:sSubPr>
            <m:ctrlPr>
              <w:rPr>
                <w:rFonts w:ascii="Cambria Math" w:hAnsi="Cambria Math"/>
                <w:i/>
                <w:iCs/>
              </w:rPr>
            </m:ctrlPr>
          </m:sSubPr>
          <m:e>
            <m:r>
              <w:rPr>
                <w:rFonts w:ascii="Cambria Math" w:hAnsi="Cambria Math"/>
              </w:rPr>
              <m:t>B</m:t>
            </m:r>
          </m:e>
          <m:sub>
            <m:r>
              <w:rPr>
                <w:rFonts w:ascii="Cambria Math" w:hAnsi="Cambria Math"/>
              </w:rPr>
              <m:t>jt+1</m:t>
            </m:r>
          </m:sub>
        </m:sSub>
        <m:r>
          <w:rPr>
            <w:rFonts w:ascii="Cambria Math" w:hAnsi="Cambria Math"/>
          </w:rPr>
          <m:t>=</m:t>
        </m:r>
        <m:f>
          <m:fPr>
            <m:ctrlPr>
              <w:rPr>
                <w:rFonts w:ascii="Cambria Math" w:hAnsi="Cambria Math"/>
                <w:i/>
                <w:iCs/>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t</m:t>
                    </m:r>
                  </m:sub>
                </m:sSub>
              </m:e>
            </m:d>
          </m:den>
        </m:f>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jt</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jt</m:t>
            </m:r>
          </m:sub>
        </m:sSub>
        <m:r>
          <w:rPr>
            <w:rFonts w:ascii="Cambria Math" w:hAnsi="Cambria Math"/>
          </w:rPr>
          <m:t>)</m:t>
        </m:r>
      </m:oMath>
      <w:r w:rsidRPr="00C00819">
        <w:rPr>
          <w:iCs/>
        </w:rPr>
        <w:t xml:space="preserve"> em (</w:t>
      </w:r>
      <w:r w:rsidR="00986556" w:rsidRPr="00C00819">
        <w:rPr>
          <w:iCs/>
        </w:rPr>
        <w:t>1</w:t>
      </w:r>
      <w:r w:rsidR="000F75B5" w:rsidRPr="00C00819">
        <w:rPr>
          <w:iCs/>
        </w:rPr>
        <w:t>5</w:t>
      </w:r>
      <w:r w:rsidRPr="00C00819">
        <w:rPr>
          <w:iCs/>
        </w:rPr>
        <w:t>), a evolução do capital bancário é dada por:</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2"/>
        <w:gridCol w:w="1510"/>
      </w:tblGrid>
      <w:tr w:rsidR="00F50EE1" w:rsidRPr="00C00819" w14:paraId="7A457CB8" w14:textId="77777777" w:rsidTr="00A271A9">
        <w:trPr>
          <w:jc w:val="center"/>
        </w:trPr>
        <w:tc>
          <w:tcPr>
            <w:tcW w:w="0" w:type="auto"/>
            <w:vAlign w:val="center"/>
          </w:tcPr>
          <w:p w14:paraId="7A457CB6" w14:textId="77777777" w:rsidR="00F50EE1" w:rsidRPr="00C00819" w:rsidRDefault="000D6AC7" w:rsidP="0049080C">
            <w:pPr>
              <w:spacing w:before="120" w:after="120"/>
              <w:rPr>
                <w:iCs/>
              </w:rPr>
            </w:pPr>
            <m:oMathPara>
              <m:oMath>
                <m:sSub>
                  <m:sSubPr>
                    <m:ctrlPr>
                      <w:rPr>
                        <w:rFonts w:ascii="Cambria Math" w:hAnsi="Cambria Math"/>
                        <w:i/>
                        <w:iCs/>
                      </w:rPr>
                    </m:ctrlPr>
                  </m:sSubPr>
                  <m:e>
                    <m:r>
                      <w:rPr>
                        <w:rFonts w:ascii="Cambria Math" w:hAnsi="Cambria Math"/>
                      </w:rPr>
                      <m:t>N</m:t>
                    </m:r>
                  </m:e>
                  <m:sub>
                    <m:r>
                      <w:rPr>
                        <w:rFonts w:ascii="Cambria Math" w:hAnsi="Cambria Math"/>
                      </w:rPr>
                      <m:t>jt+1</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t+1</m:t>
                        </m:r>
                      </m:sub>
                      <m:sup>
                        <m:r>
                          <w:rPr>
                            <w:rFonts w:ascii="Cambria Math" w:hAnsi="Cambria Math"/>
                          </w:rPr>
                          <m:t>*</m:t>
                        </m:r>
                      </m:sup>
                    </m:sSubSup>
                    <m:ctrlPr>
                      <w:rPr>
                        <w:rFonts w:ascii="Cambria Math" w:hAnsi="Cambria Math"/>
                        <w:i/>
                        <w:iCs/>
                      </w:rPr>
                    </m:ctrlPr>
                  </m:e>
                </m:d>
                <m:sSub>
                  <m:sSubPr>
                    <m:ctrlPr>
                      <w:rPr>
                        <w:rFonts w:ascii="Cambria Math" w:hAnsi="Cambria Math"/>
                        <w:i/>
                        <w:iCs/>
                      </w:rPr>
                    </m:ctrlPr>
                  </m:sSubPr>
                  <m:e>
                    <m:r>
                      <w:rPr>
                        <w:rFonts w:ascii="Cambria Math" w:hAnsi="Cambria Math"/>
                      </w:rPr>
                      <m:t>Q</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jt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t+1</m:t>
                    </m:r>
                  </m:sub>
                  <m:sup>
                    <m:r>
                      <w:rPr>
                        <w:rFonts w:ascii="Cambria Math" w:hAnsi="Cambria Math"/>
                      </w:rPr>
                      <m:t>*</m:t>
                    </m:r>
                  </m:sup>
                </m:sSubSup>
                <m:sSub>
                  <m:sSubPr>
                    <m:ctrlPr>
                      <w:rPr>
                        <w:rFonts w:ascii="Cambria Math" w:hAnsi="Cambria Math"/>
                        <w:i/>
                        <w:iCs/>
                      </w:rPr>
                    </m:ctrlPr>
                  </m:sSubPr>
                  <m:e>
                    <m:r>
                      <w:rPr>
                        <w:rFonts w:ascii="Cambria Math" w:hAnsi="Cambria Math"/>
                      </w:rPr>
                      <m:t>N</m:t>
                    </m:r>
                  </m:e>
                  <m:sub>
                    <m:r>
                      <w:rPr>
                        <w:rFonts w:ascii="Cambria Math" w:hAnsi="Cambria Math"/>
                      </w:rPr>
                      <m:t>jt</m:t>
                    </m:r>
                  </m:sub>
                </m:sSub>
              </m:oMath>
            </m:oMathPara>
          </w:p>
        </w:tc>
        <w:tc>
          <w:tcPr>
            <w:tcW w:w="1510" w:type="dxa"/>
            <w:vAlign w:val="center"/>
          </w:tcPr>
          <w:p w14:paraId="7A457CB7" w14:textId="77777777" w:rsidR="00F50EE1" w:rsidRPr="00C00819" w:rsidRDefault="00F50EE1" w:rsidP="00986556">
            <w:pPr>
              <w:pStyle w:val="Legenda"/>
              <w:keepNext/>
              <w:spacing w:before="120" w:after="120" w:line="240" w:lineRule="auto"/>
              <w:jc w:val="both"/>
              <w:rPr>
                <w:rFonts w:cs="Times New Roman"/>
                <w:b w:val="0"/>
                <w:iCs/>
                <w:color w:val="auto"/>
                <w:sz w:val="24"/>
                <w:szCs w:val="24"/>
              </w:rPr>
            </w:pPr>
            <w:r w:rsidRPr="00C00819">
              <w:rPr>
                <w:rFonts w:cs="Times New Roman"/>
                <w:b w:val="0"/>
                <w:color w:val="auto"/>
                <w:sz w:val="24"/>
                <w:szCs w:val="24"/>
              </w:rPr>
              <w:t>(</w:t>
            </w:r>
            <w:r w:rsidR="00986556" w:rsidRPr="00C00819">
              <w:rPr>
                <w:rFonts w:cs="Times New Roman"/>
                <w:b w:val="0"/>
                <w:color w:val="auto"/>
                <w:sz w:val="24"/>
                <w:szCs w:val="24"/>
              </w:rPr>
              <w:t>16</w:t>
            </w:r>
            <w:r w:rsidRPr="00C00819">
              <w:rPr>
                <w:rFonts w:cs="Times New Roman"/>
                <w:b w:val="0"/>
                <w:color w:val="auto"/>
                <w:sz w:val="24"/>
                <w:szCs w:val="24"/>
              </w:rPr>
              <w:t>)</w:t>
            </w:r>
          </w:p>
        </w:tc>
      </w:tr>
    </w:tbl>
    <w:p w14:paraId="7A457CB9" w14:textId="77777777" w:rsidR="00F50EE1" w:rsidRPr="00C00819" w:rsidRDefault="00F50EE1" w:rsidP="00580FCE">
      <w:pPr>
        <w:ind w:firstLine="709"/>
        <w:jc w:val="both"/>
      </w:pPr>
      <w:r w:rsidRPr="00C00819">
        <w:t>Com essas alterações, o problema das instituições financeiras continua sendo a maximização do valor esperado de sua riqueza, porém, considerando as novas taxas ativa e passiva</w:t>
      </w:r>
      <w:r w:rsidR="00952A00" w:rsidRPr="00C00819">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m:t>
            </m:r>
          </m:sup>
        </m:sSubSup>
      </m:oMath>
      <w:r w:rsidR="00952A00" w:rsidRPr="00C00819">
        <w:rPr>
          <w:rFonts w:eastAsiaTheme="minorEastAsia"/>
        </w:rPr>
        <w:t xml:space="preserve"> e </w:t>
      </w:r>
      <m:oMath>
        <m:sSubSup>
          <m:sSubSupPr>
            <m:ctrlPr>
              <w:rPr>
                <w:rFonts w:ascii="Cambria Math" w:hAnsi="Cambria Math"/>
                <w:i/>
              </w:rPr>
            </m:ctrlPr>
          </m:sSubSupPr>
          <m:e>
            <m:r>
              <w:rPr>
                <w:rFonts w:ascii="Cambria Math" w:hAnsi="Cambria Math"/>
              </w:rPr>
              <m:t>R</m:t>
            </m:r>
          </m:e>
          <m:sub>
            <m:r>
              <w:rPr>
                <w:rFonts w:ascii="Cambria Math" w:hAnsi="Cambria Math"/>
              </w:rPr>
              <m:t>t+1</m:t>
            </m:r>
          </m:sub>
          <m:sup>
            <m:r>
              <w:rPr>
                <w:rFonts w:ascii="Cambria Math" w:hAnsi="Cambria Math"/>
              </w:rPr>
              <m:t>*</m:t>
            </m:r>
          </m:sup>
        </m:sSubSup>
      </m:oMath>
      <w:r w:rsidRPr="00C00819">
        <w:t>:</w:t>
      </w:r>
    </w:p>
    <w:tbl>
      <w:tblPr>
        <w:tblStyle w:val="Tabelacomgrade"/>
        <w:tblW w:w="63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992"/>
      </w:tblGrid>
      <w:tr w:rsidR="00F50EE1" w:rsidRPr="00C00819" w14:paraId="7A457CBC" w14:textId="77777777" w:rsidTr="0033344E">
        <w:trPr>
          <w:jc w:val="center"/>
        </w:trPr>
        <w:tc>
          <w:tcPr>
            <w:tcW w:w="5387" w:type="dxa"/>
            <w:vAlign w:val="center"/>
          </w:tcPr>
          <w:p w14:paraId="7A457CBA" w14:textId="77777777" w:rsidR="00F50EE1" w:rsidRPr="00C00819" w:rsidRDefault="000D6AC7" w:rsidP="002A18EA">
            <w:pPr>
              <w:spacing w:before="240" w:after="240"/>
            </w:pPr>
            <m:oMath>
              <m:sSub>
                <m:sSubPr>
                  <m:ctrlPr>
                    <w:rPr>
                      <w:rFonts w:ascii="Cambria Math" w:hAnsi="Cambria Math"/>
                      <w:i/>
                    </w:rPr>
                  </m:ctrlPr>
                </m:sSubPr>
                <m:e>
                  <m:r>
                    <w:rPr>
                      <w:rFonts w:ascii="Cambria Math" w:hAnsi="Cambria Math"/>
                    </w:rPr>
                    <m:t>V</m:t>
                  </m:r>
                </m:e>
                <m:sub>
                  <m:r>
                    <w:rPr>
                      <w:rFonts w:ascii="Cambria Math" w:hAnsi="Cambria Math"/>
                    </w:rPr>
                    <m:t>jt</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d>
                        <m:dPr>
                          <m:ctrlPr>
                            <w:rPr>
                              <w:rFonts w:ascii="Cambria Math" w:hAnsi="Cambria Math"/>
                              <w:i/>
                            </w:rPr>
                          </m:ctrlPr>
                        </m:dPr>
                        <m:e>
                          <m:r>
                            <w:rPr>
                              <w:rFonts w:ascii="Cambria Math" w:hAnsi="Cambria Math"/>
                            </w:rPr>
                            <m:t>1-θ</m:t>
                          </m:r>
                        </m:e>
                      </m:d>
                      <m:sSup>
                        <m:sSupPr>
                          <m:ctrlPr>
                            <w:rPr>
                              <w:rFonts w:ascii="Cambria Math" w:hAnsi="Cambria Math"/>
                              <w:i/>
                            </w:rPr>
                          </m:ctrlPr>
                        </m:sSupPr>
                        <m:e>
                          <m:r>
                            <w:rPr>
                              <w:rFonts w:ascii="Cambria Math" w:hAnsi="Cambria Math"/>
                            </w:rPr>
                            <m:t>θ</m:t>
                          </m:r>
                        </m:e>
                        <m:sup>
                          <m:r>
                            <w:rPr>
                              <w:rFonts w:ascii="Cambria Math" w:hAnsi="Cambria Math"/>
                            </w:rPr>
                            <m:t>i</m:t>
                          </m:r>
                        </m:sup>
                      </m:sSup>
                      <m:sSup>
                        <m:sSupPr>
                          <m:ctrlPr>
                            <w:rPr>
                              <w:rFonts w:ascii="Cambria Math" w:hAnsi="Cambria Math"/>
                              <w:i/>
                            </w:rPr>
                          </m:ctrlPr>
                        </m:sSupPr>
                        <m:e>
                          <m:r>
                            <w:rPr>
                              <w:rFonts w:ascii="Cambria Math" w:hAnsi="Cambria Math"/>
                            </w:rPr>
                            <m:t>β</m:t>
                          </m:r>
                        </m:e>
                        <m:sup>
                          <m:r>
                            <w:rPr>
                              <w:rFonts w:ascii="Cambria Math" w:hAnsi="Cambria Math"/>
                            </w:rPr>
                            <m:t>i+1</m:t>
                          </m:r>
                        </m:sup>
                      </m:sSup>
                      <m:sSub>
                        <m:sSubPr>
                          <m:ctrlPr>
                            <w:rPr>
                              <w:rFonts w:ascii="Cambria Math" w:hAnsi="Cambria Math"/>
                              <w:i/>
                            </w:rPr>
                          </m:ctrlPr>
                        </m:sSubPr>
                        <m:e>
                          <m:r>
                            <w:rPr>
                              <w:rFonts w:ascii="Cambria Math" w:hAnsi="Cambria Math"/>
                            </w:rPr>
                            <m:t>Λ</m:t>
                          </m:r>
                        </m:e>
                        <m:sub>
                          <m:r>
                            <w:rPr>
                              <w:rFonts w:ascii="Cambria Math" w:hAnsi="Cambria Math"/>
                            </w:rPr>
                            <m:t>t,t+1+i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jt+1+i</m:t>
                              </m:r>
                            </m:sub>
                          </m:sSub>
                        </m:e>
                      </m:d>
                    </m:e>
                  </m:nary>
                </m:e>
              </m:func>
            </m:oMath>
            <w:r w:rsidR="00F50EE1" w:rsidRPr="00C00819">
              <w:t xml:space="preserve"> </w:t>
            </w:r>
          </w:p>
        </w:tc>
        <w:tc>
          <w:tcPr>
            <w:tcW w:w="992" w:type="dxa"/>
            <w:vAlign w:val="center"/>
          </w:tcPr>
          <w:p w14:paraId="7A457CBB" w14:textId="77777777" w:rsidR="00F50EE1" w:rsidRPr="00C00819" w:rsidRDefault="00F50EE1" w:rsidP="00986556">
            <w:pPr>
              <w:spacing w:before="240" w:after="240"/>
            </w:pPr>
            <w:r w:rsidRPr="00C00819">
              <w:t>(</w:t>
            </w:r>
            <w:r w:rsidR="00986556" w:rsidRPr="00C00819">
              <w:t>17</w:t>
            </w:r>
            <w:r w:rsidRPr="00C00819">
              <w:t>)</w:t>
            </w:r>
          </w:p>
        </w:tc>
      </w:tr>
    </w:tbl>
    <w:p w14:paraId="7A457CBD" w14:textId="77777777" w:rsidR="00F50EE1" w:rsidRPr="00C00819" w:rsidRDefault="00F50EE1" w:rsidP="00580FCE">
      <w:pPr>
        <w:ind w:firstLine="708"/>
        <w:jc w:val="both"/>
      </w:pPr>
      <w:r w:rsidRPr="00C00819">
        <w:t xml:space="preserve">Logo, </w:t>
      </w:r>
      <w:r w:rsidR="00417A56" w:rsidRPr="00C00819">
        <w:t>tem-se</w:t>
      </w:r>
      <w:r w:rsidRPr="00C00819">
        <w:t xml:space="preserve"> </w:t>
      </w:r>
      <m:oMath>
        <m:sSub>
          <m:sSubPr>
            <m:ctrlPr>
              <w:rPr>
                <w:rFonts w:ascii="Cambria Math" w:hAnsi="Cambria Math"/>
                <w:i/>
                <w:iCs/>
              </w:rPr>
            </m:ctrlPr>
          </m:sSubPr>
          <m:e>
            <m:r>
              <w:rPr>
                <w:rFonts w:ascii="Cambria Math" w:hAnsi="Cambria Math"/>
              </w:rPr>
              <m:t>V</m:t>
            </m:r>
          </m:e>
          <m:sub>
            <m:r>
              <w:rPr>
                <w:rFonts w:ascii="Cambria Math" w:hAnsi="Cambria Math"/>
              </w:rPr>
              <m:t>jt</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t</m:t>
            </m:r>
          </m:sub>
        </m:sSub>
        <m:sSub>
          <m:sSubPr>
            <m:ctrlPr>
              <w:rPr>
                <w:rFonts w:ascii="Cambria Math" w:hAnsi="Cambria Math"/>
                <w:i/>
                <w:iCs/>
              </w:rPr>
            </m:ctrlPr>
          </m:sSubPr>
          <m:e>
            <m:r>
              <w:rPr>
                <w:rFonts w:ascii="Cambria Math" w:hAnsi="Cambria Math"/>
              </w:rPr>
              <m:t>Q</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jt</m:t>
            </m:r>
          </m:sub>
        </m:sSub>
        <m:r>
          <w:rPr>
            <w:rFonts w:ascii="Cambria Math" w:hAnsi="Cambria Math"/>
          </w:rPr>
          <m:t>+</m:t>
        </m:r>
        <m:sSub>
          <m:sSubPr>
            <m:ctrlPr>
              <w:rPr>
                <w:rFonts w:ascii="Cambria Math" w:hAnsi="Cambria Math"/>
                <w:i/>
                <w:iCs/>
              </w:rPr>
            </m:ctrlPr>
          </m:sSubPr>
          <m:e>
            <m:r>
              <w:rPr>
                <w:rFonts w:ascii="Cambria Math" w:hAnsi="Cambria Math"/>
              </w:rPr>
              <m:t>η</m:t>
            </m:r>
          </m:e>
          <m:sub>
            <m:r>
              <w:rPr>
                <w:rFonts w:ascii="Cambria Math" w:hAnsi="Cambria Math"/>
              </w:rPr>
              <m:t>t</m:t>
            </m:r>
          </m:sub>
        </m:sSub>
        <m:sSub>
          <m:sSubPr>
            <m:ctrlPr>
              <w:rPr>
                <w:rFonts w:ascii="Cambria Math" w:hAnsi="Cambria Math"/>
                <w:i/>
              </w:rPr>
            </m:ctrlPr>
          </m:sSubPr>
          <m:e>
            <m:r>
              <w:rPr>
                <w:rFonts w:ascii="Cambria Math" w:hAnsi="Cambria Math"/>
              </w:rPr>
              <m:t>N</m:t>
            </m:r>
          </m:e>
          <m:sub>
            <m:r>
              <w:rPr>
                <w:rFonts w:ascii="Cambria Math" w:hAnsi="Cambria Math"/>
              </w:rPr>
              <m:t>jt</m:t>
            </m:r>
          </m:sub>
        </m:sSub>
      </m:oMath>
      <w:r w:rsidRPr="00C00819">
        <w:t>, com:</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0"/>
        <w:gridCol w:w="674"/>
        <w:gridCol w:w="616"/>
      </w:tblGrid>
      <w:tr w:rsidR="00F50EE1" w:rsidRPr="00C00819" w14:paraId="7A457CC0" w14:textId="77777777" w:rsidTr="00A271A9">
        <w:trPr>
          <w:jc w:val="center"/>
        </w:trPr>
        <w:tc>
          <w:tcPr>
            <w:tcW w:w="0" w:type="auto"/>
            <w:gridSpan w:val="2"/>
            <w:vAlign w:val="center"/>
          </w:tcPr>
          <w:p w14:paraId="7A457CBE" w14:textId="77777777" w:rsidR="00F50EE1" w:rsidRPr="00C00819" w:rsidRDefault="000D6AC7" w:rsidP="0049080C">
            <w:pPr>
              <w:spacing w:before="60" w:after="60"/>
            </w:p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1-θ</m:t>
                  </m:r>
                </m:e>
              </m:d>
              <m:r>
                <w:rPr>
                  <w:rFonts w:ascii="Cambria Math" w:hAnsi="Cambria Math"/>
                  <w:lang w:val="en-US"/>
                </w:rPr>
                <m:t>β</m:t>
              </m:r>
              <m:sSub>
                <m:sSubPr>
                  <m:ctrlPr>
                    <w:rPr>
                      <w:rFonts w:ascii="Cambria Math" w:hAnsi="Cambria Math"/>
                      <w:i/>
                    </w:rPr>
                  </m:ctrlPr>
                </m:sSubPr>
                <m:e>
                  <m:r>
                    <w:rPr>
                      <w:rFonts w:ascii="Cambria Math" w:hAnsi="Cambria Math"/>
                    </w:rPr>
                    <m:t>Λ</m:t>
                  </m:r>
                </m:e>
                <m:sub>
                  <m:r>
                    <w:rPr>
                      <w:rFonts w:ascii="Cambria Math" w:hAnsi="Cambria Math"/>
                    </w:rPr>
                    <m:t>t,t+1</m:t>
                  </m:r>
                </m:sub>
              </m:sSub>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t+1</m:t>
                      </m:r>
                    </m:sub>
                    <m:sup>
                      <m:r>
                        <w:rPr>
                          <w:rFonts w:ascii="Cambria Math" w:hAnsi="Cambria Math"/>
                        </w:rPr>
                        <m:t>*</m:t>
                      </m:r>
                    </m:sup>
                  </m:sSubSup>
                  <m:ctrlPr>
                    <w:rPr>
                      <w:rFonts w:ascii="Cambria Math" w:hAnsi="Cambria Math"/>
                      <w:i/>
                      <w:lang w:val="en-US"/>
                    </w:rPr>
                  </m:ctrlPr>
                </m:e>
              </m:d>
              <m:r>
                <w:rPr>
                  <w:rFonts w:ascii="Cambria Math" w:hAnsi="Cambria Math"/>
                </w:rPr>
                <m:t>+</m:t>
              </m:r>
              <m:r>
                <w:rPr>
                  <w:rFonts w:ascii="Cambria Math" w:hAnsi="Cambria Math"/>
                  <w:lang w:val="en-US"/>
                </w:rPr>
                <m:t>β</m:t>
              </m:r>
              <m:sSub>
                <m:sSubPr>
                  <m:ctrlPr>
                    <w:rPr>
                      <w:rFonts w:ascii="Cambria Math" w:hAnsi="Cambria Math"/>
                      <w:i/>
                    </w:rPr>
                  </m:ctrlPr>
                </m:sSubPr>
                <m:e>
                  <m:r>
                    <w:rPr>
                      <w:rFonts w:ascii="Cambria Math" w:hAnsi="Cambria Math"/>
                    </w:rPr>
                    <m:t>Λ</m:t>
                  </m:r>
                </m:e>
                <m:sub>
                  <m:r>
                    <w:rPr>
                      <w:rFonts w:ascii="Cambria Math" w:hAnsi="Cambria Math"/>
                    </w:rPr>
                    <m:t>t,t+1</m:t>
                  </m:r>
                </m:sub>
              </m:sSub>
              <m:r>
                <w:rPr>
                  <w:rFonts w:ascii="Cambria Math" w:hAnsi="Cambria Math"/>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r>
                    <w:rPr>
                      <w:rFonts w:ascii="Cambria Math" w:hAnsi="Cambria Math"/>
                    </w:rPr>
                    <m:t>,</m:t>
                  </m:r>
                  <m:r>
                    <w:rPr>
                      <w:rFonts w:ascii="Cambria Math" w:hAnsi="Cambria Math"/>
                      <w:lang w:val="en-US"/>
                    </w:rPr>
                    <m:t>t</m:t>
                  </m:r>
                  <m:r>
                    <w:rPr>
                      <w:rFonts w:ascii="Cambria Math" w:hAnsi="Cambria Math"/>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r>
                    <w:rPr>
                      <w:rFonts w:ascii="Cambria Math" w:hAnsi="Cambria Math"/>
                    </w:rPr>
                    <m:t>+1</m:t>
                  </m:r>
                </m:sub>
              </m:sSub>
              <m:r>
                <w:rPr>
                  <w:rFonts w:ascii="Cambria Math" w:hAnsi="Cambria Math"/>
                </w:rPr>
                <m:t>}</m:t>
              </m:r>
            </m:oMath>
            <w:r w:rsidR="00F50EE1" w:rsidRPr="00C00819">
              <w:t xml:space="preserve"> </w:t>
            </w:r>
          </w:p>
        </w:tc>
        <w:tc>
          <w:tcPr>
            <w:tcW w:w="0" w:type="auto"/>
            <w:vAlign w:val="center"/>
          </w:tcPr>
          <w:p w14:paraId="7A457CBF" w14:textId="77777777" w:rsidR="00F50EE1" w:rsidRPr="00C00819" w:rsidRDefault="00F50EE1" w:rsidP="00986556">
            <w:pPr>
              <w:spacing w:before="60" w:after="60"/>
            </w:pPr>
            <w:r w:rsidRPr="00C00819">
              <w:t>(</w:t>
            </w:r>
            <w:r w:rsidR="00986556" w:rsidRPr="00C00819">
              <w:t>18</w:t>
            </w:r>
            <w:r w:rsidRPr="00C00819">
              <w:t>)</w:t>
            </w:r>
          </w:p>
        </w:tc>
      </w:tr>
      <w:tr w:rsidR="00F50EE1" w:rsidRPr="00C00819" w14:paraId="7A457CC3" w14:textId="77777777" w:rsidTr="00A271A9">
        <w:trPr>
          <w:gridAfter w:val="1"/>
          <w:jc w:val="center"/>
        </w:trPr>
        <w:tc>
          <w:tcPr>
            <w:tcW w:w="0" w:type="auto"/>
            <w:vAlign w:val="center"/>
          </w:tcPr>
          <w:p w14:paraId="7A457CC1" w14:textId="77777777" w:rsidR="00F50EE1" w:rsidRPr="00C00819" w:rsidRDefault="000D6AC7" w:rsidP="0049080C">
            <w:pPr>
              <w:spacing w:before="60" w:after="60"/>
            </w:pPr>
            <m:oMath>
              <m:sSub>
                <m:sSubPr>
                  <m:ctrlPr>
                    <w:rPr>
                      <w:rFonts w:ascii="Cambria Math" w:hAnsi="Cambria Math"/>
                      <w:i/>
                      <w:iCs/>
                    </w:rPr>
                  </m:ctrlPr>
                </m:sSubPr>
                <m:e>
                  <m:r>
                    <w:rPr>
                      <w:rFonts w:ascii="Cambria Math" w:hAnsi="Cambria Math"/>
                    </w:rPr>
                    <m:t>η</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1-θ</m:t>
                  </m:r>
                </m:e>
              </m:d>
              <m:r>
                <w:rPr>
                  <w:rFonts w:ascii="Cambria Math" w:hAnsi="Cambria Math"/>
                  <w:lang w:val="en-US"/>
                </w:rPr>
                <m:t>β</m:t>
              </m:r>
              <m:sSub>
                <m:sSubPr>
                  <m:ctrlPr>
                    <w:rPr>
                      <w:rFonts w:ascii="Cambria Math" w:hAnsi="Cambria Math"/>
                      <w:i/>
                    </w:rPr>
                  </m:ctrlPr>
                </m:sSubPr>
                <m:e>
                  <m:r>
                    <w:rPr>
                      <w:rFonts w:ascii="Cambria Math" w:hAnsi="Cambria Math"/>
                    </w:rPr>
                    <m:t>Λ</m:t>
                  </m:r>
                </m:e>
                <m:sub>
                  <m:r>
                    <w:rPr>
                      <w:rFonts w:ascii="Cambria Math" w:hAnsi="Cambria Math"/>
                    </w:rPr>
                    <m:t>t,t+1</m:t>
                  </m:r>
                </m:sub>
              </m:sSub>
              <m:sSubSup>
                <m:sSubSupPr>
                  <m:ctrlPr>
                    <w:rPr>
                      <w:rFonts w:ascii="Cambria Math" w:hAnsi="Cambria Math"/>
                      <w:i/>
                    </w:rPr>
                  </m:ctrlPr>
                </m:sSubSupPr>
                <m:e>
                  <m:r>
                    <w:rPr>
                      <w:rFonts w:ascii="Cambria Math" w:hAnsi="Cambria Math"/>
                    </w:rPr>
                    <m:t>R</m:t>
                  </m:r>
                </m:e>
                <m:sub>
                  <m:r>
                    <w:rPr>
                      <w:rFonts w:ascii="Cambria Math" w:hAnsi="Cambria Math"/>
                    </w:rPr>
                    <m:t>t+1</m:t>
                  </m:r>
                </m:sub>
                <m:sup>
                  <m:r>
                    <w:rPr>
                      <w:rFonts w:ascii="Cambria Math" w:hAnsi="Cambria Math"/>
                    </w:rPr>
                    <m:t>*</m:t>
                  </m:r>
                </m:sup>
              </m:sSubSup>
              <m:r>
                <w:rPr>
                  <w:rFonts w:ascii="Cambria Math" w:hAnsi="Cambria Math"/>
                </w:rPr>
                <m:t>+</m:t>
              </m:r>
              <m:r>
                <w:rPr>
                  <w:rFonts w:ascii="Cambria Math" w:hAnsi="Cambria Math"/>
                  <w:lang w:val="en-US"/>
                </w:rPr>
                <m:t>β</m:t>
              </m:r>
              <m:sSub>
                <m:sSubPr>
                  <m:ctrlPr>
                    <w:rPr>
                      <w:rFonts w:ascii="Cambria Math" w:hAnsi="Cambria Math"/>
                      <w:i/>
                    </w:rPr>
                  </m:ctrlPr>
                </m:sSubPr>
                <m:e>
                  <m:r>
                    <w:rPr>
                      <w:rFonts w:ascii="Cambria Math" w:hAnsi="Cambria Math"/>
                    </w:rPr>
                    <m:t>Λ</m:t>
                  </m:r>
                </m:e>
                <m:sub>
                  <m:r>
                    <w:rPr>
                      <w:rFonts w:ascii="Cambria Math" w:hAnsi="Cambria Math"/>
                    </w:rPr>
                    <m:t>t,t+1</m:t>
                  </m:r>
                </m:sub>
              </m:sSub>
              <m:r>
                <w:rPr>
                  <w:rFonts w:ascii="Cambria Math" w:hAnsi="Cambria Math"/>
                </w:rPr>
                <m:t>θ</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r>
                    <w:rPr>
                      <w:rFonts w:ascii="Cambria Math" w:hAnsi="Cambria Math"/>
                    </w:rPr>
                    <m:t>,</m:t>
                  </m:r>
                  <m:r>
                    <w:rPr>
                      <w:rFonts w:ascii="Cambria Math" w:hAnsi="Cambria Math"/>
                      <w:lang w:val="en-US"/>
                    </w:rPr>
                    <m:t>t</m:t>
                  </m:r>
                  <m:r>
                    <w:rPr>
                      <w:rFonts w:ascii="Cambria Math" w:hAnsi="Cambria Math"/>
                    </w:rPr>
                    <m:t>+1</m:t>
                  </m:r>
                </m:sub>
              </m:sSub>
              <m:sSub>
                <m:sSubPr>
                  <m:ctrlPr>
                    <w:rPr>
                      <w:rFonts w:ascii="Cambria Math" w:hAnsi="Cambria Math"/>
                      <w:i/>
                      <w:lang w:val="en-US"/>
                    </w:rPr>
                  </m:ctrlPr>
                </m:sSubPr>
                <m:e>
                  <m:r>
                    <w:rPr>
                      <w:rFonts w:ascii="Cambria Math" w:hAnsi="Cambria Math"/>
                    </w:rPr>
                    <m:t>η</m:t>
                  </m:r>
                </m:e>
                <m:sub>
                  <m:r>
                    <w:rPr>
                      <w:rFonts w:ascii="Cambria Math" w:hAnsi="Cambria Math"/>
                      <w:lang w:val="en-US"/>
                    </w:rPr>
                    <m:t>t</m:t>
                  </m:r>
                  <m:r>
                    <w:rPr>
                      <w:rFonts w:ascii="Cambria Math" w:hAnsi="Cambria Math"/>
                    </w:rPr>
                    <m:t>+1</m:t>
                  </m:r>
                </m:sub>
              </m:sSub>
            </m:oMath>
            <w:r w:rsidR="00F50EE1" w:rsidRPr="00C00819">
              <w:t xml:space="preserve"> </w:t>
            </w:r>
          </w:p>
        </w:tc>
        <w:tc>
          <w:tcPr>
            <w:tcW w:w="0" w:type="auto"/>
            <w:vAlign w:val="center"/>
          </w:tcPr>
          <w:p w14:paraId="7A457CC2" w14:textId="77777777" w:rsidR="00F50EE1" w:rsidRPr="00C00819" w:rsidRDefault="00F50EE1" w:rsidP="00986556">
            <w:pPr>
              <w:spacing w:before="60" w:after="60"/>
            </w:pPr>
            <w:r w:rsidRPr="00C00819">
              <w:t>(</w:t>
            </w:r>
            <w:r w:rsidR="00986556" w:rsidRPr="00C00819">
              <w:t>19</w:t>
            </w:r>
            <w:r w:rsidRPr="00C00819">
              <w:t>)</w:t>
            </w:r>
          </w:p>
        </w:tc>
      </w:tr>
    </w:tbl>
    <w:bookmarkStart w:id="64" w:name="_Toc432493971"/>
    <w:p w14:paraId="7A457CC4" w14:textId="77777777" w:rsidR="00F50EE1" w:rsidRPr="00C00819" w:rsidRDefault="000D6AC7" w:rsidP="00580FCE">
      <w:pPr>
        <w:jc w:val="both"/>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r>
              <w:rPr>
                <w:rFonts w:ascii="Cambria Math" w:hAnsi="Cambria Math"/>
              </w:rPr>
              <m:t>,</m:t>
            </m:r>
            <m:r>
              <w:rPr>
                <w:rFonts w:ascii="Cambria Math" w:hAnsi="Cambria Math"/>
                <w:lang w:val="en-US"/>
              </w:rPr>
              <m:t>t</m:t>
            </m:r>
            <m:r>
              <w:rPr>
                <w:rFonts w:ascii="Cambria Math" w:hAnsi="Cambria Math"/>
              </w:rPr>
              <m:t>+1</m:t>
            </m:r>
          </m:sub>
        </m:sSub>
        <m:r>
          <w:rPr>
            <w:rFonts w:ascii="Cambria Math" w:hAnsi="Cambria Math"/>
          </w:rPr>
          <m:t>≡</m:t>
        </m:r>
        <m:f>
          <m:fPr>
            <m:type m:val="lin"/>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m:t>
                </m:r>
                <m:r>
                  <w:rPr>
                    <w:rFonts w:ascii="Cambria Math" w:hAnsi="Cambria Math"/>
                  </w:rPr>
                  <m:t>+</m:t>
                </m:r>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jt</m:t>
                </m:r>
                <m:r>
                  <w:rPr>
                    <w:rFonts w:ascii="Cambria Math" w:hAnsi="Cambria Math"/>
                  </w:rPr>
                  <m:t>+</m:t>
                </m:r>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jt</m:t>
                </m:r>
              </m:sub>
            </m:sSub>
          </m:den>
        </m:f>
      </m:oMath>
      <w:r w:rsidR="00F50EE1" w:rsidRPr="00C00819">
        <w:t xml:space="preserve"> representa a taxa bruta de crescimento dos ativos 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r>
              <w:rPr>
                <w:rFonts w:ascii="Cambria Math" w:hAnsi="Cambria Math"/>
              </w:rPr>
              <m:t>,</m:t>
            </m:r>
            <m:r>
              <w:rPr>
                <w:rFonts w:ascii="Cambria Math" w:hAnsi="Cambria Math"/>
                <w:lang w:val="en-US"/>
              </w:rPr>
              <m:t>t</m:t>
            </m:r>
            <m:r>
              <w:rPr>
                <w:rFonts w:ascii="Cambria Math" w:hAnsi="Cambria Math"/>
              </w:rPr>
              <m:t>+1</m:t>
            </m:r>
          </m:sub>
        </m:sSub>
        <m:r>
          <w:rPr>
            <w:rFonts w:ascii="Cambria Math" w:hAnsi="Cambria Math"/>
          </w:rPr>
          <m:t>≡</m:t>
        </m:r>
        <m:f>
          <m:fPr>
            <m:type m:val="lin"/>
            <m:ctrlPr>
              <w:rPr>
                <w:rFonts w:ascii="Cambria Math" w:hAnsi="Cambria Math"/>
                <w:i/>
                <w:lang w:val="en-US"/>
              </w:rPr>
            </m:ctrlPr>
          </m:fPr>
          <m:num>
            <m:sSub>
              <m:sSubPr>
                <m:ctrlPr>
                  <w:rPr>
                    <w:rFonts w:ascii="Cambria Math" w:hAnsi="Cambria Math"/>
                    <w:i/>
                  </w:rPr>
                </m:ctrlPr>
              </m:sSubPr>
              <m:e>
                <m:r>
                  <w:rPr>
                    <w:rFonts w:ascii="Cambria Math" w:hAnsi="Cambria Math"/>
                  </w:rPr>
                  <m:t>N</m:t>
                </m:r>
              </m:e>
              <m:sub>
                <m:r>
                  <w:rPr>
                    <w:rFonts w:ascii="Cambria Math" w:hAnsi="Cambria Math"/>
                  </w:rPr>
                  <m:t>jt+i</m:t>
                </m:r>
              </m:sub>
            </m:sSub>
          </m:num>
          <m:den>
            <m:sSub>
              <m:sSubPr>
                <m:ctrlPr>
                  <w:rPr>
                    <w:rFonts w:ascii="Cambria Math" w:hAnsi="Cambria Math"/>
                    <w:i/>
                  </w:rPr>
                </m:ctrlPr>
              </m:sSubPr>
              <m:e>
                <m:r>
                  <w:rPr>
                    <w:rFonts w:ascii="Cambria Math" w:hAnsi="Cambria Math"/>
                  </w:rPr>
                  <m:t>N</m:t>
                </m:r>
              </m:e>
              <m:sub>
                <m:r>
                  <w:rPr>
                    <w:rFonts w:ascii="Cambria Math" w:hAnsi="Cambria Math"/>
                  </w:rPr>
                  <m:t>jt</m:t>
                </m:r>
              </m:sub>
            </m:sSub>
          </m:den>
        </m:f>
      </m:oMath>
      <w:r w:rsidR="00F50EE1" w:rsidRPr="00C00819">
        <w:t xml:space="preserve"> a taxa bruta de crescimento do capital próprio.</w:t>
      </w:r>
    </w:p>
    <w:p w14:paraId="7A457CC5" w14:textId="77777777" w:rsidR="00F50EE1" w:rsidRPr="00C00819" w:rsidRDefault="00F50EE1" w:rsidP="00580FCE">
      <w:pPr>
        <w:ind w:firstLine="709"/>
        <w:jc w:val="both"/>
      </w:pPr>
      <w:r w:rsidRPr="00C00819">
        <w:t>Assim, o índice de alavancagem do banco continua: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2"/>
        <w:gridCol w:w="616"/>
      </w:tblGrid>
      <w:tr w:rsidR="00F50EE1" w:rsidRPr="00C00819" w14:paraId="7A457CC8" w14:textId="77777777" w:rsidTr="00A271A9">
        <w:trPr>
          <w:jc w:val="center"/>
        </w:trPr>
        <w:tc>
          <w:tcPr>
            <w:tcW w:w="0" w:type="auto"/>
            <w:vAlign w:val="center"/>
          </w:tcPr>
          <w:p w14:paraId="7A457CC6" w14:textId="77777777" w:rsidR="00F50EE1" w:rsidRPr="00C00819" w:rsidRDefault="000D6AC7" w:rsidP="00580FCE">
            <w:pPr>
              <w:jc w:val="both"/>
            </w:pPr>
            <m:oMathPara>
              <m:oMath>
                <m:sSub>
                  <m:sSubPr>
                    <m:ctrlPr>
                      <w:rPr>
                        <w:rFonts w:ascii="Cambria Math" w:hAnsi="Cambria Math"/>
                        <w:i/>
                      </w:rPr>
                    </m:ctrlPr>
                  </m:sSubPr>
                  <m:e>
                    <m:r>
                      <w:rPr>
                        <w:rFonts w:ascii="Cambria Math" w:hAnsi="Cambria Math"/>
                      </w:rPr>
                      <m:t>ф</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jt</m:t>
                        </m:r>
                      </m:sub>
                    </m:sSub>
                  </m:num>
                  <m:den>
                    <m:sSub>
                      <m:sSubPr>
                        <m:ctrlPr>
                          <w:rPr>
                            <w:rFonts w:ascii="Cambria Math" w:hAnsi="Cambria Math"/>
                            <w:i/>
                          </w:rPr>
                        </m:ctrlPr>
                      </m:sSubPr>
                      <m:e>
                        <m:r>
                          <w:rPr>
                            <w:rFonts w:ascii="Cambria Math" w:hAnsi="Cambria Math"/>
                          </w:rPr>
                          <m:t>N</m:t>
                        </m:r>
                      </m:e>
                      <m:sub>
                        <m:r>
                          <w:rPr>
                            <w:rFonts w:ascii="Cambria Math" w:hAnsi="Cambria Math"/>
                          </w:rPr>
                          <m:t>jt</m:t>
                        </m:r>
                      </m:sub>
                    </m:sSub>
                  </m:den>
                </m:f>
              </m:oMath>
            </m:oMathPara>
          </w:p>
        </w:tc>
        <w:tc>
          <w:tcPr>
            <w:tcW w:w="0" w:type="auto"/>
            <w:vAlign w:val="center"/>
          </w:tcPr>
          <w:p w14:paraId="7A457CC7" w14:textId="77777777" w:rsidR="00F50EE1" w:rsidRPr="00C00819" w:rsidRDefault="00F50EE1" w:rsidP="00986556">
            <w:r w:rsidRPr="00C00819">
              <w:t>(</w:t>
            </w:r>
            <w:r w:rsidR="00986556" w:rsidRPr="00C00819">
              <w:t>20</w:t>
            </w:r>
            <w:r w:rsidRPr="00C00819">
              <w:t>)</w:t>
            </w:r>
          </w:p>
        </w:tc>
      </w:tr>
    </w:tbl>
    <w:p w14:paraId="7A457CC9" w14:textId="77777777" w:rsidR="00F50EE1" w:rsidRPr="00C00819" w:rsidRDefault="00F50EE1" w:rsidP="00580FCE">
      <w:pPr>
        <w:jc w:val="both"/>
      </w:pPr>
      <w:r w:rsidRPr="00C00819">
        <w:t>e a evolução do capital próprio do banco permanece dada por:</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6"/>
        <w:gridCol w:w="616"/>
      </w:tblGrid>
      <w:tr w:rsidR="00F50EE1" w:rsidRPr="00C00819" w14:paraId="7A457CCC" w14:textId="77777777" w:rsidTr="00A271A9">
        <w:trPr>
          <w:jc w:val="center"/>
        </w:trPr>
        <w:tc>
          <w:tcPr>
            <w:tcW w:w="0" w:type="auto"/>
            <w:vAlign w:val="center"/>
          </w:tcPr>
          <w:p w14:paraId="7A457CCA" w14:textId="77777777" w:rsidR="00F50EE1" w:rsidRPr="00C00819" w:rsidRDefault="000D6AC7" w:rsidP="0049080C">
            <w:pPr>
              <w:spacing w:before="60" w:after="60"/>
              <w:jc w:val="both"/>
              <w:rPr>
                <w:iCs/>
              </w:rPr>
            </w:pPr>
            <m:oMathPara>
              <m:oMath>
                <m:sSub>
                  <m:sSubPr>
                    <m:ctrlPr>
                      <w:rPr>
                        <w:rFonts w:ascii="Cambria Math" w:hAnsi="Cambria Math"/>
                        <w:i/>
                      </w:rPr>
                    </m:ctrlPr>
                  </m:sSubPr>
                  <m:e>
                    <m:r>
                      <w:rPr>
                        <w:rFonts w:ascii="Cambria Math" w:hAnsi="Cambria Math"/>
                      </w:rPr>
                      <m:t>N</m:t>
                    </m:r>
                  </m:e>
                  <m:sub>
                    <m:r>
                      <w:rPr>
                        <w:rFonts w:ascii="Cambria Math" w:hAnsi="Cambria Math"/>
                      </w:rPr>
                      <m:t>jt+1</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t+1</m:t>
                        </m:r>
                      </m:sub>
                      <m:sup>
                        <m:r>
                          <w:rPr>
                            <w:rFonts w:ascii="Cambria Math" w:hAnsi="Cambria Math"/>
                          </w:rPr>
                          <m:t>*</m:t>
                        </m:r>
                      </m:sup>
                    </m:sSubSup>
                    <m:ctrlPr>
                      <w:rPr>
                        <w:rFonts w:ascii="Cambria Math" w:hAnsi="Cambria Math"/>
                        <w:i/>
                        <w:iCs/>
                      </w:rPr>
                    </m:ctrlPr>
                  </m:e>
                </m:d>
                <m:sSub>
                  <m:sSubPr>
                    <m:ctrlPr>
                      <w:rPr>
                        <w:rFonts w:ascii="Cambria Math" w:hAnsi="Cambria Math"/>
                        <w:i/>
                      </w:rPr>
                    </m:ctrlPr>
                  </m:sSubPr>
                  <m:e>
                    <m:r>
                      <w:rPr>
                        <w:rFonts w:ascii="Cambria Math" w:hAnsi="Cambria Math"/>
                      </w:rPr>
                      <m:t>ф</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t+1</m:t>
                    </m:r>
                  </m:sub>
                  <m:sup>
                    <m:r>
                      <w:rPr>
                        <w:rFonts w:ascii="Cambria Math" w:hAnsi="Cambria Math"/>
                      </w:rPr>
                      <m:t>*</m:t>
                    </m:r>
                  </m:sup>
                </m:sSubSup>
                <m:r>
                  <w:rPr>
                    <w:rFonts w:ascii="Cambria Math" w:hAnsi="Cambria Math"/>
                    <w:lang w:val="en-US"/>
                  </w:rPr>
                  <m:t>]</m:t>
                </m:r>
                <m:sSub>
                  <m:sSubPr>
                    <m:ctrlPr>
                      <w:rPr>
                        <w:rFonts w:ascii="Cambria Math" w:hAnsi="Cambria Math"/>
                        <w:i/>
                      </w:rPr>
                    </m:ctrlPr>
                  </m:sSubPr>
                  <m:e>
                    <m:r>
                      <w:rPr>
                        <w:rFonts w:ascii="Cambria Math" w:hAnsi="Cambria Math"/>
                      </w:rPr>
                      <m:t>N</m:t>
                    </m:r>
                  </m:e>
                  <m:sub>
                    <m:r>
                      <w:rPr>
                        <w:rFonts w:ascii="Cambria Math" w:hAnsi="Cambria Math"/>
                      </w:rPr>
                      <m:t>jt</m:t>
                    </m:r>
                  </m:sub>
                </m:sSub>
              </m:oMath>
            </m:oMathPara>
          </w:p>
        </w:tc>
        <w:tc>
          <w:tcPr>
            <w:tcW w:w="0" w:type="auto"/>
            <w:vAlign w:val="center"/>
          </w:tcPr>
          <w:p w14:paraId="7A457CCB" w14:textId="77777777" w:rsidR="00F50EE1" w:rsidRPr="00C00819" w:rsidRDefault="00F50EE1" w:rsidP="00986556">
            <w:pPr>
              <w:spacing w:before="60" w:after="60"/>
            </w:pPr>
            <w:r w:rsidRPr="00C00819">
              <w:t>(</w:t>
            </w:r>
            <w:r w:rsidR="00986556" w:rsidRPr="00C00819">
              <w:t>21</w:t>
            </w:r>
            <w:r w:rsidRPr="00C00819">
              <w:t>)</w:t>
            </w:r>
          </w:p>
        </w:tc>
      </w:tr>
    </w:tbl>
    <w:p w14:paraId="7A457CCD" w14:textId="77777777" w:rsidR="00F50EE1" w:rsidRPr="00C00819" w:rsidRDefault="00F50EE1" w:rsidP="0049080C">
      <w:pPr>
        <w:spacing w:before="60" w:after="60"/>
        <w:jc w:val="both"/>
      </w:pPr>
      <w:r w:rsidRPr="00C00819">
        <w:t xml:space="preserve">com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r>
              <w:rPr>
                <w:rFonts w:ascii="Cambria Math" w:hAnsi="Cambria Math"/>
              </w:rPr>
              <m:t>,</m:t>
            </m:r>
            <m:r>
              <w:rPr>
                <w:rFonts w:ascii="Cambria Math" w:hAnsi="Cambria Math"/>
                <w:lang w:val="en-US"/>
              </w:rPr>
              <m:t>t</m:t>
            </m:r>
            <m:r>
              <w:rPr>
                <w:rFonts w:ascii="Cambria Math" w:hAnsi="Cambria Math"/>
              </w:rPr>
              <m:t>+1</m:t>
            </m:r>
          </m:sub>
        </m:sSub>
        <m:r>
          <w:rPr>
            <w:rFonts w:ascii="Cambria Math" w:hAnsi="Cambria Math"/>
          </w:rPr>
          <m:t>=</m:t>
        </m:r>
        <m:f>
          <m:fPr>
            <m:type m:val="lin"/>
            <m:ctrlPr>
              <w:rPr>
                <w:rFonts w:ascii="Cambria Math" w:hAnsi="Cambria Math"/>
                <w:i/>
                <w:lang w:val="en-US"/>
              </w:rPr>
            </m:ctrlPr>
          </m:fPr>
          <m:num>
            <m:sSub>
              <m:sSubPr>
                <m:ctrlPr>
                  <w:rPr>
                    <w:rFonts w:ascii="Cambria Math" w:hAnsi="Cambria Math"/>
                    <w:i/>
                  </w:rPr>
                </m:ctrlPr>
              </m:sSubPr>
              <m:e>
                <m:r>
                  <w:rPr>
                    <w:rFonts w:ascii="Cambria Math" w:hAnsi="Cambria Math"/>
                  </w:rPr>
                  <m:t>N</m:t>
                </m:r>
              </m:e>
              <m:sub>
                <m:r>
                  <w:rPr>
                    <w:rFonts w:ascii="Cambria Math" w:hAnsi="Cambria Math"/>
                  </w:rPr>
                  <m:t>jt+1</m:t>
                </m:r>
              </m:sub>
            </m:sSub>
          </m:num>
          <m:den>
            <m:sSub>
              <m:sSubPr>
                <m:ctrlPr>
                  <w:rPr>
                    <w:rFonts w:ascii="Cambria Math" w:hAnsi="Cambria Math"/>
                    <w:i/>
                  </w:rPr>
                </m:ctrlPr>
              </m:sSubPr>
              <m:e>
                <m:r>
                  <w:rPr>
                    <w:rFonts w:ascii="Cambria Math" w:hAnsi="Cambria Math"/>
                  </w:rPr>
                  <m:t>N</m:t>
                </m:r>
              </m:e>
              <m:sub>
                <m:r>
                  <w:rPr>
                    <w:rFonts w:ascii="Cambria Math" w:hAnsi="Cambria Math"/>
                  </w:rPr>
                  <m:t>jt</m:t>
                </m:r>
              </m:sub>
            </m:sSub>
          </m:den>
        </m:f>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kt+1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t+1</m:t>
                </m:r>
              </m:sub>
              <m:sup>
                <m:r>
                  <w:rPr>
                    <w:rFonts w:ascii="Cambria Math" w:hAnsi="Cambria Math"/>
                  </w:rPr>
                  <m:t>*</m:t>
                </m:r>
              </m:sup>
            </m:sSubSup>
            <m:ctrlPr>
              <w:rPr>
                <w:rFonts w:ascii="Cambria Math" w:hAnsi="Cambria Math"/>
                <w:i/>
                <w:iCs/>
              </w:rPr>
            </m:ctrlPr>
          </m:e>
        </m:d>
        <m:sSub>
          <m:sSubPr>
            <m:ctrlPr>
              <w:rPr>
                <w:rFonts w:ascii="Cambria Math" w:hAnsi="Cambria Math"/>
                <w:i/>
              </w:rPr>
            </m:ctrlPr>
          </m:sSubPr>
          <m:e>
            <m:r>
              <w:rPr>
                <w:rFonts w:ascii="Cambria Math" w:hAnsi="Cambria Math"/>
              </w:rPr>
              <m:t>ф</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t+1</m:t>
            </m:r>
          </m:sub>
          <m:sup>
            <m:r>
              <w:rPr>
                <w:rFonts w:ascii="Cambria Math" w:hAnsi="Cambria Math"/>
              </w:rPr>
              <m:t>*</m:t>
            </m:r>
          </m:sup>
        </m:sSubSup>
      </m:oMath>
      <w:r w:rsidRPr="00C00819">
        <w:t xml:space="preserve"> 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r>
              <w:rPr>
                <w:rFonts w:ascii="Cambria Math" w:hAnsi="Cambria Math"/>
              </w:rPr>
              <m:t>,</m:t>
            </m:r>
            <m:r>
              <w:rPr>
                <w:rFonts w:ascii="Cambria Math" w:hAnsi="Cambria Math"/>
                <w:lang w:val="en-US"/>
              </w:rPr>
              <m:t>t</m:t>
            </m:r>
            <m:r>
              <w:rPr>
                <w:rFonts w:ascii="Cambria Math" w:hAnsi="Cambria Math"/>
              </w:rPr>
              <m:t>+1</m:t>
            </m:r>
          </m:sub>
        </m:sSub>
        <m:r>
          <w:rPr>
            <w:rFonts w:ascii="Cambria Math" w:hAnsi="Cambria Math"/>
          </w:rPr>
          <m:t>=</m:t>
        </m:r>
        <m:f>
          <m:fPr>
            <m:type m:val="lin"/>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m:t>
                </m:r>
                <m:r>
                  <w:rPr>
                    <w:rFonts w:ascii="Cambria Math" w:hAnsi="Cambria Math"/>
                  </w:rPr>
                  <m:t>+</m:t>
                </m:r>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jt</m:t>
                </m:r>
                <m:r>
                  <w:rPr>
                    <w:rFonts w:ascii="Cambria Math" w:hAnsi="Cambria Math"/>
                  </w:rPr>
                  <m:t>+</m:t>
                </m:r>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jt</m:t>
                </m:r>
              </m:sub>
            </m:sSub>
          </m:den>
        </m:f>
        <m:r>
          <w:rPr>
            <w:rFonts w:ascii="Cambria Math" w:hAnsi="Cambria Math"/>
          </w:rPr>
          <m:t>=(</m:t>
        </m:r>
        <m:f>
          <m:fPr>
            <m:type m:val="lin"/>
            <m:ctrlPr>
              <w:rPr>
                <w:rFonts w:ascii="Cambria Math" w:hAnsi="Cambria Math"/>
                <w:i/>
                <w:lang w:val="en-US"/>
              </w:rPr>
            </m:ctrlPr>
          </m:fPr>
          <m:num>
            <m:sSub>
              <m:sSubPr>
                <m:ctrlPr>
                  <w:rPr>
                    <w:rFonts w:ascii="Cambria Math" w:hAnsi="Cambria Math"/>
                    <w:i/>
                  </w:rPr>
                </m:ctrlPr>
              </m:sSubPr>
              <m:e>
                <m:r>
                  <w:rPr>
                    <w:rFonts w:ascii="Cambria Math" w:hAnsi="Cambria Math"/>
                  </w:rPr>
                  <m:t>ф</m:t>
                </m:r>
              </m:e>
              <m:sub>
                <m:r>
                  <w:rPr>
                    <w:rFonts w:ascii="Cambria Math" w:hAnsi="Cambria Math"/>
                  </w:rPr>
                  <m:t>t+1</m:t>
                </m:r>
              </m:sub>
            </m:sSub>
          </m:num>
          <m:den>
            <m:sSub>
              <m:sSubPr>
                <m:ctrlPr>
                  <w:rPr>
                    <w:rFonts w:ascii="Cambria Math" w:hAnsi="Cambria Math"/>
                    <w:i/>
                  </w:rPr>
                </m:ctrlPr>
              </m:sSubPr>
              <m:e>
                <m:r>
                  <w:rPr>
                    <w:rFonts w:ascii="Cambria Math" w:hAnsi="Cambria Math"/>
                  </w:rPr>
                  <m:t>ф</m:t>
                </m:r>
              </m:e>
              <m:sub>
                <m:r>
                  <w:rPr>
                    <w:rFonts w:ascii="Cambria Math" w:hAnsi="Cambria Math"/>
                  </w:rPr>
                  <m:t>t</m:t>
                </m:r>
              </m:sub>
            </m:sSub>
          </m:den>
        </m:f>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r>
              <w:rPr>
                <w:rFonts w:ascii="Cambria Math" w:hAnsi="Cambria Math"/>
              </w:rPr>
              <m:t>,</m:t>
            </m:r>
            <m:r>
              <w:rPr>
                <w:rFonts w:ascii="Cambria Math" w:hAnsi="Cambria Math"/>
                <w:lang w:val="en-US"/>
              </w:rPr>
              <m:t>t</m:t>
            </m:r>
            <m:r>
              <w:rPr>
                <w:rFonts w:ascii="Cambria Math" w:hAnsi="Cambria Math"/>
              </w:rPr>
              <m:t>+1</m:t>
            </m:r>
          </m:sub>
        </m:sSub>
      </m:oMath>
      <w:r w:rsidRPr="00C00819">
        <w:t>.</w:t>
      </w:r>
    </w:p>
    <w:p w14:paraId="7A457CCE" w14:textId="77777777" w:rsidR="00F50EE1" w:rsidRPr="00C00819" w:rsidRDefault="00F50EE1" w:rsidP="00580FCE">
      <w:pPr>
        <w:ind w:firstLine="709"/>
        <w:jc w:val="both"/>
      </w:pPr>
      <w:r w:rsidRPr="00C00819">
        <w:t xml:space="preserve">A oferta total de crédito da economia mantém-se em: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616"/>
      </w:tblGrid>
      <w:tr w:rsidR="00F50EE1" w:rsidRPr="00C00819" w14:paraId="7A457CD1" w14:textId="77777777" w:rsidTr="00A271A9">
        <w:trPr>
          <w:jc w:val="center"/>
        </w:trPr>
        <w:tc>
          <w:tcPr>
            <w:tcW w:w="0" w:type="auto"/>
            <w:vAlign w:val="center"/>
          </w:tcPr>
          <w:p w14:paraId="7A457CCF" w14:textId="77777777" w:rsidR="00F50EE1" w:rsidRPr="00C00819" w:rsidRDefault="000D6AC7" w:rsidP="0049080C">
            <w:pPr>
              <w:spacing w:before="120" w:after="120"/>
              <w:jc w:val="both"/>
              <w:rPr>
                <w:iCs/>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ф</m:t>
                    </m:r>
                  </m:e>
                  <m:sub>
                    <m:r>
                      <w:rPr>
                        <w:rFonts w:ascii="Cambria Math" w:hAnsi="Cambria Math"/>
                      </w:rPr>
                      <m:t>t</m:t>
                    </m:r>
                  </m:sub>
                </m:sSub>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0" w:type="auto"/>
            <w:vAlign w:val="center"/>
          </w:tcPr>
          <w:p w14:paraId="7A457CD0" w14:textId="77777777" w:rsidR="00F50EE1" w:rsidRPr="00C00819" w:rsidRDefault="00F50EE1" w:rsidP="00986556">
            <w:pPr>
              <w:spacing w:before="120" w:after="120"/>
            </w:pPr>
            <w:r w:rsidRPr="00C00819">
              <w:t>(</w:t>
            </w:r>
            <w:r w:rsidR="00986556" w:rsidRPr="00C00819">
              <w:t>22</w:t>
            </w:r>
            <w:r w:rsidRPr="00C00819">
              <w:t>)</w:t>
            </w:r>
          </w:p>
        </w:tc>
      </w:tr>
    </w:tbl>
    <w:p w14:paraId="7A457CD2" w14:textId="77777777" w:rsidR="00F50EE1" w:rsidRPr="00C00819" w:rsidRDefault="00F50EE1" w:rsidP="00580FCE">
      <w:pPr>
        <w:jc w:val="both"/>
      </w:pPr>
      <w:r w:rsidRPr="00C00819">
        <w:t xml:space="preserve">onde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C00819">
        <w:t xml:space="preserve"> e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Pr="00C00819">
        <w:t xml:space="preserve"> representam, respectivamente, a soma do crédito e do capital próprio de todos os bancos da economia. </w:t>
      </w:r>
    </w:p>
    <w:p w14:paraId="7A457CD3" w14:textId="77777777" w:rsidR="00F50EE1" w:rsidRPr="00C00819" w:rsidRDefault="00F50EE1" w:rsidP="00580FCE">
      <w:pPr>
        <w:ind w:firstLine="709"/>
        <w:jc w:val="both"/>
      </w:pPr>
      <w:r w:rsidRPr="00C00819">
        <w:t xml:space="preserve">Por fim, a evolução do patrimônio líquido agregado dá-se pela soma do capital próprio dos bancos já existentes </w:t>
      </w:r>
      <m:oMath>
        <m:sSub>
          <m:sSubPr>
            <m:ctrlPr>
              <w:rPr>
                <w:rFonts w:ascii="Cambria Math" w:hAnsi="Cambria Math"/>
                <w:i/>
                <w:iCs/>
              </w:rPr>
            </m:ctrlPr>
          </m:sSubPr>
          <m:e>
            <m:r>
              <w:rPr>
                <w:rFonts w:ascii="Cambria Math" w:hAnsi="Cambria Math"/>
              </w:rPr>
              <m:t>N</m:t>
            </m:r>
          </m:e>
          <m:sub>
            <m:r>
              <w:rPr>
                <w:rFonts w:ascii="Cambria Math" w:hAnsi="Cambria Math"/>
              </w:rPr>
              <m:t>et</m:t>
            </m:r>
          </m:sub>
        </m:sSub>
      </m:oMath>
      <w:r w:rsidRPr="00C00819">
        <w:rPr>
          <w:iCs/>
        </w:rPr>
        <w:t xml:space="preserve"> </w:t>
      </w:r>
      <w:r w:rsidRPr="00C00819">
        <w:t xml:space="preserve">ao dos novos bancos </w:t>
      </w:r>
      <m:oMath>
        <m:sSub>
          <m:sSubPr>
            <m:ctrlPr>
              <w:rPr>
                <w:rFonts w:ascii="Cambria Math" w:hAnsi="Cambria Math"/>
                <w:i/>
                <w:iCs/>
              </w:rPr>
            </m:ctrlPr>
          </m:sSubPr>
          <m:e>
            <m:r>
              <w:rPr>
                <w:rFonts w:ascii="Cambria Math" w:hAnsi="Cambria Math"/>
              </w:rPr>
              <m:t>N</m:t>
            </m:r>
          </m:e>
          <m:sub>
            <m:r>
              <w:rPr>
                <w:rFonts w:ascii="Cambria Math" w:hAnsi="Cambria Math"/>
              </w:rPr>
              <m:t>nt</m:t>
            </m:r>
          </m:sub>
        </m:sSub>
      </m:oMath>
      <w:r w:rsidRPr="00C00819">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616"/>
      </w:tblGrid>
      <w:tr w:rsidR="00F50EE1" w:rsidRPr="00C00819" w14:paraId="7A457CD6" w14:textId="77777777" w:rsidTr="00A271A9">
        <w:trPr>
          <w:jc w:val="center"/>
        </w:trPr>
        <w:tc>
          <w:tcPr>
            <w:tcW w:w="0" w:type="auto"/>
            <w:vAlign w:val="center"/>
          </w:tcPr>
          <w:p w14:paraId="7A457CD4" w14:textId="77777777" w:rsidR="00F50EE1" w:rsidRPr="00C00819" w:rsidRDefault="000D6AC7" w:rsidP="0049080C">
            <w:pPr>
              <w:spacing w:before="120" w:after="120"/>
              <w:rPr>
                <w:iCs/>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 xml:space="preserve"> =θ</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kt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m:t>
                        </m:r>
                      </m:sup>
                    </m:sSubSup>
                    <m:ctrlPr>
                      <w:rPr>
                        <w:rFonts w:ascii="Cambria Math" w:hAnsi="Cambria Math"/>
                        <w:i/>
                        <w:iCs/>
                      </w:rPr>
                    </m:ctrlPr>
                  </m:e>
                </m:d>
                <m:sSub>
                  <m:sSubPr>
                    <m:ctrlPr>
                      <w:rPr>
                        <w:rFonts w:ascii="Cambria Math" w:hAnsi="Cambria Math"/>
                        <w:i/>
                      </w:rPr>
                    </m:ctrlPr>
                  </m:sSubPr>
                  <m:e>
                    <m:r>
                      <w:rPr>
                        <w:rFonts w:ascii="Cambria Math" w:hAnsi="Cambria Math"/>
                      </w:rPr>
                      <m:t>ф</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m:t>
                    </m:r>
                  </m:sup>
                </m:sSubSup>
                <m:r>
                  <w:rPr>
                    <w:rFonts w:ascii="Cambria Math" w:hAnsi="Cambria Math"/>
                    <w:lang w:val="en-US"/>
                  </w:rPr>
                  <m:t>]</m:t>
                </m:r>
                <m:sSub>
                  <m:sSubPr>
                    <m:ctrlPr>
                      <w:rPr>
                        <w:rFonts w:ascii="Cambria Math" w:hAnsi="Cambria Math"/>
                        <w:i/>
                      </w:rPr>
                    </m:ctrlPr>
                  </m:sSubPr>
                  <m:e>
                    <m:r>
                      <w:rPr>
                        <w:rFonts w:ascii="Cambria Math" w:hAnsi="Cambria Math"/>
                      </w:rPr>
                      <m:t>N</m:t>
                    </m:r>
                  </m:e>
                  <m:sub>
                    <m:r>
                      <w:rPr>
                        <w:rFonts w:ascii="Cambria Math" w:hAnsi="Cambria Math"/>
                      </w:rPr>
                      <m:t>t-1</m:t>
                    </m:r>
                  </m:sub>
                </m:sSub>
                <m:r>
                  <w:rPr>
                    <w:rFonts w:ascii="Cambria Math" w:hAnsi="Cambria Math"/>
                  </w:rPr>
                  <m:t xml:space="preserve">  +ω</m:t>
                </m:r>
                <m:sSub>
                  <m:sSubPr>
                    <m:ctrlPr>
                      <w:rPr>
                        <w:rFonts w:ascii="Cambria Math" w:hAnsi="Cambria Math"/>
                        <w:i/>
                        <w:iCs/>
                      </w:rPr>
                    </m:ctrlPr>
                  </m:sSubPr>
                  <m:e>
                    <m:r>
                      <w:rPr>
                        <w:rFonts w:ascii="Cambria Math" w:hAnsi="Cambria Math"/>
                      </w:rPr>
                      <m:t>Q</m:t>
                    </m:r>
                  </m:e>
                  <m:sub>
                    <m:r>
                      <w:rPr>
                        <w:rFonts w:ascii="Cambria Math" w:hAnsi="Cambria Math"/>
                      </w:rPr>
                      <m:t>t-1</m:t>
                    </m:r>
                  </m:sub>
                </m:sSub>
                <m:sSub>
                  <m:sSubPr>
                    <m:ctrlPr>
                      <w:rPr>
                        <w:rFonts w:ascii="Cambria Math" w:hAnsi="Cambria Math"/>
                        <w:i/>
                        <w:iCs/>
                      </w:rPr>
                    </m:ctrlPr>
                  </m:sSubPr>
                  <m:e>
                    <m:r>
                      <w:rPr>
                        <w:rFonts w:ascii="Cambria Math" w:hAnsi="Cambria Math"/>
                      </w:rPr>
                      <m:t>S</m:t>
                    </m:r>
                  </m:e>
                  <m:sub>
                    <m:r>
                      <w:rPr>
                        <w:rFonts w:ascii="Cambria Math" w:hAnsi="Cambria Math"/>
                      </w:rPr>
                      <m:t>t-1</m:t>
                    </m:r>
                  </m:sub>
                </m:sSub>
              </m:oMath>
            </m:oMathPara>
          </w:p>
        </w:tc>
        <w:tc>
          <w:tcPr>
            <w:tcW w:w="0" w:type="auto"/>
            <w:vAlign w:val="center"/>
          </w:tcPr>
          <w:p w14:paraId="7A457CD5" w14:textId="77777777" w:rsidR="00F50EE1" w:rsidRPr="00C00819" w:rsidRDefault="00F50EE1" w:rsidP="00986556">
            <w:pPr>
              <w:spacing w:before="120" w:after="120"/>
            </w:pPr>
            <w:r w:rsidRPr="00C00819">
              <w:t>(</w:t>
            </w:r>
            <w:r w:rsidR="00986556" w:rsidRPr="00C00819">
              <w:t>23</w:t>
            </w:r>
            <w:r w:rsidRPr="00C00819">
              <w:t>)</w:t>
            </w:r>
          </w:p>
        </w:tc>
      </w:tr>
    </w:tbl>
    <w:p w14:paraId="7A457CD7" w14:textId="77777777" w:rsidR="00F50EE1" w:rsidRPr="00C00819" w:rsidRDefault="00F50EE1" w:rsidP="00580FCE">
      <w:pPr>
        <w:rPr>
          <w:iCs/>
        </w:rPr>
      </w:pPr>
      <w:r w:rsidRPr="00C00819">
        <w:t xml:space="preserve">onde: </w:t>
      </w:r>
      <m:oMath>
        <m:sSub>
          <m:sSubPr>
            <m:ctrlPr>
              <w:rPr>
                <w:rFonts w:ascii="Cambria Math" w:hAnsi="Cambria Math"/>
                <w:i/>
                <w:iCs/>
              </w:rPr>
            </m:ctrlPr>
          </m:sSubPr>
          <m:e>
            <m:r>
              <w:rPr>
                <w:rFonts w:ascii="Cambria Math" w:hAnsi="Cambria Math"/>
              </w:rPr>
              <m:t>N</m:t>
            </m:r>
          </m:e>
          <m:sub>
            <m:r>
              <w:rPr>
                <w:rFonts w:ascii="Cambria Math" w:hAnsi="Cambria Math"/>
              </w:rPr>
              <m:t>et</m:t>
            </m:r>
          </m:sub>
        </m:sSub>
        <m:r>
          <w:rPr>
            <w:rFonts w:ascii="Cambria Math" w:hAnsi="Cambria Math"/>
          </w:rPr>
          <m:t>=θ[</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kt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m:t>
                </m:r>
              </m:sup>
            </m:sSubSup>
            <m:ctrlPr>
              <w:rPr>
                <w:rFonts w:ascii="Cambria Math" w:hAnsi="Cambria Math"/>
                <w:i/>
                <w:iCs/>
              </w:rPr>
            </m:ctrlPr>
          </m:e>
        </m:d>
        <m:sSub>
          <m:sSubPr>
            <m:ctrlPr>
              <w:rPr>
                <w:rFonts w:ascii="Cambria Math" w:hAnsi="Cambria Math"/>
                <w:i/>
              </w:rPr>
            </m:ctrlPr>
          </m:sSubPr>
          <m:e>
            <m:r>
              <w:rPr>
                <w:rFonts w:ascii="Cambria Math" w:hAnsi="Cambria Math"/>
              </w:rPr>
              <m:t>ф</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t-1</m:t>
            </m:r>
          </m:sub>
        </m:sSub>
      </m:oMath>
      <w:r w:rsidRPr="00C00819">
        <w:t xml:space="preserve"> e </w:t>
      </w:r>
      <m:oMath>
        <m:sSub>
          <m:sSubPr>
            <m:ctrlPr>
              <w:rPr>
                <w:rFonts w:ascii="Cambria Math" w:hAnsi="Cambria Math"/>
                <w:i/>
                <w:iCs/>
              </w:rPr>
            </m:ctrlPr>
          </m:sSubPr>
          <m:e>
            <m:r>
              <w:rPr>
                <w:rFonts w:ascii="Cambria Math" w:hAnsi="Cambria Math"/>
              </w:rPr>
              <m:t>N</m:t>
            </m:r>
          </m:e>
          <m:sub>
            <m:r>
              <w:rPr>
                <w:rFonts w:ascii="Cambria Math" w:hAnsi="Cambria Math"/>
              </w:rPr>
              <m:t>nt</m:t>
            </m:r>
          </m:sub>
        </m:sSub>
        <m:r>
          <w:rPr>
            <w:rFonts w:ascii="Cambria Math" w:hAnsi="Cambria Math"/>
          </w:rPr>
          <m:t>=ω</m:t>
        </m:r>
        <m:sSub>
          <m:sSubPr>
            <m:ctrlPr>
              <w:rPr>
                <w:rFonts w:ascii="Cambria Math" w:hAnsi="Cambria Math"/>
                <w:i/>
                <w:iCs/>
              </w:rPr>
            </m:ctrlPr>
          </m:sSubPr>
          <m:e>
            <m:r>
              <w:rPr>
                <w:rFonts w:ascii="Cambria Math" w:hAnsi="Cambria Math"/>
              </w:rPr>
              <m:t>Q</m:t>
            </m:r>
          </m:e>
          <m:sub>
            <m:r>
              <w:rPr>
                <w:rFonts w:ascii="Cambria Math" w:hAnsi="Cambria Math"/>
              </w:rPr>
              <m:t>t-1</m:t>
            </m:r>
          </m:sub>
        </m:sSub>
        <m:sSub>
          <m:sSubPr>
            <m:ctrlPr>
              <w:rPr>
                <w:rFonts w:ascii="Cambria Math" w:hAnsi="Cambria Math"/>
                <w:i/>
                <w:iCs/>
              </w:rPr>
            </m:ctrlPr>
          </m:sSubPr>
          <m:e>
            <m:r>
              <w:rPr>
                <w:rFonts w:ascii="Cambria Math" w:hAnsi="Cambria Math"/>
              </w:rPr>
              <m:t>S</m:t>
            </m:r>
          </m:e>
          <m:sub>
            <m:r>
              <w:rPr>
                <w:rFonts w:ascii="Cambria Math" w:hAnsi="Cambria Math"/>
              </w:rPr>
              <m:t>t-1</m:t>
            </m:r>
          </m:sub>
        </m:sSub>
      </m:oMath>
      <w:r w:rsidRPr="00C00819">
        <w:rPr>
          <w:iCs/>
        </w:rPr>
        <w:t>.</w:t>
      </w:r>
    </w:p>
    <w:p w14:paraId="7A457CD9" w14:textId="77777777" w:rsidR="00986556" w:rsidRPr="00C00819" w:rsidRDefault="00986556" w:rsidP="00986556">
      <w:pPr>
        <w:pStyle w:val="Ttulo4"/>
        <w:numPr>
          <w:ilvl w:val="2"/>
          <w:numId w:val="18"/>
        </w:numPr>
        <w:tabs>
          <w:tab w:val="left" w:pos="851"/>
        </w:tabs>
        <w:spacing w:before="120" w:after="120" w:line="240" w:lineRule="auto"/>
        <w:rPr>
          <w:rFonts w:ascii="Times New Roman" w:hAnsi="Times New Roman" w:cs="Times New Roman"/>
          <w:b w:val="0"/>
          <w:i w:val="0"/>
        </w:rPr>
      </w:pPr>
      <w:r w:rsidRPr="00C00819">
        <w:rPr>
          <w:rFonts w:ascii="Times New Roman" w:hAnsi="Times New Roman" w:cs="Times New Roman"/>
          <w:b w:val="0"/>
          <w:i w:val="0"/>
        </w:rPr>
        <w:t>Política Monetária e choques exógenos</w:t>
      </w:r>
    </w:p>
    <w:p w14:paraId="7A457CDB" w14:textId="77777777" w:rsidR="00986556" w:rsidRPr="00C00819" w:rsidRDefault="00986556" w:rsidP="004E4D37">
      <w:pPr>
        <w:ind w:firstLine="708"/>
        <w:jc w:val="both"/>
      </w:pPr>
      <w:r w:rsidRPr="00C00819">
        <w:t>A política monetária é caracterizada por uma Regra de Taylor com suavização da taxa de juros: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6"/>
        <w:gridCol w:w="616"/>
      </w:tblGrid>
      <w:tr w:rsidR="00986556" w:rsidRPr="00C00819" w14:paraId="7A457CDE" w14:textId="77777777" w:rsidTr="00195FFB">
        <w:trPr>
          <w:jc w:val="center"/>
        </w:trPr>
        <w:tc>
          <w:tcPr>
            <w:tcW w:w="0" w:type="auto"/>
            <w:vAlign w:val="center"/>
          </w:tcPr>
          <w:p w14:paraId="7A457CDC" w14:textId="77777777" w:rsidR="00986556" w:rsidRPr="00C00819" w:rsidRDefault="000D6AC7" w:rsidP="00195FFB">
            <w:pPr>
              <w:spacing w:before="120" w:after="120"/>
              <w:rPr>
                <w:i/>
                <w:iCs/>
                <w:lang w:val="en-US"/>
              </w:rPr>
            </w:pPr>
            <m:oMathPara>
              <m:oMath>
                <m:sSub>
                  <m:sSubPr>
                    <m:ctrlPr>
                      <w:rPr>
                        <w:rFonts w:ascii="Cambria Math" w:hAnsi="Cambria Math"/>
                        <w:i/>
                        <w:iCs/>
                      </w:rPr>
                    </m:ctrlPr>
                  </m:sSubPr>
                  <m:e>
                    <m:r>
                      <w:rPr>
                        <w:rFonts w:ascii="Cambria Math" w:hAnsi="Cambria Math"/>
                      </w:rPr>
                      <m:t>i</m:t>
                    </m:r>
                  </m:e>
                  <m:sub>
                    <m:r>
                      <w:rPr>
                        <w:rFonts w:ascii="Cambria Math" w:hAnsi="Cambria Math"/>
                      </w:rPr>
                      <m:t>t</m:t>
                    </m:r>
                  </m:sub>
                </m:sSub>
                <m:r>
                  <w:rPr>
                    <w:rFonts w:ascii="Cambria Math" w:hAnsi="Cambria Math"/>
                  </w:rPr>
                  <m:t>=</m:t>
                </m:r>
                <m:d>
                  <m:dPr>
                    <m:ctrlPr>
                      <w:rPr>
                        <w:rFonts w:ascii="Cambria Math" w:hAnsi="Cambria Math"/>
                        <w:i/>
                        <w:iCs/>
                      </w:rPr>
                    </m:ctrlPr>
                  </m:dPr>
                  <m:e>
                    <m:r>
                      <w:rPr>
                        <w:rFonts w:ascii="Cambria Math" w:hAnsi="Cambria Math"/>
                      </w:rPr>
                      <m:t>1-ρ</m:t>
                    </m:r>
                  </m:e>
                </m:d>
                <m:d>
                  <m:dPr>
                    <m:begChr m:val="["/>
                    <m:endChr m:val="]"/>
                    <m:ctrlPr>
                      <w:rPr>
                        <w:rFonts w:ascii="Cambria Math" w:hAnsi="Cambria Math"/>
                        <w:i/>
                        <w:iCs/>
                      </w:rPr>
                    </m:ctrlPr>
                  </m:dPr>
                  <m:e>
                    <m:r>
                      <w:rPr>
                        <w:rFonts w:ascii="Cambria Math" w:hAnsi="Cambria Math"/>
                      </w:rPr>
                      <m:t>i+</m:t>
                    </m:r>
                    <m:sSub>
                      <m:sSubPr>
                        <m:ctrlPr>
                          <w:rPr>
                            <w:rFonts w:ascii="Cambria Math" w:hAnsi="Cambria Math"/>
                            <w:i/>
                            <w:iCs/>
                          </w:rPr>
                        </m:ctrlPr>
                      </m:sSubPr>
                      <m:e>
                        <m:r>
                          <w:rPr>
                            <w:rFonts w:ascii="Cambria Math" w:hAnsi="Cambria Math"/>
                          </w:rPr>
                          <m:t>k</m:t>
                        </m:r>
                      </m:e>
                      <m:sub>
                        <m:r>
                          <w:rPr>
                            <w:rFonts w:ascii="Cambria Math" w:hAnsi="Cambria Math"/>
                          </w:rPr>
                          <m:t>π</m:t>
                        </m:r>
                      </m:sub>
                    </m:sSub>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y</m:t>
                        </m:r>
                      </m:sub>
                    </m:sSub>
                    <m:d>
                      <m:dPr>
                        <m:ctrlPr>
                          <w:rPr>
                            <w:rFonts w:ascii="Cambria Math" w:hAnsi="Cambria Math"/>
                            <w:i/>
                            <w:iCs/>
                          </w:rPr>
                        </m:ctrlPr>
                      </m:dPr>
                      <m:e>
                        <m:r>
                          <w:rPr>
                            <w:rFonts w:ascii="Cambria Math" w:hAnsi="Cambria Math"/>
                          </w:rPr>
                          <m:t>log</m:t>
                        </m:r>
                        <m:sSub>
                          <m:sSubPr>
                            <m:ctrlPr>
                              <w:rPr>
                                <w:rFonts w:ascii="Cambria Math" w:hAnsi="Cambria Math"/>
                                <w:i/>
                                <w:iCs/>
                              </w:rPr>
                            </m:ctrlPr>
                          </m:sSubPr>
                          <m:e>
                            <m:r>
                              <w:rPr>
                                <w:rFonts w:ascii="Cambria Math" w:hAnsi="Cambria Math"/>
                              </w:rPr>
                              <m:t>Y</m:t>
                            </m:r>
                          </m:e>
                          <m:sub>
                            <m:r>
                              <w:rPr>
                                <w:rFonts w:ascii="Cambria Math" w:hAnsi="Cambria Math"/>
                              </w:rPr>
                              <m:t>t</m:t>
                            </m:r>
                          </m:sub>
                        </m:sSub>
                        <m:r>
                          <w:rPr>
                            <w:rFonts w:ascii="Cambria Math" w:hAnsi="Cambria Math"/>
                          </w:rPr>
                          <m:t>-</m:t>
                        </m:r>
                        <m:func>
                          <m:funcPr>
                            <m:ctrlPr>
                              <w:rPr>
                                <w:rFonts w:ascii="Cambria Math" w:hAnsi="Cambria Math"/>
                                <w:i/>
                                <w:iCs/>
                              </w:rPr>
                            </m:ctrlPr>
                          </m:funcPr>
                          <m:fName>
                            <m:r>
                              <m:rPr>
                                <m:sty m:val="p"/>
                              </m:rPr>
                              <w:rPr>
                                <w:rFonts w:ascii="Cambria Math" w:hAnsi="Cambria Math"/>
                              </w:rPr>
                              <m:t>log</m:t>
                            </m:r>
                          </m:fName>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m:t>
                                </m:r>
                              </m:sup>
                            </m:sSubSup>
                          </m:e>
                        </m:func>
                      </m:e>
                    </m:d>
                  </m:e>
                </m:d>
                <m:r>
                  <w:rPr>
                    <w:rFonts w:ascii="Cambria Math" w:hAnsi="Cambria Math"/>
                  </w:rPr>
                  <m:t>+ρ</m:t>
                </m:r>
                <m:sSub>
                  <m:sSubPr>
                    <m:ctrlPr>
                      <w:rPr>
                        <w:rFonts w:ascii="Cambria Math" w:hAnsi="Cambria Math"/>
                        <w:i/>
                        <w:iCs/>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iCs/>
                      </w:rPr>
                    </m:ctrlPr>
                  </m:sSubPr>
                  <m:e>
                    <m:r>
                      <w:rPr>
                        <w:rFonts w:ascii="Cambria Math" w:hAnsi="Cambria Math"/>
                      </w:rPr>
                      <m:t>ϵ</m:t>
                    </m:r>
                  </m:e>
                  <m:sub>
                    <m:sSub>
                      <m:sSubPr>
                        <m:ctrlPr>
                          <w:rPr>
                            <w:rFonts w:ascii="Cambria Math" w:hAnsi="Cambria Math"/>
                            <w:i/>
                          </w:rPr>
                        </m:ctrlPr>
                      </m:sSubPr>
                      <m:e>
                        <m:r>
                          <w:rPr>
                            <w:rFonts w:ascii="Cambria Math" w:hAnsi="Cambria Math"/>
                          </w:rPr>
                          <m:t>i</m:t>
                        </m:r>
                      </m:e>
                      <m:sub>
                        <m:r>
                          <w:rPr>
                            <w:rFonts w:ascii="Cambria Math" w:hAnsi="Cambria Math"/>
                          </w:rPr>
                          <m:t>t</m:t>
                        </m:r>
                      </m:sub>
                    </m:sSub>
                  </m:sub>
                </m:sSub>
              </m:oMath>
            </m:oMathPara>
          </w:p>
        </w:tc>
        <w:tc>
          <w:tcPr>
            <w:tcW w:w="0" w:type="auto"/>
            <w:vAlign w:val="center"/>
          </w:tcPr>
          <w:p w14:paraId="7A457CDD" w14:textId="77777777" w:rsidR="00986556" w:rsidRPr="00C00819" w:rsidRDefault="00986556" w:rsidP="00986556">
            <w:pPr>
              <w:spacing w:before="120" w:after="120"/>
            </w:pPr>
            <w:r w:rsidRPr="00C00819">
              <w:t>(24)</w:t>
            </w:r>
          </w:p>
        </w:tc>
      </w:tr>
    </w:tbl>
    <w:p w14:paraId="7A457CDF" w14:textId="77777777" w:rsidR="00986556" w:rsidRPr="00C00819" w:rsidRDefault="00986556" w:rsidP="00986556">
      <w:pPr>
        <w:jc w:val="both"/>
        <w:rPr>
          <w:iCs/>
        </w:rPr>
      </w:pPr>
      <w:r w:rsidRPr="00C00819">
        <w:rPr>
          <w:iCs/>
        </w:rPr>
        <w:t xml:space="preserve">onde </w:t>
      </w:r>
      <m:oMath>
        <m:r>
          <w:rPr>
            <w:rFonts w:ascii="Cambria Math" w:hAnsi="Cambria Math"/>
          </w:rPr>
          <m:t xml:space="preserve"> ρ ϵ </m:t>
        </m:r>
        <m:d>
          <m:dPr>
            <m:ctrlPr>
              <w:rPr>
                <w:rFonts w:ascii="Cambria Math" w:hAnsi="Cambria Math"/>
                <w:i/>
              </w:rPr>
            </m:ctrlPr>
          </m:dPr>
          <m:e>
            <m:r>
              <w:rPr>
                <w:rFonts w:ascii="Cambria Math" w:hAnsi="Cambria Math"/>
              </w:rPr>
              <m:t>0,1</m:t>
            </m:r>
          </m:e>
        </m:d>
      </m:oMath>
      <w:r w:rsidRPr="00C00819">
        <w:t xml:space="preserve"> é o parâmetro de suavização da taxa de juros, </w:t>
      </w:r>
      <m:oMath>
        <m:sSub>
          <m:sSubPr>
            <m:ctrlPr>
              <w:rPr>
                <w:rFonts w:ascii="Cambria Math" w:hAnsi="Cambria Math"/>
                <w:i/>
                <w:iCs/>
              </w:rPr>
            </m:ctrlPr>
          </m:sSubPr>
          <m:e>
            <m:r>
              <w:rPr>
                <w:rFonts w:ascii="Cambria Math" w:hAnsi="Cambria Math"/>
              </w:rPr>
              <m:t>i</m:t>
            </m:r>
          </m:e>
          <m:sub>
            <m:r>
              <w:rPr>
                <w:rFonts w:ascii="Cambria Math" w:hAnsi="Cambria Math"/>
              </w:rPr>
              <m:t>t</m:t>
            </m:r>
          </m:sub>
        </m:sSub>
      </m:oMath>
      <w:r w:rsidRPr="00C00819">
        <w:rPr>
          <w:iCs/>
        </w:rPr>
        <w:t xml:space="preserve"> é a taxa de juros nominal, </w:t>
      </w:r>
      <m:oMath>
        <m:r>
          <w:rPr>
            <w:rFonts w:ascii="Cambria Math" w:hAnsi="Cambria Math"/>
          </w:rPr>
          <m:t>i</m:t>
        </m:r>
      </m:oMath>
      <w:r w:rsidRPr="00C00819">
        <w:rPr>
          <w:iCs/>
        </w:rPr>
        <w:t xml:space="preserve"> é a taxa de juros nominal no estado estacionário, </w:t>
      </w:r>
      <m:oMath>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m:t>
            </m:r>
          </m:sup>
        </m:sSubSup>
      </m:oMath>
      <w:r w:rsidRPr="00C00819">
        <w:rPr>
          <w:iCs/>
        </w:rPr>
        <w:t xml:space="preserve"> é o nível de produto natural e </w:t>
      </w:r>
      <m:oMath>
        <m:sSub>
          <m:sSubPr>
            <m:ctrlPr>
              <w:rPr>
                <w:rFonts w:ascii="Cambria Math" w:hAnsi="Cambria Math"/>
                <w:i/>
                <w:iCs/>
              </w:rPr>
            </m:ctrlPr>
          </m:sSubPr>
          <m:e>
            <m:r>
              <w:rPr>
                <w:rFonts w:ascii="Cambria Math" w:hAnsi="Cambria Math"/>
              </w:rPr>
              <m:t>ϵ</m:t>
            </m:r>
          </m:e>
          <m:sub>
            <m:sSub>
              <m:sSubPr>
                <m:ctrlPr>
                  <w:rPr>
                    <w:rFonts w:ascii="Cambria Math" w:hAnsi="Cambria Math"/>
                    <w:i/>
                  </w:rPr>
                </m:ctrlPr>
              </m:sSubPr>
              <m:e>
                <m:r>
                  <w:rPr>
                    <w:rFonts w:ascii="Cambria Math" w:hAnsi="Cambria Math"/>
                  </w:rPr>
                  <m:t>i</m:t>
                </m:r>
              </m:e>
              <m:sub>
                <m:r>
                  <w:rPr>
                    <w:rFonts w:ascii="Cambria Math" w:hAnsi="Cambria Math"/>
                  </w:rPr>
                  <m:t>t</m:t>
                </m:r>
              </m:sub>
            </m:sSub>
          </m:sub>
        </m:sSub>
        <m:r>
          <w:rPr>
            <w:rFonts w:ascii="Cambria Math" w:hAnsi="Cambria Math"/>
          </w:rPr>
          <m:t>≈iid(0,</m:t>
        </m:r>
        <m:sSubSup>
          <m:sSubSupPr>
            <m:ctrlPr>
              <w:rPr>
                <w:rFonts w:ascii="Cambria Math" w:hAnsi="Cambria Math"/>
                <w:i/>
                <w:iCs/>
              </w:rPr>
            </m:ctrlPr>
          </m:sSubSupPr>
          <m:e>
            <m:r>
              <w:rPr>
                <w:rFonts w:ascii="Cambria Math" w:hAnsi="Cambria Math"/>
              </w:rPr>
              <m:t>σ</m:t>
            </m:r>
          </m:e>
          <m:sub>
            <m:sSub>
              <m:sSubPr>
                <m:ctrlPr>
                  <w:rPr>
                    <w:rFonts w:ascii="Cambria Math" w:hAnsi="Cambria Math"/>
                    <w:i/>
                    <w:iCs/>
                  </w:rPr>
                </m:ctrlPr>
              </m:sSubPr>
              <m:e>
                <m:r>
                  <w:rPr>
                    <w:rFonts w:ascii="Cambria Math" w:hAnsi="Cambria Math"/>
                  </w:rPr>
                  <m:t>ϵ</m:t>
                </m:r>
              </m:e>
              <m:sub>
                <m:r>
                  <w:rPr>
                    <w:rFonts w:ascii="Cambria Math" w:hAnsi="Cambria Math"/>
                  </w:rPr>
                  <m:t>i</m:t>
                </m:r>
              </m:sub>
            </m:sSub>
          </m:sub>
          <m:sup>
            <m:r>
              <w:rPr>
                <w:rFonts w:ascii="Cambria Math" w:hAnsi="Cambria Math"/>
              </w:rPr>
              <m:t>2</m:t>
            </m:r>
          </m:sup>
        </m:sSubSup>
        <m:r>
          <w:rPr>
            <w:rFonts w:ascii="Cambria Math" w:hAnsi="Cambria Math"/>
          </w:rPr>
          <m:t xml:space="preserve"> )</m:t>
        </m:r>
      </m:oMath>
      <w:r w:rsidRPr="00C00819">
        <w:rPr>
          <w:iCs/>
        </w:rPr>
        <w:t xml:space="preserve"> é o choque </w:t>
      </w:r>
      <m:oMath>
        <m:r>
          <w:rPr>
            <w:rFonts w:ascii="Cambria Math" w:hAnsi="Cambria Math"/>
          </w:rPr>
          <m:t>AR(1)</m:t>
        </m:r>
      </m:oMath>
      <w:r w:rsidRPr="00C00819">
        <w:rPr>
          <w:iCs/>
        </w:rPr>
        <w:t xml:space="preserve"> na política monetária. A relação entre a taxa de juros nominal e real é dada pela Equação de Fisher:</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1"/>
        <w:gridCol w:w="616"/>
      </w:tblGrid>
      <w:tr w:rsidR="00986556" w:rsidRPr="00C00819" w14:paraId="7A457CE2" w14:textId="77777777" w:rsidTr="00195FFB">
        <w:trPr>
          <w:jc w:val="center"/>
        </w:trPr>
        <w:tc>
          <w:tcPr>
            <w:tcW w:w="0" w:type="auto"/>
            <w:vAlign w:val="center"/>
          </w:tcPr>
          <w:p w14:paraId="7A457CE0" w14:textId="77777777" w:rsidR="00986556" w:rsidRPr="00C00819" w:rsidRDefault="00986556" w:rsidP="00195FFB">
            <w:pPr>
              <w:rPr>
                <w:i/>
                <w:iCs/>
              </w:rPr>
            </w:pPr>
            <m:oMathPara>
              <m:oMath>
                <m:r>
                  <w:rPr>
                    <w:rFonts w:ascii="Cambria Math" w:hAnsi="Cambria Math"/>
                  </w:rPr>
                  <m:t>1+</m:t>
                </m:r>
                <m:sSub>
                  <m:sSubPr>
                    <m:ctrlPr>
                      <w:rPr>
                        <w:rFonts w:ascii="Cambria Math" w:hAnsi="Cambria Math"/>
                        <w:i/>
                        <w:iCs/>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t+1</m:t>
                    </m:r>
                  </m:sub>
                </m:sSub>
                <m:f>
                  <m:fPr>
                    <m:ctrlPr>
                      <w:rPr>
                        <w:rFonts w:ascii="Cambria Math" w:hAnsi="Cambria Math"/>
                        <w:i/>
                        <w:iCs/>
                      </w:rPr>
                    </m:ctrlPr>
                  </m:fPr>
                  <m:num>
                    <m:sSub>
                      <m:sSubPr>
                        <m:ctrlPr>
                          <w:rPr>
                            <w:rFonts w:ascii="Cambria Math" w:hAnsi="Cambria Math"/>
                            <w:i/>
                            <w:iCs/>
                          </w:rPr>
                        </m:ctrlPr>
                      </m:sSubPr>
                      <m:e>
                        <m:r>
                          <w:rPr>
                            <w:rFonts w:ascii="Cambria Math" w:hAnsi="Cambria Math"/>
                          </w:rPr>
                          <m:t>E</m:t>
                        </m:r>
                      </m:e>
                      <m:sub>
                        <m:r>
                          <w:rPr>
                            <w:rFonts w:ascii="Cambria Math" w:hAnsi="Cambria Math"/>
                          </w:rPr>
                          <m:t>t</m:t>
                        </m:r>
                      </m:sub>
                    </m:sSub>
                    <m:sSub>
                      <m:sSubPr>
                        <m:ctrlPr>
                          <w:rPr>
                            <w:rFonts w:ascii="Cambria Math" w:hAnsi="Cambria Math"/>
                            <w:i/>
                            <w:iCs/>
                          </w:rPr>
                        </m:ctrlPr>
                      </m:sSubPr>
                      <m:e>
                        <m:r>
                          <w:rPr>
                            <w:rFonts w:ascii="Cambria Math" w:hAnsi="Cambria Math"/>
                          </w:rPr>
                          <m:t>P</m:t>
                        </m:r>
                      </m:e>
                      <m:sub>
                        <m:r>
                          <w:rPr>
                            <w:rFonts w:ascii="Cambria Math" w:hAnsi="Cambria Math"/>
                          </w:rPr>
                          <m:t>t+1</m:t>
                        </m:r>
                      </m:sub>
                    </m:sSub>
                  </m:num>
                  <m:den>
                    <m:sSub>
                      <m:sSubPr>
                        <m:ctrlPr>
                          <w:rPr>
                            <w:rFonts w:ascii="Cambria Math" w:hAnsi="Cambria Math"/>
                            <w:i/>
                            <w:iCs/>
                          </w:rPr>
                        </m:ctrlPr>
                      </m:sSubPr>
                      <m:e>
                        <m:r>
                          <w:rPr>
                            <w:rFonts w:ascii="Cambria Math" w:hAnsi="Cambria Math"/>
                          </w:rPr>
                          <m:t>P</m:t>
                        </m:r>
                      </m:e>
                      <m:sub>
                        <m:r>
                          <w:rPr>
                            <w:rFonts w:ascii="Cambria Math" w:hAnsi="Cambria Math"/>
                          </w:rPr>
                          <m:t>t</m:t>
                        </m:r>
                      </m:sub>
                    </m:sSub>
                  </m:den>
                </m:f>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t+1</m:t>
                    </m:r>
                  </m:sub>
                </m:sSub>
                <m:sSub>
                  <m:sSubPr>
                    <m:ctrlPr>
                      <w:rPr>
                        <w:rFonts w:ascii="Cambria Math" w:hAnsi="Cambria Math"/>
                        <w:i/>
                        <w:iCs/>
                      </w:rPr>
                    </m:ctrlPr>
                  </m:sSubPr>
                  <m:e>
                    <m:r>
                      <w:rPr>
                        <w:rFonts w:ascii="Cambria Math" w:hAnsi="Cambria Math"/>
                      </w:rPr>
                      <m:t>π</m:t>
                    </m:r>
                  </m:e>
                  <m:sub>
                    <m:r>
                      <w:rPr>
                        <w:rFonts w:ascii="Cambria Math" w:hAnsi="Cambria Math"/>
                      </w:rPr>
                      <m:t>t+1</m:t>
                    </m:r>
                  </m:sub>
                </m:sSub>
              </m:oMath>
            </m:oMathPara>
          </w:p>
        </w:tc>
        <w:tc>
          <w:tcPr>
            <w:tcW w:w="0" w:type="auto"/>
            <w:vAlign w:val="center"/>
          </w:tcPr>
          <w:p w14:paraId="7A457CE1" w14:textId="77777777" w:rsidR="00986556" w:rsidRPr="00C00819" w:rsidRDefault="00986556" w:rsidP="00986556">
            <w:r w:rsidRPr="00C00819">
              <w:t>(25)</w:t>
            </w:r>
          </w:p>
        </w:tc>
      </w:tr>
    </w:tbl>
    <w:bookmarkEnd w:id="64"/>
    <w:p w14:paraId="7A457CE5" w14:textId="77777777" w:rsidR="00EB5591" w:rsidRPr="00C00819" w:rsidRDefault="00A56209" w:rsidP="00986556">
      <w:pPr>
        <w:ind w:firstLine="709"/>
        <w:jc w:val="both"/>
        <w:rPr>
          <w:u w:val="single"/>
        </w:rPr>
      </w:pPr>
      <w:r w:rsidRPr="00C00819">
        <w:t>Além diss</w:t>
      </w:r>
      <w:r w:rsidR="00986556" w:rsidRPr="00C00819">
        <w:t>o, são considerados os</w:t>
      </w:r>
      <w:r w:rsidRPr="00C00819">
        <w:t xml:space="preserve"> choques</w:t>
      </w:r>
      <w:r w:rsidR="00986556" w:rsidRPr="00C00819">
        <w:t xml:space="preserve"> </w:t>
      </w:r>
      <w:r w:rsidR="00043A3C" w:rsidRPr="00C00819">
        <w:t>na taxa de pagamento dos empréstimos:</w:t>
      </w:r>
    </w:p>
    <w:p w14:paraId="7A457CE6" w14:textId="77777777" w:rsidR="00A56209" w:rsidRPr="00C00819" w:rsidRDefault="00EB5591" w:rsidP="0049080C">
      <w:pPr>
        <w:spacing w:before="120" w:after="120"/>
        <w:jc w:val="both"/>
        <w:rPr>
          <w:rFonts w:eastAsiaTheme="minorEastAsia"/>
          <w:iCs/>
        </w:rPr>
      </w:pPr>
      <m:oMathPara>
        <m:oMath>
          <m:r>
            <w:rPr>
              <w:rFonts w:ascii="Cambria Math" w:hAnsi="Cambria Math"/>
            </w:rPr>
            <m:t>1=</m:t>
          </m:r>
          <m:d>
            <m:dPr>
              <m:begChr m:val="{"/>
              <m:endChr m:val="}"/>
              <m:ctrlPr>
                <w:rPr>
                  <w:rFonts w:ascii="Cambria Math" w:hAnsi="Cambria Math"/>
                  <w:i/>
                </w:rPr>
              </m:ctrlPr>
            </m:dPr>
            <m:e>
              <m:sSub>
                <m:sSubPr>
                  <m:ctrlPr>
                    <w:rPr>
                      <w:rFonts w:ascii="Cambria Math" w:hAnsi="Cambria Math"/>
                      <w:i/>
                      <w:iCs/>
                    </w:rPr>
                  </m:ctrlPr>
                </m:sSubPr>
                <m:e>
                  <m:r>
                    <w:rPr>
                      <w:rFonts w:ascii="Cambria Math" w:hAnsi="Cambria Math"/>
                    </w:rPr>
                    <m:t>β</m:t>
                  </m:r>
                  <m:sSub>
                    <m:sSubPr>
                      <m:ctrlPr>
                        <w:rPr>
                          <w:rFonts w:ascii="Cambria Math" w:hAnsi="Cambria Math"/>
                          <w:i/>
                        </w:rPr>
                      </m:ctrlPr>
                    </m:sSubPr>
                    <m:e>
                      <m:r>
                        <w:rPr>
                          <w:rFonts w:ascii="Cambria Math" w:hAnsi="Cambria Math"/>
                        </w:rPr>
                        <m:t>Λ</m:t>
                      </m:r>
                    </m:e>
                    <m:sub>
                      <m:r>
                        <w:rPr>
                          <w:rFonts w:ascii="Cambria Math" w:hAnsi="Cambria Math"/>
                        </w:rPr>
                        <m:t>t,t+1</m:t>
                      </m:r>
                    </m:sub>
                  </m:sSub>
                  <m:r>
                    <w:rPr>
                      <w:rFonts w:ascii="Cambria Math" w:hAnsi="Cambria Math"/>
                    </w:rPr>
                    <m:t>κ</m:t>
                  </m:r>
                </m:e>
                <m:sub>
                  <m:r>
                    <w:rPr>
                      <w:rFonts w:ascii="Cambria Math" w:hAnsi="Cambria Math"/>
                    </w:rPr>
                    <m:t>D</m:t>
                  </m:r>
                </m:sub>
              </m:sSub>
              <m:d>
                <m:dPr>
                  <m:begChr m:val="["/>
                  <m:endChr m:val="]"/>
                  <m:ctrlPr>
                    <w:rPr>
                      <w:rFonts w:ascii="Cambria Math" w:hAnsi="Cambria Math"/>
                      <w:i/>
                      <w:iCs/>
                    </w:rPr>
                  </m:ctrlPr>
                </m:dPr>
                <m:e>
                  <m:d>
                    <m:dPr>
                      <m:ctrlPr>
                        <w:rPr>
                          <w:rFonts w:ascii="Cambria Math" w:hAnsi="Cambria Math"/>
                          <w:i/>
                        </w:rPr>
                      </m:ctrlPr>
                    </m:dPr>
                    <m:e>
                      <m:r>
                        <w:rPr>
                          <w:rFonts w:ascii="Cambria Math" w:hAnsi="Cambria Math"/>
                        </w:rPr>
                        <m:t>1-p</m:t>
                      </m:r>
                      <m:sSub>
                        <m:sSubPr>
                          <m:ctrlPr>
                            <w:rPr>
                              <w:rFonts w:ascii="Cambria Math" w:hAnsi="Cambria Math"/>
                              <w:i/>
                              <w:iCs/>
                            </w:rPr>
                          </m:ctrlPr>
                        </m:sSubPr>
                        <m:e>
                          <m:r>
                            <w:rPr>
                              <w:rFonts w:ascii="Cambria Math" w:hAnsi="Cambria Math"/>
                            </w:rPr>
                            <m:t>g</m:t>
                          </m:r>
                        </m:e>
                        <m:sub>
                          <m:r>
                            <w:rPr>
                              <w:rFonts w:ascii="Cambria Math" w:hAnsi="Cambria Math"/>
                            </w:rPr>
                            <m:t>t</m:t>
                          </m:r>
                        </m:sub>
                      </m:sSub>
                    </m:e>
                  </m:d>
                  <m:d>
                    <m:dPr>
                      <m:ctrlPr>
                        <w:rPr>
                          <w:rFonts w:ascii="Cambria Math" w:hAnsi="Cambria Math"/>
                          <w:i/>
                        </w:rPr>
                      </m:ctrlPr>
                    </m:dPr>
                    <m:e>
                      <m:r>
                        <m:rPr>
                          <m:sty m:val="p"/>
                        </m:rP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kt</m:t>
                          </m:r>
                        </m:sub>
                        <m:sup>
                          <m:r>
                            <w:rPr>
                              <w:rFonts w:ascii="Cambria Math" w:hAnsi="Cambria Math"/>
                            </w:rPr>
                            <m:t>M</m:t>
                          </m:r>
                        </m:sup>
                      </m:sSubSup>
                      <m:r>
                        <w:rPr>
                          <w:rFonts w:ascii="Cambria Math" w:hAnsi="Cambria Math"/>
                        </w:rPr>
                        <m:t>+δ</m:t>
                      </m:r>
                    </m:e>
                  </m:d>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t</m:t>
                      </m:r>
                    </m:sub>
                  </m:sSub>
                </m:e>
              </m:d>
            </m:e>
          </m:d>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p</m:t>
              </m:r>
              <m:sSub>
                <m:sSubPr>
                  <m:ctrlPr>
                    <w:rPr>
                      <w:rFonts w:ascii="Cambria Math" w:hAnsi="Cambria Math"/>
                      <w:i/>
                    </w:rPr>
                  </m:ctrlPr>
                </m:sSubPr>
                <m:e>
                  <m:r>
                    <w:rPr>
                      <w:rFonts w:ascii="Cambria Math" w:hAnsi="Cambria Math"/>
                    </w:rPr>
                    <m:t>g</m:t>
                  </m:r>
                </m:e>
                <m:sub>
                  <m:r>
                    <w:rPr>
                      <w:rFonts w:ascii="Cambria Math" w:hAnsi="Cambria Math"/>
                    </w:rPr>
                    <m:t>t</m:t>
                  </m:r>
                </m:sub>
              </m:sSub>
            </m:sub>
          </m:sSub>
        </m:oMath>
      </m:oMathPara>
    </w:p>
    <w:p w14:paraId="7A457CE7" w14:textId="3A4AF394" w:rsidR="00986556" w:rsidRPr="00C00819" w:rsidRDefault="00043A3C" w:rsidP="00580FCE">
      <w:pPr>
        <w:jc w:val="both"/>
      </w:pPr>
      <w:r w:rsidRPr="00C00819">
        <w:rPr>
          <w:iCs/>
        </w:rPr>
        <w:t xml:space="preserve">onde </w:t>
      </w:r>
      <m:oMath>
        <m:sSub>
          <m:sSubPr>
            <m:ctrlPr>
              <w:rPr>
                <w:rFonts w:ascii="Cambria Math" w:hAnsi="Cambria Math"/>
                <w:i/>
                <w:iCs/>
              </w:rPr>
            </m:ctrlPr>
          </m:sSubPr>
          <m:e>
            <m:r>
              <w:rPr>
                <w:rFonts w:ascii="Cambria Math" w:hAnsi="Cambria Math"/>
              </w:rPr>
              <m:t>ϵ</m:t>
            </m:r>
          </m:e>
          <m:sub>
            <m:r>
              <w:rPr>
                <w:rFonts w:ascii="Cambria Math" w:hAnsi="Cambria Math"/>
              </w:rPr>
              <m:t>p</m:t>
            </m:r>
            <m:sSub>
              <m:sSubPr>
                <m:ctrlPr>
                  <w:rPr>
                    <w:rFonts w:ascii="Cambria Math" w:hAnsi="Cambria Math"/>
                    <w:i/>
                  </w:rPr>
                </m:ctrlPr>
              </m:sSubPr>
              <m:e>
                <m:r>
                  <w:rPr>
                    <w:rFonts w:ascii="Cambria Math" w:hAnsi="Cambria Math"/>
                  </w:rPr>
                  <m:t>g</m:t>
                </m:r>
              </m:e>
              <m:sub>
                <m:r>
                  <w:rPr>
                    <w:rFonts w:ascii="Cambria Math" w:hAnsi="Cambria Math"/>
                  </w:rPr>
                  <m:t>t</m:t>
                </m:r>
              </m:sub>
            </m:sSub>
          </m:sub>
        </m:sSub>
        <m:r>
          <w:rPr>
            <w:rFonts w:ascii="Cambria Math" w:hAnsi="Cambria Math"/>
          </w:rPr>
          <m:t>≈iid(0,</m:t>
        </m:r>
        <m:sSubSup>
          <m:sSubSupPr>
            <m:ctrlPr>
              <w:rPr>
                <w:rFonts w:ascii="Cambria Math" w:hAnsi="Cambria Math"/>
                <w:i/>
                <w:iCs/>
              </w:rPr>
            </m:ctrlPr>
          </m:sSubSupPr>
          <m:e>
            <m:r>
              <w:rPr>
                <w:rFonts w:ascii="Cambria Math" w:hAnsi="Cambria Math"/>
              </w:rPr>
              <m:t>σ</m:t>
            </m:r>
          </m:e>
          <m:sub>
            <m:sSub>
              <m:sSubPr>
                <m:ctrlPr>
                  <w:rPr>
                    <w:rFonts w:ascii="Cambria Math" w:hAnsi="Cambria Math"/>
                    <w:i/>
                    <w:iCs/>
                  </w:rPr>
                </m:ctrlPr>
              </m:sSubPr>
              <m:e>
                <m:r>
                  <w:rPr>
                    <w:rFonts w:ascii="Cambria Math" w:hAnsi="Cambria Math"/>
                  </w:rPr>
                  <m:t>ϵ</m:t>
                </m:r>
              </m:e>
              <m:sub>
                <m:r>
                  <w:rPr>
                    <w:rFonts w:ascii="Cambria Math" w:hAnsi="Cambria Math"/>
                  </w:rPr>
                  <m:t>pg</m:t>
                </m:r>
              </m:sub>
            </m:sSub>
          </m:sub>
          <m:sup>
            <m:r>
              <w:rPr>
                <w:rFonts w:ascii="Cambria Math" w:hAnsi="Cambria Math"/>
              </w:rPr>
              <m:t>2</m:t>
            </m:r>
          </m:sup>
        </m:sSubSup>
        <m:r>
          <w:rPr>
            <w:rFonts w:ascii="Cambria Math" w:hAnsi="Cambria Math"/>
          </w:rPr>
          <m:t xml:space="preserve"> )</m:t>
        </m:r>
      </m:oMath>
      <w:r w:rsidRPr="00C00819">
        <w:rPr>
          <w:iCs/>
        </w:rPr>
        <w:t xml:space="preserve"> é um choque </w:t>
      </w:r>
      <m:oMath>
        <m:r>
          <w:rPr>
            <w:rFonts w:ascii="Cambria Math" w:hAnsi="Cambria Math"/>
          </w:rPr>
          <m:t>AR(1)</m:t>
        </m:r>
      </m:oMath>
      <w:r w:rsidR="00986556" w:rsidRPr="00C00819">
        <w:rPr>
          <w:rFonts w:eastAsiaTheme="minorEastAsia"/>
        </w:rPr>
        <w:t xml:space="preserve">, e na </w:t>
      </w:r>
      <w:r w:rsidRPr="00C00819">
        <w:t>alíquota dos depósitos compulsórios:</w:t>
      </w:r>
    </w:p>
    <w:p w14:paraId="7A457CE8" w14:textId="77777777" w:rsidR="00043A3C" w:rsidRPr="00C00819" w:rsidRDefault="000D6AC7" w:rsidP="00580FCE">
      <w:pPr>
        <w:jc w:val="both"/>
        <w:rPr>
          <w:rFonts w:eastAsiaTheme="minorEastAsia"/>
          <w:iCs/>
        </w:rPr>
      </w:pPr>
      <m:oMathPara>
        <m:oMath>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τ</m:t>
              </m:r>
            </m:e>
          </m:acc>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τ</m:t>
              </m:r>
            </m:sub>
          </m:sSub>
          <m:r>
            <w:rPr>
              <w:rFonts w:ascii="Cambria Math" w:hAnsi="Cambria Math"/>
            </w:rPr>
            <m:t>(log</m:t>
          </m:r>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-log</m:t>
          </m:r>
          <m:sSubSup>
            <m:sSubSupPr>
              <m:ctrlPr>
                <w:rPr>
                  <w:rFonts w:ascii="Cambria Math" w:hAnsi="Cambria Math"/>
                  <w:i/>
                </w:rPr>
              </m:ctrlPr>
            </m:sSubSupPr>
            <m:e>
              <m:r>
                <w:rPr>
                  <w:rFonts w:ascii="Cambria Math" w:hAnsi="Cambria Math"/>
                </w:rPr>
                <m:t>Q</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ϵ</m:t>
              </m:r>
            </m:e>
            <m:sub>
              <m:sSub>
                <m:sSubPr>
                  <m:ctrlPr>
                    <w:rPr>
                      <w:rFonts w:ascii="Cambria Math" w:hAnsi="Cambria Math"/>
                      <w:i/>
                    </w:rPr>
                  </m:ctrlPr>
                </m:sSubPr>
                <m:e>
                  <m:r>
                    <w:rPr>
                      <w:rFonts w:ascii="Cambria Math" w:hAnsi="Cambria Math"/>
                    </w:rPr>
                    <m:t>τ</m:t>
                  </m:r>
                </m:e>
                <m:sub>
                  <m:r>
                    <w:rPr>
                      <w:rFonts w:ascii="Cambria Math" w:hAnsi="Cambria Math"/>
                    </w:rPr>
                    <m:t>t</m:t>
                  </m:r>
                </m:sub>
              </m:sSub>
            </m:sub>
          </m:sSub>
        </m:oMath>
      </m:oMathPara>
    </w:p>
    <w:p w14:paraId="7A457CE9" w14:textId="77777777" w:rsidR="00043A3C" w:rsidRPr="00C00819" w:rsidRDefault="00043A3C" w:rsidP="00580FCE">
      <w:pPr>
        <w:jc w:val="both"/>
        <w:rPr>
          <w:rFonts w:eastAsiaTheme="minorEastAsia"/>
        </w:rPr>
      </w:pPr>
      <w:r w:rsidRPr="00C00819">
        <w:rPr>
          <w:iCs/>
        </w:rPr>
        <w:t xml:space="preserve">onde </w:t>
      </w:r>
      <m:oMath>
        <m:sSub>
          <m:sSubPr>
            <m:ctrlPr>
              <w:rPr>
                <w:rFonts w:ascii="Cambria Math" w:hAnsi="Cambria Math"/>
                <w:i/>
                <w:iCs/>
              </w:rPr>
            </m:ctrlPr>
          </m:sSubPr>
          <m:e>
            <m:r>
              <w:rPr>
                <w:rFonts w:ascii="Cambria Math" w:hAnsi="Cambria Math"/>
              </w:rPr>
              <m:t>ϵ</m:t>
            </m:r>
          </m:e>
          <m:sub>
            <m:sSub>
              <m:sSubPr>
                <m:ctrlPr>
                  <w:rPr>
                    <w:rFonts w:ascii="Cambria Math" w:hAnsi="Cambria Math"/>
                    <w:i/>
                  </w:rPr>
                </m:ctrlPr>
              </m:sSubPr>
              <m:e>
                <m:r>
                  <w:rPr>
                    <w:rFonts w:ascii="Cambria Math" w:hAnsi="Cambria Math"/>
                  </w:rPr>
                  <m:t>τ</m:t>
                </m:r>
              </m:e>
              <m:sub>
                <m:r>
                  <w:rPr>
                    <w:rFonts w:ascii="Cambria Math" w:hAnsi="Cambria Math"/>
                  </w:rPr>
                  <m:t>t</m:t>
                </m:r>
              </m:sub>
            </m:sSub>
          </m:sub>
        </m:sSub>
        <m:r>
          <w:rPr>
            <w:rFonts w:ascii="Cambria Math" w:hAnsi="Cambria Math"/>
          </w:rPr>
          <m:t>≈iid(0,</m:t>
        </m:r>
        <m:sSubSup>
          <m:sSubSupPr>
            <m:ctrlPr>
              <w:rPr>
                <w:rFonts w:ascii="Cambria Math" w:hAnsi="Cambria Math"/>
                <w:i/>
                <w:iCs/>
              </w:rPr>
            </m:ctrlPr>
          </m:sSubSupPr>
          <m:e>
            <m:r>
              <w:rPr>
                <w:rFonts w:ascii="Cambria Math" w:hAnsi="Cambria Math"/>
              </w:rPr>
              <m:t>σ</m:t>
            </m:r>
          </m:e>
          <m:sub>
            <m:sSub>
              <m:sSubPr>
                <m:ctrlPr>
                  <w:rPr>
                    <w:rFonts w:ascii="Cambria Math" w:hAnsi="Cambria Math"/>
                    <w:i/>
                    <w:iCs/>
                  </w:rPr>
                </m:ctrlPr>
              </m:sSubPr>
              <m:e>
                <m:r>
                  <w:rPr>
                    <w:rFonts w:ascii="Cambria Math" w:hAnsi="Cambria Math"/>
                  </w:rPr>
                  <m:t>ϵ</m:t>
                </m:r>
              </m:e>
              <m:sub>
                <m:sSub>
                  <m:sSubPr>
                    <m:ctrlPr>
                      <w:rPr>
                        <w:rFonts w:ascii="Cambria Math" w:hAnsi="Cambria Math"/>
                        <w:i/>
                      </w:rPr>
                    </m:ctrlPr>
                  </m:sSubPr>
                  <m:e>
                    <m:r>
                      <w:rPr>
                        <w:rFonts w:ascii="Cambria Math" w:hAnsi="Cambria Math"/>
                      </w:rPr>
                      <m:t>τ</m:t>
                    </m:r>
                  </m:e>
                  <m:sub>
                    <m:r>
                      <w:rPr>
                        <w:rFonts w:ascii="Cambria Math" w:hAnsi="Cambria Math"/>
                      </w:rPr>
                      <m:t>t</m:t>
                    </m:r>
                  </m:sub>
                </m:sSub>
              </m:sub>
            </m:sSub>
          </m:sub>
          <m:sup>
            <m:r>
              <w:rPr>
                <w:rFonts w:ascii="Cambria Math" w:hAnsi="Cambria Math"/>
              </w:rPr>
              <m:t>2</m:t>
            </m:r>
          </m:sup>
        </m:sSubSup>
        <m:r>
          <w:rPr>
            <w:rFonts w:ascii="Cambria Math" w:hAnsi="Cambria Math"/>
          </w:rPr>
          <m:t xml:space="preserve"> )</m:t>
        </m:r>
      </m:oMath>
      <w:r w:rsidRPr="00C00819">
        <w:rPr>
          <w:iCs/>
        </w:rPr>
        <w:t xml:space="preserve"> é um choque </w:t>
      </w:r>
      <m:oMath>
        <m:r>
          <w:rPr>
            <w:rFonts w:ascii="Cambria Math" w:hAnsi="Cambria Math"/>
          </w:rPr>
          <m:t>AR(1)</m:t>
        </m:r>
      </m:oMath>
      <w:r w:rsidRPr="00C00819">
        <w:rPr>
          <w:rFonts w:eastAsiaTheme="minorEastAsia"/>
        </w:rPr>
        <w:t>.</w:t>
      </w:r>
    </w:p>
    <w:p w14:paraId="7A457CEB" w14:textId="77777777" w:rsidR="00F50EE1" w:rsidRPr="00C00819" w:rsidRDefault="00986556" w:rsidP="00CB169E">
      <w:pPr>
        <w:pStyle w:val="Ttulo2"/>
        <w:numPr>
          <w:ilvl w:val="1"/>
          <w:numId w:val="9"/>
        </w:numPr>
        <w:tabs>
          <w:tab w:val="left" w:pos="426"/>
        </w:tabs>
        <w:spacing w:before="120" w:after="120" w:line="240" w:lineRule="auto"/>
        <w:ind w:left="0" w:firstLine="0"/>
        <w:rPr>
          <w:rFonts w:ascii="Times New Roman" w:hAnsi="Times New Roman" w:cs="Times New Roman"/>
          <w:sz w:val="24"/>
          <w:szCs w:val="24"/>
        </w:rPr>
      </w:pPr>
      <w:bookmarkStart w:id="65" w:name="_Toc451294393"/>
      <w:r w:rsidRPr="00C00819">
        <w:rPr>
          <w:rFonts w:ascii="Times New Roman" w:hAnsi="Times New Roman" w:cs="Times New Roman"/>
          <w:sz w:val="24"/>
          <w:szCs w:val="24"/>
        </w:rPr>
        <w:lastRenderedPageBreak/>
        <w:t>R</w:t>
      </w:r>
      <w:r w:rsidR="00F50EE1" w:rsidRPr="00C00819">
        <w:rPr>
          <w:rFonts w:ascii="Times New Roman" w:hAnsi="Times New Roman" w:cs="Times New Roman"/>
          <w:sz w:val="24"/>
          <w:szCs w:val="24"/>
        </w:rPr>
        <w:t>ESULTADOS</w:t>
      </w:r>
      <w:bookmarkEnd w:id="65"/>
    </w:p>
    <w:p w14:paraId="7A457CEC" w14:textId="77777777" w:rsidR="00F50EE1" w:rsidRPr="00C00819" w:rsidRDefault="00F50EE1" w:rsidP="00CB169E">
      <w:pPr>
        <w:pStyle w:val="Ttulo3"/>
        <w:numPr>
          <w:ilvl w:val="1"/>
          <w:numId w:val="19"/>
        </w:numPr>
        <w:spacing w:before="120" w:after="120" w:line="240" w:lineRule="auto"/>
        <w:rPr>
          <w:rFonts w:ascii="Times New Roman" w:hAnsi="Times New Roman" w:cs="Times New Roman"/>
        </w:rPr>
      </w:pPr>
      <w:bookmarkStart w:id="66" w:name="_Toc451294394"/>
      <w:r w:rsidRPr="00C00819">
        <w:rPr>
          <w:rFonts w:ascii="Times New Roman" w:hAnsi="Times New Roman" w:cs="Times New Roman"/>
        </w:rPr>
        <w:t>C</w:t>
      </w:r>
      <w:r w:rsidR="00656534" w:rsidRPr="00C00819">
        <w:rPr>
          <w:rFonts w:ascii="Times New Roman" w:hAnsi="Times New Roman" w:cs="Times New Roman"/>
        </w:rPr>
        <w:t>alibração</w:t>
      </w:r>
      <w:bookmarkEnd w:id="66"/>
    </w:p>
    <w:p w14:paraId="7A457CEE" w14:textId="77777777" w:rsidR="00132AD0" w:rsidRPr="00C00819" w:rsidRDefault="00F50EE1" w:rsidP="004D1697">
      <w:pPr>
        <w:ind w:firstLine="708"/>
        <w:jc w:val="both"/>
      </w:pPr>
      <w:r w:rsidRPr="00C00819">
        <w:t>Para a calibr</w:t>
      </w:r>
      <w:r w:rsidR="003142B7" w:rsidRPr="00C00819">
        <w:t>ação, utilizou-se d</w:t>
      </w:r>
      <w:r w:rsidRPr="00C00819">
        <w:t>a literatura nacional</w:t>
      </w:r>
      <w:r w:rsidR="003142B7" w:rsidRPr="00C00819">
        <w:t xml:space="preserve"> sempre que possível</w:t>
      </w:r>
      <w:r w:rsidRPr="00C00819">
        <w:t xml:space="preserve">. Considerou-se Castro et al. (2011) para os parâmetros </w:t>
      </w:r>
      <w:r w:rsidR="003142B7" w:rsidRPr="00C00819">
        <w:t xml:space="preserve">da </w:t>
      </w:r>
      <w:r w:rsidRPr="00C00819">
        <w:t xml:space="preserve">Regra </w:t>
      </w:r>
      <w:r w:rsidR="003142B7" w:rsidRPr="00C00819">
        <w:t>de Taylor, d</w:t>
      </w:r>
      <w:r w:rsidRPr="00C00819">
        <w:t>o reajus</w:t>
      </w:r>
      <w:r w:rsidR="003142B7" w:rsidRPr="00C00819">
        <w:t>te dos preços dos bens finais, d</w:t>
      </w:r>
      <w:r w:rsidRPr="00C00819">
        <w:t>a ta</w:t>
      </w:r>
      <w:r w:rsidR="003142B7" w:rsidRPr="00C00819">
        <w:t>xa de desconto intertemporal e d</w:t>
      </w:r>
      <w:r w:rsidRPr="00C00819">
        <w:t xml:space="preserve">os hábitos do consumo. Silva e Divino (2013) foram base para os valores da participação do trabalho na utilidade das famílias, do inverso da elasticidade de </w:t>
      </w:r>
      <w:proofErr w:type="spellStart"/>
      <w:r w:rsidRPr="00C00819">
        <w:rPr>
          <w:i/>
        </w:rPr>
        <w:t>Frish</w:t>
      </w:r>
      <w:proofErr w:type="spellEnd"/>
      <w:r w:rsidRPr="00C00819">
        <w:t xml:space="preserve"> da oferta de trabalho, da intensidade do custo de </w:t>
      </w:r>
      <w:r w:rsidRPr="00C00819">
        <w:rPr>
          <w:i/>
        </w:rPr>
        <w:t>default</w:t>
      </w:r>
      <w:r w:rsidRPr="00C00819">
        <w:t xml:space="preserve"> e da participação do capital na função de produção. Os parâmetros referentes à depreciação do capital </w:t>
      </w:r>
      <w:r w:rsidR="003142B7" w:rsidRPr="00C00819">
        <w:t xml:space="preserve">vieram de </w:t>
      </w:r>
      <w:r w:rsidR="00FD4EF4" w:rsidRPr="00C00819">
        <w:t xml:space="preserve">Cavalcanti e Vereda (2011) e os parâmetros </w:t>
      </w:r>
      <w:r w:rsidR="003142B7" w:rsidRPr="00C00819">
        <w:t>d</w:t>
      </w:r>
      <w:r w:rsidR="00FD4EF4" w:rsidRPr="00C00819">
        <w:t xml:space="preserve">as instituições financeiras </w:t>
      </w:r>
      <w:r w:rsidR="003142B7" w:rsidRPr="00C00819">
        <w:t xml:space="preserve">tiveram origem em </w:t>
      </w:r>
      <w:r w:rsidR="00FD4EF4" w:rsidRPr="00C00819">
        <w:t>Kornelius e Divino (2015).</w:t>
      </w:r>
      <w:r w:rsidRPr="00C00819">
        <w:t xml:space="preserve"> Os parâmetros não encontrados na literatura nacional foram </w:t>
      </w:r>
      <w:r w:rsidR="003142B7" w:rsidRPr="00C00819">
        <w:t xml:space="preserve">extraídos de </w:t>
      </w:r>
      <w:proofErr w:type="spellStart"/>
      <w:r w:rsidR="003142B7" w:rsidRPr="00C00819">
        <w:t>Ge</w:t>
      </w:r>
      <w:r w:rsidRPr="00C00819">
        <w:t>rtler</w:t>
      </w:r>
      <w:proofErr w:type="spellEnd"/>
      <w:r w:rsidRPr="00C00819">
        <w:t xml:space="preserve"> e </w:t>
      </w:r>
      <w:proofErr w:type="spellStart"/>
      <w:r w:rsidRPr="00C00819">
        <w:t>Karadi</w:t>
      </w:r>
      <w:proofErr w:type="spellEnd"/>
      <w:r w:rsidRPr="00C00819">
        <w:t xml:space="preserve"> (2011).</w:t>
      </w:r>
      <w:r w:rsidR="00132AD0" w:rsidRPr="00C00819">
        <w:t xml:space="preserve"> </w:t>
      </w:r>
      <w:r w:rsidR="003142B7" w:rsidRPr="00C00819">
        <w:t xml:space="preserve">A </w:t>
      </w:r>
      <w:r w:rsidR="009B7582" w:rsidRPr="00C00819">
        <w:t>Tabela 1</w:t>
      </w:r>
      <w:r w:rsidR="003142B7" w:rsidRPr="00C00819">
        <w:t xml:space="preserve"> resume os valores utilizados</w:t>
      </w:r>
      <w:r w:rsidR="009B7582" w:rsidRPr="00C00819">
        <w:t>.</w:t>
      </w:r>
    </w:p>
    <w:p w14:paraId="7A457CF0" w14:textId="6ADE2B21" w:rsidR="0025622C" w:rsidRPr="00C00819" w:rsidRDefault="0025622C" w:rsidP="00F86DC7">
      <w:pPr>
        <w:pStyle w:val="Legenda"/>
        <w:keepNext/>
        <w:spacing w:before="120" w:after="0" w:line="240" w:lineRule="auto"/>
        <w:jc w:val="both"/>
        <w:rPr>
          <w:rFonts w:cs="Times New Roman"/>
          <w:b w:val="0"/>
          <w:color w:val="auto"/>
          <w:sz w:val="24"/>
          <w:szCs w:val="24"/>
        </w:rPr>
      </w:pPr>
      <w:bookmarkStart w:id="67" w:name="_Toc451294349"/>
      <w:r w:rsidRPr="00C00819">
        <w:rPr>
          <w:rFonts w:cs="Times New Roman"/>
          <w:b w:val="0"/>
          <w:color w:val="auto"/>
          <w:sz w:val="24"/>
          <w:szCs w:val="24"/>
        </w:rPr>
        <w:t xml:space="preserve">Tabela </w:t>
      </w:r>
      <w:r w:rsidRPr="00C00819">
        <w:rPr>
          <w:rFonts w:cs="Times New Roman"/>
          <w:b w:val="0"/>
          <w:color w:val="auto"/>
          <w:sz w:val="24"/>
          <w:szCs w:val="24"/>
        </w:rPr>
        <w:fldChar w:fldCharType="begin"/>
      </w:r>
      <w:r w:rsidRPr="00C00819">
        <w:rPr>
          <w:rFonts w:cs="Times New Roman"/>
          <w:b w:val="0"/>
          <w:color w:val="auto"/>
          <w:sz w:val="24"/>
          <w:szCs w:val="24"/>
        </w:rPr>
        <w:instrText xml:space="preserve"> SEQ Tabela \* ARABIC </w:instrText>
      </w:r>
      <w:r w:rsidRPr="00C00819">
        <w:rPr>
          <w:rFonts w:cs="Times New Roman"/>
          <w:b w:val="0"/>
          <w:color w:val="auto"/>
          <w:sz w:val="24"/>
          <w:szCs w:val="24"/>
        </w:rPr>
        <w:fldChar w:fldCharType="separate"/>
      </w:r>
      <w:r w:rsidR="00023231" w:rsidRPr="00C00819">
        <w:rPr>
          <w:rFonts w:cs="Times New Roman"/>
          <w:b w:val="0"/>
          <w:noProof/>
          <w:color w:val="auto"/>
          <w:sz w:val="24"/>
          <w:szCs w:val="24"/>
        </w:rPr>
        <w:t>1</w:t>
      </w:r>
      <w:r w:rsidRPr="00C00819">
        <w:rPr>
          <w:rFonts w:cs="Times New Roman"/>
          <w:b w:val="0"/>
          <w:color w:val="auto"/>
          <w:sz w:val="24"/>
          <w:szCs w:val="24"/>
        </w:rPr>
        <w:fldChar w:fldCharType="end"/>
      </w:r>
      <w:r w:rsidRPr="00C00819">
        <w:rPr>
          <w:rFonts w:cs="Times New Roman"/>
          <w:b w:val="0"/>
          <w:color w:val="auto"/>
          <w:sz w:val="24"/>
          <w:szCs w:val="24"/>
        </w:rPr>
        <w:t xml:space="preserve"> – Parâmetros Calibrados</w:t>
      </w:r>
      <w:bookmarkEnd w:id="67"/>
    </w:p>
    <w:tbl>
      <w:tblPr>
        <w:tblStyle w:val="Tabelacomgrade"/>
        <w:tblW w:w="10206"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30"/>
        <w:gridCol w:w="897"/>
        <w:gridCol w:w="5811"/>
        <w:gridCol w:w="2268"/>
      </w:tblGrid>
      <w:tr w:rsidR="0025622C" w:rsidRPr="000546B4" w14:paraId="7A457CF5" w14:textId="77777777" w:rsidTr="000546B4">
        <w:tc>
          <w:tcPr>
            <w:tcW w:w="1230" w:type="dxa"/>
            <w:tcBorders>
              <w:top w:val="single" w:sz="4" w:space="0" w:color="auto"/>
              <w:bottom w:val="single" w:sz="4" w:space="0" w:color="auto"/>
              <w:right w:val="single" w:sz="2" w:space="0" w:color="auto"/>
            </w:tcBorders>
            <w:vAlign w:val="center"/>
          </w:tcPr>
          <w:p w14:paraId="7A457CF1" w14:textId="77777777" w:rsidR="0025622C" w:rsidRPr="000546B4" w:rsidRDefault="0025622C" w:rsidP="0025622C">
            <w:pPr>
              <w:rPr>
                <w:b/>
                <w:sz w:val="22"/>
                <w:szCs w:val="22"/>
              </w:rPr>
            </w:pPr>
            <w:r w:rsidRPr="000546B4">
              <w:rPr>
                <w:b/>
                <w:sz w:val="22"/>
                <w:szCs w:val="22"/>
              </w:rPr>
              <w:t>Parâmetro</w:t>
            </w:r>
          </w:p>
        </w:tc>
        <w:tc>
          <w:tcPr>
            <w:tcW w:w="897" w:type="dxa"/>
            <w:tcBorders>
              <w:top w:val="single" w:sz="4" w:space="0" w:color="auto"/>
              <w:left w:val="single" w:sz="2" w:space="0" w:color="auto"/>
              <w:bottom w:val="single" w:sz="4" w:space="0" w:color="auto"/>
              <w:right w:val="single" w:sz="2" w:space="0" w:color="auto"/>
            </w:tcBorders>
            <w:vAlign w:val="center"/>
          </w:tcPr>
          <w:p w14:paraId="7A457CF2" w14:textId="77777777" w:rsidR="0025622C" w:rsidRPr="000546B4" w:rsidRDefault="0025622C" w:rsidP="0025622C">
            <w:pPr>
              <w:rPr>
                <w:b/>
                <w:sz w:val="22"/>
                <w:szCs w:val="22"/>
              </w:rPr>
            </w:pPr>
            <w:r w:rsidRPr="000546B4">
              <w:rPr>
                <w:b/>
                <w:sz w:val="22"/>
                <w:szCs w:val="22"/>
              </w:rPr>
              <w:t>Valor</w:t>
            </w:r>
          </w:p>
        </w:tc>
        <w:tc>
          <w:tcPr>
            <w:tcW w:w="5811" w:type="dxa"/>
            <w:tcBorders>
              <w:top w:val="single" w:sz="4" w:space="0" w:color="auto"/>
              <w:left w:val="single" w:sz="2" w:space="0" w:color="auto"/>
              <w:bottom w:val="single" w:sz="4" w:space="0" w:color="auto"/>
              <w:right w:val="single" w:sz="2" w:space="0" w:color="auto"/>
            </w:tcBorders>
            <w:vAlign w:val="center"/>
          </w:tcPr>
          <w:p w14:paraId="7A457CF3" w14:textId="77777777" w:rsidR="0025622C" w:rsidRPr="000546B4" w:rsidRDefault="0025622C" w:rsidP="0025622C">
            <w:pPr>
              <w:rPr>
                <w:b/>
                <w:sz w:val="22"/>
                <w:szCs w:val="22"/>
              </w:rPr>
            </w:pPr>
            <w:r w:rsidRPr="000546B4">
              <w:rPr>
                <w:b/>
                <w:sz w:val="22"/>
                <w:szCs w:val="22"/>
              </w:rPr>
              <w:t>Descrição</w:t>
            </w:r>
          </w:p>
        </w:tc>
        <w:tc>
          <w:tcPr>
            <w:tcW w:w="2268" w:type="dxa"/>
            <w:tcBorders>
              <w:top w:val="single" w:sz="4" w:space="0" w:color="auto"/>
              <w:left w:val="single" w:sz="2" w:space="0" w:color="auto"/>
              <w:bottom w:val="single" w:sz="4" w:space="0" w:color="auto"/>
              <w:right w:val="single" w:sz="4" w:space="0" w:color="FFFFFF" w:themeColor="background1"/>
            </w:tcBorders>
            <w:vAlign w:val="center"/>
          </w:tcPr>
          <w:p w14:paraId="7A457CF4" w14:textId="77777777" w:rsidR="0025622C" w:rsidRPr="000546B4" w:rsidRDefault="0025622C" w:rsidP="0025622C">
            <w:pPr>
              <w:rPr>
                <w:b/>
                <w:sz w:val="22"/>
                <w:szCs w:val="22"/>
              </w:rPr>
            </w:pPr>
            <w:r w:rsidRPr="000546B4">
              <w:rPr>
                <w:b/>
                <w:sz w:val="22"/>
                <w:szCs w:val="22"/>
              </w:rPr>
              <w:t>Fonte</w:t>
            </w:r>
          </w:p>
        </w:tc>
      </w:tr>
      <w:tr w:rsidR="0025622C" w:rsidRPr="000546B4" w14:paraId="7A457CF7" w14:textId="77777777" w:rsidTr="004D1697">
        <w:tc>
          <w:tcPr>
            <w:tcW w:w="10206" w:type="dxa"/>
            <w:gridSpan w:val="4"/>
            <w:tcBorders>
              <w:top w:val="single" w:sz="4" w:space="0" w:color="auto"/>
              <w:bottom w:val="single" w:sz="4" w:space="0" w:color="auto"/>
              <w:right w:val="single" w:sz="4" w:space="0" w:color="FFFFFF" w:themeColor="background1"/>
            </w:tcBorders>
            <w:vAlign w:val="center"/>
          </w:tcPr>
          <w:p w14:paraId="7A457CF6" w14:textId="77777777" w:rsidR="0025622C" w:rsidRPr="000546B4" w:rsidRDefault="0025622C" w:rsidP="0025622C">
            <w:pPr>
              <w:rPr>
                <w:b/>
                <w:sz w:val="22"/>
                <w:szCs w:val="22"/>
              </w:rPr>
            </w:pPr>
            <w:r w:rsidRPr="000546B4">
              <w:rPr>
                <w:b/>
                <w:sz w:val="22"/>
                <w:szCs w:val="22"/>
              </w:rPr>
              <w:t>Famílias</w:t>
            </w:r>
          </w:p>
        </w:tc>
      </w:tr>
      <w:tr w:rsidR="0025622C" w:rsidRPr="000546B4" w14:paraId="7A457CFC" w14:textId="77777777" w:rsidTr="000546B4">
        <w:tc>
          <w:tcPr>
            <w:tcW w:w="1230" w:type="dxa"/>
            <w:tcBorders>
              <w:top w:val="single" w:sz="4" w:space="0" w:color="auto"/>
              <w:bottom w:val="nil"/>
              <w:right w:val="single" w:sz="2" w:space="0" w:color="auto"/>
            </w:tcBorders>
            <w:vAlign w:val="center"/>
          </w:tcPr>
          <w:p w14:paraId="7A457CF8" w14:textId="77777777" w:rsidR="0025622C" w:rsidRPr="000546B4" w:rsidRDefault="0025622C" w:rsidP="0025622C">
            <w:pPr>
              <w:rPr>
                <w:sz w:val="22"/>
                <w:szCs w:val="22"/>
              </w:rPr>
            </w:pPr>
            <m:oMathPara>
              <m:oMath>
                <m:r>
                  <w:rPr>
                    <w:rFonts w:ascii="Cambria Math" w:hAnsi="Cambria Math"/>
                    <w:sz w:val="22"/>
                    <w:szCs w:val="22"/>
                  </w:rPr>
                  <m:t>β</m:t>
                </m:r>
              </m:oMath>
            </m:oMathPara>
          </w:p>
        </w:tc>
        <w:tc>
          <w:tcPr>
            <w:tcW w:w="897" w:type="dxa"/>
            <w:tcBorders>
              <w:top w:val="single" w:sz="4" w:space="0" w:color="auto"/>
              <w:left w:val="single" w:sz="2" w:space="0" w:color="auto"/>
              <w:bottom w:val="nil"/>
              <w:right w:val="single" w:sz="2" w:space="0" w:color="auto"/>
            </w:tcBorders>
            <w:vAlign w:val="center"/>
          </w:tcPr>
          <w:p w14:paraId="7A457CF9" w14:textId="77777777" w:rsidR="0025622C" w:rsidRPr="000546B4" w:rsidRDefault="0025622C" w:rsidP="0025622C">
            <w:pPr>
              <w:rPr>
                <w:sz w:val="22"/>
                <w:szCs w:val="22"/>
              </w:rPr>
            </w:pPr>
            <w:r w:rsidRPr="000546B4">
              <w:rPr>
                <w:sz w:val="22"/>
                <w:szCs w:val="22"/>
              </w:rPr>
              <w:t>0,9890</w:t>
            </w:r>
          </w:p>
        </w:tc>
        <w:tc>
          <w:tcPr>
            <w:tcW w:w="5811" w:type="dxa"/>
            <w:tcBorders>
              <w:top w:val="single" w:sz="4" w:space="0" w:color="auto"/>
              <w:left w:val="single" w:sz="2" w:space="0" w:color="auto"/>
              <w:bottom w:val="nil"/>
              <w:right w:val="single" w:sz="2" w:space="0" w:color="auto"/>
            </w:tcBorders>
            <w:vAlign w:val="center"/>
          </w:tcPr>
          <w:p w14:paraId="7A457CFA" w14:textId="77777777" w:rsidR="0025622C" w:rsidRPr="000546B4" w:rsidRDefault="0025622C" w:rsidP="0025622C">
            <w:pPr>
              <w:rPr>
                <w:sz w:val="22"/>
                <w:szCs w:val="22"/>
              </w:rPr>
            </w:pPr>
            <w:r w:rsidRPr="000546B4">
              <w:rPr>
                <w:sz w:val="22"/>
                <w:szCs w:val="22"/>
              </w:rPr>
              <w:t>Taxa de Desconto</w:t>
            </w:r>
          </w:p>
        </w:tc>
        <w:tc>
          <w:tcPr>
            <w:tcW w:w="2268" w:type="dxa"/>
            <w:tcBorders>
              <w:top w:val="single" w:sz="4" w:space="0" w:color="auto"/>
              <w:left w:val="single" w:sz="2" w:space="0" w:color="auto"/>
              <w:bottom w:val="nil"/>
              <w:right w:val="single" w:sz="4" w:space="0" w:color="FFFFFF" w:themeColor="background1"/>
            </w:tcBorders>
            <w:vAlign w:val="center"/>
          </w:tcPr>
          <w:p w14:paraId="7A457CFB" w14:textId="77777777" w:rsidR="0025622C" w:rsidRPr="000546B4" w:rsidRDefault="0025622C" w:rsidP="0025622C">
            <w:pPr>
              <w:rPr>
                <w:sz w:val="22"/>
                <w:szCs w:val="22"/>
              </w:rPr>
            </w:pPr>
            <w:r w:rsidRPr="000546B4">
              <w:rPr>
                <w:sz w:val="22"/>
                <w:szCs w:val="22"/>
              </w:rPr>
              <w:t>Castro et al. (2011)</w:t>
            </w:r>
          </w:p>
        </w:tc>
      </w:tr>
      <w:tr w:rsidR="0025622C" w:rsidRPr="000546B4" w14:paraId="7A457D01" w14:textId="77777777" w:rsidTr="000546B4">
        <w:tc>
          <w:tcPr>
            <w:tcW w:w="1230" w:type="dxa"/>
            <w:tcBorders>
              <w:top w:val="nil"/>
              <w:bottom w:val="nil"/>
              <w:right w:val="single" w:sz="2" w:space="0" w:color="auto"/>
            </w:tcBorders>
            <w:vAlign w:val="center"/>
          </w:tcPr>
          <w:p w14:paraId="7A457CFD" w14:textId="77777777" w:rsidR="0025622C" w:rsidRPr="000546B4" w:rsidRDefault="0025622C" w:rsidP="0025622C">
            <w:pPr>
              <w:rPr>
                <w:sz w:val="22"/>
                <w:szCs w:val="22"/>
              </w:rPr>
            </w:pPr>
            <m:oMathPara>
              <m:oMath>
                <m:r>
                  <w:rPr>
                    <w:rFonts w:ascii="Cambria Math" w:hAnsi="Cambria Math"/>
                    <w:sz w:val="22"/>
                    <w:szCs w:val="22"/>
                  </w:rPr>
                  <m:t>h</m:t>
                </m:r>
              </m:oMath>
            </m:oMathPara>
          </w:p>
        </w:tc>
        <w:tc>
          <w:tcPr>
            <w:tcW w:w="897" w:type="dxa"/>
            <w:tcBorders>
              <w:top w:val="nil"/>
              <w:left w:val="single" w:sz="2" w:space="0" w:color="auto"/>
              <w:bottom w:val="nil"/>
              <w:right w:val="single" w:sz="2" w:space="0" w:color="auto"/>
            </w:tcBorders>
            <w:vAlign w:val="center"/>
          </w:tcPr>
          <w:p w14:paraId="7A457CFE" w14:textId="77777777" w:rsidR="0025622C" w:rsidRPr="000546B4" w:rsidRDefault="0025622C" w:rsidP="0025622C">
            <w:pPr>
              <w:rPr>
                <w:sz w:val="22"/>
                <w:szCs w:val="22"/>
              </w:rPr>
            </w:pPr>
            <w:r w:rsidRPr="000546B4">
              <w:rPr>
                <w:sz w:val="22"/>
                <w:szCs w:val="22"/>
              </w:rPr>
              <w:t xml:space="preserve">0,7544 </w:t>
            </w:r>
          </w:p>
        </w:tc>
        <w:tc>
          <w:tcPr>
            <w:tcW w:w="5811" w:type="dxa"/>
            <w:tcBorders>
              <w:top w:val="nil"/>
              <w:left w:val="single" w:sz="2" w:space="0" w:color="auto"/>
              <w:bottom w:val="nil"/>
              <w:right w:val="single" w:sz="2" w:space="0" w:color="auto"/>
            </w:tcBorders>
            <w:vAlign w:val="center"/>
          </w:tcPr>
          <w:p w14:paraId="7A457CFF" w14:textId="77777777" w:rsidR="0025622C" w:rsidRPr="000546B4" w:rsidRDefault="0025622C" w:rsidP="0025622C">
            <w:pPr>
              <w:rPr>
                <w:sz w:val="22"/>
                <w:szCs w:val="22"/>
              </w:rPr>
            </w:pPr>
            <w:r w:rsidRPr="000546B4">
              <w:rPr>
                <w:sz w:val="22"/>
                <w:szCs w:val="22"/>
              </w:rPr>
              <w:t>Hábito do Consumo</w:t>
            </w:r>
          </w:p>
        </w:tc>
        <w:tc>
          <w:tcPr>
            <w:tcW w:w="2268" w:type="dxa"/>
            <w:tcBorders>
              <w:top w:val="nil"/>
              <w:left w:val="single" w:sz="2" w:space="0" w:color="auto"/>
              <w:bottom w:val="nil"/>
              <w:right w:val="single" w:sz="4" w:space="0" w:color="FFFFFF" w:themeColor="background1"/>
            </w:tcBorders>
            <w:vAlign w:val="center"/>
          </w:tcPr>
          <w:p w14:paraId="7A457D00" w14:textId="77777777" w:rsidR="0025622C" w:rsidRPr="000546B4" w:rsidRDefault="0025622C" w:rsidP="0025622C">
            <w:pPr>
              <w:rPr>
                <w:sz w:val="22"/>
                <w:szCs w:val="22"/>
              </w:rPr>
            </w:pPr>
            <w:r w:rsidRPr="000546B4">
              <w:rPr>
                <w:sz w:val="22"/>
                <w:szCs w:val="22"/>
              </w:rPr>
              <w:t>Castro et al. (2011)</w:t>
            </w:r>
          </w:p>
        </w:tc>
      </w:tr>
      <w:tr w:rsidR="0025622C" w:rsidRPr="000546B4" w14:paraId="7A457D06" w14:textId="77777777" w:rsidTr="000546B4">
        <w:tc>
          <w:tcPr>
            <w:tcW w:w="1230" w:type="dxa"/>
            <w:tcBorders>
              <w:top w:val="nil"/>
              <w:bottom w:val="nil"/>
              <w:right w:val="single" w:sz="2" w:space="0" w:color="auto"/>
            </w:tcBorders>
            <w:vAlign w:val="center"/>
          </w:tcPr>
          <w:p w14:paraId="7A457D02" w14:textId="77777777" w:rsidR="0025622C" w:rsidRPr="000546B4" w:rsidRDefault="0025622C" w:rsidP="0025622C">
            <w:pPr>
              <w:rPr>
                <w:sz w:val="22"/>
                <w:szCs w:val="22"/>
              </w:rPr>
            </w:pPr>
            <m:oMathPara>
              <m:oMath>
                <m:r>
                  <w:rPr>
                    <w:rFonts w:ascii="Cambria Math" w:hAnsi="Cambria Math"/>
                    <w:sz w:val="22"/>
                    <w:szCs w:val="22"/>
                  </w:rPr>
                  <m:t>χ</m:t>
                </m:r>
              </m:oMath>
            </m:oMathPara>
          </w:p>
        </w:tc>
        <w:tc>
          <w:tcPr>
            <w:tcW w:w="897" w:type="dxa"/>
            <w:tcBorders>
              <w:top w:val="nil"/>
              <w:left w:val="single" w:sz="2" w:space="0" w:color="auto"/>
              <w:bottom w:val="nil"/>
              <w:right w:val="single" w:sz="2" w:space="0" w:color="auto"/>
            </w:tcBorders>
            <w:vAlign w:val="center"/>
          </w:tcPr>
          <w:p w14:paraId="7A457D03" w14:textId="77777777" w:rsidR="0025622C" w:rsidRPr="000546B4" w:rsidRDefault="0025622C" w:rsidP="0025622C">
            <w:pPr>
              <w:rPr>
                <w:sz w:val="22"/>
                <w:szCs w:val="22"/>
              </w:rPr>
            </w:pPr>
            <w:r w:rsidRPr="000546B4">
              <w:rPr>
                <w:sz w:val="22"/>
                <w:szCs w:val="22"/>
              </w:rPr>
              <w:t>3,5140</w:t>
            </w:r>
          </w:p>
        </w:tc>
        <w:tc>
          <w:tcPr>
            <w:tcW w:w="5811" w:type="dxa"/>
            <w:tcBorders>
              <w:top w:val="nil"/>
              <w:left w:val="single" w:sz="2" w:space="0" w:color="auto"/>
              <w:bottom w:val="nil"/>
              <w:right w:val="single" w:sz="2" w:space="0" w:color="auto"/>
            </w:tcBorders>
            <w:vAlign w:val="center"/>
          </w:tcPr>
          <w:p w14:paraId="7A457D04" w14:textId="77777777" w:rsidR="0025622C" w:rsidRPr="000546B4" w:rsidRDefault="0025622C" w:rsidP="0025622C">
            <w:pPr>
              <w:rPr>
                <w:sz w:val="22"/>
                <w:szCs w:val="22"/>
              </w:rPr>
            </w:pPr>
            <w:r w:rsidRPr="000546B4">
              <w:rPr>
                <w:sz w:val="22"/>
                <w:szCs w:val="22"/>
              </w:rPr>
              <w:t>Participação do Trabalho na Utilidade</w:t>
            </w:r>
          </w:p>
        </w:tc>
        <w:tc>
          <w:tcPr>
            <w:tcW w:w="2268" w:type="dxa"/>
            <w:tcBorders>
              <w:top w:val="nil"/>
              <w:left w:val="single" w:sz="2" w:space="0" w:color="auto"/>
              <w:bottom w:val="nil"/>
              <w:right w:val="single" w:sz="4" w:space="0" w:color="FFFFFF" w:themeColor="background1"/>
            </w:tcBorders>
            <w:vAlign w:val="center"/>
          </w:tcPr>
          <w:p w14:paraId="7A457D05" w14:textId="77777777" w:rsidR="0025622C" w:rsidRPr="000546B4" w:rsidRDefault="0025622C" w:rsidP="0025622C">
            <w:pPr>
              <w:rPr>
                <w:sz w:val="22"/>
                <w:szCs w:val="22"/>
              </w:rPr>
            </w:pPr>
            <w:r w:rsidRPr="000546B4">
              <w:rPr>
                <w:sz w:val="22"/>
                <w:szCs w:val="22"/>
              </w:rPr>
              <w:t>Silva e Divino (2013)</w:t>
            </w:r>
          </w:p>
        </w:tc>
      </w:tr>
      <w:tr w:rsidR="0025622C" w:rsidRPr="000546B4" w14:paraId="7A457D0B" w14:textId="77777777" w:rsidTr="000546B4">
        <w:tc>
          <w:tcPr>
            <w:tcW w:w="1230" w:type="dxa"/>
            <w:tcBorders>
              <w:top w:val="nil"/>
              <w:bottom w:val="single" w:sz="4" w:space="0" w:color="auto"/>
              <w:right w:val="single" w:sz="2" w:space="0" w:color="auto"/>
            </w:tcBorders>
            <w:vAlign w:val="center"/>
          </w:tcPr>
          <w:p w14:paraId="7A457D07" w14:textId="77777777" w:rsidR="0025622C" w:rsidRPr="000546B4" w:rsidRDefault="0025622C" w:rsidP="0025622C">
            <w:pPr>
              <w:rPr>
                <w:sz w:val="22"/>
                <w:szCs w:val="22"/>
              </w:rPr>
            </w:pPr>
            <m:oMathPara>
              <m:oMath>
                <m:r>
                  <w:rPr>
                    <w:rFonts w:ascii="Cambria Math" w:hAnsi="Cambria Math"/>
                    <w:sz w:val="22"/>
                    <w:szCs w:val="22"/>
                  </w:rPr>
                  <m:t>φ</m:t>
                </m:r>
              </m:oMath>
            </m:oMathPara>
          </w:p>
        </w:tc>
        <w:tc>
          <w:tcPr>
            <w:tcW w:w="897" w:type="dxa"/>
            <w:tcBorders>
              <w:top w:val="nil"/>
              <w:left w:val="single" w:sz="2" w:space="0" w:color="auto"/>
              <w:bottom w:val="single" w:sz="4" w:space="0" w:color="auto"/>
              <w:right w:val="single" w:sz="2" w:space="0" w:color="auto"/>
            </w:tcBorders>
            <w:vAlign w:val="center"/>
          </w:tcPr>
          <w:p w14:paraId="7A457D08" w14:textId="77777777" w:rsidR="0025622C" w:rsidRPr="000546B4" w:rsidRDefault="0025622C" w:rsidP="0025622C">
            <w:pPr>
              <w:rPr>
                <w:sz w:val="22"/>
                <w:szCs w:val="22"/>
              </w:rPr>
            </w:pPr>
            <w:r w:rsidRPr="000546B4">
              <w:rPr>
                <w:sz w:val="22"/>
                <w:szCs w:val="22"/>
              </w:rPr>
              <w:t>0,1030</w:t>
            </w:r>
          </w:p>
        </w:tc>
        <w:tc>
          <w:tcPr>
            <w:tcW w:w="5811" w:type="dxa"/>
            <w:tcBorders>
              <w:top w:val="nil"/>
              <w:left w:val="single" w:sz="2" w:space="0" w:color="auto"/>
              <w:bottom w:val="single" w:sz="4" w:space="0" w:color="auto"/>
              <w:right w:val="single" w:sz="2" w:space="0" w:color="auto"/>
            </w:tcBorders>
            <w:vAlign w:val="center"/>
          </w:tcPr>
          <w:p w14:paraId="7A457D09" w14:textId="77777777" w:rsidR="0025622C" w:rsidRPr="000546B4" w:rsidRDefault="0025622C" w:rsidP="0025622C">
            <w:pPr>
              <w:rPr>
                <w:sz w:val="22"/>
                <w:szCs w:val="22"/>
              </w:rPr>
            </w:pPr>
            <w:r w:rsidRPr="000546B4">
              <w:rPr>
                <w:sz w:val="22"/>
                <w:szCs w:val="22"/>
              </w:rPr>
              <w:t>Inverso da elasticidade de Frisch da Oferta de Trabalho</w:t>
            </w:r>
          </w:p>
        </w:tc>
        <w:tc>
          <w:tcPr>
            <w:tcW w:w="2268" w:type="dxa"/>
            <w:tcBorders>
              <w:top w:val="nil"/>
              <w:left w:val="single" w:sz="2" w:space="0" w:color="auto"/>
              <w:bottom w:val="single" w:sz="4" w:space="0" w:color="auto"/>
              <w:right w:val="single" w:sz="4" w:space="0" w:color="FFFFFF" w:themeColor="background1"/>
            </w:tcBorders>
            <w:vAlign w:val="center"/>
          </w:tcPr>
          <w:p w14:paraId="7A457D0A" w14:textId="77777777" w:rsidR="0025622C" w:rsidRPr="000546B4" w:rsidRDefault="0025622C" w:rsidP="0025622C">
            <w:pPr>
              <w:rPr>
                <w:sz w:val="22"/>
                <w:szCs w:val="22"/>
              </w:rPr>
            </w:pPr>
            <w:r w:rsidRPr="000546B4">
              <w:rPr>
                <w:sz w:val="22"/>
                <w:szCs w:val="22"/>
              </w:rPr>
              <w:t>Silva e Divino (2013)</w:t>
            </w:r>
          </w:p>
        </w:tc>
      </w:tr>
      <w:tr w:rsidR="0025622C" w:rsidRPr="000546B4" w14:paraId="7A457D0D" w14:textId="77777777" w:rsidTr="004D1697">
        <w:tc>
          <w:tcPr>
            <w:tcW w:w="10206" w:type="dxa"/>
            <w:gridSpan w:val="4"/>
            <w:tcBorders>
              <w:top w:val="single" w:sz="4" w:space="0" w:color="auto"/>
              <w:bottom w:val="single" w:sz="4" w:space="0" w:color="auto"/>
              <w:right w:val="single" w:sz="4" w:space="0" w:color="FFFFFF" w:themeColor="background1"/>
            </w:tcBorders>
            <w:vAlign w:val="center"/>
          </w:tcPr>
          <w:p w14:paraId="7A457D0C" w14:textId="77777777" w:rsidR="0025622C" w:rsidRPr="000546B4" w:rsidRDefault="0025622C" w:rsidP="0025622C">
            <w:pPr>
              <w:rPr>
                <w:b/>
                <w:sz w:val="22"/>
                <w:szCs w:val="22"/>
              </w:rPr>
            </w:pPr>
            <w:r w:rsidRPr="000546B4">
              <w:rPr>
                <w:b/>
                <w:sz w:val="22"/>
                <w:szCs w:val="22"/>
              </w:rPr>
              <w:t>Instituições Financeiras</w:t>
            </w:r>
          </w:p>
        </w:tc>
      </w:tr>
      <w:tr w:rsidR="0025622C" w:rsidRPr="000546B4" w14:paraId="7A457D12" w14:textId="77777777" w:rsidTr="000546B4">
        <w:tc>
          <w:tcPr>
            <w:tcW w:w="1230" w:type="dxa"/>
            <w:tcBorders>
              <w:top w:val="single" w:sz="4" w:space="0" w:color="auto"/>
              <w:bottom w:val="nil"/>
              <w:right w:val="single" w:sz="2" w:space="0" w:color="auto"/>
            </w:tcBorders>
            <w:vAlign w:val="center"/>
          </w:tcPr>
          <w:p w14:paraId="7A457D0E" w14:textId="77777777" w:rsidR="0025622C" w:rsidRPr="000546B4" w:rsidRDefault="0025622C" w:rsidP="0025622C">
            <w:pPr>
              <w:rPr>
                <w:sz w:val="22"/>
                <w:szCs w:val="22"/>
              </w:rPr>
            </w:pPr>
            <m:oMathPara>
              <m:oMath>
                <m:r>
                  <w:rPr>
                    <w:rFonts w:ascii="Cambria Math" w:hAnsi="Cambria Math"/>
                    <w:sz w:val="22"/>
                    <w:szCs w:val="22"/>
                  </w:rPr>
                  <m:t>λ</m:t>
                </m:r>
              </m:oMath>
            </m:oMathPara>
          </w:p>
        </w:tc>
        <w:tc>
          <w:tcPr>
            <w:tcW w:w="897" w:type="dxa"/>
            <w:tcBorders>
              <w:top w:val="single" w:sz="4" w:space="0" w:color="auto"/>
              <w:left w:val="single" w:sz="2" w:space="0" w:color="auto"/>
              <w:bottom w:val="nil"/>
              <w:right w:val="single" w:sz="2" w:space="0" w:color="auto"/>
            </w:tcBorders>
            <w:vAlign w:val="center"/>
          </w:tcPr>
          <w:p w14:paraId="7A457D0F" w14:textId="77777777" w:rsidR="0025622C" w:rsidRPr="000546B4" w:rsidRDefault="0025622C" w:rsidP="0025622C">
            <w:pPr>
              <w:rPr>
                <w:sz w:val="22"/>
                <w:szCs w:val="22"/>
              </w:rPr>
            </w:pPr>
            <w:r w:rsidRPr="000546B4">
              <w:rPr>
                <w:sz w:val="22"/>
                <w:szCs w:val="22"/>
              </w:rPr>
              <w:t>0,2800</w:t>
            </w:r>
          </w:p>
        </w:tc>
        <w:tc>
          <w:tcPr>
            <w:tcW w:w="5811" w:type="dxa"/>
            <w:tcBorders>
              <w:top w:val="single" w:sz="4" w:space="0" w:color="auto"/>
              <w:left w:val="single" w:sz="2" w:space="0" w:color="auto"/>
              <w:bottom w:val="nil"/>
              <w:right w:val="single" w:sz="2" w:space="0" w:color="auto"/>
            </w:tcBorders>
            <w:vAlign w:val="center"/>
          </w:tcPr>
          <w:p w14:paraId="7A457D10" w14:textId="77777777" w:rsidR="0025622C" w:rsidRPr="000546B4" w:rsidRDefault="0025622C" w:rsidP="0025622C">
            <w:pPr>
              <w:rPr>
                <w:sz w:val="22"/>
                <w:szCs w:val="22"/>
              </w:rPr>
            </w:pPr>
            <w:r w:rsidRPr="000546B4">
              <w:rPr>
                <w:sz w:val="22"/>
                <w:szCs w:val="22"/>
              </w:rPr>
              <w:t>Fração do capital que pode ser desviada</w:t>
            </w:r>
          </w:p>
        </w:tc>
        <w:tc>
          <w:tcPr>
            <w:tcW w:w="2268" w:type="dxa"/>
            <w:tcBorders>
              <w:top w:val="single" w:sz="4" w:space="0" w:color="auto"/>
              <w:left w:val="single" w:sz="2" w:space="0" w:color="auto"/>
              <w:bottom w:val="nil"/>
              <w:right w:val="single" w:sz="4" w:space="0" w:color="FFFFFF" w:themeColor="background1"/>
            </w:tcBorders>
            <w:vAlign w:val="center"/>
          </w:tcPr>
          <w:p w14:paraId="7A457D11" w14:textId="77777777" w:rsidR="0025622C" w:rsidRPr="000546B4" w:rsidRDefault="0025622C" w:rsidP="0025622C">
            <w:pPr>
              <w:rPr>
                <w:sz w:val="22"/>
                <w:szCs w:val="22"/>
              </w:rPr>
            </w:pPr>
            <w:proofErr w:type="spellStart"/>
            <w:r w:rsidRPr="000546B4">
              <w:rPr>
                <w:sz w:val="22"/>
                <w:szCs w:val="22"/>
              </w:rPr>
              <w:t>Kornelius</w:t>
            </w:r>
            <w:proofErr w:type="spellEnd"/>
            <w:r w:rsidRPr="000546B4">
              <w:rPr>
                <w:sz w:val="22"/>
                <w:szCs w:val="22"/>
              </w:rPr>
              <w:t xml:space="preserve"> e Divino (2015)</w:t>
            </w:r>
          </w:p>
        </w:tc>
      </w:tr>
      <w:tr w:rsidR="0025622C" w:rsidRPr="000546B4" w14:paraId="7A457D17" w14:textId="77777777" w:rsidTr="000546B4">
        <w:tc>
          <w:tcPr>
            <w:tcW w:w="1230" w:type="dxa"/>
            <w:tcBorders>
              <w:top w:val="nil"/>
              <w:bottom w:val="nil"/>
              <w:right w:val="single" w:sz="2" w:space="0" w:color="auto"/>
            </w:tcBorders>
            <w:vAlign w:val="center"/>
          </w:tcPr>
          <w:p w14:paraId="7A457D13" w14:textId="77777777" w:rsidR="0025622C" w:rsidRPr="000546B4" w:rsidRDefault="0025622C" w:rsidP="0025622C">
            <w:pPr>
              <w:rPr>
                <w:sz w:val="22"/>
                <w:szCs w:val="22"/>
              </w:rPr>
            </w:pPr>
            <m:oMathPara>
              <m:oMath>
                <m:r>
                  <w:rPr>
                    <w:rFonts w:ascii="Cambria Math" w:hAnsi="Cambria Math"/>
                    <w:sz w:val="22"/>
                    <w:szCs w:val="22"/>
                  </w:rPr>
                  <m:t>ω</m:t>
                </m:r>
              </m:oMath>
            </m:oMathPara>
          </w:p>
        </w:tc>
        <w:tc>
          <w:tcPr>
            <w:tcW w:w="897" w:type="dxa"/>
            <w:tcBorders>
              <w:top w:val="nil"/>
              <w:left w:val="single" w:sz="2" w:space="0" w:color="auto"/>
              <w:bottom w:val="nil"/>
              <w:right w:val="single" w:sz="2" w:space="0" w:color="auto"/>
            </w:tcBorders>
            <w:vAlign w:val="center"/>
          </w:tcPr>
          <w:p w14:paraId="7A457D14" w14:textId="77777777" w:rsidR="0025622C" w:rsidRPr="000546B4" w:rsidRDefault="0025622C" w:rsidP="0025622C">
            <w:pPr>
              <w:rPr>
                <w:sz w:val="22"/>
                <w:szCs w:val="22"/>
              </w:rPr>
            </w:pPr>
            <w:r w:rsidRPr="000546B4">
              <w:rPr>
                <w:sz w:val="22"/>
                <w:szCs w:val="22"/>
              </w:rPr>
              <w:t>0,0009</w:t>
            </w:r>
          </w:p>
        </w:tc>
        <w:tc>
          <w:tcPr>
            <w:tcW w:w="5811" w:type="dxa"/>
            <w:tcBorders>
              <w:top w:val="nil"/>
              <w:left w:val="single" w:sz="2" w:space="0" w:color="auto"/>
              <w:bottom w:val="nil"/>
              <w:right w:val="single" w:sz="2" w:space="0" w:color="auto"/>
            </w:tcBorders>
            <w:vAlign w:val="center"/>
          </w:tcPr>
          <w:p w14:paraId="7A457D15" w14:textId="77777777" w:rsidR="0025622C" w:rsidRPr="000546B4" w:rsidRDefault="0025622C" w:rsidP="0025622C">
            <w:pPr>
              <w:rPr>
                <w:sz w:val="22"/>
                <w:szCs w:val="22"/>
              </w:rPr>
            </w:pPr>
            <w:r w:rsidRPr="000546B4">
              <w:rPr>
                <w:sz w:val="22"/>
                <w:szCs w:val="22"/>
              </w:rPr>
              <w:t>Transferência de recursos para os novos bancos</w:t>
            </w:r>
          </w:p>
        </w:tc>
        <w:tc>
          <w:tcPr>
            <w:tcW w:w="2268" w:type="dxa"/>
            <w:tcBorders>
              <w:top w:val="nil"/>
              <w:left w:val="single" w:sz="2" w:space="0" w:color="auto"/>
              <w:bottom w:val="nil"/>
              <w:right w:val="single" w:sz="4" w:space="0" w:color="FFFFFF" w:themeColor="background1"/>
            </w:tcBorders>
            <w:vAlign w:val="center"/>
          </w:tcPr>
          <w:p w14:paraId="7A457D16" w14:textId="77777777" w:rsidR="0025622C" w:rsidRPr="000546B4" w:rsidRDefault="0025622C" w:rsidP="0025622C">
            <w:pPr>
              <w:rPr>
                <w:sz w:val="22"/>
                <w:szCs w:val="22"/>
              </w:rPr>
            </w:pPr>
            <w:proofErr w:type="spellStart"/>
            <w:r w:rsidRPr="000546B4">
              <w:rPr>
                <w:sz w:val="22"/>
                <w:szCs w:val="22"/>
              </w:rPr>
              <w:t>Kornelius</w:t>
            </w:r>
            <w:proofErr w:type="spellEnd"/>
            <w:r w:rsidRPr="000546B4">
              <w:rPr>
                <w:sz w:val="22"/>
                <w:szCs w:val="22"/>
              </w:rPr>
              <w:t xml:space="preserve"> e Divino (2015)</w:t>
            </w:r>
          </w:p>
        </w:tc>
      </w:tr>
      <w:tr w:rsidR="0025622C" w:rsidRPr="000546B4" w14:paraId="7A457D1C" w14:textId="77777777" w:rsidTr="000546B4">
        <w:tc>
          <w:tcPr>
            <w:tcW w:w="1230" w:type="dxa"/>
            <w:tcBorders>
              <w:top w:val="nil"/>
              <w:bottom w:val="nil"/>
              <w:right w:val="single" w:sz="2" w:space="0" w:color="auto"/>
            </w:tcBorders>
            <w:vAlign w:val="center"/>
          </w:tcPr>
          <w:p w14:paraId="7A457D18" w14:textId="77777777" w:rsidR="0025622C" w:rsidRPr="000546B4" w:rsidRDefault="0025622C" w:rsidP="0025622C">
            <w:pPr>
              <w:rPr>
                <w:sz w:val="22"/>
                <w:szCs w:val="22"/>
              </w:rPr>
            </w:pPr>
            <m:oMathPara>
              <m:oMath>
                <m:r>
                  <w:rPr>
                    <w:rFonts w:ascii="Cambria Math" w:hAnsi="Cambria Math"/>
                    <w:sz w:val="22"/>
                    <w:szCs w:val="22"/>
                  </w:rPr>
                  <m:t>θ</m:t>
                </m:r>
              </m:oMath>
            </m:oMathPara>
          </w:p>
        </w:tc>
        <w:tc>
          <w:tcPr>
            <w:tcW w:w="897" w:type="dxa"/>
            <w:tcBorders>
              <w:top w:val="nil"/>
              <w:left w:val="single" w:sz="2" w:space="0" w:color="auto"/>
              <w:bottom w:val="nil"/>
              <w:right w:val="single" w:sz="2" w:space="0" w:color="auto"/>
            </w:tcBorders>
            <w:vAlign w:val="center"/>
          </w:tcPr>
          <w:p w14:paraId="7A457D19" w14:textId="77777777" w:rsidR="0025622C" w:rsidRPr="000546B4" w:rsidRDefault="0025622C" w:rsidP="0025622C">
            <w:pPr>
              <w:rPr>
                <w:sz w:val="22"/>
                <w:szCs w:val="22"/>
              </w:rPr>
            </w:pPr>
            <w:r w:rsidRPr="000546B4">
              <w:rPr>
                <w:sz w:val="22"/>
                <w:szCs w:val="22"/>
              </w:rPr>
              <w:t>0,9750</w:t>
            </w:r>
          </w:p>
        </w:tc>
        <w:tc>
          <w:tcPr>
            <w:tcW w:w="5811" w:type="dxa"/>
            <w:tcBorders>
              <w:top w:val="nil"/>
              <w:left w:val="single" w:sz="2" w:space="0" w:color="auto"/>
              <w:bottom w:val="nil"/>
              <w:right w:val="single" w:sz="2" w:space="0" w:color="auto"/>
            </w:tcBorders>
            <w:vAlign w:val="center"/>
          </w:tcPr>
          <w:p w14:paraId="7A457D1A" w14:textId="77777777" w:rsidR="0025622C" w:rsidRPr="000546B4" w:rsidRDefault="0025622C" w:rsidP="0025622C">
            <w:pPr>
              <w:rPr>
                <w:sz w:val="22"/>
                <w:szCs w:val="22"/>
              </w:rPr>
            </w:pPr>
            <w:r w:rsidRPr="000546B4">
              <w:rPr>
                <w:sz w:val="22"/>
                <w:szCs w:val="22"/>
              </w:rPr>
              <w:t>Taxa de sobrevivência dos bancos</w:t>
            </w:r>
          </w:p>
        </w:tc>
        <w:tc>
          <w:tcPr>
            <w:tcW w:w="2268" w:type="dxa"/>
            <w:tcBorders>
              <w:top w:val="nil"/>
              <w:left w:val="single" w:sz="2" w:space="0" w:color="auto"/>
              <w:bottom w:val="nil"/>
              <w:right w:val="single" w:sz="4" w:space="0" w:color="FFFFFF" w:themeColor="background1"/>
            </w:tcBorders>
            <w:vAlign w:val="center"/>
          </w:tcPr>
          <w:p w14:paraId="7A457D1B" w14:textId="77777777" w:rsidR="0025622C" w:rsidRPr="000546B4" w:rsidRDefault="0025622C" w:rsidP="0025622C">
            <w:pPr>
              <w:rPr>
                <w:sz w:val="22"/>
                <w:szCs w:val="22"/>
              </w:rPr>
            </w:pPr>
            <w:proofErr w:type="spellStart"/>
            <w:r w:rsidRPr="000546B4">
              <w:rPr>
                <w:sz w:val="22"/>
                <w:szCs w:val="22"/>
              </w:rPr>
              <w:t>Kornelius</w:t>
            </w:r>
            <w:proofErr w:type="spellEnd"/>
            <w:r w:rsidRPr="000546B4">
              <w:rPr>
                <w:sz w:val="22"/>
                <w:szCs w:val="22"/>
              </w:rPr>
              <w:t xml:space="preserve"> e Divino (2015)</w:t>
            </w:r>
          </w:p>
        </w:tc>
      </w:tr>
      <w:tr w:rsidR="0025622C" w:rsidRPr="000546B4" w14:paraId="7A457D21" w14:textId="77777777" w:rsidTr="000546B4">
        <w:tc>
          <w:tcPr>
            <w:tcW w:w="1230" w:type="dxa"/>
            <w:tcBorders>
              <w:top w:val="nil"/>
              <w:bottom w:val="nil"/>
              <w:right w:val="single" w:sz="2" w:space="0" w:color="auto"/>
            </w:tcBorders>
            <w:vAlign w:val="center"/>
          </w:tcPr>
          <w:p w14:paraId="7A457D1D" w14:textId="77777777" w:rsidR="0025622C" w:rsidRPr="000546B4" w:rsidRDefault="000D6AC7" w:rsidP="0025622C">
            <w:pPr>
              <w:rPr>
                <w:sz w:val="22"/>
                <w:szCs w:val="22"/>
              </w:rPr>
            </w:pPr>
            <m:oMathPara>
              <m:oMath>
                <m:sSub>
                  <m:sSubPr>
                    <m:ctrlPr>
                      <w:rPr>
                        <w:rFonts w:ascii="Cambria Math" w:hAnsi="Cambria Math"/>
                        <w:i/>
                        <w:iCs/>
                        <w:sz w:val="22"/>
                        <w:szCs w:val="22"/>
                      </w:rPr>
                    </m:ctrlPr>
                  </m:sSubPr>
                  <m:e>
                    <m:r>
                      <w:rPr>
                        <w:rFonts w:ascii="Cambria Math" w:hAnsi="Cambria Math"/>
                        <w:sz w:val="22"/>
                        <w:szCs w:val="22"/>
                      </w:rPr>
                      <m:t>κ</m:t>
                    </m:r>
                  </m:e>
                  <m:sub>
                    <m:r>
                      <w:rPr>
                        <w:rFonts w:ascii="Cambria Math" w:hAnsi="Cambria Math"/>
                        <w:sz w:val="22"/>
                        <w:szCs w:val="22"/>
                      </w:rPr>
                      <m:t>D</m:t>
                    </m:r>
                  </m:sub>
                </m:sSub>
              </m:oMath>
            </m:oMathPara>
          </w:p>
        </w:tc>
        <w:tc>
          <w:tcPr>
            <w:tcW w:w="897" w:type="dxa"/>
            <w:tcBorders>
              <w:top w:val="nil"/>
              <w:left w:val="single" w:sz="2" w:space="0" w:color="auto"/>
              <w:bottom w:val="nil"/>
              <w:right w:val="single" w:sz="2" w:space="0" w:color="auto"/>
            </w:tcBorders>
            <w:vAlign w:val="center"/>
          </w:tcPr>
          <w:p w14:paraId="7A457D1E" w14:textId="77777777" w:rsidR="0025622C" w:rsidRPr="000546B4" w:rsidRDefault="0025622C" w:rsidP="0025622C">
            <w:pPr>
              <w:rPr>
                <w:sz w:val="22"/>
                <w:szCs w:val="22"/>
              </w:rPr>
            </w:pPr>
            <w:r w:rsidRPr="000546B4">
              <w:rPr>
                <w:sz w:val="22"/>
                <w:szCs w:val="22"/>
              </w:rPr>
              <w:t>2,4960</w:t>
            </w:r>
          </w:p>
        </w:tc>
        <w:tc>
          <w:tcPr>
            <w:tcW w:w="5811" w:type="dxa"/>
            <w:tcBorders>
              <w:top w:val="nil"/>
              <w:left w:val="single" w:sz="2" w:space="0" w:color="auto"/>
              <w:bottom w:val="nil"/>
              <w:right w:val="single" w:sz="2" w:space="0" w:color="auto"/>
            </w:tcBorders>
            <w:vAlign w:val="center"/>
          </w:tcPr>
          <w:p w14:paraId="7A457D1F" w14:textId="77777777" w:rsidR="0025622C" w:rsidRPr="000546B4" w:rsidRDefault="0025622C" w:rsidP="0025622C">
            <w:pPr>
              <w:rPr>
                <w:sz w:val="22"/>
                <w:szCs w:val="22"/>
              </w:rPr>
            </w:pPr>
            <w:r w:rsidRPr="000546B4">
              <w:rPr>
                <w:sz w:val="22"/>
                <w:szCs w:val="22"/>
              </w:rPr>
              <w:t xml:space="preserve">Intensidade do custo de default </w:t>
            </w:r>
          </w:p>
        </w:tc>
        <w:tc>
          <w:tcPr>
            <w:tcW w:w="2268" w:type="dxa"/>
            <w:tcBorders>
              <w:top w:val="nil"/>
              <w:left w:val="single" w:sz="2" w:space="0" w:color="auto"/>
              <w:bottom w:val="nil"/>
              <w:right w:val="single" w:sz="4" w:space="0" w:color="FFFFFF" w:themeColor="background1"/>
            </w:tcBorders>
            <w:vAlign w:val="center"/>
          </w:tcPr>
          <w:p w14:paraId="7A457D20" w14:textId="77777777" w:rsidR="0025622C" w:rsidRPr="000546B4" w:rsidRDefault="0025622C" w:rsidP="0025622C">
            <w:pPr>
              <w:rPr>
                <w:sz w:val="22"/>
                <w:szCs w:val="22"/>
              </w:rPr>
            </w:pPr>
            <w:r w:rsidRPr="000546B4">
              <w:rPr>
                <w:sz w:val="22"/>
                <w:szCs w:val="22"/>
              </w:rPr>
              <w:t>Silva e Divino (2013)</w:t>
            </w:r>
          </w:p>
        </w:tc>
      </w:tr>
      <w:tr w:rsidR="0025622C" w:rsidRPr="000546B4" w14:paraId="7A457D26" w14:textId="77777777" w:rsidTr="000546B4">
        <w:tc>
          <w:tcPr>
            <w:tcW w:w="1230" w:type="dxa"/>
            <w:tcBorders>
              <w:top w:val="nil"/>
              <w:bottom w:val="nil"/>
              <w:right w:val="single" w:sz="2" w:space="0" w:color="auto"/>
            </w:tcBorders>
            <w:vAlign w:val="center"/>
          </w:tcPr>
          <w:p w14:paraId="7A457D22" w14:textId="77777777" w:rsidR="0025622C" w:rsidRPr="000546B4" w:rsidRDefault="000D6AC7" w:rsidP="0025622C">
            <w:pPr>
              <w:rPr>
                <w:rFonts w:eastAsia="Calibri"/>
                <w:iCs/>
                <w:sz w:val="22"/>
                <w:szCs w:val="22"/>
              </w:rPr>
            </w:pPr>
            <m:oMathPara>
              <m:oMath>
                <m:sSub>
                  <m:sSubPr>
                    <m:ctrlPr>
                      <w:rPr>
                        <w:rFonts w:ascii="Cambria Math" w:hAnsi="Cambria Math"/>
                        <w:i/>
                        <w:iCs/>
                        <w:sz w:val="22"/>
                        <w:szCs w:val="22"/>
                      </w:rPr>
                    </m:ctrlPr>
                  </m:sSubPr>
                  <m:e>
                    <m:r>
                      <w:rPr>
                        <w:rFonts w:ascii="Cambria Math" w:hAnsi="Cambria Math"/>
                        <w:sz w:val="22"/>
                        <w:szCs w:val="22"/>
                      </w:rPr>
                      <m:t>ρ</m:t>
                    </m:r>
                  </m:e>
                  <m:sub>
                    <m:r>
                      <w:rPr>
                        <w:rFonts w:ascii="Cambria Math" w:hAnsi="Cambria Math"/>
                        <w:sz w:val="22"/>
                        <w:szCs w:val="22"/>
                      </w:rPr>
                      <m:t>k</m:t>
                    </m:r>
                  </m:sub>
                </m:sSub>
              </m:oMath>
            </m:oMathPara>
          </w:p>
        </w:tc>
        <w:tc>
          <w:tcPr>
            <w:tcW w:w="897" w:type="dxa"/>
            <w:tcBorders>
              <w:top w:val="nil"/>
              <w:left w:val="single" w:sz="2" w:space="0" w:color="auto"/>
              <w:bottom w:val="nil"/>
              <w:right w:val="single" w:sz="2" w:space="0" w:color="auto"/>
            </w:tcBorders>
            <w:vAlign w:val="center"/>
          </w:tcPr>
          <w:p w14:paraId="7A457D23" w14:textId="77777777" w:rsidR="0025622C" w:rsidRPr="000546B4" w:rsidRDefault="0025622C" w:rsidP="0025622C">
            <w:pPr>
              <w:rPr>
                <w:sz w:val="22"/>
                <w:szCs w:val="22"/>
              </w:rPr>
            </w:pPr>
            <w:r w:rsidRPr="000546B4">
              <w:rPr>
                <w:sz w:val="22"/>
                <w:szCs w:val="22"/>
              </w:rPr>
              <w:t>0,5884</w:t>
            </w:r>
          </w:p>
        </w:tc>
        <w:tc>
          <w:tcPr>
            <w:tcW w:w="5811" w:type="dxa"/>
            <w:tcBorders>
              <w:top w:val="nil"/>
              <w:left w:val="single" w:sz="2" w:space="0" w:color="auto"/>
              <w:bottom w:val="nil"/>
              <w:right w:val="single" w:sz="2" w:space="0" w:color="auto"/>
            </w:tcBorders>
            <w:vAlign w:val="center"/>
          </w:tcPr>
          <w:p w14:paraId="7A457D24" w14:textId="77777777" w:rsidR="0025622C" w:rsidRPr="000546B4" w:rsidRDefault="0025622C" w:rsidP="0025622C">
            <w:pPr>
              <w:rPr>
                <w:i/>
                <w:sz w:val="22"/>
                <w:szCs w:val="22"/>
              </w:rPr>
            </w:pPr>
            <w:r w:rsidRPr="000546B4">
              <w:rPr>
                <w:sz w:val="22"/>
                <w:szCs w:val="22"/>
              </w:rPr>
              <w:t xml:space="preserve">Parcela dos empréstimos sobre a qual incide o risco de </w:t>
            </w:r>
            <w:r w:rsidRPr="000546B4">
              <w:rPr>
                <w:i/>
                <w:sz w:val="22"/>
                <w:szCs w:val="22"/>
              </w:rPr>
              <w:t>default</w:t>
            </w:r>
          </w:p>
        </w:tc>
        <w:tc>
          <w:tcPr>
            <w:tcW w:w="2268" w:type="dxa"/>
            <w:tcBorders>
              <w:top w:val="nil"/>
              <w:left w:val="single" w:sz="2" w:space="0" w:color="auto"/>
              <w:bottom w:val="nil"/>
              <w:right w:val="single" w:sz="4" w:space="0" w:color="FFFFFF" w:themeColor="background1"/>
            </w:tcBorders>
            <w:vAlign w:val="center"/>
          </w:tcPr>
          <w:p w14:paraId="7A457D25" w14:textId="77777777" w:rsidR="0025622C" w:rsidRPr="000546B4" w:rsidRDefault="0025622C" w:rsidP="0025622C">
            <w:pPr>
              <w:rPr>
                <w:sz w:val="22"/>
                <w:szCs w:val="22"/>
              </w:rPr>
            </w:pPr>
            <w:r w:rsidRPr="000546B4">
              <w:rPr>
                <w:sz w:val="22"/>
                <w:szCs w:val="22"/>
              </w:rPr>
              <w:t>Cálculo próprio *</w:t>
            </w:r>
          </w:p>
        </w:tc>
      </w:tr>
      <w:tr w:rsidR="0025622C" w:rsidRPr="000546B4" w14:paraId="7A457D28" w14:textId="77777777" w:rsidTr="004D1697">
        <w:tc>
          <w:tcPr>
            <w:tcW w:w="10206" w:type="dxa"/>
            <w:gridSpan w:val="4"/>
            <w:tcBorders>
              <w:top w:val="single" w:sz="4" w:space="0" w:color="auto"/>
              <w:bottom w:val="single" w:sz="4" w:space="0" w:color="auto"/>
              <w:right w:val="single" w:sz="4" w:space="0" w:color="FFFFFF" w:themeColor="background1"/>
            </w:tcBorders>
            <w:vAlign w:val="center"/>
          </w:tcPr>
          <w:p w14:paraId="7A457D27" w14:textId="77777777" w:rsidR="0025622C" w:rsidRPr="000546B4" w:rsidRDefault="0025622C" w:rsidP="0025622C">
            <w:pPr>
              <w:rPr>
                <w:b/>
                <w:sz w:val="22"/>
                <w:szCs w:val="22"/>
              </w:rPr>
            </w:pPr>
            <w:r w:rsidRPr="000546B4">
              <w:rPr>
                <w:b/>
                <w:sz w:val="22"/>
                <w:szCs w:val="22"/>
              </w:rPr>
              <w:t>Firmas de Bens Intermediários</w:t>
            </w:r>
          </w:p>
        </w:tc>
      </w:tr>
      <w:tr w:rsidR="0025622C" w:rsidRPr="000546B4" w14:paraId="7A457D2D" w14:textId="77777777" w:rsidTr="000546B4">
        <w:tc>
          <w:tcPr>
            <w:tcW w:w="1230" w:type="dxa"/>
            <w:tcBorders>
              <w:top w:val="single" w:sz="4" w:space="0" w:color="auto"/>
              <w:bottom w:val="single" w:sz="4" w:space="0" w:color="FFFFFF" w:themeColor="background1"/>
              <w:right w:val="single" w:sz="2" w:space="0" w:color="auto"/>
            </w:tcBorders>
            <w:vAlign w:val="center"/>
          </w:tcPr>
          <w:p w14:paraId="7A457D29" w14:textId="77777777" w:rsidR="0025622C" w:rsidRPr="000546B4" w:rsidRDefault="0025622C" w:rsidP="0025622C">
            <w:pPr>
              <w:rPr>
                <w:sz w:val="22"/>
                <w:szCs w:val="22"/>
              </w:rPr>
            </w:pPr>
            <m:oMathPara>
              <m:oMath>
                <m:r>
                  <w:rPr>
                    <w:rFonts w:ascii="Cambria Math" w:hAnsi="Cambria Math"/>
                    <w:sz w:val="22"/>
                    <w:szCs w:val="22"/>
                  </w:rPr>
                  <m:t>α</m:t>
                </m:r>
              </m:oMath>
            </m:oMathPara>
          </w:p>
        </w:tc>
        <w:tc>
          <w:tcPr>
            <w:tcW w:w="897" w:type="dxa"/>
            <w:tcBorders>
              <w:top w:val="single" w:sz="4" w:space="0" w:color="auto"/>
              <w:left w:val="single" w:sz="2" w:space="0" w:color="auto"/>
              <w:bottom w:val="single" w:sz="4" w:space="0" w:color="FFFFFF" w:themeColor="background1"/>
              <w:right w:val="single" w:sz="2" w:space="0" w:color="auto"/>
            </w:tcBorders>
            <w:vAlign w:val="center"/>
          </w:tcPr>
          <w:p w14:paraId="7A457D2A" w14:textId="77777777" w:rsidR="0025622C" w:rsidRPr="000546B4" w:rsidRDefault="0025622C" w:rsidP="0025622C">
            <w:pPr>
              <w:rPr>
                <w:sz w:val="22"/>
                <w:szCs w:val="22"/>
              </w:rPr>
            </w:pPr>
            <w:r w:rsidRPr="000546B4">
              <w:rPr>
                <w:sz w:val="22"/>
                <w:szCs w:val="22"/>
              </w:rPr>
              <w:t>0,3240</w:t>
            </w:r>
          </w:p>
        </w:tc>
        <w:tc>
          <w:tcPr>
            <w:tcW w:w="5811" w:type="dxa"/>
            <w:tcBorders>
              <w:top w:val="single" w:sz="4" w:space="0" w:color="auto"/>
              <w:left w:val="single" w:sz="2" w:space="0" w:color="auto"/>
              <w:bottom w:val="single" w:sz="4" w:space="0" w:color="FFFFFF" w:themeColor="background1"/>
              <w:right w:val="single" w:sz="2" w:space="0" w:color="auto"/>
            </w:tcBorders>
            <w:vAlign w:val="center"/>
          </w:tcPr>
          <w:p w14:paraId="7A457D2B" w14:textId="77777777" w:rsidR="0025622C" w:rsidRPr="000546B4" w:rsidRDefault="0025622C" w:rsidP="0025622C">
            <w:pPr>
              <w:rPr>
                <w:sz w:val="22"/>
                <w:szCs w:val="22"/>
              </w:rPr>
            </w:pPr>
            <w:r w:rsidRPr="000546B4">
              <w:rPr>
                <w:sz w:val="22"/>
                <w:szCs w:val="22"/>
              </w:rPr>
              <w:t>Participação efetiva de capital na função de produção</w:t>
            </w:r>
          </w:p>
        </w:tc>
        <w:tc>
          <w:tcPr>
            <w:tcW w:w="2268" w:type="dxa"/>
            <w:tcBorders>
              <w:top w:val="single" w:sz="4" w:space="0" w:color="auto"/>
              <w:left w:val="single" w:sz="2" w:space="0" w:color="auto"/>
              <w:bottom w:val="single" w:sz="4" w:space="0" w:color="FFFFFF" w:themeColor="background1"/>
              <w:right w:val="single" w:sz="4" w:space="0" w:color="FFFFFF" w:themeColor="background1"/>
            </w:tcBorders>
            <w:vAlign w:val="center"/>
          </w:tcPr>
          <w:p w14:paraId="7A457D2C" w14:textId="77777777" w:rsidR="0025622C" w:rsidRPr="000546B4" w:rsidRDefault="0025622C" w:rsidP="0025622C">
            <w:pPr>
              <w:rPr>
                <w:sz w:val="22"/>
                <w:szCs w:val="22"/>
              </w:rPr>
            </w:pPr>
            <w:r w:rsidRPr="000546B4">
              <w:rPr>
                <w:sz w:val="22"/>
                <w:szCs w:val="22"/>
              </w:rPr>
              <w:t>Silva e Divino (2013)</w:t>
            </w:r>
          </w:p>
        </w:tc>
      </w:tr>
      <w:tr w:rsidR="0025622C" w:rsidRPr="000546B4" w14:paraId="7A457D32" w14:textId="77777777" w:rsidTr="000546B4">
        <w:tc>
          <w:tcPr>
            <w:tcW w:w="1230" w:type="dxa"/>
            <w:tcBorders>
              <w:top w:val="single" w:sz="4" w:space="0" w:color="FFFFFF" w:themeColor="background1"/>
              <w:bottom w:val="single" w:sz="4" w:space="0" w:color="FFFFFF" w:themeColor="background1"/>
              <w:right w:val="single" w:sz="2" w:space="0" w:color="auto"/>
            </w:tcBorders>
            <w:vAlign w:val="center"/>
          </w:tcPr>
          <w:p w14:paraId="7A457D2E" w14:textId="77777777" w:rsidR="0025622C" w:rsidRPr="000546B4" w:rsidRDefault="0025622C" w:rsidP="0025622C">
            <w:pPr>
              <w:rPr>
                <w:rFonts w:eastAsia="Calibri"/>
                <w:sz w:val="22"/>
                <w:szCs w:val="22"/>
              </w:rPr>
            </w:pPr>
            <m:oMathPara>
              <m:oMath>
                <m:r>
                  <w:rPr>
                    <w:rFonts w:ascii="Cambria Math" w:eastAsia="Calibri" w:hAnsi="Cambria Math"/>
                    <w:sz w:val="22"/>
                    <w:szCs w:val="22"/>
                  </w:rPr>
                  <m:t>δ</m:t>
                </m:r>
              </m:oMath>
            </m:oMathPara>
          </w:p>
        </w:tc>
        <w:tc>
          <w:tcPr>
            <w:tcW w:w="897" w:type="dxa"/>
            <w:tcBorders>
              <w:top w:val="single" w:sz="4" w:space="0" w:color="FFFFFF" w:themeColor="background1"/>
              <w:left w:val="single" w:sz="2" w:space="0" w:color="auto"/>
              <w:bottom w:val="single" w:sz="4" w:space="0" w:color="FFFFFF" w:themeColor="background1"/>
              <w:right w:val="single" w:sz="2" w:space="0" w:color="auto"/>
            </w:tcBorders>
            <w:vAlign w:val="center"/>
          </w:tcPr>
          <w:p w14:paraId="7A457D2F" w14:textId="77777777" w:rsidR="0025622C" w:rsidRPr="000546B4" w:rsidRDefault="0025622C" w:rsidP="0025622C">
            <w:pPr>
              <w:rPr>
                <w:sz w:val="22"/>
                <w:szCs w:val="22"/>
              </w:rPr>
            </w:pPr>
            <w:r w:rsidRPr="000546B4">
              <w:rPr>
                <w:sz w:val="22"/>
                <w:szCs w:val="22"/>
              </w:rPr>
              <w:t>0,0250</w:t>
            </w:r>
          </w:p>
        </w:tc>
        <w:tc>
          <w:tcPr>
            <w:tcW w:w="5811" w:type="dxa"/>
            <w:tcBorders>
              <w:top w:val="single" w:sz="4" w:space="0" w:color="FFFFFF" w:themeColor="background1"/>
              <w:left w:val="single" w:sz="2" w:space="0" w:color="auto"/>
              <w:bottom w:val="single" w:sz="4" w:space="0" w:color="FFFFFF" w:themeColor="background1"/>
              <w:right w:val="single" w:sz="2" w:space="0" w:color="auto"/>
            </w:tcBorders>
            <w:vAlign w:val="center"/>
          </w:tcPr>
          <w:p w14:paraId="7A457D30" w14:textId="77777777" w:rsidR="0025622C" w:rsidRPr="000546B4" w:rsidRDefault="0025622C" w:rsidP="0025622C">
            <w:pPr>
              <w:rPr>
                <w:sz w:val="22"/>
                <w:szCs w:val="22"/>
              </w:rPr>
            </w:pPr>
            <w:r w:rsidRPr="000546B4">
              <w:rPr>
                <w:sz w:val="22"/>
                <w:szCs w:val="22"/>
              </w:rPr>
              <w:t>Taxa de depreciação em função do nível de utilização do capital</w:t>
            </w:r>
          </w:p>
        </w:tc>
        <w:tc>
          <w:tcPr>
            <w:tcW w:w="2268" w:type="dxa"/>
            <w:tcBorders>
              <w:top w:val="single" w:sz="4" w:space="0" w:color="FFFFFF" w:themeColor="background1"/>
              <w:left w:val="single" w:sz="2" w:space="0" w:color="auto"/>
              <w:bottom w:val="single" w:sz="4" w:space="0" w:color="FFFFFF" w:themeColor="background1"/>
              <w:right w:val="single" w:sz="4" w:space="0" w:color="FFFFFF" w:themeColor="background1"/>
            </w:tcBorders>
            <w:vAlign w:val="center"/>
          </w:tcPr>
          <w:p w14:paraId="7A457D31" w14:textId="77777777" w:rsidR="0025622C" w:rsidRPr="000546B4" w:rsidRDefault="0025622C" w:rsidP="0025622C">
            <w:pPr>
              <w:rPr>
                <w:sz w:val="22"/>
                <w:szCs w:val="22"/>
              </w:rPr>
            </w:pPr>
            <w:r w:rsidRPr="000546B4">
              <w:rPr>
                <w:sz w:val="22"/>
                <w:szCs w:val="22"/>
              </w:rPr>
              <w:t>Cavalcanti e Vereda (2011)</w:t>
            </w:r>
          </w:p>
        </w:tc>
      </w:tr>
      <w:tr w:rsidR="0025622C" w:rsidRPr="000546B4" w14:paraId="7A457D34" w14:textId="77777777" w:rsidTr="004D1697">
        <w:tc>
          <w:tcPr>
            <w:tcW w:w="10206" w:type="dxa"/>
            <w:gridSpan w:val="4"/>
            <w:tcBorders>
              <w:top w:val="single" w:sz="4" w:space="0" w:color="auto"/>
              <w:bottom w:val="single" w:sz="4" w:space="0" w:color="auto"/>
              <w:right w:val="single" w:sz="4" w:space="0" w:color="FFFFFF" w:themeColor="background1"/>
            </w:tcBorders>
            <w:vAlign w:val="center"/>
          </w:tcPr>
          <w:p w14:paraId="7A457D33" w14:textId="77777777" w:rsidR="0025622C" w:rsidRPr="000546B4" w:rsidRDefault="0025622C" w:rsidP="0025622C">
            <w:pPr>
              <w:rPr>
                <w:b/>
                <w:sz w:val="22"/>
                <w:szCs w:val="22"/>
              </w:rPr>
            </w:pPr>
            <w:r w:rsidRPr="000546B4">
              <w:rPr>
                <w:b/>
                <w:sz w:val="22"/>
                <w:szCs w:val="22"/>
              </w:rPr>
              <w:t>Firmas de Bens de Capital</w:t>
            </w:r>
          </w:p>
        </w:tc>
      </w:tr>
      <w:tr w:rsidR="0025622C" w:rsidRPr="000546B4" w14:paraId="7A457D39" w14:textId="77777777" w:rsidTr="000546B4">
        <w:tc>
          <w:tcPr>
            <w:tcW w:w="1230" w:type="dxa"/>
            <w:tcBorders>
              <w:top w:val="single" w:sz="4" w:space="0" w:color="auto"/>
              <w:bottom w:val="single" w:sz="4" w:space="0" w:color="auto"/>
              <w:right w:val="single" w:sz="2" w:space="0" w:color="auto"/>
            </w:tcBorders>
            <w:vAlign w:val="center"/>
          </w:tcPr>
          <w:p w14:paraId="7A457D35" w14:textId="77777777" w:rsidR="0025622C" w:rsidRPr="000546B4" w:rsidRDefault="000D6AC7" w:rsidP="0025622C">
            <w:pPr>
              <w:rPr>
                <w:sz w:val="22"/>
                <w:szCs w:val="22"/>
              </w:rPr>
            </w:pPr>
            <m:oMathPara>
              <m:oMath>
                <m:sSub>
                  <m:sSubPr>
                    <m:ctrlPr>
                      <w:rPr>
                        <w:rFonts w:ascii="Cambria Math" w:hAnsi="Cambria Math"/>
                        <w:i/>
                        <w:sz w:val="22"/>
                        <w:szCs w:val="22"/>
                      </w:rPr>
                    </m:ctrlPr>
                  </m:sSubPr>
                  <m:e>
                    <m:r>
                      <w:rPr>
                        <w:rFonts w:ascii="Cambria Math" w:hAnsi="Cambria Math"/>
                        <w:sz w:val="22"/>
                        <w:szCs w:val="22"/>
                      </w:rPr>
                      <m:t>η</m:t>
                    </m:r>
                  </m:e>
                  <m:sub>
                    <m:r>
                      <w:rPr>
                        <w:rFonts w:ascii="Cambria Math" w:hAnsi="Cambria Math"/>
                        <w:sz w:val="22"/>
                        <w:szCs w:val="22"/>
                      </w:rPr>
                      <m:t>inv</m:t>
                    </m:r>
                  </m:sub>
                </m:sSub>
              </m:oMath>
            </m:oMathPara>
          </w:p>
        </w:tc>
        <w:tc>
          <w:tcPr>
            <w:tcW w:w="897" w:type="dxa"/>
            <w:tcBorders>
              <w:top w:val="single" w:sz="4" w:space="0" w:color="auto"/>
              <w:left w:val="single" w:sz="2" w:space="0" w:color="auto"/>
              <w:bottom w:val="single" w:sz="4" w:space="0" w:color="auto"/>
              <w:right w:val="single" w:sz="2" w:space="0" w:color="auto"/>
            </w:tcBorders>
            <w:vAlign w:val="center"/>
          </w:tcPr>
          <w:p w14:paraId="7A457D36" w14:textId="77777777" w:rsidR="0025622C" w:rsidRPr="000546B4" w:rsidRDefault="0025622C" w:rsidP="0025622C">
            <w:pPr>
              <w:rPr>
                <w:sz w:val="22"/>
                <w:szCs w:val="22"/>
              </w:rPr>
            </w:pPr>
            <w:r w:rsidRPr="000546B4">
              <w:rPr>
                <w:sz w:val="22"/>
                <w:szCs w:val="22"/>
              </w:rPr>
              <w:t>3,4200</w:t>
            </w:r>
          </w:p>
        </w:tc>
        <w:tc>
          <w:tcPr>
            <w:tcW w:w="5811" w:type="dxa"/>
            <w:tcBorders>
              <w:top w:val="single" w:sz="4" w:space="0" w:color="auto"/>
              <w:left w:val="single" w:sz="2" w:space="0" w:color="auto"/>
              <w:bottom w:val="single" w:sz="4" w:space="0" w:color="auto"/>
              <w:right w:val="single" w:sz="2" w:space="0" w:color="auto"/>
            </w:tcBorders>
            <w:shd w:val="clear" w:color="auto" w:fill="auto"/>
            <w:vAlign w:val="center"/>
          </w:tcPr>
          <w:p w14:paraId="7A457D37" w14:textId="77777777" w:rsidR="0025622C" w:rsidRPr="000546B4" w:rsidRDefault="0025622C" w:rsidP="0025622C">
            <w:pPr>
              <w:rPr>
                <w:sz w:val="22"/>
                <w:szCs w:val="22"/>
              </w:rPr>
            </w:pPr>
            <w:r w:rsidRPr="000546B4">
              <w:rPr>
                <w:sz w:val="22"/>
                <w:szCs w:val="22"/>
              </w:rPr>
              <w:t xml:space="preserve">Inverso da elasticidade do investimento líquido </w:t>
            </w:r>
          </w:p>
        </w:tc>
        <w:tc>
          <w:tcPr>
            <w:tcW w:w="2268" w:type="dxa"/>
            <w:tcBorders>
              <w:top w:val="single" w:sz="4" w:space="0" w:color="auto"/>
              <w:left w:val="single" w:sz="2" w:space="0" w:color="auto"/>
              <w:bottom w:val="single" w:sz="4" w:space="0" w:color="auto"/>
              <w:right w:val="single" w:sz="4" w:space="0" w:color="FFFFFF" w:themeColor="background1"/>
            </w:tcBorders>
            <w:vAlign w:val="center"/>
          </w:tcPr>
          <w:p w14:paraId="7A457D38" w14:textId="77777777" w:rsidR="0025622C" w:rsidRPr="000546B4" w:rsidRDefault="0025622C" w:rsidP="0025622C">
            <w:pPr>
              <w:rPr>
                <w:sz w:val="22"/>
                <w:szCs w:val="22"/>
              </w:rPr>
            </w:pPr>
            <w:r w:rsidRPr="000546B4">
              <w:rPr>
                <w:sz w:val="22"/>
                <w:szCs w:val="22"/>
              </w:rPr>
              <w:t>Castro et al. (2011)</w:t>
            </w:r>
          </w:p>
        </w:tc>
      </w:tr>
      <w:tr w:rsidR="0025622C" w:rsidRPr="000546B4" w14:paraId="7A457D3B" w14:textId="77777777" w:rsidTr="004D1697">
        <w:tc>
          <w:tcPr>
            <w:tcW w:w="10206" w:type="dxa"/>
            <w:gridSpan w:val="4"/>
            <w:tcBorders>
              <w:top w:val="single" w:sz="4" w:space="0" w:color="auto"/>
              <w:bottom w:val="single" w:sz="4" w:space="0" w:color="auto"/>
              <w:right w:val="single" w:sz="4" w:space="0" w:color="FFFFFF" w:themeColor="background1"/>
            </w:tcBorders>
            <w:vAlign w:val="center"/>
          </w:tcPr>
          <w:p w14:paraId="7A457D3A" w14:textId="77777777" w:rsidR="0025622C" w:rsidRPr="000546B4" w:rsidRDefault="0025622C" w:rsidP="0025622C">
            <w:pPr>
              <w:rPr>
                <w:b/>
                <w:sz w:val="22"/>
                <w:szCs w:val="22"/>
              </w:rPr>
            </w:pPr>
            <w:r w:rsidRPr="000546B4">
              <w:rPr>
                <w:b/>
                <w:sz w:val="22"/>
                <w:szCs w:val="22"/>
              </w:rPr>
              <w:t>Firmas de Bens Finais</w:t>
            </w:r>
          </w:p>
        </w:tc>
      </w:tr>
      <w:tr w:rsidR="0025622C" w:rsidRPr="000546B4" w14:paraId="7A457D40" w14:textId="77777777" w:rsidTr="000546B4">
        <w:tc>
          <w:tcPr>
            <w:tcW w:w="1230" w:type="dxa"/>
            <w:tcBorders>
              <w:top w:val="single" w:sz="4" w:space="0" w:color="auto"/>
              <w:bottom w:val="nil"/>
              <w:right w:val="single" w:sz="2" w:space="0" w:color="auto"/>
            </w:tcBorders>
            <w:vAlign w:val="center"/>
          </w:tcPr>
          <w:p w14:paraId="7A457D3C" w14:textId="77777777" w:rsidR="0025622C" w:rsidRPr="000546B4" w:rsidRDefault="0025622C" w:rsidP="0025622C">
            <w:pPr>
              <w:rPr>
                <w:sz w:val="22"/>
                <w:szCs w:val="22"/>
              </w:rPr>
            </w:pPr>
            <m:oMathPara>
              <m:oMath>
                <m:r>
                  <w:rPr>
                    <w:rFonts w:ascii="Cambria Math" w:hAnsi="Cambria Math"/>
                    <w:sz w:val="22"/>
                    <w:szCs w:val="22"/>
                  </w:rPr>
                  <m:t>ε</m:t>
                </m:r>
              </m:oMath>
            </m:oMathPara>
          </w:p>
        </w:tc>
        <w:tc>
          <w:tcPr>
            <w:tcW w:w="897" w:type="dxa"/>
            <w:tcBorders>
              <w:top w:val="single" w:sz="4" w:space="0" w:color="auto"/>
              <w:left w:val="single" w:sz="2" w:space="0" w:color="auto"/>
              <w:bottom w:val="nil"/>
              <w:right w:val="single" w:sz="2" w:space="0" w:color="auto"/>
            </w:tcBorders>
            <w:vAlign w:val="center"/>
          </w:tcPr>
          <w:p w14:paraId="7A457D3D" w14:textId="77777777" w:rsidR="0025622C" w:rsidRPr="000546B4" w:rsidRDefault="0025622C" w:rsidP="0025622C">
            <w:pPr>
              <w:rPr>
                <w:sz w:val="22"/>
                <w:szCs w:val="22"/>
              </w:rPr>
            </w:pPr>
            <w:r w:rsidRPr="000546B4">
              <w:rPr>
                <w:sz w:val="22"/>
                <w:szCs w:val="22"/>
              </w:rPr>
              <w:t>4,1670</w:t>
            </w:r>
          </w:p>
        </w:tc>
        <w:tc>
          <w:tcPr>
            <w:tcW w:w="5811" w:type="dxa"/>
            <w:tcBorders>
              <w:top w:val="single" w:sz="4" w:space="0" w:color="auto"/>
              <w:left w:val="single" w:sz="2" w:space="0" w:color="auto"/>
              <w:bottom w:val="nil"/>
              <w:right w:val="single" w:sz="2" w:space="0" w:color="auto"/>
            </w:tcBorders>
            <w:vAlign w:val="center"/>
          </w:tcPr>
          <w:p w14:paraId="7A457D3E" w14:textId="77777777" w:rsidR="0025622C" w:rsidRPr="000546B4" w:rsidRDefault="0025622C" w:rsidP="0025622C">
            <w:pPr>
              <w:rPr>
                <w:sz w:val="22"/>
                <w:szCs w:val="22"/>
              </w:rPr>
            </w:pPr>
            <w:r w:rsidRPr="000546B4">
              <w:rPr>
                <w:sz w:val="22"/>
                <w:szCs w:val="22"/>
              </w:rPr>
              <w:t>Elasticidade de substituição</w:t>
            </w:r>
          </w:p>
        </w:tc>
        <w:tc>
          <w:tcPr>
            <w:tcW w:w="2268" w:type="dxa"/>
            <w:tcBorders>
              <w:top w:val="single" w:sz="4" w:space="0" w:color="auto"/>
              <w:left w:val="single" w:sz="2" w:space="0" w:color="auto"/>
              <w:bottom w:val="nil"/>
              <w:right w:val="single" w:sz="4" w:space="0" w:color="FFFFFF" w:themeColor="background1"/>
            </w:tcBorders>
            <w:vAlign w:val="center"/>
          </w:tcPr>
          <w:p w14:paraId="7A457D3F" w14:textId="77777777" w:rsidR="0025622C" w:rsidRPr="000546B4" w:rsidRDefault="0025622C" w:rsidP="0025622C">
            <w:pPr>
              <w:rPr>
                <w:sz w:val="22"/>
                <w:szCs w:val="22"/>
              </w:rPr>
            </w:pPr>
            <w:proofErr w:type="spellStart"/>
            <w:r w:rsidRPr="000546B4">
              <w:rPr>
                <w:sz w:val="22"/>
                <w:szCs w:val="22"/>
              </w:rPr>
              <w:t>Gertler</w:t>
            </w:r>
            <w:proofErr w:type="spellEnd"/>
            <w:r w:rsidRPr="000546B4">
              <w:rPr>
                <w:sz w:val="22"/>
                <w:szCs w:val="22"/>
              </w:rPr>
              <w:t xml:space="preserve"> e </w:t>
            </w:r>
            <w:proofErr w:type="spellStart"/>
            <w:r w:rsidRPr="000546B4">
              <w:rPr>
                <w:sz w:val="22"/>
                <w:szCs w:val="22"/>
              </w:rPr>
              <w:t>Karadi</w:t>
            </w:r>
            <w:proofErr w:type="spellEnd"/>
            <w:r w:rsidRPr="000546B4">
              <w:rPr>
                <w:sz w:val="22"/>
                <w:szCs w:val="22"/>
              </w:rPr>
              <w:t xml:space="preserve"> (2011)</w:t>
            </w:r>
          </w:p>
        </w:tc>
      </w:tr>
      <w:tr w:rsidR="0025622C" w:rsidRPr="000546B4" w14:paraId="7A457D45" w14:textId="77777777" w:rsidTr="000546B4">
        <w:tc>
          <w:tcPr>
            <w:tcW w:w="1230" w:type="dxa"/>
            <w:tcBorders>
              <w:top w:val="nil"/>
              <w:bottom w:val="nil"/>
              <w:right w:val="single" w:sz="2" w:space="0" w:color="auto"/>
            </w:tcBorders>
            <w:vAlign w:val="center"/>
          </w:tcPr>
          <w:p w14:paraId="7A457D41" w14:textId="77777777" w:rsidR="0025622C" w:rsidRPr="000546B4" w:rsidRDefault="0025622C" w:rsidP="0025622C">
            <w:pPr>
              <w:rPr>
                <w:sz w:val="22"/>
                <w:szCs w:val="22"/>
              </w:rPr>
            </w:pPr>
            <m:oMathPara>
              <m:oMath>
                <m:r>
                  <w:rPr>
                    <w:rFonts w:ascii="Cambria Math" w:hAnsi="Cambria Math"/>
                    <w:sz w:val="22"/>
                    <w:szCs w:val="22"/>
                  </w:rPr>
                  <m:t>γ</m:t>
                </m:r>
              </m:oMath>
            </m:oMathPara>
          </w:p>
        </w:tc>
        <w:tc>
          <w:tcPr>
            <w:tcW w:w="897" w:type="dxa"/>
            <w:tcBorders>
              <w:top w:val="nil"/>
              <w:left w:val="single" w:sz="2" w:space="0" w:color="auto"/>
              <w:bottom w:val="nil"/>
              <w:right w:val="single" w:sz="2" w:space="0" w:color="auto"/>
            </w:tcBorders>
            <w:vAlign w:val="center"/>
          </w:tcPr>
          <w:p w14:paraId="7A457D42" w14:textId="77777777" w:rsidR="0025622C" w:rsidRPr="000546B4" w:rsidRDefault="0025622C" w:rsidP="0025622C">
            <w:pPr>
              <w:rPr>
                <w:sz w:val="22"/>
                <w:szCs w:val="22"/>
              </w:rPr>
            </w:pPr>
            <w:r w:rsidRPr="000546B4">
              <w:rPr>
                <w:sz w:val="22"/>
                <w:szCs w:val="22"/>
              </w:rPr>
              <w:t>0,7400</w:t>
            </w:r>
          </w:p>
        </w:tc>
        <w:tc>
          <w:tcPr>
            <w:tcW w:w="5811" w:type="dxa"/>
            <w:tcBorders>
              <w:top w:val="nil"/>
              <w:left w:val="single" w:sz="2" w:space="0" w:color="auto"/>
              <w:bottom w:val="nil"/>
              <w:right w:val="single" w:sz="2" w:space="0" w:color="auto"/>
            </w:tcBorders>
            <w:vAlign w:val="center"/>
          </w:tcPr>
          <w:p w14:paraId="7A457D43" w14:textId="77777777" w:rsidR="0025622C" w:rsidRPr="000546B4" w:rsidRDefault="0025622C" w:rsidP="0025622C">
            <w:pPr>
              <w:rPr>
                <w:sz w:val="22"/>
                <w:szCs w:val="22"/>
              </w:rPr>
            </w:pPr>
            <w:r w:rsidRPr="000546B4">
              <w:rPr>
                <w:sz w:val="22"/>
                <w:szCs w:val="22"/>
              </w:rPr>
              <w:t>Probabilidade de manter os preços fixos</w:t>
            </w:r>
          </w:p>
        </w:tc>
        <w:tc>
          <w:tcPr>
            <w:tcW w:w="2268" w:type="dxa"/>
            <w:tcBorders>
              <w:top w:val="nil"/>
              <w:left w:val="single" w:sz="2" w:space="0" w:color="auto"/>
              <w:bottom w:val="nil"/>
              <w:right w:val="single" w:sz="4" w:space="0" w:color="FFFFFF" w:themeColor="background1"/>
            </w:tcBorders>
            <w:vAlign w:val="center"/>
          </w:tcPr>
          <w:p w14:paraId="7A457D44" w14:textId="77777777" w:rsidR="0025622C" w:rsidRPr="000546B4" w:rsidRDefault="0025622C" w:rsidP="0025622C">
            <w:pPr>
              <w:rPr>
                <w:sz w:val="22"/>
                <w:szCs w:val="22"/>
              </w:rPr>
            </w:pPr>
            <w:r w:rsidRPr="000546B4">
              <w:rPr>
                <w:sz w:val="22"/>
                <w:szCs w:val="22"/>
              </w:rPr>
              <w:t>Castro et al. (2011)</w:t>
            </w:r>
          </w:p>
        </w:tc>
      </w:tr>
      <w:tr w:rsidR="0025622C" w:rsidRPr="000546B4" w14:paraId="7A457D4A" w14:textId="77777777" w:rsidTr="000546B4">
        <w:tc>
          <w:tcPr>
            <w:tcW w:w="1230" w:type="dxa"/>
            <w:tcBorders>
              <w:top w:val="nil"/>
              <w:bottom w:val="single" w:sz="4" w:space="0" w:color="auto"/>
              <w:right w:val="single" w:sz="2" w:space="0" w:color="auto"/>
            </w:tcBorders>
            <w:vAlign w:val="center"/>
          </w:tcPr>
          <w:p w14:paraId="7A457D46" w14:textId="77777777" w:rsidR="0025622C" w:rsidRPr="000546B4" w:rsidRDefault="000D6AC7" w:rsidP="0025622C">
            <w:pPr>
              <w:rPr>
                <w:sz w:val="22"/>
                <w:szCs w:val="22"/>
              </w:rPr>
            </w:pPr>
            <m:oMathPara>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p</m:t>
                    </m:r>
                  </m:sub>
                </m:sSub>
              </m:oMath>
            </m:oMathPara>
          </w:p>
        </w:tc>
        <w:tc>
          <w:tcPr>
            <w:tcW w:w="897" w:type="dxa"/>
            <w:tcBorders>
              <w:top w:val="nil"/>
              <w:left w:val="single" w:sz="2" w:space="0" w:color="auto"/>
              <w:bottom w:val="single" w:sz="4" w:space="0" w:color="auto"/>
              <w:right w:val="single" w:sz="2" w:space="0" w:color="auto"/>
            </w:tcBorders>
            <w:vAlign w:val="center"/>
          </w:tcPr>
          <w:p w14:paraId="7A457D47" w14:textId="77777777" w:rsidR="0025622C" w:rsidRPr="000546B4" w:rsidRDefault="0025622C" w:rsidP="0025622C">
            <w:pPr>
              <w:rPr>
                <w:sz w:val="22"/>
                <w:szCs w:val="22"/>
              </w:rPr>
            </w:pPr>
            <w:r w:rsidRPr="000546B4">
              <w:rPr>
                <w:sz w:val="22"/>
                <w:szCs w:val="22"/>
              </w:rPr>
              <w:t>0,3300</w:t>
            </w:r>
          </w:p>
        </w:tc>
        <w:tc>
          <w:tcPr>
            <w:tcW w:w="5811" w:type="dxa"/>
            <w:tcBorders>
              <w:top w:val="nil"/>
              <w:left w:val="single" w:sz="2" w:space="0" w:color="auto"/>
              <w:bottom w:val="single" w:sz="4" w:space="0" w:color="auto"/>
              <w:right w:val="single" w:sz="2" w:space="0" w:color="auto"/>
            </w:tcBorders>
            <w:vAlign w:val="center"/>
          </w:tcPr>
          <w:p w14:paraId="7A457D48" w14:textId="77777777" w:rsidR="0025622C" w:rsidRPr="000546B4" w:rsidRDefault="0025622C" w:rsidP="0025622C">
            <w:pPr>
              <w:rPr>
                <w:sz w:val="22"/>
                <w:szCs w:val="22"/>
              </w:rPr>
            </w:pPr>
            <w:r w:rsidRPr="000546B4">
              <w:rPr>
                <w:sz w:val="22"/>
                <w:szCs w:val="22"/>
              </w:rPr>
              <w:t>Medida de indexação de preços</w:t>
            </w:r>
          </w:p>
        </w:tc>
        <w:tc>
          <w:tcPr>
            <w:tcW w:w="2268" w:type="dxa"/>
            <w:tcBorders>
              <w:top w:val="nil"/>
              <w:left w:val="single" w:sz="2" w:space="0" w:color="auto"/>
              <w:bottom w:val="single" w:sz="4" w:space="0" w:color="auto"/>
              <w:right w:val="single" w:sz="4" w:space="0" w:color="FFFFFF" w:themeColor="background1"/>
            </w:tcBorders>
            <w:vAlign w:val="center"/>
          </w:tcPr>
          <w:p w14:paraId="7A457D49" w14:textId="77777777" w:rsidR="0025622C" w:rsidRPr="000546B4" w:rsidRDefault="0025622C" w:rsidP="0025622C">
            <w:pPr>
              <w:rPr>
                <w:sz w:val="22"/>
                <w:szCs w:val="22"/>
              </w:rPr>
            </w:pPr>
            <w:r w:rsidRPr="000546B4">
              <w:rPr>
                <w:sz w:val="22"/>
                <w:szCs w:val="22"/>
              </w:rPr>
              <w:t>Castro et al. (2011)</w:t>
            </w:r>
          </w:p>
        </w:tc>
      </w:tr>
      <w:tr w:rsidR="0025622C" w:rsidRPr="000546B4" w14:paraId="7A457D4C" w14:textId="77777777" w:rsidTr="004D1697">
        <w:tc>
          <w:tcPr>
            <w:tcW w:w="10206" w:type="dxa"/>
            <w:gridSpan w:val="4"/>
            <w:tcBorders>
              <w:top w:val="single" w:sz="4" w:space="0" w:color="auto"/>
              <w:bottom w:val="single" w:sz="4" w:space="0" w:color="auto"/>
              <w:right w:val="single" w:sz="4" w:space="0" w:color="FFFFFF" w:themeColor="background1"/>
            </w:tcBorders>
            <w:vAlign w:val="center"/>
          </w:tcPr>
          <w:p w14:paraId="7A457D4B" w14:textId="77777777" w:rsidR="0025622C" w:rsidRPr="000546B4" w:rsidRDefault="0025622C" w:rsidP="0025622C">
            <w:pPr>
              <w:rPr>
                <w:b/>
                <w:sz w:val="22"/>
                <w:szCs w:val="22"/>
              </w:rPr>
            </w:pPr>
            <w:r w:rsidRPr="000546B4">
              <w:rPr>
                <w:b/>
                <w:sz w:val="22"/>
                <w:szCs w:val="22"/>
              </w:rPr>
              <w:t>Governo</w:t>
            </w:r>
          </w:p>
        </w:tc>
      </w:tr>
      <w:tr w:rsidR="0025622C" w:rsidRPr="000546B4" w14:paraId="7A457D51" w14:textId="77777777" w:rsidTr="000546B4">
        <w:tc>
          <w:tcPr>
            <w:tcW w:w="1230" w:type="dxa"/>
            <w:tcBorders>
              <w:top w:val="single" w:sz="4" w:space="0" w:color="auto"/>
              <w:bottom w:val="nil"/>
              <w:right w:val="single" w:sz="2" w:space="0" w:color="auto"/>
            </w:tcBorders>
            <w:vAlign w:val="center"/>
          </w:tcPr>
          <w:p w14:paraId="7A457D4D" w14:textId="77777777" w:rsidR="0025622C" w:rsidRPr="000546B4" w:rsidRDefault="000D6AC7" w:rsidP="0025622C">
            <w:pPr>
              <w:rPr>
                <w:sz w:val="22"/>
                <w:szCs w:val="22"/>
              </w:rPr>
            </w:pPr>
            <m:oMathPara>
              <m:oMath>
                <m:sSub>
                  <m:sSubPr>
                    <m:ctrlPr>
                      <w:rPr>
                        <w:rFonts w:ascii="Cambria Math" w:hAnsi="Cambria Math"/>
                        <w:i/>
                        <w:sz w:val="22"/>
                        <w:szCs w:val="22"/>
                      </w:rPr>
                    </m:ctrlPr>
                  </m:sSubPr>
                  <m:e>
                    <m:r>
                      <w:rPr>
                        <w:rFonts w:ascii="Cambria Math" w:hAnsi="Cambria Math"/>
                        <w:sz w:val="22"/>
                        <w:szCs w:val="22"/>
                      </w:rPr>
                      <m:t>κ</m:t>
                    </m:r>
                  </m:e>
                  <m:sub>
                    <m:r>
                      <w:rPr>
                        <w:rFonts w:ascii="Cambria Math" w:hAnsi="Cambria Math"/>
                        <w:sz w:val="22"/>
                        <w:szCs w:val="22"/>
                      </w:rPr>
                      <m:t>π</m:t>
                    </m:r>
                  </m:sub>
                </m:sSub>
              </m:oMath>
            </m:oMathPara>
          </w:p>
        </w:tc>
        <w:tc>
          <w:tcPr>
            <w:tcW w:w="897" w:type="dxa"/>
            <w:tcBorders>
              <w:top w:val="single" w:sz="4" w:space="0" w:color="auto"/>
              <w:left w:val="single" w:sz="2" w:space="0" w:color="auto"/>
              <w:bottom w:val="nil"/>
              <w:right w:val="single" w:sz="2" w:space="0" w:color="auto"/>
            </w:tcBorders>
            <w:vAlign w:val="center"/>
          </w:tcPr>
          <w:p w14:paraId="7A457D4E" w14:textId="77777777" w:rsidR="0025622C" w:rsidRPr="000546B4" w:rsidRDefault="0025622C" w:rsidP="0025622C">
            <w:pPr>
              <w:rPr>
                <w:sz w:val="22"/>
                <w:szCs w:val="22"/>
              </w:rPr>
            </w:pPr>
            <w:r w:rsidRPr="000546B4">
              <w:rPr>
                <w:sz w:val="22"/>
                <w:szCs w:val="22"/>
              </w:rPr>
              <w:t>2,4300</w:t>
            </w:r>
          </w:p>
        </w:tc>
        <w:tc>
          <w:tcPr>
            <w:tcW w:w="5811" w:type="dxa"/>
            <w:tcBorders>
              <w:top w:val="single" w:sz="4" w:space="0" w:color="auto"/>
              <w:left w:val="single" w:sz="2" w:space="0" w:color="auto"/>
              <w:bottom w:val="nil"/>
              <w:right w:val="single" w:sz="2" w:space="0" w:color="auto"/>
            </w:tcBorders>
            <w:vAlign w:val="center"/>
          </w:tcPr>
          <w:p w14:paraId="7A457D4F" w14:textId="77777777" w:rsidR="0025622C" w:rsidRPr="000546B4" w:rsidRDefault="0025622C" w:rsidP="0025622C">
            <w:pPr>
              <w:rPr>
                <w:sz w:val="22"/>
                <w:szCs w:val="22"/>
              </w:rPr>
            </w:pPr>
            <w:r w:rsidRPr="000546B4">
              <w:rPr>
                <w:sz w:val="22"/>
                <w:szCs w:val="22"/>
              </w:rPr>
              <w:t>Coeficiente da inflação na regra de Taylor</w:t>
            </w:r>
          </w:p>
        </w:tc>
        <w:tc>
          <w:tcPr>
            <w:tcW w:w="2268" w:type="dxa"/>
            <w:tcBorders>
              <w:top w:val="single" w:sz="4" w:space="0" w:color="auto"/>
              <w:left w:val="single" w:sz="2" w:space="0" w:color="auto"/>
              <w:bottom w:val="nil"/>
              <w:right w:val="single" w:sz="4" w:space="0" w:color="FFFFFF" w:themeColor="background1"/>
            </w:tcBorders>
            <w:vAlign w:val="center"/>
          </w:tcPr>
          <w:p w14:paraId="7A457D50" w14:textId="77777777" w:rsidR="0025622C" w:rsidRPr="000546B4" w:rsidRDefault="0025622C" w:rsidP="0025622C">
            <w:pPr>
              <w:rPr>
                <w:sz w:val="22"/>
                <w:szCs w:val="22"/>
              </w:rPr>
            </w:pPr>
            <w:r w:rsidRPr="000546B4">
              <w:rPr>
                <w:sz w:val="22"/>
                <w:szCs w:val="22"/>
              </w:rPr>
              <w:t>Castro et al. (2011)</w:t>
            </w:r>
          </w:p>
        </w:tc>
      </w:tr>
      <w:tr w:rsidR="0025622C" w:rsidRPr="000546B4" w14:paraId="7A457D56" w14:textId="77777777" w:rsidTr="000546B4">
        <w:tc>
          <w:tcPr>
            <w:tcW w:w="1230" w:type="dxa"/>
            <w:tcBorders>
              <w:top w:val="nil"/>
              <w:bottom w:val="nil"/>
              <w:right w:val="single" w:sz="2" w:space="0" w:color="auto"/>
            </w:tcBorders>
            <w:vAlign w:val="center"/>
          </w:tcPr>
          <w:p w14:paraId="7A457D52" w14:textId="77777777" w:rsidR="0025622C" w:rsidRPr="000546B4" w:rsidRDefault="000D6AC7" w:rsidP="0025622C">
            <w:pPr>
              <w:rPr>
                <w:sz w:val="22"/>
                <w:szCs w:val="22"/>
              </w:rPr>
            </w:pPr>
            <m:oMathPara>
              <m:oMath>
                <m:sSub>
                  <m:sSubPr>
                    <m:ctrlPr>
                      <w:rPr>
                        <w:rFonts w:ascii="Cambria Math" w:hAnsi="Cambria Math"/>
                        <w:i/>
                        <w:sz w:val="22"/>
                        <w:szCs w:val="22"/>
                      </w:rPr>
                    </m:ctrlPr>
                  </m:sSubPr>
                  <m:e>
                    <m:r>
                      <w:rPr>
                        <w:rFonts w:ascii="Cambria Math" w:hAnsi="Cambria Math"/>
                        <w:sz w:val="22"/>
                        <w:szCs w:val="22"/>
                      </w:rPr>
                      <m:t>κ</m:t>
                    </m:r>
                  </m:e>
                  <m:sub>
                    <m:r>
                      <w:rPr>
                        <w:rFonts w:ascii="Cambria Math" w:hAnsi="Cambria Math"/>
                        <w:sz w:val="22"/>
                        <w:szCs w:val="22"/>
                      </w:rPr>
                      <m:t>y</m:t>
                    </m:r>
                  </m:sub>
                </m:sSub>
              </m:oMath>
            </m:oMathPara>
          </w:p>
        </w:tc>
        <w:tc>
          <w:tcPr>
            <w:tcW w:w="897" w:type="dxa"/>
            <w:tcBorders>
              <w:top w:val="nil"/>
              <w:left w:val="single" w:sz="2" w:space="0" w:color="auto"/>
              <w:bottom w:val="nil"/>
              <w:right w:val="single" w:sz="2" w:space="0" w:color="auto"/>
            </w:tcBorders>
            <w:vAlign w:val="center"/>
          </w:tcPr>
          <w:p w14:paraId="7A457D53" w14:textId="77777777" w:rsidR="0025622C" w:rsidRPr="000546B4" w:rsidRDefault="0025622C" w:rsidP="0025622C">
            <w:pPr>
              <w:rPr>
                <w:sz w:val="22"/>
                <w:szCs w:val="22"/>
              </w:rPr>
            </w:pPr>
            <w:r w:rsidRPr="000546B4">
              <w:rPr>
                <w:sz w:val="22"/>
                <w:szCs w:val="22"/>
              </w:rPr>
              <w:t>0,1500</w:t>
            </w:r>
          </w:p>
        </w:tc>
        <w:tc>
          <w:tcPr>
            <w:tcW w:w="5811" w:type="dxa"/>
            <w:tcBorders>
              <w:top w:val="nil"/>
              <w:left w:val="single" w:sz="2" w:space="0" w:color="auto"/>
              <w:bottom w:val="nil"/>
              <w:right w:val="single" w:sz="2" w:space="0" w:color="auto"/>
            </w:tcBorders>
            <w:vAlign w:val="center"/>
          </w:tcPr>
          <w:p w14:paraId="7A457D54" w14:textId="77777777" w:rsidR="0025622C" w:rsidRPr="000546B4" w:rsidRDefault="0025622C" w:rsidP="0025622C">
            <w:pPr>
              <w:rPr>
                <w:sz w:val="22"/>
                <w:szCs w:val="22"/>
              </w:rPr>
            </w:pPr>
            <w:r w:rsidRPr="000546B4">
              <w:rPr>
                <w:sz w:val="22"/>
                <w:szCs w:val="22"/>
              </w:rPr>
              <w:t>Coeficiente do hiato do produto na regra de Taylor</w:t>
            </w:r>
          </w:p>
        </w:tc>
        <w:tc>
          <w:tcPr>
            <w:tcW w:w="2268" w:type="dxa"/>
            <w:tcBorders>
              <w:top w:val="nil"/>
              <w:left w:val="single" w:sz="2" w:space="0" w:color="auto"/>
              <w:bottom w:val="nil"/>
              <w:right w:val="single" w:sz="4" w:space="0" w:color="FFFFFF" w:themeColor="background1"/>
            </w:tcBorders>
            <w:vAlign w:val="center"/>
          </w:tcPr>
          <w:p w14:paraId="7A457D55" w14:textId="77777777" w:rsidR="0025622C" w:rsidRPr="000546B4" w:rsidRDefault="0025622C" w:rsidP="0025622C">
            <w:pPr>
              <w:rPr>
                <w:sz w:val="22"/>
                <w:szCs w:val="22"/>
              </w:rPr>
            </w:pPr>
            <w:r w:rsidRPr="000546B4">
              <w:rPr>
                <w:sz w:val="22"/>
                <w:szCs w:val="22"/>
              </w:rPr>
              <w:t>Castro et al. (2011)</w:t>
            </w:r>
          </w:p>
        </w:tc>
      </w:tr>
      <w:tr w:rsidR="0025622C" w:rsidRPr="000546B4" w14:paraId="7A457D5B" w14:textId="77777777" w:rsidTr="000546B4">
        <w:tc>
          <w:tcPr>
            <w:tcW w:w="1230" w:type="dxa"/>
            <w:tcBorders>
              <w:top w:val="nil"/>
              <w:bottom w:val="single" w:sz="4" w:space="0" w:color="auto"/>
              <w:right w:val="single" w:sz="2" w:space="0" w:color="auto"/>
            </w:tcBorders>
            <w:vAlign w:val="center"/>
          </w:tcPr>
          <w:p w14:paraId="7A457D57" w14:textId="77777777" w:rsidR="0025622C" w:rsidRPr="000546B4" w:rsidRDefault="000D6AC7" w:rsidP="0025622C">
            <w:pPr>
              <w:rPr>
                <w:sz w:val="22"/>
                <w:szCs w:val="22"/>
              </w:rPr>
            </w:pPr>
            <m:oMathPara>
              <m:oMath>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i</m:t>
                    </m:r>
                  </m:sub>
                </m:sSub>
              </m:oMath>
            </m:oMathPara>
          </w:p>
        </w:tc>
        <w:tc>
          <w:tcPr>
            <w:tcW w:w="897" w:type="dxa"/>
            <w:tcBorders>
              <w:top w:val="nil"/>
              <w:left w:val="single" w:sz="2" w:space="0" w:color="auto"/>
              <w:bottom w:val="single" w:sz="4" w:space="0" w:color="auto"/>
              <w:right w:val="single" w:sz="2" w:space="0" w:color="auto"/>
            </w:tcBorders>
            <w:vAlign w:val="center"/>
          </w:tcPr>
          <w:p w14:paraId="7A457D58" w14:textId="77777777" w:rsidR="0025622C" w:rsidRPr="000546B4" w:rsidRDefault="0025622C" w:rsidP="0025622C">
            <w:pPr>
              <w:rPr>
                <w:sz w:val="22"/>
                <w:szCs w:val="22"/>
              </w:rPr>
            </w:pPr>
            <w:r w:rsidRPr="000546B4">
              <w:rPr>
                <w:sz w:val="22"/>
                <w:szCs w:val="22"/>
              </w:rPr>
              <w:t>0,7900</w:t>
            </w:r>
          </w:p>
        </w:tc>
        <w:tc>
          <w:tcPr>
            <w:tcW w:w="5811" w:type="dxa"/>
            <w:tcBorders>
              <w:top w:val="nil"/>
              <w:left w:val="single" w:sz="2" w:space="0" w:color="auto"/>
              <w:bottom w:val="single" w:sz="4" w:space="0" w:color="auto"/>
              <w:right w:val="single" w:sz="2" w:space="0" w:color="auto"/>
            </w:tcBorders>
            <w:vAlign w:val="center"/>
          </w:tcPr>
          <w:p w14:paraId="7A457D59" w14:textId="77777777" w:rsidR="0025622C" w:rsidRPr="000546B4" w:rsidRDefault="0025622C" w:rsidP="0025622C">
            <w:pPr>
              <w:rPr>
                <w:sz w:val="22"/>
                <w:szCs w:val="22"/>
              </w:rPr>
            </w:pPr>
            <w:r w:rsidRPr="000546B4">
              <w:rPr>
                <w:sz w:val="22"/>
                <w:szCs w:val="22"/>
              </w:rPr>
              <w:t>Parâmetro de suavização da regra de Taylor</w:t>
            </w:r>
          </w:p>
        </w:tc>
        <w:tc>
          <w:tcPr>
            <w:tcW w:w="2268" w:type="dxa"/>
            <w:tcBorders>
              <w:top w:val="nil"/>
              <w:left w:val="single" w:sz="2" w:space="0" w:color="auto"/>
              <w:bottom w:val="single" w:sz="4" w:space="0" w:color="auto"/>
              <w:right w:val="single" w:sz="4" w:space="0" w:color="FFFFFF" w:themeColor="background1"/>
            </w:tcBorders>
            <w:vAlign w:val="center"/>
          </w:tcPr>
          <w:p w14:paraId="7A457D5A" w14:textId="77777777" w:rsidR="0025622C" w:rsidRPr="000546B4" w:rsidRDefault="0025622C" w:rsidP="0025622C">
            <w:pPr>
              <w:rPr>
                <w:sz w:val="22"/>
                <w:szCs w:val="22"/>
              </w:rPr>
            </w:pPr>
            <w:r w:rsidRPr="000546B4">
              <w:rPr>
                <w:sz w:val="22"/>
                <w:szCs w:val="22"/>
              </w:rPr>
              <w:t>Castro et al. (2011)</w:t>
            </w:r>
          </w:p>
        </w:tc>
      </w:tr>
      <w:tr w:rsidR="0025622C" w:rsidRPr="000546B4" w14:paraId="7A457D5E" w14:textId="77777777" w:rsidTr="004D1697">
        <w:tc>
          <w:tcPr>
            <w:tcW w:w="10206" w:type="dxa"/>
            <w:gridSpan w:val="4"/>
            <w:tcBorders>
              <w:top w:val="single" w:sz="4" w:space="0" w:color="auto"/>
              <w:bottom w:val="single" w:sz="4" w:space="0" w:color="auto"/>
              <w:right w:val="nil"/>
            </w:tcBorders>
            <w:vAlign w:val="center"/>
          </w:tcPr>
          <w:p w14:paraId="7A457D5C" w14:textId="77777777" w:rsidR="0025622C" w:rsidRPr="000546B4" w:rsidRDefault="0025622C" w:rsidP="0025622C">
            <w:pPr>
              <w:jc w:val="both"/>
              <w:rPr>
                <w:sz w:val="22"/>
                <w:szCs w:val="22"/>
              </w:rPr>
            </w:pPr>
            <w:r w:rsidRPr="000546B4">
              <w:rPr>
                <w:sz w:val="22"/>
                <w:szCs w:val="22"/>
              </w:rPr>
              <w:t xml:space="preserve">* Calculado como a razão entre a soma dos empréstimos classificados em </w:t>
            </w:r>
            <w:r w:rsidRPr="000546B4">
              <w:rPr>
                <w:i/>
                <w:sz w:val="22"/>
                <w:szCs w:val="22"/>
              </w:rPr>
              <w:t>ratings</w:t>
            </w:r>
            <w:r w:rsidRPr="000546B4">
              <w:rPr>
                <w:sz w:val="22"/>
                <w:szCs w:val="22"/>
              </w:rPr>
              <w:t xml:space="preserve"> diferentes de AA</w:t>
            </w:r>
            <w:r w:rsidRPr="000546B4">
              <w:rPr>
                <w:rStyle w:val="Refdenotaderodap"/>
                <w:sz w:val="22"/>
                <w:szCs w:val="22"/>
              </w:rPr>
              <w:footnoteReference w:id="7"/>
            </w:r>
            <w:r w:rsidRPr="000546B4">
              <w:rPr>
                <w:sz w:val="22"/>
                <w:szCs w:val="22"/>
              </w:rPr>
              <w:t xml:space="preserve"> e o total de empréstimos realizados pelo SFN, conforme Balancete dos Bancos de 01/2016 publicado pelo Banco Central do Brasil.</w:t>
            </w:r>
          </w:p>
          <w:p w14:paraId="7A457D5D" w14:textId="77777777" w:rsidR="003142B7" w:rsidRPr="000546B4" w:rsidRDefault="003142B7" w:rsidP="0025622C">
            <w:pPr>
              <w:jc w:val="both"/>
              <w:rPr>
                <w:sz w:val="22"/>
                <w:szCs w:val="22"/>
              </w:rPr>
            </w:pPr>
          </w:p>
        </w:tc>
      </w:tr>
      <w:tr w:rsidR="00D1605C" w:rsidRPr="000546B4" w14:paraId="77AABE95" w14:textId="77777777" w:rsidTr="004D1697">
        <w:tc>
          <w:tcPr>
            <w:tcW w:w="10206" w:type="dxa"/>
            <w:gridSpan w:val="4"/>
            <w:tcBorders>
              <w:top w:val="single" w:sz="4" w:space="0" w:color="auto"/>
              <w:bottom w:val="nil"/>
              <w:right w:val="nil"/>
            </w:tcBorders>
            <w:vAlign w:val="center"/>
          </w:tcPr>
          <w:p w14:paraId="7738892D" w14:textId="77777777" w:rsidR="00D1605C" w:rsidRPr="000546B4" w:rsidRDefault="000D6AC7" w:rsidP="0025622C">
            <w:pPr>
              <w:jc w:val="both"/>
              <w:rPr>
                <w:sz w:val="22"/>
                <w:szCs w:val="22"/>
              </w:rPr>
            </w:pPr>
          </w:p>
          <w:p w14:paraId="6507CF5B" w14:textId="32F86754" w:rsidR="00870DBE" w:rsidRPr="000546B4" w:rsidRDefault="00870DBE" w:rsidP="0025622C">
            <w:pPr>
              <w:jc w:val="both"/>
              <w:rPr>
                <w:sz w:val="22"/>
                <w:szCs w:val="22"/>
              </w:rPr>
            </w:pPr>
          </w:p>
        </w:tc>
      </w:tr>
    </w:tbl>
    <w:p w14:paraId="3BA33A92" w14:textId="000AC670" w:rsidR="00163BB8" w:rsidRDefault="00163BB8" w:rsidP="00163BB8">
      <w:pPr>
        <w:pStyle w:val="Ttulo3"/>
        <w:spacing w:before="120" w:after="120" w:line="240" w:lineRule="auto"/>
        <w:ind w:left="357"/>
        <w:rPr>
          <w:rFonts w:ascii="Times New Roman" w:hAnsi="Times New Roman" w:cs="Times New Roman"/>
        </w:rPr>
      </w:pPr>
    </w:p>
    <w:p w14:paraId="386B7088" w14:textId="77777777" w:rsidR="00163BB8" w:rsidRPr="00163BB8" w:rsidRDefault="00163BB8" w:rsidP="00163BB8">
      <w:pPr>
        <w:rPr>
          <w:lang w:eastAsia="en-US"/>
        </w:rPr>
      </w:pPr>
    </w:p>
    <w:p w14:paraId="7A457D5F" w14:textId="4F8BA76F" w:rsidR="00EB5591" w:rsidRPr="00C00819" w:rsidRDefault="003142B7" w:rsidP="0088144D">
      <w:pPr>
        <w:pStyle w:val="Ttulo3"/>
        <w:numPr>
          <w:ilvl w:val="1"/>
          <w:numId w:val="19"/>
        </w:numPr>
        <w:spacing w:before="120" w:after="120" w:line="240" w:lineRule="auto"/>
        <w:ind w:left="357" w:hanging="357"/>
        <w:rPr>
          <w:rFonts w:ascii="Times New Roman" w:hAnsi="Times New Roman" w:cs="Times New Roman"/>
        </w:rPr>
      </w:pPr>
      <w:r w:rsidRPr="00C00819">
        <w:rPr>
          <w:rFonts w:ascii="Times New Roman" w:hAnsi="Times New Roman" w:cs="Times New Roman"/>
        </w:rPr>
        <w:lastRenderedPageBreak/>
        <w:t>Choque de Política Monetária</w:t>
      </w:r>
    </w:p>
    <w:p w14:paraId="7A457D61" w14:textId="77777777" w:rsidR="00F54279" w:rsidRPr="00C00819" w:rsidRDefault="00EB5591" w:rsidP="004E4D37">
      <w:pPr>
        <w:ind w:firstLine="708"/>
        <w:jc w:val="both"/>
      </w:pPr>
      <w:r w:rsidRPr="00C00819">
        <w:t xml:space="preserve">A Figura </w:t>
      </w:r>
      <w:r w:rsidR="00417A56" w:rsidRPr="00C00819">
        <w:t>1</w:t>
      </w:r>
      <w:r w:rsidR="00E304A4" w:rsidRPr="00C00819">
        <w:t xml:space="preserve"> ilustra </w:t>
      </w:r>
      <w:r w:rsidRPr="00C00819">
        <w:t>a</w:t>
      </w:r>
      <w:r w:rsidR="00E304A4" w:rsidRPr="00C00819">
        <w:t>s</w:t>
      </w:r>
      <w:r w:rsidRPr="00C00819">
        <w:t xml:space="preserve"> resposta</w:t>
      </w:r>
      <w:r w:rsidR="00E304A4" w:rsidRPr="00C00819">
        <w:t>s</w:t>
      </w:r>
      <w:r w:rsidRPr="00C00819">
        <w:t xml:space="preserve"> a um choque na política monetária de 0,25% na taxa </w:t>
      </w:r>
      <w:r w:rsidR="00E304A4" w:rsidRPr="00C00819">
        <w:t xml:space="preserve">básica </w:t>
      </w:r>
      <w:r w:rsidRPr="00C00819">
        <w:t xml:space="preserve">de juros da economia. </w:t>
      </w:r>
      <w:r w:rsidR="00E304A4" w:rsidRPr="00C00819">
        <w:t xml:space="preserve">As linhas representam </w:t>
      </w:r>
      <w:r w:rsidRPr="00C00819">
        <w:t>o</w:t>
      </w:r>
      <w:r w:rsidR="00E304A4" w:rsidRPr="00C00819">
        <w:t>s</w:t>
      </w:r>
      <w:r w:rsidRPr="00C00819">
        <w:t xml:space="preserve"> desvio</w:t>
      </w:r>
      <w:r w:rsidR="00E304A4" w:rsidRPr="00C00819">
        <w:t>s</w:t>
      </w:r>
      <w:r w:rsidRPr="00C00819">
        <w:t xml:space="preserve"> </w:t>
      </w:r>
      <w:r w:rsidR="00E304A4" w:rsidRPr="00C00819">
        <w:t>percentuais</w:t>
      </w:r>
      <w:r w:rsidRPr="00C00819">
        <w:t xml:space="preserve"> do estado estacionário das principais variáveis do modelo em resposta a </w:t>
      </w:r>
      <w:r w:rsidR="00E304A4" w:rsidRPr="00C00819">
        <w:t xml:space="preserve">esse </w:t>
      </w:r>
      <w:r w:rsidRPr="00C00819">
        <w:t xml:space="preserve">choque </w:t>
      </w:r>
      <w:r w:rsidR="00E304A4" w:rsidRPr="00C00819">
        <w:t xml:space="preserve">exógeno </w:t>
      </w:r>
      <w:r w:rsidRPr="00C00819">
        <w:t xml:space="preserve">não antecipado. </w:t>
      </w:r>
    </w:p>
    <w:p w14:paraId="7A457D62" w14:textId="77777777" w:rsidR="005D4BF1" w:rsidRPr="00C00819" w:rsidRDefault="001D43ED" w:rsidP="00E304A4">
      <w:pPr>
        <w:ind w:firstLine="708"/>
        <w:jc w:val="both"/>
      </w:pPr>
      <w:r w:rsidRPr="00C00819">
        <w:t xml:space="preserve">A linha contínua </w:t>
      </w:r>
      <w:r w:rsidR="00E304A4" w:rsidRPr="00C00819">
        <w:t>corresponde a</w:t>
      </w:r>
      <w:r w:rsidRPr="00C00819">
        <w:t xml:space="preserve">os efeitos do choque no </w:t>
      </w:r>
      <w:r w:rsidR="00E304A4" w:rsidRPr="00C00819">
        <w:t>m</w:t>
      </w:r>
      <w:r w:rsidRPr="00C00819">
        <w:t xml:space="preserve">odelo </w:t>
      </w:r>
      <w:r w:rsidR="00E304A4" w:rsidRPr="00C00819">
        <w:t>o</w:t>
      </w:r>
      <w:r w:rsidRPr="00C00819">
        <w:t xml:space="preserve">riginal de </w:t>
      </w:r>
      <w:proofErr w:type="spellStart"/>
      <w:r w:rsidRPr="00C00819">
        <w:t>Gertler</w:t>
      </w:r>
      <w:proofErr w:type="spellEnd"/>
      <w:r w:rsidRPr="00C00819">
        <w:t xml:space="preserve"> e </w:t>
      </w:r>
      <w:proofErr w:type="spellStart"/>
      <w:r w:rsidRPr="00C00819">
        <w:t>Karadi</w:t>
      </w:r>
      <w:proofErr w:type="spellEnd"/>
      <w:r w:rsidRPr="00C00819">
        <w:t xml:space="preserve"> (2011)</w:t>
      </w:r>
      <w:r w:rsidR="001F22A7" w:rsidRPr="00C00819">
        <w:rPr>
          <w:rStyle w:val="Refdenotaderodap"/>
        </w:rPr>
        <w:footnoteReference w:id="8"/>
      </w:r>
      <w:r w:rsidRPr="00C00819">
        <w:t>. Nota-se que, com o choque, os juros sofrem um aumento imediato que, devido à suavização presente na Regra de Taylor, vai reduzindo até convergir para o</w:t>
      </w:r>
      <w:r w:rsidR="005D4BF1" w:rsidRPr="00C00819">
        <w:t xml:space="preserve"> estado estacionário. Esse choque causa um aumento da taxa dos depósitos bancários em relação ao seu equilíbrio de 0,28%, o que eleva</w:t>
      </w:r>
      <w:r w:rsidR="00BC15B6" w:rsidRPr="00C00819">
        <w:t xml:space="preserve"> </w:t>
      </w:r>
      <w:r w:rsidR="005D4BF1" w:rsidRPr="00C00819">
        <w:t>o custo de captação dos bancos. Com taxas mais altas, o investimento torna-se mais caro</w:t>
      </w:r>
      <w:r w:rsidR="00BC15B6" w:rsidRPr="00C00819">
        <w:t>,</w:t>
      </w:r>
      <w:r w:rsidR="005D4BF1" w:rsidRPr="00C00819">
        <w:t xml:space="preserve"> ocasionando uma redução da demanda por capital, que tem seu valor </w:t>
      </w: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w:r w:rsidR="005D4BF1" w:rsidRPr="00C00819">
        <w:rPr>
          <w:rFonts w:eastAsiaTheme="minorEastAsia"/>
        </w:rPr>
        <w:t xml:space="preserve"> </w:t>
      </w:r>
      <w:r w:rsidR="00BC15B6" w:rsidRPr="00C00819">
        <w:t>reduzido, e</w:t>
      </w:r>
      <w:r w:rsidR="005D4BF1" w:rsidRPr="00C00819">
        <w:t xml:space="preserve"> uma queda na demanda por crédito. Esta queda </w:t>
      </w:r>
      <w:r w:rsidR="00BC15B6" w:rsidRPr="00C00819">
        <w:t xml:space="preserve">do crédito </w:t>
      </w:r>
      <w:r w:rsidR="005D4BF1" w:rsidRPr="00C00819">
        <w:t>provoca contração no nível de produto da economia e im</w:t>
      </w:r>
      <w:r w:rsidR="00BC15B6" w:rsidRPr="00C00819">
        <w:t xml:space="preserve">pacta negativamente </w:t>
      </w:r>
      <w:r w:rsidR="005D4BF1" w:rsidRPr="00C00819">
        <w:t xml:space="preserve">as horas trabalhadas. </w:t>
      </w:r>
    </w:p>
    <w:p w14:paraId="7A457D63" w14:textId="77777777" w:rsidR="00BC15B6" w:rsidRPr="00C00819" w:rsidRDefault="005D4BF1" w:rsidP="005D4BF1">
      <w:pPr>
        <w:ind w:firstLine="708"/>
        <w:jc w:val="both"/>
      </w:pPr>
      <w:r w:rsidRPr="00C00819">
        <w:t xml:space="preserve">De forma semelhante, as altas taxas de juros também impactam negativamente no consumo, o que tende a criar excesso de oferta sobre a demanda, forçando as firmas </w:t>
      </w:r>
      <w:r w:rsidR="00BC15B6" w:rsidRPr="00C00819">
        <w:t xml:space="preserve">a reduzir os preços e, por conseguinte, </w:t>
      </w:r>
      <w:r w:rsidRPr="00C00819">
        <w:t xml:space="preserve">a inflação. Por outro lado, </w:t>
      </w:r>
      <w:proofErr w:type="gramStart"/>
      <w:r w:rsidRPr="00C00819">
        <w:t xml:space="preserve">a diminuição do consumo conjugada com taxas </w:t>
      </w:r>
      <w:r w:rsidR="00BC15B6" w:rsidRPr="00C00819">
        <w:t xml:space="preserve">de juros </w:t>
      </w:r>
      <w:r w:rsidRPr="00C00819">
        <w:t>mais altas estimulam</w:t>
      </w:r>
      <w:proofErr w:type="gramEnd"/>
      <w:r w:rsidRPr="00C00819">
        <w:t xml:space="preserve"> a poupança que é realizada mediante depósitos nas instituições financeiras. A diminuição da produção das firmas resulta em uma queda da taxa de juros dos empréstimos no momento do choque, tendo em vista que esta taxa reage com um período de defasagem</w:t>
      </w:r>
      <w:r w:rsidRPr="00C00819">
        <w:rPr>
          <w:rStyle w:val="Refdenotaderodap"/>
        </w:rPr>
        <w:footnoteReference w:id="9"/>
      </w:r>
      <w:r w:rsidRPr="00C00819">
        <w:t>. Entretanto, no período seguinte ao choque, a queda na demanda por crédito, bem como a elevação do custo com captação, resulta em aumento da taxa dos empréstimos em 0,37</w:t>
      </w:r>
      <w:r w:rsidR="00BC15B6" w:rsidRPr="00C00819">
        <w:t>% (t</w:t>
      </w:r>
      <w:r w:rsidRPr="00C00819">
        <w:t>a</w:t>
      </w:r>
      <w:r w:rsidR="00BC15B6" w:rsidRPr="00C00819">
        <w:t>xa total c</w:t>
      </w:r>
      <w:r w:rsidRPr="00C00819">
        <w:t xml:space="preserve">rédito). Dado que esse aumento se dá de forma mais que proporcional ao encarecimento do custo de captação, o </w:t>
      </w:r>
      <w:r w:rsidRPr="00C00819">
        <w:rPr>
          <w:i/>
        </w:rPr>
        <w:t>spread</w:t>
      </w:r>
      <w:r w:rsidRPr="00C00819">
        <w:t xml:space="preserve"> bancário eleva-se.</w:t>
      </w:r>
    </w:p>
    <w:p w14:paraId="7A457D64" w14:textId="77777777" w:rsidR="00BC15B6" w:rsidRPr="00C00819" w:rsidRDefault="00BC15B6" w:rsidP="0092647C">
      <w:pPr>
        <w:ind w:firstLine="709"/>
        <w:jc w:val="both"/>
      </w:pPr>
      <w:r w:rsidRPr="00C00819">
        <w:t>Quanto aos passivos bancários, devido à queda do valor de mercado do capital, o capital próprio das instituições finan</w:t>
      </w:r>
      <w:r w:rsidR="0092647C" w:rsidRPr="00C00819">
        <w:t>ceiras também reduz, confirmando</w:t>
      </w:r>
      <w:r w:rsidRPr="00C00819">
        <w:t xml:space="preserve"> a identidade do balanço dos bancos, </w:t>
      </w:r>
      <m:oMath>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oMath>
      <w:r w:rsidRPr="00C00819">
        <w:t>, e impactando no aumento do grau de alavancagem das instituições.</w:t>
      </w:r>
      <w:r w:rsidR="0092647C" w:rsidRPr="00C00819">
        <w:t xml:space="preserve"> P</w:t>
      </w:r>
      <w:r w:rsidRPr="00C00819">
        <w:t>ara reduzir a alavancagem e recompor o c</w:t>
      </w:r>
      <w:r w:rsidR="0092647C" w:rsidRPr="00C00819">
        <w:t xml:space="preserve">apital próprio, os bancos </w:t>
      </w:r>
      <w:r w:rsidRPr="00C00819">
        <w:t>reduz</w:t>
      </w:r>
      <w:r w:rsidR="0092647C" w:rsidRPr="00C00819">
        <w:t>em</w:t>
      </w:r>
      <w:r w:rsidRPr="00C00819">
        <w:t xml:space="preserve"> a taxa paga aos depósitos, de modo a restringir a demanda e impactar no volume captado. Logo, na medida em que a taxa dos depósitos vai reduzindo, a taxa de juros da economia vai convergindo ao estado inicial. Com um custo de captação menor, os bancos podem diminuir as taxas dos empréstimos, promovendo a recuperação da demanda por crédito. Com isso, o investimento volta a crescer, elevando, também, o</w:t>
      </w:r>
      <w:r w:rsidR="0092647C" w:rsidRPr="00C00819">
        <w:t>s níveis</w:t>
      </w:r>
      <w:r w:rsidRPr="00C00819">
        <w:t xml:space="preserve"> de produto </w:t>
      </w:r>
      <w:r w:rsidR="0092647C" w:rsidRPr="00C00819">
        <w:t>e</w:t>
      </w:r>
      <w:r w:rsidRPr="00C00819">
        <w:t xml:space="preserve"> consumo</w:t>
      </w:r>
      <w:r w:rsidR="0092647C" w:rsidRPr="00C00819">
        <w:t xml:space="preserve"> da economia</w:t>
      </w:r>
      <w:r w:rsidRPr="00C00819">
        <w:t xml:space="preserve">. Uma vez que ocorre a retomada do crédito, o patrimônio líquido das instituições financeiras volta a </w:t>
      </w:r>
      <w:r w:rsidR="0092647C" w:rsidRPr="00C00819">
        <w:t>subir</w:t>
      </w:r>
      <w:r w:rsidRPr="00C00819">
        <w:t xml:space="preserve"> e, por consequência, o índice de alavancagem dos bancos torna-se menor. </w:t>
      </w:r>
    </w:p>
    <w:p w14:paraId="7A457D65" w14:textId="46631C6C" w:rsidR="00BC15B6" w:rsidRPr="00C00819" w:rsidRDefault="0092647C" w:rsidP="00BC15B6">
      <w:pPr>
        <w:ind w:firstLine="709"/>
        <w:jc w:val="both"/>
      </w:pPr>
      <w:r w:rsidRPr="00C00819">
        <w:t>A linha tracejada ilustra</w:t>
      </w:r>
      <w:r w:rsidR="00BC15B6" w:rsidRPr="00C00819">
        <w:t xml:space="preserve"> a</w:t>
      </w:r>
      <w:r w:rsidRPr="00C00819">
        <w:t>s</w:t>
      </w:r>
      <w:r w:rsidR="00BC15B6" w:rsidRPr="00C00819">
        <w:t xml:space="preserve"> resposta</w:t>
      </w:r>
      <w:r w:rsidRPr="00C00819">
        <w:t>s</w:t>
      </w:r>
      <w:r w:rsidR="00BC15B6" w:rsidRPr="00C00819">
        <w:t xml:space="preserve"> a </w:t>
      </w:r>
      <w:r w:rsidRPr="00C00819">
        <w:t xml:space="preserve">esse mesmo choque, mas </w:t>
      </w:r>
      <w:r w:rsidR="00BC15B6" w:rsidRPr="00C00819">
        <w:t xml:space="preserve">considerando o modelo com risco de crédito e recolhimentos compulsórios. </w:t>
      </w:r>
      <w:r w:rsidRPr="00C00819">
        <w:t>D</w:t>
      </w:r>
      <w:r w:rsidR="00BC15B6" w:rsidRPr="00C00819">
        <w:t xml:space="preserve">a mesma forma que no modelo original (linha contínua), a taxa </w:t>
      </w:r>
      <w:r w:rsidRPr="00C00819">
        <w:t xml:space="preserve">básica </w:t>
      </w:r>
      <w:r w:rsidR="00BC15B6" w:rsidRPr="00C00819">
        <w:t xml:space="preserve">de juros sofre um aumento imediato que </w:t>
      </w:r>
      <w:r w:rsidRPr="00C00819">
        <w:t xml:space="preserve">é gradualmente amortizado até </w:t>
      </w:r>
      <w:r w:rsidR="00BC15B6" w:rsidRPr="00C00819">
        <w:t xml:space="preserve">convergir para o estado estacionário. </w:t>
      </w:r>
      <w:r w:rsidRPr="00C00819">
        <w:t>O</w:t>
      </w:r>
      <w:r w:rsidR="00BC15B6" w:rsidRPr="00C00819">
        <w:t>corre</w:t>
      </w:r>
      <w:r w:rsidRPr="00C00819">
        <w:t>, então,</w:t>
      </w:r>
      <w:r w:rsidR="00BC15B6" w:rsidRPr="00C00819">
        <w:t xml:space="preserve"> um aumento instantâneo da taxa dos depósitos bancários de 0,28%, </w:t>
      </w:r>
      <w:r w:rsidRPr="00C00819">
        <w:t>elevando</w:t>
      </w:r>
      <w:r w:rsidR="00BC15B6" w:rsidRPr="00C00819">
        <w:t xml:space="preserve"> a demanda por este tipo de aplicação financeira e encarece</w:t>
      </w:r>
      <w:r w:rsidR="00F22439" w:rsidRPr="00C00819">
        <w:t>ndo</w:t>
      </w:r>
      <w:r w:rsidR="00BC15B6" w:rsidRPr="00C00819">
        <w:t xml:space="preserve"> a captação bancária. No entanto, por considerar os recolhimentos compulsórios, o volume de depósitos dessa versão do modelo sofre um aumento superior ao original, de modo a compensar a queda na liquidez causada pelos compulsórios. </w:t>
      </w:r>
    </w:p>
    <w:p w14:paraId="7A457D66" w14:textId="77777777" w:rsidR="00BC15B6" w:rsidRPr="00C00819" w:rsidRDefault="00BC15B6" w:rsidP="00BC15B6">
      <w:pPr>
        <w:ind w:firstLine="709"/>
        <w:jc w:val="both"/>
        <w:rPr>
          <w:i/>
        </w:rPr>
      </w:pPr>
      <w:r w:rsidRPr="00C00819">
        <w:t>De modo similar ao modelo original, ocorre uma queda nos investimentos, no capital e no nível de produto da economia. Com uma produção menor, as horas trabalhadas são reduzidas, assim como o consumo e a inflação. Como resultado da relação negativa entre a taxa de juros dos empréstimos das firmas do tipo 1, “</w:t>
      </w:r>
      <w:r w:rsidRPr="00C00819">
        <w:rPr>
          <w:i/>
        </w:rPr>
        <w:t>maus</w:t>
      </w:r>
      <w:r w:rsidRPr="00C00819">
        <w:t xml:space="preserve">” pagadores, e a taxa de pagamento do crédito e tendo em vista a formulação do custo marginal com </w:t>
      </w:r>
      <w:r w:rsidRPr="00C00819">
        <w:rPr>
          <w:i/>
        </w:rPr>
        <w:t xml:space="preserve">default </w:t>
      </w:r>
      <w:r w:rsidRPr="00C00819">
        <w:t>incorrido por esta firma, a alta da taxa</w:t>
      </w:r>
      <w:r w:rsidR="0092647C" w:rsidRPr="00C00819">
        <w:t xml:space="preserve"> nos</w:t>
      </w:r>
      <w:r w:rsidRPr="00C00819">
        <w:t xml:space="preserve"> juros tem um efeito negativo sobre a taxa de pagamento dos empréstimos, que sofre uma variação negativa pequena de 0,016% no momento do choque. Essa variação, apesar de baixa, ocorre, principalmente, devido ao encarecimento do crédito, que é pós-fixado, e à redução nível de produto. Esses fatores contribuem para a redução da capacidade de pagamento das firmas que incorrem em maior risco de </w:t>
      </w:r>
      <w:r w:rsidRPr="00C00819">
        <w:rPr>
          <w:i/>
        </w:rPr>
        <w:t xml:space="preserve">default. </w:t>
      </w:r>
    </w:p>
    <w:p w14:paraId="7A457D67" w14:textId="77777777" w:rsidR="005D4BF1" w:rsidRPr="00C00819" w:rsidRDefault="005D4BF1" w:rsidP="005D4BF1">
      <w:pPr>
        <w:ind w:firstLine="708"/>
        <w:jc w:val="both"/>
      </w:pPr>
      <w:r w:rsidRPr="00C00819">
        <w:t xml:space="preserve"> </w:t>
      </w:r>
    </w:p>
    <w:p w14:paraId="7A457D68" w14:textId="77777777" w:rsidR="003142B7" w:rsidRPr="00C00819" w:rsidRDefault="003142B7" w:rsidP="005D4BF1">
      <w:pPr>
        <w:ind w:firstLine="708"/>
        <w:jc w:val="both"/>
      </w:pPr>
    </w:p>
    <w:p w14:paraId="7A457D69" w14:textId="2BE220D1" w:rsidR="0025622C" w:rsidRPr="00C00819" w:rsidRDefault="0025622C" w:rsidP="0025622C">
      <w:pPr>
        <w:pStyle w:val="Legenda"/>
        <w:keepNext/>
        <w:spacing w:after="0" w:line="240" w:lineRule="auto"/>
        <w:ind w:left="993"/>
        <w:rPr>
          <w:rFonts w:cs="Times New Roman"/>
          <w:b w:val="0"/>
          <w:color w:val="auto"/>
          <w:sz w:val="24"/>
          <w:szCs w:val="24"/>
        </w:rPr>
      </w:pPr>
      <w:bookmarkStart w:id="68" w:name="_Toc451294337"/>
      <w:r w:rsidRPr="00C00819">
        <w:rPr>
          <w:rFonts w:cs="Times New Roman"/>
          <w:b w:val="0"/>
          <w:color w:val="auto"/>
          <w:sz w:val="24"/>
          <w:szCs w:val="24"/>
        </w:rPr>
        <w:t xml:space="preserve">Figura </w:t>
      </w:r>
      <w:r w:rsidRPr="00C00819">
        <w:rPr>
          <w:rFonts w:cs="Times New Roman"/>
          <w:b w:val="0"/>
          <w:color w:val="auto"/>
          <w:sz w:val="24"/>
          <w:szCs w:val="24"/>
        </w:rPr>
        <w:fldChar w:fldCharType="begin"/>
      </w:r>
      <w:r w:rsidRPr="00C00819">
        <w:rPr>
          <w:rFonts w:cs="Times New Roman"/>
          <w:b w:val="0"/>
          <w:color w:val="auto"/>
          <w:sz w:val="24"/>
          <w:szCs w:val="24"/>
        </w:rPr>
        <w:instrText xml:space="preserve"> SEQ Figura \* ARABIC </w:instrText>
      </w:r>
      <w:r w:rsidRPr="00C00819">
        <w:rPr>
          <w:rFonts w:cs="Times New Roman"/>
          <w:b w:val="0"/>
          <w:color w:val="auto"/>
          <w:sz w:val="24"/>
          <w:szCs w:val="24"/>
        </w:rPr>
        <w:fldChar w:fldCharType="separate"/>
      </w:r>
      <w:r w:rsidR="00023231" w:rsidRPr="00C00819">
        <w:rPr>
          <w:rFonts w:cs="Times New Roman"/>
          <w:b w:val="0"/>
          <w:noProof/>
          <w:color w:val="auto"/>
          <w:sz w:val="24"/>
          <w:szCs w:val="24"/>
        </w:rPr>
        <w:t>1</w:t>
      </w:r>
      <w:r w:rsidRPr="00C00819">
        <w:rPr>
          <w:rFonts w:cs="Times New Roman"/>
          <w:b w:val="0"/>
          <w:color w:val="auto"/>
          <w:sz w:val="24"/>
          <w:szCs w:val="24"/>
        </w:rPr>
        <w:fldChar w:fldCharType="end"/>
      </w:r>
      <w:r w:rsidRPr="00C00819">
        <w:rPr>
          <w:rFonts w:cs="Times New Roman"/>
          <w:b w:val="0"/>
          <w:color w:val="auto"/>
          <w:sz w:val="24"/>
          <w:szCs w:val="24"/>
        </w:rPr>
        <w:t xml:space="preserve"> – Funções Impulso Resposta a um Choque de Política Monetária</w:t>
      </w:r>
      <w:bookmarkEnd w:id="68"/>
    </w:p>
    <w:p w14:paraId="7A457D6A" w14:textId="77777777" w:rsidR="0025622C" w:rsidRPr="00C00819" w:rsidRDefault="0025622C" w:rsidP="0025622C">
      <w:pPr>
        <w:jc w:val="center"/>
      </w:pPr>
      <w:r w:rsidRPr="00C00819">
        <w:rPr>
          <w:noProof/>
        </w:rPr>
        <w:drawing>
          <wp:inline distT="0" distB="0" distL="0" distR="0" wp14:anchorId="7A457DCC" wp14:editId="3CC6F682">
            <wp:extent cx="5236626" cy="3600000"/>
            <wp:effectExtent l="0" t="0" r="2540" b="63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6626" cy="3600000"/>
                    </a:xfrm>
                    <a:prstGeom prst="rect">
                      <a:avLst/>
                    </a:prstGeom>
                  </pic:spPr>
                </pic:pic>
              </a:graphicData>
            </a:graphic>
          </wp:inline>
        </w:drawing>
      </w:r>
    </w:p>
    <w:p w14:paraId="7A457D6C" w14:textId="380875A0" w:rsidR="0025622C" w:rsidRPr="00C00819" w:rsidRDefault="0025622C" w:rsidP="0025622C">
      <w:pPr>
        <w:jc w:val="center"/>
      </w:pPr>
      <w:r w:rsidRPr="00C00819">
        <w:rPr>
          <w:noProof/>
        </w:rPr>
        <w:drawing>
          <wp:inline distT="0" distB="0" distL="0" distR="0" wp14:anchorId="7A457DCE" wp14:editId="53B652DE">
            <wp:extent cx="5236619" cy="3600000"/>
            <wp:effectExtent l="0" t="0" r="2540" b="635"/>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6619" cy="3600000"/>
                    </a:xfrm>
                    <a:prstGeom prst="rect">
                      <a:avLst/>
                    </a:prstGeom>
                  </pic:spPr>
                </pic:pic>
              </a:graphicData>
            </a:graphic>
          </wp:inline>
        </w:drawing>
      </w:r>
      <w:r w:rsidRPr="00C00819">
        <w:rPr>
          <w:noProof/>
        </w:rPr>
        <w:drawing>
          <wp:inline distT="0" distB="0" distL="0" distR="0" wp14:anchorId="7A457DD0" wp14:editId="59328B15">
            <wp:extent cx="4653531" cy="468000"/>
            <wp:effectExtent l="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3531" cy="468000"/>
                    </a:xfrm>
                    <a:prstGeom prst="rect">
                      <a:avLst/>
                    </a:prstGeom>
                    <a:noFill/>
                  </pic:spPr>
                </pic:pic>
              </a:graphicData>
            </a:graphic>
          </wp:inline>
        </w:drawing>
      </w:r>
    </w:p>
    <w:p w14:paraId="7A457D6E" w14:textId="77777777" w:rsidR="000007E5" w:rsidRPr="00C00819" w:rsidRDefault="00A36D5A" w:rsidP="00580FCE">
      <w:pPr>
        <w:ind w:firstLine="709"/>
        <w:jc w:val="both"/>
        <w:rPr>
          <w:rFonts w:eastAsiaTheme="minorEastAsia"/>
        </w:rPr>
      </w:pPr>
      <w:r w:rsidRPr="00C00819">
        <w:t xml:space="preserve">Ao considerar </w:t>
      </w:r>
      <w:r w:rsidR="00022553" w:rsidRPr="00C00819">
        <w:t xml:space="preserve">esse </w:t>
      </w:r>
      <w:r w:rsidRPr="00C00819">
        <w:t xml:space="preserve">risco no modelo, </w:t>
      </w:r>
      <w:r w:rsidR="00022553" w:rsidRPr="00C00819">
        <w:t xml:space="preserve">a relação negativa entre </w:t>
      </w:r>
      <w:r w:rsidRPr="00C00819">
        <w:t xml:space="preserve">a taxa de juros dos empréstimos </w:t>
      </w:r>
      <w:r w:rsidR="00022553" w:rsidRPr="00C00819">
        <w:t>e</w:t>
      </w:r>
      <w:r w:rsidRPr="00C00819">
        <w:t xml:space="preserve"> a taxa de pagamento do crédito </w:t>
      </w:r>
      <w:r w:rsidR="00022553" w:rsidRPr="00C00819">
        <w:t xml:space="preserve">passa a </w:t>
      </w:r>
      <w:r w:rsidR="00A80055" w:rsidRPr="00C00819">
        <w:t>operar</w:t>
      </w:r>
      <w:r w:rsidRPr="00C00819">
        <w:t xml:space="preserve"> como uma compensação </w:t>
      </w:r>
      <w:r w:rsidR="00022553" w:rsidRPr="00C00819">
        <w:t xml:space="preserve">para o banco </w:t>
      </w:r>
      <w:r w:rsidRPr="00C00819">
        <w:t xml:space="preserve">pelas perdas com o </w:t>
      </w:r>
      <w:r w:rsidRPr="00C00819">
        <w:rPr>
          <w:i/>
        </w:rPr>
        <w:t>default</w:t>
      </w:r>
      <w:r w:rsidR="007205AB" w:rsidRPr="00C00819">
        <w:t xml:space="preserve">, pois, a redução na taxa de pagamento – elevação do </w:t>
      </w:r>
      <w:r w:rsidR="007205AB" w:rsidRPr="00C00819">
        <w:rPr>
          <w:i/>
        </w:rPr>
        <w:t>default</w:t>
      </w:r>
      <w:r w:rsidR="007205AB" w:rsidRPr="00C00819">
        <w:t xml:space="preserve"> – leva ao aumento na taxa dos empréstimos. </w:t>
      </w:r>
      <w:r w:rsidRPr="00C00819">
        <w:t>Logo, devido à queda da taxa de pagamento, a taxa dos em</w:t>
      </w:r>
      <w:r w:rsidR="00022553" w:rsidRPr="00C00819">
        <w:t>préstimos das firmas do tipo 1</w:t>
      </w:r>
      <w:r w:rsidRPr="00C00819">
        <w:t xml:space="preserve"> sobe mais do que no modelo original, elevando, também, a taxa total dos empréstimos</w:t>
      </w:r>
      <w:r w:rsidR="00EB765B" w:rsidRPr="00C00819">
        <w:t>,</w:t>
      </w:r>
      <w:r w:rsidRPr="00C00819">
        <w:t xml:space="preserve"> </w:t>
      </w:r>
      <w:r w:rsidR="00EB765B" w:rsidRPr="00C00819">
        <w:t xml:space="preserve">que é </w:t>
      </w:r>
      <w:r w:rsidRPr="00C00819">
        <w:t>composta pela ponderação entr</w:t>
      </w:r>
      <w:r w:rsidR="00EB765B" w:rsidRPr="00C00819">
        <w:t>e taxas dos “</w:t>
      </w:r>
      <w:r w:rsidR="00EB765B" w:rsidRPr="00C00819">
        <w:rPr>
          <w:i/>
        </w:rPr>
        <w:t>bons</w:t>
      </w:r>
      <w:r w:rsidR="00EB765B" w:rsidRPr="00C00819">
        <w:t>” e dos “</w:t>
      </w:r>
      <w:r w:rsidR="00EB765B" w:rsidRPr="00C00819">
        <w:rPr>
          <w:i/>
        </w:rPr>
        <w:t>maus</w:t>
      </w:r>
      <w:r w:rsidR="00EB765B" w:rsidRPr="00C00819">
        <w:t>” pagadores e chega</w:t>
      </w:r>
      <w:r w:rsidR="00022553" w:rsidRPr="00C00819">
        <w:t xml:space="preserve"> a</w:t>
      </w:r>
      <w:r w:rsidRPr="00C00819">
        <w:t xml:space="preserve"> 0,</w:t>
      </w:r>
      <w:r w:rsidR="00022553" w:rsidRPr="00C00819">
        <w:t>43</w:t>
      </w:r>
      <w:r w:rsidRPr="00C00819">
        <w:t>%</w:t>
      </w:r>
      <w:r w:rsidR="00022553" w:rsidRPr="00C00819">
        <w:t xml:space="preserve"> no período posterior ao choque</w:t>
      </w:r>
      <w:r w:rsidRPr="00C00819">
        <w:t xml:space="preserve">. Por essa razão, o </w:t>
      </w:r>
      <w:r w:rsidRPr="00C00819">
        <w:rPr>
          <w:i/>
        </w:rPr>
        <w:t xml:space="preserve">spread </w:t>
      </w:r>
      <w:r w:rsidRPr="00C00819">
        <w:t xml:space="preserve">bancário no modelo com risco de </w:t>
      </w:r>
      <w:r w:rsidR="000D5D56" w:rsidRPr="00C00819">
        <w:rPr>
          <w:i/>
        </w:rPr>
        <w:t>default</w:t>
      </w:r>
      <w:r w:rsidR="000D5D56" w:rsidRPr="00C00819">
        <w:t xml:space="preserve"> </w:t>
      </w:r>
      <w:r w:rsidRPr="00C00819">
        <w:t>cresce acima do modelo original.</w:t>
      </w:r>
      <w:r w:rsidR="00022553" w:rsidRPr="00C00819">
        <w:t xml:space="preserve"> O </w:t>
      </w:r>
      <w:r w:rsidR="00022553" w:rsidRPr="00C00819">
        <w:lastRenderedPageBreak/>
        <w:t>aumento dos depósitos bancários e a redução mais acentuada no nível de concessões de crédito provocam uma maior queda no capital próprio bancário, respeitando a identidade de balanço</w:t>
      </w:r>
      <w:r w:rsidR="00022553" w:rsidRPr="00C00819">
        <w:rPr>
          <w:rFonts w:eastAsiaTheme="minorEastAsia"/>
        </w:rPr>
        <w:t xml:space="preserve">. </w:t>
      </w:r>
    </w:p>
    <w:p w14:paraId="7A457D6F" w14:textId="77777777" w:rsidR="00022553" w:rsidRPr="00C00819" w:rsidRDefault="00E11FFA" w:rsidP="00580FCE">
      <w:pPr>
        <w:ind w:firstLine="709"/>
        <w:jc w:val="both"/>
      </w:pPr>
      <w:r w:rsidRPr="00C00819">
        <w:rPr>
          <w:rFonts w:eastAsiaTheme="minorEastAsia"/>
        </w:rPr>
        <w:t>Então, pode-se concluir que</w:t>
      </w:r>
      <w:r w:rsidR="003808E0" w:rsidRPr="00C00819">
        <w:rPr>
          <w:rFonts w:eastAsiaTheme="minorEastAsia"/>
        </w:rPr>
        <w:t xml:space="preserve"> a taxa de pagamento dos empréstimos é pró-cíclica</w:t>
      </w:r>
      <w:r w:rsidR="003808E0" w:rsidRPr="00C00819">
        <w:rPr>
          <w:rStyle w:val="Refdenotaderodap"/>
        </w:rPr>
        <w:footnoteReference w:id="10"/>
      </w:r>
      <w:r w:rsidR="003808E0" w:rsidRPr="00C00819">
        <w:rPr>
          <w:rFonts w:eastAsiaTheme="minorEastAsia"/>
        </w:rPr>
        <w:t>, i</w:t>
      </w:r>
      <w:r w:rsidR="00A80055" w:rsidRPr="00C00819">
        <w:rPr>
          <w:rFonts w:eastAsiaTheme="minorEastAsia"/>
        </w:rPr>
        <w:t>nd</w:t>
      </w:r>
      <w:r w:rsidR="003808E0" w:rsidRPr="00C00819">
        <w:rPr>
          <w:rFonts w:eastAsiaTheme="minorEastAsia"/>
        </w:rPr>
        <w:t xml:space="preserve">icando que o </w:t>
      </w:r>
      <w:r w:rsidR="003808E0" w:rsidRPr="00C00819">
        <w:rPr>
          <w:rFonts w:eastAsiaTheme="minorEastAsia"/>
          <w:i/>
        </w:rPr>
        <w:t>default</w:t>
      </w:r>
      <w:r w:rsidR="003808E0" w:rsidRPr="00C00819">
        <w:rPr>
          <w:rFonts w:eastAsiaTheme="minorEastAsia"/>
        </w:rPr>
        <w:t xml:space="preserve"> aumenta em período de recessão econômica. </w:t>
      </w:r>
      <w:r w:rsidR="0005027A" w:rsidRPr="00C00819">
        <w:rPr>
          <w:rFonts w:eastAsiaTheme="minorEastAsia"/>
        </w:rPr>
        <w:t>Dessa forma</w:t>
      </w:r>
      <w:r w:rsidR="003808E0" w:rsidRPr="00C00819">
        <w:rPr>
          <w:rFonts w:eastAsiaTheme="minorEastAsia"/>
        </w:rPr>
        <w:t xml:space="preserve">, </w:t>
      </w:r>
      <w:r w:rsidR="000D5D56" w:rsidRPr="00C00819">
        <w:t xml:space="preserve">o </w:t>
      </w:r>
      <w:r w:rsidR="00022553" w:rsidRPr="00C00819">
        <w:t>custo mais elevado para o crédito,</w:t>
      </w:r>
      <w:r w:rsidR="000D5D56" w:rsidRPr="00C00819">
        <w:t xml:space="preserve"> devido ao risco de </w:t>
      </w:r>
      <w:r w:rsidR="000D5D56" w:rsidRPr="00C00819">
        <w:rPr>
          <w:i/>
        </w:rPr>
        <w:t>default,</w:t>
      </w:r>
      <w:r w:rsidR="00022553" w:rsidRPr="00C00819">
        <w:t xml:space="preserve"> </w:t>
      </w:r>
      <w:r w:rsidR="000D5D56" w:rsidRPr="00C00819">
        <w:t>resulta em efeitos</w:t>
      </w:r>
      <w:r w:rsidR="00022553" w:rsidRPr="00C00819">
        <w:t xml:space="preserve"> </w:t>
      </w:r>
      <w:r w:rsidR="009E1EE4" w:rsidRPr="00C00819">
        <w:t xml:space="preserve">recessivos mais danosos </w:t>
      </w:r>
      <w:r w:rsidR="003478FA" w:rsidRPr="00C00819">
        <w:t>sobre a economia</w:t>
      </w:r>
      <w:r w:rsidRPr="00C00819">
        <w:t>.</w:t>
      </w:r>
      <w:r w:rsidR="000D5D56" w:rsidRPr="00C00819">
        <w:t xml:space="preserve"> </w:t>
      </w:r>
    </w:p>
    <w:p w14:paraId="7A457D71" w14:textId="77777777" w:rsidR="00B023CC" w:rsidRPr="00C00819" w:rsidRDefault="003142B7" w:rsidP="008B3FD3">
      <w:pPr>
        <w:pStyle w:val="Ttulo3"/>
        <w:numPr>
          <w:ilvl w:val="1"/>
          <w:numId w:val="19"/>
        </w:numPr>
        <w:spacing w:before="120" w:after="120" w:line="240" w:lineRule="auto"/>
        <w:ind w:left="357" w:hanging="357"/>
        <w:rPr>
          <w:rFonts w:ascii="Times New Roman" w:hAnsi="Times New Roman" w:cs="Times New Roman"/>
        </w:rPr>
      </w:pPr>
      <w:r w:rsidRPr="00C00819">
        <w:rPr>
          <w:rFonts w:ascii="Times New Roman" w:hAnsi="Times New Roman" w:cs="Times New Roman"/>
        </w:rPr>
        <w:t xml:space="preserve">Choque </w:t>
      </w:r>
      <w:r w:rsidR="00B023CC" w:rsidRPr="00C00819">
        <w:rPr>
          <w:rFonts w:ascii="Times New Roman" w:hAnsi="Times New Roman" w:cs="Times New Roman"/>
        </w:rPr>
        <w:t>na Taxa de Pagamento dos Empréstimos</w:t>
      </w:r>
    </w:p>
    <w:p w14:paraId="7A457D73" w14:textId="77777777" w:rsidR="00A80055" w:rsidRPr="00C00819" w:rsidRDefault="00B023CC" w:rsidP="004D1697">
      <w:pPr>
        <w:ind w:firstLine="708"/>
        <w:jc w:val="both"/>
      </w:pPr>
      <w:r w:rsidRPr="00C00819">
        <w:t xml:space="preserve">A Figura </w:t>
      </w:r>
      <w:r w:rsidR="00417A56" w:rsidRPr="00C00819">
        <w:t>2</w:t>
      </w:r>
      <w:r w:rsidR="00F0052E" w:rsidRPr="00C00819">
        <w:t xml:space="preserve"> reporta</w:t>
      </w:r>
      <w:r w:rsidRPr="00C00819">
        <w:t xml:space="preserve"> a</w:t>
      </w:r>
      <w:r w:rsidR="00F0052E" w:rsidRPr="00C00819">
        <w:t>s</w:t>
      </w:r>
      <w:r w:rsidRPr="00C00819">
        <w:t xml:space="preserve"> resposta</w:t>
      </w:r>
      <w:r w:rsidR="00F0052E" w:rsidRPr="00C00819">
        <w:t>s</w:t>
      </w:r>
      <w:r w:rsidRPr="00C00819">
        <w:t xml:space="preserve"> a diferentes choques na taxa de pagamento dos empréstimos</w:t>
      </w:r>
      <w:r w:rsidR="00F0052E" w:rsidRPr="00C00819">
        <w:t xml:space="preserve">, que variam em </w:t>
      </w:r>
      <w:r w:rsidRPr="00C00819">
        <w:t>0,25%, 1,0%, 2,5% e 5,0%</w:t>
      </w:r>
      <w:r w:rsidR="00F0052E" w:rsidRPr="00C00819">
        <w:t>,</w:t>
      </w:r>
      <w:r w:rsidRPr="00C00819">
        <w:t xml:space="preserve"> com o objetivo de verificar </w:t>
      </w:r>
      <w:r w:rsidR="00F0052E" w:rsidRPr="00C00819">
        <w:t xml:space="preserve">como </w:t>
      </w:r>
      <w:r w:rsidRPr="00C00819">
        <w:t xml:space="preserve">a intensidade desse choque </w:t>
      </w:r>
      <w:r w:rsidR="00F0052E" w:rsidRPr="00C00819">
        <w:t xml:space="preserve">afeta seus efeitos </w:t>
      </w:r>
      <w:r w:rsidRPr="00C00819">
        <w:t xml:space="preserve">sobre a economia. </w:t>
      </w:r>
      <w:r w:rsidR="00A80055" w:rsidRPr="00C00819">
        <w:t>Para elevar o índice de pagamento das dívidas junto aos bancos, as firmas devem obter esses recursos mediante a redução nos gastos com investimentos. Assim, o aumento inesperado na taxa de pagamento dos empréstimos retira recursos da economia, de maneira a abreviar o investimento em capital. Com isso, a demanda por crédito contrai-se, reduzindo a taxa total de crédito no momento do choque. O menor investimento das firmas causa retração das taxas de juros e de inflação. Entretanto, a queda na inflação é mais do que proporcional ao decré</w:t>
      </w:r>
      <w:r w:rsidR="00F0052E" w:rsidRPr="00C00819">
        <w:t>scimo dos juros nominais</w:t>
      </w:r>
      <w:r w:rsidR="00A80055" w:rsidRPr="00C00819">
        <w:t xml:space="preserve">, ocasionando elevação dos juros reais – taxa de remuneração dos depósitos (Taxa Depósitos). </w:t>
      </w:r>
    </w:p>
    <w:p w14:paraId="7A457D74" w14:textId="77777777" w:rsidR="00A80055" w:rsidRPr="00C00819" w:rsidRDefault="00A80055" w:rsidP="00A80055">
      <w:pPr>
        <w:ind w:firstLine="708"/>
        <w:jc w:val="both"/>
      </w:pPr>
      <w:r w:rsidRPr="00C00819">
        <w:t>Por sua vez, o aumento na taxa de depósitos traz mais atratividade a essa aplicação financeira, elevando a poupança da economia e auxiliando a reduzir ainda mais a inflação. De modo oposto, com taxas mais altas, os depósitos tornam-se mais caros para as instituições financeiras que devem repassar esse custo mais elevado sob a forma de aumento da taxa de juros dos empréstimos. Considerando que a taxa de crédito dos “</w:t>
      </w:r>
      <w:r w:rsidRPr="00C00819">
        <w:rPr>
          <w:i/>
        </w:rPr>
        <w:t>maus</w:t>
      </w:r>
      <w:r w:rsidRPr="00C00819">
        <w:t xml:space="preserve">” pagadores é influenciada pelo aumento da taxa de pagamento, a taxa das firmas do tipo 1 ficam praticamente inalteradas nas quatro simulações realizadas. Isto ocorre, pois, com o aumento do pagamento dos empréstimos, a receita de crédito do banco proveniente desse tipo de firma expande, reduzindo a necessidade de elevar a taxa dos empréstimos para compensar o encarecimento do custo de captação. </w:t>
      </w:r>
    </w:p>
    <w:p w14:paraId="7A457D76" w14:textId="3F6A2A03" w:rsidR="00DA2BB5" w:rsidRPr="00C00819" w:rsidRDefault="00DA2BB5" w:rsidP="00FA401C">
      <w:pPr>
        <w:pStyle w:val="Legenda"/>
        <w:keepNext/>
        <w:spacing w:before="120" w:after="0" w:line="240" w:lineRule="auto"/>
        <w:ind w:left="992"/>
        <w:rPr>
          <w:rFonts w:cs="Times New Roman"/>
          <w:b w:val="0"/>
          <w:color w:val="auto"/>
          <w:sz w:val="24"/>
          <w:szCs w:val="24"/>
        </w:rPr>
      </w:pPr>
      <w:r w:rsidRPr="00C00819">
        <w:rPr>
          <w:rFonts w:cs="Times New Roman"/>
          <w:b w:val="0"/>
          <w:color w:val="auto"/>
          <w:sz w:val="24"/>
          <w:szCs w:val="24"/>
        </w:rPr>
        <w:t xml:space="preserve">Figura </w:t>
      </w:r>
      <w:r w:rsidRPr="00C00819">
        <w:rPr>
          <w:rFonts w:cs="Times New Roman"/>
          <w:b w:val="0"/>
          <w:color w:val="auto"/>
          <w:sz w:val="24"/>
          <w:szCs w:val="24"/>
        </w:rPr>
        <w:fldChar w:fldCharType="begin"/>
      </w:r>
      <w:r w:rsidRPr="00C00819">
        <w:rPr>
          <w:rFonts w:cs="Times New Roman"/>
          <w:b w:val="0"/>
          <w:color w:val="auto"/>
          <w:sz w:val="24"/>
          <w:szCs w:val="24"/>
        </w:rPr>
        <w:instrText xml:space="preserve"> SEQ Figura \* ARABIC </w:instrText>
      </w:r>
      <w:r w:rsidRPr="00C00819">
        <w:rPr>
          <w:rFonts w:cs="Times New Roman"/>
          <w:b w:val="0"/>
          <w:color w:val="auto"/>
          <w:sz w:val="24"/>
          <w:szCs w:val="24"/>
        </w:rPr>
        <w:fldChar w:fldCharType="separate"/>
      </w:r>
      <w:r w:rsidR="00023231" w:rsidRPr="00C00819">
        <w:rPr>
          <w:rFonts w:cs="Times New Roman"/>
          <w:b w:val="0"/>
          <w:noProof/>
          <w:color w:val="auto"/>
          <w:sz w:val="24"/>
          <w:szCs w:val="24"/>
        </w:rPr>
        <w:t>2</w:t>
      </w:r>
      <w:r w:rsidRPr="00C00819">
        <w:rPr>
          <w:rFonts w:cs="Times New Roman"/>
          <w:b w:val="0"/>
          <w:color w:val="auto"/>
          <w:sz w:val="24"/>
          <w:szCs w:val="24"/>
        </w:rPr>
        <w:fldChar w:fldCharType="end"/>
      </w:r>
      <w:r w:rsidRPr="00C00819">
        <w:rPr>
          <w:rFonts w:cs="Times New Roman"/>
          <w:b w:val="0"/>
          <w:color w:val="auto"/>
          <w:sz w:val="24"/>
          <w:szCs w:val="24"/>
        </w:rPr>
        <w:t xml:space="preserve"> – Funções Impulso Resposta a um choque na Taxa de Pagamento dos Empréstimos</w:t>
      </w:r>
    </w:p>
    <w:p w14:paraId="7A457D77" w14:textId="77777777" w:rsidR="00DA2BB5" w:rsidRPr="00C00819" w:rsidRDefault="00DA2BB5" w:rsidP="00DA2BB5">
      <w:pPr>
        <w:jc w:val="center"/>
      </w:pPr>
      <w:r w:rsidRPr="00C00819">
        <w:rPr>
          <w:noProof/>
        </w:rPr>
        <w:drawing>
          <wp:inline distT="0" distB="0" distL="0" distR="0" wp14:anchorId="7A457DD2" wp14:editId="4A46CA56">
            <wp:extent cx="5236623" cy="3600000"/>
            <wp:effectExtent l="0" t="0" r="2540" b="635"/>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6623" cy="3600000"/>
                    </a:xfrm>
                    <a:prstGeom prst="rect">
                      <a:avLst/>
                    </a:prstGeom>
                  </pic:spPr>
                </pic:pic>
              </a:graphicData>
            </a:graphic>
          </wp:inline>
        </w:drawing>
      </w:r>
    </w:p>
    <w:p w14:paraId="7A457D78" w14:textId="77777777" w:rsidR="00DA2BB5" w:rsidRPr="00C00819" w:rsidRDefault="00DA2BB5" w:rsidP="00DA2BB5">
      <w:pPr>
        <w:jc w:val="center"/>
      </w:pPr>
      <w:r w:rsidRPr="00C00819">
        <w:rPr>
          <w:noProof/>
        </w:rPr>
        <w:lastRenderedPageBreak/>
        <w:drawing>
          <wp:inline distT="0" distB="0" distL="0" distR="0" wp14:anchorId="7A457DD4" wp14:editId="6CB82E1D">
            <wp:extent cx="5236623" cy="3600000"/>
            <wp:effectExtent l="0" t="0" r="2540" b="635"/>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6623" cy="3600000"/>
                    </a:xfrm>
                    <a:prstGeom prst="rect">
                      <a:avLst/>
                    </a:prstGeom>
                  </pic:spPr>
                </pic:pic>
              </a:graphicData>
            </a:graphic>
          </wp:inline>
        </w:drawing>
      </w:r>
      <w:r w:rsidRPr="00C00819">
        <w:rPr>
          <w:noProof/>
        </w:rPr>
        <w:drawing>
          <wp:inline distT="0" distB="0" distL="0" distR="0" wp14:anchorId="7A457DD6" wp14:editId="2AB3CA72">
            <wp:extent cx="3779207" cy="720000"/>
            <wp:effectExtent l="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9207" cy="720000"/>
                    </a:xfrm>
                    <a:prstGeom prst="rect">
                      <a:avLst/>
                    </a:prstGeom>
                    <a:noFill/>
                  </pic:spPr>
                </pic:pic>
              </a:graphicData>
            </a:graphic>
          </wp:inline>
        </w:drawing>
      </w:r>
    </w:p>
    <w:p w14:paraId="7A457D7A" w14:textId="77777777" w:rsidR="0076018C" w:rsidRPr="00C00819" w:rsidRDefault="0076018C" w:rsidP="0076018C">
      <w:pPr>
        <w:ind w:firstLine="708"/>
        <w:jc w:val="both"/>
      </w:pPr>
      <w:r w:rsidRPr="00C00819">
        <w:t>Por outro lado, a taxa de crédito dos “</w:t>
      </w:r>
      <w:r w:rsidRPr="00C00819">
        <w:rPr>
          <w:i/>
        </w:rPr>
        <w:t>bons</w:t>
      </w:r>
      <w:r w:rsidRPr="00C00819">
        <w:t>” pagadores não é impactada pela taxa de pagamento e, por isso, eleva-se como forma de corrigir a queda no resultado das instituições financeiras em decorrência de um maior custo de captação. Contudo, devido à ponderação entre as taxas dos “</w:t>
      </w:r>
      <w:r w:rsidRPr="00C00819">
        <w:rPr>
          <w:i/>
        </w:rPr>
        <w:t>bons</w:t>
      </w:r>
      <w:r w:rsidRPr="00C00819">
        <w:t>” e “</w:t>
      </w:r>
      <w:r w:rsidRPr="00C00819">
        <w:rPr>
          <w:i/>
        </w:rPr>
        <w:t>maus</w:t>
      </w:r>
      <w:r w:rsidRPr="00C00819">
        <w:t xml:space="preserve">” pagadores, a taxa total do crédito sofre uma variação pequena. Essa variação, no entanto, é suficiente para onerar os novos investimentos, que se tornam menores e, por consequência, limitam a aquisição de capital e reduzem o nível de produto da economia. Na medida </w:t>
      </w:r>
      <w:r w:rsidR="00F0052E" w:rsidRPr="00C00819">
        <w:t xml:space="preserve">em </w:t>
      </w:r>
      <w:r w:rsidRPr="00C00819">
        <w:t xml:space="preserve">que a taxa de pagamento volta para seu valor inicial, os juros e a </w:t>
      </w:r>
      <w:r w:rsidR="00F0052E" w:rsidRPr="00C00819">
        <w:t>inflação da economia crescem</w:t>
      </w:r>
      <w:r w:rsidRPr="00C00819">
        <w:t xml:space="preserve">, causando queda na taxa dos depósitos (juros reais). Dado que essa queda é superior ao aumento da taxa do crédito, o </w:t>
      </w:r>
      <w:r w:rsidRPr="00C00819">
        <w:rPr>
          <w:i/>
        </w:rPr>
        <w:t>spread</w:t>
      </w:r>
      <w:r w:rsidRPr="00C00819">
        <w:t xml:space="preserve"> bancário aumenta até o momento em que ambas as taxas retornam para seus valores iniciais. Com isso, o crédito e os depósitos convergem para o equilíbrio, juntamente com as demais variáveis do modelo.</w:t>
      </w:r>
    </w:p>
    <w:p w14:paraId="7A457D7B" w14:textId="77777777" w:rsidR="00AA65F0" w:rsidRPr="00C00819" w:rsidRDefault="00AA65F0" w:rsidP="00AA65F0">
      <w:pPr>
        <w:ind w:firstLine="708"/>
        <w:jc w:val="both"/>
      </w:pPr>
      <w:r w:rsidRPr="00C00819">
        <w:t xml:space="preserve">Percebe-se que, o aumento da taxa de pagamento do crédito, ou, em outras palavras, um choque negativo no </w:t>
      </w:r>
      <w:r w:rsidRPr="00C00819">
        <w:rPr>
          <w:i/>
        </w:rPr>
        <w:t>default</w:t>
      </w:r>
      <w:r w:rsidRPr="00C00819">
        <w:t xml:space="preserve"> dos empréstimos, causa um efeito recessivo na economia, visto que, para o pagamento da dívida é necessário retirar recursos dos investimentos das firmas. As quatro simulações realizadas evidenciam o mesmo efeito em todos os percentuais aplicados ao choque, indicando que quanto maior a elevação </w:t>
      </w:r>
      <w:r w:rsidR="00F0052E" w:rsidRPr="00C00819">
        <w:t xml:space="preserve">exógena </w:t>
      </w:r>
      <w:r w:rsidRPr="00C00819">
        <w:t>na taxa de pagamento, maior será o volume de recursos retirados dos novos investimentos e, mais intenso será o efeito recessivo sobre a economia.</w:t>
      </w:r>
    </w:p>
    <w:p w14:paraId="7A457D7D" w14:textId="77777777" w:rsidR="00F944AA" w:rsidRPr="00C00819" w:rsidRDefault="00F944AA" w:rsidP="000D1AE5">
      <w:pPr>
        <w:pStyle w:val="Ttulo3"/>
        <w:numPr>
          <w:ilvl w:val="1"/>
          <w:numId w:val="19"/>
        </w:numPr>
        <w:spacing w:before="120" w:after="120" w:line="240" w:lineRule="auto"/>
        <w:ind w:left="357" w:hanging="357"/>
        <w:rPr>
          <w:rFonts w:ascii="Times New Roman" w:hAnsi="Times New Roman" w:cs="Times New Roman"/>
        </w:rPr>
      </w:pPr>
      <w:r w:rsidRPr="00C00819">
        <w:rPr>
          <w:rFonts w:ascii="Times New Roman" w:hAnsi="Times New Roman" w:cs="Times New Roman"/>
        </w:rPr>
        <w:t>Recolhimento Compulsório</w:t>
      </w:r>
    </w:p>
    <w:p w14:paraId="7A457D7F" w14:textId="77777777" w:rsidR="00BA51B0" w:rsidRPr="00C00819" w:rsidRDefault="00BA51B0" w:rsidP="004D1697">
      <w:pPr>
        <w:ind w:firstLine="708"/>
        <w:jc w:val="both"/>
        <w:rPr>
          <w:rFonts w:eastAsiaTheme="minorEastAsia"/>
        </w:rPr>
      </w:pPr>
      <w:r w:rsidRPr="00C00819">
        <w:t xml:space="preserve">Para avaliar as possíveis alterações nas regras dos recolhimentos compulsórios, foram </w:t>
      </w:r>
      <w:r w:rsidR="0032013F" w:rsidRPr="00C00819">
        <w:t xml:space="preserve">considerados </w:t>
      </w:r>
      <w:r w:rsidRPr="00C00819">
        <w:t xml:space="preserve">três </w:t>
      </w:r>
      <w:r w:rsidR="0032013F" w:rsidRPr="00C00819">
        <w:t xml:space="preserve">casos distintos. </w:t>
      </w:r>
      <w:r w:rsidRPr="00C00819">
        <w:t>Conforme eq. (</w:t>
      </w:r>
      <w:r w:rsidR="00321CAD" w:rsidRPr="00C00819">
        <w:t>7</w:t>
      </w:r>
      <w:r w:rsidRPr="00C00819">
        <w:t xml:space="preserve">), </w:t>
      </w:r>
      <m:oMath>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eqArr>
                  <m:eqArrPr>
                    <m:ctrlPr>
                      <w:rPr>
                        <w:rFonts w:ascii="Cambria Math" w:hAnsi="Cambria Math"/>
                        <w:i/>
                      </w:rPr>
                    </m:ctrlPr>
                  </m:eqArrPr>
                  <m:e>
                    <m:r>
                      <w:rPr>
                        <w:rFonts w:ascii="Cambria Math" w:hAnsi="Cambria Math"/>
                      </w:rPr>
                      <m:t>τ</m:t>
                    </m:r>
                  </m:e>
                  <m:e>
                    <m:acc>
                      <m:accPr>
                        <m:chr m:val="̅"/>
                        <m:ctrlPr>
                          <w:rPr>
                            <w:rFonts w:ascii="Cambria Math" w:hAnsi="Cambria Math"/>
                            <w:i/>
                          </w:rPr>
                        </m:ctrlPr>
                      </m:accPr>
                      <m:e>
                        <m:r>
                          <w:rPr>
                            <w:rFonts w:ascii="Cambria Math" w:hAnsi="Cambria Math"/>
                          </w:rPr>
                          <m:t>τ</m:t>
                        </m:r>
                      </m:e>
                    </m:acc>
                  </m:e>
                </m:eqArr>
              </m:e>
            </m:acc>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τ</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e>
            </m:func>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Q</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S</m:t>
                    </m:r>
                  </m:e>
                  <m:sub>
                    <m:r>
                      <w:rPr>
                        <w:rFonts w:ascii="Cambria Math" w:hAnsi="Cambria Math"/>
                      </w:rPr>
                      <m:t>t</m:t>
                    </m:r>
                  </m:sub>
                </m:sSub>
              </m:e>
            </m:func>
            <m:r>
              <w:rPr>
                <w:rFonts w:ascii="Cambria Math" w:hAnsi="Cambria Math"/>
              </w:rPr>
              <m:t>)</m:t>
            </m:r>
          </m:e>
        </m:d>
      </m:oMath>
      <w:r w:rsidRPr="00C00819">
        <w:t>, as duas primeiras tratam de uma alíquota fixa no tempo e verificam a resposta ao choque na Política Monetária, considerando diferentes alíquotas e taxas de remuneração dos depósitos compulsórios. A terceira refere-se à política anticíclica em relação ao crédito e analisa um choque nos depósitos compulsórios com diferentes pesos para os desvios do estado estacionário do crédito. Cabe ressaltar que, conforme eq. (</w:t>
      </w:r>
      <w:r w:rsidR="00321CAD" w:rsidRPr="00C00819">
        <w:t>5</w:t>
      </w:r>
      <w:r w:rsidRPr="00C00819">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t</m:t>
                </m:r>
              </m:sub>
            </m:sSub>
          </m:num>
          <m:den>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RR,t+1</m:t>
            </m:r>
          </m:sub>
        </m:sSub>
        <m:r>
          <w:rPr>
            <w:rFonts w:ascii="Cambria Math" w:hAnsi="Cambria Math"/>
          </w:rPr>
          <m:t>)</m:t>
        </m:r>
      </m:oMath>
      <w:r w:rsidRPr="00C00819">
        <w:t xml:space="preserve">, sendo </w:t>
      </w:r>
      <m:oMath>
        <m:sSub>
          <m:sSubPr>
            <m:ctrlPr>
              <w:rPr>
                <w:rFonts w:ascii="Cambria Math" w:hAnsi="Cambria Math"/>
                <w:i/>
              </w:rPr>
            </m:ctrlPr>
          </m:sSubPr>
          <m:e>
            <m:r>
              <w:rPr>
                <w:rFonts w:ascii="Cambria Math" w:hAnsi="Cambria Math"/>
              </w:rPr>
              <m:t>R</m:t>
            </m:r>
          </m:e>
          <m:sub>
            <m:r>
              <w:rPr>
                <w:rFonts w:ascii="Cambria Math" w:hAnsi="Cambria Math"/>
              </w:rPr>
              <m:t>RRt</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RR</m:t>
            </m:r>
          </m:sub>
        </m:sSub>
        <m:sSub>
          <m:sSubPr>
            <m:ctrlPr>
              <w:rPr>
                <w:rFonts w:ascii="Cambria Math" w:hAnsi="Cambria Math"/>
                <w:i/>
              </w:rPr>
            </m:ctrlPr>
          </m:sSubPr>
          <m:e>
            <m:r>
              <w:rPr>
                <w:rFonts w:ascii="Cambria Math" w:hAnsi="Cambria Math"/>
              </w:rPr>
              <m:t>R</m:t>
            </m:r>
          </m:e>
          <m:sub>
            <m:r>
              <w:rPr>
                <w:rFonts w:ascii="Cambria Math" w:hAnsi="Cambria Math"/>
              </w:rPr>
              <m:t>t</m:t>
            </m:r>
          </m:sub>
        </m:sSub>
      </m:oMath>
      <w:r w:rsidRPr="00C00819">
        <w:t xml:space="preserve"> com </w:t>
      </w:r>
      <m:oMath>
        <m:r>
          <w:rPr>
            <w:rFonts w:ascii="Cambria Math" w:hAnsi="Cambria Math"/>
          </w:rPr>
          <m:t>0≤</m:t>
        </m:r>
        <m:sSub>
          <m:sSubPr>
            <m:ctrlPr>
              <w:rPr>
                <w:rFonts w:ascii="Cambria Math" w:hAnsi="Cambria Math"/>
                <w:i/>
              </w:rPr>
            </m:ctrlPr>
          </m:sSubPr>
          <m:e>
            <m:r>
              <w:rPr>
                <w:rFonts w:ascii="Cambria Math" w:hAnsi="Cambria Math"/>
              </w:rPr>
              <m:t>κ</m:t>
            </m:r>
          </m:e>
          <m:sub>
            <m:r>
              <w:rPr>
                <w:rFonts w:ascii="Cambria Math" w:hAnsi="Cambria Math"/>
              </w:rPr>
              <m:t>RR</m:t>
            </m:r>
          </m:sub>
        </m:sSub>
        <m:r>
          <w:rPr>
            <w:rFonts w:ascii="Cambria Math" w:hAnsi="Cambria Math"/>
          </w:rPr>
          <m:t>≤1</m:t>
        </m:r>
      </m:oMath>
      <w:r w:rsidRPr="00C00819">
        <w:t xml:space="preserve">, se </w:t>
      </w:r>
      <m:oMath>
        <m:sSub>
          <m:sSubPr>
            <m:ctrlPr>
              <w:rPr>
                <w:rFonts w:ascii="Cambria Math" w:hAnsi="Cambria Math"/>
                <w:i/>
              </w:rPr>
            </m:ctrlPr>
          </m:sSubPr>
          <m:e>
            <m:r>
              <w:rPr>
                <w:rFonts w:ascii="Cambria Math" w:hAnsi="Cambria Math"/>
              </w:rPr>
              <m:t>κ</m:t>
            </m:r>
          </m:e>
          <m:sub>
            <m:r>
              <w:rPr>
                <w:rFonts w:ascii="Cambria Math" w:hAnsi="Cambria Math"/>
              </w:rPr>
              <m:t>RR</m:t>
            </m:r>
          </m:sub>
        </m:sSub>
        <m:r>
          <w:rPr>
            <w:rFonts w:ascii="Cambria Math" w:hAnsi="Cambria Math"/>
          </w:rPr>
          <m:t>=1</m:t>
        </m:r>
        <m:r>
          <w:rPr>
            <w:rStyle w:val="Refdenotaderodap"/>
            <w:rFonts w:ascii="Cambria Math" w:hAnsi="Cambria Math"/>
            <w:i/>
          </w:rPr>
          <w:footnoteReference w:id="11"/>
        </m:r>
      </m:oMath>
      <w:r w:rsidRPr="00C00819">
        <w:rPr>
          <w:rFonts w:eastAsiaTheme="minorEastAsia"/>
        </w:rPr>
        <w:t xml:space="preserve">, então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oMath>
      <w:r w:rsidRPr="00C00819">
        <w:rPr>
          <w:rFonts w:eastAsiaTheme="minorEastAsia"/>
        </w:rPr>
        <w:t xml:space="preserve"> e a presença de compulsório no modelo não causa alterações na taxa de remuneração dos depósitos que será igual ao custo efetivo do </w:t>
      </w:r>
      <w:proofErr w:type="spellStart"/>
      <w:r w:rsidRPr="00C00819">
        <w:rPr>
          <w:rFonts w:eastAsiaTheme="minorEastAsia"/>
          <w:i/>
        </w:rPr>
        <w:t>funding</w:t>
      </w:r>
      <w:proofErr w:type="spellEnd"/>
      <w:r w:rsidRPr="00C00819">
        <w:rPr>
          <w:rFonts w:eastAsiaTheme="minorEastAsia"/>
          <w:i/>
        </w:rPr>
        <w:t>.</w:t>
      </w:r>
      <w:r w:rsidRPr="00C00819">
        <w:rPr>
          <w:rFonts w:eastAsiaTheme="minorEastAsia"/>
        </w:rPr>
        <w:t xml:space="preserve"> Por isso, considerou-se em todas as simulações que a remuneração dos depósitos compulsórios é nula, </w:t>
      </w:r>
      <m:oMath>
        <m:sSub>
          <m:sSubPr>
            <m:ctrlPr>
              <w:rPr>
                <w:rFonts w:ascii="Cambria Math" w:hAnsi="Cambria Math"/>
                <w:i/>
              </w:rPr>
            </m:ctrlPr>
          </m:sSubPr>
          <m:e>
            <m:r>
              <w:rPr>
                <w:rFonts w:ascii="Cambria Math" w:hAnsi="Cambria Math"/>
              </w:rPr>
              <m:t>κ</m:t>
            </m:r>
          </m:e>
          <m:sub>
            <m:r>
              <w:rPr>
                <w:rFonts w:ascii="Cambria Math" w:hAnsi="Cambria Math"/>
              </w:rPr>
              <m:t>RR</m:t>
            </m:r>
          </m:sub>
        </m:sSub>
        <m:r>
          <w:rPr>
            <w:rFonts w:ascii="Cambria Math" w:hAnsi="Cambria Math"/>
          </w:rPr>
          <m:t>=0</m:t>
        </m:r>
      </m:oMath>
      <w:r w:rsidRPr="00C00819">
        <w:rPr>
          <w:rFonts w:eastAsiaTheme="minorEastAsia"/>
        </w:rPr>
        <w:t>, de forma que se possa melhor analisar os efeitos do choque.</w:t>
      </w:r>
    </w:p>
    <w:p w14:paraId="7A457D80" w14:textId="77777777" w:rsidR="00BA51B0" w:rsidRPr="00C00819" w:rsidRDefault="00BA51B0" w:rsidP="00BA51B0">
      <w:pPr>
        <w:ind w:firstLine="709"/>
        <w:jc w:val="both"/>
      </w:pPr>
      <w:r w:rsidRPr="00C00819">
        <w:rPr>
          <w:bCs/>
        </w:rPr>
        <w:t>A primeira análise é apresentada na Figura 3 que indica a resposta a um choque na Política Monetária para diferentes alíquotas de depósitos compulsórios: 10%, 36% e 45%</w:t>
      </w:r>
      <w:r w:rsidRPr="00C00819">
        <w:rPr>
          <w:rStyle w:val="Refdenotaderodap"/>
          <w:bCs/>
        </w:rPr>
        <w:footnoteReference w:id="12"/>
      </w:r>
      <w:r w:rsidRPr="00C00819">
        <w:rPr>
          <w:bCs/>
        </w:rPr>
        <w:t xml:space="preserve">. </w:t>
      </w:r>
      <w:r w:rsidRPr="00C00819">
        <w:rPr>
          <w:rFonts w:eastAsiaTheme="minorEastAsia"/>
        </w:rPr>
        <w:t>A resposta do modelo a esse choque é bem similar às análises anteriores. Diante de um aumento não antecipado da taxa de juros, ocorre uma elevação imediata d</w:t>
      </w:r>
      <w:r w:rsidRPr="00C00819">
        <w:t>a taxa dos depósi</w:t>
      </w:r>
      <w:r w:rsidR="0032013F" w:rsidRPr="00C00819">
        <w:t xml:space="preserve">tos bancários em relação ao </w:t>
      </w:r>
      <w:r w:rsidRPr="00C00819">
        <w:t>equilíbrio, causando encarecimento do custo de captação dos bancos. As taxas mais altas tornam o investimento das firmas mais on</w:t>
      </w:r>
      <w:r w:rsidR="0032013F" w:rsidRPr="00C00819">
        <w:t>eroso, ocasionando uma redução n</w:t>
      </w:r>
      <w:r w:rsidRPr="00C00819">
        <w:t>a demanda por capital, queda em seu preç</w:t>
      </w:r>
      <w:r w:rsidR="0032013F" w:rsidRPr="00C00819">
        <w:t>o e, por consequência, uma diminuição</w:t>
      </w:r>
      <w:r w:rsidRPr="00C00819">
        <w:t xml:space="preserve"> na demanda por crédito. Como efeito, o nível de produto da economia reduz, impactando negativamente nas horas trabalhadas. </w:t>
      </w:r>
    </w:p>
    <w:p w14:paraId="7A457D82" w14:textId="6EB67CB3" w:rsidR="00EF1F7A" w:rsidRPr="00C00819" w:rsidRDefault="00EF1F7A" w:rsidP="000D1AE5">
      <w:pPr>
        <w:pStyle w:val="Legenda"/>
        <w:keepNext/>
        <w:spacing w:before="120" w:after="0" w:line="240" w:lineRule="auto"/>
        <w:ind w:left="992"/>
        <w:rPr>
          <w:rFonts w:cs="Times New Roman"/>
          <w:b w:val="0"/>
          <w:color w:val="auto"/>
          <w:sz w:val="24"/>
          <w:szCs w:val="24"/>
        </w:rPr>
      </w:pPr>
      <w:r w:rsidRPr="00C00819">
        <w:rPr>
          <w:rFonts w:cs="Times New Roman"/>
          <w:b w:val="0"/>
          <w:color w:val="auto"/>
          <w:sz w:val="24"/>
          <w:szCs w:val="24"/>
        </w:rPr>
        <w:t xml:space="preserve">Figura </w:t>
      </w:r>
      <w:r w:rsidRPr="00C00819">
        <w:rPr>
          <w:rFonts w:cs="Times New Roman"/>
          <w:b w:val="0"/>
          <w:color w:val="auto"/>
          <w:sz w:val="24"/>
          <w:szCs w:val="24"/>
        </w:rPr>
        <w:fldChar w:fldCharType="begin"/>
      </w:r>
      <w:r w:rsidRPr="00C00819">
        <w:rPr>
          <w:rFonts w:cs="Times New Roman"/>
          <w:b w:val="0"/>
          <w:color w:val="auto"/>
          <w:sz w:val="24"/>
          <w:szCs w:val="24"/>
        </w:rPr>
        <w:instrText xml:space="preserve"> SEQ Figura \* ARABIC </w:instrText>
      </w:r>
      <w:r w:rsidRPr="00C00819">
        <w:rPr>
          <w:rFonts w:cs="Times New Roman"/>
          <w:b w:val="0"/>
          <w:color w:val="auto"/>
          <w:sz w:val="24"/>
          <w:szCs w:val="24"/>
        </w:rPr>
        <w:fldChar w:fldCharType="separate"/>
      </w:r>
      <w:r w:rsidR="00023231" w:rsidRPr="00C00819">
        <w:rPr>
          <w:rFonts w:cs="Times New Roman"/>
          <w:b w:val="0"/>
          <w:noProof/>
          <w:color w:val="auto"/>
          <w:sz w:val="24"/>
          <w:szCs w:val="24"/>
        </w:rPr>
        <w:t>3</w:t>
      </w:r>
      <w:r w:rsidRPr="00C00819">
        <w:rPr>
          <w:rFonts w:cs="Times New Roman"/>
          <w:b w:val="0"/>
          <w:color w:val="auto"/>
          <w:sz w:val="24"/>
          <w:szCs w:val="24"/>
        </w:rPr>
        <w:fldChar w:fldCharType="end"/>
      </w:r>
      <w:r w:rsidRPr="00C00819">
        <w:rPr>
          <w:rFonts w:cs="Times New Roman"/>
          <w:b w:val="0"/>
          <w:color w:val="auto"/>
          <w:sz w:val="24"/>
          <w:szCs w:val="24"/>
        </w:rPr>
        <w:t xml:space="preserve"> – Choque na Política Monetária com Diferentes Alíquotas de Compulsório</w:t>
      </w:r>
    </w:p>
    <w:p w14:paraId="7A457D83" w14:textId="77777777" w:rsidR="00EF1F7A" w:rsidRPr="00C00819" w:rsidRDefault="00EF1F7A" w:rsidP="00EF1F7A">
      <w:pPr>
        <w:jc w:val="center"/>
      </w:pPr>
      <w:r w:rsidRPr="00C00819">
        <w:rPr>
          <w:noProof/>
        </w:rPr>
        <w:drawing>
          <wp:inline distT="0" distB="0" distL="0" distR="0" wp14:anchorId="7A457DD8" wp14:editId="57ABCDF4">
            <wp:extent cx="5233583" cy="3600000"/>
            <wp:effectExtent l="0" t="0" r="5715"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3583" cy="3600000"/>
                    </a:xfrm>
                    <a:prstGeom prst="rect">
                      <a:avLst/>
                    </a:prstGeom>
                    <a:noFill/>
                  </pic:spPr>
                </pic:pic>
              </a:graphicData>
            </a:graphic>
          </wp:inline>
        </w:drawing>
      </w:r>
    </w:p>
    <w:p w14:paraId="7A457D84" w14:textId="77777777" w:rsidR="00EF1F7A" w:rsidRPr="00C00819" w:rsidRDefault="00EF1F7A" w:rsidP="00EF1F7A">
      <w:pPr>
        <w:jc w:val="center"/>
      </w:pPr>
      <w:r w:rsidRPr="00C00819">
        <w:rPr>
          <w:noProof/>
        </w:rPr>
        <w:lastRenderedPageBreak/>
        <w:drawing>
          <wp:inline distT="0" distB="0" distL="0" distR="0" wp14:anchorId="7A457DDA" wp14:editId="16E91B74">
            <wp:extent cx="5233583" cy="3600000"/>
            <wp:effectExtent l="0" t="0" r="5715"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3583" cy="3600000"/>
                    </a:xfrm>
                    <a:prstGeom prst="rect">
                      <a:avLst/>
                    </a:prstGeom>
                    <a:noFill/>
                  </pic:spPr>
                </pic:pic>
              </a:graphicData>
            </a:graphic>
          </wp:inline>
        </w:drawing>
      </w:r>
    </w:p>
    <w:p w14:paraId="7A457D85" w14:textId="77777777" w:rsidR="00EF1F7A" w:rsidRPr="00C00819" w:rsidRDefault="00EF1F7A" w:rsidP="00EF1F7A">
      <w:pPr>
        <w:jc w:val="center"/>
      </w:pPr>
      <w:r w:rsidRPr="00C00819">
        <w:rPr>
          <w:noProof/>
        </w:rPr>
        <w:drawing>
          <wp:inline distT="0" distB="0" distL="0" distR="0" wp14:anchorId="7A457DDC" wp14:editId="606B3F6E">
            <wp:extent cx="2554310" cy="540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4310" cy="540000"/>
                    </a:xfrm>
                    <a:prstGeom prst="rect">
                      <a:avLst/>
                    </a:prstGeom>
                    <a:noFill/>
                  </pic:spPr>
                </pic:pic>
              </a:graphicData>
            </a:graphic>
          </wp:inline>
        </w:drawing>
      </w:r>
    </w:p>
    <w:p w14:paraId="7A457D87" w14:textId="77777777" w:rsidR="0099650E" w:rsidRPr="00C00819" w:rsidRDefault="0099650E" w:rsidP="0099650E">
      <w:pPr>
        <w:ind w:firstLine="709"/>
        <w:jc w:val="both"/>
      </w:pPr>
      <w:r w:rsidRPr="00C00819">
        <w:t xml:space="preserve">Do mesmo modo, as altas taxas de juros também impactam negativamente no consumo, o que tende a criar excesso de oferta sobre a demanda, forçando as firmas a reduzir os preços e promovendo a redução da inflação. Em contrapartida, a queda do consumo em conjunto com taxas mais altas, intensificam a poupança realizada mediante depósitos nas instituições financeiras. A contração da produção das firmas, assim como do valor de seu capital, resulta em menores taxas de juros para os empréstimos no momento do choque, dado que essa taxa reage com um período de defasagem. Contudo, no período posterior ao choque, a queda na demanda por crédito e a elevação do custo com captação ocasionam o crescimento da taxa dos empréstimos. Como o aumento se dá de forma mais que proporcional ao encarecimento do custo de captação, o </w:t>
      </w:r>
      <w:r w:rsidRPr="00C00819">
        <w:rPr>
          <w:i/>
        </w:rPr>
        <w:t>spread</w:t>
      </w:r>
      <w:r w:rsidRPr="00C00819">
        <w:t xml:space="preserve"> bancário eleva-se. O capital próprio das instituições financeiras também reduz em virtude da queda no valor do capital, provocando aumento do grau de alavancagem das instituições.</w:t>
      </w:r>
    </w:p>
    <w:p w14:paraId="7A457D88" w14:textId="77777777" w:rsidR="0099650E" w:rsidRPr="00C00819" w:rsidRDefault="0099650E" w:rsidP="0099650E">
      <w:pPr>
        <w:ind w:firstLine="709"/>
        <w:jc w:val="both"/>
      </w:pPr>
      <w:r w:rsidRPr="00C00819">
        <w:t xml:space="preserve">Ao avaliar os três valores para a alíquota dos depósitos compulsórios, verifica-se que, na medida em que a alíquota aumenta, o efeito do choque de taxa de juros sobre a economia torna-se mais forte. Isso ocorre porque uma alíquota maior eleva o custo do </w:t>
      </w:r>
      <w:proofErr w:type="spellStart"/>
      <w:r w:rsidRPr="00C00819">
        <w:rPr>
          <w:i/>
        </w:rPr>
        <w:t>funding</w:t>
      </w:r>
      <w:proofErr w:type="spellEnd"/>
      <w:r w:rsidRPr="00C00819">
        <w:t xml:space="preserve"> para a instituição financeira, que repassa essa despesa adicional mediante elevação da taxa de juros dos empréstimos. Então, quanto mais essa taxa se eleva, maior é o efeito de queda sobre a taxa de pagamento dos empréstimos que reforça o aumento dos juros. Assim, o encarecimento do investimento traz como consequência a contração do nível de produto da economia. </w:t>
      </w:r>
    </w:p>
    <w:p w14:paraId="7A457D89" w14:textId="77777777" w:rsidR="0099650E" w:rsidRPr="00C00819" w:rsidRDefault="0099650E" w:rsidP="0099650E">
      <w:pPr>
        <w:ind w:firstLine="709"/>
        <w:jc w:val="both"/>
      </w:pPr>
      <w:r w:rsidRPr="00C00819">
        <w:t>Além disso, de acordo com a eq</w:t>
      </w:r>
      <w:r w:rsidR="00321CAD" w:rsidRPr="00C00819">
        <w:t>. (2</w:t>
      </w:r>
      <w:r w:rsidRPr="00C00819">
        <w:t xml:space="preserve">), </w:t>
      </w:r>
      <m:oMath>
        <m:sSub>
          <m:sSubPr>
            <m:ctrlPr>
              <w:rPr>
                <w:rFonts w:ascii="Cambria Math" w:hAnsi="Cambria Math"/>
                <w:i/>
                <w:iCs/>
              </w:rPr>
            </m:ctrlPr>
          </m:sSubPr>
          <m:e>
            <m:r>
              <w:rPr>
                <w:rFonts w:ascii="Cambria Math" w:hAnsi="Cambria Math"/>
              </w:rPr>
              <m:t>B</m:t>
            </m:r>
          </m:e>
          <m:sub>
            <m:r>
              <w:rPr>
                <w:rFonts w:ascii="Cambria Math" w:hAnsi="Cambria Math"/>
              </w:rPr>
              <m:t>jt</m:t>
            </m:r>
          </m:sub>
        </m:sSub>
        <m:r>
          <w:rPr>
            <w:rFonts w:ascii="Cambria Math" w:hAnsi="Cambria Math"/>
          </w:rPr>
          <m:t>=</m:t>
        </m:r>
        <m:f>
          <m:fPr>
            <m:ctrlPr>
              <w:rPr>
                <w:rFonts w:ascii="Cambria Math" w:hAnsi="Cambria Math"/>
                <w:i/>
                <w:iCs/>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t</m:t>
                    </m:r>
                  </m:sub>
                </m:sSub>
              </m:e>
            </m:d>
          </m:den>
        </m:f>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jt</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jt</m:t>
            </m:r>
          </m:sub>
        </m:sSub>
        <m:r>
          <w:rPr>
            <w:rFonts w:ascii="Cambria Math" w:hAnsi="Cambria Math"/>
          </w:rPr>
          <m:t>)</m:t>
        </m:r>
      </m:oMath>
      <w:r w:rsidRPr="00C00819">
        <w:t xml:space="preserve">, alíquotas mais elevadas aumentam a retirada de liquidez da economia que deve ser compensada com maiores volumes de depósitos bancários. Com isso, aumenta-se a participação do capital de terceiros na composição total do capital do banco, </w:t>
      </w:r>
      <m:oMath>
        <m:r>
          <w:rPr>
            <w:rFonts w:ascii="Cambria Math" w:hAnsi="Cambria Math"/>
          </w:rPr>
          <m:t>Capital=Capital Próprio+Capital de Terceiros</m:t>
        </m:r>
      </m:oMath>
      <w:r w:rsidRPr="00C00819">
        <w:t>, o que causa elevação do grau de alavancagem das instituições. Assim, quanto maior é a alíquota do depósito compulsório, maior é o aumento do grau de alavancagem e mais o banco deve baixar a taxa paga aos depósitos, de forma a recompor o capital próprio.</w:t>
      </w:r>
    </w:p>
    <w:p w14:paraId="7A457D8A" w14:textId="77777777" w:rsidR="00F25D0A" w:rsidRPr="00C00819" w:rsidRDefault="00F25D0A" w:rsidP="00EF1F7A">
      <w:pPr>
        <w:ind w:firstLine="709"/>
        <w:jc w:val="both"/>
        <w:rPr>
          <w:rFonts w:eastAsiaTheme="minorEastAsia"/>
        </w:rPr>
      </w:pPr>
      <w:r w:rsidRPr="00C00819">
        <w:t>Em relação à inflação, nota-se que, independente da alíquota analisada, a resposta ao choque permanece muito semelhante. Como a inflação é mais sensível a modificações no p</w:t>
      </w:r>
      <w:r w:rsidR="00321CAD" w:rsidRPr="00C00819">
        <w:t>reço</w:t>
      </w:r>
      <w:r w:rsidRPr="00C00819">
        <w:t xml:space="preserve"> </w:t>
      </w:r>
      <w:r w:rsidR="00321CAD" w:rsidRPr="00C00819">
        <w:t xml:space="preserve">(valor) </w:t>
      </w:r>
      <w:r w:rsidRPr="00C00819">
        <w:t xml:space="preserve">do capital do que a quedas no </w:t>
      </w:r>
      <w:r w:rsidR="00321CAD" w:rsidRPr="00C00819">
        <w:t>seu estoque</w:t>
      </w:r>
      <w:r w:rsidRPr="00C00819">
        <w:t>, e o choque na taxa de juros causa uma</w:t>
      </w:r>
      <w:r w:rsidR="00EF1F7A" w:rsidRPr="00C00819">
        <w:t xml:space="preserve"> </w:t>
      </w:r>
      <w:r w:rsidRPr="00C00819">
        <w:t xml:space="preserve">oscilação pequena no valor do capital, a inflação quase não responde a variações na taxa de compulsório. Então, conclui-se que na presença de um choque de política monetária, alterações na alíquota do depósito compulsório influenciam no nível </w:t>
      </w:r>
      <w:r w:rsidRPr="00C00819">
        <w:lastRenderedPageBreak/>
        <w:t>de produto da economia, de forma a amplificar os efeitos do choque, devido à reação mais intensa do banco para recompor seu capital. Contudo, alterações nas alíquotas do requerimento compulsório não impactam na resposta da inflação, pois têm impacto pequeno sobre o preço do capital</w:t>
      </w:r>
      <w:r w:rsidRPr="00C00819">
        <w:rPr>
          <w:rStyle w:val="Refdenotaderodap"/>
        </w:rPr>
        <w:footnoteReference w:id="13"/>
      </w:r>
      <w:r w:rsidRPr="00C00819">
        <w:t>.</w:t>
      </w:r>
    </w:p>
    <w:p w14:paraId="7A457D8B" w14:textId="77777777" w:rsidR="00F25D0A" w:rsidRPr="00C00819" w:rsidRDefault="00F25D0A" w:rsidP="00F25D0A">
      <w:pPr>
        <w:ind w:firstLine="709"/>
        <w:jc w:val="both"/>
      </w:pPr>
      <w:r w:rsidRPr="00C00819">
        <w:t xml:space="preserve">A Figura 4 mostra a resposta da economia a um choque na política monetária, considerando cinco valores para a remuneração dos depósitos compulsórios: 0%, 25%, 50%, 75% e 100% de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Pr="00C00819">
        <w:t xml:space="preserve">. Verifica-se que, quanto menor a remuneração dos compulsórios, maior é a resposta da economia. Isso porque essa remuneração possui efeito negativo sobre a despesa de captação efetiva, e quanto menor a remuneração, maior será o termo adicional no custo do </w:t>
      </w:r>
      <w:proofErr w:type="spellStart"/>
      <w:r w:rsidRPr="00C00819">
        <w:rPr>
          <w:i/>
        </w:rPr>
        <w:t>funding</w:t>
      </w:r>
      <w:proofErr w:type="spellEnd"/>
      <w:r w:rsidRPr="00C00819">
        <w:t xml:space="preserve">, </w:t>
      </w:r>
      <m:oMath>
        <m:f>
          <m:fPr>
            <m:ctrlPr>
              <w:rPr>
                <w:rFonts w:ascii="Cambria Math" w:hAnsi="Cambria Math"/>
                <w:b/>
                <w:i/>
              </w:rPr>
            </m:ctrlPr>
          </m:fPr>
          <m:num>
            <m:sSub>
              <m:sSubPr>
                <m:ctrlPr>
                  <w:rPr>
                    <w:rFonts w:ascii="Cambria Math" w:hAnsi="Cambria Math"/>
                    <w:b/>
                    <w:i/>
                  </w:rPr>
                </m:ctrlPr>
              </m:sSubPr>
              <m:e>
                <m:r>
                  <w:rPr>
                    <w:rFonts w:ascii="Cambria Math" w:hAnsi="Cambria Math"/>
                  </w:rPr>
                  <m:t>τ</m:t>
                </m:r>
              </m:e>
              <m:sub>
                <m:r>
                  <w:rPr>
                    <w:rFonts w:ascii="Cambria Math" w:hAnsi="Cambria Math"/>
                  </w:rPr>
                  <m:t>t</m:t>
                </m:r>
              </m:sub>
            </m:sSub>
          </m:num>
          <m:den>
            <m:r>
              <w:rPr>
                <w:rFonts w:ascii="Cambria Math" w:hAnsi="Cambria Math"/>
              </w:rPr>
              <m:t>1-</m:t>
            </m:r>
            <m:sSub>
              <m:sSubPr>
                <m:ctrlPr>
                  <w:rPr>
                    <w:rFonts w:ascii="Cambria Math" w:hAnsi="Cambria Math"/>
                    <w:b/>
                    <w:i/>
                  </w:rPr>
                </m:ctrlPr>
              </m:sSubPr>
              <m:e>
                <m:r>
                  <w:rPr>
                    <w:rFonts w:ascii="Cambria Math" w:hAnsi="Cambria Math"/>
                  </w:rPr>
                  <m:t>τ</m:t>
                </m:r>
              </m:e>
              <m:sub>
                <m:r>
                  <w:rPr>
                    <w:rFonts w:ascii="Cambria Math" w:hAnsi="Cambria Math"/>
                  </w:rPr>
                  <m:t>t</m:t>
                </m:r>
              </m:sub>
            </m:sSub>
          </m:den>
        </m:f>
        <m:r>
          <w:rPr>
            <w:rFonts w:ascii="Cambria Math" w:hAnsi="Cambria Math"/>
          </w:rPr>
          <m:t>(</m:t>
        </m:r>
        <m:sSub>
          <m:sSubPr>
            <m:ctrlPr>
              <w:rPr>
                <w:rFonts w:ascii="Cambria Math" w:hAnsi="Cambria Math"/>
                <w:b/>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b/>
                <w:i/>
              </w:rPr>
            </m:ctrlPr>
          </m:sSubPr>
          <m:e>
            <m:r>
              <w:rPr>
                <w:rFonts w:ascii="Cambria Math" w:hAnsi="Cambria Math"/>
              </w:rPr>
              <m:t>R</m:t>
            </m:r>
          </m:e>
          <m:sub>
            <m:r>
              <w:rPr>
                <w:rFonts w:ascii="Cambria Math" w:hAnsi="Cambria Math"/>
              </w:rPr>
              <m:t>RR,t+1</m:t>
            </m:r>
          </m:sub>
        </m:sSub>
        <m:r>
          <w:rPr>
            <w:rFonts w:ascii="Cambria Math" w:hAnsi="Cambria Math"/>
          </w:rPr>
          <m:t>)</m:t>
        </m:r>
      </m:oMath>
      <w:r w:rsidRPr="00C00819">
        <w:rPr>
          <w:rFonts w:eastAsiaTheme="minorEastAsia"/>
        </w:rPr>
        <w:t xml:space="preserve">, </w:t>
      </w:r>
      <w:r w:rsidRPr="00C00819">
        <w:rPr>
          <w:bCs/>
        </w:rPr>
        <w:t>c</w:t>
      </w:r>
      <w:r w:rsidRPr="00C00819">
        <w:t>onforme eq. (</w:t>
      </w:r>
      <w:r w:rsidR="00321CAD" w:rsidRPr="00C00819">
        <w:t>5</w:t>
      </w:r>
      <w:r w:rsidRPr="00C00819">
        <w:t xml:space="preserve">). </w:t>
      </w:r>
    </w:p>
    <w:p w14:paraId="7A457D8C" w14:textId="77777777" w:rsidR="00F25D0A" w:rsidRPr="00C00819" w:rsidRDefault="00321CAD" w:rsidP="00F25D0A">
      <w:pPr>
        <w:ind w:firstLine="709"/>
        <w:jc w:val="both"/>
        <w:rPr>
          <w:b/>
          <w:bCs/>
        </w:rPr>
      </w:pPr>
      <w:r w:rsidRPr="00C00819">
        <w:t xml:space="preserve">Do </w:t>
      </w:r>
      <w:r w:rsidR="00F25D0A" w:rsidRPr="00C00819">
        <w:t xml:space="preserve">mesmo modo que na simulação anterior, as elevações do custo do </w:t>
      </w:r>
      <w:proofErr w:type="spellStart"/>
      <w:r w:rsidR="00F25D0A" w:rsidRPr="00C00819">
        <w:rPr>
          <w:i/>
        </w:rPr>
        <w:t>funding</w:t>
      </w:r>
      <w:proofErr w:type="spellEnd"/>
      <w:r w:rsidR="00F25D0A" w:rsidRPr="00C00819">
        <w:t xml:space="preserve"> são repas</w:t>
      </w:r>
      <w:r w:rsidRPr="00C00819">
        <w:t>sadas às firmas por meio de elevação</w:t>
      </w:r>
      <w:r w:rsidR="00F25D0A" w:rsidRPr="00C00819">
        <w:t xml:space="preserve"> das taxas dos empréstimos, causando encarecimento dos investimentos e a consequen</w:t>
      </w:r>
      <w:r w:rsidRPr="00C00819">
        <w:t>te contração do nível de atividade</w:t>
      </w:r>
      <w:r w:rsidR="00F25D0A" w:rsidRPr="00C00819">
        <w:t xml:space="preserve"> da </w:t>
      </w:r>
      <w:r w:rsidRPr="00C00819">
        <w:t>econômica</w:t>
      </w:r>
      <w:r w:rsidR="00F25D0A" w:rsidRPr="00C00819">
        <w:t>. Esse efeito é reforçado pela queda na taxa de pagamento, que é maior quando a remuneração do compulsório é menor. Já em relação à inflação, também se pode concluir que as alterações na remuneração do depós</w:t>
      </w:r>
      <w:r w:rsidRPr="00C00819">
        <w:t xml:space="preserve">ito compulsório não impactam na </w:t>
      </w:r>
      <w:r w:rsidR="00F25D0A" w:rsidRPr="00C00819">
        <w:t>resposta ao choque de política monetária, posto que o preço do capital tem uma variação pequena na presença desse choque.</w:t>
      </w:r>
      <w:r w:rsidR="00F25D0A" w:rsidRPr="00C00819">
        <w:rPr>
          <w:b/>
          <w:bCs/>
        </w:rPr>
        <w:t xml:space="preserve">  </w:t>
      </w:r>
    </w:p>
    <w:p w14:paraId="7A457D8D" w14:textId="542146EA" w:rsidR="00EF1F7A" w:rsidRPr="00C00819" w:rsidRDefault="00EF1F7A" w:rsidP="00EF1F7A">
      <w:pPr>
        <w:pStyle w:val="Legenda"/>
        <w:keepNext/>
        <w:spacing w:after="0" w:line="240" w:lineRule="auto"/>
        <w:ind w:left="993"/>
        <w:rPr>
          <w:rFonts w:cs="Times New Roman"/>
          <w:b w:val="0"/>
          <w:color w:val="auto"/>
          <w:sz w:val="24"/>
          <w:szCs w:val="24"/>
        </w:rPr>
      </w:pPr>
      <w:r w:rsidRPr="00C00819">
        <w:rPr>
          <w:rFonts w:cs="Times New Roman"/>
          <w:b w:val="0"/>
          <w:color w:val="auto"/>
          <w:sz w:val="24"/>
          <w:szCs w:val="24"/>
        </w:rPr>
        <w:t xml:space="preserve">Figura </w:t>
      </w:r>
      <w:r w:rsidRPr="00C00819">
        <w:rPr>
          <w:rFonts w:cs="Times New Roman"/>
          <w:b w:val="0"/>
          <w:color w:val="auto"/>
          <w:sz w:val="24"/>
          <w:szCs w:val="24"/>
        </w:rPr>
        <w:fldChar w:fldCharType="begin"/>
      </w:r>
      <w:r w:rsidRPr="00C00819">
        <w:rPr>
          <w:rFonts w:cs="Times New Roman"/>
          <w:b w:val="0"/>
          <w:color w:val="auto"/>
          <w:sz w:val="24"/>
          <w:szCs w:val="24"/>
        </w:rPr>
        <w:instrText xml:space="preserve"> SEQ Figura \* ARABIC </w:instrText>
      </w:r>
      <w:r w:rsidRPr="00C00819">
        <w:rPr>
          <w:rFonts w:cs="Times New Roman"/>
          <w:b w:val="0"/>
          <w:color w:val="auto"/>
          <w:sz w:val="24"/>
          <w:szCs w:val="24"/>
        </w:rPr>
        <w:fldChar w:fldCharType="separate"/>
      </w:r>
      <w:r w:rsidR="00023231" w:rsidRPr="00C00819">
        <w:rPr>
          <w:rFonts w:cs="Times New Roman"/>
          <w:b w:val="0"/>
          <w:noProof/>
          <w:color w:val="auto"/>
          <w:sz w:val="24"/>
          <w:szCs w:val="24"/>
        </w:rPr>
        <w:t>4</w:t>
      </w:r>
      <w:r w:rsidRPr="00C00819">
        <w:rPr>
          <w:rFonts w:cs="Times New Roman"/>
          <w:b w:val="0"/>
          <w:color w:val="auto"/>
          <w:sz w:val="24"/>
          <w:szCs w:val="24"/>
        </w:rPr>
        <w:fldChar w:fldCharType="end"/>
      </w:r>
      <w:r w:rsidRPr="00C00819">
        <w:rPr>
          <w:rFonts w:cs="Times New Roman"/>
          <w:b w:val="0"/>
          <w:color w:val="auto"/>
          <w:sz w:val="24"/>
          <w:szCs w:val="24"/>
        </w:rPr>
        <w:t xml:space="preserve"> – Choque na Política Monetária com Diferentes Remunerações de Compulsório</w:t>
      </w:r>
    </w:p>
    <w:p w14:paraId="7A457D8E" w14:textId="77777777" w:rsidR="00EF1F7A" w:rsidRPr="00C00819" w:rsidRDefault="00EF1F7A" w:rsidP="00EF1F7A">
      <w:pPr>
        <w:jc w:val="center"/>
      </w:pPr>
      <w:r w:rsidRPr="00C00819">
        <w:rPr>
          <w:noProof/>
        </w:rPr>
        <w:drawing>
          <wp:inline distT="0" distB="0" distL="0" distR="0" wp14:anchorId="7A457DDE" wp14:editId="527DE054">
            <wp:extent cx="5236898" cy="3600000"/>
            <wp:effectExtent l="0" t="0" r="1905"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6898" cy="3600000"/>
                    </a:xfrm>
                    <a:prstGeom prst="rect">
                      <a:avLst/>
                    </a:prstGeom>
                    <a:noFill/>
                  </pic:spPr>
                </pic:pic>
              </a:graphicData>
            </a:graphic>
          </wp:inline>
        </w:drawing>
      </w:r>
    </w:p>
    <w:p w14:paraId="7A457D8F" w14:textId="77777777" w:rsidR="00EF1F7A" w:rsidRPr="00C00819" w:rsidRDefault="00EF1F7A" w:rsidP="00EF1F7A">
      <w:pPr>
        <w:jc w:val="center"/>
      </w:pPr>
      <w:r w:rsidRPr="00C00819">
        <w:rPr>
          <w:noProof/>
        </w:rPr>
        <w:lastRenderedPageBreak/>
        <w:drawing>
          <wp:inline distT="0" distB="0" distL="0" distR="0" wp14:anchorId="7A457DE0" wp14:editId="1404D102">
            <wp:extent cx="5236898" cy="3600000"/>
            <wp:effectExtent l="0" t="0" r="1905"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6898" cy="3600000"/>
                    </a:xfrm>
                    <a:prstGeom prst="rect">
                      <a:avLst/>
                    </a:prstGeom>
                    <a:noFill/>
                  </pic:spPr>
                </pic:pic>
              </a:graphicData>
            </a:graphic>
          </wp:inline>
        </w:drawing>
      </w:r>
    </w:p>
    <w:p w14:paraId="7A457D90" w14:textId="77777777" w:rsidR="00EF1F7A" w:rsidRPr="00C00819" w:rsidRDefault="00EF1F7A" w:rsidP="00DC38E5">
      <w:pPr>
        <w:jc w:val="center"/>
      </w:pPr>
      <w:r w:rsidRPr="00C00819">
        <w:rPr>
          <w:noProof/>
        </w:rPr>
        <w:drawing>
          <wp:inline distT="0" distB="0" distL="0" distR="0" wp14:anchorId="7A457DE2" wp14:editId="60D3CF58">
            <wp:extent cx="4046199" cy="7920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6199" cy="792000"/>
                    </a:xfrm>
                    <a:prstGeom prst="rect">
                      <a:avLst/>
                    </a:prstGeom>
                    <a:noFill/>
                  </pic:spPr>
                </pic:pic>
              </a:graphicData>
            </a:graphic>
          </wp:inline>
        </w:drawing>
      </w:r>
    </w:p>
    <w:p w14:paraId="7A457D92" w14:textId="77777777" w:rsidR="00321CAD" w:rsidRPr="00C00819" w:rsidRDefault="00321CAD" w:rsidP="00321CAD">
      <w:pPr>
        <w:ind w:firstLine="709"/>
        <w:jc w:val="both"/>
        <w:rPr>
          <w:rFonts w:eastAsiaTheme="minorEastAsia"/>
        </w:rPr>
      </w:pPr>
      <w:r w:rsidRPr="00C00819">
        <w:t xml:space="preserve">Para avaliar os efeitos de um choque na alíquota dos depósitos compulsórios, utilizou-se a eq. (7), alterada para incluir o choque </w:t>
      </w:r>
      <m:oMath>
        <m:r>
          <w:rPr>
            <w:rFonts w:ascii="Cambria Math" w:eastAsiaTheme="minorEastAsia" w:hAnsi="Cambria Math"/>
          </w:rPr>
          <m:t>AR(1)</m:t>
        </m:r>
      </m:oMath>
      <w:r w:rsidRPr="00C00819">
        <w:t xml:space="preserve"> em </w:t>
      </w:r>
      <m:oMath>
        <m:sSub>
          <m:sSubPr>
            <m:ctrlPr>
              <w:rPr>
                <w:rFonts w:ascii="Cambria Math" w:hAnsi="Cambria Math"/>
                <w:i/>
              </w:rPr>
            </m:ctrlPr>
          </m:sSubPr>
          <m:e>
            <m:r>
              <w:rPr>
                <w:rFonts w:ascii="Cambria Math" w:hAnsi="Cambria Math"/>
              </w:rPr>
              <m:t>ε</m:t>
            </m:r>
          </m:e>
          <m:sub>
            <m:r>
              <w:rPr>
                <w:rFonts w:ascii="Cambria Math" w:hAnsi="Cambria Math"/>
              </w:rPr>
              <m:t>τ</m:t>
            </m:r>
          </m:sub>
        </m:sSub>
      </m:oMath>
      <w:r w:rsidRPr="00C00819">
        <w:rPr>
          <w:rFonts w:eastAsiaTheme="minorEastAsia"/>
        </w:rPr>
        <w:t xml:space="preserve">, </w:t>
      </w:r>
      <w:r w:rsidR="009D330B" w:rsidRPr="00C00819">
        <w:rPr>
          <w:rFonts w:eastAsiaTheme="minorEastAsia"/>
        </w:rPr>
        <w:t>como ilustra a Figura 5.</w:t>
      </w:r>
    </w:p>
    <w:p w14:paraId="7A457D93" w14:textId="77777777" w:rsidR="00321CAD" w:rsidRPr="00C00819" w:rsidRDefault="000D6AC7" w:rsidP="00321CAD">
      <w:pPr>
        <w:ind w:firstLine="709"/>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t</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τ</m:t>
                    </m:r>
                  </m:e>
                </m:acc>
                <m:r>
                  <w:rPr>
                    <w:rFonts w:ascii="Cambria Math" w:eastAsiaTheme="minorEastAsia" w:hAnsi="Cambria Math"/>
                  </w:rPr>
                  <m:t>+</m:t>
                </m:r>
                <m:sSub>
                  <m:sSubPr>
                    <m:ctrlPr>
                      <w:rPr>
                        <w:rFonts w:ascii="Cambria Math" w:hAnsi="Cambria Math"/>
                        <w:i/>
                      </w:rPr>
                    </m:ctrlPr>
                  </m:sSubPr>
                  <m:e>
                    <m:r>
                      <w:rPr>
                        <w:rFonts w:ascii="Cambria Math" w:hAnsi="Cambria Math"/>
                      </w:rPr>
                      <m:t>ε</m:t>
                    </m:r>
                  </m:e>
                  <m:sub>
                    <m:r>
                      <w:rPr>
                        <w:rFonts w:ascii="Cambria Math" w:hAnsi="Cambria Math"/>
                      </w:rPr>
                      <m:t>τ</m:t>
                    </m:r>
                  </m:sub>
                </m:sSub>
              </m:e>
              <m:e>
                <m:acc>
                  <m:accPr>
                    <m:chr m:val="̅"/>
                    <m:ctrlPr>
                      <w:rPr>
                        <w:rFonts w:ascii="Cambria Math" w:eastAsiaTheme="minorEastAsia" w:hAnsi="Cambria Math"/>
                        <w:i/>
                      </w:rPr>
                    </m:ctrlPr>
                  </m:accPr>
                  <m:e>
                    <m:r>
                      <w:rPr>
                        <w:rFonts w:ascii="Cambria Math" w:eastAsiaTheme="minorEastAsia" w:hAnsi="Cambria Math"/>
                      </w:rPr>
                      <m:t>τ</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τ</m:t>
                    </m:r>
                  </m:sub>
                </m:sSub>
                <m:d>
                  <m:dPr>
                    <m:ctrlPr>
                      <w:rPr>
                        <w:rFonts w:ascii="Cambria Math" w:eastAsiaTheme="minorEastAsia" w:hAnsi="Cambria Math"/>
                        <w:i/>
                      </w:rPr>
                    </m:ctrlPr>
                  </m:dPr>
                  <m:e>
                    <m:r>
                      <w:rPr>
                        <w:rFonts w:ascii="Cambria Math" w:eastAsiaTheme="minorEastAsia" w:hAnsi="Cambria Math"/>
                      </w:rPr>
                      <m:t>log</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-log</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t</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ε</m:t>
                    </m:r>
                  </m:e>
                  <m:sub>
                    <m:r>
                      <w:rPr>
                        <w:rFonts w:ascii="Cambria Math" w:hAnsi="Cambria Math"/>
                      </w:rPr>
                      <m:t>τ</m:t>
                    </m:r>
                  </m:sub>
                </m:sSub>
              </m:e>
            </m:eqArr>
          </m:e>
        </m:d>
      </m:oMath>
      <w:r w:rsidR="00321CAD" w:rsidRPr="00C00819">
        <w:rPr>
          <w:rFonts w:eastAsiaTheme="minorEastAsia"/>
        </w:rPr>
        <w:t xml:space="preserve">       onde </w:t>
      </w:r>
      <m:oMath>
        <m:sSub>
          <m:sSubPr>
            <m:ctrlPr>
              <w:rPr>
                <w:rFonts w:ascii="Cambria Math" w:hAnsi="Cambria Math"/>
                <w:i/>
              </w:rPr>
            </m:ctrlPr>
          </m:sSubPr>
          <m:e>
            <m:r>
              <w:rPr>
                <w:rFonts w:ascii="Cambria Math" w:hAnsi="Cambria Math"/>
              </w:rPr>
              <m:t>ε</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τ</m:t>
            </m:r>
          </m:sub>
        </m:sSub>
        <m:sSub>
          <m:sSubPr>
            <m:ctrlPr>
              <w:rPr>
                <w:rFonts w:ascii="Cambria Math" w:hAnsi="Cambria Math"/>
                <w:i/>
              </w:rPr>
            </m:ctrlPr>
          </m:sSubPr>
          <m:e>
            <m:r>
              <w:rPr>
                <w:rFonts w:ascii="Cambria Math" w:hAnsi="Cambria Math"/>
              </w:rPr>
              <m:t>ε</m:t>
            </m:r>
          </m:e>
          <m:sub>
            <m:r>
              <w:rPr>
                <w:rFonts w:ascii="Cambria Math" w:hAnsi="Cambria Math"/>
              </w:rPr>
              <m:t>τ-1</m:t>
            </m:r>
          </m:sub>
        </m:sSub>
        <m:r>
          <w:rPr>
            <w:rFonts w:ascii="Cambria Math" w:hAnsi="Cambria Math"/>
          </w:rPr>
          <m:t>+</m:t>
        </m:r>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τ</m:t>
                </m:r>
              </m:e>
              <m:sub>
                <m:r>
                  <w:rPr>
                    <w:rFonts w:ascii="Cambria Math" w:hAnsi="Cambria Math"/>
                  </w:rPr>
                  <m:t>t</m:t>
                </m:r>
              </m:sub>
            </m:sSub>
          </m:sub>
        </m:sSub>
      </m:oMath>
      <w:r w:rsidR="00321CAD" w:rsidRPr="00C00819">
        <w:rPr>
          <w:rFonts w:eastAsiaTheme="minorEastAsia"/>
        </w:rPr>
        <w:t>.</w:t>
      </w:r>
    </w:p>
    <w:p w14:paraId="16C89877" w14:textId="77777777" w:rsidR="0022536F" w:rsidRDefault="00DC38E5" w:rsidP="00DE7B33">
      <w:pPr>
        <w:spacing w:before="120"/>
        <w:jc w:val="both"/>
      </w:pPr>
      <w:r w:rsidRPr="00C00819">
        <w:t xml:space="preserve">Figura </w:t>
      </w:r>
      <w:r w:rsidR="00AE02D6">
        <w:rPr>
          <w:noProof/>
        </w:rPr>
        <w:fldChar w:fldCharType="begin"/>
      </w:r>
      <w:r w:rsidR="00AE02D6">
        <w:rPr>
          <w:noProof/>
        </w:rPr>
        <w:instrText xml:space="preserve"> SEQ Figura \* ARABIC </w:instrText>
      </w:r>
      <w:r w:rsidR="00AE02D6">
        <w:rPr>
          <w:noProof/>
        </w:rPr>
        <w:fldChar w:fldCharType="separate"/>
      </w:r>
      <w:r w:rsidR="00023231" w:rsidRPr="00C00819">
        <w:rPr>
          <w:noProof/>
        </w:rPr>
        <w:t>5</w:t>
      </w:r>
      <w:r w:rsidR="00AE02D6">
        <w:rPr>
          <w:noProof/>
        </w:rPr>
        <w:fldChar w:fldCharType="end"/>
      </w:r>
      <w:r w:rsidRPr="00C00819">
        <w:t xml:space="preserve"> – Funções Impulso Resposta a um Choque no Depósito Compulsório</w:t>
      </w:r>
    </w:p>
    <w:p w14:paraId="7A457D95" w14:textId="7CEFCE41" w:rsidR="00DC38E5" w:rsidRDefault="0022536F" w:rsidP="0022536F">
      <w:pPr>
        <w:spacing w:before="120"/>
        <w:jc w:val="center"/>
      </w:pPr>
      <w:r w:rsidRPr="00C00819">
        <w:rPr>
          <w:noProof/>
        </w:rPr>
        <w:drawing>
          <wp:inline distT="0" distB="0" distL="0" distR="0" wp14:anchorId="1A7F288C" wp14:editId="11DFD5B2">
            <wp:extent cx="5233576" cy="3600000"/>
            <wp:effectExtent l="0" t="0" r="5715"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3576" cy="3600000"/>
                    </a:xfrm>
                    <a:prstGeom prst="rect">
                      <a:avLst/>
                    </a:prstGeom>
                    <a:noFill/>
                  </pic:spPr>
                </pic:pic>
              </a:graphicData>
            </a:graphic>
          </wp:inline>
        </w:drawing>
      </w:r>
    </w:p>
    <w:p w14:paraId="7A457D96" w14:textId="5513C161" w:rsidR="00DC38E5" w:rsidRPr="00C00819" w:rsidRDefault="00DC38E5" w:rsidP="00DC38E5">
      <w:pPr>
        <w:jc w:val="center"/>
      </w:pPr>
      <w:r w:rsidRPr="00C00819">
        <w:rPr>
          <w:noProof/>
        </w:rPr>
        <w:lastRenderedPageBreak/>
        <w:drawing>
          <wp:inline distT="0" distB="0" distL="0" distR="0" wp14:anchorId="7A457DE6" wp14:editId="052C2D6B">
            <wp:extent cx="5233583" cy="3600000"/>
            <wp:effectExtent l="0" t="0" r="5715"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3583" cy="3600000"/>
                    </a:xfrm>
                    <a:prstGeom prst="rect">
                      <a:avLst/>
                    </a:prstGeom>
                    <a:noFill/>
                  </pic:spPr>
                </pic:pic>
              </a:graphicData>
            </a:graphic>
          </wp:inline>
        </w:drawing>
      </w:r>
    </w:p>
    <w:p w14:paraId="7A457D97" w14:textId="77777777" w:rsidR="00DC38E5" w:rsidRPr="00C00819" w:rsidRDefault="00DC38E5" w:rsidP="00DC38E5">
      <w:pPr>
        <w:jc w:val="center"/>
      </w:pPr>
      <w:r w:rsidRPr="00C00819">
        <w:rPr>
          <w:noProof/>
        </w:rPr>
        <w:drawing>
          <wp:inline distT="0" distB="0" distL="0" distR="0" wp14:anchorId="7A457DE8" wp14:editId="46675F06">
            <wp:extent cx="2864461" cy="648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4461" cy="648000"/>
                    </a:xfrm>
                    <a:prstGeom prst="rect">
                      <a:avLst/>
                    </a:prstGeom>
                    <a:noFill/>
                  </pic:spPr>
                </pic:pic>
              </a:graphicData>
            </a:graphic>
          </wp:inline>
        </w:drawing>
      </w:r>
    </w:p>
    <w:p w14:paraId="7A457D99" w14:textId="77777777" w:rsidR="009D330B" w:rsidRPr="00C00819" w:rsidRDefault="009D330B" w:rsidP="00321CAD">
      <w:pPr>
        <w:ind w:firstLine="709"/>
        <w:jc w:val="both"/>
        <w:rPr>
          <w:rFonts w:eastAsiaTheme="minorEastAsia"/>
        </w:rPr>
      </w:pPr>
      <w:r w:rsidRPr="00C00819">
        <w:t xml:space="preserve">Caso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τ</m:t>
            </m:r>
          </m:sub>
        </m:sSub>
        <m:r>
          <w:rPr>
            <w:rFonts w:ascii="Cambria Math" w:eastAsiaTheme="minorEastAsia" w:hAnsi="Cambria Math"/>
          </w:rPr>
          <m:t>=0</m:t>
        </m:r>
      </m:oMath>
      <w:r w:rsidRPr="00C00819">
        <w:rPr>
          <w:rFonts w:eastAsiaTheme="minorEastAsia"/>
        </w:rPr>
        <w:t>, não existe regra anticíclica para o depósito compulsório que será dado por uma alíquota fixa</w:t>
      </w:r>
      <w:r w:rsidRPr="00C00819">
        <w:t xml:space="preserve"> </w:t>
      </w:r>
      <m:oMath>
        <m:acc>
          <m:accPr>
            <m:chr m:val="̅"/>
            <m:ctrlPr>
              <w:rPr>
                <w:rFonts w:ascii="Cambria Math" w:eastAsiaTheme="minorEastAsia" w:hAnsi="Cambria Math"/>
                <w:i/>
              </w:rPr>
            </m:ctrlPr>
          </m:accPr>
          <m:e>
            <m:r>
              <w:rPr>
                <w:rFonts w:ascii="Cambria Math" w:eastAsiaTheme="minorEastAsia" w:hAnsi="Cambria Math"/>
              </w:rPr>
              <m:t>τ</m:t>
            </m:r>
          </m:e>
        </m:acc>
        <m:r>
          <w:rPr>
            <w:rFonts w:ascii="Cambria Math" w:eastAsiaTheme="minorEastAsia" w:hAnsi="Cambria Math"/>
          </w:rPr>
          <m:t>=0,36</m:t>
        </m:r>
        <m:r>
          <w:rPr>
            <w:rStyle w:val="Refdenotaderodap"/>
            <w:rFonts w:ascii="Cambria Math" w:eastAsiaTheme="minorEastAsia" w:hAnsi="Cambria Math"/>
            <w:i/>
          </w:rPr>
          <w:footnoteReference w:id="14"/>
        </m:r>
      </m:oMath>
      <w:r w:rsidRPr="00C00819">
        <w:rPr>
          <w:rFonts w:eastAsiaTheme="minorEastAsia"/>
        </w:rPr>
        <w:t xml:space="preserve">. No entanto, caso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τ</m:t>
            </m:r>
          </m:sub>
        </m:sSub>
        <m:r>
          <w:rPr>
            <w:rFonts w:ascii="Cambria Math" w:eastAsiaTheme="minorEastAsia" w:hAnsi="Cambria Math"/>
          </w:rPr>
          <m:t>&gt;0</m:t>
        </m:r>
      </m:oMath>
      <w:r w:rsidRPr="00C00819">
        <w:rPr>
          <w:rFonts w:eastAsiaTheme="minorEastAsia"/>
        </w:rPr>
        <w:t xml:space="preserve">, a regra anticíclica será válida e dependerá do </w:t>
      </w:r>
      <w:r w:rsidRPr="00C00819">
        <w:t xml:space="preserve">peso atribuído aos desvios do crédito em relação ao seu estado estacionário, </w:t>
      </w:r>
      <m:oMath>
        <m:sSub>
          <m:sSubPr>
            <m:ctrlPr>
              <w:rPr>
                <w:rFonts w:ascii="Cambria Math" w:hAnsi="Cambria Math"/>
                <w:i/>
              </w:rPr>
            </m:ctrlPr>
          </m:sSubPr>
          <m:e>
            <m:r>
              <w:rPr>
                <w:rFonts w:ascii="Cambria Math" w:hAnsi="Cambria Math"/>
              </w:rPr>
              <m:t>κ</m:t>
            </m:r>
          </m:e>
          <m:sub>
            <m:r>
              <w:rPr>
                <w:rFonts w:ascii="Cambria Math" w:hAnsi="Cambria Math"/>
              </w:rPr>
              <m:t>τ</m:t>
            </m:r>
          </m:sub>
        </m:sSub>
      </m:oMath>
      <w:r w:rsidRPr="00C00819">
        <w:rPr>
          <w:rFonts w:eastAsiaTheme="minorEastAsia"/>
        </w:rPr>
        <w:t>.</w:t>
      </w:r>
      <w:r w:rsidRPr="00C00819">
        <w:t xml:space="preserve"> A Figura 5 mostra a resposta a um choque de 1,0%</w:t>
      </w:r>
      <w:r w:rsidRPr="00C00819">
        <w:rPr>
          <w:rStyle w:val="Refdenotaderodap"/>
        </w:rPr>
        <w:footnoteReference w:id="15"/>
      </w:r>
      <w:r w:rsidRPr="00C00819">
        <w:t xml:space="preserve"> na alíquota dos requerimentos compulsórios sobre o depósito a prazo, considerando quatro valores diferenciados para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τ</m:t>
            </m:r>
          </m:sub>
        </m:sSub>
      </m:oMath>
      <w:r w:rsidRPr="00C00819">
        <w:rPr>
          <w:rFonts w:eastAsiaTheme="minorEastAsia"/>
        </w:rPr>
        <w:t>.</w:t>
      </w:r>
      <w:r w:rsidRPr="00C00819">
        <w:t xml:space="preserve"> A linha contínua representa o caso da alíquota fixa de compulsório, quando </w:t>
      </w:r>
      <m:oMath>
        <m:sSub>
          <m:sSubPr>
            <m:ctrlPr>
              <w:rPr>
                <w:rFonts w:ascii="Cambria Math" w:hAnsi="Cambria Math"/>
                <w:i/>
              </w:rPr>
            </m:ctrlPr>
          </m:sSubPr>
          <m:e>
            <m:r>
              <w:rPr>
                <w:rFonts w:ascii="Cambria Math" w:hAnsi="Cambria Math"/>
              </w:rPr>
              <m:t>κ</m:t>
            </m:r>
          </m:e>
          <m:sub>
            <m:r>
              <w:rPr>
                <w:rFonts w:ascii="Cambria Math" w:hAnsi="Cambria Math"/>
              </w:rPr>
              <m:t>τ</m:t>
            </m:r>
          </m:sub>
        </m:sSub>
        <m:r>
          <w:rPr>
            <w:rFonts w:ascii="Cambria Math" w:hAnsi="Cambria Math"/>
          </w:rPr>
          <m:t>=0</m:t>
        </m:r>
      </m:oMath>
      <w:r w:rsidRPr="00C00819">
        <w:rPr>
          <w:rFonts w:eastAsiaTheme="minorEastAsia"/>
        </w:rPr>
        <w:t>.</w:t>
      </w:r>
    </w:p>
    <w:p w14:paraId="7A457D9A" w14:textId="77777777" w:rsidR="00321CAD" w:rsidRPr="00C00819" w:rsidRDefault="00321CAD" w:rsidP="00321CAD">
      <w:pPr>
        <w:ind w:firstLine="709"/>
        <w:jc w:val="both"/>
      </w:pPr>
      <w:r w:rsidRPr="00C00819">
        <w:t xml:space="preserve">O aumento não antecipado na alíquota dos requerimentos compulsórios implica na retirada extraordinária de liquidez da economia, tendo como consequência a queda dos juros (nominais) e da inflação. Porém, como essa última cai com mais intensidade, ocorre uma elevação da taxa dos depósitos (juros reais) no momento do choque. Aliado a isso, o aumento da alíquota do compulsório eleva ainda mais a taxa de depósito efetiva, tornando mais caro o custo do </w:t>
      </w:r>
      <w:proofErr w:type="spellStart"/>
      <w:r w:rsidRPr="00C00819">
        <w:rPr>
          <w:i/>
        </w:rPr>
        <w:t>funding</w:t>
      </w:r>
      <w:proofErr w:type="spellEnd"/>
      <w:r w:rsidRPr="00C00819">
        <w:t xml:space="preserve"> das instituições financeiras. Isto traz como resultado a redução da oferta de crédito da economia que impacta diretamente na diminuição dos investimentos, do preço </w:t>
      </w:r>
      <w:r w:rsidR="00E54476" w:rsidRPr="00C00819">
        <w:t>do capital, e</w:t>
      </w:r>
      <w:r w:rsidRPr="00C00819">
        <w:t xml:space="preserve"> no nível de </w:t>
      </w:r>
      <w:r w:rsidR="00E54476" w:rsidRPr="00C00819">
        <w:t>atividade econô</w:t>
      </w:r>
      <w:r w:rsidRPr="00C00819">
        <w:t>mi</w:t>
      </w:r>
      <w:r w:rsidR="00E54476" w:rsidRPr="00C00819">
        <w:t>c</w:t>
      </w:r>
      <w:r w:rsidRPr="00C00819">
        <w:t xml:space="preserve">a. Como o choque aplicado ao compulsório é </w:t>
      </w:r>
      <w:proofErr w:type="spellStart"/>
      <w:r w:rsidRPr="00C00819">
        <w:t>autorregressivo</w:t>
      </w:r>
      <w:proofErr w:type="spellEnd"/>
      <w:r w:rsidRPr="00C00819">
        <w:t xml:space="preserve">, à medida em que ele vai perdendo força e volta a convergir para seu valor inicial, a despesa de captação do banco reduz, possibilitando a retomada da oferta de crédito. Com isso, os investimentos </w:t>
      </w:r>
      <w:r w:rsidR="00E54476" w:rsidRPr="00C00819">
        <w:t>aumentam</w:t>
      </w:r>
      <w:r w:rsidRPr="00C00819">
        <w:t>, elevando</w:t>
      </w:r>
      <w:r w:rsidR="00E54476" w:rsidRPr="00C00819">
        <w:t xml:space="preserve"> </w:t>
      </w:r>
      <w:r w:rsidRPr="00C00819">
        <w:t>o valor do capital e do produto.</w:t>
      </w:r>
    </w:p>
    <w:p w14:paraId="7A457D9B" w14:textId="77777777" w:rsidR="00F25D0A" w:rsidRPr="00C00819" w:rsidRDefault="00F25D0A" w:rsidP="00F25D0A">
      <w:pPr>
        <w:ind w:firstLine="709"/>
        <w:jc w:val="both"/>
        <w:rPr>
          <w:rFonts w:eastAsiaTheme="minorEastAsia"/>
        </w:rPr>
      </w:pPr>
      <w:r w:rsidRPr="00C00819">
        <w:t>As linhas</w:t>
      </w:r>
      <w:r w:rsidR="00E54476" w:rsidRPr="00C00819">
        <w:t xml:space="preserve"> tracejadas</w:t>
      </w:r>
      <w:r w:rsidRPr="00C00819">
        <w:t xml:space="preserve"> indicam a política anticíclica do compulsório em relação ao crédito. </w:t>
      </w:r>
      <w:r w:rsidRPr="00C00819">
        <w:rPr>
          <w:rFonts w:eastAsiaTheme="minorEastAsia"/>
        </w:rPr>
        <w:t>Por essa</w:t>
      </w:r>
      <w:r w:rsidR="00E54476" w:rsidRPr="00C00819">
        <w:rPr>
          <w:rFonts w:eastAsiaTheme="minorEastAsia"/>
        </w:rPr>
        <w:t>s</w:t>
      </w:r>
      <w:r w:rsidRPr="00C00819">
        <w:rPr>
          <w:rFonts w:eastAsiaTheme="minorEastAsia"/>
        </w:rPr>
        <w:t xml:space="preserve"> regra</w:t>
      </w:r>
      <w:r w:rsidR="00E54476" w:rsidRPr="00C00819">
        <w:rPr>
          <w:rFonts w:eastAsiaTheme="minorEastAsia"/>
        </w:rPr>
        <w:t>s</w:t>
      </w:r>
      <w:r w:rsidRPr="00C00819">
        <w:rPr>
          <w:rFonts w:eastAsiaTheme="minorEastAsia"/>
        </w:rPr>
        <w:t xml:space="preserve">, como o montante ofertado de empréstimos bancários cai abaixo de seu estado estacionário, valores mais altos do </w:t>
      </w:r>
      <m:oMath>
        <m:sSub>
          <m:sSubPr>
            <m:ctrlPr>
              <w:rPr>
                <w:rFonts w:ascii="Cambria Math" w:hAnsi="Cambria Math"/>
                <w:i/>
              </w:rPr>
            </m:ctrlPr>
          </m:sSubPr>
          <m:e>
            <m:r>
              <w:rPr>
                <w:rFonts w:ascii="Cambria Math" w:hAnsi="Cambria Math"/>
              </w:rPr>
              <m:t>κ</m:t>
            </m:r>
          </m:e>
          <m:sub>
            <m:r>
              <w:rPr>
                <w:rFonts w:ascii="Cambria Math" w:hAnsi="Cambria Math"/>
              </w:rPr>
              <m:t>τ</m:t>
            </m:r>
          </m:sub>
        </m:sSub>
      </m:oMath>
      <w:r w:rsidRPr="00C00819">
        <w:rPr>
          <w:rFonts w:eastAsiaTheme="minorEastAsia"/>
        </w:rPr>
        <w:t xml:space="preserve"> representam uma queda superior na alíquota aplicada, o que faz com que a economia se recupere mais rapidamente. Isso porque uma redução mais rápida do compulsório impacta na queda mais veloz do custo de captação do banco e, com isso, uma retomada mais ágil do crédito bancário, dos investimentos e do nível de produto da economia.</w:t>
      </w:r>
    </w:p>
    <w:p w14:paraId="7A457D9C" w14:textId="77777777" w:rsidR="00EF1F7A" w:rsidRPr="00C00819" w:rsidRDefault="00EF1F7A" w:rsidP="00EF1F7A">
      <w:pPr>
        <w:ind w:firstLine="709"/>
        <w:jc w:val="both"/>
        <w:rPr>
          <w:rFonts w:eastAsiaTheme="minorEastAsia"/>
        </w:rPr>
      </w:pPr>
      <w:r w:rsidRPr="00C00819">
        <w:rPr>
          <w:rFonts w:eastAsiaTheme="minorEastAsia"/>
        </w:rPr>
        <w:t xml:space="preserve">As menores alíquotas do compulsório também resultam na recuperação mais acelerada da inflação, pois a retirada da liquidez da economia tende a desacelerar, possibilitando a restauração dos níveis iniciais </w:t>
      </w:r>
      <w:r w:rsidRPr="00C00819">
        <w:rPr>
          <w:rFonts w:eastAsiaTheme="minorEastAsia"/>
        </w:rPr>
        <w:lastRenderedPageBreak/>
        <w:t xml:space="preserve">dos juros nominais. Dessa forma, conclui-se, a utilização de uma regra anticíclica do depósito compulsório em relação ao crédito amplifica os efeitos de um choque na política monetária. </w:t>
      </w:r>
    </w:p>
    <w:p w14:paraId="7A457D9D" w14:textId="77777777" w:rsidR="00372630" w:rsidRPr="00C00819" w:rsidRDefault="00372630" w:rsidP="0020619E">
      <w:pPr>
        <w:pStyle w:val="Ttulo2"/>
        <w:numPr>
          <w:ilvl w:val="1"/>
          <w:numId w:val="9"/>
        </w:numPr>
        <w:tabs>
          <w:tab w:val="left" w:pos="426"/>
        </w:tabs>
        <w:spacing w:before="120" w:after="120" w:line="240" w:lineRule="auto"/>
        <w:ind w:left="0" w:firstLine="0"/>
        <w:rPr>
          <w:rFonts w:ascii="Times New Roman" w:hAnsi="Times New Roman" w:cs="Times New Roman"/>
          <w:sz w:val="24"/>
          <w:szCs w:val="24"/>
        </w:rPr>
      </w:pPr>
      <w:bookmarkStart w:id="69" w:name="_Toc451294396"/>
      <w:r w:rsidRPr="00C00819">
        <w:rPr>
          <w:rFonts w:ascii="Times New Roman" w:hAnsi="Times New Roman" w:cs="Times New Roman"/>
          <w:sz w:val="24"/>
          <w:szCs w:val="24"/>
        </w:rPr>
        <w:t>CONCLUSÃO</w:t>
      </w:r>
      <w:bookmarkEnd w:id="69"/>
    </w:p>
    <w:p w14:paraId="7A457D9E" w14:textId="77777777" w:rsidR="001F22A7" w:rsidRPr="00C00819" w:rsidRDefault="00C004F8" w:rsidP="002135EE">
      <w:pPr>
        <w:ind w:firstLine="708"/>
        <w:jc w:val="both"/>
      </w:pPr>
      <w:r w:rsidRPr="00C00819">
        <w:t xml:space="preserve">Esse </w:t>
      </w:r>
      <w:r w:rsidR="005D4BF1" w:rsidRPr="00C00819">
        <w:t>artigo</w:t>
      </w:r>
      <w:r w:rsidR="00304D3B" w:rsidRPr="00C00819">
        <w:t xml:space="preserve"> avaliou </w:t>
      </w:r>
      <w:r w:rsidR="00B932B9" w:rsidRPr="00C00819">
        <w:t>os efeitos do risco de crédito sobre a intermediação financeira e a transmissão desses efeitos aos demais setores da economia, considerando um</w:t>
      </w:r>
      <w:r w:rsidR="00304D3B" w:rsidRPr="00C00819">
        <w:t xml:space="preserve"> modelo DSGE base</w:t>
      </w:r>
      <w:r w:rsidR="00B932B9" w:rsidRPr="00C00819">
        <w:t xml:space="preserve">ado em </w:t>
      </w:r>
      <w:proofErr w:type="spellStart"/>
      <w:r w:rsidR="00B932B9" w:rsidRPr="00C00819">
        <w:t>Gertler</w:t>
      </w:r>
      <w:proofErr w:type="spellEnd"/>
      <w:r w:rsidR="00B932B9" w:rsidRPr="00C00819">
        <w:t xml:space="preserve"> e </w:t>
      </w:r>
      <w:proofErr w:type="spellStart"/>
      <w:r w:rsidR="00B932B9" w:rsidRPr="00C00819">
        <w:t>Karadi</w:t>
      </w:r>
      <w:proofErr w:type="spellEnd"/>
      <w:r w:rsidR="00B932B9" w:rsidRPr="00C00819">
        <w:t xml:space="preserve"> (2011) e</w:t>
      </w:r>
      <w:r w:rsidR="00304D3B" w:rsidRPr="00C00819">
        <w:t xml:space="preserve"> com fricções financeiras. </w:t>
      </w:r>
      <w:r w:rsidR="001F22A7" w:rsidRPr="00C00819">
        <w:t xml:space="preserve">Como inovação, no modelo com risco de crédito, a probabilidade de </w:t>
      </w:r>
      <w:r w:rsidR="001F22A7" w:rsidRPr="00C00819">
        <w:rPr>
          <w:i/>
        </w:rPr>
        <w:t xml:space="preserve">default </w:t>
      </w:r>
      <w:r w:rsidR="001F22A7" w:rsidRPr="00C00819">
        <w:t>das firmas fo</w:t>
      </w:r>
      <w:r w:rsidR="00B932B9" w:rsidRPr="00C00819">
        <w:t>i obtida endogenamente</w:t>
      </w:r>
      <w:r w:rsidR="001F22A7" w:rsidRPr="00C00819">
        <w:t>, diferente</w:t>
      </w:r>
      <w:r w:rsidR="00B932B9" w:rsidRPr="00C00819">
        <w:t>mente</w:t>
      </w:r>
      <w:r w:rsidR="001F22A7" w:rsidRPr="00C00819">
        <w:t xml:space="preserve"> de outros artigos que a tratam </w:t>
      </w:r>
      <w:r w:rsidR="00B932B9" w:rsidRPr="00C00819">
        <w:t>como um elemento exógeno</w:t>
      </w:r>
      <w:r w:rsidR="001F22A7" w:rsidRPr="00C00819">
        <w:t>. Além disso, o modelo modificado possibilit</w:t>
      </w:r>
      <w:r w:rsidR="005D4BF1" w:rsidRPr="00C00819">
        <w:t>ou</w:t>
      </w:r>
      <w:r w:rsidR="001F22A7" w:rsidRPr="00C00819">
        <w:t xml:space="preserve"> a análise da qualidade dos tomadores de crédito, introduzindo duas taxas diferenciadas de juros para os empréstimos. Por fim, avaliou-se o impacto de alterações na alíquota e na remuneração dos depósitos compulsórios em uma economia com risco de crédito. </w:t>
      </w:r>
    </w:p>
    <w:p w14:paraId="7A457D9F" w14:textId="77777777" w:rsidR="00202847" w:rsidRPr="00C00819" w:rsidRDefault="00202847" w:rsidP="00580FCE">
      <w:pPr>
        <w:ind w:firstLine="709"/>
        <w:jc w:val="both"/>
      </w:pPr>
      <w:r w:rsidRPr="00C00819">
        <w:t xml:space="preserve">Os resultados das simulações para a economia brasileira indicaram </w:t>
      </w:r>
      <w:r w:rsidR="00104AF8" w:rsidRPr="00C00819">
        <w:rPr>
          <w:rFonts w:eastAsiaTheme="minorEastAsia"/>
        </w:rPr>
        <w:t>que a taxa de pagamento dos empréstimos é pró-cíclica, s</w:t>
      </w:r>
      <w:r w:rsidRPr="00C00819">
        <w:rPr>
          <w:rFonts w:eastAsiaTheme="minorEastAsia"/>
        </w:rPr>
        <w:t xml:space="preserve">ugerindo </w:t>
      </w:r>
      <w:r w:rsidR="00104AF8" w:rsidRPr="00C00819">
        <w:rPr>
          <w:rFonts w:eastAsiaTheme="minorEastAsia"/>
        </w:rPr>
        <w:t xml:space="preserve">que o </w:t>
      </w:r>
      <w:r w:rsidR="00104AF8" w:rsidRPr="00C00819">
        <w:rPr>
          <w:rFonts w:eastAsiaTheme="minorEastAsia"/>
          <w:i/>
        </w:rPr>
        <w:t>default</w:t>
      </w:r>
      <w:r w:rsidR="00104AF8" w:rsidRPr="00C00819">
        <w:rPr>
          <w:rFonts w:eastAsiaTheme="minorEastAsia"/>
        </w:rPr>
        <w:t xml:space="preserve"> aumenta em período de recessão econômica. </w:t>
      </w:r>
      <w:r w:rsidRPr="00C00819">
        <w:t>Isto ocorre porque</w:t>
      </w:r>
      <w:r w:rsidR="001C652B" w:rsidRPr="00C00819">
        <w:t xml:space="preserve"> o aumento não antecipado da taxa de juros da economia causa o encarecimento do crédito </w:t>
      </w:r>
      <w:r w:rsidR="009A2A26" w:rsidRPr="00C00819">
        <w:t xml:space="preserve">e </w:t>
      </w:r>
      <w:r w:rsidR="001C652B" w:rsidRPr="00C00819">
        <w:t>a</w:t>
      </w:r>
      <w:r w:rsidR="009A2A26" w:rsidRPr="00C00819">
        <w:t xml:space="preserve"> redução nível de produto</w:t>
      </w:r>
      <w:r w:rsidR="001C652B" w:rsidRPr="00C00819">
        <w:t>.</w:t>
      </w:r>
      <w:r w:rsidRPr="00C00819">
        <w:t xml:space="preserve"> E</w:t>
      </w:r>
      <w:r w:rsidR="001C652B" w:rsidRPr="00C00819">
        <w:t xml:space="preserve">sses fatores </w:t>
      </w:r>
      <w:r w:rsidR="009A2A26" w:rsidRPr="00C00819">
        <w:t xml:space="preserve">agem de forma a reduzir a capacidade de pagamento das firmas que incorrem em maior risco de </w:t>
      </w:r>
      <w:r w:rsidR="009A2A26" w:rsidRPr="00C00819">
        <w:rPr>
          <w:i/>
        </w:rPr>
        <w:t>default.</w:t>
      </w:r>
      <w:r w:rsidR="009A2A26" w:rsidRPr="00C00819">
        <w:t xml:space="preserve"> </w:t>
      </w:r>
      <w:r w:rsidRPr="00C00819">
        <w:t xml:space="preserve">Assim, </w:t>
      </w:r>
      <w:r w:rsidR="00AF6719" w:rsidRPr="00C00819">
        <w:t xml:space="preserve">a </w:t>
      </w:r>
      <w:r w:rsidR="009A2A26" w:rsidRPr="00C00819">
        <w:t xml:space="preserve">relação negativa entre a taxa de juros dos empréstimos e a taxa de pagamento do crédito </w:t>
      </w:r>
      <w:r w:rsidR="00AF6719" w:rsidRPr="00C00819">
        <w:t>funciona</w:t>
      </w:r>
      <w:r w:rsidR="009A2A26" w:rsidRPr="00C00819">
        <w:t xml:space="preserve"> como uma compensação para o banco pelas perdas com o </w:t>
      </w:r>
      <w:r w:rsidR="009A2A26" w:rsidRPr="00C00819">
        <w:rPr>
          <w:i/>
        </w:rPr>
        <w:t>default</w:t>
      </w:r>
      <w:r w:rsidR="009A2A26" w:rsidRPr="00C00819">
        <w:t xml:space="preserve">. </w:t>
      </w:r>
      <w:r w:rsidR="00AF6719" w:rsidRPr="00C00819">
        <w:t>Além do mais</w:t>
      </w:r>
      <w:r w:rsidR="009A2A26" w:rsidRPr="00C00819">
        <w:t xml:space="preserve">, o custo mais elevado para o crédito, devido ao risco de </w:t>
      </w:r>
      <w:r w:rsidR="009A2A26" w:rsidRPr="00C00819">
        <w:rPr>
          <w:i/>
        </w:rPr>
        <w:t>default</w:t>
      </w:r>
      <w:r w:rsidR="009A2A26" w:rsidRPr="00C00819">
        <w:t>, resulta em efeitos</w:t>
      </w:r>
      <w:r w:rsidR="00AF6719" w:rsidRPr="00C00819">
        <w:t xml:space="preserve"> mais danosos, em termos de produto,</w:t>
      </w:r>
      <w:r w:rsidR="009A2A26" w:rsidRPr="00C00819">
        <w:t xml:space="preserve"> do</w:t>
      </w:r>
      <w:r w:rsidR="00AF6719" w:rsidRPr="00C00819">
        <w:t xml:space="preserve"> que no</w:t>
      </w:r>
      <w:r w:rsidR="009A2A26" w:rsidRPr="00C00819">
        <w:t xml:space="preserve"> modelo original, </w:t>
      </w:r>
      <w:r w:rsidR="00AF6719" w:rsidRPr="00C00819">
        <w:t>sem risco de crédito</w:t>
      </w:r>
      <w:r w:rsidR="009A2A26" w:rsidRPr="00C00819">
        <w:t xml:space="preserve">. </w:t>
      </w:r>
    </w:p>
    <w:p w14:paraId="7A457DA0" w14:textId="77777777" w:rsidR="009A2A26" w:rsidRPr="00C00819" w:rsidRDefault="00B23156" w:rsidP="00580FCE">
      <w:pPr>
        <w:ind w:firstLine="709"/>
        <w:jc w:val="both"/>
      </w:pPr>
      <w:r w:rsidRPr="00C00819">
        <w:t>A análise também contemplou d</w:t>
      </w:r>
      <w:r w:rsidR="009A2A26" w:rsidRPr="00C00819">
        <w:t xml:space="preserve">iferentes </w:t>
      </w:r>
      <w:r w:rsidR="00065955" w:rsidRPr="00C00819">
        <w:t xml:space="preserve">valores de </w:t>
      </w:r>
      <w:r w:rsidR="009A2A26" w:rsidRPr="00C00819">
        <w:t>choques na taxa de pagamento dos empréstimos. Percebe</w:t>
      </w:r>
      <w:r w:rsidRPr="00C00819">
        <w:t>u</w:t>
      </w:r>
      <w:r w:rsidR="009A2A26" w:rsidRPr="00C00819">
        <w:t xml:space="preserve">-se que, o aumento </w:t>
      </w:r>
      <w:r w:rsidRPr="00C00819">
        <w:t xml:space="preserve">não antecipado </w:t>
      </w:r>
      <w:r w:rsidR="009A2A26" w:rsidRPr="00C00819">
        <w:t>d</w:t>
      </w:r>
      <w:r w:rsidRPr="00C00819">
        <w:t xml:space="preserve">a taxa de pagamento do crédito tem um </w:t>
      </w:r>
      <w:r w:rsidR="009A2A26" w:rsidRPr="00C00819">
        <w:t xml:space="preserve">efeito recessivo na economia, visto que, para o pagamento </w:t>
      </w:r>
      <w:r w:rsidR="00202847" w:rsidRPr="00C00819">
        <w:t xml:space="preserve">antecipado </w:t>
      </w:r>
      <w:r w:rsidR="009A2A26" w:rsidRPr="00C00819">
        <w:t>da dívida é necessário retirar recursos dos investimentos das firmas. As simulações realizadas indica</w:t>
      </w:r>
      <w:r w:rsidR="001F1E31" w:rsidRPr="00C00819">
        <w:t>m</w:t>
      </w:r>
      <w:r w:rsidR="009A2A26" w:rsidRPr="00C00819">
        <w:t xml:space="preserve"> que quanto maior a elevação na taxa de pagamento, maior será o volume de recursos retirados dos novos investimentos e, mais intenso será o efeito recessivo sobre a economia.</w:t>
      </w:r>
      <w:r w:rsidR="001F22A7" w:rsidRPr="00C00819">
        <w:t xml:space="preserve"> Portanto, tanto a redução inesperada na taxa de pagamento dos empréstimos, evidenciada pelo choque monetário, quanto o aumento não antecipado dessa taxa, provocam efeito</w:t>
      </w:r>
      <w:r w:rsidR="00202847" w:rsidRPr="00C00819">
        <w:t>s</w:t>
      </w:r>
      <w:r w:rsidR="001F22A7" w:rsidRPr="00C00819">
        <w:t xml:space="preserve"> recessivo</w:t>
      </w:r>
      <w:r w:rsidR="00202847" w:rsidRPr="00C00819">
        <w:t>s</w:t>
      </w:r>
      <w:r w:rsidR="001F22A7" w:rsidRPr="00C00819">
        <w:t xml:space="preserve"> na economia, indicando que deve existir uma taxa de pagamento ótima que não suscite esse resultado.</w:t>
      </w:r>
    </w:p>
    <w:p w14:paraId="7A457DA1" w14:textId="77777777" w:rsidR="005D4BF1" w:rsidRPr="00C00819" w:rsidRDefault="000A7BD3" w:rsidP="00580FCE">
      <w:pPr>
        <w:ind w:firstLine="709"/>
        <w:jc w:val="both"/>
        <w:rPr>
          <w:rFonts w:eastAsiaTheme="minorEastAsia"/>
        </w:rPr>
      </w:pPr>
      <w:r w:rsidRPr="00C00819">
        <w:t>Em relação aos depósitos compulsórios</w:t>
      </w:r>
      <w:r w:rsidR="008F66FB" w:rsidRPr="00C00819">
        <w:t>, v</w:t>
      </w:r>
      <w:r w:rsidR="00BE3E0F" w:rsidRPr="00C00819">
        <w:rPr>
          <w:rFonts w:eastAsiaTheme="minorEastAsia"/>
        </w:rPr>
        <w:t xml:space="preserve">erificou-se que, na presença </w:t>
      </w:r>
      <w:r w:rsidR="00202847" w:rsidRPr="00C00819">
        <w:t>um choque na alíquota do requerimento compulsório</w:t>
      </w:r>
      <w:r w:rsidR="00BE3E0F" w:rsidRPr="00C00819">
        <w:rPr>
          <w:rFonts w:eastAsiaTheme="minorEastAsia"/>
        </w:rPr>
        <w:t>, pesos</w:t>
      </w:r>
      <w:r w:rsidR="009A2A26" w:rsidRPr="00C00819">
        <w:rPr>
          <w:rFonts w:eastAsiaTheme="minorEastAsia"/>
        </w:rPr>
        <w:t xml:space="preserve"> mais altos</w:t>
      </w:r>
      <w:r w:rsidR="008F66FB" w:rsidRPr="00C00819">
        <w:rPr>
          <w:rFonts w:eastAsiaTheme="minorEastAsia"/>
        </w:rPr>
        <w:t xml:space="preserve"> para a política anticíclica</w:t>
      </w:r>
      <w:r w:rsidR="009A2A26" w:rsidRPr="00C00819">
        <w:rPr>
          <w:rFonts w:eastAsiaTheme="minorEastAsia"/>
        </w:rPr>
        <w:t xml:space="preserve"> </w:t>
      </w:r>
      <w:r w:rsidR="00BE3E0F" w:rsidRPr="00C00819">
        <w:rPr>
          <w:rFonts w:eastAsiaTheme="minorEastAsia"/>
        </w:rPr>
        <w:t xml:space="preserve">resultaram em queda superior na alíquota aplicada, </w:t>
      </w:r>
      <w:r w:rsidR="001F1E31" w:rsidRPr="00C00819">
        <w:rPr>
          <w:rFonts w:eastAsiaTheme="minorEastAsia"/>
        </w:rPr>
        <w:t>resulta</w:t>
      </w:r>
      <w:r w:rsidR="00202847" w:rsidRPr="00C00819">
        <w:rPr>
          <w:rFonts w:eastAsiaTheme="minorEastAsia"/>
        </w:rPr>
        <w:t>ndo em efeitos</w:t>
      </w:r>
      <w:r w:rsidR="001F1E31" w:rsidRPr="00C00819">
        <w:rPr>
          <w:rFonts w:eastAsiaTheme="minorEastAsia"/>
        </w:rPr>
        <w:t xml:space="preserve"> mais brandos para a </w:t>
      </w:r>
      <w:r w:rsidR="00BE3E0F" w:rsidRPr="00C00819">
        <w:rPr>
          <w:rFonts w:eastAsiaTheme="minorEastAsia"/>
        </w:rPr>
        <w:t>economia.</w:t>
      </w:r>
      <w:r w:rsidR="00702CBD" w:rsidRPr="00C00819">
        <w:rPr>
          <w:rFonts w:eastAsiaTheme="minorEastAsia"/>
        </w:rPr>
        <w:t xml:space="preserve"> </w:t>
      </w:r>
      <w:r w:rsidR="007E697B" w:rsidRPr="00C00819">
        <w:rPr>
          <w:rFonts w:eastAsiaTheme="minorEastAsia"/>
        </w:rPr>
        <w:t xml:space="preserve">Isso </w:t>
      </w:r>
      <w:r w:rsidR="009A2A26" w:rsidRPr="00C00819">
        <w:rPr>
          <w:rFonts w:eastAsiaTheme="minorEastAsia"/>
        </w:rPr>
        <w:t>porque</w:t>
      </w:r>
      <w:r w:rsidR="00702CBD" w:rsidRPr="00C00819">
        <w:rPr>
          <w:rFonts w:eastAsiaTheme="minorEastAsia"/>
        </w:rPr>
        <w:t xml:space="preserve"> os pesos mais elevados trazem</w:t>
      </w:r>
      <w:r w:rsidR="009A2A26" w:rsidRPr="00C00819">
        <w:rPr>
          <w:rFonts w:eastAsiaTheme="minorEastAsia"/>
        </w:rPr>
        <w:t xml:space="preserve"> uma redução mais rápida do compulsório</w:t>
      </w:r>
      <w:r w:rsidR="00702CBD" w:rsidRPr="00C00819">
        <w:rPr>
          <w:rFonts w:eastAsiaTheme="minorEastAsia"/>
        </w:rPr>
        <w:t xml:space="preserve">, </w:t>
      </w:r>
      <w:r w:rsidR="009A2A26" w:rsidRPr="00C00819">
        <w:rPr>
          <w:rFonts w:eastAsiaTheme="minorEastAsia"/>
        </w:rPr>
        <w:t>impacta</w:t>
      </w:r>
      <w:r w:rsidR="00702CBD" w:rsidRPr="00C00819">
        <w:rPr>
          <w:rFonts w:eastAsiaTheme="minorEastAsia"/>
        </w:rPr>
        <w:t>ndo</w:t>
      </w:r>
      <w:r w:rsidR="009A2A26" w:rsidRPr="00C00819">
        <w:rPr>
          <w:rFonts w:eastAsiaTheme="minorEastAsia"/>
        </w:rPr>
        <w:t xml:space="preserve"> na queda mais veloz do custo de captação do banco e, com isso, </w:t>
      </w:r>
      <w:r w:rsidR="00202847" w:rsidRPr="00C00819">
        <w:rPr>
          <w:rFonts w:eastAsiaTheme="minorEastAsia"/>
        </w:rPr>
        <w:t>n</w:t>
      </w:r>
      <w:r w:rsidR="009A2A26" w:rsidRPr="00C00819">
        <w:rPr>
          <w:rFonts w:eastAsiaTheme="minorEastAsia"/>
        </w:rPr>
        <w:t xml:space="preserve">uma retomada mais ágil do crédito bancário, dos investimentos e do nível de </w:t>
      </w:r>
      <w:r w:rsidR="00202847" w:rsidRPr="00C00819">
        <w:rPr>
          <w:rFonts w:eastAsiaTheme="minorEastAsia"/>
        </w:rPr>
        <w:t>atividade econô</w:t>
      </w:r>
      <w:r w:rsidR="009A2A26" w:rsidRPr="00C00819">
        <w:rPr>
          <w:rFonts w:eastAsiaTheme="minorEastAsia"/>
        </w:rPr>
        <w:t>mi</w:t>
      </w:r>
      <w:r w:rsidR="00202847" w:rsidRPr="00C00819">
        <w:rPr>
          <w:rFonts w:eastAsiaTheme="minorEastAsia"/>
        </w:rPr>
        <w:t>c</w:t>
      </w:r>
      <w:r w:rsidR="009A2A26" w:rsidRPr="00C00819">
        <w:rPr>
          <w:rFonts w:eastAsiaTheme="minorEastAsia"/>
        </w:rPr>
        <w:t xml:space="preserve">a. </w:t>
      </w:r>
      <w:r w:rsidR="00702CBD" w:rsidRPr="00C00819">
        <w:rPr>
          <w:rFonts w:eastAsiaTheme="minorEastAsia"/>
        </w:rPr>
        <w:t>Além disso, a</w:t>
      </w:r>
      <w:r w:rsidR="009A2A26" w:rsidRPr="00C00819">
        <w:rPr>
          <w:rFonts w:eastAsiaTheme="minorEastAsia"/>
        </w:rPr>
        <w:t>s menores alíquotas do compulsório também resultam na recuperação mais acelerada da inflação, pois a retirada da liquidez da economia tende a desacelerar, possibilitando a restauração dos níveis iniciais dos juros nominais.</w:t>
      </w:r>
    </w:p>
    <w:p w14:paraId="7A457DA2" w14:textId="77777777" w:rsidR="00A1036F" w:rsidRPr="00C00819" w:rsidRDefault="00A1036F" w:rsidP="00580FCE">
      <w:pPr>
        <w:ind w:firstLine="709"/>
        <w:jc w:val="both"/>
        <w:rPr>
          <w:rFonts w:eastAsiaTheme="minorEastAsia"/>
        </w:rPr>
      </w:pPr>
      <w:r w:rsidRPr="00C00819">
        <w:rPr>
          <w:rFonts w:eastAsiaTheme="minorEastAsia"/>
        </w:rPr>
        <w:t xml:space="preserve"> </w:t>
      </w:r>
      <w:r w:rsidR="00202847" w:rsidRPr="00C00819">
        <w:rPr>
          <w:rFonts w:eastAsiaTheme="minorEastAsia"/>
        </w:rPr>
        <w:t xml:space="preserve">Como sugestões para pesquisas futuras, destacam a inclusão da política fiscal e a análise de sua interação com as políticas monetária e </w:t>
      </w:r>
      <w:proofErr w:type="spellStart"/>
      <w:r w:rsidR="00202847" w:rsidRPr="00C00819">
        <w:rPr>
          <w:rFonts w:eastAsiaTheme="minorEastAsia"/>
        </w:rPr>
        <w:t>macroprudencial</w:t>
      </w:r>
      <w:proofErr w:type="spellEnd"/>
      <w:r w:rsidR="00202847" w:rsidRPr="00C00819">
        <w:rPr>
          <w:rFonts w:eastAsiaTheme="minorEastAsia"/>
        </w:rPr>
        <w:t xml:space="preserve">, já presentes no modelo. Indica-se, também, a estimação bayesiana dos parâmetros estruturais do modelo e o computo de funções impulso respostas utilizando os parâmetros estimados. </w:t>
      </w:r>
      <w:r w:rsidR="004B21BF" w:rsidRPr="00C00819">
        <w:rPr>
          <w:rFonts w:eastAsiaTheme="minorEastAsia"/>
        </w:rPr>
        <w:t xml:space="preserve">O setor financeiro também pode ser ampliado, estendendo os empréstimos bancários aos indivíduos. Algumas dessas sugestões, contudo, já são objeto de nossa pesquisa em andamento. </w:t>
      </w:r>
    </w:p>
    <w:p w14:paraId="7A457DA5" w14:textId="77777777" w:rsidR="00AA65F0" w:rsidRPr="00C00819" w:rsidRDefault="00AA65F0" w:rsidP="00580FCE">
      <w:pPr>
        <w:ind w:firstLine="709"/>
        <w:jc w:val="both"/>
        <w:rPr>
          <w:rFonts w:eastAsiaTheme="minorEastAsia"/>
        </w:rPr>
      </w:pPr>
    </w:p>
    <w:bookmarkStart w:id="70" w:name="_Toc451294398" w:displacedByCustomXml="next"/>
    <w:sdt>
      <w:sdtPr>
        <w:rPr>
          <w:rFonts w:eastAsiaTheme="minorHAnsi" w:cstheme="minorBidi"/>
          <w:b w:val="0"/>
          <w:bCs w:val="0"/>
          <w:noProof/>
        </w:rPr>
        <w:id w:val="-960497512"/>
        <w:docPartObj>
          <w:docPartGallery w:val="Bibliographies"/>
          <w:docPartUnique/>
        </w:docPartObj>
      </w:sdtPr>
      <w:sdtEndPr>
        <w:rPr>
          <w:noProof w:val="0"/>
        </w:rPr>
      </w:sdtEndPr>
      <w:sdtContent>
        <w:p w14:paraId="7A457DA6" w14:textId="38B6C7EB" w:rsidR="001847A4" w:rsidRPr="00C00819" w:rsidRDefault="001847A4" w:rsidP="00DA2BB5">
          <w:pPr>
            <w:pStyle w:val="Ttulo1"/>
            <w:numPr>
              <w:ilvl w:val="0"/>
              <w:numId w:val="0"/>
            </w:numPr>
            <w:spacing w:before="0" w:after="120" w:line="240" w:lineRule="auto"/>
          </w:pPr>
          <w:r w:rsidRPr="00C00819">
            <w:t>REFERÊNCIAS</w:t>
          </w:r>
          <w:bookmarkEnd w:id="70"/>
        </w:p>
        <w:p w14:paraId="388172F9" w14:textId="5B2F4EF8" w:rsidR="002C75F3" w:rsidRPr="00C00819" w:rsidRDefault="001847A4" w:rsidP="002C75F3">
          <w:pPr>
            <w:pStyle w:val="Bibliografia"/>
            <w:spacing w:after="0" w:line="240" w:lineRule="auto"/>
            <w:ind w:left="567" w:hanging="567"/>
            <w:jc w:val="both"/>
            <w:rPr>
              <w:rFonts w:cs="Times New Roman"/>
              <w:noProof/>
            </w:rPr>
          </w:pPr>
          <w:r w:rsidRPr="00C00819">
            <w:rPr>
              <w:rFonts w:cs="Times New Roman"/>
              <w:highlight w:val="green"/>
            </w:rPr>
            <w:fldChar w:fldCharType="begin"/>
          </w:r>
          <w:r w:rsidRPr="00C00819">
            <w:rPr>
              <w:rFonts w:cs="Times New Roman"/>
              <w:highlight w:val="green"/>
            </w:rPr>
            <w:instrText>BIBLIOGRAPHY</w:instrText>
          </w:r>
          <w:r w:rsidRPr="00C00819">
            <w:rPr>
              <w:rFonts w:cs="Times New Roman"/>
              <w:highlight w:val="green"/>
            </w:rPr>
            <w:fldChar w:fldCharType="separate"/>
          </w:r>
          <w:r w:rsidR="00C82468" w:rsidRPr="00C00819">
            <w:rPr>
              <w:rFonts w:cs="Times New Roman"/>
              <w:noProof/>
            </w:rPr>
            <w:t xml:space="preserve">ARAÚJO, L. A. D. D.; JORGE NETO, P. D. M. Risco e Competição Bancária no Brasil. </w:t>
          </w:r>
          <w:r w:rsidR="00C82468" w:rsidRPr="00C00819">
            <w:rPr>
              <w:rFonts w:cs="Times New Roman"/>
              <w:b/>
              <w:bCs/>
              <w:noProof/>
            </w:rPr>
            <w:t>Revista Brasileira de Economia</w:t>
          </w:r>
          <w:r w:rsidR="00C82468" w:rsidRPr="00C00819">
            <w:rPr>
              <w:rFonts w:cs="Times New Roman"/>
              <w:noProof/>
            </w:rPr>
            <w:t>, v. 61, n. 2, p. p. 175–200, 2007.</w:t>
          </w:r>
          <w:r w:rsidR="00A06ADE" w:rsidRPr="00C00819">
            <w:rPr>
              <w:rFonts w:cs="Times New Roman"/>
              <w:noProof/>
            </w:rPr>
            <w:t xml:space="preserve"> Disponível em: </w:t>
          </w:r>
          <w:r w:rsidR="003B1F77" w:rsidRPr="00C00819">
            <w:rPr>
              <w:rFonts w:cs="Times New Roman"/>
              <w:noProof/>
            </w:rPr>
            <w:t>http://dx.doi.org/10.1590/S0034-71402007000200003</w:t>
          </w:r>
        </w:p>
        <w:p w14:paraId="06D8CE0A" w14:textId="37DB1D81" w:rsidR="00AB241B" w:rsidRPr="00C00819" w:rsidRDefault="00C82468" w:rsidP="00AB241B">
          <w:pPr>
            <w:pStyle w:val="Bibliografia"/>
            <w:spacing w:after="0" w:line="240" w:lineRule="auto"/>
            <w:ind w:left="567" w:hanging="567"/>
            <w:jc w:val="both"/>
            <w:rPr>
              <w:rFonts w:cs="Times New Roman"/>
              <w:noProof/>
            </w:rPr>
          </w:pPr>
          <w:r w:rsidRPr="00C00819">
            <w:rPr>
              <w:rFonts w:cs="Times New Roman"/>
              <w:noProof/>
            </w:rPr>
            <w:t xml:space="preserve">AREOSA, W. D.; COELHO, C. A. </w:t>
          </w:r>
          <w:r w:rsidRPr="00C00819">
            <w:rPr>
              <w:rFonts w:cs="Times New Roman"/>
              <w:b/>
              <w:bCs/>
              <w:noProof/>
            </w:rPr>
            <w:t>Utilizando um Modelo DSGE para Avaliar os Efeitos Macroeconômicos dos Recolhimentos Compulsórios no Brasil</w:t>
          </w:r>
          <w:r w:rsidRPr="00C00819">
            <w:rPr>
              <w:rFonts w:cs="Times New Roman"/>
              <w:noProof/>
            </w:rPr>
            <w:t>. Banco Central do Brasil - Trabalhos para Discussão 303. 2013.</w:t>
          </w:r>
          <w:r w:rsidR="00AB241B" w:rsidRPr="00C00819">
            <w:rPr>
              <w:rFonts w:cs="Times New Roman"/>
              <w:noProof/>
            </w:rPr>
            <w:t xml:space="preserve"> Disponível em: https://www.bcb.gov.br/pec/wps/port/TD303.pdf</w:t>
          </w:r>
        </w:p>
        <w:p w14:paraId="4C5DCC61" w14:textId="259D0866" w:rsidR="00CF72E8" w:rsidRPr="00C00819" w:rsidRDefault="00C82468" w:rsidP="00CF72E8">
          <w:pPr>
            <w:pStyle w:val="Bibliografia"/>
            <w:spacing w:after="0" w:line="240" w:lineRule="auto"/>
            <w:ind w:left="567" w:hanging="567"/>
            <w:jc w:val="both"/>
            <w:rPr>
              <w:rFonts w:cs="Times New Roman"/>
              <w:noProof/>
            </w:rPr>
          </w:pPr>
          <w:r w:rsidRPr="00C00819">
            <w:rPr>
              <w:rFonts w:cs="Times New Roman"/>
              <w:noProof/>
            </w:rPr>
            <w:lastRenderedPageBreak/>
            <w:t xml:space="preserve">BATISTA, S. R. F.; DIVINO, J. A.; ORRILLO, J. Taxa de Juros e Default em Mercados de Empréstimos Colateralizados. </w:t>
          </w:r>
          <w:r w:rsidRPr="00C00819">
            <w:rPr>
              <w:rFonts w:cs="Times New Roman"/>
              <w:b/>
              <w:bCs/>
              <w:noProof/>
            </w:rPr>
            <w:t>Estudos Econômicos</w:t>
          </w:r>
          <w:r w:rsidRPr="00C00819">
            <w:rPr>
              <w:rFonts w:cs="Times New Roman"/>
              <w:noProof/>
            </w:rPr>
            <w:t>, v. 41, 2011.</w:t>
          </w:r>
          <w:r w:rsidR="00CF72E8" w:rsidRPr="00C00819">
            <w:rPr>
              <w:rFonts w:cs="Times New Roman"/>
              <w:noProof/>
            </w:rPr>
            <w:t xml:space="preserve"> Disponível em: </w:t>
          </w:r>
          <w:r w:rsidR="0025735E" w:rsidRPr="00C00819">
            <w:rPr>
              <w:rFonts w:cs="Times New Roman"/>
              <w:noProof/>
            </w:rPr>
            <w:t>http://dx.doi.org/10.1590/S0101-41612011000400002</w:t>
          </w:r>
        </w:p>
        <w:p w14:paraId="4FE13A03" w14:textId="419204C9" w:rsidR="009977F9" w:rsidRPr="00C00819" w:rsidRDefault="00C82468" w:rsidP="009977F9">
          <w:pPr>
            <w:pStyle w:val="Bibliografia"/>
            <w:spacing w:after="0" w:line="240" w:lineRule="auto"/>
            <w:ind w:left="567" w:hanging="567"/>
            <w:jc w:val="both"/>
            <w:rPr>
              <w:rFonts w:cs="Times New Roman"/>
              <w:color w:val="333333"/>
              <w:shd w:val="clear" w:color="auto" w:fill="FFFFFF"/>
              <w:lang w:val="en-US"/>
            </w:rPr>
          </w:pPr>
          <w:r w:rsidRPr="00C00819">
            <w:rPr>
              <w:rFonts w:cs="Times New Roman"/>
              <w:noProof/>
              <w:lang w:val="en-US"/>
            </w:rPr>
            <w:t xml:space="preserve">BERNANKE, B. S.; BLINDER, A. S. The Federal Funds Rate and the Channels of Monetary Transmission. </w:t>
          </w:r>
          <w:r w:rsidRPr="00C00819">
            <w:rPr>
              <w:rFonts w:cs="Times New Roman"/>
              <w:b/>
              <w:bCs/>
              <w:noProof/>
              <w:lang w:val="en-US"/>
            </w:rPr>
            <w:t>The American Economic Review</w:t>
          </w:r>
          <w:r w:rsidRPr="00C00819">
            <w:rPr>
              <w:rFonts w:cs="Times New Roman"/>
              <w:noProof/>
              <w:lang w:val="en-US"/>
            </w:rPr>
            <w:t>, v. 82, p</w:t>
          </w:r>
          <w:r w:rsidR="00AA65F0" w:rsidRPr="00C00819">
            <w:rPr>
              <w:rFonts w:cs="Times New Roman"/>
              <w:noProof/>
              <w:lang w:val="en-US"/>
            </w:rPr>
            <w:t>. 901-921, Setembro 1992.</w:t>
          </w:r>
          <w:r w:rsidR="009977F9" w:rsidRPr="00C00819">
            <w:rPr>
              <w:rFonts w:cs="Times New Roman"/>
              <w:noProof/>
              <w:lang w:val="en-US"/>
            </w:rPr>
            <w:t xml:space="preserve"> Disponível em: </w:t>
          </w:r>
          <w:r w:rsidR="009977F9" w:rsidRPr="00C00819">
            <w:rPr>
              <w:rFonts w:cs="Times New Roman"/>
              <w:color w:val="333333"/>
              <w:shd w:val="clear" w:color="auto" w:fill="FFFFFF"/>
              <w:lang w:val="en-US"/>
            </w:rPr>
            <w:t>http://www.jstor.org/stable/2117350</w:t>
          </w:r>
        </w:p>
        <w:p w14:paraId="7A457DAB" w14:textId="70B6B710" w:rsidR="00AA65F0"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BERNANKE, B.; GERTLER, M.; GILCHRIST, S. The Financial Accelerator and the Flight to Quality. </w:t>
          </w:r>
          <w:r w:rsidRPr="00C00819">
            <w:rPr>
              <w:rFonts w:cs="Times New Roman"/>
              <w:b/>
              <w:bCs/>
              <w:noProof/>
              <w:lang w:val="en-US"/>
            </w:rPr>
            <w:t>The Review of Economics and Statistics</w:t>
          </w:r>
          <w:r w:rsidR="00AA65F0" w:rsidRPr="00C00819">
            <w:rPr>
              <w:rFonts w:cs="Times New Roman"/>
              <w:noProof/>
              <w:lang w:val="en-US"/>
            </w:rPr>
            <w:t>, v. 78, p. 1-15, 1996.</w:t>
          </w:r>
          <w:r w:rsidR="000A6EEB" w:rsidRPr="00C00819">
            <w:rPr>
              <w:rFonts w:cs="Times New Roman"/>
              <w:noProof/>
              <w:lang w:val="en-US"/>
            </w:rPr>
            <w:t xml:space="preserve"> </w:t>
          </w:r>
          <w:r w:rsidR="00EF18E9" w:rsidRPr="00C00819">
            <w:rPr>
              <w:rFonts w:cs="Times New Roman"/>
              <w:noProof/>
              <w:lang w:val="en-US"/>
            </w:rPr>
            <w:t>D</w:t>
          </w:r>
          <w:r w:rsidR="000A6EEB" w:rsidRPr="00C00819">
            <w:rPr>
              <w:rFonts w:cs="Times New Roman"/>
              <w:noProof/>
              <w:lang w:val="en-US"/>
            </w:rPr>
            <w:t xml:space="preserve">isponível em: </w:t>
          </w:r>
          <w:r w:rsidR="00EF18E9" w:rsidRPr="00C00819">
            <w:rPr>
              <w:rFonts w:cs="Times New Roman"/>
              <w:noProof/>
              <w:lang w:val="en-US"/>
            </w:rPr>
            <w:t>http://www.jstor.org/stable/2109844</w:t>
          </w:r>
        </w:p>
        <w:p w14:paraId="0F4D101D" w14:textId="27CF28B1" w:rsidR="000630EC" w:rsidRPr="00C00819" w:rsidRDefault="00C82468" w:rsidP="000630EC">
          <w:pPr>
            <w:pStyle w:val="Bibliografia"/>
            <w:spacing w:after="0" w:line="240" w:lineRule="auto"/>
            <w:ind w:left="567" w:hanging="567"/>
            <w:jc w:val="both"/>
            <w:rPr>
              <w:rFonts w:cs="Times New Roman"/>
              <w:noProof/>
              <w:lang w:val="en-US"/>
            </w:rPr>
          </w:pPr>
          <w:r w:rsidRPr="00C00819">
            <w:rPr>
              <w:rFonts w:cs="Times New Roman"/>
              <w:noProof/>
              <w:lang w:val="en-US"/>
            </w:rPr>
            <w:t xml:space="preserve">BERNANKE, B.; GERTLER, M.; GILCHRIST, S. The </w:t>
          </w:r>
          <w:r w:rsidRPr="00C00819">
            <w:rPr>
              <w:rFonts w:cs="Times New Roman"/>
              <w:noProof/>
            </w:rPr>
            <w:t>ﬁ</w:t>
          </w:r>
          <w:r w:rsidRPr="00C00819">
            <w:rPr>
              <w:rFonts w:cs="Times New Roman"/>
              <w:noProof/>
              <w:lang w:val="en-US"/>
            </w:rPr>
            <w:t xml:space="preserve">nancial accelerator in a quantitative business cycle framework. </w:t>
          </w:r>
          <w:r w:rsidRPr="00C00819">
            <w:rPr>
              <w:rFonts w:cs="Times New Roman"/>
              <w:b/>
              <w:bCs/>
              <w:noProof/>
              <w:lang w:val="en-US"/>
            </w:rPr>
            <w:t>Taylor, J., Woodford, M. (Eds.)</w:t>
          </w:r>
          <w:r w:rsidRPr="00C00819">
            <w:rPr>
              <w:rFonts w:cs="Times New Roman"/>
              <w:noProof/>
              <w:lang w:val="en-US"/>
            </w:rPr>
            <w:t>. Handbook of Macroeconomics</w:t>
          </w:r>
          <w:r w:rsidR="00896151" w:rsidRPr="00C00819">
            <w:rPr>
              <w:rFonts w:cs="Times New Roman"/>
              <w:noProof/>
              <w:lang w:val="en-US"/>
            </w:rPr>
            <w:t>,</w:t>
          </w:r>
          <w:r w:rsidR="00CD7CE3" w:rsidRPr="00C00819">
            <w:rPr>
              <w:rFonts w:cs="Times New Roman"/>
              <w:noProof/>
              <w:lang w:val="en-US"/>
            </w:rPr>
            <w:t xml:space="preserve"> </w:t>
          </w:r>
          <w:r w:rsidR="00896151" w:rsidRPr="00C00819">
            <w:rPr>
              <w:rFonts w:cs="Times New Roman"/>
              <w:noProof/>
              <w:lang w:val="en-US"/>
            </w:rPr>
            <w:t>v.</w:t>
          </w:r>
          <w:r w:rsidR="00CD7CE3" w:rsidRPr="00C00819">
            <w:rPr>
              <w:rFonts w:cs="Times New Roman"/>
              <w:noProof/>
              <w:lang w:val="en-US"/>
            </w:rPr>
            <w:t xml:space="preserve"> 1, Part C, </w:t>
          </w:r>
          <w:r w:rsidR="00896151" w:rsidRPr="00C00819">
            <w:rPr>
              <w:rFonts w:cs="Times New Roman"/>
              <w:noProof/>
              <w:lang w:val="en-US"/>
            </w:rPr>
            <w:t xml:space="preserve">p. 1341-1393, </w:t>
          </w:r>
          <w:r w:rsidR="00CD7CE3" w:rsidRPr="00C00819">
            <w:rPr>
              <w:rFonts w:cs="Times New Roman"/>
              <w:noProof/>
              <w:lang w:val="en-US"/>
            </w:rPr>
            <w:t xml:space="preserve">1999. </w:t>
          </w:r>
          <w:r w:rsidR="000630EC" w:rsidRPr="00C00819">
            <w:rPr>
              <w:rFonts w:cs="Times New Roman"/>
              <w:noProof/>
              <w:lang w:val="en-US"/>
            </w:rPr>
            <w:t xml:space="preserve">Disponivel em: </w:t>
          </w:r>
          <w:r w:rsidR="004B0DE4" w:rsidRPr="00C00819">
            <w:rPr>
              <w:rFonts w:cs="Times New Roman"/>
              <w:noProof/>
              <w:lang w:val="en-US"/>
            </w:rPr>
            <w:t>https://doi.org/10.1016/S1574-0048(99)10034-X</w:t>
          </w:r>
        </w:p>
        <w:p w14:paraId="7A457DAD" w14:textId="3257B426" w:rsidR="00AA65F0"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CALVO, G. A. Staggered Prices in a Utility-Maximizing Framework. </w:t>
          </w:r>
          <w:r w:rsidR="00FF49C6" w:rsidRPr="00C00819">
            <w:rPr>
              <w:rFonts w:cs="Times New Roman"/>
              <w:b/>
              <w:noProof/>
              <w:lang w:val="en-US"/>
            </w:rPr>
            <w:t>J</w:t>
          </w:r>
          <w:r w:rsidRPr="00C00819">
            <w:rPr>
              <w:rFonts w:cs="Times New Roman"/>
              <w:b/>
              <w:bCs/>
              <w:noProof/>
              <w:lang w:val="en-US"/>
            </w:rPr>
            <w:t>ournal of Monetary Economics</w:t>
          </w:r>
          <w:r w:rsidRPr="00C00819">
            <w:rPr>
              <w:rFonts w:cs="Times New Roman"/>
              <w:noProof/>
              <w:lang w:val="en-US"/>
            </w:rPr>
            <w:t>, v. 12, p. 383-398, 1983.</w:t>
          </w:r>
          <w:r w:rsidR="00AA65F0" w:rsidRPr="00C00819">
            <w:rPr>
              <w:rFonts w:cs="Times New Roman"/>
              <w:noProof/>
              <w:lang w:val="en-US"/>
            </w:rPr>
            <w:t xml:space="preserve"> </w:t>
          </w:r>
          <w:r w:rsidR="009808FD" w:rsidRPr="00C00819">
            <w:rPr>
              <w:rFonts w:cs="Times New Roman"/>
              <w:noProof/>
              <w:lang w:val="en-US"/>
            </w:rPr>
            <w:t>Dispon</w:t>
          </w:r>
          <w:r w:rsidR="00321657" w:rsidRPr="00C00819">
            <w:rPr>
              <w:rFonts w:cs="Times New Roman"/>
              <w:noProof/>
              <w:lang w:val="en-US"/>
            </w:rPr>
            <w:t>ível em: https://doi.org/10.1016/0304-3932(83)90060-0</w:t>
          </w:r>
        </w:p>
        <w:p w14:paraId="7A457DAE" w14:textId="3CDF5A98" w:rsidR="00AA65F0"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CARLSTROM, C.; FUERST, T. Agency costs, Net Worth, and Business Fluctuations: a Computable General Equilibrium Analysis. </w:t>
          </w:r>
          <w:r w:rsidR="00B44329" w:rsidRPr="00C00819">
            <w:rPr>
              <w:rFonts w:cs="Times New Roman"/>
              <w:b/>
              <w:noProof/>
              <w:lang w:val="en-US"/>
            </w:rPr>
            <w:t xml:space="preserve">The </w:t>
          </w:r>
          <w:r w:rsidRPr="00C00819">
            <w:rPr>
              <w:rFonts w:cs="Times New Roman"/>
              <w:b/>
              <w:bCs/>
              <w:noProof/>
              <w:lang w:val="en-US"/>
            </w:rPr>
            <w:t>American Economic Review</w:t>
          </w:r>
          <w:r w:rsidRPr="00C00819">
            <w:rPr>
              <w:rFonts w:cs="Times New Roman"/>
              <w:noProof/>
              <w:lang w:val="en-US"/>
            </w:rPr>
            <w:t>, v. 87, p. 893-910, 1997.</w:t>
          </w:r>
          <w:r w:rsidR="0054364E" w:rsidRPr="00C00819">
            <w:rPr>
              <w:rFonts w:cs="Times New Roman"/>
              <w:noProof/>
              <w:lang w:val="en-US"/>
            </w:rPr>
            <w:t xml:space="preserve"> Disponível em: http://www.jstor.org/stable/2951331</w:t>
          </w:r>
        </w:p>
        <w:p w14:paraId="7A457DAF" w14:textId="1AC6CF3F" w:rsidR="00AA65F0"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CARVALHO, J.; DIVINO, J. A.; ORRILLO, J. Default and bankruptcy in an entrepreneurial economy with incomplete markets. </w:t>
          </w:r>
          <w:r w:rsidRPr="00C00819">
            <w:rPr>
              <w:rFonts w:cs="Times New Roman"/>
              <w:b/>
              <w:bCs/>
              <w:noProof/>
              <w:lang w:val="en-US"/>
            </w:rPr>
            <w:t xml:space="preserve">Journal of Banking &amp; Finance </w:t>
          </w:r>
          <w:r w:rsidRPr="00C00819">
            <w:rPr>
              <w:rFonts w:cs="Times New Roman"/>
              <w:noProof/>
              <w:lang w:val="en-US"/>
            </w:rPr>
            <w:t>, v. 37, p. 2162–2172, 2013.</w:t>
          </w:r>
          <w:r w:rsidR="00513EC3" w:rsidRPr="00C00819">
            <w:rPr>
              <w:rFonts w:cs="Times New Roman"/>
              <w:noProof/>
              <w:lang w:val="en-US"/>
            </w:rPr>
            <w:t xml:space="preserve"> Disponível em: https://doi.org/10.1016/j.jbankfin.2012.06.009</w:t>
          </w:r>
        </w:p>
        <w:p w14:paraId="7A457DB0" w14:textId="341D6F21" w:rsidR="00AA65F0" w:rsidRPr="00C00819" w:rsidRDefault="00C82468" w:rsidP="005A6870">
          <w:pPr>
            <w:pStyle w:val="Bibliografia"/>
            <w:spacing w:after="0" w:line="240" w:lineRule="auto"/>
            <w:ind w:left="567" w:hanging="567"/>
            <w:jc w:val="both"/>
            <w:rPr>
              <w:rFonts w:cs="Times New Roman"/>
              <w:noProof/>
            </w:rPr>
          </w:pPr>
          <w:r w:rsidRPr="00C00819">
            <w:rPr>
              <w:rFonts w:cs="Times New Roman"/>
              <w:noProof/>
            </w:rPr>
            <w:t xml:space="preserve">CASTRO, M. R. et al. </w:t>
          </w:r>
          <w:r w:rsidRPr="00C00819">
            <w:rPr>
              <w:rFonts w:cs="Times New Roman"/>
              <w:b/>
              <w:bCs/>
              <w:noProof/>
              <w:lang w:val="en-US"/>
            </w:rPr>
            <w:t>SAMBA:</w:t>
          </w:r>
          <w:r w:rsidRPr="00C00819">
            <w:rPr>
              <w:rFonts w:cs="Times New Roman"/>
              <w:noProof/>
              <w:lang w:val="en-US"/>
            </w:rPr>
            <w:t xml:space="preserve"> Stochastic Analytical Model with a Bayesian Approach. </w:t>
          </w:r>
          <w:r w:rsidRPr="00C00819">
            <w:rPr>
              <w:rFonts w:cs="Times New Roman"/>
              <w:noProof/>
            </w:rPr>
            <w:t>Banco Central do Brasil - Working Paper Series n. 239. 2011.</w:t>
          </w:r>
          <w:r w:rsidR="001B3716" w:rsidRPr="00C00819">
            <w:rPr>
              <w:rFonts w:cs="Times New Roman"/>
              <w:noProof/>
            </w:rPr>
            <w:t xml:space="preserve"> Disponível em: https://www.bcb.gov.br/pec/wps/ingl/wps239.pdf</w:t>
          </w:r>
        </w:p>
        <w:p w14:paraId="7A457DB1" w14:textId="0263F67E" w:rsidR="00AA65F0"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CHRISTENSEN, I.; DIB, A. The Financial Accelerator in an Estimated New Keynesian model. </w:t>
          </w:r>
          <w:r w:rsidRPr="00C00819">
            <w:rPr>
              <w:rFonts w:cs="Times New Roman"/>
              <w:b/>
              <w:bCs/>
              <w:noProof/>
              <w:lang w:val="en-US"/>
            </w:rPr>
            <w:t>Review of Economic Dynamics</w:t>
          </w:r>
          <w:r w:rsidRPr="00C00819">
            <w:rPr>
              <w:rFonts w:cs="Times New Roman"/>
              <w:noProof/>
              <w:lang w:val="en-US"/>
            </w:rPr>
            <w:t>, v. 11, p. 155-178, 2008.</w:t>
          </w:r>
          <w:r w:rsidR="00C745D9" w:rsidRPr="00C00819">
            <w:rPr>
              <w:rFonts w:cs="Times New Roman"/>
              <w:noProof/>
              <w:lang w:val="en-US"/>
            </w:rPr>
            <w:t xml:space="preserve"> Disponível em: </w:t>
          </w:r>
          <w:r w:rsidR="00EB5E7B" w:rsidRPr="00C00819">
            <w:rPr>
              <w:rFonts w:cs="Times New Roman"/>
              <w:noProof/>
              <w:lang w:val="en-US"/>
            </w:rPr>
            <w:t>https://doi.org/10.1016/j.red.2007.04.006</w:t>
          </w:r>
        </w:p>
        <w:p w14:paraId="7A457DB2" w14:textId="7397C0FD" w:rsidR="00C82468"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CHRISTIANO, L.; EICHENBAUM, M.; EVANS, C. Nominal Rigidities and the Dynamic Effects of a Shock to Monetary Policy. </w:t>
          </w:r>
          <w:r w:rsidRPr="00C00819">
            <w:rPr>
              <w:rFonts w:cs="Times New Roman"/>
              <w:b/>
              <w:bCs/>
              <w:noProof/>
              <w:lang w:val="en-US"/>
            </w:rPr>
            <w:t>Journal of Political Economy</w:t>
          </w:r>
          <w:r w:rsidRPr="00C00819">
            <w:rPr>
              <w:rFonts w:cs="Times New Roman"/>
              <w:noProof/>
              <w:lang w:val="en-US"/>
            </w:rPr>
            <w:t xml:space="preserve">, </w:t>
          </w:r>
          <w:r w:rsidR="001D76AB" w:rsidRPr="00C00819">
            <w:rPr>
              <w:rFonts w:cs="Times New Roman"/>
              <w:noProof/>
              <w:lang w:val="en-US"/>
            </w:rPr>
            <w:t xml:space="preserve">v. 113, </w:t>
          </w:r>
          <w:r w:rsidRPr="00C00819">
            <w:rPr>
              <w:rFonts w:cs="Times New Roman"/>
              <w:noProof/>
              <w:lang w:val="en-US"/>
            </w:rPr>
            <w:t>p. 1–45, 2005.</w:t>
          </w:r>
          <w:r w:rsidR="007D2838" w:rsidRPr="00C00819">
            <w:rPr>
              <w:rFonts w:cs="Times New Roman"/>
              <w:noProof/>
              <w:lang w:val="en-US"/>
            </w:rPr>
            <w:t xml:space="preserve"> Disponível em: http://www.jstor.org/stable/10.1086/426038</w:t>
          </w:r>
        </w:p>
        <w:p w14:paraId="00F28A6F" w14:textId="77777777" w:rsidR="00A70A4A" w:rsidRPr="00C00819" w:rsidRDefault="00C82468" w:rsidP="005A6870">
          <w:pPr>
            <w:pStyle w:val="Bibliografia"/>
            <w:spacing w:after="0" w:line="240" w:lineRule="auto"/>
            <w:ind w:left="567" w:hanging="567"/>
            <w:jc w:val="both"/>
            <w:rPr>
              <w:rFonts w:cs="Times New Roman"/>
              <w:noProof/>
            </w:rPr>
          </w:pPr>
          <w:r w:rsidRPr="00C00819">
            <w:rPr>
              <w:rFonts w:cs="Times New Roman"/>
              <w:noProof/>
            </w:rPr>
            <w:t>CONSELHO MONETÁRIO NACIONAL. Resolução CMN n. 3454 de maio/2007</w:t>
          </w:r>
          <w:r w:rsidR="00AA65F0" w:rsidRPr="00C00819">
            <w:rPr>
              <w:rFonts w:cs="Times New Roman"/>
              <w:noProof/>
            </w:rPr>
            <w:t>.</w:t>
          </w:r>
          <w:r w:rsidR="008F4058" w:rsidRPr="00C00819">
            <w:rPr>
              <w:rFonts w:cs="Times New Roman"/>
              <w:noProof/>
            </w:rPr>
            <w:t xml:space="preserve"> Disponível em: </w:t>
          </w:r>
          <w:r w:rsidR="00A70A4A" w:rsidRPr="00C00819">
            <w:rPr>
              <w:rFonts w:cs="Times New Roman"/>
              <w:noProof/>
            </w:rPr>
            <w:t>https://www.bcb.gov.br/pre/normativos/busca/normativo.asp?tipo=Res&amp;ano=2007&amp;numero=3454</w:t>
          </w:r>
        </w:p>
        <w:p w14:paraId="7A457DB4" w14:textId="15A1F2F6" w:rsidR="00AA65F0"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CÚRDIA, V.; WOODFORD., M. Credit Spreads and Monetary Policy. </w:t>
          </w:r>
          <w:r w:rsidRPr="00C00819">
            <w:rPr>
              <w:rFonts w:cs="Times New Roman"/>
              <w:b/>
              <w:bCs/>
              <w:noProof/>
              <w:lang w:val="en-US"/>
            </w:rPr>
            <w:t>Journal of Money Credit and Banking</w:t>
          </w:r>
          <w:r w:rsidRPr="00C00819">
            <w:rPr>
              <w:rFonts w:cs="Times New Roman"/>
              <w:noProof/>
              <w:lang w:val="en-US"/>
            </w:rPr>
            <w:t>, v. 42, p. 3-35, 2010.</w:t>
          </w:r>
          <w:r w:rsidR="00266823" w:rsidRPr="00C00819">
            <w:rPr>
              <w:rFonts w:cs="Times New Roman"/>
              <w:noProof/>
              <w:lang w:val="en-US"/>
            </w:rPr>
            <w:t xml:space="preserve"> Disponível em: https://doi.org/10.1111/j.1538-4616.2010.00328.x</w:t>
          </w:r>
        </w:p>
        <w:p w14:paraId="7A457DB5" w14:textId="63F3D0C0" w:rsidR="00AA65F0"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DE GRAEVE, F. The External Finance Premium and the Macroeconomy: US Post-WWII Evidence. </w:t>
          </w:r>
          <w:r w:rsidRPr="00C00819">
            <w:rPr>
              <w:rFonts w:cs="Times New Roman"/>
              <w:b/>
              <w:bCs/>
              <w:noProof/>
              <w:lang w:val="en-US"/>
            </w:rPr>
            <w:t>Journal of Economic Dynamics and Control</w:t>
          </w:r>
          <w:r w:rsidRPr="00C00819">
            <w:rPr>
              <w:rFonts w:cs="Times New Roman"/>
              <w:noProof/>
              <w:lang w:val="en-US"/>
            </w:rPr>
            <w:t>, v. 32, p. 3415-3440, 2008.</w:t>
          </w:r>
          <w:r w:rsidR="006727E2" w:rsidRPr="00C00819">
            <w:rPr>
              <w:rFonts w:cs="Times New Roman"/>
              <w:noProof/>
              <w:lang w:val="en-US"/>
            </w:rPr>
            <w:t xml:space="preserve"> Disponível em: https://doi.org/10.1016/j.jedc.2008.02.008</w:t>
          </w:r>
        </w:p>
        <w:p w14:paraId="7A457DB6" w14:textId="01B5BB56" w:rsidR="005A6870"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FAIA, E.; MONACELLI, T. Optimal interest rate rules, asset prices, and credit frictions. </w:t>
          </w:r>
          <w:r w:rsidRPr="00C00819">
            <w:rPr>
              <w:rFonts w:cs="Times New Roman"/>
              <w:b/>
              <w:bCs/>
              <w:noProof/>
              <w:lang w:val="en-US"/>
            </w:rPr>
            <w:t>Journal of Economic Dynamics &amp; Contro</w:t>
          </w:r>
          <w:r w:rsidR="00DD7A5A" w:rsidRPr="00C00819">
            <w:rPr>
              <w:rFonts w:cs="Times New Roman"/>
              <w:b/>
              <w:bCs/>
              <w:noProof/>
              <w:lang w:val="en-US"/>
            </w:rPr>
            <w:t>l</w:t>
          </w:r>
          <w:r w:rsidRPr="00C00819">
            <w:rPr>
              <w:rFonts w:cs="Times New Roman"/>
              <w:noProof/>
              <w:lang w:val="en-US"/>
            </w:rPr>
            <w:t xml:space="preserve">, </w:t>
          </w:r>
          <w:r w:rsidR="00DD7A5A" w:rsidRPr="00C00819">
            <w:rPr>
              <w:rFonts w:cs="Times New Roman"/>
              <w:noProof/>
              <w:lang w:val="en-US"/>
            </w:rPr>
            <w:t xml:space="preserve">v. </w:t>
          </w:r>
          <w:r w:rsidR="007E4FB3" w:rsidRPr="00C00819">
            <w:rPr>
              <w:rFonts w:cs="Times New Roman"/>
              <w:noProof/>
              <w:lang w:val="en-US"/>
            </w:rPr>
            <w:t xml:space="preserve">31, </w:t>
          </w:r>
          <w:r w:rsidRPr="00C00819">
            <w:rPr>
              <w:rFonts w:cs="Times New Roman"/>
              <w:noProof/>
              <w:lang w:val="en-US"/>
            </w:rPr>
            <w:t>p. 3228–325</w:t>
          </w:r>
          <w:r w:rsidR="007E4FB3" w:rsidRPr="00C00819">
            <w:rPr>
              <w:rFonts w:cs="Times New Roman"/>
              <w:noProof/>
              <w:lang w:val="en-US"/>
            </w:rPr>
            <w:t>4</w:t>
          </w:r>
          <w:r w:rsidRPr="00C00819">
            <w:rPr>
              <w:rFonts w:cs="Times New Roman"/>
              <w:noProof/>
              <w:lang w:val="en-US"/>
            </w:rPr>
            <w:t>, 2007.</w:t>
          </w:r>
          <w:r w:rsidR="00DD7A5A" w:rsidRPr="00C00819">
            <w:rPr>
              <w:rFonts w:cs="Times New Roman"/>
              <w:noProof/>
              <w:lang w:val="en-US"/>
            </w:rPr>
            <w:t xml:space="preserve"> Disponível em: https://doi.org/10.1016/j.jedc.2006.11.006</w:t>
          </w:r>
        </w:p>
        <w:p w14:paraId="7A457DB7" w14:textId="77777777" w:rsidR="005A6870"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FREIXAS, X.; ROCHET, J.-C. </w:t>
          </w:r>
          <w:r w:rsidRPr="00C00819">
            <w:rPr>
              <w:rFonts w:cs="Times New Roman"/>
              <w:b/>
              <w:bCs/>
              <w:noProof/>
              <w:lang w:val="en-US"/>
            </w:rPr>
            <w:t>Microeconomics of Banking</w:t>
          </w:r>
          <w:r w:rsidRPr="00C00819">
            <w:rPr>
              <w:rFonts w:cs="Times New Roman"/>
              <w:noProof/>
              <w:lang w:val="en-US"/>
            </w:rPr>
            <w:t>. Segunda Edição. ed. Cambridge, Massachusetts: The MIT Press, 2008.</w:t>
          </w:r>
        </w:p>
        <w:p w14:paraId="0B1DAFE8" w14:textId="77777777" w:rsidR="0000493D"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GALÍ, J.; MONACELLI, T. Monetary Policy and Exchange Rate Volatility in a Small Open Economy</w:t>
          </w:r>
          <w:r w:rsidR="005C6F96" w:rsidRPr="00C00819">
            <w:rPr>
              <w:rFonts w:cs="Times New Roman"/>
              <w:noProof/>
              <w:lang w:val="en-US"/>
            </w:rPr>
            <w:t>.</w:t>
          </w:r>
          <w:r w:rsidR="005C6F96" w:rsidRPr="00C00819">
            <w:rPr>
              <w:rFonts w:cs="Times New Roman"/>
              <w:b/>
              <w:noProof/>
              <w:lang w:val="en-US"/>
            </w:rPr>
            <w:t xml:space="preserve"> Review of Economic Studies</w:t>
          </w:r>
          <w:r w:rsidRPr="00C00819">
            <w:rPr>
              <w:rFonts w:cs="Times New Roman"/>
              <w:noProof/>
              <w:lang w:val="en-US"/>
            </w:rPr>
            <w:t>, v. 72, p. 707–734, 2005.</w:t>
          </w:r>
          <w:r w:rsidR="00735062" w:rsidRPr="00C00819">
            <w:rPr>
              <w:rFonts w:cs="Times New Roman"/>
              <w:noProof/>
              <w:lang w:val="en-US"/>
            </w:rPr>
            <w:t xml:space="preserve"> Disponível em:</w:t>
          </w:r>
          <w:r w:rsidR="0000493D" w:rsidRPr="00C00819">
            <w:rPr>
              <w:rFonts w:cs="Times New Roman"/>
              <w:noProof/>
              <w:lang w:val="en-US"/>
            </w:rPr>
            <w:t xml:space="preserve"> https://doi.org/10.1111/j.1467-937X.2005.00349.x</w:t>
          </w:r>
        </w:p>
        <w:p w14:paraId="7A457DB9" w14:textId="3266B7C3" w:rsidR="005A6870" w:rsidRPr="00C00819" w:rsidRDefault="00735062"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 </w:t>
          </w:r>
          <w:r w:rsidR="00C82468" w:rsidRPr="00C00819">
            <w:rPr>
              <w:rFonts w:cs="Times New Roman"/>
              <w:noProof/>
              <w:lang w:val="en-US"/>
            </w:rPr>
            <w:t xml:space="preserve">GERALI, A. et al. Credit and Banking in a DSGE Model of the Euro Area. </w:t>
          </w:r>
          <w:r w:rsidR="001D0E42" w:rsidRPr="00C00819">
            <w:rPr>
              <w:rFonts w:cs="Times New Roman"/>
              <w:b/>
              <w:bCs/>
              <w:noProof/>
              <w:lang w:val="en-US"/>
            </w:rPr>
            <w:t>Journal of Money, Credit and Banking,</w:t>
          </w:r>
          <w:r w:rsidR="00C82468" w:rsidRPr="00C00819">
            <w:rPr>
              <w:rFonts w:cs="Times New Roman"/>
              <w:noProof/>
              <w:lang w:val="en-US"/>
            </w:rPr>
            <w:t xml:space="preserve"> v. 42, p. 107-141, 2010.</w:t>
          </w:r>
          <w:r w:rsidR="00A33F30" w:rsidRPr="00C00819">
            <w:rPr>
              <w:rFonts w:cs="Times New Roman"/>
              <w:noProof/>
              <w:lang w:val="en-US"/>
            </w:rPr>
            <w:t xml:space="preserve"> Disponível em: </w:t>
          </w:r>
          <w:r w:rsidR="00995D4D" w:rsidRPr="00C00819">
            <w:rPr>
              <w:rFonts w:cs="Times New Roman"/>
              <w:noProof/>
              <w:lang w:val="en-US"/>
            </w:rPr>
            <w:t>https://doi.org/10.1111/j.1538-4616.2010.00331.x</w:t>
          </w:r>
        </w:p>
        <w:p w14:paraId="7A457DBA" w14:textId="336F0C96" w:rsidR="005A6870"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GERTLER, M.; KARADI, P. A model of unconventional monetary policy. </w:t>
          </w:r>
          <w:r w:rsidRPr="00C00819">
            <w:rPr>
              <w:rFonts w:cs="Times New Roman"/>
              <w:b/>
              <w:bCs/>
              <w:noProof/>
              <w:lang w:val="en-US"/>
            </w:rPr>
            <w:t>Journal of Monetary Economics</w:t>
          </w:r>
          <w:r w:rsidRPr="00C00819">
            <w:rPr>
              <w:rFonts w:cs="Times New Roman"/>
              <w:noProof/>
              <w:lang w:val="en-US"/>
            </w:rPr>
            <w:t>, v. 58, p. 17–34, 2011.</w:t>
          </w:r>
          <w:r w:rsidR="00092D9A" w:rsidRPr="00C00819">
            <w:rPr>
              <w:rFonts w:cs="Times New Roman"/>
              <w:noProof/>
              <w:lang w:val="en-US"/>
            </w:rPr>
            <w:t xml:space="preserve"> Disponível em: https://doi.org/10.1016/j.jmoneco.2010.10.004</w:t>
          </w:r>
        </w:p>
        <w:p w14:paraId="7A457DBB" w14:textId="2E2A747F" w:rsidR="005A6870"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KILEY, M. T.; SIM, J. W. Bank capital and the macroeconomy: Policy considerations. </w:t>
          </w:r>
          <w:r w:rsidRPr="00C00819">
            <w:rPr>
              <w:rFonts w:cs="Times New Roman"/>
              <w:b/>
              <w:bCs/>
              <w:noProof/>
              <w:lang w:val="en-US"/>
            </w:rPr>
            <w:t>Journal of Economic Dynamics &amp; Control</w:t>
          </w:r>
          <w:r w:rsidRPr="00C00819">
            <w:rPr>
              <w:rFonts w:cs="Times New Roman"/>
              <w:noProof/>
              <w:lang w:val="en-US"/>
            </w:rPr>
            <w:t>, v. 43, p. 175–198, 2014.</w:t>
          </w:r>
          <w:r w:rsidR="00586233" w:rsidRPr="00C00819">
            <w:rPr>
              <w:rFonts w:cs="Times New Roman"/>
              <w:noProof/>
              <w:lang w:val="en-US"/>
            </w:rPr>
            <w:t xml:space="preserve"> Disponível em: </w:t>
          </w:r>
          <w:r w:rsidR="008B3494" w:rsidRPr="00C00819">
            <w:rPr>
              <w:rFonts w:cs="Times New Roman"/>
              <w:noProof/>
              <w:lang w:val="en-US"/>
            </w:rPr>
            <w:t>https://doi.org/10.1016/j.jedc.2014.01.024</w:t>
          </w:r>
        </w:p>
        <w:p w14:paraId="7A457DBC" w14:textId="104C3DA4" w:rsidR="005A6870" w:rsidRPr="00C00819" w:rsidRDefault="00C82468" w:rsidP="005A6870">
          <w:pPr>
            <w:pStyle w:val="Bibliografia"/>
            <w:spacing w:after="0" w:line="240" w:lineRule="auto"/>
            <w:ind w:left="567" w:hanging="567"/>
            <w:jc w:val="both"/>
            <w:rPr>
              <w:rFonts w:cs="Times New Roman"/>
              <w:noProof/>
            </w:rPr>
          </w:pPr>
          <w:r w:rsidRPr="00C00819">
            <w:rPr>
              <w:rFonts w:cs="Times New Roman"/>
              <w:noProof/>
              <w:lang w:val="en-US"/>
            </w:rPr>
            <w:lastRenderedPageBreak/>
            <w:t xml:space="preserve">KIYOTAKI, N.; MOORE, J. Credit cycles. </w:t>
          </w:r>
          <w:r w:rsidRPr="00C00819">
            <w:rPr>
              <w:rFonts w:cs="Times New Roman"/>
              <w:b/>
              <w:bCs/>
              <w:noProof/>
              <w:lang w:val="en-US"/>
            </w:rPr>
            <w:t>Journal of Political Economy</w:t>
          </w:r>
          <w:r w:rsidRPr="00C00819">
            <w:rPr>
              <w:rFonts w:cs="Times New Roman"/>
              <w:noProof/>
              <w:lang w:val="en-US"/>
            </w:rPr>
            <w:t>, v. 105, p. 211-248, 1997.</w:t>
          </w:r>
          <w:r w:rsidR="003A6F1F" w:rsidRPr="00C00819">
            <w:rPr>
              <w:rFonts w:cs="Times New Roman"/>
              <w:noProof/>
              <w:lang w:val="en-US"/>
            </w:rPr>
            <w:t xml:space="preserve"> </w:t>
          </w:r>
          <w:r w:rsidR="003A6F1F" w:rsidRPr="00C00819">
            <w:rPr>
              <w:rFonts w:cs="Times New Roman"/>
              <w:noProof/>
            </w:rPr>
            <w:t>Disponível em: http://www.jstor.org/stable/10.1086/262072</w:t>
          </w:r>
        </w:p>
        <w:p w14:paraId="7A457DBD" w14:textId="693B9E2A" w:rsidR="005A6870"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rPr>
            <w:t xml:space="preserve">KORNELIUS, A.; DIVINO, J. A. Política Monetária e Compulsório em um Modelo DSGE com Fricções Financeiras. </w:t>
          </w:r>
          <w:r w:rsidRPr="00C00819">
            <w:rPr>
              <w:rFonts w:cs="Times New Roman"/>
              <w:b/>
              <w:bCs/>
              <w:noProof/>
              <w:lang w:val="en-US"/>
            </w:rPr>
            <w:t>Economia Aplicada</w:t>
          </w:r>
          <w:r w:rsidR="005A6870" w:rsidRPr="00C00819">
            <w:rPr>
              <w:rFonts w:cs="Times New Roman"/>
              <w:noProof/>
              <w:lang w:val="en-US"/>
            </w:rPr>
            <w:t>, v. 20, 2015</w:t>
          </w:r>
          <w:r w:rsidRPr="00C00819">
            <w:rPr>
              <w:rFonts w:cs="Times New Roman"/>
              <w:noProof/>
              <w:lang w:val="en-US"/>
            </w:rPr>
            <w:t>.</w:t>
          </w:r>
          <w:r w:rsidR="009B70AC" w:rsidRPr="00C00819">
            <w:rPr>
              <w:rFonts w:cs="Times New Roman"/>
              <w:noProof/>
              <w:lang w:val="en-US"/>
            </w:rPr>
            <w:t xml:space="preserve"> Disponível em: </w:t>
          </w:r>
          <w:r w:rsidR="002E39C0" w:rsidRPr="00C00819">
            <w:rPr>
              <w:rFonts w:cs="Times New Roman"/>
              <w:noProof/>
              <w:lang w:val="en-US"/>
            </w:rPr>
            <w:t>http://dx.doi.org/10.11606/1413-8050/ea126946</w:t>
          </w:r>
          <w:r w:rsidR="00E93FEA" w:rsidRPr="00C00819">
            <w:rPr>
              <w:rFonts w:cs="Times New Roman"/>
              <w:noProof/>
              <w:lang w:val="en-US"/>
            </w:rPr>
            <w:t xml:space="preserve"> </w:t>
          </w:r>
        </w:p>
        <w:p w14:paraId="7A457DBE" w14:textId="130A25E0" w:rsidR="005A6870"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KWAAK, C. G. F. V. D.; WIJNBERGEN, S. J. G. V. Financial fragility, sovereign default risk and the limits to commercial bank bail-outs. </w:t>
          </w:r>
          <w:r w:rsidRPr="00C00819">
            <w:rPr>
              <w:rFonts w:cs="Times New Roman"/>
              <w:b/>
              <w:bCs/>
              <w:noProof/>
              <w:lang w:val="en-US"/>
            </w:rPr>
            <w:t>Journal of Economic Dynamics &amp; Control</w:t>
          </w:r>
          <w:r w:rsidRPr="00C00819">
            <w:rPr>
              <w:rFonts w:cs="Times New Roman"/>
              <w:noProof/>
              <w:lang w:val="en-US"/>
            </w:rPr>
            <w:t>, v. 43, p. 218–240, 2014.</w:t>
          </w:r>
          <w:r w:rsidR="003A611E" w:rsidRPr="00C00819">
            <w:rPr>
              <w:rFonts w:cs="Times New Roman"/>
              <w:noProof/>
              <w:lang w:val="en-US"/>
            </w:rPr>
            <w:t xml:space="preserve"> Disponível em: https://doi.org/10.1016/j.jedc.2014.03.011</w:t>
          </w:r>
        </w:p>
        <w:p w14:paraId="3148DED5" w14:textId="2F1E3DC6" w:rsidR="0012595A" w:rsidRPr="00C00819" w:rsidRDefault="00C82468" w:rsidP="0012595A">
          <w:pPr>
            <w:pStyle w:val="Bibliografia"/>
            <w:spacing w:after="0" w:line="240" w:lineRule="auto"/>
            <w:ind w:left="567" w:hanging="567"/>
            <w:jc w:val="both"/>
            <w:rPr>
              <w:rFonts w:cs="Times New Roman"/>
              <w:noProof/>
            </w:rPr>
          </w:pPr>
          <w:r w:rsidRPr="00C00819">
            <w:rPr>
              <w:rFonts w:cs="Times New Roman"/>
              <w:noProof/>
              <w:lang w:val="en-US"/>
            </w:rPr>
            <w:t xml:space="preserve">MARINS, J. T. M.; NEVES, M. B. E. D. </w:t>
          </w:r>
          <w:r w:rsidRPr="00C00819">
            <w:rPr>
              <w:rFonts w:cs="Times New Roman"/>
              <w:b/>
              <w:bCs/>
              <w:noProof/>
              <w:lang w:val="en-US"/>
            </w:rPr>
            <w:t>Credit Default and Business Cycles:</w:t>
          </w:r>
          <w:r w:rsidRPr="00C00819">
            <w:rPr>
              <w:rFonts w:cs="Times New Roman"/>
              <w:noProof/>
              <w:lang w:val="en-US"/>
            </w:rPr>
            <w:t xml:space="preserve"> an investigation of this relationship in the Brazilian corporate credit market. </w:t>
          </w:r>
          <w:r w:rsidRPr="00C00819">
            <w:rPr>
              <w:rFonts w:cs="Times New Roman"/>
              <w:noProof/>
            </w:rPr>
            <w:t>Banco Central do Brasil Working Paper n. 304. 2013.</w:t>
          </w:r>
          <w:r w:rsidR="004823B0" w:rsidRPr="00C00819">
            <w:rPr>
              <w:rFonts w:cs="Times New Roman"/>
              <w:noProof/>
            </w:rPr>
            <w:t xml:space="preserve"> Disponível em: </w:t>
          </w:r>
          <w:r w:rsidR="0012595A" w:rsidRPr="00C00819">
            <w:rPr>
              <w:rFonts w:cs="Times New Roman"/>
              <w:noProof/>
            </w:rPr>
            <w:t>https://www.bcb.gov.br/pec/wps/ingl/wps304.pdf</w:t>
          </w:r>
        </w:p>
        <w:p w14:paraId="7A457DC0" w14:textId="14E80655" w:rsidR="005A6870"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MISHKIN, F. S. Symposium on the Monetary Transmission Mechanism. </w:t>
          </w:r>
          <w:r w:rsidRPr="00C00819">
            <w:rPr>
              <w:rFonts w:cs="Times New Roman"/>
              <w:b/>
              <w:bCs/>
              <w:noProof/>
              <w:lang w:val="en-US"/>
            </w:rPr>
            <w:t>Journal of Economic Perspectives</w:t>
          </w:r>
          <w:r w:rsidRPr="00C00819">
            <w:rPr>
              <w:rFonts w:cs="Times New Roman"/>
              <w:noProof/>
              <w:lang w:val="en-US"/>
            </w:rPr>
            <w:t>. v. 9, n.4, p. 3-10, 1995.</w:t>
          </w:r>
          <w:r w:rsidR="00F41E53" w:rsidRPr="00C00819">
            <w:rPr>
              <w:rFonts w:cs="Times New Roman"/>
              <w:noProof/>
              <w:lang w:val="en-US"/>
            </w:rPr>
            <w:t xml:space="preserve"> Disponível em: http://www.jstor.org/stable/2138387</w:t>
          </w:r>
        </w:p>
        <w:p w14:paraId="7A457DC1" w14:textId="048CE3C7" w:rsidR="005A6870" w:rsidRPr="00C00819" w:rsidRDefault="00C82468" w:rsidP="005A6870">
          <w:pPr>
            <w:pStyle w:val="Bibliografia"/>
            <w:spacing w:after="0" w:line="240" w:lineRule="auto"/>
            <w:ind w:left="567" w:hanging="567"/>
            <w:jc w:val="both"/>
            <w:rPr>
              <w:rFonts w:cs="Times New Roman"/>
              <w:noProof/>
            </w:rPr>
          </w:pPr>
          <w:r w:rsidRPr="00C00819">
            <w:rPr>
              <w:rFonts w:cs="Times New Roman"/>
              <w:noProof/>
              <w:lang w:val="en-US"/>
            </w:rPr>
            <w:t xml:space="preserve">MONTORO, C.; TOVAR, C. </w:t>
          </w:r>
          <w:r w:rsidRPr="00C00819">
            <w:rPr>
              <w:rFonts w:cs="Times New Roman"/>
              <w:b/>
              <w:bCs/>
              <w:noProof/>
              <w:lang w:val="en-US"/>
            </w:rPr>
            <w:t>Macroprudential tools:</w:t>
          </w:r>
          <w:r w:rsidRPr="00C00819">
            <w:rPr>
              <w:rFonts w:cs="Times New Roman"/>
              <w:noProof/>
              <w:lang w:val="en-US"/>
            </w:rPr>
            <w:t xml:space="preserve"> Assessing the implications of reserve requirements in a dsge model. </w:t>
          </w:r>
          <w:r w:rsidR="0041354B" w:rsidRPr="006C30CC">
            <w:rPr>
              <w:rFonts w:cs="Times New Roman"/>
              <w:noProof/>
            </w:rPr>
            <w:t xml:space="preserve">XXVIII Encuentro de Economistas BCRP, </w:t>
          </w:r>
          <w:r w:rsidRPr="006C30CC">
            <w:rPr>
              <w:rFonts w:cs="Times New Roman"/>
              <w:noProof/>
            </w:rPr>
            <w:t>2010.</w:t>
          </w:r>
          <w:r w:rsidR="003A15F2" w:rsidRPr="006C30CC">
            <w:rPr>
              <w:rFonts w:cs="Times New Roman"/>
              <w:noProof/>
            </w:rPr>
            <w:t xml:space="preserve"> </w:t>
          </w:r>
          <w:r w:rsidR="003A15F2" w:rsidRPr="00C00819">
            <w:rPr>
              <w:rFonts w:cs="Times New Roman"/>
              <w:noProof/>
            </w:rPr>
            <w:t>Disponível em:</w:t>
          </w:r>
          <w:r w:rsidR="001D51CA" w:rsidRPr="00C00819">
            <w:rPr>
              <w:rFonts w:cs="Times New Roman"/>
            </w:rPr>
            <w:t xml:space="preserve"> </w:t>
          </w:r>
          <w:r w:rsidR="001D51CA" w:rsidRPr="00C00819">
            <w:rPr>
              <w:rFonts w:cs="Times New Roman"/>
              <w:noProof/>
            </w:rPr>
            <w:t>http://www.bcrp.gob.pe/docs/Proyeccion-Institucional/Encuentro-de-Economistas/EE-2010-XXVIII/EE-2010-D2-Montoro.pdf</w:t>
          </w:r>
        </w:p>
        <w:p w14:paraId="7A457DC2" w14:textId="4DA3DE80" w:rsidR="005A6870" w:rsidRPr="00C00819" w:rsidRDefault="00C82468" w:rsidP="005A6870">
          <w:pPr>
            <w:pStyle w:val="Bibliografia"/>
            <w:spacing w:after="0" w:line="240" w:lineRule="auto"/>
            <w:ind w:left="567" w:hanging="567"/>
            <w:jc w:val="both"/>
            <w:rPr>
              <w:rFonts w:cs="Times New Roman"/>
              <w:noProof/>
            </w:rPr>
          </w:pPr>
          <w:r w:rsidRPr="00C00819">
            <w:rPr>
              <w:rFonts w:cs="Times New Roman"/>
              <w:noProof/>
              <w:lang w:val="en-US"/>
            </w:rPr>
            <w:t xml:space="preserve">NICKELL, S. Biases in Dynamic Models with Fixed Effects. </w:t>
          </w:r>
          <w:r w:rsidRPr="00C00819">
            <w:rPr>
              <w:rFonts w:cs="Times New Roman"/>
              <w:b/>
              <w:bCs/>
              <w:noProof/>
            </w:rPr>
            <w:t>Econometrica</w:t>
          </w:r>
          <w:r w:rsidRPr="00C00819">
            <w:rPr>
              <w:rFonts w:cs="Times New Roman"/>
              <w:noProof/>
            </w:rPr>
            <w:t>. v. 49, n. 6, p. 1417-1426. 1981.</w:t>
          </w:r>
          <w:r w:rsidR="006C21E0" w:rsidRPr="00C00819">
            <w:rPr>
              <w:rFonts w:cs="Times New Roman"/>
              <w:noProof/>
            </w:rPr>
            <w:t xml:space="preserve"> Disponível em: http://www.jstor.org/stable/1911408</w:t>
          </w:r>
        </w:p>
        <w:p w14:paraId="7A457DC3" w14:textId="54EB7FA7" w:rsidR="00C82468"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SILVA, M. S. D.; DIVINO, J. A. The role of banking regulation in an economy under credit risk and liquidity shock. </w:t>
          </w:r>
          <w:r w:rsidR="006A6F50" w:rsidRPr="00C00819">
            <w:rPr>
              <w:rFonts w:cs="Times New Roman"/>
              <w:b/>
              <w:noProof/>
              <w:lang w:val="en-US"/>
            </w:rPr>
            <w:t xml:space="preserve">The </w:t>
          </w:r>
          <w:r w:rsidRPr="00C00819">
            <w:rPr>
              <w:rFonts w:cs="Times New Roman"/>
              <w:b/>
              <w:bCs/>
              <w:noProof/>
              <w:lang w:val="en-US"/>
            </w:rPr>
            <w:t>North American Journal of Economics and Finance</w:t>
          </w:r>
          <w:r w:rsidRPr="00C00819">
            <w:rPr>
              <w:rFonts w:cs="Times New Roman"/>
              <w:noProof/>
              <w:lang w:val="en-US"/>
            </w:rPr>
            <w:t>, 2013.</w:t>
          </w:r>
          <w:r w:rsidR="00EA15B0" w:rsidRPr="00C00819">
            <w:rPr>
              <w:rFonts w:cs="Times New Roman"/>
              <w:noProof/>
              <w:lang w:val="en-US"/>
            </w:rPr>
            <w:t xml:space="preserve"> Disponível em: </w:t>
          </w:r>
          <w:r w:rsidR="00A827AF" w:rsidRPr="00C00819">
            <w:rPr>
              <w:rFonts w:cs="Times New Roman"/>
              <w:noProof/>
              <w:lang w:val="en-US"/>
            </w:rPr>
            <w:t>https://doi.org/10.1016/j.najef.2013.02.005</w:t>
          </w:r>
        </w:p>
        <w:p w14:paraId="7A457DC4" w14:textId="3F3CA2BD" w:rsidR="005A6870" w:rsidRPr="00C00819" w:rsidRDefault="00C82468" w:rsidP="005A6870">
          <w:pPr>
            <w:pStyle w:val="Bibliografia"/>
            <w:spacing w:after="0" w:line="240" w:lineRule="auto"/>
            <w:ind w:left="567" w:hanging="567"/>
            <w:jc w:val="both"/>
            <w:rPr>
              <w:rFonts w:cs="Times New Roman"/>
              <w:noProof/>
            </w:rPr>
          </w:pPr>
          <w:r w:rsidRPr="00C00819">
            <w:rPr>
              <w:rFonts w:cs="Times New Roman"/>
              <w:noProof/>
              <w:lang w:val="en-US"/>
            </w:rPr>
            <w:t xml:space="preserve">SILVEIRA, M. A. C. </w:t>
          </w:r>
          <w:r w:rsidRPr="00C00819">
            <w:rPr>
              <w:rFonts w:cs="Times New Roman"/>
              <w:b/>
              <w:bCs/>
              <w:noProof/>
              <w:lang w:val="en-US"/>
            </w:rPr>
            <w:t>A Small Open Economy as a Limit Case of a Two-Country New</w:t>
          </w:r>
          <w:r w:rsidR="005A6870" w:rsidRPr="00C00819">
            <w:rPr>
              <w:rFonts w:cs="Times New Roman"/>
              <w:b/>
              <w:bCs/>
              <w:noProof/>
              <w:lang w:val="en-US"/>
            </w:rPr>
            <w:t xml:space="preserve"> </w:t>
          </w:r>
          <w:r w:rsidRPr="00C00819">
            <w:rPr>
              <w:rFonts w:cs="Times New Roman"/>
              <w:b/>
              <w:bCs/>
              <w:noProof/>
              <w:lang w:val="en-US"/>
            </w:rPr>
            <w:t>Keynesian DSGE Model:</w:t>
          </w:r>
          <w:r w:rsidRPr="00C00819">
            <w:rPr>
              <w:rFonts w:cs="Times New Roman"/>
              <w:noProof/>
              <w:lang w:val="en-US"/>
            </w:rPr>
            <w:t xml:space="preserve"> A Bayesian Estimation with Brazilian Data. </w:t>
          </w:r>
          <w:r w:rsidRPr="00C00819">
            <w:rPr>
              <w:rFonts w:cs="Times New Roman"/>
              <w:noProof/>
            </w:rPr>
            <w:t>Instituto de Pesquisa</w:t>
          </w:r>
          <w:r w:rsidR="005A6870" w:rsidRPr="00C00819">
            <w:rPr>
              <w:rFonts w:cs="Times New Roman"/>
              <w:noProof/>
            </w:rPr>
            <w:t xml:space="preserve"> </w:t>
          </w:r>
          <w:r w:rsidRPr="00C00819">
            <w:rPr>
              <w:rFonts w:cs="Times New Roman"/>
              <w:noProof/>
            </w:rPr>
            <w:t>Econômica Aplicada - Discussion Paper no 1</w:t>
          </w:r>
          <w:r w:rsidR="00165A1F" w:rsidRPr="00C00819">
            <w:rPr>
              <w:rFonts w:cs="Times New Roman"/>
              <w:noProof/>
            </w:rPr>
            <w:t>7</w:t>
          </w:r>
          <w:r w:rsidRPr="00C00819">
            <w:rPr>
              <w:rFonts w:cs="Times New Roman"/>
              <w:noProof/>
            </w:rPr>
            <w:t>5. 2006.</w:t>
          </w:r>
          <w:r w:rsidR="00165A1F" w:rsidRPr="00C00819">
            <w:rPr>
              <w:rFonts w:cs="Times New Roman"/>
              <w:noProof/>
            </w:rPr>
            <w:t xml:space="preserve"> Disponível em: </w:t>
          </w:r>
          <w:r w:rsidR="00E61F3D" w:rsidRPr="00C00819">
            <w:rPr>
              <w:rFonts w:cs="Times New Roman"/>
              <w:noProof/>
            </w:rPr>
            <w:t>http://ipea.gov.br/portal/images/stories/PDFs/TDs/ingles/dp_175.pdf</w:t>
          </w:r>
        </w:p>
        <w:p w14:paraId="7A457DC5" w14:textId="319AA6B3" w:rsidR="005A6870"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SMETS, F.; WOUTERS, R. An Estimated Dynamic Stochastic General Equilibrium Model of the Euro Area. </w:t>
          </w:r>
          <w:r w:rsidRPr="00C00819">
            <w:rPr>
              <w:rFonts w:cs="Times New Roman"/>
              <w:b/>
              <w:bCs/>
              <w:noProof/>
              <w:lang w:val="en-US"/>
            </w:rPr>
            <w:t>Journal of the European Economic Association</w:t>
          </w:r>
          <w:r w:rsidRPr="00C00819">
            <w:rPr>
              <w:rFonts w:cs="Times New Roman"/>
              <w:noProof/>
              <w:lang w:val="en-US"/>
            </w:rPr>
            <w:t xml:space="preserve">, </w:t>
          </w:r>
          <w:r w:rsidR="00730A5B" w:rsidRPr="00C00819">
            <w:rPr>
              <w:rFonts w:cs="Times New Roman"/>
              <w:noProof/>
              <w:lang w:val="en-US"/>
            </w:rPr>
            <w:t xml:space="preserve">v.1, </w:t>
          </w:r>
          <w:r w:rsidRPr="00C00819">
            <w:rPr>
              <w:rFonts w:cs="Times New Roman"/>
              <w:noProof/>
              <w:lang w:val="en-US"/>
            </w:rPr>
            <w:t>p. 1123–1175, 2003.</w:t>
          </w:r>
          <w:r w:rsidR="00D756D5" w:rsidRPr="00C00819">
            <w:rPr>
              <w:rFonts w:cs="Times New Roman"/>
              <w:noProof/>
              <w:lang w:val="en-US"/>
            </w:rPr>
            <w:t xml:space="preserve"> Disponível em: https://doi.org/10.1162/154247603770383415</w:t>
          </w:r>
        </w:p>
        <w:p w14:paraId="7A457DC6" w14:textId="511AFEFB" w:rsidR="005A6870" w:rsidRPr="00C00819" w:rsidRDefault="00C82468" w:rsidP="005A6870">
          <w:pPr>
            <w:pStyle w:val="Bibliografia"/>
            <w:spacing w:after="0" w:line="240" w:lineRule="auto"/>
            <w:ind w:left="567" w:hanging="567"/>
            <w:jc w:val="both"/>
            <w:rPr>
              <w:rFonts w:cs="Times New Roman"/>
              <w:noProof/>
            </w:rPr>
          </w:pPr>
          <w:r w:rsidRPr="00C00819">
            <w:rPr>
              <w:rFonts w:cs="Times New Roman"/>
              <w:noProof/>
            </w:rPr>
            <w:t xml:space="preserve">SOUZA, G. J. D. G. E. </w:t>
          </w:r>
          <w:r w:rsidRPr="00C00819">
            <w:rPr>
              <w:rFonts w:cs="Times New Roman"/>
              <w:b/>
              <w:bCs/>
              <w:noProof/>
            </w:rPr>
            <w:t>A Interação entre a Dinâmica Macroeconômica e os Bancos:</w:t>
          </w:r>
          <w:r w:rsidRPr="00C00819">
            <w:rPr>
              <w:rFonts w:cs="Times New Roman"/>
              <w:noProof/>
            </w:rPr>
            <w:t xml:space="preserve"> uma Perspectiva acerca do Risco de Crédito. Dissertação de Mestrado pela Universidade Federal Fluminense.</w:t>
          </w:r>
          <w:r w:rsidR="003B249C" w:rsidRPr="00C00819">
            <w:rPr>
              <w:rFonts w:cs="Times New Roman"/>
              <w:noProof/>
            </w:rPr>
            <w:t xml:space="preserve"> </w:t>
          </w:r>
          <w:r w:rsidR="00731814" w:rsidRPr="00C00819">
            <w:rPr>
              <w:rFonts w:cs="Times New Roman"/>
              <w:noProof/>
            </w:rPr>
            <w:t>Disponível em: http://www.cpgeconomia.uff.br/novosite/arquivos/tese/2007-gustavo_guimaraes.pdf</w:t>
          </w:r>
        </w:p>
        <w:p w14:paraId="7A457DC7" w14:textId="2C40BEA1" w:rsidR="005A6870"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TABAK, B. M.; GOMES, G. M. R.; MEDEIROS JR., M. D. S. The impact of market power at bank level in risk-taking: The Brazilian case. </w:t>
          </w:r>
          <w:r w:rsidRPr="00C00819">
            <w:rPr>
              <w:rFonts w:cs="Times New Roman"/>
              <w:b/>
              <w:bCs/>
              <w:noProof/>
              <w:lang w:val="en-US"/>
            </w:rPr>
            <w:t>International Review of Financial Analysis</w:t>
          </w:r>
          <w:r w:rsidRPr="00C00819">
            <w:rPr>
              <w:rFonts w:cs="Times New Roman"/>
              <w:noProof/>
              <w:lang w:val="en-US"/>
            </w:rPr>
            <w:t>, v. 40, p. 154–165, 2015.</w:t>
          </w:r>
          <w:r w:rsidR="00D96FE0" w:rsidRPr="00C00819">
            <w:rPr>
              <w:rFonts w:cs="Times New Roman"/>
              <w:noProof/>
              <w:lang w:val="en-US"/>
            </w:rPr>
            <w:t xml:space="preserve"> Disponível em: https://doi.org/10.1016/j.irfa.2015.05.014</w:t>
          </w:r>
        </w:p>
        <w:p w14:paraId="7A457DC8" w14:textId="505BA641" w:rsidR="005A6870" w:rsidRPr="00C00819" w:rsidRDefault="00C82468" w:rsidP="005A6870">
          <w:pPr>
            <w:pStyle w:val="Bibliografia"/>
            <w:spacing w:after="0" w:line="240" w:lineRule="auto"/>
            <w:ind w:left="567" w:hanging="567"/>
            <w:jc w:val="both"/>
            <w:rPr>
              <w:rFonts w:cs="Times New Roman"/>
              <w:noProof/>
              <w:lang w:val="en-US"/>
            </w:rPr>
          </w:pPr>
          <w:r w:rsidRPr="00C00819">
            <w:rPr>
              <w:rFonts w:cs="Times New Roman"/>
              <w:noProof/>
              <w:lang w:val="en-US"/>
            </w:rPr>
            <w:t xml:space="preserve">TAKAMURA, T. </w:t>
          </w:r>
          <w:r w:rsidRPr="00C00819">
            <w:rPr>
              <w:rFonts w:cs="Times New Roman"/>
              <w:b/>
              <w:bCs/>
              <w:noProof/>
              <w:lang w:val="en-US"/>
            </w:rPr>
            <w:t>A General Equilibrium Model with Banks and Default on Loans</w:t>
          </w:r>
          <w:r w:rsidRPr="00C00819">
            <w:rPr>
              <w:rFonts w:cs="Times New Roman"/>
              <w:noProof/>
              <w:lang w:val="en-US"/>
            </w:rPr>
            <w:t>. Bank of Canada Working Paper 2013. 2013.</w:t>
          </w:r>
          <w:r w:rsidR="005A2771" w:rsidRPr="00C00819">
            <w:rPr>
              <w:rFonts w:cs="Times New Roman"/>
              <w:noProof/>
              <w:lang w:val="en-US"/>
            </w:rPr>
            <w:t xml:space="preserve"> Disponível em: https://www.bankofcanada.ca/wp-content/uploads/2013/01/wp2013-03.pdf</w:t>
          </w:r>
        </w:p>
        <w:p w14:paraId="7A457DC9" w14:textId="2D9D7CBD" w:rsidR="005A6870" w:rsidRPr="00C00819" w:rsidRDefault="00C82468" w:rsidP="005A6870">
          <w:pPr>
            <w:pStyle w:val="Bibliografia"/>
            <w:spacing w:after="0" w:line="240" w:lineRule="auto"/>
            <w:ind w:left="567" w:hanging="567"/>
            <w:jc w:val="both"/>
            <w:rPr>
              <w:rFonts w:cs="Times New Roman"/>
              <w:noProof/>
            </w:rPr>
          </w:pPr>
          <w:r w:rsidRPr="00C00819">
            <w:rPr>
              <w:rFonts w:cs="Times New Roman"/>
              <w:noProof/>
              <w:lang w:val="en-US"/>
            </w:rPr>
            <w:t xml:space="preserve">VALLI, M.; CARVALHO, F. </w:t>
          </w:r>
          <w:r w:rsidRPr="00C00819">
            <w:rPr>
              <w:rFonts w:cs="Times New Roman"/>
              <w:b/>
              <w:bCs/>
              <w:noProof/>
              <w:lang w:val="en-US"/>
            </w:rPr>
            <w:t>Fiscal and monetary policy interaction:</w:t>
          </w:r>
          <w:r w:rsidRPr="00C00819">
            <w:rPr>
              <w:rFonts w:cs="Times New Roman"/>
              <w:noProof/>
              <w:lang w:val="en-US"/>
            </w:rPr>
            <w:t xml:space="preserve"> a simulation based analysis of a two-country New Keynesian DSGE model with heterogeneous households. </w:t>
          </w:r>
          <w:r w:rsidRPr="00C00819">
            <w:rPr>
              <w:rFonts w:cs="Times New Roman"/>
              <w:noProof/>
            </w:rPr>
            <w:t>Banco Central do Brasil - Working Paper Series n. 204. 2010.</w:t>
          </w:r>
          <w:r w:rsidR="00C33E2A" w:rsidRPr="00C00819">
            <w:rPr>
              <w:rFonts w:cs="Times New Roman"/>
              <w:noProof/>
            </w:rPr>
            <w:t xml:space="preserve"> Disponível em: https://www.bcb.gov.br/pec/wps/ingl/wps204.pdf</w:t>
          </w:r>
        </w:p>
        <w:p w14:paraId="7A457DCA" w14:textId="70F6E36F" w:rsidR="005A6870" w:rsidRPr="00C00819" w:rsidRDefault="00C82468" w:rsidP="005A6870">
          <w:pPr>
            <w:pStyle w:val="Bibliografia"/>
            <w:spacing w:after="0" w:line="240" w:lineRule="auto"/>
            <w:ind w:left="567" w:hanging="567"/>
            <w:jc w:val="both"/>
            <w:rPr>
              <w:rFonts w:cs="Times New Roman"/>
              <w:noProof/>
            </w:rPr>
          </w:pPr>
          <w:r w:rsidRPr="00C00819">
            <w:rPr>
              <w:rFonts w:cs="Times New Roman"/>
              <w:noProof/>
              <w:lang w:val="en-US"/>
            </w:rPr>
            <w:t xml:space="preserve">VALLI, M.; CARVALHO, F. </w:t>
          </w:r>
          <w:r w:rsidRPr="00C00819">
            <w:rPr>
              <w:rFonts w:cs="Times New Roman"/>
              <w:b/>
              <w:bCs/>
              <w:noProof/>
              <w:lang w:val="en-US"/>
            </w:rPr>
            <w:t>Fiscal Policy in Brazil through the Lens of an Estimated DSGE model</w:t>
          </w:r>
          <w:r w:rsidRPr="00C00819">
            <w:rPr>
              <w:rFonts w:cs="Times New Roman"/>
              <w:noProof/>
              <w:lang w:val="en-US"/>
            </w:rPr>
            <w:t xml:space="preserve">. </w:t>
          </w:r>
          <w:r w:rsidRPr="00C00819">
            <w:rPr>
              <w:rFonts w:cs="Times New Roman"/>
              <w:noProof/>
            </w:rPr>
            <w:t>Banco Central do Brasil - Working Paper n. 240. 2011.</w:t>
          </w:r>
          <w:r w:rsidR="007519AB" w:rsidRPr="00C00819">
            <w:rPr>
              <w:rFonts w:cs="Times New Roman"/>
              <w:noProof/>
            </w:rPr>
            <w:t xml:space="preserve"> Disponível em: https://www.bcb.gov.br/pec/wps/ingl/wps240.pdf</w:t>
          </w:r>
        </w:p>
        <w:p w14:paraId="7A457DCB" w14:textId="72E7ED39" w:rsidR="001847A4" w:rsidRPr="00C00819" w:rsidRDefault="00C82468" w:rsidP="005A6870">
          <w:pPr>
            <w:pStyle w:val="Bibliografia"/>
            <w:spacing w:after="0" w:line="240" w:lineRule="auto"/>
            <w:ind w:left="567" w:hanging="567"/>
            <w:jc w:val="both"/>
            <w:rPr>
              <w:rFonts w:cs="Times New Roman"/>
            </w:rPr>
          </w:pPr>
          <w:r w:rsidRPr="00C00819">
            <w:rPr>
              <w:rFonts w:cs="Times New Roman"/>
              <w:noProof/>
              <w:lang w:val="en-US"/>
            </w:rPr>
            <w:t xml:space="preserve">WALQUE, G. D.; PIERRARD, O.; ROUABAH, A. </w:t>
          </w:r>
          <w:r w:rsidRPr="00C00819">
            <w:rPr>
              <w:rFonts w:cs="Times New Roman"/>
              <w:b/>
              <w:bCs/>
              <w:noProof/>
              <w:lang w:val="en-US"/>
            </w:rPr>
            <w:t>Financial (in)stability, supervision and liquidity injections:</w:t>
          </w:r>
          <w:r w:rsidRPr="00C00819">
            <w:rPr>
              <w:rFonts w:cs="Times New Roman"/>
              <w:noProof/>
              <w:lang w:val="en-US"/>
            </w:rPr>
            <w:t xml:space="preserve"> a dynamic general equilibrium approach. </w:t>
          </w:r>
          <w:r w:rsidRPr="00C00819">
            <w:rPr>
              <w:rFonts w:cs="Times New Roman"/>
              <w:noProof/>
            </w:rPr>
            <w:t>Institut de RecherchesÉconomiques et Sociales de l’Universitécatholique de Louvain - Discussion Paper</w:t>
          </w:r>
          <w:r w:rsidR="009731B1" w:rsidRPr="00C00819">
            <w:rPr>
              <w:rFonts w:cs="Times New Roman"/>
              <w:noProof/>
            </w:rPr>
            <w:t xml:space="preserve"> DP7202</w:t>
          </w:r>
          <w:r w:rsidRPr="00C00819">
            <w:rPr>
              <w:rFonts w:cs="Times New Roman"/>
              <w:noProof/>
            </w:rPr>
            <w:t xml:space="preserve"> 2009.</w:t>
          </w:r>
          <w:r w:rsidR="001847A4" w:rsidRPr="00C00819">
            <w:rPr>
              <w:rFonts w:cs="Times New Roman"/>
              <w:b/>
              <w:bCs/>
              <w:highlight w:val="green"/>
            </w:rPr>
            <w:fldChar w:fldCharType="end"/>
          </w:r>
          <w:r w:rsidR="002A3707" w:rsidRPr="00C00819">
            <w:rPr>
              <w:rFonts w:cs="Times New Roman"/>
              <w:b/>
              <w:bCs/>
            </w:rPr>
            <w:t xml:space="preserve"> </w:t>
          </w:r>
          <w:r w:rsidR="002A3707" w:rsidRPr="00C00819">
            <w:rPr>
              <w:rFonts w:cs="Times New Roman"/>
              <w:bCs/>
            </w:rPr>
            <w:t>Disponível em: https://papers.ssrn.com/sol3/papers.cfm?abstract_id=1356431</w:t>
          </w:r>
        </w:p>
      </w:sdtContent>
    </w:sdt>
    <w:sectPr w:rsidR="001847A4" w:rsidRPr="00C00819" w:rsidSect="006C30CC">
      <w:footnotePr>
        <w:numRestart w:val="eachSect"/>
      </w:footnotePr>
      <w:type w:val="continuous"/>
      <w:pgSz w:w="11906" w:h="16838" w:code="9"/>
      <w:pgMar w:top="1134" w:right="851" w:bottom="1134" w:left="85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17EE5" w14:textId="77777777" w:rsidR="0094409B" w:rsidRDefault="0094409B" w:rsidP="001847A4">
      <w:r>
        <w:separator/>
      </w:r>
    </w:p>
  </w:endnote>
  <w:endnote w:type="continuationSeparator" w:id="0">
    <w:p w14:paraId="05A85395" w14:textId="77777777" w:rsidR="0094409B" w:rsidRDefault="0094409B" w:rsidP="00184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CDA86" w14:textId="77777777" w:rsidR="0094409B" w:rsidRDefault="0094409B" w:rsidP="001847A4">
      <w:r>
        <w:separator/>
      </w:r>
    </w:p>
  </w:footnote>
  <w:footnote w:type="continuationSeparator" w:id="0">
    <w:p w14:paraId="244CE4A5" w14:textId="77777777" w:rsidR="0094409B" w:rsidRDefault="0094409B" w:rsidP="001847A4">
      <w:r>
        <w:continuationSeparator/>
      </w:r>
    </w:p>
  </w:footnote>
  <w:footnote w:id="1">
    <w:p w14:paraId="3042335E" w14:textId="0E72D66E" w:rsidR="003C3838" w:rsidRDefault="003C3838" w:rsidP="00D869C7">
      <w:pPr>
        <w:pStyle w:val="Textodenotaderodap"/>
        <w:spacing w:after="0" w:line="240" w:lineRule="auto"/>
      </w:pPr>
      <w:r>
        <w:rPr>
          <w:rStyle w:val="Refdenotaderodap"/>
        </w:rPr>
        <w:footnoteRef/>
      </w:r>
      <w:r>
        <w:t xml:space="preserve"> </w:t>
      </w:r>
      <w:r w:rsidR="00330367">
        <w:t>Doutora em Economia pela Universidade Católica de Brasília (UCB). Funcionária da Caixa Econômica Federal. E-mail: fernanda.d.almeida@caixa.gov.br.</w:t>
      </w:r>
    </w:p>
  </w:footnote>
  <w:footnote w:id="2">
    <w:p w14:paraId="13191C07" w14:textId="4B1912FF" w:rsidR="00330367" w:rsidRDefault="00330367" w:rsidP="00D869C7">
      <w:pPr>
        <w:pStyle w:val="Textodenotaderodap"/>
        <w:spacing w:after="0" w:line="240" w:lineRule="auto"/>
      </w:pPr>
      <w:r>
        <w:rPr>
          <w:rStyle w:val="Refdenotaderodap"/>
        </w:rPr>
        <w:footnoteRef/>
      </w:r>
      <w:r>
        <w:t xml:space="preserve"> </w:t>
      </w:r>
      <w:r w:rsidR="00D869C7" w:rsidRPr="007C5DC4">
        <w:t xml:space="preserve">Ph.D. em Economia pela Boston </w:t>
      </w:r>
      <w:proofErr w:type="spellStart"/>
      <w:r w:rsidR="00D869C7" w:rsidRPr="007C5DC4">
        <w:t>University</w:t>
      </w:r>
      <w:proofErr w:type="spellEnd"/>
      <w:r w:rsidR="00D869C7" w:rsidRPr="007C5DC4">
        <w:t>, Estados Unidos. Programa de Pós-Graduação em Economia da Universidade Católica de Brasília</w:t>
      </w:r>
      <w:r w:rsidR="00D869C7">
        <w:t xml:space="preserve"> (UCB)</w:t>
      </w:r>
      <w:r w:rsidR="00D869C7" w:rsidRPr="007C5DC4">
        <w:t>. E-mail: jangelo@pos.ucb.br</w:t>
      </w:r>
    </w:p>
  </w:footnote>
  <w:footnote w:id="3">
    <w:p w14:paraId="7A457DF4" w14:textId="77777777" w:rsidR="00F15019" w:rsidRPr="003262C3" w:rsidRDefault="00F15019" w:rsidP="00A748EA">
      <w:pPr>
        <w:pStyle w:val="Textodenotaderodap"/>
        <w:spacing w:after="0" w:line="240" w:lineRule="auto"/>
        <w:jc w:val="both"/>
        <w:rPr>
          <w:rFonts w:cs="Times New Roman"/>
        </w:rPr>
      </w:pPr>
      <w:r w:rsidRPr="003262C3">
        <w:rPr>
          <w:rStyle w:val="Refdenotaderodap"/>
          <w:rFonts w:cs="Times New Roman"/>
        </w:rPr>
        <w:footnoteRef/>
      </w:r>
      <w:r w:rsidRPr="003262C3">
        <w:rPr>
          <w:rFonts w:cs="Times New Roman"/>
        </w:rPr>
        <w:t xml:space="preserve"> Seja </w:t>
      </w:r>
      <m:oMath>
        <m:r>
          <w:rPr>
            <w:rFonts w:ascii="Cambria Math" w:hAnsi="Cambria Math" w:cs="Times New Roman"/>
          </w:rPr>
          <m:t>0&lt;</m:t>
        </m:r>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t</m:t>
            </m:r>
          </m:sub>
        </m:sSub>
        <m:r>
          <w:rPr>
            <w:rFonts w:ascii="Cambria Math" w:hAnsi="Cambria Math" w:cs="Times New Roman"/>
          </w:rPr>
          <m:t>&lt;1</m:t>
        </m:r>
      </m:oMath>
      <w:r w:rsidRPr="003262C3">
        <w:rPr>
          <w:rFonts w:cs="Times New Roman"/>
        </w:rPr>
        <w:t xml:space="preserve"> 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RRt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RR</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Pr="003262C3">
        <w:rPr>
          <w:rFonts w:cs="Times New Roman"/>
        </w:rPr>
        <w:t xml:space="preserve"> onde </w:t>
      </w:r>
      <m:oMath>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RR</m:t>
            </m:r>
          </m:sub>
        </m:sSub>
        <m:r>
          <w:rPr>
            <w:rFonts w:ascii="Cambria Math" w:hAnsi="Cambria Math" w:cs="Times New Roman"/>
          </w:rPr>
          <m:t>≤1</m:t>
        </m:r>
      </m:oMath>
      <w:r w:rsidRPr="003262C3">
        <w:rPr>
          <w:rFonts w:cs="Times New Roman"/>
        </w:rPr>
        <w:t xml:space="preserve">, então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t</m:t>
                </m:r>
              </m:sub>
            </m:sSub>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RR,t+1</m:t>
            </m:r>
          </m:sub>
        </m:sSub>
        <m:r>
          <w:rPr>
            <w:rFonts w:ascii="Cambria Math" w:hAnsi="Cambria Math" w:cs="Times New Roman"/>
          </w:rPr>
          <m:t>)≥0</m:t>
        </m:r>
      </m:oMath>
      <w:r w:rsidRPr="003262C3">
        <w:rPr>
          <w:rFonts w:cs="Times New Roman"/>
        </w:rPr>
        <w:t>.</w:t>
      </w:r>
    </w:p>
  </w:footnote>
  <w:footnote w:id="4">
    <w:p w14:paraId="7A457DF5" w14:textId="77777777" w:rsidR="00F15019" w:rsidRPr="00385EFA" w:rsidRDefault="00F15019" w:rsidP="00C82468">
      <w:pPr>
        <w:pStyle w:val="Textodenotaderodap"/>
        <w:spacing w:after="0" w:line="240" w:lineRule="auto"/>
        <w:jc w:val="both"/>
        <w:rPr>
          <w:rFonts w:cs="Times New Roman"/>
        </w:rPr>
      </w:pPr>
      <w:r w:rsidRPr="00385EFA">
        <w:rPr>
          <w:rStyle w:val="Refdenotaderodap"/>
          <w:rFonts w:cs="Times New Roman"/>
        </w:rPr>
        <w:footnoteRef/>
      </w:r>
      <w:r w:rsidRPr="00385EFA">
        <w:rPr>
          <w:rFonts w:cs="Times New Roman"/>
        </w:rPr>
        <w:t xml:space="preserve"> Se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t</m:t>
            </m:r>
          </m:sub>
        </m:sSub>
        <m:r>
          <w:rPr>
            <w:rFonts w:ascii="Cambria Math" w:hAnsi="Cambria Math" w:cs="Times New Roman"/>
          </w:rPr>
          <m:t>&gt;0</m:t>
        </m:r>
      </m:oMath>
      <w:r w:rsidRPr="00385EFA">
        <w:rPr>
          <w:rFonts w:cs="Times New Roman"/>
        </w:rPr>
        <w:t xml:space="preserve"> 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RR</m:t>
            </m:r>
          </m:sub>
        </m:sSub>
      </m:oMath>
      <w:r>
        <w:rPr>
          <w:rFonts w:cs="Times New Roman"/>
        </w:rPr>
        <w:t xml:space="preserve">, então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t+1</m:t>
            </m:r>
          </m:sub>
          <m:sup>
            <m:r>
              <w:rPr>
                <w:rFonts w:ascii="Cambria Math" w:hAnsi="Cambria Math" w:cs="Times New Roman"/>
              </w:rPr>
              <m:t>*</m:t>
            </m:r>
          </m:sup>
        </m:sSubSup>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oMath>
      <w:r>
        <w:rPr>
          <w:rFonts w:cs="Times New Roman"/>
        </w:rPr>
        <w:t xml:space="preserve"> e o banco terá a remuneração dos ativos reduzida e a remuneração do capital próprio elevada conforme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jt+1</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kt+1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t+1</m:t>
                </m:r>
              </m:sub>
              <m:sup>
                <m:r>
                  <w:rPr>
                    <w:rFonts w:ascii="Cambria Math" w:hAnsi="Cambria Math" w:cs="Times New Roman"/>
                  </w:rPr>
                  <m:t>*</m:t>
                </m:r>
              </m:sup>
            </m:sSubSup>
            <m:ctrlPr>
              <w:rPr>
                <w:rFonts w:ascii="Cambria Math" w:hAnsi="Cambria Math" w:cs="Times New Roman"/>
                <w:i/>
                <w:iCs/>
              </w:rPr>
            </m:ctrlPr>
          </m:e>
        </m:d>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t</m:t>
            </m:r>
          </m:sub>
        </m:sSub>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jt</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t+1</m:t>
            </m:r>
          </m:sub>
          <m:sup>
            <m:r>
              <w:rPr>
                <w:rFonts w:ascii="Cambria Math" w:hAnsi="Cambria Math" w:cs="Times New Roman"/>
              </w:rPr>
              <m:t>*</m:t>
            </m:r>
          </m:sup>
        </m:sSubSup>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jt</m:t>
            </m:r>
          </m:sub>
        </m:sSub>
      </m:oMath>
      <w:r>
        <w:rPr>
          <w:rFonts w:cs="Times New Roman"/>
          <w:iCs/>
        </w:rPr>
        <w:t xml:space="preserve">. Assim, o banco pode preferir reduzir as concessões de crédito o que implica em um menor índice de alavancagem: </w:t>
      </w:r>
      <m:oMath>
        <m:sSub>
          <m:sSubPr>
            <m:ctrlPr>
              <w:rPr>
                <w:rFonts w:ascii="Cambria Math" w:hAnsi="Cambria Math" w:cs="Times New Roman"/>
                <w:i/>
              </w:rPr>
            </m:ctrlPr>
          </m:sSubPr>
          <m:e>
            <m:r>
              <w:rPr>
                <w:rFonts w:ascii="Cambria Math" w:hAnsi="Cambria Math" w:cs="Times New Roman"/>
              </w:rPr>
              <m:t>ф</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jt</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jt</m:t>
                </m:r>
              </m:sub>
            </m:sSub>
          </m:den>
        </m:f>
      </m:oMath>
      <w:r>
        <w:rPr>
          <w:rFonts w:cs="Times New Roman"/>
        </w:rPr>
        <w:t>.</w:t>
      </w:r>
    </w:p>
  </w:footnote>
  <w:footnote w:id="5">
    <w:p w14:paraId="7A457DF6" w14:textId="77777777" w:rsidR="00F15019" w:rsidRPr="009341D1" w:rsidRDefault="00F15019" w:rsidP="009341D1">
      <w:pPr>
        <w:pStyle w:val="Textodenotaderodap"/>
        <w:spacing w:after="0" w:line="240" w:lineRule="auto"/>
        <w:jc w:val="both"/>
      </w:pPr>
      <w:r w:rsidRPr="009341D1">
        <w:rPr>
          <w:rStyle w:val="Refdenotaderodap"/>
        </w:rPr>
        <w:footnoteRef/>
      </w:r>
      <w:r w:rsidRPr="009341D1">
        <w:t xml:space="preserve"> Para que a taxa de juros dos empréstimos possa ser obtida como solução do problema</w:t>
      </w:r>
      <w:r>
        <w:t xml:space="preserve">, considera-se que a firma adquire capital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Pr>
          <w:rFonts w:eastAsiaTheme="minorEastAsia"/>
        </w:rPr>
        <w:t xml:space="preserve"> em </w:t>
      </w:r>
      <m:oMath>
        <m:r>
          <w:rPr>
            <w:rFonts w:ascii="Cambria Math" w:eastAsiaTheme="minorEastAsia" w:hAnsi="Cambria Math"/>
          </w:rPr>
          <m:t>t</m:t>
        </m:r>
      </m:oMath>
      <w:r>
        <w:rPr>
          <w:rFonts w:eastAsiaTheme="minorEastAsia"/>
        </w:rPr>
        <w:t xml:space="preserve"> e o utiliza ainda em </w:t>
      </w:r>
      <m:oMath>
        <m:r>
          <w:rPr>
            <w:rFonts w:ascii="Cambria Math" w:eastAsiaTheme="minorEastAsia" w:hAnsi="Cambria Math"/>
          </w:rPr>
          <m:t>t</m:t>
        </m:r>
      </m:oMath>
      <w:r>
        <w:rPr>
          <w:rFonts w:eastAsiaTheme="minorEastAsia"/>
        </w:rPr>
        <w:t>.</w:t>
      </w:r>
    </w:p>
  </w:footnote>
  <w:footnote w:id="6">
    <w:p w14:paraId="7A457DF7" w14:textId="77777777" w:rsidR="00F15019" w:rsidRDefault="00F15019" w:rsidP="002B335C">
      <w:pPr>
        <w:pStyle w:val="Textodenotaderodap"/>
        <w:spacing w:after="0" w:line="240" w:lineRule="auto"/>
        <w:jc w:val="both"/>
      </w:pPr>
      <w:r>
        <w:rPr>
          <w:rStyle w:val="Refdenotaderodap"/>
        </w:rPr>
        <w:footnoteRef/>
      </w:r>
      <w:r>
        <w:t xml:space="preserve"> Para que fosse possível obter</w:t>
      </w:r>
      <w:r w:rsidRPr="009341D1">
        <w:t xml:space="preserve"> a taxa de juros dos empréstimos como solução do problema</w:t>
      </w:r>
      <w:r>
        <w:t xml:space="preserve">, a firma deve maximizar a quantidade de capital utilizado na produção, diferente do modelo original </w:t>
      </w:r>
      <w:r w:rsidRPr="0049507E">
        <w:t xml:space="preserve">de Gertler e Karadi (2011), </w:t>
      </w:r>
      <w:r>
        <w:t xml:space="preserve">no qual se </w:t>
      </w:r>
      <w:r w:rsidRPr="0049507E">
        <w:t xml:space="preserve">escolhe a quantidade de trabalho e a taxa de utilização do capital, </w:t>
      </w:r>
      <w:r w:rsidRPr="00F84B9B">
        <w:t xml:space="preserve">considerando que o capital disponível para a produção das ﬁrmas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Pr="00F84B9B">
        <w:t xml:space="preserve"> já está dado pelos empréstimos tomados no período anterior. Além disso, n</w:t>
      </w:r>
      <w:r w:rsidRPr="00F84B9B">
        <w:rPr>
          <w:lang w:val="pt-PT"/>
        </w:rPr>
        <w:t>essa modificação do modelo, a depreciação é um parâmetro fixo e não uma função.</w:t>
      </w:r>
    </w:p>
  </w:footnote>
  <w:footnote w:id="7">
    <w:p w14:paraId="7A457DF8" w14:textId="77777777" w:rsidR="00F15019" w:rsidRPr="00587E16" w:rsidRDefault="00F15019" w:rsidP="0025622C">
      <w:pPr>
        <w:pStyle w:val="Textodenotaderodap"/>
        <w:spacing w:after="0" w:line="240" w:lineRule="auto"/>
        <w:jc w:val="both"/>
      </w:pPr>
      <w:r>
        <w:rPr>
          <w:rStyle w:val="Refdenotaderodap"/>
        </w:rPr>
        <w:footnoteRef/>
      </w:r>
      <w:r>
        <w:t xml:space="preserve"> Na classificação de </w:t>
      </w:r>
      <w:r w:rsidRPr="00587E16">
        <w:t xml:space="preserve">crédito pelo </w:t>
      </w:r>
      <w:r w:rsidRPr="00587E16">
        <w:rPr>
          <w:i/>
        </w:rPr>
        <w:t xml:space="preserve">rating </w:t>
      </w:r>
      <w:r w:rsidRPr="00587E16">
        <w:t>AA não há exigência para constituir provisão para fazer face aos créditos de liquidação duvidosa.</w:t>
      </w:r>
    </w:p>
  </w:footnote>
  <w:footnote w:id="8">
    <w:p w14:paraId="7A457DF9" w14:textId="77777777" w:rsidR="00F15019" w:rsidRDefault="00F15019" w:rsidP="00BC15B6">
      <w:pPr>
        <w:pStyle w:val="Textodenotaderodap"/>
        <w:spacing w:after="0" w:line="240" w:lineRule="auto"/>
      </w:pPr>
      <w:r>
        <w:rPr>
          <w:rStyle w:val="Refdenotaderodap"/>
        </w:rPr>
        <w:footnoteRef/>
      </w:r>
      <w:r>
        <w:t xml:space="preserve"> </w:t>
      </w:r>
      <w:r w:rsidRPr="005D4BF1">
        <w:t xml:space="preserve">Outros trabalhos realizados para a economia brasileira, tais como </w:t>
      </w:r>
      <w:r w:rsidRPr="005D4BF1">
        <w:rPr>
          <w:noProof/>
        </w:rPr>
        <w:t xml:space="preserve">Kornelius e Divino (2015), Vasconcelos e Divino (2012) e Castro </w:t>
      </w:r>
      <w:r w:rsidRPr="005D4BF1">
        <w:rPr>
          <w:i/>
          <w:iCs/>
          <w:noProof/>
        </w:rPr>
        <w:t>et al.</w:t>
      </w:r>
      <w:r w:rsidRPr="005D4BF1">
        <w:rPr>
          <w:noProof/>
        </w:rPr>
        <w:t xml:space="preserve"> (2011)</w:t>
      </w:r>
      <w:r w:rsidRPr="005D4BF1">
        <w:t xml:space="preserve"> obtiveram resultados semelhantes.</w:t>
      </w:r>
    </w:p>
  </w:footnote>
  <w:footnote w:id="9">
    <w:p w14:paraId="7A457DFA" w14:textId="77777777" w:rsidR="00F15019" w:rsidRDefault="00F15019" w:rsidP="00BC15B6">
      <w:pPr>
        <w:pStyle w:val="Textodenotaderodap"/>
        <w:spacing w:after="0" w:line="240" w:lineRule="auto"/>
      </w:pPr>
      <w:r>
        <w:rPr>
          <w:rStyle w:val="Refdenotaderodap"/>
        </w:rPr>
        <w:footnoteRef/>
      </w:r>
      <w:r>
        <w:t xml:space="preserve"> A taxa de juros dos empréstimos é uma variável em expectativa, </w:t>
      </w:r>
      <w:r w:rsidRPr="00EC62E2">
        <w:t xml:space="preserve">pois </w:t>
      </w:r>
      <w:r w:rsidRPr="009D1924">
        <w:rPr>
          <w:rFonts w:cs="Times New Roman"/>
        </w:rPr>
        <w:t>os empréstimos são pós-fixados,</w:t>
      </w:r>
      <w:r w:rsidRPr="00EC62E2">
        <w:rPr>
          <w:rFonts w:cs="Times New Roman"/>
        </w:rPr>
        <w:t xml:space="preserve"> isto é, o valor efetivo da taxa de juros só é conhecido no período seguinte à concessão do crédito.</w:t>
      </w:r>
    </w:p>
  </w:footnote>
  <w:footnote w:id="10">
    <w:p w14:paraId="7A457DFB" w14:textId="77777777" w:rsidR="00F15019" w:rsidRPr="009A3514" w:rsidRDefault="00F15019" w:rsidP="003808E0">
      <w:pPr>
        <w:pStyle w:val="Textodenotaderodap"/>
        <w:jc w:val="both"/>
      </w:pPr>
      <w:r w:rsidRPr="00F40721">
        <w:rPr>
          <w:rStyle w:val="Refdenotaderodap"/>
        </w:rPr>
        <w:footnoteRef/>
      </w:r>
      <w:r w:rsidRPr="00F40721">
        <w:t xml:space="preserve"> Outros artigos como Silva e Divino (2013), Takamura (2013) e Marins e Neves (2013) também encontraram uma taxa de pagamento pró-cíclica, isto é, uma taxa de </w:t>
      </w:r>
      <w:r w:rsidRPr="00F40721">
        <w:rPr>
          <w:i/>
        </w:rPr>
        <w:t>default</w:t>
      </w:r>
      <w:r w:rsidRPr="00F40721">
        <w:t xml:space="preserve"> anticíclica.</w:t>
      </w:r>
      <w:r>
        <w:t xml:space="preserve"> </w:t>
      </w:r>
    </w:p>
  </w:footnote>
  <w:footnote w:id="11">
    <w:p w14:paraId="7A457DFC" w14:textId="77777777" w:rsidR="00F15019" w:rsidRDefault="00F15019" w:rsidP="0032013F">
      <w:pPr>
        <w:pStyle w:val="Textodenotaderodap"/>
        <w:spacing w:after="0" w:line="240" w:lineRule="auto"/>
      </w:pPr>
      <w:r>
        <w:rPr>
          <w:rStyle w:val="Refdenotaderodap"/>
        </w:rPr>
        <w:footnoteRef/>
      </w:r>
      <w:r>
        <w:t xml:space="preserve"> Foram realizadas simulações que consideram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RR</m:t>
            </m:r>
          </m:sub>
        </m:sSub>
        <m:r>
          <w:rPr>
            <w:rFonts w:ascii="Cambria Math" w:hAnsi="Cambria Math" w:cs="Times New Roman"/>
          </w:rPr>
          <m:t>=1</m:t>
        </m:r>
      </m:oMath>
      <w:r>
        <w:rPr>
          <w:rFonts w:eastAsiaTheme="minorEastAsia"/>
        </w:rPr>
        <w:t>. No entanto, as três alíquotas analisadas evidenciaram respostas idênticas frente ao choque na Política Monetária.</w:t>
      </w:r>
    </w:p>
  </w:footnote>
  <w:footnote w:id="12">
    <w:p w14:paraId="7A457DFD" w14:textId="77777777" w:rsidR="00F15019" w:rsidRDefault="00F15019" w:rsidP="0032013F">
      <w:pPr>
        <w:pStyle w:val="Textodenotaderodap"/>
        <w:spacing w:after="0" w:line="240" w:lineRule="auto"/>
      </w:pPr>
      <w:r w:rsidRPr="00774B61">
        <w:rPr>
          <w:rStyle w:val="Refdenotaderodap"/>
        </w:rPr>
        <w:footnoteRef/>
      </w:r>
      <w:r w:rsidRPr="00774B61">
        <w:t xml:space="preserve"> As alíquotas de 36% e 45% referem-se, respectivamente, aos valores utilizados atualmente, para os depósitos a prazo e à </w:t>
      </w:r>
      <w:r w:rsidRPr="001977AC">
        <w:t>vista. Já o valor de 10% refere-se à alíquota adicional do depósito a prazo.</w:t>
      </w:r>
    </w:p>
  </w:footnote>
  <w:footnote w:id="13">
    <w:p w14:paraId="7A457DFE" w14:textId="77777777" w:rsidR="00F15019" w:rsidRDefault="00F15019" w:rsidP="00F25D0A">
      <w:pPr>
        <w:pStyle w:val="Textodenotaderodap"/>
      </w:pPr>
      <w:r>
        <w:rPr>
          <w:rStyle w:val="Refdenotaderodap"/>
        </w:rPr>
        <w:footnoteRef/>
      </w:r>
      <w:r>
        <w:t xml:space="preserve"> Resultados semelhantes foram encontrados em </w:t>
      </w:r>
      <w:r w:rsidRPr="00397483">
        <w:rPr>
          <w:rFonts w:cs="Times New Roman"/>
        </w:rPr>
        <w:t>Kornelius e Divino (2015)</w:t>
      </w:r>
      <w:r>
        <w:rPr>
          <w:rFonts w:cs="Times New Roman"/>
        </w:rPr>
        <w:t>.</w:t>
      </w:r>
    </w:p>
  </w:footnote>
  <w:footnote w:id="14">
    <w:p w14:paraId="7A457DFF" w14:textId="77777777" w:rsidR="009D330B" w:rsidRDefault="009D330B" w:rsidP="009D330B">
      <w:pPr>
        <w:pStyle w:val="Textodenotaderodap"/>
        <w:spacing w:after="0"/>
      </w:pPr>
      <w:r>
        <w:rPr>
          <w:rStyle w:val="Refdenotaderodap"/>
        </w:rPr>
        <w:footnoteRef/>
      </w:r>
      <w:r>
        <w:t xml:space="preserve"> A alíquota de 36% refere-se ao valor utilizado atualmente para os depósitos a prazo.</w:t>
      </w:r>
    </w:p>
  </w:footnote>
  <w:footnote w:id="15">
    <w:p w14:paraId="7A457E00" w14:textId="77777777" w:rsidR="009D330B" w:rsidRDefault="009D330B" w:rsidP="009D330B">
      <w:pPr>
        <w:pStyle w:val="Textodenotaderodap"/>
        <w:spacing w:after="0"/>
      </w:pPr>
      <w:r>
        <w:rPr>
          <w:rStyle w:val="Refdenotaderodap"/>
        </w:rPr>
        <w:footnoteRef/>
      </w:r>
      <w:r>
        <w:t xml:space="preserve"> Utilizou-se o </w:t>
      </w:r>
      <w:r w:rsidRPr="007A74F0">
        <w:rPr>
          <w:rFonts w:cs="Times New Roman"/>
        </w:rPr>
        <w:t>fator autorregressivo de 0,79</w:t>
      </w:r>
      <w:r>
        <w:rPr>
          <w:rFonts w:cs="Times New Roman"/>
        </w:rPr>
        <w:t>, baseado no</w:t>
      </w:r>
      <w:r w:rsidRPr="007A74F0">
        <w:rPr>
          <w:rFonts w:cs="Times New Roman"/>
        </w:rPr>
        <w:t xml:space="preserve"> choque na política monetária</w:t>
      </w:r>
      <w:r>
        <w:rPr>
          <w:rFonts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51ECD"/>
    <w:multiLevelType w:val="multilevel"/>
    <w:tmpl w:val="8E4ECD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1869DB"/>
    <w:multiLevelType w:val="multilevel"/>
    <w:tmpl w:val="6A48C1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3E7F70"/>
    <w:multiLevelType w:val="multilevel"/>
    <w:tmpl w:val="73761A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F165DC"/>
    <w:multiLevelType w:val="multilevel"/>
    <w:tmpl w:val="C8AADC4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693125A"/>
    <w:multiLevelType w:val="multilevel"/>
    <w:tmpl w:val="9B9078A4"/>
    <w:lvl w:ilvl="0">
      <w:start w:val="1"/>
      <w:numFmt w:val="decimal"/>
      <w:pStyle w:val="Ttulo1"/>
      <w:lvlText w:val="%1."/>
      <w:lvlJc w:val="left"/>
      <w:pPr>
        <w:ind w:left="72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3698"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8435620"/>
    <w:multiLevelType w:val="multilevel"/>
    <w:tmpl w:val="B2D400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C5916A3"/>
    <w:multiLevelType w:val="multilevel"/>
    <w:tmpl w:val="4D02B9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2E40536"/>
    <w:multiLevelType w:val="multilevel"/>
    <w:tmpl w:val="4D02B9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B625C1D"/>
    <w:multiLevelType w:val="multilevel"/>
    <w:tmpl w:val="4D02B9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5A030E3"/>
    <w:multiLevelType w:val="multilevel"/>
    <w:tmpl w:val="73761A2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6CB61CD"/>
    <w:multiLevelType w:val="multilevel"/>
    <w:tmpl w:val="39F84A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ED30EA1"/>
    <w:multiLevelType w:val="multilevel"/>
    <w:tmpl w:val="4D02B9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7422847"/>
    <w:multiLevelType w:val="multilevel"/>
    <w:tmpl w:val="4D02B9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7B6707E"/>
    <w:multiLevelType w:val="multilevel"/>
    <w:tmpl w:val="3D787CF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DF52D24"/>
    <w:multiLevelType w:val="multilevel"/>
    <w:tmpl w:val="FCDE9A1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1093532"/>
    <w:multiLevelType w:val="multilevel"/>
    <w:tmpl w:val="4D02B94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18E1E44"/>
    <w:multiLevelType w:val="multilevel"/>
    <w:tmpl w:val="6A48C1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51858ED"/>
    <w:multiLevelType w:val="multilevel"/>
    <w:tmpl w:val="A96AF1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13"/>
  </w:num>
  <w:num w:numId="3">
    <w:abstractNumId w:val="10"/>
  </w:num>
  <w:num w:numId="4">
    <w:abstractNumId w:val="0"/>
  </w:num>
  <w:num w:numId="5">
    <w:abstractNumId w:val="1"/>
  </w:num>
  <w:num w:numId="6">
    <w:abstractNumId w:val="16"/>
  </w:num>
  <w:num w:numId="7">
    <w:abstractNumId w:val="3"/>
  </w:num>
  <w:num w:numId="8">
    <w:abstractNumId w:val="0"/>
    <w:lvlOverride w:ilvl="0">
      <w:startOverride w:val="2"/>
    </w:lvlOverride>
    <w:lvlOverride w:ilvl="1">
      <w:startOverride w:val="2"/>
    </w:lvlOverride>
  </w:num>
  <w:num w:numId="9">
    <w:abstractNumId w:val="4"/>
  </w:num>
  <w:num w:numId="10">
    <w:abstractNumId w:val="6"/>
  </w:num>
  <w:num w:numId="11">
    <w:abstractNumId w:val="2"/>
  </w:num>
  <w:num w:numId="12">
    <w:abstractNumId w:val="9"/>
  </w:num>
  <w:num w:numId="13">
    <w:abstractNumId w:val="7"/>
  </w:num>
  <w:num w:numId="14">
    <w:abstractNumId w:val="11"/>
  </w:num>
  <w:num w:numId="15">
    <w:abstractNumId w:val="12"/>
  </w:num>
  <w:num w:numId="16">
    <w:abstractNumId w:val="15"/>
  </w:num>
  <w:num w:numId="17">
    <w:abstractNumId w:val="14"/>
  </w:num>
  <w:num w:numId="18">
    <w:abstractNumId w:val="5"/>
  </w:num>
  <w:num w:numId="19">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08"/>
  <w:hyphenationZone w:val="425"/>
  <w:characterSpacingControl w:val="doNotCompress"/>
  <w:hdrShapeDefaults>
    <o:shapedefaults v:ext="edit" spidmax="6145"/>
  </w:hdrShapeDefaults>
  <w:footnotePr>
    <w:numFmt w:val="chicago"/>
    <w:numStart w:val="2"/>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1A9"/>
    <w:rsid w:val="000007E5"/>
    <w:rsid w:val="00002580"/>
    <w:rsid w:val="00002C95"/>
    <w:rsid w:val="00003A0B"/>
    <w:rsid w:val="0000493D"/>
    <w:rsid w:val="00007954"/>
    <w:rsid w:val="00007D85"/>
    <w:rsid w:val="00010CF4"/>
    <w:rsid w:val="00012BAC"/>
    <w:rsid w:val="00013D41"/>
    <w:rsid w:val="00016403"/>
    <w:rsid w:val="000168F7"/>
    <w:rsid w:val="00020F53"/>
    <w:rsid w:val="00022553"/>
    <w:rsid w:val="00022D85"/>
    <w:rsid w:val="00022E44"/>
    <w:rsid w:val="00022F1D"/>
    <w:rsid w:val="0002300A"/>
    <w:rsid w:val="000231E1"/>
    <w:rsid w:val="00023231"/>
    <w:rsid w:val="0002418A"/>
    <w:rsid w:val="00024B3A"/>
    <w:rsid w:val="00024F1F"/>
    <w:rsid w:val="000258FE"/>
    <w:rsid w:val="00026424"/>
    <w:rsid w:val="00026580"/>
    <w:rsid w:val="00034109"/>
    <w:rsid w:val="000342B7"/>
    <w:rsid w:val="00035329"/>
    <w:rsid w:val="0003573F"/>
    <w:rsid w:val="00040A0E"/>
    <w:rsid w:val="000418FD"/>
    <w:rsid w:val="00041C58"/>
    <w:rsid w:val="000439F4"/>
    <w:rsid w:val="00043A3C"/>
    <w:rsid w:val="00043E21"/>
    <w:rsid w:val="0005027A"/>
    <w:rsid w:val="00050E43"/>
    <w:rsid w:val="0005173F"/>
    <w:rsid w:val="00051EF1"/>
    <w:rsid w:val="00053C28"/>
    <w:rsid w:val="000546B4"/>
    <w:rsid w:val="00054753"/>
    <w:rsid w:val="00055860"/>
    <w:rsid w:val="00055997"/>
    <w:rsid w:val="00055D62"/>
    <w:rsid w:val="00055E70"/>
    <w:rsid w:val="00056738"/>
    <w:rsid w:val="00060633"/>
    <w:rsid w:val="00060FFA"/>
    <w:rsid w:val="00062C7F"/>
    <w:rsid w:val="000630EC"/>
    <w:rsid w:val="000637AC"/>
    <w:rsid w:val="00063944"/>
    <w:rsid w:val="000645C0"/>
    <w:rsid w:val="000656EA"/>
    <w:rsid w:val="00065955"/>
    <w:rsid w:val="00065F7C"/>
    <w:rsid w:val="00066078"/>
    <w:rsid w:val="0006618B"/>
    <w:rsid w:val="000702C5"/>
    <w:rsid w:val="00071AFE"/>
    <w:rsid w:val="00072316"/>
    <w:rsid w:val="0007370E"/>
    <w:rsid w:val="00073D6D"/>
    <w:rsid w:val="00074A1B"/>
    <w:rsid w:val="00075AA7"/>
    <w:rsid w:val="00076174"/>
    <w:rsid w:val="00076B4B"/>
    <w:rsid w:val="00076E7C"/>
    <w:rsid w:val="00077B6C"/>
    <w:rsid w:val="000817AF"/>
    <w:rsid w:val="00081DF3"/>
    <w:rsid w:val="0008257F"/>
    <w:rsid w:val="00082B87"/>
    <w:rsid w:val="00082F91"/>
    <w:rsid w:val="00085525"/>
    <w:rsid w:val="00085CAF"/>
    <w:rsid w:val="00085D8A"/>
    <w:rsid w:val="0009126E"/>
    <w:rsid w:val="0009168B"/>
    <w:rsid w:val="00091B2B"/>
    <w:rsid w:val="00092D9A"/>
    <w:rsid w:val="00093355"/>
    <w:rsid w:val="000934D2"/>
    <w:rsid w:val="000954DC"/>
    <w:rsid w:val="00096FD5"/>
    <w:rsid w:val="000976D6"/>
    <w:rsid w:val="000977CA"/>
    <w:rsid w:val="000A01CD"/>
    <w:rsid w:val="000A0677"/>
    <w:rsid w:val="000A0709"/>
    <w:rsid w:val="000A0D85"/>
    <w:rsid w:val="000A0F8E"/>
    <w:rsid w:val="000A1E8F"/>
    <w:rsid w:val="000A228C"/>
    <w:rsid w:val="000A3188"/>
    <w:rsid w:val="000A4079"/>
    <w:rsid w:val="000A45D0"/>
    <w:rsid w:val="000A5509"/>
    <w:rsid w:val="000A57D9"/>
    <w:rsid w:val="000A6EEB"/>
    <w:rsid w:val="000A76E9"/>
    <w:rsid w:val="000A7BD3"/>
    <w:rsid w:val="000B18B6"/>
    <w:rsid w:val="000B27BE"/>
    <w:rsid w:val="000B4C35"/>
    <w:rsid w:val="000B4DAA"/>
    <w:rsid w:val="000C00AD"/>
    <w:rsid w:val="000C13B2"/>
    <w:rsid w:val="000C224A"/>
    <w:rsid w:val="000C302A"/>
    <w:rsid w:val="000C3180"/>
    <w:rsid w:val="000C43C7"/>
    <w:rsid w:val="000C6636"/>
    <w:rsid w:val="000C67CA"/>
    <w:rsid w:val="000C70A9"/>
    <w:rsid w:val="000D13B9"/>
    <w:rsid w:val="000D1AE5"/>
    <w:rsid w:val="000D3A8F"/>
    <w:rsid w:val="000D5D56"/>
    <w:rsid w:val="000D6AC7"/>
    <w:rsid w:val="000E2B54"/>
    <w:rsid w:val="000E32A8"/>
    <w:rsid w:val="000E37C7"/>
    <w:rsid w:val="000E3F16"/>
    <w:rsid w:val="000E4C2E"/>
    <w:rsid w:val="000E7B66"/>
    <w:rsid w:val="000E7EA0"/>
    <w:rsid w:val="000F0A23"/>
    <w:rsid w:val="000F2BF0"/>
    <w:rsid w:val="000F31EE"/>
    <w:rsid w:val="000F4AA0"/>
    <w:rsid w:val="000F75B5"/>
    <w:rsid w:val="00101504"/>
    <w:rsid w:val="001017A6"/>
    <w:rsid w:val="00102494"/>
    <w:rsid w:val="0010274B"/>
    <w:rsid w:val="0010373B"/>
    <w:rsid w:val="00104921"/>
    <w:rsid w:val="00104AF8"/>
    <w:rsid w:val="0010542C"/>
    <w:rsid w:val="00106372"/>
    <w:rsid w:val="00106B20"/>
    <w:rsid w:val="00107412"/>
    <w:rsid w:val="00107970"/>
    <w:rsid w:val="00107C78"/>
    <w:rsid w:val="00111B77"/>
    <w:rsid w:val="00112D74"/>
    <w:rsid w:val="00112E97"/>
    <w:rsid w:val="00116234"/>
    <w:rsid w:val="001163A3"/>
    <w:rsid w:val="0011674F"/>
    <w:rsid w:val="00117B40"/>
    <w:rsid w:val="00120FDF"/>
    <w:rsid w:val="001214C1"/>
    <w:rsid w:val="001228DD"/>
    <w:rsid w:val="001234F5"/>
    <w:rsid w:val="00124B7C"/>
    <w:rsid w:val="00124FF7"/>
    <w:rsid w:val="0012595A"/>
    <w:rsid w:val="00126F20"/>
    <w:rsid w:val="00127546"/>
    <w:rsid w:val="001279AF"/>
    <w:rsid w:val="0013034D"/>
    <w:rsid w:val="001303C8"/>
    <w:rsid w:val="0013057A"/>
    <w:rsid w:val="00130A15"/>
    <w:rsid w:val="001320C9"/>
    <w:rsid w:val="00132AD0"/>
    <w:rsid w:val="00135739"/>
    <w:rsid w:val="00136643"/>
    <w:rsid w:val="001367AA"/>
    <w:rsid w:val="00136BCA"/>
    <w:rsid w:val="00137102"/>
    <w:rsid w:val="00137205"/>
    <w:rsid w:val="00140946"/>
    <w:rsid w:val="001416B4"/>
    <w:rsid w:val="00145044"/>
    <w:rsid w:val="00145834"/>
    <w:rsid w:val="00146481"/>
    <w:rsid w:val="00146BE4"/>
    <w:rsid w:val="00146C2A"/>
    <w:rsid w:val="00150A35"/>
    <w:rsid w:val="00151DBB"/>
    <w:rsid w:val="00154CAD"/>
    <w:rsid w:val="00154E85"/>
    <w:rsid w:val="001555C6"/>
    <w:rsid w:val="00157FB5"/>
    <w:rsid w:val="00160D36"/>
    <w:rsid w:val="00163762"/>
    <w:rsid w:val="00163B08"/>
    <w:rsid w:val="00163BB8"/>
    <w:rsid w:val="00164E8B"/>
    <w:rsid w:val="001659AB"/>
    <w:rsid w:val="00165A1F"/>
    <w:rsid w:val="00167631"/>
    <w:rsid w:val="00167C3E"/>
    <w:rsid w:val="00170724"/>
    <w:rsid w:val="00171080"/>
    <w:rsid w:val="001722A1"/>
    <w:rsid w:val="001732D2"/>
    <w:rsid w:val="00173BCF"/>
    <w:rsid w:val="00174EA7"/>
    <w:rsid w:val="00177BB4"/>
    <w:rsid w:val="00180EC0"/>
    <w:rsid w:val="00182813"/>
    <w:rsid w:val="0018479B"/>
    <w:rsid w:val="001847A4"/>
    <w:rsid w:val="001866C1"/>
    <w:rsid w:val="00186891"/>
    <w:rsid w:val="001908E9"/>
    <w:rsid w:val="0019195A"/>
    <w:rsid w:val="00192151"/>
    <w:rsid w:val="0019249C"/>
    <w:rsid w:val="001927EB"/>
    <w:rsid w:val="00192A9E"/>
    <w:rsid w:val="001933E7"/>
    <w:rsid w:val="00195883"/>
    <w:rsid w:val="00196CD9"/>
    <w:rsid w:val="00196EE1"/>
    <w:rsid w:val="001977AC"/>
    <w:rsid w:val="001A014A"/>
    <w:rsid w:val="001A2508"/>
    <w:rsid w:val="001A2E47"/>
    <w:rsid w:val="001A4958"/>
    <w:rsid w:val="001A562A"/>
    <w:rsid w:val="001A5C0A"/>
    <w:rsid w:val="001A600E"/>
    <w:rsid w:val="001A7DF5"/>
    <w:rsid w:val="001B256A"/>
    <w:rsid w:val="001B2D75"/>
    <w:rsid w:val="001B2E08"/>
    <w:rsid w:val="001B3716"/>
    <w:rsid w:val="001B3941"/>
    <w:rsid w:val="001B446A"/>
    <w:rsid w:val="001B516E"/>
    <w:rsid w:val="001B5EB9"/>
    <w:rsid w:val="001B671E"/>
    <w:rsid w:val="001B679C"/>
    <w:rsid w:val="001B7849"/>
    <w:rsid w:val="001B787C"/>
    <w:rsid w:val="001C0DA6"/>
    <w:rsid w:val="001C1BDB"/>
    <w:rsid w:val="001C2FAC"/>
    <w:rsid w:val="001C3088"/>
    <w:rsid w:val="001C454F"/>
    <w:rsid w:val="001C48D7"/>
    <w:rsid w:val="001C4F31"/>
    <w:rsid w:val="001C5CFA"/>
    <w:rsid w:val="001C652B"/>
    <w:rsid w:val="001C6ACF"/>
    <w:rsid w:val="001C7750"/>
    <w:rsid w:val="001C77DB"/>
    <w:rsid w:val="001C7CC8"/>
    <w:rsid w:val="001D013E"/>
    <w:rsid w:val="001D0E42"/>
    <w:rsid w:val="001D1004"/>
    <w:rsid w:val="001D1408"/>
    <w:rsid w:val="001D149E"/>
    <w:rsid w:val="001D2003"/>
    <w:rsid w:val="001D2DF8"/>
    <w:rsid w:val="001D2DFE"/>
    <w:rsid w:val="001D43ED"/>
    <w:rsid w:val="001D5129"/>
    <w:rsid w:val="001D51CA"/>
    <w:rsid w:val="001D5B60"/>
    <w:rsid w:val="001D633D"/>
    <w:rsid w:val="001D6A99"/>
    <w:rsid w:val="001D6D30"/>
    <w:rsid w:val="001D6D54"/>
    <w:rsid w:val="001D76AB"/>
    <w:rsid w:val="001D7B4F"/>
    <w:rsid w:val="001D7C4A"/>
    <w:rsid w:val="001E05E1"/>
    <w:rsid w:val="001E0DF3"/>
    <w:rsid w:val="001E0FFB"/>
    <w:rsid w:val="001E1CD7"/>
    <w:rsid w:val="001E2B54"/>
    <w:rsid w:val="001E2D4D"/>
    <w:rsid w:val="001E4241"/>
    <w:rsid w:val="001E54F8"/>
    <w:rsid w:val="001F1092"/>
    <w:rsid w:val="001F17F1"/>
    <w:rsid w:val="001F1E31"/>
    <w:rsid w:val="001F208F"/>
    <w:rsid w:val="001F22A7"/>
    <w:rsid w:val="001F26A3"/>
    <w:rsid w:val="001F27B2"/>
    <w:rsid w:val="001F3640"/>
    <w:rsid w:val="001F776E"/>
    <w:rsid w:val="0020138D"/>
    <w:rsid w:val="00201B5B"/>
    <w:rsid w:val="0020233A"/>
    <w:rsid w:val="00202505"/>
    <w:rsid w:val="00202847"/>
    <w:rsid w:val="00202CE7"/>
    <w:rsid w:val="0020619E"/>
    <w:rsid w:val="0020762C"/>
    <w:rsid w:val="002078AE"/>
    <w:rsid w:val="0021083E"/>
    <w:rsid w:val="002115D3"/>
    <w:rsid w:val="00212DF8"/>
    <w:rsid w:val="00212E6C"/>
    <w:rsid w:val="002135EE"/>
    <w:rsid w:val="0021370B"/>
    <w:rsid w:val="00213857"/>
    <w:rsid w:val="00213E51"/>
    <w:rsid w:val="00215828"/>
    <w:rsid w:val="002176BA"/>
    <w:rsid w:val="002202A0"/>
    <w:rsid w:val="00220DF2"/>
    <w:rsid w:val="00221022"/>
    <w:rsid w:val="00221310"/>
    <w:rsid w:val="00221407"/>
    <w:rsid w:val="002234FF"/>
    <w:rsid w:val="0022508B"/>
    <w:rsid w:val="0022536F"/>
    <w:rsid w:val="00225CF1"/>
    <w:rsid w:val="00227041"/>
    <w:rsid w:val="00227A6E"/>
    <w:rsid w:val="00227CC9"/>
    <w:rsid w:val="00227FC9"/>
    <w:rsid w:val="00232888"/>
    <w:rsid w:val="00235783"/>
    <w:rsid w:val="0024068A"/>
    <w:rsid w:val="0024110F"/>
    <w:rsid w:val="00241C9C"/>
    <w:rsid w:val="0024205B"/>
    <w:rsid w:val="00242F8D"/>
    <w:rsid w:val="00244C5B"/>
    <w:rsid w:val="00244E6E"/>
    <w:rsid w:val="00245662"/>
    <w:rsid w:val="002459E4"/>
    <w:rsid w:val="00247707"/>
    <w:rsid w:val="00247D03"/>
    <w:rsid w:val="002513D2"/>
    <w:rsid w:val="0025161C"/>
    <w:rsid w:val="0025192D"/>
    <w:rsid w:val="0025223F"/>
    <w:rsid w:val="00252A87"/>
    <w:rsid w:val="0025457C"/>
    <w:rsid w:val="00254CB3"/>
    <w:rsid w:val="00256184"/>
    <w:rsid w:val="0025622C"/>
    <w:rsid w:val="002567C7"/>
    <w:rsid w:val="00256AD4"/>
    <w:rsid w:val="0025735E"/>
    <w:rsid w:val="0025768B"/>
    <w:rsid w:val="002605BB"/>
    <w:rsid w:val="00261615"/>
    <w:rsid w:val="00261C87"/>
    <w:rsid w:val="00265303"/>
    <w:rsid w:val="002663FE"/>
    <w:rsid w:val="00266823"/>
    <w:rsid w:val="0026746B"/>
    <w:rsid w:val="002676DD"/>
    <w:rsid w:val="00271331"/>
    <w:rsid w:val="0027261F"/>
    <w:rsid w:val="00272749"/>
    <w:rsid w:val="00272D30"/>
    <w:rsid w:val="0027346E"/>
    <w:rsid w:val="00274F7C"/>
    <w:rsid w:val="0027519B"/>
    <w:rsid w:val="0027773D"/>
    <w:rsid w:val="00277FB5"/>
    <w:rsid w:val="0028157D"/>
    <w:rsid w:val="00282FC5"/>
    <w:rsid w:val="00283256"/>
    <w:rsid w:val="00283C05"/>
    <w:rsid w:val="00287A12"/>
    <w:rsid w:val="0029047C"/>
    <w:rsid w:val="00291039"/>
    <w:rsid w:val="00291801"/>
    <w:rsid w:val="00293470"/>
    <w:rsid w:val="00293C18"/>
    <w:rsid w:val="00295318"/>
    <w:rsid w:val="002A01F4"/>
    <w:rsid w:val="002A0D8B"/>
    <w:rsid w:val="002A125B"/>
    <w:rsid w:val="002A18EA"/>
    <w:rsid w:val="002A1C18"/>
    <w:rsid w:val="002A2236"/>
    <w:rsid w:val="002A2442"/>
    <w:rsid w:val="002A310F"/>
    <w:rsid w:val="002A3516"/>
    <w:rsid w:val="002A3707"/>
    <w:rsid w:val="002A3763"/>
    <w:rsid w:val="002A3E75"/>
    <w:rsid w:val="002A49A0"/>
    <w:rsid w:val="002A5AD3"/>
    <w:rsid w:val="002A5AFC"/>
    <w:rsid w:val="002A6F0D"/>
    <w:rsid w:val="002A77C0"/>
    <w:rsid w:val="002A7AF7"/>
    <w:rsid w:val="002B033F"/>
    <w:rsid w:val="002B0CC3"/>
    <w:rsid w:val="002B1183"/>
    <w:rsid w:val="002B1E24"/>
    <w:rsid w:val="002B25BD"/>
    <w:rsid w:val="002B2FCA"/>
    <w:rsid w:val="002B32EB"/>
    <w:rsid w:val="002B335C"/>
    <w:rsid w:val="002B35DC"/>
    <w:rsid w:val="002B4AAA"/>
    <w:rsid w:val="002B60F0"/>
    <w:rsid w:val="002B7C4B"/>
    <w:rsid w:val="002C5D73"/>
    <w:rsid w:val="002C642A"/>
    <w:rsid w:val="002C66EB"/>
    <w:rsid w:val="002C6D8E"/>
    <w:rsid w:val="002C75F3"/>
    <w:rsid w:val="002D06B5"/>
    <w:rsid w:val="002D0FA3"/>
    <w:rsid w:val="002D1484"/>
    <w:rsid w:val="002D3159"/>
    <w:rsid w:val="002D4C8F"/>
    <w:rsid w:val="002D5FCB"/>
    <w:rsid w:val="002D70DE"/>
    <w:rsid w:val="002D7289"/>
    <w:rsid w:val="002D7FBE"/>
    <w:rsid w:val="002E06C1"/>
    <w:rsid w:val="002E0B02"/>
    <w:rsid w:val="002E0CFE"/>
    <w:rsid w:val="002E2FA6"/>
    <w:rsid w:val="002E3417"/>
    <w:rsid w:val="002E39C0"/>
    <w:rsid w:val="002E5D8E"/>
    <w:rsid w:val="002E728F"/>
    <w:rsid w:val="002F1063"/>
    <w:rsid w:val="002F4233"/>
    <w:rsid w:val="002F42DE"/>
    <w:rsid w:val="002F520F"/>
    <w:rsid w:val="002F6658"/>
    <w:rsid w:val="002F6D32"/>
    <w:rsid w:val="002F6FF1"/>
    <w:rsid w:val="002F7566"/>
    <w:rsid w:val="002F7C27"/>
    <w:rsid w:val="00300063"/>
    <w:rsid w:val="00301456"/>
    <w:rsid w:val="00301980"/>
    <w:rsid w:val="00301B35"/>
    <w:rsid w:val="0030222B"/>
    <w:rsid w:val="0030245A"/>
    <w:rsid w:val="00304D3B"/>
    <w:rsid w:val="0030508D"/>
    <w:rsid w:val="003050C7"/>
    <w:rsid w:val="00305864"/>
    <w:rsid w:val="00306D26"/>
    <w:rsid w:val="003070B3"/>
    <w:rsid w:val="00307A8C"/>
    <w:rsid w:val="00311001"/>
    <w:rsid w:val="003116AB"/>
    <w:rsid w:val="00313393"/>
    <w:rsid w:val="003142B7"/>
    <w:rsid w:val="00314753"/>
    <w:rsid w:val="00314D16"/>
    <w:rsid w:val="0031521B"/>
    <w:rsid w:val="0031630B"/>
    <w:rsid w:val="00317E3B"/>
    <w:rsid w:val="00317F21"/>
    <w:rsid w:val="0032013F"/>
    <w:rsid w:val="00321657"/>
    <w:rsid w:val="00321CAD"/>
    <w:rsid w:val="00321D11"/>
    <w:rsid w:val="00321D1F"/>
    <w:rsid w:val="003226D5"/>
    <w:rsid w:val="0032445F"/>
    <w:rsid w:val="00326106"/>
    <w:rsid w:val="003262C3"/>
    <w:rsid w:val="00326B34"/>
    <w:rsid w:val="00330367"/>
    <w:rsid w:val="00331801"/>
    <w:rsid w:val="003329CB"/>
    <w:rsid w:val="0033344E"/>
    <w:rsid w:val="00334903"/>
    <w:rsid w:val="00334B5B"/>
    <w:rsid w:val="0033592B"/>
    <w:rsid w:val="00336856"/>
    <w:rsid w:val="00340326"/>
    <w:rsid w:val="00340843"/>
    <w:rsid w:val="00340DB2"/>
    <w:rsid w:val="00340DF9"/>
    <w:rsid w:val="00341B7C"/>
    <w:rsid w:val="0034200A"/>
    <w:rsid w:val="00343423"/>
    <w:rsid w:val="003439BB"/>
    <w:rsid w:val="00344DA3"/>
    <w:rsid w:val="00345A39"/>
    <w:rsid w:val="00345F79"/>
    <w:rsid w:val="00346013"/>
    <w:rsid w:val="003478FA"/>
    <w:rsid w:val="0035062D"/>
    <w:rsid w:val="00350A16"/>
    <w:rsid w:val="00351751"/>
    <w:rsid w:val="00353C77"/>
    <w:rsid w:val="0035459C"/>
    <w:rsid w:val="00354F9E"/>
    <w:rsid w:val="00355931"/>
    <w:rsid w:val="00355E61"/>
    <w:rsid w:val="00360465"/>
    <w:rsid w:val="003616AC"/>
    <w:rsid w:val="00362C0A"/>
    <w:rsid w:val="0036373E"/>
    <w:rsid w:val="00363DE0"/>
    <w:rsid w:val="00371F65"/>
    <w:rsid w:val="00372630"/>
    <w:rsid w:val="00373AB0"/>
    <w:rsid w:val="00373CCB"/>
    <w:rsid w:val="003743CD"/>
    <w:rsid w:val="00374892"/>
    <w:rsid w:val="00376067"/>
    <w:rsid w:val="0037660C"/>
    <w:rsid w:val="00376817"/>
    <w:rsid w:val="00376EA6"/>
    <w:rsid w:val="003772B0"/>
    <w:rsid w:val="003808E0"/>
    <w:rsid w:val="00380C99"/>
    <w:rsid w:val="0038112C"/>
    <w:rsid w:val="00381C58"/>
    <w:rsid w:val="00382B25"/>
    <w:rsid w:val="00382E2C"/>
    <w:rsid w:val="00384013"/>
    <w:rsid w:val="0038517D"/>
    <w:rsid w:val="003856EC"/>
    <w:rsid w:val="00385845"/>
    <w:rsid w:val="00385BE3"/>
    <w:rsid w:val="00385EFA"/>
    <w:rsid w:val="00385F55"/>
    <w:rsid w:val="00386176"/>
    <w:rsid w:val="0039164D"/>
    <w:rsid w:val="00391E55"/>
    <w:rsid w:val="00392563"/>
    <w:rsid w:val="00394BF2"/>
    <w:rsid w:val="00394DD9"/>
    <w:rsid w:val="00397483"/>
    <w:rsid w:val="00397A9B"/>
    <w:rsid w:val="003A01F6"/>
    <w:rsid w:val="003A15F2"/>
    <w:rsid w:val="003A179B"/>
    <w:rsid w:val="003A17DD"/>
    <w:rsid w:val="003A328A"/>
    <w:rsid w:val="003A37B7"/>
    <w:rsid w:val="003A530A"/>
    <w:rsid w:val="003A611E"/>
    <w:rsid w:val="003A6EBD"/>
    <w:rsid w:val="003A6F1F"/>
    <w:rsid w:val="003A7758"/>
    <w:rsid w:val="003B04CF"/>
    <w:rsid w:val="003B05D2"/>
    <w:rsid w:val="003B0A8D"/>
    <w:rsid w:val="003B19D9"/>
    <w:rsid w:val="003B1F77"/>
    <w:rsid w:val="003B22AB"/>
    <w:rsid w:val="003B249C"/>
    <w:rsid w:val="003B37F0"/>
    <w:rsid w:val="003B3F94"/>
    <w:rsid w:val="003B4BAE"/>
    <w:rsid w:val="003B4FF5"/>
    <w:rsid w:val="003B519B"/>
    <w:rsid w:val="003B5403"/>
    <w:rsid w:val="003B7D2A"/>
    <w:rsid w:val="003C1EE3"/>
    <w:rsid w:val="003C2B9C"/>
    <w:rsid w:val="003C3838"/>
    <w:rsid w:val="003C5D89"/>
    <w:rsid w:val="003C688E"/>
    <w:rsid w:val="003D10E2"/>
    <w:rsid w:val="003D1434"/>
    <w:rsid w:val="003D15B9"/>
    <w:rsid w:val="003D1B4F"/>
    <w:rsid w:val="003D20BA"/>
    <w:rsid w:val="003D2F3C"/>
    <w:rsid w:val="003D3BCC"/>
    <w:rsid w:val="003D5ABE"/>
    <w:rsid w:val="003D65C1"/>
    <w:rsid w:val="003E302A"/>
    <w:rsid w:val="003E4FFF"/>
    <w:rsid w:val="003E616D"/>
    <w:rsid w:val="003E6EDF"/>
    <w:rsid w:val="003F28D7"/>
    <w:rsid w:val="003F4247"/>
    <w:rsid w:val="003F60C5"/>
    <w:rsid w:val="003F6CE0"/>
    <w:rsid w:val="004001E0"/>
    <w:rsid w:val="004008ED"/>
    <w:rsid w:val="00401481"/>
    <w:rsid w:val="00401C2C"/>
    <w:rsid w:val="0040596C"/>
    <w:rsid w:val="00410B7B"/>
    <w:rsid w:val="0041110C"/>
    <w:rsid w:val="004119B0"/>
    <w:rsid w:val="0041354B"/>
    <w:rsid w:val="00414234"/>
    <w:rsid w:val="0041434D"/>
    <w:rsid w:val="00414633"/>
    <w:rsid w:val="004154A2"/>
    <w:rsid w:val="0041610B"/>
    <w:rsid w:val="00417A56"/>
    <w:rsid w:val="00417E7F"/>
    <w:rsid w:val="00421E69"/>
    <w:rsid w:val="004220A6"/>
    <w:rsid w:val="0042238E"/>
    <w:rsid w:val="004232AD"/>
    <w:rsid w:val="00423713"/>
    <w:rsid w:val="00427E7A"/>
    <w:rsid w:val="00430E99"/>
    <w:rsid w:val="00431C0B"/>
    <w:rsid w:val="00434125"/>
    <w:rsid w:val="004341B6"/>
    <w:rsid w:val="00437329"/>
    <w:rsid w:val="00440AF4"/>
    <w:rsid w:val="00441369"/>
    <w:rsid w:val="00441F92"/>
    <w:rsid w:val="00442AFD"/>
    <w:rsid w:val="00451745"/>
    <w:rsid w:val="00453501"/>
    <w:rsid w:val="004539F2"/>
    <w:rsid w:val="00453C98"/>
    <w:rsid w:val="00457010"/>
    <w:rsid w:val="00457B95"/>
    <w:rsid w:val="00460E3B"/>
    <w:rsid w:val="004628C3"/>
    <w:rsid w:val="00463374"/>
    <w:rsid w:val="00466DCE"/>
    <w:rsid w:val="00467960"/>
    <w:rsid w:val="00470518"/>
    <w:rsid w:val="00470999"/>
    <w:rsid w:val="00471D43"/>
    <w:rsid w:val="00471F5B"/>
    <w:rsid w:val="004734DE"/>
    <w:rsid w:val="004736BC"/>
    <w:rsid w:val="00473C43"/>
    <w:rsid w:val="0047406A"/>
    <w:rsid w:val="00474960"/>
    <w:rsid w:val="00475301"/>
    <w:rsid w:val="0047586B"/>
    <w:rsid w:val="00477424"/>
    <w:rsid w:val="0047765E"/>
    <w:rsid w:val="00477D60"/>
    <w:rsid w:val="004802A7"/>
    <w:rsid w:val="00480412"/>
    <w:rsid w:val="004823B0"/>
    <w:rsid w:val="00483E07"/>
    <w:rsid w:val="00486030"/>
    <w:rsid w:val="00486CB2"/>
    <w:rsid w:val="00487689"/>
    <w:rsid w:val="0049080C"/>
    <w:rsid w:val="004928D3"/>
    <w:rsid w:val="00492BB5"/>
    <w:rsid w:val="00492F7D"/>
    <w:rsid w:val="0049400A"/>
    <w:rsid w:val="0049424A"/>
    <w:rsid w:val="0049507E"/>
    <w:rsid w:val="00497757"/>
    <w:rsid w:val="00497B93"/>
    <w:rsid w:val="004A18C7"/>
    <w:rsid w:val="004A1939"/>
    <w:rsid w:val="004A1BDF"/>
    <w:rsid w:val="004A1D7F"/>
    <w:rsid w:val="004A338A"/>
    <w:rsid w:val="004A33E4"/>
    <w:rsid w:val="004A3926"/>
    <w:rsid w:val="004A45C6"/>
    <w:rsid w:val="004A45D7"/>
    <w:rsid w:val="004A48AB"/>
    <w:rsid w:val="004A4988"/>
    <w:rsid w:val="004A5A33"/>
    <w:rsid w:val="004B0DE4"/>
    <w:rsid w:val="004B0E9B"/>
    <w:rsid w:val="004B21BF"/>
    <w:rsid w:val="004B21DC"/>
    <w:rsid w:val="004C2AC8"/>
    <w:rsid w:val="004C2E99"/>
    <w:rsid w:val="004C507D"/>
    <w:rsid w:val="004C5564"/>
    <w:rsid w:val="004C6A20"/>
    <w:rsid w:val="004D1697"/>
    <w:rsid w:val="004D4283"/>
    <w:rsid w:val="004D47CD"/>
    <w:rsid w:val="004D612F"/>
    <w:rsid w:val="004D6299"/>
    <w:rsid w:val="004E4469"/>
    <w:rsid w:val="004E4D37"/>
    <w:rsid w:val="004E558F"/>
    <w:rsid w:val="004E5C2C"/>
    <w:rsid w:val="004E76B2"/>
    <w:rsid w:val="004F40A4"/>
    <w:rsid w:val="004F40AA"/>
    <w:rsid w:val="004F64F6"/>
    <w:rsid w:val="004F73F8"/>
    <w:rsid w:val="005000EE"/>
    <w:rsid w:val="005005D1"/>
    <w:rsid w:val="005007FD"/>
    <w:rsid w:val="00501313"/>
    <w:rsid w:val="00501570"/>
    <w:rsid w:val="00502224"/>
    <w:rsid w:val="00502B5E"/>
    <w:rsid w:val="0050324F"/>
    <w:rsid w:val="005062EA"/>
    <w:rsid w:val="00507D2B"/>
    <w:rsid w:val="00513EC3"/>
    <w:rsid w:val="00516F09"/>
    <w:rsid w:val="00517937"/>
    <w:rsid w:val="005210CB"/>
    <w:rsid w:val="00526D65"/>
    <w:rsid w:val="00531741"/>
    <w:rsid w:val="00533BBC"/>
    <w:rsid w:val="00533D2C"/>
    <w:rsid w:val="00533DE6"/>
    <w:rsid w:val="00535823"/>
    <w:rsid w:val="005366A9"/>
    <w:rsid w:val="00536962"/>
    <w:rsid w:val="00536D42"/>
    <w:rsid w:val="00542269"/>
    <w:rsid w:val="0054237E"/>
    <w:rsid w:val="00542DBA"/>
    <w:rsid w:val="00543233"/>
    <w:rsid w:val="0054364E"/>
    <w:rsid w:val="00543C8E"/>
    <w:rsid w:val="00544ED5"/>
    <w:rsid w:val="0054538A"/>
    <w:rsid w:val="0054567E"/>
    <w:rsid w:val="00545F28"/>
    <w:rsid w:val="0055086B"/>
    <w:rsid w:val="005512FC"/>
    <w:rsid w:val="00551971"/>
    <w:rsid w:val="005533A7"/>
    <w:rsid w:val="005538D8"/>
    <w:rsid w:val="0055493B"/>
    <w:rsid w:val="00555593"/>
    <w:rsid w:val="00556442"/>
    <w:rsid w:val="005602A9"/>
    <w:rsid w:val="0056197F"/>
    <w:rsid w:val="00561B73"/>
    <w:rsid w:val="00562EF5"/>
    <w:rsid w:val="005646A1"/>
    <w:rsid w:val="00565D53"/>
    <w:rsid w:val="005668D6"/>
    <w:rsid w:val="00567478"/>
    <w:rsid w:val="00567EEE"/>
    <w:rsid w:val="00573D3B"/>
    <w:rsid w:val="00574C22"/>
    <w:rsid w:val="00574C48"/>
    <w:rsid w:val="00577062"/>
    <w:rsid w:val="00580FCE"/>
    <w:rsid w:val="00585461"/>
    <w:rsid w:val="00586233"/>
    <w:rsid w:val="00586F97"/>
    <w:rsid w:val="005873F0"/>
    <w:rsid w:val="00587E16"/>
    <w:rsid w:val="005938CD"/>
    <w:rsid w:val="00594545"/>
    <w:rsid w:val="00594813"/>
    <w:rsid w:val="00594AC8"/>
    <w:rsid w:val="00595626"/>
    <w:rsid w:val="00595D5C"/>
    <w:rsid w:val="00596DAB"/>
    <w:rsid w:val="005975FD"/>
    <w:rsid w:val="005A0332"/>
    <w:rsid w:val="005A04E9"/>
    <w:rsid w:val="005A0503"/>
    <w:rsid w:val="005A2771"/>
    <w:rsid w:val="005A3175"/>
    <w:rsid w:val="005A3B33"/>
    <w:rsid w:val="005A5119"/>
    <w:rsid w:val="005A54AF"/>
    <w:rsid w:val="005A6870"/>
    <w:rsid w:val="005A70D4"/>
    <w:rsid w:val="005A766C"/>
    <w:rsid w:val="005B1265"/>
    <w:rsid w:val="005B1293"/>
    <w:rsid w:val="005B1DD7"/>
    <w:rsid w:val="005B3A1F"/>
    <w:rsid w:val="005B3C03"/>
    <w:rsid w:val="005B3E37"/>
    <w:rsid w:val="005B48BF"/>
    <w:rsid w:val="005B4940"/>
    <w:rsid w:val="005B4CA4"/>
    <w:rsid w:val="005B4F3B"/>
    <w:rsid w:val="005B6A5E"/>
    <w:rsid w:val="005B6D1C"/>
    <w:rsid w:val="005B771C"/>
    <w:rsid w:val="005C0337"/>
    <w:rsid w:val="005C1241"/>
    <w:rsid w:val="005C51B3"/>
    <w:rsid w:val="005C5D81"/>
    <w:rsid w:val="005C60F2"/>
    <w:rsid w:val="005C6F13"/>
    <w:rsid w:val="005C6F96"/>
    <w:rsid w:val="005C70A4"/>
    <w:rsid w:val="005C70B2"/>
    <w:rsid w:val="005C7B98"/>
    <w:rsid w:val="005D109B"/>
    <w:rsid w:val="005D41C5"/>
    <w:rsid w:val="005D4BF1"/>
    <w:rsid w:val="005D5CD1"/>
    <w:rsid w:val="005D62E7"/>
    <w:rsid w:val="005D6D85"/>
    <w:rsid w:val="005D6D99"/>
    <w:rsid w:val="005D7F8B"/>
    <w:rsid w:val="005E06B4"/>
    <w:rsid w:val="005E0FEB"/>
    <w:rsid w:val="005E26F3"/>
    <w:rsid w:val="005E3DCC"/>
    <w:rsid w:val="005E495B"/>
    <w:rsid w:val="005E55DE"/>
    <w:rsid w:val="005E6069"/>
    <w:rsid w:val="005E70D2"/>
    <w:rsid w:val="005E73ED"/>
    <w:rsid w:val="005E7965"/>
    <w:rsid w:val="005F6E66"/>
    <w:rsid w:val="005F6FB6"/>
    <w:rsid w:val="00601E06"/>
    <w:rsid w:val="00602935"/>
    <w:rsid w:val="0060321D"/>
    <w:rsid w:val="0060394A"/>
    <w:rsid w:val="00606537"/>
    <w:rsid w:val="00606934"/>
    <w:rsid w:val="006071A9"/>
    <w:rsid w:val="00607239"/>
    <w:rsid w:val="006107E4"/>
    <w:rsid w:val="00610F94"/>
    <w:rsid w:val="00610FDE"/>
    <w:rsid w:val="00611B90"/>
    <w:rsid w:val="0061232E"/>
    <w:rsid w:val="0061285D"/>
    <w:rsid w:val="006132AD"/>
    <w:rsid w:val="00613699"/>
    <w:rsid w:val="00616B99"/>
    <w:rsid w:val="00621550"/>
    <w:rsid w:val="00622233"/>
    <w:rsid w:val="0062381F"/>
    <w:rsid w:val="006240CB"/>
    <w:rsid w:val="0062681D"/>
    <w:rsid w:val="0062786C"/>
    <w:rsid w:val="0063466D"/>
    <w:rsid w:val="00635301"/>
    <w:rsid w:val="0063786F"/>
    <w:rsid w:val="0065073D"/>
    <w:rsid w:val="00650A67"/>
    <w:rsid w:val="00651A33"/>
    <w:rsid w:val="006557E0"/>
    <w:rsid w:val="00656534"/>
    <w:rsid w:val="00656F5E"/>
    <w:rsid w:val="0066149E"/>
    <w:rsid w:val="006616B2"/>
    <w:rsid w:val="006616FC"/>
    <w:rsid w:val="006629E1"/>
    <w:rsid w:val="00663C83"/>
    <w:rsid w:val="00665555"/>
    <w:rsid w:val="00665C9A"/>
    <w:rsid w:val="00670AA4"/>
    <w:rsid w:val="006727E2"/>
    <w:rsid w:val="00675092"/>
    <w:rsid w:val="006750E1"/>
    <w:rsid w:val="00675B56"/>
    <w:rsid w:val="00677A9D"/>
    <w:rsid w:val="00677C51"/>
    <w:rsid w:val="00677EAA"/>
    <w:rsid w:val="00680788"/>
    <w:rsid w:val="0068171B"/>
    <w:rsid w:val="006832D6"/>
    <w:rsid w:val="00684015"/>
    <w:rsid w:val="0068567F"/>
    <w:rsid w:val="00686A66"/>
    <w:rsid w:val="00687A03"/>
    <w:rsid w:val="00691C33"/>
    <w:rsid w:val="006951C0"/>
    <w:rsid w:val="00695372"/>
    <w:rsid w:val="006A42DD"/>
    <w:rsid w:val="006A6F50"/>
    <w:rsid w:val="006A7B54"/>
    <w:rsid w:val="006B0513"/>
    <w:rsid w:val="006B090C"/>
    <w:rsid w:val="006B0A30"/>
    <w:rsid w:val="006B0BE0"/>
    <w:rsid w:val="006B2338"/>
    <w:rsid w:val="006B3FED"/>
    <w:rsid w:val="006B46C1"/>
    <w:rsid w:val="006B75B1"/>
    <w:rsid w:val="006B76D7"/>
    <w:rsid w:val="006B78B2"/>
    <w:rsid w:val="006C0469"/>
    <w:rsid w:val="006C0ABB"/>
    <w:rsid w:val="006C21E0"/>
    <w:rsid w:val="006C30CC"/>
    <w:rsid w:val="006C45BD"/>
    <w:rsid w:val="006C4B83"/>
    <w:rsid w:val="006C4FBC"/>
    <w:rsid w:val="006C7458"/>
    <w:rsid w:val="006C7710"/>
    <w:rsid w:val="006D2157"/>
    <w:rsid w:val="006D2C71"/>
    <w:rsid w:val="006D3459"/>
    <w:rsid w:val="006D34D2"/>
    <w:rsid w:val="006D4A53"/>
    <w:rsid w:val="006D5B6A"/>
    <w:rsid w:val="006D6047"/>
    <w:rsid w:val="006D6779"/>
    <w:rsid w:val="006D7303"/>
    <w:rsid w:val="006D77ED"/>
    <w:rsid w:val="006E17B9"/>
    <w:rsid w:val="006E33AB"/>
    <w:rsid w:val="006E3635"/>
    <w:rsid w:val="006E497B"/>
    <w:rsid w:val="006E5125"/>
    <w:rsid w:val="006E7F68"/>
    <w:rsid w:val="006F2764"/>
    <w:rsid w:val="00701410"/>
    <w:rsid w:val="00702118"/>
    <w:rsid w:val="00702CBD"/>
    <w:rsid w:val="00703140"/>
    <w:rsid w:val="007035F6"/>
    <w:rsid w:val="007036E0"/>
    <w:rsid w:val="007062C8"/>
    <w:rsid w:val="00706C24"/>
    <w:rsid w:val="007102F1"/>
    <w:rsid w:val="007106D4"/>
    <w:rsid w:val="00712119"/>
    <w:rsid w:val="007128A1"/>
    <w:rsid w:val="00713219"/>
    <w:rsid w:val="0071494E"/>
    <w:rsid w:val="0071535A"/>
    <w:rsid w:val="0071543F"/>
    <w:rsid w:val="0071570C"/>
    <w:rsid w:val="007205AB"/>
    <w:rsid w:val="00721262"/>
    <w:rsid w:val="00721519"/>
    <w:rsid w:val="00721841"/>
    <w:rsid w:val="00724490"/>
    <w:rsid w:val="00726345"/>
    <w:rsid w:val="0072672C"/>
    <w:rsid w:val="00727AF8"/>
    <w:rsid w:val="007305DB"/>
    <w:rsid w:val="00730A5B"/>
    <w:rsid w:val="00731814"/>
    <w:rsid w:val="00731E4B"/>
    <w:rsid w:val="0073272D"/>
    <w:rsid w:val="007341F6"/>
    <w:rsid w:val="00735062"/>
    <w:rsid w:val="007356F6"/>
    <w:rsid w:val="007367D0"/>
    <w:rsid w:val="00737750"/>
    <w:rsid w:val="0074169C"/>
    <w:rsid w:val="00741814"/>
    <w:rsid w:val="00742635"/>
    <w:rsid w:val="007426BD"/>
    <w:rsid w:val="007427E4"/>
    <w:rsid w:val="00743D91"/>
    <w:rsid w:val="00743DB0"/>
    <w:rsid w:val="00745A7A"/>
    <w:rsid w:val="00746B07"/>
    <w:rsid w:val="00750FC8"/>
    <w:rsid w:val="00751500"/>
    <w:rsid w:val="007519AB"/>
    <w:rsid w:val="00753B7A"/>
    <w:rsid w:val="00755C8A"/>
    <w:rsid w:val="007565A5"/>
    <w:rsid w:val="00756AB9"/>
    <w:rsid w:val="00756C5B"/>
    <w:rsid w:val="00757387"/>
    <w:rsid w:val="00757BE9"/>
    <w:rsid w:val="0076018C"/>
    <w:rsid w:val="007601B2"/>
    <w:rsid w:val="00762658"/>
    <w:rsid w:val="00763686"/>
    <w:rsid w:val="00763B9D"/>
    <w:rsid w:val="0076521F"/>
    <w:rsid w:val="00765500"/>
    <w:rsid w:val="0076625B"/>
    <w:rsid w:val="00766DAD"/>
    <w:rsid w:val="00767FDA"/>
    <w:rsid w:val="007713DA"/>
    <w:rsid w:val="00774226"/>
    <w:rsid w:val="00774B61"/>
    <w:rsid w:val="00774C43"/>
    <w:rsid w:val="007802F4"/>
    <w:rsid w:val="00783119"/>
    <w:rsid w:val="00783526"/>
    <w:rsid w:val="00784318"/>
    <w:rsid w:val="00784A8B"/>
    <w:rsid w:val="00785870"/>
    <w:rsid w:val="00785D04"/>
    <w:rsid w:val="00787881"/>
    <w:rsid w:val="007913F2"/>
    <w:rsid w:val="0079304A"/>
    <w:rsid w:val="00797A09"/>
    <w:rsid w:val="007A0CA9"/>
    <w:rsid w:val="007A0CC9"/>
    <w:rsid w:val="007A3B6A"/>
    <w:rsid w:val="007A476B"/>
    <w:rsid w:val="007A74F0"/>
    <w:rsid w:val="007A7CC3"/>
    <w:rsid w:val="007B02D0"/>
    <w:rsid w:val="007B0A60"/>
    <w:rsid w:val="007B1C6D"/>
    <w:rsid w:val="007B213E"/>
    <w:rsid w:val="007B27D6"/>
    <w:rsid w:val="007B3817"/>
    <w:rsid w:val="007B39BC"/>
    <w:rsid w:val="007B4E1C"/>
    <w:rsid w:val="007B6F77"/>
    <w:rsid w:val="007B7473"/>
    <w:rsid w:val="007C12B9"/>
    <w:rsid w:val="007C1530"/>
    <w:rsid w:val="007C315E"/>
    <w:rsid w:val="007C3C57"/>
    <w:rsid w:val="007C3E00"/>
    <w:rsid w:val="007C4678"/>
    <w:rsid w:val="007C4B97"/>
    <w:rsid w:val="007C4C0C"/>
    <w:rsid w:val="007C5C58"/>
    <w:rsid w:val="007C6677"/>
    <w:rsid w:val="007D107F"/>
    <w:rsid w:val="007D127A"/>
    <w:rsid w:val="007D1D61"/>
    <w:rsid w:val="007D23FB"/>
    <w:rsid w:val="007D2838"/>
    <w:rsid w:val="007D3D43"/>
    <w:rsid w:val="007D5AB7"/>
    <w:rsid w:val="007D6E0F"/>
    <w:rsid w:val="007E0074"/>
    <w:rsid w:val="007E0EB2"/>
    <w:rsid w:val="007E2A29"/>
    <w:rsid w:val="007E4FB3"/>
    <w:rsid w:val="007E50E2"/>
    <w:rsid w:val="007E697B"/>
    <w:rsid w:val="007E73E3"/>
    <w:rsid w:val="007E79A5"/>
    <w:rsid w:val="007F111F"/>
    <w:rsid w:val="007F2173"/>
    <w:rsid w:val="007F2C3D"/>
    <w:rsid w:val="007F3F14"/>
    <w:rsid w:val="007F4189"/>
    <w:rsid w:val="007F5D48"/>
    <w:rsid w:val="00802C86"/>
    <w:rsid w:val="008034FD"/>
    <w:rsid w:val="00803F9F"/>
    <w:rsid w:val="0080410E"/>
    <w:rsid w:val="0080435C"/>
    <w:rsid w:val="00804C73"/>
    <w:rsid w:val="00805567"/>
    <w:rsid w:val="00806072"/>
    <w:rsid w:val="008060A0"/>
    <w:rsid w:val="00806940"/>
    <w:rsid w:val="00806D86"/>
    <w:rsid w:val="00807F74"/>
    <w:rsid w:val="008102D7"/>
    <w:rsid w:val="00810404"/>
    <w:rsid w:val="00811217"/>
    <w:rsid w:val="00811DE1"/>
    <w:rsid w:val="0081240D"/>
    <w:rsid w:val="00817BFD"/>
    <w:rsid w:val="00817D62"/>
    <w:rsid w:val="008204D0"/>
    <w:rsid w:val="00820AF1"/>
    <w:rsid w:val="008217AD"/>
    <w:rsid w:val="008219D1"/>
    <w:rsid w:val="008221BB"/>
    <w:rsid w:val="00824836"/>
    <w:rsid w:val="00824D9E"/>
    <w:rsid w:val="0082579A"/>
    <w:rsid w:val="00825BBA"/>
    <w:rsid w:val="00826CD8"/>
    <w:rsid w:val="00830427"/>
    <w:rsid w:val="008305EB"/>
    <w:rsid w:val="008305F1"/>
    <w:rsid w:val="0083083E"/>
    <w:rsid w:val="00830A6A"/>
    <w:rsid w:val="0083140A"/>
    <w:rsid w:val="00832046"/>
    <w:rsid w:val="008367EC"/>
    <w:rsid w:val="008403F8"/>
    <w:rsid w:val="00844325"/>
    <w:rsid w:val="008463EA"/>
    <w:rsid w:val="0084659B"/>
    <w:rsid w:val="0084751F"/>
    <w:rsid w:val="008503E5"/>
    <w:rsid w:val="008509F2"/>
    <w:rsid w:val="00851422"/>
    <w:rsid w:val="00853272"/>
    <w:rsid w:val="0085422D"/>
    <w:rsid w:val="008555A7"/>
    <w:rsid w:val="008608E8"/>
    <w:rsid w:val="00860C64"/>
    <w:rsid w:val="00861633"/>
    <w:rsid w:val="00862043"/>
    <w:rsid w:val="00863C49"/>
    <w:rsid w:val="0086443E"/>
    <w:rsid w:val="00864D16"/>
    <w:rsid w:val="00865A5B"/>
    <w:rsid w:val="00865DE1"/>
    <w:rsid w:val="0087051A"/>
    <w:rsid w:val="00870DBE"/>
    <w:rsid w:val="008725E7"/>
    <w:rsid w:val="008741C4"/>
    <w:rsid w:val="008747D6"/>
    <w:rsid w:val="0087544C"/>
    <w:rsid w:val="00875D32"/>
    <w:rsid w:val="00875D5B"/>
    <w:rsid w:val="00880061"/>
    <w:rsid w:val="008801D4"/>
    <w:rsid w:val="0088119E"/>
    <w:rsid w:val="0088144D"/>
    <w:rsid w:val="0088192C"/>
    <w:rsid w:val="00882C2B"/>
    <w:rsid w:val="00884393"/>
    <w:rsid w:val="0088468C"/>
    <w:rsid w:val="00885B4D"/>
    <w:rsid w:val="00886ADA"/>
    <w:rsid w:val="0089120B"/>
    <w:rsid w:val="00892D6D"/>
    <w:rsid w:val="008931AE"/>
    <w:rsid w:val="008933AE"/>
    <w:rsid w:val="00893BAF"/>
    <w:rsid w:val="008942A8"/>
    <w:rsid w:val="00895677"/>
    <w:rsid w:val="00896151"/>
    <w:rsid w:val="00896B60"/>
    <w:rsid w:val="00897BCB"/>
    <w:rsid w:val="008A0FC8"/>
    <w:rsid w:val="008A1627"/>
    <w:rsid w:val="008A3838"/>
    <w:rsid w:val="008A3960"/>
    <w:rsid w:val="008A45BE"/>
    <w:rsid w:val="008A48BA"/>
    <w:rsid w:val="008A4AEE"/>
    <w:rsid w:val="008A6C5F"/>
    <w:rsid w:val="008A6FDE"/>
    <w:rsid w:val="008A7D71"/>
    <w:rsid w:val="008B0D75"/>
    <w:rsid w:val="008B1703"/>
    <w:rsid w:val="008B2D5C"/>
    <w:rsid w:val="008B2D68"/>
    <w:rsid w:val="008B3494"/>
    <w:rsid w:val="008B3B30"/>
    <w:rsid w:val="008B3FD3"/>
    <w:rsid w:val="008B5CCF"/>
    <w:rsid w:val="008B74BE"/>
    <w:rsid w:val="008B7B34"/>
    <w:rsid w:val="008C0A99"/>
    <w:rsid w:val="008C0B50"/>
    <w:rsid w:val="008C26E8"/>
    <w:rsid w:val="008C43AD"/>
    <w:rsid w:val="008C55AF"/>
    <w:rsid w:val="008C55E4"/>
    <w:rsid w:val="008C6012"/>
    <w:rsid w:val="008C7F0B"/>
    <w:rsid w:val="008D012A"/>
    <w:rsid w:val="008D05EE"/>
    <w:rsid w:val="008D0D8C"/>
    <w:rsid w:val="008D1B6D"/>
    <w:rsid w:val="008D1E64"/>
    <w:rsid w:val="008D20E3"/>
    <w:rsid w:val="008D2464"/>
    <w:rsid w:val="008D32FC"/>
    <w:rsid w:val="008D4ED4"/>
    <w:rsid w:val="008D6CC8"/>
    <w:rsid w:val="008D7C74"/>
    <w:rsid w:val="008E3103"/>
    <w:rsid w:val="008E4246"/>
    <w:rsid w:val="008E47E6"/>
    <w:rsid w:val="008E4B46"/>
    <w:rsid w:val="008E5F2B"/>
    <w:rsid w:val="008E5F66"/>
    <w:rsid w:val="008E71BA"/>
    <w:rsid w:val="008F0639"/>
    <w:rsid w:val="008F11BC"/>
    <w:rsid w:val="008F13A0"/>
    <w:rsid w:val="008F1E11"/>
    <w:rsid w:val="008F2C0B"/>
    <w:rsid w:val="008F4058"/>
    <w:rsid w:val="008F6450"/>
    <w:rsid w:val="008F66FB"/>
    <w:rsid w:val="00901039"/>
    <w:rsid w:val="00901A8D"/>
    <w:rsid w:val="00901FBF"/>
    <w:rsid w:val="00902277"/>
    <w:rsid w:val="00903042"/>
    <w:rsid w:val="0090330C"/>
    <w:rsid w:val="00903F18"/>
    <w:rsid w:val="009049B9"/>
    <w:rsid w:val="00906E0A"/>
    <w:rsid w:val="009074A2"/>
    <w:rsid w:val="00910137"/>
    <w:rsid w:val="00910B0B"/>
    <w:rsid w:val="00912873"/>
    <w:rsid w:val="009150EC"/>
    <w:rsid w:val="009166D6"/>
    <w:rsid w:val="00916EAC"/>
    <w:rsid w:val="009173B0"/>
    <w:rsid w:val="009176B0"/>
    <w:rsid w:val="00917997"/>
    <w:rsid w:val="00920EB5"/>
    <w:rsid w:val="009222E7"/>
    <w:rsid w:val="00923515"/>
    <w:rsid w:val="00923CB9"/>
    <w:rsid w:val="00926180"/>
    <w:rsid w:val="0092647C"/>
    <w:rsid w:val="00930225"/>
    <w:rsid w:val="00930620"/>
    <w:rsid w:val="00930935"/>
    <w:rsid w:val="00931A9D"/>
    <w:rsid w:val="00932A2F"/>
    <w:rsid w:val="0093412F"/>
    <w:rsid w:val="009341D1"/>
    <w:rsid w:val="009342A9"/>
    <w:rsid w:val="00936ACD"/>
    <w:rsid w:val="0094111B"/>
    <w:rsid w:val="0094207C"/>
    <w:rsid w:val="009425E4"/>
    <w:rsid w:val="0094409B"/>
    <w:rsid w:val="00950A08"/>
    <w:rsid w:val="00951CCD"/>
    <w:rsid w:val="00952A00"/>
    <w:rsid w:val="00952D3E"/>
    <w:rsid w:val="009535CA"/>
    <w:rsid w:val="0095476E"/>
    <w:rsid w:val="009550DA"/>
    <w:rsid w:val="00961CC0"/>
    <w:rsid w:val="00961EA0"/>
    <w:rsid w:val="009634B6"/>
    <w:rsid w:val="0096443F"/>
    <w:rsid w:val="00965334"/>
    <w:rsid w:val="009664E0"/>
    <w:rsid w:val="00966816"/>
    <w:rsid w:val="00966A89"/>
    <w:rsid w:val="00967F3C"/>
    <w:rsid w:val="00970763"/>
    <w:rsid w:val="00970C31"/>
    <w:rsid w:val="009710BB"/>
    <w:rsid w:val="00971426"/>
    <w:rsid w:val="009731B1"/>
    <w:rsid w:val="009739C6"/>
    <w:rsid w:val="009742DC"/>
    <w:rsid w:val="009751CE"/>
    <w:rsid w:val="00980249"/>
    <w:rsid w:val="009808FD"/>
    <w:rsid w:val="00981CD5"/>
    <w:rsid w:val="00982DA7"/>
    <w:rsid w:val="00985CCD"/>
    <w:rsid w:val="00986556"/>
    <w:rsid w:val="009873BF"/>
    <w:rsid w:val="00990E3E"/>
    <w:rsid w:val="00992EAA"/>
    <w:rsid w:val="00995D4D"/>
    <w:rsid w:val="0099650E"/>
    <w:rsid w:val="0099744E"/>
    <w:rsid w:val="009974AA"/>
    <w:rsid w:val="009977F9"/>
    <w:rsid w:val="009979F2"/>
    <w:rsid w:val="009A19B0"/>
    <w:rsid w:val="009A2A26"/>
    <w:rsid w:val="009A3514"/>
    <w:rsid w:val="009A47A6"/>
    <w:rsid w:val="009A5BF6"/>
    <w:rsid w:val="009A63CB"/>
    <w:rsid w:val="009A6B9F"/>
    <w:rsid w:val="009A746A"/>
    <w:rsid w:val="009B066D"/>
    <w:rsid w:val="009B0BA8"/>
    <w:rsid w:val="009B0F1B"/>
    <w:rsid w:val="009B12FA"/>
    <w:rsid w:val="009B2C94"/>
    <w:rsid w:val="009B2D68"/>
    <w:rsid w:val="009B33B2"/>
    <w:rsid w:val="009B3985"/>
    <w:rsid w:val="009B3C25"/>
    <w:rsid w:val="009B3FBB"/>
    <w:rsid w:val="009B4E0D"/>
    <w:rsid w:val="009B4FA2"/>
    <w:rsid w:val="009B57C2"/>
    <w:rsid w:val="009B6746"/>
    <w:rsid w:val="009B6A4B"/>
    <w:rsid w:val="009B70AC"/>
    <w:rsid w:val="009B7582"/>
    <w:rsid w:val="009C3DBD"/>
    <w:rsid w:val="009C5210"/>
    <w:rsid w:val="009C5ACF"/>
    <w:rsid w:val="009C6190"/>
    <w:rsid w:val="009D05CE"/>
    <w:rsid w:val="009D0D26"/>
    <w:rsid w:val="009D1924"/>
    <w:rsid w:val="009D21C0"/>
    <w:rsid w:val="009D330B"/>
    <w:rsid w:val="009D3D29"/>
    <w:rsid w:val="009D4EA8"/>
    <w:rsid w:val="009D5129"/>
    <w:rsid w:val="009D672D"/>
    <w:rsid w:val="009D6997"/>
    <w:rsid w:val="009D69D4"/>
    <w:rsid w:val="009D6E3F"/>
    <w:rsid w:val="009E08F9"/>
    <w:rsid w:val="009E1A33"/>
    <w:rsid w:val="009E1EE4"/>
    <w:rsid w:val="009E2630"/>
    <w:rsid w:val="009E3A9C"/>
    <w:rsid w:val="009E3F3E"/>
    <w:rsid w:val="009E5888"/>
    <w:rsid w:val="009F1CCF"/>
    <w:rsid w:val="009F2036"/>
    <w:rsid w:val="009F305E"/>
    <w:rsid w:val="009F3C22"/>
    <w:rsid w:val="009F446E"/>
    <w:rsid w:val="009F5051"/>
    <w:rsid w:val="009F5166"/>
    <w:rsid w:val="009F5542"/>
    <w:rsid w:val="009F5A54"/>
    <w:rsid w:val="009F76FC"/>
    <w:rsid w:val="00A01839"/>
    <w:rsid w:val="00A02FF3"/>
    <w:rsid w:val="00A05A0E"/>
    <w:rsid w:val="00A06ADE"/>
    <w:rsid w:val="00A06CDF"/>
    <w:rsid w:val="00A1036F"/>
    <w:rsid w:val="00A116D6"/>
    <w:rsid w:val="00A13A76"/>
    <w:rsid w:val="00A14095"/>
    <w:rsid w:val="00A158BE"/>
    <w:rsid w:val="00A16FFF"/>
    <w:rsid w:val="00A20521"/>
    <w:rsid w:val="00A20AEB"/>
    <w:rsid w:val="00A22335"/>
    <w:rsid w:val="00A23444"/>
    <w:rsid w:val="00A23EE6"/>
    <w:rsid w:val="00A247BB"/>
    <w:rsid w:val="00A24EAC"/>
    <w:rsid w:val="00A271A9"/>
    <w:rsid w:val="00A27EF9"/>
    <w:rsid w:val="00A323D6"/>
    <w:rsid w:val="00A330A6"/>
    <w:rsid w:val="00A33F30"/>
    <w:rsid w:val="00A353B9"/>
    <w:rsid w:val="00A36D5A"/>
    <w:rsid w:val="00A40786"/>
    <w:rsid w:val="00A408DA"/>
    <w:rsid w:val="00A428ED"/>
    <w:rsid w:val="00A46799"/>
    <w:rsid w:val="00A46A1D"/>
    <w:rsid w:val="00A50588"/>
    <w:rsid w:val="00A50C7A"/>
    <w:rsid w:val="00A5429F"/>
    <w:rsid w:val="00A552B3"/>
    <w:rsid w:val="00A56209"/>
    <w:rsid w:val="00A56352"/>
    <w:rsid w:val="00A6007B"/>
    <w:rsid w:val="00A61EC8"/>
    <w:rsid w:val="00A64C38"/>
    <w:rsid w:val="00A651F2"/>
    <w:rsid w:val="00A6644D"/>
    <w:rsid w:val="00A667C0"/>
    <w:rsid w:val="00A70A4A"/>
    <w:rsid w:val="00A715C1"/>
    <w:rsid w:val="00A71BF7"/>
    <w:rsid w:val="00A744A1"/>
    <w:rsid w:val="00A748EA"/>
    <w:rsid w:val="00A7490A"/>
    <w:rsid w:val="00A762A0"/>
    <w:rsid w:val="00A770B2"/>
    <w:rsid w:val="00A80055"/>
    <w:rsid w:val="00A81383"/>
    <w:rsid w:val="00A827AF"/>
    <w:rsid w:val="00A851A1"/>
    <w:rsid w:val="00A85523"/>
    <w:rsid w:val="00A85BC7"/>
    <w:rsid w:val="00A85EE9"/>
    <w:rsid w:val="00A86132"/>
    <w:rsid w:val="00A868FB"/>
    <w:rsid w:val="00A87946"/>
    <w:rsid w:val="00A9079A"/>
    <w:rsid w:val="00A94316"/>
    <w:rsid w:val="00A9664E"/>
    <w:rsid w:val="00A96B2E"/>
    <w:rsid w:val="00A97919"/>
    <w:rsid w:val="00A979FF"/>
    <w:rsid w:val="00AA02DA"/>
    <w:rsid w:val="00AA2BBE"/>
    <w:rsid w:val="00AA3D80"/>
    <w:rsid w:val="00AA63DB"/>
    <w:rsid w:val="00AA65F0"/>
    <w:rsid w:val="00AB0FB8"/>
    <w:rsid w:val="00AB1959"/>
    <w:rsid w:val="00AB1E35"/>
    <w:rsid w:val="00AB241B"/>
    <w:rsid w:val="00AB343C"/>
    <w:rsid w:val="00AB3FA5"/>
    <w:rsid w:val="00AB6651"/>
    <w:rsid w:val="00AB6655"/>
    <w:rsid w:val="00AB6D2C"/>
    <w:rsid w:val="00AC1570"/>
    <w:rsid w:val="00AC1C9E"/>
    <w:rsid w:val="00AC1D62"/>
    <w:rsid w:val="00AC3542"/>
    <w:rsid w:val="00AC62DF"/>
    <w:rsid w:val="00AD1C6F"/>
    <w:rsid w:val="00AD41D4"/>
    <w:rsid w:val="00AD4DAC"/>
    <w:rsid w:val="00AD5590"/>
    <w:rsid w:val="00AE02D6"/>
    <w:rsid w:val="00AE0340"/>
    <w:rsid w:val="00AE16B8"/>
    <w:rsid w:val="00AE1793"/>
    <w:rsid w:val="00AE26A6"/>
    <w:rsid w:val="00AE47F9"/>
    <w:rsid w:val="00AE6361"/>
    <w:rsid w:val="00AE6F36"/>
    <w:rsid w:val="00AF0D3D"/>
    <w:rsid w:val="00AF3AA0"/>
    <w:rsid w:val="00AF5471"/>
    <w:rsid w:val="00AF5F80"/>
    <w:rsid w:val="00AF6719"/>
    <w:rsid w:val="00AF7134"/>
    <w:rsid w:val="00AF74FA"/>
    <w:rsid w:val="00B00A70"/>
    <w:rsid w:val="00B0140C"/>
    <w:rsid w:val="00B015BA"/>
    <w:rsid w:val="00B023CC"/>
    <w:rsid w:val="00B031E3"/>
    <w:rsid w:val="00B03A98"/>
    <w:rsid w:val="00B06103"/>
    <w:rsid w:val="00B0610F"/>
    <w:rsid w:val="00B0631F"/>
    <w:rsid w:val="00B069BB"/>
    <w:rsid w:val="00B1170A"/>
    <w:rsid w:val="00B11EB4"/>
    <w:rsid w:val="00B1292B"/>
    <w:rsid w:val="00B14397"/>
    <w:rsid w:val="00B1641B"/>
    <w:rsid w:val="00B177FD"/>
    <w:rsid w:val="00B17E1A"/>
    <w:rsid w:val="00B21E30"/>
    <w:rsid w:val="00B22655"/>
    <w:rsid w:val="00B23156"/>
    <w:rsid w:val="00B248AB"/>
    <w:rsid w:val="00B24945"/>
    <w:rsid w:val="00B27551"/>
    <w:rsid w:val="00B3086D"/>
    <w:rsid w:val="00B32043"/>
    <w:rsid w:val="00B3334B"/>
    <w:rsid w:val="00B336D9"/>
    <w:rsid w:val="00B33DA6"/>
    <w:rsid w:val="00B33ED5"/>
    <w:rsid w:val="00B34ED7"/>
    <w:rsid w:val="00B358AA"/>
    <w:rsid w:val="00B36768"/>
    <w:rsid w:val="00B36FC0"/>
    <w:rsid w:val="00B40D55"/>
    <w:rsid w:val="00B4384D"/>
    <w:rsid w:val="00B44329"/>
    <w:rsid w:val="00B4440F"/>
    <w:rsid w:val="00B45C7F"/>
    <w:rsid w:val="00B4788A"/>
    <w:rsid w:val="00B50BAB"/>
    <w:rsid w:val="00B514FA"/>
    <w:rsid w:val="00B51683"/>
    <w:rsid w:val="00B52CD7"/>
    <w:rsid w:val="00B53747"/>
    <w:rsid w:val="00B53830"/>
    <w:rsid w:val="00B54886"/>
    <w:rsid w:val="00B54915"/>
    <w:rsid w:val="00B54CE8"/>
    <w:rsid w:val="00B572F7"/>
    <w:rsid w:val="00B61C34"/>
    <w:rsid w:val="00B6495E"/>
    <w:rsid w:val="00B65A02"/>
    <w:rsid w:val="00B66596"/>
    <w:rsid w:val="00B668EA"/>
    <w:rsid w:val="00B67495"/>
    <w:rsid w:val="00B67D53"/>
    <w:rsid w:val="00B700C7"/>
    <w:rsid w:val="00B7028F"/>
    <w:rsid w:val="00B7049D"/>
    <w:rsid w:val="00B70671"/>
    <w:rsid w:val="00B723BB"/>
    <w:rsid w:val="00B72D7F"/>
    <w:rsid w:val="00B75CB6"/>
    <w:rsid w:val="00B75E54"/>
    <w:rsid w:val="00B76F5F"/>
    <w:rsid w:val="00B8255E"/>
    <w:rsid w:val="00B825FC"/>
    <w:rsid w:val="00B82F80"/>
    <w:rsid w:val="00B8310B"/>
    <w:rsid w:val="00B84A25"/>
    <w:rsid w:val="00B8508E"/>
    <w:rsid w:val="00B861E9"/>
    <w:rsid w:val="00B87936"/>
    <w:rsid w:val="00B87EC0"/>
    <w:rsid w:val="00B90C49"/>
    <w:rsid w:val="00B92837"/>
    <w:rsid w:val="00B932B9"/>
    <w:rsid w:val="00B93891"/>
    <w:rsid w:val="00B949E6"/>
    <w:rsid w:val="00B94EC6"/>
    <w:rsid w:val="00B96E6B"/>
    <w:rsid w:val="00B96ED6"/>
    <w:rsid w:val="00BA07B1"/>
    <w:rsid w:val="00BA4CE7"/>
    <w:rsid w:val="00BA51B0"/>
    <w:rsid w:val="00BA5273"/>
    <w:rsid w:val="00BA5420"/>
    <w:rsid w:val="00BA6160"/>
    <w:rsid w:val="00BA635C"/>
    <w:rsid w:val="00BA6A9F"/>
    <w:rsid w:val="00BA75D0"/>
    <w:rsid w:val="00BB0C7D"/>
    <w:rsid w:val="00BB2F7B"/>
    <w:rsid w:val="00BB2FE7"/>
    <w:rsid w:val="00BB3821"/>
    <w:rsid w:val="00BB4344"/>
    <w:rsid w:val="00BB4739"/>
    <w:rsid w:val="00BB4992"/>
    <w:rsid w:val="00BB4CAE"/>
    <w:rsid w:val="00BB57FB"/>
    <w:rsid w:val="00BB660A"/>
    <w:rsid w:val="00BB7E80"/>
    <w:rsid w:val="00BC0AA6"/>
    <w:rsid w:val="00BC1296"/>
    <w:rsid w:val="00BC15B6"/>
    <w:rsid w:val="00BC2D6F"/>
    <w:rsid w:val="00BC48B5"/>
    <w:rsid w:val="00BC7DCA"/>
    <w:rsid w:val="00BD08E1"/>
    <w:rsid w:val="00BD099E"/>
    <w:rsid w:val="00BD1B7E"/>
    <w:rsid w:val="00BD4A0F"/>
    <w:rsid w:val="00BD5614"/>
    <w:rsid w:val="00BD760A"/>
    <w:rsid w:val="00BD7C3C"/>
    <w:rsid w:val="00BD7D07"/>
    <w:rsid w:val="00BE154B"/>
    <w:rsid w:val="00BE1FF7"/>
    <w:rsid w:val="00BE239C"/>
    <w:rsid w:val="00BE26BE"/>
    <w:rsid w:val="00BE3E0F"/>
    <w:rsid w:val="00BE4375"/>
    <w:rsid w:val="00BE4C0A"/>
    <w:rsid w:val="00BE69EE"/>
    <w:rsid w:val="00BE72F4"/>
    <w:rsid w:val="00BF015D"/>
    <w:rsid w:val="00BF3AEF"/>
    <w:rsid w:val="00BF5141"/>
    <w:rsid w:val="00BF5464"/>
    <w:rsid w:val="00BF58EE"/>
    <w:rsid w:val="00C002F9"/>
    <w:rsid w:val="00C004F8"/>
    <w:rsid w:val="00C00819"/>
    <w:rsid w:val="00C01628"/>
    <w:rsid w:val="00C01F37"/>
    <w:rsid w:val="00C0200C"/>
    <w:rsid w:val="00C021A1"/>
    <w:rsid w:val="00C03CEA"/>
    <w:rsid w:val="00C0424D"/>
    <w:rsid w:val="00C046B1"/>
    <w:rsid w:val="00C07C90"/>
    <w:rsid w:val="00C12465"/>
    <w:rsid w:val="00C12BF6"/>
    <w:rsid w:val="00C147AE"/>
    <w:rsid w:val="00C14F90"/>
    <w:rsid w:val="00C164F6"/>
    <w:rsid w:val="00C1796C"/>
    <w:rsid w:val="00C17C09"/>
    <w:rsid w:val="00C202D8"/>
    <w:rsid w:val="00C2116C"/>
    <w:rsid w:val="00C2138A"/>
    <w:rsid w:val="00C251C8"/>
    <w:rsid w:val="00C2529A"/>
    <w:rsid w:val="00C26768"/>
    <w:rsid w:val="00C30E9B"/>
    <w:rsid w:val="00C32AF5"/>
    <w:rsid w:val="00C3353C"/>
    <w:rsid w:val="00C33E2A"/>
    <w:rsid w:val="00C3520E"/>
    <w:rsid w:val="00C35241"/>
    <w:rsid w:val="00C35D99"/>
    <w:rsid w:val="00C368F8"/>
    <w:rsid w:val="00C43496"/>
    <w:rsid w:val="00C47011"/>
    <w:rsid w:val="00C47D17"/>
    <w:rsid w:val="00C5027C"/>
    <w:rsid w:val="00C50613"/>
    <w:rsid w:val="00C51FD0"/>
    <w:rsid w:val="00C529B2"/>
    <w:rsid w:val="00C53C3A"/>
    <w:rsid w:val="00C549CD"/>
    <w:rsid w:val="00C57016"/>
    <w:rsid w:val="00C60962"/>
    <w:rsid w:val="00C60E5E"/>
    <w:rsid w:val="00C620CC"/>
    <w:rsid w:val="00C62FB3"/>
    <w:rsid w:val="00C63A6F"/>
    <w:rsid w:val="00C64E3F"/>
    <w:rsid w:val="00C653BF"/>
    <w:rsid w:val="00C66DE8"/>
    <w:rsid w:val="00C677F0"/>
    <w:rsid w:val="00C70784"/>
    <w:rsid w:val="00C709B8"/>
    <w:rsid w:val="00C70AC0"/>
    <w:rsid w:val="00C70EA9"/>
    <w:rsid w:val="00C71537"/>
    <w:rsid w:val="00C7191F"/>
    <w:rsid w:val="00C72500"/>
    <w:rsid w:val="00C72582"/>
    <w:rsid w:val="00C745D9"/>
    <w:rsid w:val="00C755B8"/>
    <w:rsid w:val="00C76A9C"/>
    <w:rsid w:val="00C80F28"/>
    <w:rsid w:val="00C81F7D"/>
    <w:rsid w:val="00C82468"/>
    <w:rsid w:val="00C84DF7"/>
    <w:rsid w:val="00C850D9"/>
    <w:rsid w:val="00C87DF3"/>
    <w:rsid w:val="00C91B6B"/>
    <w:rsid w:val="00C92DC5"/>
    <w:rsid w:val="00C93729"/>
    <w:rsid w:val="00C93DBA"/>
    <w:rsid w:val="00C94EC6"/>
    <w:rsid w:val="00C9541A"/>
    <w:rsid w:val="00C97A54"/>
    <w:rsid w:val="00CA2781"/>
    <w:rsid w:val="00CA287E"/>
    <w:rsid w:val="00CA3FBA"/>
    <w:rsid w:val="00CA7836"/>
    <w:rsid w:val="00CB169E"/>
    <w:rsid w:val="00CB4151"/>
    <w:rsid w:val="00CB56F5"/>
    <w:rsid w:val="00CB63E0"/>
    <w:rsid w:val="00CB7318"/>
    <w:rsid w:val="00CC134C"/>
    <w:rsid w:val="00CC25D4"/>
    <w:rsid w:val="00CC2FEA"/>
    <w:rsid w:val="00CC501C"/>
    <w:rsid w:val="00CC5567"/>
    <w:rsid w:val="00CC602D"/>
    <w:rsid w:val="00CC7273"/>
    <w:rsid w:val="00CD467F"/>
    <w:rsid w:val="00CD4E7A"/>
    <w:rsid w:val="00CD7CE3"/>
    <w:rsid w:val="00CE0568"/>
    <w:rsid w:val="00CE2DD0"/>
    <w:rsid w:val="00CE3325"/>
    <w:rsid w:val="00CE42A0"/>
    <w:rsid w:val="00CE785C"/>
    <w:rsid w:val="00CF0A4E"/>
    <w:rsid w:val="00CF2494"/>
    <w:rsid w:val="00CF46B1"/>
    <w:rsid w:val="00CF4EF2"/>
    <w:rsid w:val="00CF53CE"/>
    <w:rsid w:val="00CF72E8"/>
    <w:rsid w:val="00CF74DC"/>
    <w:rsid w:val="00CF7646"/>
    <w:rsid w:val="00D00D56"/>
    <w:rsid w:val="00D02C50"/>
    <w:rsid w:val="00D040D5"/>
    <w:rsid w:val="00D05584"/>
    <w:rsid w:val="00D10B7E"/>
    <w:rsid w:val="00D12954"/>
    <w:rsid w:val="00D12FA0"/>
    <w:rsid w:val="00D1598A"/>
    <w:rsid w:val="00D15D26"/>
    <w:rsid w:val="00D16BBB"/>
    <w:rsid w:val="00D16E30"/>
    <w:rsid w:val="00D17A95"/>
    <w:rsid w:val="00D21035"/>
    <w:rsid w:val="00D21B85"/>
    <w:rsid w:val="00D2294F"/>
    <w:rsid w:val="00D22EF2"/>
    <w:rsid w:val="00D27ED3"/>
    <w:rsid w:val="00D30694"/>
    <w:rsid w:val="00D30AFC"/>
    <w:rsid w:val="00D3232B"/>
    <w:rsid w:val="00D328A1"/>
    <w:rsid w:val="00D32943"/>
    <w:rsid w:val="00D36A08"/>
    <w:rsid w:val="00D37C9A"/>
    <w:rsid w:val="00D407DF"/>
    <w:rsid w:val="00D4141C"/>
    <w:rsid w:val="00D417D3"/>
    <w:rsid w:val="00D426CE"/>
    <w:rsid w:val="00D42DAF"/>
    <w:rsid w:val="00D43802"/>
    <w:rsid w:val="00D44F35"/>
    <w:rsid w:val="00D468ED"/>
    <w:rsid w:val="00D46A0A"/>
    <w:rsid w:val="00D508ED"/>
    <w:rsid w:val="00D51552"/>
    <w:rsid w:val="00D527F4"/>
    <w:rsid w:val="00D54886"/>
    <w:rsid w:val="00D54D91"/>
    <w:rsid w:val="00D55CCE"/>
    <w:rsid w:val="00D574B2"/>
    <w:rsid w:val="00D57F75"/>
    <w:rsid w:val="00D60EC5"/>
    <w:rsid w:val="00D61991"/>
    <w:rsid w:val="00D6256F"/>
    <w:rsid w:val="00D625F6"/>
    <w:rsid w:val="00D63D42"/>
    <w:rsid w:val="00D644A4"/>
    <w:rsid w:val="00D65681"/>
    <w:rsid w:val="00D669E6"/>
    <w:rsid w:val="00D67792"/>
    <w:rsid w:val="00D6789F"/>
    <w:rsid w:val="00D705D2"/>
    <w:rsid w:val="00D71DB1"/>
    <w:rsid w:val="00D7369C"/>
    <w:rsid w:val="00D74EB5"/>
    <w:rsid w:val="00D756D5"/>
    <w:rsid w:val="00D76DAF"/>
    <w:rsid w:val="00D81307"/>
    <w:rsid w:val="00D81E48"/>
    <w:rsid w:val="00D83B69"/>
    <w:rsid w:val="00D869B1"/>
    <w:rsid w:val="00D869C7"/>
    <w:rsid w:val="00D879C7"/>
    <w:rsid w:val="00D91822"/>
    <w:rsid w:val="00D925C9"/>
    <w:rsid w:val="00D92AAB"/>
    <w:rsid w:val="00D93106"/>
    <w:rsid w:val="00D96200"/>
    <w:rsid w:val="00D9645E"/>
    <w:rsid w:val="00D968CD"/>
    <w:rsid w:val="00D96FE0"/>
    <w:rsid w:val="00D9727F"/>
    <w:rsid w:val="00D97770"/>
    <w:rsid w:val="00DA1FED"/>
    <w:rsid w:val="00DA2BB5"/>
    <w:rsid w:val="00DA367C"/>
    <w:rsid w:val="00DA4EB0"/>
    <w:rsid w:val="00DB09BF"/>
    <w:rsid w:val="00DB1C28"/>
    <w:rsid w:val="00DB2542"/>
    <w:rsid w:val="00DB2EC4"/>
    <w:rsid w:val="00DB3AEB"/>
    <w:rsid w:val="00DB6392"/>
    <w:rsid w:val="00DB72E6"/>
    <w:rsid w:val="00DC1509"/>
    <w:rsid w:val="00DC38E5"/>
    <w:rsid w:val="00DC4562"/>
    <w:rsid w:val="00DC5BA4"/>
    <w:rsid w:val="00DC6A59"/>
    <w:rsid w:val="00DD087F"/>
    <w:rsid w:val="00DD0E1B"/>
    <w:rsid w:val="00DD14CA"/>
    <w:rsid w:val="00DD18BB"/>
    <w:rsid w:val="00DD1A42"/>
    <w:rsid w:val="00DD1C04"/>
    <w:rsid w:val="00DD21B7"/>
    <w:rsid w:val="00DD480B"/>
    <w:rsid w:val="00DD4FA2"/>
    <w:rsid w:val="00DD5F80"/>
    <w:rsid w:val="00DD7A5A"/>
    <w:rsid w:val="00DE0954"/>
    <w:rsid w:val="00DE0959"/>
    <w:rsid w:val="00DE2F1F"/>
    <w:rsid w:val="00DE3747"/>
    <w:rsid w:val="00DE47CC"/>
    <w:rsid w:val="00DE61B7"/>
    <w:rsid w:val="00DE76BC"/>
    <w:rsid w:val="00DE7B33"/>
    <w:rsid w:val="00DF0718"/>
    <w:rsid w:val="00DF0E15"/>
    <w:rsid w:val="00DF1108"/>
    <w:rsid w:val="00DF179A"/>
    <w:rsid w:val="00DF186C"/>
    <w:rsid w:val="00DF1AF1"/>
    <w:rsid w:val="00DF1D01"/>
    <w:rsid w:val="00DF1E14"/>
    <w:rsid w:val="00DF3219"/>
    <w:rsid w:val="00DF38EA"/>
    <w:rsid w:val="00DF42B4"/>
    <w:rsid w:val="00DF4C83"/>
    <w:rsid w:val="00DF6AFB"/>
    <w:rsid w:val="00DF71E7"/>
    <w:rsid w:val="00DF78DE"/>
    <w:rsid w:val="00E01F67"/>
    <w:rsid w:val="00E028AA"/>
    <w:rsid w:val="00E065D5"/>
    <w:rsid w:val="00E0691C"/>
    <w:rsid w:val="00E069AE"/>
    <w:rsid w:val="00E06C18"/>
    <w:rsid w:val="00E07A4D"/>
    <w:rsid w:val="00E07FB0"/>
    <w:rsid w:val="00E11EF1"/>
    <w:rsid w:val="00E11FFA"/>
    <w:rsid w:val="00E12741"/>
    <w:rsid w:val="00E13817"/>
    <w:rsid w:val="00E176F4"/>
    <w:rsid w:val="00E205DD"/>
    <w:rsid w:val="00E22020"/>
    <w:rsid w:val="00E22C8C"/>
    <w:rsid w:val="00E23710"/>
    <w:rsid w:val="00E23F14"/>
    <w:rsid w:val="00E23F50"/>
    <w:rsid w:val="00E248D0"/>
    <w:rsid w:val="00E24EDC"/>
    <w:rsid w:val="00E257C2"/>
    <w:rsid w:val="00E25A3D"/>
    <w:rsid w:val="00E25D68"/>
    <w:rsid w:val="00E25F04"/>
    <w:rsid w:val="00E27138"/>
    <w:rsid w:val="00E27EAB"/>
    <w:rsid w:val="00E3031D"/>
    <w:rsid w:val="00E304A4"/>
    <w:rsid w:val="00E31689"/>
    <w:rsid w:val="00E330DE"/>
    <w:rsid w:val="00E33731"/>
    <w:rsid w:val="00E341C9"/>
    <w:rsid w:val="00E3556D"/>
    <w:rsid w:val="00E3596E"/>
    <w:rsid w:val="00E36496"/>
    <w:rsid w:val="00E3677F"/>
    <w:rsid w:val="00E42784"/>
    <w:rsid w:val="00E44F08"/>
    <w:rsid w:val="00E4577A"/>
    <w:rsid w:val="00E46EB4"/>
    <w:rsid w:val="00E47336"/>
    <w:rsid w:val="00E474D0"/>
    <w:rsid w:val="00E47B97"/>
    <w:rsid w:val="00E50493"/>
    <w:rsid w:val="00E50FB7"/>
    <w:rsid w:val="00E515E9"/>
    <w:rsid w:val="00E51AEA"/>
    <w:rsid w:val="00E52390"/>
    <w:rsid w:val="00E543E5"/>
    <w:rsid w:val="00E54476"/>
    <w:rsid w:val="00E56461"/>
    <w:rsid w:val="00E567AA"/>
    <w:rsid w:val="00E60BE6"/>
    <w:rsid w:val="00E61735"/>
    <w:rsid w:val="00E61F3D"/>
    <w:rsid w:val="00E63382"/>
    <w:rsid w:val="00E6340D"/>
    <w:rsid w:val="00E6391D"/>
    <w:rsid w:val="00E6452F"/>
    <w:rsid w:val="00E64D25"/>
    <w:rsid w:val="00E6545A"/>
    <w:rsid w:val="00E65721"/>
    <w:rsid w:val="00E66AF6"/>
    <w:rsid w:val="00E66BF1"/>
    <w:rsid w:val="00E724F1"/>
    <w:rsid w:val="00E73155"/>
    <w:rsid w:val="00E743C7"/>
    <w:rsid w:val="00E74473"/>
    <w:rsid w:val="00E745D6"/>
    <w:rsid w:val="00E752C7"/>
    <w:rsid w:val="00E76FEA"/>
    <w:rsid w:val="00E803DC"/>
    <w:rsid w:val="00E81DF2"/>
    <w:rsid w:val="00E82B4F"/>
    <w:rsid w:val="00E878DB"/>
    <w:rsid w:val="00E87B64"/>
    <w:rsid w:val="00E87DA5"/>
    <w:rsid w:val="00E91254"/>
    <w:rsid w:val="00E923FF"/>
    <w:rsid w:val="00E92DEC"/>
    <w:rsid w:val="00E93FEA"/>
    <w:rsid w:val="00E952DD"/>
    <w:rsid w:val="00E9560A"/>
    <w:rsid w:val="00E95A26"/>
    <w:rsid w:val="00E96E2A"/>
    <w:rsid w:val="00EA0341"/>
    <w:rsid w:val="00EA04AE"/>
    <w:rsid w:val="00EA0A68"/>
    <w:rsid w:val="00EA0C4D"/>
    <w:rsid w:val="00EA11C6"/>
    <w:rsid w:val="00EA1243"/>
    <w:rsid w:val="00EA15B0"/>
    <w:rsid w:val="00EA1E95"/>
    <w:rsid w:val="00EA39BA"/>
    <w:rsid w:val="00EA4AE2"/>
    <w:rsid w:val="00EA5E9D"/>
    <w:rsid w:val="00EA6B47"/>
    <w:rsid w:val="00EB1C31"/>
    <w:rsid w:val="00EB200A"/>
    <w:rsid w:val="00EB35A0"/>
    <w:rsid w:val="00EB3E02"/>
    <w:rsid w:val="00EB41D2"/>
    <w:rsid w:val="00EB4325"/>
    <w:rsid w:val="00EB454E"/>
    <w:rsid w:val="00EB52D4"/>
    <w:rsid w:val="00EB53DF"/>
    <w:rsid w:val="00EB5591"/>
    <w:rsid w:val="00EB5E7B"/>
    <w:rsid w:val="00EB61E4"/>
    <w:rsid w:val="00EB740B"/>
    <w:rsid w:val="00EB765B"/>
    <w:rsid w:val="00EB7DC6"/>
    <w:rsid w:val="00EC0474"/>
    <w:rsid w:val="00EC2E8E"/>
    <w:rsid w:val="00EC2F60"/>
    <w:rsid w:val="00EC48FC"/>
    <w:rsid w:val="00EC6075"/>
    <w:rsid w:val="00EC62E2"/>
    <w:rsid w:val="00EC709F"/>
    <w:rsid w:val="00EC73EE"/>
    <w:rsid w:val="00ED059B"/>
    <w:rsid w:val="00ED08D3"/>
    <w:rsid w:val="00ED1AE2"/>
    <w:rsid w:val="00ED3082"/>
    <w:rsid w:val="00ED57DC"/>
    <w:rsid w:val="00ED6DC3"/>
    <w:rsid w:val="00ED7603"/>
    <w:rsid w:val="00ED7F9A"/>
    <w:rsid w:val="00EE04DF"/>
    <w:rsid w:val="00EE07AC"/>
    <w:rsid w:val="00EE0F12"/>
    <w:rsid w:val="00EE15BF"/>
    <w:rsid w:val="00EE1978"/>
    <w:rsid w:val="00EE26C0"/>
    <w:rsid w:val="00EE462F"/>
    <w:rsid w:val="00EE562F"/>
    <w:rsid w:val="00EE5918"/>
    <w:rsid w:val="00EE62B0"/>
    <w:rsid w:val="00EE65D4"/>
    <w:rsid w:val="00EE738F"/>
    <w:rsid w:val="00EF18E9"/>
    <w:rsid w:val="00EF1DA0"/>
    <w:rsid w:val="00EF1DA6"/>
    <w:rsid w:val="00EF1F7A"/>
    <w:rsid w:val="00EF354C"/>
    <w:rsid w:val="00EF57CF"/>
    <w:rsid w:val="00EF6084"/>
    <w:rsid w:val="00EF659B"/>
    <w:rsid w:val="00EF7416"/>
    <w:rsid w:val="00F0052E"/>
    <w:rsid w:val="00F008E4"/>
    <w:rsid w:val="00F00C51"/>
    <w:rsid w:val="00F020C6"/>
    <w:rsid w:val="00F02778"/>
    <w:rsid w:val="00F03780"/>
    <w:rsid w:val="00F0570F"/>
    <w:rsid w:val="00F05B65"/>
    <w:rsid w:val="00F06514"/>
    <w:rsid w:val="00F06B68"/>
    <w:rsid w:val="00F0702E"/>
    <w:rsid w:val="00F070A3"/>
    <w:rsid w:val="00F1086F"/>
    <w:rsid w:val="00F1137E"/>
    <w:rsid w:val="00F1291A"/>
    <w:rsid w:val="00F12C1E"/>
    <w:rsid w:val="00F143CA"/>
    <w:rsid w:val="00F15019"/>
    <w:rsid w:val="00F16C57"/>
    <w:rsid w:val="00F1702A"/>
    <w:rsid w:val="00F177D1"/>
    <w:rsid w:val="00F20025"/>
    <w:rsid w:val="00F21317"/>
    <w:rsid w:val="00F21A63"/>
    <w:rsid w:val="00F22439"/>
    <w:rsid w:val="00F2290F"/>
    <w:rsid w:val="00F249F5"/>
    <w:rsid w:val="00F25786"/>
    <w:rsid w:val="00F25D0A"/>
    <w:rsid w:val="00F26DC2"/>
    <w:rsid w:val="00F307F4"/>
    <w:rsid w:val="00F30E62"/>
    <w:rsid w:val="00F34B6C"/>
    <w:rsid w:val="00F34EC5"/>
    <w:rsid w:val="00F4014B"/>
    <w:rsid w:val="00F40721"/>
    <w:rsid w:val="00F40F0E"/>
    <w:rsid w:val="00F41024"/>
    <w:rsid w:val="00F41E53"/>
    <w:rsid w:val="00F42C70"/>
    <w:rsid w:val="00F42E1C"/>
    <w:rsid w:val="00F430D9"/>
    <w:rsid w:val="00F43397"/>
    <w:rsid w:val="00F44896"/>
    <w:rsid w:val="00F44FEA"/>
    <w:rsid w:val="00F45515"/>
    <w:rsid w:val="00F45DA0"/>
    <w:rsid w:val="00F46A33"/>
    <w:rsid w:val="00F46DAC"/>
    <w:rsid w:val="00F50EE1"/>
    <w:rsid w:val="00F52055"/>
    <w:rsid w:val="00F52A59"/>
    <w:rsid w:val="00F54279"/>
    <w:rsid w:val="00F54C3B"/>
    <w:rsid w:val="00F608FF"/>
    <w:rsid w:val="00F61160"/>
    <w:rsid w:val="00F63107"/>
    <w:rsid w:val="00F6357E"/>
    <w:rsid w:val="00F64397"/>
    <w:rsid w:val="00F65150"/>
    <w:rsid w:val="00F66832"/>
    <w:rsid w:val="00F668FC"/>
    <w:rsid w:val="00F67152"/>
    <w:rsid w:val="00F70B1C"/>
    <w:rsid w:val="00F70D1C"/>
    <w:rsid w:val="00F7220E"/>
    <w:rsid w:val="00F72276"/>
    <w:rsid w:val="00F736AF"/>
    <w:rsid w:val="00F74023"/>
    <w:rsid w:val="00F74285"/>
    <w:rsid w:val="00F75D48"/>
    <w:rsid w:val="00F76A4E"/>
    <w:rsid w:val="00F80447"/>
    <w:rsid w:val="00F80989"/>
    <w:rsid w:val="00F80DC7"/>
    <w:rsid w:val="00F81778"/>
    <w:rsid w:val="00F83809"/>
    <w:rsid w:val="00F84B9B"/>
    <w:rsid w:val="00F84EB8"/>
    <w:rsid w:val="00F8521D"/>
    <w:rsid w:val="00F86DC7"/>
    <w:rsid w:val="00F87BFE"/>
    <w:rsid w:val="00F90B6F"/>
    <w:rsid w:val="00F919EF"/>
    <w:rsid w:val="00F9291D"/>
    <w:rsid w:val="00F9349E"/>
    <w:rsid w:val="00F94238"/>
    <w:rsid w:val="00F944AA"/>
    <w:rsid w:val="00F95AA7"/>
    <w:rsid w:val="00F97B64"/>
    <w:rsid w:val="00FA0F6D"/>
    <w:rsid w:val="00FA181A"/>
    <w:rsid w:val="00FA401C"/>
    <w:rsid w:val="00FA47F9"/>
    <w:rsid w:val="00FA490D"/>
    <w:rsid w:val="00FA5667"/>
    <w:rsid w:val="00FA7968"/>
    <w:rsid w:val="00FB0755"/>
    <w:rsid w:val="00FB3697"/>
    <w:rsid w:val="00FB41AF"/>
    <w:rsid w:val="00FB55C4"/>
    <w:rsid w:val="00FB5AF1"/>
    <w:rsid w:val="00FB6467"/>
    <w:rsid w:val="00FB6E7A"/>
    <w:rsid w:val="00FB7E67"/>
    <w:rsid w:val="00FC04CB"/>
    <w:rsid w:val="00FC1553"/>
    <w:rsid w:val="00FC1CA1"/>
    <w:rsid w:val="00FC2C8B"/>
    <w:rsid w:val="00FC3406"/>
    <w:rsid w:val="00FC3B2B"/>
    <w:rsid w:val="00FC3C20"/>
    <w:rsid w:val="00FC71C2"/>
    <w:rsid w:val="00FC7B68"/>
    <w:rsid w:val="00FD17C2"/>
    <w:rsid w:val="00FD1C19"/>
    <w:rsid w:val="00FD20DA"/>
    <w:rsid w:val="00FD2490"/>
    <w:rsid w:val="00FD26AF"/>
    <w:rsid w:val="00FD31AD"/>
    <w:rsid w:val="00FD474D"/>
    <w:rsid w:val="00FD49C0"/>
    <w:rsid w:val="00FD4A36"/>
    <w:rsid w:val="00FD4EF4"/>
    <w:rsid w:val="00FD58F3"/>
    <w:rsid w:val="00FE0790"/>
    <w:rsid w:val="00FE13E3"/>
    <w:rsid w:val="00FE35AE"/>
    <w:rsid w:val="00FE39E7"/>
    <w:rsid w:val="00FE402C"/>
    <w:rsid w:val="00FE4852"/>
    <w:rsid w:val="00FE5EF2"/>
    <w:rsid w:val="00FF00ED"/>
    <w:rsid w:val="00FF073D"/>
    <w:rsid w:val="00FF3D31"/>
    <w:rsid w:val="00FF49C6"/>
    <w:rsid w:val="00FF58A2"/>
    <w:rsid w:val="00FF5957"/>
    <w:rsid w:val="00FF615C"/>
    <w:rsid w:val="00FF6738"/>
    <w:rsid w:val="00FF6AB8"/>
    <w:rsid w:val="00FF76E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A457C3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pt-BR" w:eastAsia="en-US" w:bidi="ar-SA"/>
      </w:rPr>
    </w:rPrDefault>
    <w:pPrDefault>
      <w:pPr>
        <w:spacing w:after="24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42A9"/>
    <w:pPr>
      <w:spacing w:after="0" w:line="240" w:lineRule="auto"/>
    </w:pPr>
    <w:rPr>
      <w:rFonts w:eastAsia="Times New Roman" w:cs="Times New Roman"/>
      <w:lang w:eastAsia="pt-BR"/>
    </w:rPr>
  </w:style>
  <w:style w:type="paragraph" w:styleId="Ttulo1">
    <w:name w:val="heading 1"/>
    <w:basedOn w:val="Normal"/>
    <w:next w:val="Normal"/>
    <w:link w:val="Ttulo1Char"/>
    <w:autoRedefine/>
    <w:uiPriority w:val="9"/>
    <w:qFormat/>
    <w:rsid w:val="00421E69"/>
    <w:pPr>
      <w:numPr>
        <w:numId w:val="9"/>
      </w:numPr>
      <w:tabs>
        <w:tab w:val="left" w:pos="284"/>
      </w:tabs>
      <w:spacing w:before="240" w:after="240" w:line="360" w:lineRule="auto"/>
      <w:ind w:left="0" w:firstLine="0"/>
      <w:outlineLvl w:val="0"/>
    </w:pPr>
    <w:rPr>
      <w:rFonts w:eastAsiaTheme="majorEastAsia"/>
      <w:b/>
      <w:bCs/>
      <w:lang w:eastAsia="en-US"/>
    </w:rPr>
  </w:style>
  <w:style w:type="paragraph" w:styleId="Ttulo2">
    <w:name w:val="heading 2"/>
    <w:basedOn w:val="Normal"/>
    <w:next w:val="Normal"/>
    <w:link w:val="Ttulo2Char"/>
    <w:uiPriority w:val="9"/>
    <w:unhideWhenUsed/>
    <w:qFormat/>
    <w:rsid w:val="001847A4"/>
    <w:pPr>
      <w:spacing w:before="200" w:after="240" w:line="259" w:lineRule="auto"/>
      <w:outlineLvl w:val="1"/>
    </w:pPr>
    <w:rPr>
      <w:rFonts w:asciiTheme="majorHAnsi" w:eastAsiaTheme="majorEastAsia" w:hAnsiTheme="majorHAnsi" w:cstheme="majorBidi"/>
      <w:b/>
      <w:bCs/>
      <w:sz w:val="26"/>
      <w:szCs w:val="26"/>
      <w:lang w:eastAsia="en-US"/>
    </w:rPr>
  </w:style>
  <w:style w:type="paragraph" w:styleId="Ttulo3">
    <w:name w:val="heading 3"/>
    <w:basedOn w:val="Normal"/>
    <w:next w:val="Normal"/>
    <w:link w:val="Ttulo3Char"/>
    <w:uiPriority w:val="9"/>
    <w:unhideWhenUsed/>
    <w:qFormat/>
    <w:rsid w:val="001847A4"/>
    <w:pPr>
      <w:spacing w:before="200" w:after="240" w:line="271" w:lineRule="auto"/>
      <w:outlineLvl w:val="2"/>
    </w:pPr>
    <w:rPr>
      <w:rFonts w:asciiTheme="majorHAnsi" w:eastAsiaTheme="majorEastAsia" w:hAnsiTheme="majorHAnsi" w:cstheme="majorBidi"/>
      <w:b/>
      <w:bCs/>
      <w:lang w:eastAsia="en-US"/>
    </w:rPr>
  </w:style>
  <w:style w:type="paragraph" w:styleId="Ttulo4">
    <w:name w:val="heading 4"/>
    <w:basedOn w:val="Normal"/>
    <w:next w:val="Normal"/>
    <w:link w:val="Ttulo4Char"/>
    <w:uiPriority w:val="9"/>
    <w:unhideWhenUsed/>
    <w:qFormat/>
    <w:rsid w:val="001847A4"/>
    <w:pPr>
      <w:spacing w:before="200" w:after="240" w:line="259" w:lineRule="auto"/>
      <w:outlineLvl w:val="3"/>
    </w:pPr>
    <w:rPr>
      <w:rFonts w:asciiTheme="majorHAnsi" w:eastAsiaTheme="majorEastAsia" w:hAnsiTheme="majorHAnsi" w:cstheme="majorBidi"/>
      <w:b/>
      <w:bCs/>
      <w:i/>
      <w:iCs/>
      <w:lang w:eastAsia="en-US"/>
    </w:rPr>
  </w:style>
  <w:style w:type="paragraph" w:styleId="Ttulo5">
    <w:name w:val="heading 5"/>
    <w:basedOn w:val="Normal"/>
    <w:next w:val="Normal"/>
    <w:link w:val="Ttulo5Char"/>
    <w:uiPriority w:val="9"/>
    <w:semiHidden/>
    <w:unhideWhenUsed/>
    <w:qFormat/>
    <w:rsid w:val="001847A4"/>
    <w:pPr>
      <w:spacing w:before="200" w:after="240" w:line="259" w:lineRule="auto"/>
      <w:outlineLvl w:val="4"/>
    </w:pPr>
    <w:rPr>
      <w:rFonts w:asciiTheme="majorHAnsi" w:eastAsiaTheme="majorEastAsia" w:hAnsiTheme="majorHAnsi" w:cstheme="majorBidi"/>
      <w:b/>
      <w:bCs/>
      <w:color w:val="7F7F7F" w:themeColor="text1" w:themeTint="80"/>
      <w:lang w:eastAsia="en-US"/>
    </w:rPr>
  </w:style>
  <w:style w:type="paragraph" w:styleId="Ttulo6">
    <w:name w:val="heading 6"/>
    <w:basedOn w:val="Normal"/>
    <w:next w:val="Normal"/>
    <w:link w:val="Ttulo6Char"/>
    <w:uiPriority w:val="9"/>
    <w:semiHidden/>
    <w:unhideWhenUsed/>
    <w:qFormat/>
    <w:rsid w:val="001847A4"/>
    <w:pPr>
      <w:spacing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1847A4"/>
    <w:pPr>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1847A4"/>
    <w:pPr>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1847A4"/>
    <w:pPr>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1E69"/>
    <w:rPr>
      <w:rFonts w:eastAsiaTheme="majorEastAsia" w:cs="Times New Roman"/>
      <w:b/>
      <w:bCs/>
    </w:rPr>
  </w:style>
  <w:style w:type="character" w:customStyle="1" w:styleId="Ttulo2Char">
    <w:name w:val="Título 2 Char"/>
    <w:basedOn w:val="Fontepargpadro"/>
    <w:link w:val="Ttulo2"/>
    <w:uiPriority w:val="9"/>
    <w:rsid w:val="001847A4"/>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1847A4"/>
    <w:rPr>
      <w:rFonts w:asciiTheme="majorHAnsi" w:eastAsiaTheme="majorEastAsia" w:hAnsiTheme="majorHAnsi" w:cstheme="majorBidi"/>
      <w:b/>
      <w:bCs/>
      <w:sz w:val="24"/>
      <w:szCs w:val="24"/>
    </w:rPr>
  </w:style>
  <w:style w:type="character" w:customStyle="1" w:styleId="Ttulo4Char">
    <w:name w:val="Título 4 Char"/>
    <w:basedOn w:val="Fontepargpadro"/>
    <w:link w:val="Ttulo4"/>
    <w:uiPriority w:val="9"/>
    <w:rsid w:val="001847A4"/>
    <w:rPr>
      <w:rFonts w:asciiTheme="majorHAnsi" w:eastAsiaTheme="majorEastAsia" w:hAnsiTheme="majorHAnsi" w:cstheme="majorBidi"/>
      <w:b/>
      <w:bCs/>
      <w:i/>
      <w:iCs/>
      <w:sz w:val="24"/>
      <w:szCs w:val="24"/>
    </w:rPr>
  </w:style>
  <w:style w:type="character" w:customStyle="1" w:styleId="Ttulo5Char">
    <w:name w:val="Título 5 Char"/>
    <w:basedOn w:val="Fontepargpadro"/>
    <w:link w:val="Ttulo5"/>
    <w:uiPriority w:val="9"/>
    <w:semiHidden/>
    <w:rsid w:val="001847A4"/>
    <w:rPr>
      <w:rFonts w:asciiTheme="majorHAnsi" w:eastAsiaTheme="majorEastAsia" w:hAnsiTheme="majorHAnsi" w:cstheme="majorBidi"/>
      <w:b/>
      <w:bCs/>
      <w:color w:val="7F7F7F" w:themeColor="text1" w:themeTint="80"/>
      <w:sz w:val="24"/>
      <w:szCs w:val="24"/>
    </w:rPr>
  </w:style>
  <w:style w:type="character" w:customStyle="1" w:styleId="Ttulo6Char">
    <w:name w:val="Título 6 Char"/>
    <w:basedOn w:val="Fontepargpadro"/>
    <w:link w:val="Ttulo6"/>
    <w:uiPriority w:val="9"/>
    <w:semiHidden/>
    <w:rsid w:val="001847A4"/>
    <w:rPr>
      <w:rFonts w:asciiTheme="majorHAnsi" w:eastAsiaTheme="majorEastAsia" w:hAnsiTheme="majorHAnsi" w:cstheme="majorBidi"/>
      <w:b/>
      <w:bCs/>
      <w:i/>
      <w:iCs/>
      <w:color w:val="7F7F7F" w:themeColor="text1" w:themeTint="80"/>
      <w:sz w:val="24"/>
      <w:szCs w:val="24"/>
    </w:rPr>
  </w:style>
  <w:style w:type="character" w:customStyle="1" w:styleId="Ttulo7Char">
    <w:name w:val="Título 7 Char"/>
    <w:basedOn w:val="Fontepargpadro"/>
    <w:link w:val="Ttulo7"/>
    <w:uiPriority w:val="9"/>
    <w:semiHidden/>
    <w:rsid w:val="001847A4"/>
    <w:rPr>
      <w:rFonts w:asciiTheme="majorHAnsi" w:eastAsiaTheme="majorEastAsia" w:hAnsiTheme="majorHAnsi" w:cstheme="majorBidi"/>
      <w:i/>
      <w:iCs/>
      <w:sz w:val="24"/>
      <w:szCs w:val="24"/>
    </w:rPr>
  </w:style>
  <w:style w:type="character" w:customStyle="1" w:styleId="Ttulo8Char">
    <w:name w:val="Título 8 Char"/>
    <w:basedOn w:val="Fontepargpadro"/>
    <w:link w:val="Ttulo8"/>
    <w:uiPriority w:val="9"/>
    <w:semiHidden/>
    <w:rsid w:val="001847A4"/>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1847A4"/>
    <w:rPr>
      <w:rFonts w:asciiTheme="majorHAnsi" w:eastAsiaTheme="majorEastAsia" w:hAnsiTheme="majorHAnsi" w:cstheme="majorBidi"/>
      <w:i/>
      <w:iCs/>
      <w:spacing w:val="5"/>
      <w:sz w:val="20"/>
      <w:szCs w:val="20"/>
    </w:rPr>
  </w:style>
  <w:style w:type="paragraph" w:styleId="Cabealho">
    <w:name w:val="header"/>
    <w:basedOn w:val="Normal"/>
    <w:link w:val="CabealhoChar"/>
    <w:uiPriority w:val="99"/>
    <w:unhideWhenUsed/>
    <w:rsid w:val="001847A4"/>
    <w:pPr>
      <w:tabs>
        <w:tab w:val="center" w:pos="4252"/>
        <w:tab w:val="right" w:pos="8504"/>
      </w:tabs>
      <w:spacing w:after="240" w:line="259" w:lineRule="auto"/>
    </w:pPr>
    <w:rPr>
      <w:rFonts w:eastAsiaTheme="minorHAnsi" w:cstheme="minorBidi"/>
      <w:lang w:eastAsia="en-US"/>
    </w:rPr>
  </w:style>
  <w:style w:type="character" w:customStyle="1" w:styleId="CabealhoChar">
    <w:name w:val="Cabeçalho Char"/>
    <w:basedOn w:val="Fontepargpadro"/>
    <w:link w:val="Cabealho"/>
    <w:uiPriority w:val="99"/>
    <w:rsid w:val="001847A4"/>
    <w:rPr>
      <w:rFonts w:eastAsiaTheme="minorEastAsia"/>
      <w:sz w:val="24"/>
      <w:szCs w:val="24"/>
    </w:rPr>
  </w:style>
  <w:style w:type="paragraph" w:styleId="Rodap">
    <w:name w:val="footer"/>
    <w:basedOn w:val="Normal"/>
    <w:link w:val="RodapChar"/>
    <w:uiPriority w:val="99"/>
    <w:unhideWhenUsed/>
    <w:rsid w:val="001847A4"/>
    <w:pPr>
      <w:tabs>
        <w:tab w:val="center" w:pos="4252"/>
        <w:tab w:val="right" w:pos="8504"/>
      </w:tabs>
      <w:spacing w:after="240" w:line="259" w:lineRule="auto"/>
    </w:pPr>
    <w:rPr>
      <w:rFonts w:eastAsiaTheme="minorHAnsi" w:cstheme="minorBidi"/>
      <w:lang w:eastAsia="en-US"/>
    </w:rPr>
  </w:style>
  <w:style w:type="character" w:customStyle="1" w:styleId="RodapChar">
    <w:name w:val="Rodapé Char"/>
    <w:basedOn w:val="Fontepargpadro"/>
    <w:link w:val="Rodap"/>
    <w:uiPriority w:val="99"/>
    <w:rsid w:val="001847A4"/>
    <w:rPr>
      <w:rFonts w:eastAsiaTheme="minorEastAsia"/>
      <w:sz w:val="24"/>
      <w:szCs w:val="24"/>
    </w:rPr>
  </w:style>
  <w:style w:type="paragraph" w:styleId="CabealhodoSumrio">
    <w:name w:val="TOC Heading"/>
    <w:basedOn w:val="Ttulo1"/>
    <w:next w:val="Normal"/>
    <w:uiPriority w:val="39"/>
    <w:unhideWhenUsed/>
    <w:qFormat/>
    <w:rsid w:val="001847A4"/>
    <w:pPr>
      <w:outlineLvl w:val="9"/>
    </w:pPr>
    <w:rPr>
      <w:lang w:bidi="en-US"/>
    </w:rPr>
  </w:style>
  <w:style w:type="paragraph" w:styleId="Textodebalo">
    <w:name w:val="Balloon Text"/>
    <w:basedOn w:val="Normal"/>
    <w:link w:val="TextodebaloChar"/>
    <w:uiPriority w:val="99"/>
    <w:semiHidden/>
    <w:unhideWhenUsed/>
    <w:rsid w:val="001847A4"/>
    <w:rPr>
      <w:rFonts w:ascii="Tahoma" w:hAnsi="Tahoma" w:cs="Tahoma"/>
      <w:sz w:val="16"/>
      <w:szCs w:val="16"/>
    </w:rPr>
  </w:style>
  <w:style w:type="character" w:customStyle="1" w:styleId="TextodebaloChar">
    <w:name w:val="Texto de balão Char"/>
    <w:basedOn w:val="Fontepargpadro"/>
    <w:link w:val="Textodebalo"/>
    <w:uiPriority w:val="99"/>
    <w:semiHidden/>
    <w:rsid w:val="001847A4"/>
    <w:rPr>
      <w:rFonts w:ascii="Tahoma" w:eastAsiaTheme="minorEastAsia" w:hAnsi="Tahoma" w:cs="Tahoma"/>
      <w:sz w:val="16"/>
      <w:szCs w:val="16"/>
    </w:rPr>
  </w:style>
  <w:style w:type="paragraph" w:styleId="Sumrio1">
    <w:name w:val="toc 1"/>
    <w:basedOn w:val="Normal"/>
    <w:next w:val="Normal"/>
    <w:autoRedefine/>
    <w:uiPriority w:val="39"/>
    <w:unhideWhenUsed/>
    <w:rsid w:val="001847A4"/>
    <w:pPr>
      <w:spacing w:after="100" w:line="259" w:lineRule="auto"/>
    </w:pPr>
    <w:rPr>
      <w:rFonts w:eastAsiaTheme="minorHAnsi" w:cstheme="minorBidi"/>
      <w:lang w:eastAsia="en-US"/>
    </w:rPr>
  </w:style>
  <w:style w:type="character" w:styleId="Hyperlink">
    <w:name w:val="Hyperlink"/>
    <w:basedOn w:val="Fontepargpadro"/>
    <w:uiPriority w:val="99"/>
    <w:unhideWhenUsed/>
    <w:rsid w:val="001847A4"/>
    <w:rPr>
      <w:color w:val="0563C1" w:themeColor="hyperlink"/>
      <w:u w:val="single"/>
    </w:rPr>
  </w:style>
  <w:style w:type="paragraph" w:styleId="SemEspaamento">
    <w:name w:val="No Spacing"/>
    <w:basedOn w:val="Normal"/>
    <w:uiPriority w:val="1"/>
    <w:qFormat/>
    <w:rsid w:val="001847A4"/>
    <w:pPr>
      <w:spacing w:after="240" w:line="259" w:lineRule="auto"/>
    </w:pPr>
    <w:rPr>
      <w:rFonts w:eastAsiaTheme="minorHAnsi" w:cstheme="minorBidi"/>
      <w:lang w:eastAsia="en-US"/>
    </w:rPr>
  </w:style>
  <w:style w:type="paragraph" w:styleId="Sumrio2">
    <w:name w:val="toc 2"/>
    <w:basedOn w:val="Normal"/>
    <w:next w:val="Normal"/>
    <w:autoRedefine/>
    <w:uiPriority w:val="39"/>
    <w:unhideWhenUsed/>
    <w:rsid w:val="001847A4"/>
    <w:pPr>
      <w:spacing w:after="100" w:line="259" w:lineRule="auto"/>
      <w:ind w:left="220"/>
    </w:pPr>
    <w:rPr>
      <w:rFonts w:eastAsiaTheme="minorHAnsi" w:cstheme="minorBidi"/>
      <w:lang w:eastAsia="en-US"/>
    </w:rPr>
  </w:style>
  <w:style w:type="paragraph" w:styleId="Sumrio3">
    <w:name w:val="toc 3"/>
    <w:basedOn w:val="Normal"/>
    <w:next w:val="Normal"/>
    <w:autoRedefine/>
    <w:uiPriority w:val="39"/>
    <w:unhideWhenUsed/>
    <w:rsid w:val="001847A4"/>
    <w:pPr>
      <w:spacing w:after="100" w:line="259" w:lineRule="auto"/>
      <w:ind w:left="440"/>
    </w:pPr>
    <w:rPr>
      <w:rFonts w:eastAsiaTheme="minorHAnsi" w:cstheme="minorBidi"/>
      <w:lang w:eastAsia="en-US"/>
    </w:rPr>
  </w:style>
  <w:style w:type="character" w:styleId="TextodoEspaoReservado">
    <w:name w:val="Placeholder Text"/>
    <w:basedOn w:val="Fontepargpadro"/>
    <w:uiPriority w:val="99"/>
    <w:semiHidden/>
    <w:rsid w:val="001847A4"/>
    <w:rPr>
      <w:color w:val="808080"/>
    </w:rPr>
  </w:style>
  <w:style w:type="character" w:customStyle="1" w:styleId="apple-converted-space">
    <w:name w:val="apple-converted-space"/>
    <w:basedOn w:val="Fontepargpadro"/>
    <w:rsid w:val="001847A4"/>
  </w:style>
  <w:style w:type="paragraph" w:styleId="Textodenotaderodap">
    <w:name w:val="footnote text"/>
    <w:basedOn w:val="Normal"/>
    <w:link w:val="TextodenotaderodapChar"/>
    <w:uiPriority w:val="99"/>
    <w:semiHidden/>
    <w:unhideWhenUsed/>
    <w:rsid w:val="001847A4"/>
    <w:pPr>
      <w:spacing w:after="240" w:line="259" w:lineRule="auto"/>
    </w:pPr>
    <w:rPr>
      <w:rFonts w:eastAsiaTheme="minorHAnsi" w:cstheme="minorBidi"/>
      <w:sz w:val="20"/>
      <w:szCs w:val="20"/>
      <w:lang w:eastAsia="en-US"/>
    </w:rPr>
  </w:style>
  <w:style w:type="character" w:customStyle="1" w:styleId="TextodenotaderodapChar">
    <w:name w:val="Texto de nota de rodapé Char"/>
    <w:basedOn w:val="Fontepargpadro"/>
    <w:link w:val="Textodenotaderodap"/>
    <w:uiPriority w:val="99"/>
    <w:semiHidden/>
    <w:rsid w:val="001847A4"/>
    <w:rPr>
      <w:rFonts w:eastAsiaTheme="minorEastAsia"/>
      <w:sz w:val="20"/>
      <w:szCs w:val="20"/>
    </w:rPr>
  </w:style>
  <w:style w:type="character" w:styleId="Refdenotaderodap">
    <w:name w:val="footnote reference"/>
    <w:basedOn w:val="Fontepargpadro"/>
    <w:uiPriority w:val="99"/>
    <w:semiHidden/>
    <w:unhideWhenUsed/>
    <w:rsid w:val="001847A4"/>
    <w:rPr>
      <w:vertAlign w:val="superscript"/>
    </w:rPr>
  </w:style>
  <w:style w:type="paragraph" w:styleId="Textodenotadefim">
    <w:name w:val="endnote text"/>
    <w:basedOn w:val="Normal"/>
    <w:link w:val="TextodenotadefimChar"/>
    <w:uiPriority w:val="99"/>
    <w:semiHidden/>
    <w:unhideWhenUsed/>
    <w:rsid w:val="001847A4"/>
    <w:rPr>
      <w:sz w:val="20"/>
      <w:szCs w:val="20"/>
    </w:rPr>
  </w:style>
  <w:style w:type="character" w:customStyle="1" w:styleId="TextodenotadefimChar">
    <w:name w:val="Texto de nota de fim Char"/>
    <w:basedOn w:val="Fontepargpadro"/>
    <w:link w:val="Textodenotadefim"/>
    <w:uiPriority w:val="99"/>
    <w:semiHidden/>
    <w:rsid w:val="001847A4"/>
    <w:rPr>
      <w:rFonts w:eastAsiaTheme="minorEastAsia"/>
      <w:sz w:val="20"/>
      <w:szCs w:val="20"/>
    </w:rPr>
  </w:style>
  <w:style w:type="character" w:styleId="Refdenotadefim">
    <w:name w:val="endnote reference"/>
    <w:basedOn w:val="Fontepargpadro"/>
    <w:uiPriority w:val="99"/>
    <w:semiHidden/>
    <w:unhideWhenUsed/>
    <w:rsid w:val="001847A4"/>
    <w:rPr>
      <w:vertAlign w:val="superscript"/>
    </w:rPr>
  </w:style>
  <w:style w:type="paragraph" w:styleId="PargrafodaLista">
    <w:name w:val="List Paragraph"/>
    <w:basedOn w:val="Normal"/>
    <w:uiPriority w:val="34"/>
    <w:qFormat/>
    <w:rsid w:val="001847A4"/>
    <w:pPr>
      <w:spacing w:after="240" w:line="259" w:lineRule="auto"/>
      <w:ind w:left="720"/>
      <w:contextualSpacing/>
    </w:pPr>
    <w:rPr>
      <w:rFonts w:eastAsiaTheme="minorHAnsi" w:cstheme="minorBidi"/>
      <w:lang w:eastAsia="en-US"/>
    </w:rPr>
  </w:style>
  <w:style w:type="character" w:styleId="RefernciaSutil">
    <w:name w:val="Subtle Reference"/>
    <w:uiPriority w:val="31"/>
    <w:qFormat/>
    <w:rsid w:val="001847A4"/>
    <w:rPr>
      <w:smallCaps/>
    </w:rPr>
  </w:style>
  <w:style w:type="paragraph" w:customStyle="1" w:styleId="Default">
    <w:name w:val="Default"/>
    <w:rsid w:val="001847A4"/>
    <w:pPr>
      <w:autoSpaceDE w:val="0"/>
      <w:autoSpaceDN w:val="0"/>
      <w:adjustRightInd w:val="0"/>
      <w:spacing w:after="0" w:line="240" w:lineRule="auto"/>
    </w:pPr>
    <w:rPr>
      <w:rFonts w:ascii="Tahoma" w:eastAsiaTheme="minorEastAsia" w:hAnsi="Tahoma" w:cs="Tahoma"/>
      <w:color w:val="000000"/>
    </w:rPr>
  </w:style>
  <w:style w:type="character" w:styleId="Forte">
    <w:name w:val="Strong"/>
    <w:uiPriority w:val="22"/>
    <w:qFormat/>
    <w:rsid w:val="001847A4"/>
    <w:rPr>
      <w:b/>
      <w:bCs/>
    </w:rPr>
  </w:style>
  <w:style w:type="paragraph" w:styleId="Legenda">
    <w:name w:val="caption"/>
    <w:basedOn w:val="Normal"/>
    <w:next w:val="Normal"/>
    <w:uiPriority w:val="35"/>
    <w:unhideWhenUsed/>
    <w:rsid w:val="001847A4"/>
    <w:pPr>
      <w:spacing w:after="240" w:line="259" w:lineRule="auto"/>
    </w:pPr>
    <w:rPr>
      <w:rFonts w:eastAsiaTheme="minorHAnsi" w:cstheme="minorBidi"/>
      <w:b/>
      <w:bCs/>
      <w:color w:val="5B9BD5" w:themeColor="accent1"/>
      <w:sz w:val="18"/>
      <w:szCs w:val="18"/>
      <w:lang w:eastAsia="en-US"/>
    </w:rPr>
  </w:style>
  <w:style w:type="paragraph" w:styleId="ndicedeilustraes">
    <w:name w:val="table of figures"/>
    <w:basedOn w:val="Normal"/>
    <w:next w:val="Normal"/>
    <w:uiPriority w:val="99"/>
    <w:unhideWhenUsed/>
    <w:rsid w:val="002F7566"/>
    <w:pPr>
      <w:spacing w:after="240" w:line="259" w:lineRule="auto"/>
      <w:jc w:val="both"/>
    </w:pPr>
    <w:rPr>
      <w:rFonts w:eastAsiaTheme="minorHAnsi" w:cstheme="minorBidi"/>
      <w:lang w:eastAsia="en-US"/>
    </w:rPr>
  </w:style>
  <w:style w:type="paragraph" w:styleId="Ttulo">
    <w:name w:val="Title"/>
    <w:basedOn w:val="Normal"/>
    <w:next w:val="Normal"/>
    <w:link w:val="TtuloChar"/>
    <w:uiPriority w:val="10"/>
    <w:qFormat/>
    <w:rsid w:val="001847A4"/>
    <w:pPr>
      <w:pBdr>
        <w:bottom w:val="single" w:sz="4" w:space="1" w:color="auto"/>
      </w:pBdr>
      <w:spacing w:after="240" w:line="259" w:lineRule="auto"/>
      <w:contextualSpacing/>
    </w:pPr>
    <w:rPr>
      <w:rFonts w:asciiTheme="majorHAnsi" w:eastAsiaTheme="majorEastAsia" w:hAnsiTheme="majorHAnsi" w:cstheme="majorBidi"/>
      <w:spacing w:val="5"/>
      <w:sz w:val="52"/>
      <w:szCs w:val="52"/>
      <w:lang w:eastAsia="en-US"/>
    </w:rPr>
  </w:style>
  <w:style w:type="character" w:customStyle="1" w:styleId="TtuloChar">
    <w:name w:val="Título Char"/>
    <w:basedOn w:val="Fontepargpadro"/>
    <w:link w:val="Ttulo"/>
    <w:uiPriority w:val="10"/>
    <w:rsid w:val="001847A4"/>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1847A4"/>
    <w:pPr>
      <w:spacing w:after="600" w:line="259" w:lineRule="auto"/>
    </w:pPr>
    <w:rPr>
      <w:rFonts w:asciiTheme="majorHAnsi" w:eastAsiaTheme="majorEastAsia" w:hAnsiTheme="majorHAnsi" w:cstheme="majorBidi"/>
      <w:i/>
      <w:iCs/>
      <w:spacing w:val="13"/>
      <w:lang w:eastAsia="en-US"/>
    </w:rPr>
  </w:style>
  <w:style w:type="character" w:customStyle="1" w:styleId="SubttuloChar">
    <w:name w:val="Subtítulo Char"/>
    <w:basedOn w:val="Fontepargpadro"/>
    <w:link w:val="Subttulo"/>
    <w:uiPriority w:val="11"/>
    <w:rsid w:val="001847A4"/>
    <w:rPr>
      <w:rFonts w:asciiTheme="majorHAnsi" w:eastAsiaTheme="majorEastAsia" w:hAnsiTheme="majorHAnsi" w:cstheme="majorBidi"/>
      <w:i/>
      <w:iCs/>
      <w:spacing w:val="13"/>
      <w:sz w:val="24"/>
      <w:szCs w:val="24"/>
    </w:rPr>
  </w:style>
  <w:style w:type="character" w:styleId="nfase">
    <w:name w:val="Emphasis"/>
    <w:uiPriority w:val="20"/>
    <w:qFormat/>
    <w:rsid w:val="001847A4"/>
    <w:rPr>
      <w:b/>
      <w:bCs/>
      <w:i/>
      <w:iCs/>
      <w:spacing w:val="10"/>
      <w:bdr w:val="none" w:sz="0" w:space="0" w:color="auto"/>
      <w:shd w:val="clear" w:color="auto" w:fill="auto"/>
    </w:rPr>
  </w:style>
  <w:style w:type="paragraph" w:styleId="Citao">
    <w:name w:val="Quote"/>
    <w:basedOn w:val="Normal"/>
    <w:next w:val="Normal"/>
    <w:link w:val="CitaoChar"/>
    <w:uiPriority w:val="29"/>
    <w:qFormat/>
    <w:rsid w:val="001847A4"/>
    <w:pPr>
      <w:spacing w:before="200" w:after="240" w:line="259" w:lineRule="auto"/>
      <w:ind w:left="360" w:right="360"/>
    </w:pPr>
    <w:rPr>
      <w:rFonts w:eastAsiaTheme="minorHAnsi" w:cstheme="minorBidi"/>
      <w:i/>
      <w:iCs/>
      <w:lang w:eastAsia="en-US"/>
    </w:rPr>
  </w:style>
  <w:style w:type="character" w:customStyle="1" w:styleId="CitaoChar">
    <w:name w:val="Citação Char"/>
    <w:basedOn w:val="Fontepargpadro"/>
    <w:link w:val="Citao"/>
    <w:uiPriority w:val="29"/>
    <w:rsid w:val="001847A4"/>
    <w:rPr>
      <w:rFonts w:eastAsiaTheme="minorEastAsia"/>
      <w:i/>
      <w:iCs/>
      <w:sz w:val="24"/>
      <w:szCs w:val="24"/>
    </w:rPr>
  </w:style>
  <w:style w:type="paragraph" w:styleId="CitaoIntensa">
    <w:name w:val="Intense Quote"/>
    <w:basedOn w:val="Normal"/>
    <w:next w:val="Normal"/>
    <w:link w:val="CitaoIntensaChar"/>
    <w:uiPriority w:val="30"/>
    <w:qFormat/>
    <w:rsid w:val="001847A4"/>
    <w:pPr>
      <w:pBdr>
        <w:bottom w:val="single" w:sz="4" w:space="1" w:color="auto"/>
      </w:pBdr>
      <w:spacing w:before="200" w:after="280" w:line="259" w:lineRule="auto"/>
      <w:ind w:left="1008" w:right="1152"/>
      <w:jc w:val="both"/>
    </w:pPr>
    <w:rPr>
      <w:rFonts w:eastAsiaTheme="minorHAnsi" w:cstheme="minorBidi"/>
      <w:b/>
      <w:bCs/>
      <w:i/>
      <w:iCs/>
      <w:lang w:eastAsia="en-US"/>
    </w:rPr>
  </w:style>
  <w:style w:type="character" w:customStyle="1" w:styleId="CitaoIntensaChar">
    <w:name w:val="Citação Intensa Char"/>
    <w:basedOn w:val="Fontepargpadro"/>
    <w:link w:val="CitaoIntensa"/>
    <w:uiPriority w:val="30"/>
    <w:rsid w:val="001847A4"/>
    <w:rPr>
      <w:rFonts w:eastAsiaTheme="minorEastAsia"/>
      <w:b/>
      <w:bCs/>
      <w:i/>
      <w:iCs/>
      <w:sz w:val="24"/>
      <w:szCs w:val="24"/>
    </w:rPr>
  </w:style>
  <w:style w:type="character" w:styleId="nfaseSutil">
    <w:name w:val="Subtle Emphasis"/>
    <w:uiPriority w:val="19"/>
    <w:qFormat/>
    <w:rsid w:val="001847A4"/>
    <w:rPr>
      <w:i/>
      <w:iCs/>
    </w:rPr>
  </w:style>
  <w:style w:type="character" w:styleId="nfaseIntensa">
    <w:name w:val="Intense Emphasis"/>
    <w:uiPriority w:val="21"/>
    <w:qFormat/>
    <w:rsid w:val="001847A4"/>
    <w:rPr>
      <w:b/>
      <w:bCs/>
    </w:rPr>
  </w:style>
  <w:style w:type="character" w:styleId="RefernciaIntensa">
    <w:name w:val="Intense Reference"/>
    <w:uiPriority w:val="32"/>
    <w:qFormat/>
    <w:rsid w:val="001847A4"/>
    <w:rPr>
      <w:smallCaps/>
      <w:spacing w:val="5"/>
      <w:u w:val="single"/>
    </w:rPr>
  </w:style>
  <w:style w:type="character" w:styleId="TtulodoLivro">
    <w:name w:val="Book Title"/>
    <w:uiPriority w:val="33"/>
    <w:qFormat/>
    <w:rsid w:val="001847A4"/>
    <w:rPr>
      <w:i/>
      <w:iCs/>
      <w:smallCaps/>
      <w:spacing w:val="5"/>
    </w:rPr>
  </w:style>
  <w:style w:type="paragraph" w:styleId="Sumrio4">
    <w:name w:val="toc 4"/>
    <w:basedOn w:val="Normal"/>
    <w:next w:val="Normal"/>
    <w:autoRedefine/>
    <w:uiPriority w:val="39"/>
    <w:semiHidden/>
    <w:unhideWhenUsed/>
    <w:rsid w:val="001847A4"/>
    <w:pPr>
      <w:spacing w:after="100"/>
      <w:ind w:left="660"/>
    </w:pPr>
  </w:style>
  <w:style w:type="paragraph" w:styleId="Sumrio5">
    <w:name w:val="toc 5"/>
    <w:basedOn w:val="Normal"/>
    <w:next w:val="Normal"/>
    <w:autoRedefine/>
    <w:uiPriority w:val="39"/>
    <w:semiHidden/>
    <w:unhideWhenUsed/>
    <w:rsid w:val="001847A4"/>
    <w:pPr>
      <w:spacing w:after="100"/>
      <w:ind w:left="880"/>
    </w:pPr>
  </w:style>
  <w:style w:type="paragraph" w:styleId="NormalWeb">
    <w:name w:val="Normal (Web)"/>
    <w:basedOn w:val="Normal"/>
    <w:uiPriority w:val="99"/>
    <w:unhideWhenUsed/>
    <w:rsid w:val="001847A4"/>
    <w:pPr>
      <w:spacing w:before="100" w:beforeAutospacing="1" w:after="100" w:afterAutospacing="1" w:line="259" w:lineRule="auto"/>
    </w:pPr>
  </w:style>
  <w:style w:type="paragraph" w:styleId="Corpodetexto">
    <w:name w:val="Body Text"/>
    <w:basedOn w:val="Normal"/>
    <w:link w:val="CorpodetextoChar"/>
    <w:rsid w:val="001847A4"/>
    <w:pPr>
      <w:spacing w:after="240" w:line="259" w:lineRule="auto"/>
      <w:jc w:val="both"/>
    </w:pPr>
    <w:rPr>
      <w:sz w:val="20"/>
      <w:szCs w:val="20"/>
    </w:rPr>
  </w:style>
  <w:style w:type="character" w:customStyle="1" w:styleId="CorpodetextoChar">
    <w:name w:val="Corpo de texto Char"/>
    <w:basedOn w:val="Fontepargpadro"/>
    <w:link w:val="Corpodetexto"/>
    <w:rsid w:val="001847A4"/>
    <w:rPr>
      <w:rFonts w:ascii="Times New Roman" w:eastAsia="Times New Roman" w:hAnsi="Times New Roman" w:cs="Times New Roman"/>
      <w:sz w:val="20"/>
      <w:szCs w:val="20"/>
      <w:lang w:eastAsia="pt-BR"/>
    </w:rPr>
  </w:style>
  <w:style w:type="paragraph" w:styleId="Corpodetexto2">
    <w:name w:val="Body Text 2"/>
    <w:basedOn w:val="Normal"/>
    <w:link w:val="Corpodetexto2Char"/>
    <w:uiPriority w:val="99"/>
    <w:unhideWhenUsed/>
    <w:rsid w:val="001847A4"/>
    <w:pPr>
      <w:spacing w:after="120" w:line="480" w:lineRule="auto"/>
    </w:pPr>
    <w:rPr>
      <w:rFonts w:eastAsiaTheme="minorHAnsi" w:cstheme="minorBidi"/>
      <w:lang w:eastAsia="en-US"/>
    </w:rPr>
  </w:style>
  <w:style w:type="character" w:customStyle="1" w:styleId="Corpodetexto2Char">
    <w:name w:val="Corpo de texto 2 Char"/>
    <w:basedOn w:val="Fontepargpadro"/>
    <w:link w:val="Corpodetexto2"/>
    <w:uiPriority w:val="99"/>
    <w:rsid w:val="001847A4"/>
    <w:rPr>
      <w:rFonts w:eastAsiaTheme="minorEastAsia"/>
      <w:sz w:val="24"/>
      <w:szCs w:val="24"/>
    </w:rPr>
  </w:style>
  <w:style w:type="table" w:styleId="Tabelacomgrade">
    <w:name w:val="Table Grid"/>
    <w:basedOn w:val="Tabelanormal"/>
    <w:uiPriority w:val="39"/>
    <w:rsid w:val="001847A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link w:val="BibliografiaChar"/>
    <w:uiPriority w:val="37"/>
    <w:unhideWhenUsed/>
    <w:rsid w:val="001847A4"/>
    <w:pPr>
      <w:spacing w:after="240" w:line="259" w:lineRule="auto"/>
    </w:pPr>
    <w:rPr>
      <w:rFonts w:eastAsiaTheme="minorHAnsi" w:cstheme="minorBidi"/>
      <w:lang w:eastAsia="en-US"/>
    </w:rPr>
  </w:style>
  <w:style w:type="paragraph" w:customStyle="1" w:styleId="ReferencialTerico1">
    <w:name w:val="Referencial Teórico 1"/>
    <w:basedOn w:val="Bibliografia"/>
    <w:link w:val="ReferencialTerico1Char"/>
    <w:autoRedefine/>
    <w:qFormat/>
    <w:rsid w:val="001847A4"/>
    <w:rPr>
      <w:noProof/>
    </w:rPr>
  </w:style>
  <w:style w:type="character" w:customStyle="1" w:styleId="BibliografiaChar">
    <w:name w:val="Bibliografia Char"/>
    <w:basedOn w:val="Fontepargpadro"/>
    <w:link w:val="Bibliografia"/>
    <w:uiPriority w:val="37"/>
    <w:rsid w:val="001847A4"/>
    <w:rPr>
      <w:rFonts w:eastAsiaTheme="minorEastAsia"/>
      <w:sz w:val="24"/>
      <w:szCs w:val="24"/>
    </w:rPr>
  </w:style>
  <w:style w:type="character" w:customStyle="1" w:styleId="ReferencialTerico1Char">
    <w:name w:val="Referencial Teórico 1 Char"/>
    <w:basedOn w:val="BibliografiaChar"/>
    <w:link w:val="ReferencialTerico1"/>
    <w:rsid w:val="001847A4"/>
    <w:rPr>
      <w:rFonts w:eastAsiaTheme="minorEastAsia"/>
      <w:noProof/>
      <w:sz w:val="24"/>
      <w:szCs w:val="24"/>
    </w:rPr>
  </w:style>
  <w:style w:type="character" w:customStyle="1" w:styleId="hps">
    <w:name w:val="hps"/>
    <w:basedOn w:val="Fontepargpadro"/>
    <w:rsid w:val="001847A4"/>
  </w:style>
  <w:style w:type="character" w:customStyle="1" w:styleId="label">
    <w:name w:val="label"/>
    <w:basedOn w:val="Fontepargpadro"/>
    <w:rsid w:val="00F50EE1"/>
  </w:style>
  <w:style w:type="paragraph" w:customStyle="1" w:styleId="copyright">
    <w:name w:val="copyright"/>
    <w:basedOn w:val="Normal"/>
    <w:rsid w:val="00F50EE1"/>
    <w:pPr>
      <w:spacing w:before="100" w:beforeAutospacing="1" w:after="100" w:afterAutospacing="1" w:line="259" w:lineRule="auto"/>
    </w:pPr>
  </w:style>
  <w:style w:type="character" w:customStyle="1" w:styleId="st">
    <w:name w:val="st"/>
    <w:basedOn w:val="Fontepargpadro"/>
    <w:rsid w:val="00AB6D2C"/>
  </w:style>
  <w:style w:type="character" w:customStyle="1" w:styleId="shorttext">
    <w:name w:val="short_text"/>
    <w:basedOn w:val="Fontepargpadro"/>
    <w:rsid w:val="001B7849"/>
  </w:style>
  <w:style w:type="paragraph" w:styleId="Reviso">
    <w:name w:val="Revision"/>
    <w:hidden/>
    <w:uiPriority w:val="99"/>
    <w:semiHidden/>
    <w:rsid w:val="00ED6DC3"/>
    <w:pPr>
      <w:spacing w:after="0" w:line="240" w:lineRule="auto"/>
    </w:pPr>
    <w:rPr>
      <w:rFonts w:eastAsia="Times New Roman" w:cs="Times New Roman"/>
      <w:lang w:eastAsia="pt-BR"/>
    </w:rPr>
  </w:style>
  <w:style w:type="character" w:styleId="MenoPendente">
    <w:name w:val="Unresolved Mention"/>
    <w:basedOn w:val="Fontepargpadro"/>
    <w:uiPriority w:val="99"/>
    <w:semiHidden/>
    <w:unhideWhenUsed/>
    <w:rsid w:val="002A37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8170">
      <w:bodyDiv w:val="1"/>
      <w:marLeft w:val="0"/>
      <w:marRight w:val="0"/>
      <w:marTop w:val="0"/>
      <w:marBottom w:val="0"/>
      <w:divBdr>
        <w:top w:val="none" w:sz="0" w:space="0" w:color="auto"/>
        <w:left w:val="none" w:sz="0" w:space="0" w:color="auto"/>
        <w:bottom w:val="none" w:sz="0" w:space="0" w:color="auto"/>
        <w:right w:val="none" w:sz="0" w:space="0" w:color="auto"/>
      </w:divBdr>
    </w:div>
    <w:div w:id="18968329">
      <w:bodyDiv w:val="1"/>
      <w:marLeft w:val="0"/>
      <w:marRight w:val="0"/>
      <w:marTop w:val="0"/>
      <w:marBottom w:val="0"/>
      <w:divBdr>
        <w:top w:val="none" w:sz="0" w:space="0" w:color="auto"/>
        <w:left w:val="none" w:sz="0" w:space="0" w:color="auto"/>
        <w:bottom w:val="none" w:sz="0" w:space="0" w:color="auto"/>
        <w:right w:val="none" w:sz="0" w:space="0" w:color="auto"/>
      </w:divBdr>
    </w:div>
    <w:div w:id="27413532">
      <w:bodyDiv w:val="1"/>
      <w:marLeft w:val="0"/>
      <w:marRight w:val="0"/>
      <w:marTop w:val="0"/>
      <w:marBottom w:val="0"/>
      <w:divBdr>
        <w:top w:val="none" w:sz="0" w:space="0" w:color="auto"/>
        <w:left w:val="none" w:sz="0" w:space="0" w:color="auto"/>
        <w:bottom w:val="none" w:sz="0" w:space="0" w:color="auto"/>
        <w:right w:val="none" w:sz="0" w:space="0" w:color="auto"/>
      </w:divBdr>
    </w:div>
    <w:div w:id="28997129">
      <w:bodyDiv w:val="1"/>
      <w:marLeft w:val="0"/>
      <w:marRight w:val="0"/>
      <w:marTop w:val="0"/>
      <w:marBottom w:val="0"/>
      <w:divBdr>
        <w:top w:val="none" w:sz="0" w:space="0" w:color="auto"/>
        <w:left w:val="none" w:sz="0" w:space="0" w:color="auto"/>
        <w:bottom w:val="none" w:sz="0" w:space="0" w:color="auto"/>
        <w:right w:val="none" w:sz="0" w:space="0" w:color="auto"/>
      </w:divBdr>
    </w:div>
    <w:div w:id="30231270">
      <w:bodyDiv w:val="1"/>
      <w:marLeft w:val="0"/>
      <w:marRight w:val="0"/>
      <w:marTop w:val="0"/>
      <w:marBottom w:val="0"/>
      <w:divBdr>
        <w:top w:val="none" w:sz="0" w:space="0" w:color="auto"/>
        <w:left w:val="none" w:sz="0" w:space="0" w:color="auto"/>
        <w:bottom w:val="none" w:sz="0" w:space="0" w:color="auto"/>
        <w:right w:val="none" w:sz="0" w:space="0" w:color="auto"/>
      </w:divBdr>
    </w:div>
    <w:div w:id="49772580">
      <w:bodyDiv w:val="1"/>
      <w:marLeft w:val="0"/>
      <w:marRight w:val="0"/>
      <w:marTop w:val="0"/>
      <w:marBottom w:val="0"/>
      <w:divBdr>
        <w:top w:val="none" w:sz="0" w:space="0" w:color="auto"/>
        <w:left w:val="none" w:sz="0" w:space="0" w:color="auto"/>
        <w:bottom w:val="none" w:sz="0" w:space="0" w:color="auto"/>
        <w:right w:val="none" w:sz="0" w:space="0" w:color="auto"/>
      </w:divBdr>
    </w:div>
    <w:div w:id="52311040">
      <w:bodyDiv w:val="1"/>
      <w:marLeft w:val="0"/>
      <w:marRight w:val="0"/>
      <w:marTop w:val="0"/>
      <w:marBottom w:val="0"/>
      <w:divBdr>
        <w:top w:val="none" w:sz="0" w:space="0" w:color="auto"/>
        <w:left w:val="none" w:sz="0" w:space="0" w:color="auto"/>
        <w:bottom w:val="none" w:sz="0" w:space="0" w:color="auto"/>
        <w:right w:val="none" w:sz="0" w:space="0" w:color="auto"/>
      </w:divBdr>
    </w:div>
    <w:div w:id="55058180">
      <w:bodyDiv w:val="1"/>
      <w:marLeft w:val="0"/>
      <w:marRight w:val="0"/>
      <w:marTop w:val="0"/>
      <w:marBottom w:val="0"/>
      <w:divBdr>
        <w:top w:val="none" w:sz="0" w:space="0" w:color="auto"/>
        <w:left w:val="none" w:sz="0" w:space="0" w:color="auto"/>
        <w:bottom w:val="none" w:sz="0" w:space="0" w:color="auto"/>
        <w:right w:val="none" w:sz="0" w:space="0" w:color="auto"/>
      </w:divBdr>
    </w:div>
    <w:div w:id="75372443">
      <w:bodyDiv w:val="1"/>
      <w:marLeft w:val="0"/>
      <w:marRight w:val="0"/>
      <w:marTop w:val="0"/>
      <w:marBottom w:val="0"/>
      <w:divBdr>
        <w:top w:val="none" w:sz="0" w:space="0" w:color="auto"/>
        <w:left w:val="none" w:sz="0" w:space="0" w:color="auto"/>
        <w:bottom w:val="none" w:sz="0" w:space="0" w:color="auto"/>
        <w:right w:val="none" w:sz="0" w:space="0" w:color="auto"/>
      </w:divBdr>
    </w:div>
    <w:div w:id="86004307">
      <w:bodyDiv w:val="1"/>
      <w:marLeft w:val="0"/>
      <w:marRight w:val="0"/>
      <w:marTop w:val="0"/>
      <w:marBottom w:val="0"/>
      <w:divBdr>
        <w:top w:val="none" w:sz="0" w:space="0" w:color="auto"/>
        <w:left w:val="none" w:sz="0" w:space="0" w:color="auto"/>
        <w:bottom w:val="none" w:sz="0" w:space="0" w:color="auto"/>
        <w:right w:val="none" w:sz="0" w:space="0" w:color="auto"/>
      </w:divBdr>
    </w:div>
    <w:div w:id="105735345">
      <w:bodyDiv w:val="1"/>
      <w:marLeft w:val="0"/>
      <w:marRight w:val="0"/>
      <w:marTop w:val="0"/>
      <w:marBottom w:val="0"/>
      <w:divBdr>
        <w:top w:val="none" w:sz="0" w:space="0" w:color="auto"/>
        <w:left w:val="none" w:sz="0" w:space="0" w:color="auto"/>
        <w:bottom w:val="none" w:sz="0" w:space="0" w:color="auto"/>
        <w:right w:val="none" w:sz="0" w:space="0" w:color="auto"/>
      </w:divBdr>
    </w:div>
    <w:div w:id="110171309">
      <w:bodyDiv w:val="1"/>
      <w:marLeft w:val="0"/>
      <w:marRight w:val="0"/>
      <w:marTop w:val="0"/>
      <w:marBottom w:val="0"/>
      <w:divBdr>
        <w:top w:val="none" w:sz="0" w:space="0" w:color="auto"/>
        <w:left w:val="none" w:sz="0" w:space="0" w:color="auto"/>
        <w:bottom w:val="none" w:sz="0" w:space="0" w:color="auto"/>
        <w:right w:val="none" w:sz="0" w:space="0" w:color="auto"/>
      </w:divBdr>
    </w:div>
    <w:div w:id="111216213">
      <w:bodyDiv w:val="1"/>
      <w:marLeft w:val="0"/>
      <w:marRight w:val="0"/>
      <w:marTop w:val="0"/>
      <w:marBottom w:val="0"/>
      <w:divBdr>
        <w:top w:val="none" w:sz="0" w:space="0" w:color="auto"/>
        <w:left w:val="none" w:sz="0" w:space="0" w:color="auto"/>
        <w:bottom w:val="none" w:sz="0" w:space="0" w:color="auto"/>
        <w:right w:val="none" w:sz="0" w:space="0" w:color="auto"/>
      </w:divBdr>
      <w:divsChild>
        <w:div w:id="1263686812">
          <w:marLeft w:val="0"/>
          <w:marRight w:val="0"/>
          <w:marTop w:val="0"/>
          <w:marBottom w:val="0"/>
          <w:divBdr>
            <w:top w:val="none" w:sz="0" w:space="0" w:color="auto"/>
            <w:left w:val="none" w:sz="0" w:space="0" w:color="auto"/>
            <w:bottom w:val="none" w:sz="0" w:space="0" w:color="auto"/>
            <w:right w:val="none" w:sz="0" w:space="0" w:color="auto"/>
          </w:divBdr>
          <w:divsChild>
            <w:div w:id="707025828">
              <w:marLeft w:val="0"/>
              <w:marRight w:val="0"/>
              <w:marTop w:val="0"/>
              <w:marBottom w:val="0"/>
              <w:divBdr>
                <w:top w:val="none" w:sz="0" w:space="0" w:color="auto"/>
                <w:left w:val="none" w:sz="0" w:space="0" w:color="auto"/>
                <w:bottom w:val="none" w:sz="0" w:space="0" w:color="auto"/>
                <w:right w:val="none" w:sz="0" w:space="0" w:color="auto"/>
              </w:divBdr>
              <w:divsChild>
                <w:div w:id="1036809172">
                  <w:marLeft w:val="0"/>
                  <w:marRight w:val="0"/>
                  <w:marTop w:val="0"/>
                  <w:marBottom w:val="0"/>
                  <w:divBdr>
                    <w:top w:val="none" w:sz="0" w:space="0" w:color="auto"/>
                    <w:left w:val="none" w:sz="0" w:space="0" w:color="auto"/>
                    <w:bottom w:val="none" w:sz="0" w:space="0" w:color="auto"/>
                    <w:right w:val="none" w:sz="0" w:space="0" w:color="auto"/>
                  </w:divBdr>
                  <w:divsChild>
                    <w:div w:id="1877741924">
                      <w:marLeft w:val="0"/>
                      <w:marRight w:val="0"/>
                      <w:marTop w:val="0"/>
                      <w:marBottom w:val="0"/>
                      <w:divBdr>
                        <w:top w:val="none" w:sz="0" w:space="0" w:color="auto"/>
                        <w:left w:val="none" w:sz="0" w:space="0" w:color="auto"/>
                        <w:bottom w:val="none" w:sz="0" w:space="0" w:color="auto"/>
                        <w:right w:val="none" w:sz="0" w:space="0" w:color="auto"/>
                      </w:divBdr>
                      <w:divsChild>
                        <w:div w:id="2099986573">
                          <w:marLeft w:val="0"/>
                          <w:marRight w:val="0"/>
                          <w:marTop w:val="0"/>
                          <w:marBottom w:val="0"/>
                          <w:divBdr>
                            <w:top w:val="none" w:sz="0" w:space="0" w:color="auto"/>
                            <w:left w:val="none" w:sz="0" w:space="0" w:color="auto"/>
                            <w:bottom w:val="none" w:sz="0" w:space="0" w:color="auto"/>
                            <w:right w:val="none" w:sz="0" w:space="0" w:color="auto"/>
                          </w:divBdr>
                          <w:divsChild>
                            <w:div w:id="8566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10458">
      <w:bodyDiv w:val="1"/>
      <w:marLeft w:val="0"/>
      <w:marRight w:val="0"/>
      <w:marTop w:val="0"/>
      <w:marBottom w:val="0"/>
      <w:divBdr>
        <w:top w:val="none" w:sz="0" w:space="0" w:color="auto"/>
        <w:left w:val="none" w:sz="0" w:space="0" w:color="auto"/>
        <w:bottom w:val="none" w:sz="0" w:space="0" w:color="auto"/>
        <w:right w:val="none" w:sz="0" w:space="0" w:color="auto"/>
      </w:divBdr>
    </w:div>
    <w:div w:id="130221443">
      <w:bodyDiv w:val="1"/>
      <w:marLeft w:val="0"/>
      <w:marRight w:val="0"/>
      <w:marTop w:val="0"/>
      <w:marBottom w:val="0"/>
      <w:divBdr>
        <w:top w:val="none" w:sz="0" w:space="0" w:color="auto"/>
        <w:left w:val="none" w:sz="0" w:space="0" w:color="auto"/>
        <w:bottom w:val="none" w:sz="0" w:space="0" w:color="auto"/>
        <w:right w:val="none" w:sz="0" w:space="0" w:color="auto"/>
      </w:divBdr>
    </w:div>
    <w:div w:id="160510575">
      <w:bodyDiv w:val="1"/>
      <w:marLeft w:val="0"/>
      <w:marRight w:val="0"/>
      <w:marTop w:val="0"/>
      <w:marBottom w:val="0"/>
      <w:divBdr>
        <w:top w:val="none" w:sz="0" w:space="0" w:color="auto"/>
        <w:left w:val="none" w:sz="0" w:space="0" w:color="auto"/>
        <w:bottom w:val="none" w:sz="0" w:space="0" w:color="auto"/>
        <w:right w:val="none" w:sz="0" w:space="0" w:color="auto"/>
      </w:divBdr>
    </w:div>
    <w:div w:id="161169973">
      <w:bodyDiv w:val="1"/>
      <w:marLeft w:val="0"/>
      <w:marRight w:val="0"/>
      <w:marTop w:val="0"/>
      <w:marBottom w:val="0"/>
      <w:divBdr>
        <w:top w:val="none" w:sz="0" w:space="0" w:color="auto"/>
        <w:left w:val="none" w:sz="0" w:space="0" w:color="auto"/>
        <w:bottom w:val="none" w:sz="0" w:space="0" w:color="auto"/>
        <w:right w:val="none" w:sz="0" w:space="0" w:color="auto"/>
      </w:divBdr>
    </w:div>
    <w:div w:id="164369975">
      <w:bodyDiv w:val="1"/>
      <w:marLeft w:val="0"/>
      <w:marRight w:val="0"/>
      <w:marTop w:val="0"/>
      <w:marBottom w:val="0"/>
      <w:divBdr>
        <w:top w:val="none" w:sz="0" w:space="0" w:color="auto"/>
        <w:left w:val="none" w:sz="0" w:space="0" w:color="auto"/>
        <w:bottom w:val="none" w:sz="0" w:space="0" w:color="auto"/>
        <w:right w:val="none" w:sz="0" w:space="0" w:color="auto"/>
      </w:divBdr>
    </w:div>
    <w:div w:id="180557216">
      <w:bodyDiv w:val="1"/>
      <w:marLeft w:val="0"/>
      <w:marRight w:val="0"/>
      <w:marTop w:val="0"/>
      <w:marBottom w:val="0"/>
      <w:divBdr>
        <w:top w:val="none" w:sz="0" w:space="0" w:color="auto"/>
        <w:left w:val="none" w:sz="0" w:space="0" w:color="auto"/>
        <w:bottom w:val="none" w:sz="0" w:space="0" w:color="auto"/>
        <w:right w:val="none" w:sz="0" w:space="0" w:color="auto"/>
      </w:divBdr>
    </w:div>
    <w:div w:id="183174740">
      <w:bodyDiv w:val="1"/>
      <w:marLeft w:val="0"/>
      <w:marRight w:val="0"/>
      <w:marTop w:val="0"/>
      <w:marBottom w:val="0"/>
      <w:divBdr>
        <w:top w:val="none" w:sz="0" w:space="0" w:color="auto"/>
        <w:left w:val="none" w:sz="0" w:space="0" w:color="auto"/>
        <w:bottom w:val="none" w:sz="0" w:space="0" w:color="auto"/>
        <w:right w:val="none" w:sz="0" w:space="0" w:color="auto"/>
      </w:divBdr>
    </w:div>
    <w:div w:id="195701298">
      <w:bodyDiv w:val="1"/>
      <w:marLeft w:val="0"/>
      <w:marRight w:val="0"/>
      <w:marTop w:val="0"/>
      <w:marBottom w:val="0"/>
      <w:divBdr>
        <w:top w:val="none" w:sz="0" w:space="0" w:color="auto"/>
        <w:left w:val="none" w:sz="0" w:space="0" w:color="auto"/>
        <w:bottom w:val="none" w:sz="0" w:space="0" w:color="auto"/>
        <w:right w:val="none" w:sz="0" w:space="0" w:color="auto"/>
      </w:divBdr>
    </w:div>
    <w:div w:id="198665366">
      <w:bodyDiv w:val="1"/>
      <w:marLeft w:val="0"/>
      <w:marRight w:val="0"/>
      <w:marTop w:val="0"/>
      <w:marBottom w:val="0"/>
      <w:divBdr>
        <w:top w:val="none" w:sz="0" w:space="0" w:color="auto"/>
        <w:left w:val="none" w:sz="0" w:space="0" w:color="auto"/>
        <w:bottom w:val="none" w:sz="0" w:space="0" w:color="auto"/>
        <w:right w:val="none" w:sz="0" w:space="0" w:color="auto"/>
      </w:divBdr>
    </w:div>
    <w:div w:id="227111436">
      <w:bodyDiv w:val="1"/>
      <w:marLeft w:val="0"/>
      <w:marRight w:val="0"/>
      <w:marTop w:val="0"/>
      <w:marBottom w:val="0"/>
      <w:divBdr>
        <w:top w:val="none" w:sz="0" w:space="0" w:color="auto"/>
        <w:left w:val="none" w:sz="0" w:space="0" w:color="auto"/>
        <w:bottom w:val="none" w:sz="0" w:space="0" w:color="auto"/>
        <w:right w:val="none" w:sz="0" w:space="0" w:color="auto"/>
      </w:divBdr>
    </w:div>
    <w:div w:id="245696461">
      <w:bodyDiv w:val="1"/>
      <w:marLeft w:val="0"/>
      <w:marRight w:val="0"/>
      <w:marTop w:val="0"/>
      <w:marBottom w:val="0"/>
      <w:divBdr>
        <w:top w:val="none" w:sz="0" w:space="0" w:color="auto"/>
        <w:left w:val="none" w:sz="0" w:space="0" w:color="auto"/>
        <w:bottom w:val="none" w:sz="0" w:space="0" w:color="auto"/>
        <w:right w:val="none" w:sz="0" w:space="0" w:color="auto"/>
      </w:divBdr>
    </w:div>
    <w:div w:id="259028298">
      <w:bodyDiv w:val="1"/>
      <w:marLeft w:val="0"/>
      <w:marRight w:val="0"/>
      <w:marTop w:val="0"/>
      <w:marBottom w:val="0"/>
      <w:divBdr>
        <w:top w:val="none" w:sz="0" w:space="0" w:color="auto"/>
        <w:left w:val="none" w:sz="0" w:space="0" w:color="auto"/>
        <w:bottom w:val="none" w:sz="0" w:space="0" w:color="auto"/>
        <w:right w:val="none" w:sz="0" w:space="0" w:color="auto"/>
      </w:divBdr>
    </w:div>
    <w:div w:id="275720853">
      <w:bodyDiv w:val="1"/>
      <w:marLeft w:val="0"/>
      <w:marRight w:val="0"/>
      <w:marTop w:val="0"/>
      <w:marBottom w:val="0"/>
      <w:divBdr>
        <w:top w:val="none" w:sz="0" w:space="0" w:color="auto"/>
        <w:left w:val="none" w:sz="0" w:space="0" w:color="auto"/>
        <w:bottom w:val="none" w:sz="0" w:space="0" w:color="auto"/>
        <w:right w:val="none" w:sz="0" w:space="0" w:color="auto"/>
      </w:divBdr>
    </w:div>
    <w:div w:id="279460257">
      <w:bodyDiv w:val="1"/>
      <w:marLeft w:val="0"/>
      <w:marRight w:val="0"/>
      <w:marTop w:val="0"/>
      <w:marBottom w:val="0"/>
      <w:divBdr>
        <w:top w:val="none" w:sz="0" w:space="0" w:color="auto"/>
        <w:left w:val="none" w:sz="0" w:space="0" w:color="auto"/>
        <w:bottom w:val="none" w:sz="0" w:space="0" w:color="auto"/>
        <w:right w:val="none" w:sz="0" w:space="0" w:color="auto"/>
      </w:divBdr>
    </w:div>
    <w:div w:id="290868104">
      <w:bodyDiv w:val="1"/>
      <w:marLeft w:val="0"/>
      <w:marRight w:val="0"/>
      <w:marTop w:val="0"/>
      <w:marBottom w:val="0"/>
      <w:divBdr>
        <w:top w:val="none" w:sz="0" w:space="0" w:color="auto"/>
        <w:left w:val="none" w:sz="0" w:space="0" w:color="auto"/>
        <w:bottom w:val="none" w:sz="0" w:space="0" w:color="auto"/>
        <w:right w:val="none" w:sz="0" w:space="0" w:color="auto"/>
      </w:divBdr>
    </w:div>
    <w:div w:id="295305782">
      <w:bodyDiv w:val="1"/>
      <w:marLeft w:val="0"/>
      <w:marRight w:val="0"/>
      <w:marTop w:val="0"/>
      <w:marBottom w:val="0"/>
      <w:divBdr>
        <w:top w:val="none" w:sz="0" w:space="0" w:color="auto"/>
        <w:left w:val="none" w:sz="0" w:space="0" w:color="auto"/>
        <w:bottom w:val="none" w:sz="0" w:space="0" w:color="auto"/>
        <w:right w:val="none" w:sz="0" w:space="0" w:color="auto"/>
      </w:divBdr>
    </w:div>
    <w:div w:id="307788247">
      <w:bodyDiv w:val="1"/>
      <w:marLeft w:val="0"/>
      <w:marRight w:val="0"/>
      <w:marTop w:val="0"/>
      <w:marBottom w:val="0"/>
      <w:divBdr>
        <w:top w:val="none" w:sz="0" w:space="0" w:color="auto"/>
        <w:left w:val="none" w:sz="0" w:space="0" w:color="auto"/>
        <w:bottom w:val="none" w:sz="0" w:space="0" w:color="auto"/>
        <w:right w:val="none" w:sz="0" w:space="0" w:color="auto"/>
      </w:divBdr>
    </w:div>
    <w:div w:id="312610094">
      <w:bodyDiv w:val="1"/>
      <w:marLeft w:val="0"/>
      <w:marRight w:val="0"/>
      <w:marTop w:val="0"/>
      <w:marBottom w:val="0"/>
      <w:divBdr>
        <w:top w:val="none" w:sz="0" w:space="0" w:color="auto"/>
        <w:left w:val="none" w:sz="0" w:space="0" w:color="auto"/>
        <w:bottom w:val="none" w:sz="0" w:space="0" w:color="auto"/>
        <w:right w:val="none" w:sz="0" w:space="0" w:color="auto"/>
      </w:divBdr>
    </w:div>
    <w:div w:id="312877899">
      <w:bodyDiv w:val="1"/>
      <w:marLeft w:val="0"/>
      <w:marRight w:val="0"/>
      <w:marTop w:val="0"/>
      <w:marBottom w:val="0"/>
      <w:divBdr>
        <w:top w:val="none" w:sz="0" w:space="0" w:color="auto"/>
        <w:left w:val="none" w:sz="0" w:space="0" w:color="auto"/>
        <w:bottom w:val="none" w:sz="0" w:space="0" w:color="auto"/>
        <w:right w:val="none" w:sz="0" w:space="0" w:color="auto"/>
      </w:divBdr>
    </w:div>
    <w:div w:id="313727697">
      <w:bodyDiv w:val="1"/>
      <w:marLeft w:val="0"/>
      <w:marRight w:val="0"/>
      <w:marTop w:val="0"/>
      <w:marBottom w:val="0"/>
      <w:divBdr>
        <w:top w:val="none" w:sz="0" w:space="0" w:color="auto"/>
        <w:left w:val="none" w:sz="0" w:space="0" w:color="auto"/>
        <w:bottom w:val="none" w:sz="0" w:space="0" w:color="auto"/>
        <w:right w:val="none" w:sz="0" w:space="0" w:color="auto"/>
      </w:divBdr>
    </w:div>
    <w:div w:id="315452521">
      <w:bodyDiv w:val="1"/>
      <w:marLeft w:val="0"/>
      <w:marRight w:val="0"/>
      <w:marTop w:val="0"/>
      <w:marBottom w:val="0"/>
      <w:divBdr>
        <w:top w:val="none" w:sz="0" w:space="0" w:color="auto"/>
        <w:left w:val="none" w:sz="0" w:space="0" w:color="auto"/>
        <w:bottom w:val="none" w:sz="0" w:space="0" w:color="auto"/>
        <w:right w:val="none" w:sz="0" w:space="0" w:color="auto"/>
      </w:divBdr>
    </w:div>
    <w:div w:id="316686233">
      <w:bodyDiv w:val="1"/>
      <w:marLeft w:val="0"/>
      <w:marRight w:val="0"/>
      <w:marTop w:val="0"/>
      <w:marBottom w:val="0"/>
      <w:divBdr>
        <w:top w:val="none" w:sz="0" w:space="0" w:color="auto"/>
        <w:left w:val="none" w:sz="0" w:space="0" w:color="auto"/>
        <w:bottom w:val="none" w:sz="0" w:space="0" w:color="auto"/>
        <w:right w:val="none" w:sz="0" w:space="0" w:color="auto"/>
      </w:divBdr>
    </w:div>
    <w:div w:id="317271397">
      <w:bodyDiv w:val="1"/>
      <w:marLeft w:val="0"/>
      <w:marRight w:val="0"/>
      <w:marTop w:val="0"/>
      <w:marBottom w:val="0"/>
      <w:divBdr>
        <w:top w:val="none" w:sz="0" w:space="0" w:color="auto"/>
        <w:left w:val="none" w:sz="0" w:space="0" w:color="auto"/>
        <w:bottom w:val="none" w:sz="0" w:space="0" w:color="auto"/>
        <w:right w:val="none" w:sz="0" w:space="0" w:color="auto"/>
      </w:divBdr>
    </w:div>
    <w:div w:id="339090515">
      <w:bodyDiv w:val="1"/>
      <w:marLeft w:val="0"/>
      <w:marRight w:val="0"/>
      <w:marTop w:val="0"/>
      <w:marBottom w:val="0"/>
      <w:divBdr>
        <w:top w:val="none" w:sz="0" w:space="0" w:color="auto"/>
        <w:left w:val="none" w:sz="0" w:space="0" w:color="auto"/>
        <w:bottom w:val="none" w:sz="0" w:space="0" w:color="auto"/>
        <w:right w:val="none" w:sz="0" w:space="0" w:color="auto"/>
      </w:divBdr>
    </w:div>
    <w:div w:id="341705524">
      <w:bodyDiv w:val="1"/>
      <w:marLeft w:val="0"/>
      <w:marRight w:val="0"/>
      <w:marTop w:val="0"/>
      <w:marBottom w:val="0"/>
      <w:divBdr>
        <w:top w:val="none" w:sz="0" w:space="0" w:color="auto"/>
        <w:left w:val="none" w:sz="0" w:space="0" w:color="auto"/>
        <w:bottom w:val="none" w:sz="0" w:space="0" w:color="auto"/>
        <w:right w:val="none" w:sz="0" w:space="0" w:color="auto"/>
      </w:divBdr>
    </w:div>
    <w:div w:id="341862584">
      <w:bodyDiv w:val="1"/>
      <w:marLeft w:val="0"/>
      <w:marRight w:val="0"/>
      <w:marTop w:val="0"/>
      <w:marBottom w:val="0"/>
      <w:divBdr>
        <w:top w:val="none" w:sz="0" w:space="0" w:color="auto"/>
        <w:left w:val="none" w:sz="0" w:space="0" w:color="auto"/>
        <w:bottom w:val="none" w:sz="0" w:space="0" w:color="auto"/>
        <w:right w:val="none" w:sz="0" w:space="0" w:color="auto"/>
      </w:divBdr>
      <w:divsChild>
        <w:div w:id="687564801">
          <w:marLeft w:val="0"/>
          <w:marRight w:val="0"/>
          <w:marTop w:val="0"/>
          <w:marBottom w:val="0"/>
          <w:divBdr>
            <w:top w:val="none" w:sz="0" w:space="0" w:color="auto"/>
            <w:left w:val="none" w:sz="0" w:space="0" w:color="auto"/>
            <w:bottom w:val="none" w:sz="0" w:space="0" w:color="auto"/>
            <w:right w:val="none" w:sz="0" w:space="0" w:color="auto"/>
          </w:divBdr>
          <w:divsChild>
            <w:div w:id="954671958">
              <w:marLeft w:val="0"/>
              <w:marRight w:val="0"/>
              <w:marTop w:val="0"/>
              <w:marBottom w:val="0"/>
              <w:divBdr>
                <w:top w:val="none" w:sz="0" w:space="0" w:color="auto"/>
                <w:left w:val="none" w:sz="0" w:space="0" w:color="auto"/>
                <w:bottom w:val="none" w:sz="0" w:space="0" w:color="auto"/>
                <w:right w:val="none" w:sz="0" w:space="0" w:color="auto"/>
              </w:divBdr>
              <w:divsChild>
                <w:div w:id="264073185">
                  <w:marLeft w:val="0"/>
                  <w:marRight w:val="0"/>
                  <w:marTop w:val="0"/>
                  <w:marBottom w:val="0"/>
                  <w:divBdr>
                    <w:top w:val="none" w:sz="0" w:space="0" w:color="auto"/>
                    <w:left w:val="none" w:sz="0" w:space="0" w:color="auto"/>
                    <w:bottom w:val="none" w:sz="0" w:space="0" w:color="auto"/>
                    <w:right w:val="none" w:sz="0" w:space="0" w:color="auto"/>
                  </w:divBdr>
                  <w:divsChild>
                    <w:div w:id="28378830">
                      <w:marLeft w:val="0"/>
                      <w:marRight w:val="0"/>
                      <w:marTop w:val="0"/>
                      <w:marBottom w:val="0"/>
                      <w:divBdr>
                        <w:top w:val="none" w:sz="0" w:space="0" w:color="auto"/>
                        <w:left w:val="none" w:sz="0" w:space="0" w:color="auto"/>
                        <w:bottom w:val="none" w:sz="0" w:space="0" w:color="auto"/>
                        <w:right w:val="none" w:sz="0" w:space="0" w:color="auto"/>
                      </w:divBdr>
                      <w:divsChild>
                        <w:div w:id="1641886517">
                          <w:marLeft w:val="0"/>
                          <w:marRight w:val="0"/>
                          <w:marTop w:val="0"/>
                          <w:marBottom w:val="0"/>
                          <w:divBdr>
                            <w:top w:val="none" w:sz="0" w:space="0" w:color="auto"/>
                            <w:left w:val="none" w:sz="0" w:space="0" w:color="auto"/>
                            <w:bottom w:val="none" w:sz="0" w:space="0" w:color="auto"/>
                            <w:right w:val="none" w:sz="0" w:space="0" w:color="auto"/>
                          </w:divBdr>
                          <w:divsChild>
                            <w:div w:id="157616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229774">
      <w:bodyDiv w:val="1"/>
      <w:marLeft w:val="0"/>
      <w:marRight w:val="0"/>
      <w:marTop w:val="0"/>
      <w:marBottom w:val="0"/>
      <w:divBdr>
        <w:top w:val="none" w:sz="0" w:space="0" w:color="auto"/>
        <w:left w:val="none" w:sz="0" w:space="0" w:color="auto"/>
        <w:bottom w:val="none" w:sz="0" w:space="0" w:color="auto"/>
        <w:right w:val="none" w:sz="0" w:space="0" w:color="auto"/>
      </w:divBdr>
    </w:div>
    <w:div w:id="360711292">
      <w:bodyDiv w:val="1"/>
      <w:marLeft w:val="0"/>
      <w:marRight w:val="0"/>
      <w:marTop w:val="0"/>
      <w:marBottom w:val="0"/>
      <w:divBdr>
        <w:top w:val="none" w:sz="0" w:space="0" w:color="auto"/>
        <w:left w:val="none" w:sz="0" w:space="0" w:color="auto"/>
        <w:bottom w:val="none" w:sz="0" w:space="0" w:color="auto"/>
        <w:right w:val="none" w:sz="0" w:space="0" w:color="auto"/>
      </w:divBdr>
    </w:div>
    <w:div w:id="365449216">
      <w:bodyDiv w:val="1"/>
      <w:marLeft w:val="0"/>
      <w:marRight w:val="0"/>
      <w:marTop w:val="0"/>
      <w:marBottom w:val="0"/>
      <w:divBdr>
        <w:top w:val="none" w:sz="0" w:space="0" w:color="auto"/>
        <w:left w:val="none" w:sz="0" w:space="0" w:color="auto"/>
        <w:bottom w:val="none" w:sz="0" w:space="0" w:color="auto"/>
        <w:right w:val="none" w:sz="0" w:space="0" w:color="auto"/>
      </w:divBdr>
    </w:div>
    <w:div w:id="377246934">
      <w:bodyDiv w:val="1"/>
      <w:marLeft w:val="0"/>
      <w:marRight w:val="0"/>
      <w:marTop w:val="0"/>
      <w:marBottom w:val="0"/>
      <w:divBdr>
        <w:top w:val="none" w:sz="0" w:space="0" w:color="auto"/>
        <w:left w:val="none" w:sz="0" w:space="0" w:color="auto"/>
        <w:bottom w:val="none" w:sz="0" w:space="0" w:color="auto"/>
        <w:right w:val="none" w:sz="0" w:space="0" w:color="auto"/>
      </w:divBdr>
    </w:div>
    <w:div w:id="379791587">
      <w:bodyDiv w:val="1"/>
      <w:marLeft w:val="0"/>
      <w:marRight w:val="0"/>
      <w:marTop w:val="0"/>
      <w:marBottom w:val="0"/>
      <w:divBdr>
        <w:top w:val="none" w:sz="0" w:space="0" w:color="auto"/>
        <w:left w:val="none" w:sz="0" w:space="0" w:color="auto"/>
        <w:bottom w:val="none" w:sz="0" w:space="0" w:color="auto"/>
        <w:right w:val="none" w:sz="0" w:space="0" w:color="auto"/>
      </w:divBdr>
    </w:div>
    <w:div w:id="383792950">
      <w:bodyDiv w:val="1"/>
      <w:marLeft w:val="0"/>
      <w:marRight w:val="0"/>
      <w:marTop w:val="0"/>
      <w:marBottom w:val="0"/>
      <w:divBdr>
        <w:top w:val="none" w:sz="0" w:space="0" w:color="auto"/>
        <w:left w:val="none" w:sz="0" w:space="0" w:color="auto"/>
        <w:bottom w:val="none" w:sz="0" w:space="0" w:color="auto"/>
        <w:right w:val="none" w:sz="0" w:space="0" w:color="auto"/>
      </w:divBdr>
    </w:div>
    <w:div w:id="391462791">
      <w:bodyDiv w:val="1"/>
      <w:marLeft w:val="0"/>
      <w:marRight w:val="0"/>
      <w:marTop w:val="0"/>
      <w:marBottom w:val="0"/>
      <w:divBdr>
        <w:top w:val="none" w:sz="0" w:space="0" w:color="auto"/>
        <w:left w:val="none" w:sz="0" w:space="0" w:color="auto"/>
        <w:bottom w:val="none" w:sz="0" w:space="0" w:color="auto"/>
        <w:right w:val="none" w:sz="0" w:space="0" w:color="auto"/>
      </w:divBdr>
    </w:div>
    <w:div w:id="407532513">
      <w:bodyDiv w:val="1"/>
      <w:marLeft w:val="0"/>
      <w:marRight w:val="0"/>
      <w:marTop w:val="0"/>
      <w:marBottom w:val="0"/>
      <w:divBdr>
        <w:top w:val="none" w:sz="0" w:space="0" w:color="auto"/>
        <w:left w:val="none" w:sz="0" w:space="0" w:color="auto"/>
        <w:bottom w:val="none" w:sz="0" w:space="0" w:color="auto"/>
        <w:right w:val="none" w:sz="0" w:space="0" w:color="auto"/>
      </w:divBdr>
    </w:div>
    <w:div w:id="418523487">
      <w:bodyDiv w:val="1"/>
      <w:marLeft w:val="0"/>
      <w:marRight w:val="0"/>
      <w:marTop w:val="0"/>
      <w:marBottom w:val="0"/>
      <w:divBdr>
        <w:top w:val="none" w:sz="0" w:space="0" w:color="auto"/>
        <w:left w:val="none" w:sz="0" w:space="0" w:color="auto"/>
        <w:bottom w:val="none" w:sz="0" w:space="0" w:color="auto"/>
        <w:right w:val="none" w:sz="0" w:space="0" w:color="auto"/>
      </w:divBdr>
    </w:div>
    <w:div w:id="420374979">
      <w:bodyDiv w:val="1"/>
      <w:marLeft w:val="0"/>
      <w:marRight w:val="0"/>
      <w:marTop w:val="0"/>
      <w:marBottom w:val="0"/>
      <w:divBdr>
        <w:top w:val="none" w:sz="0" w:space="0" w:color="auto"/>
        <w:left w:val="none" w:sz="0" w:space="0" w:color="auto"/>
        <w:bottom w:val="none" w:sz="0" w:space="0" w:color="auto"/>
        <w:right w:val="none" w:sz="0" w:space="0" w:color="auto"/>
      </w:divBdr>
    </w:div>
    <w:div w:id="422803905">
      <w:bodyDiv w:val="1"/>
      <w:marLeft w:val="0"/>
      <w:marRight w:val="0"/>
      <w:marTop w:val="0"/>
      <w:marBottom w:val="0"/>
      <w:divBdr>
        <w:top w:val="none" w:sz="0" w:space="0" w:color="auto"/>
        <w:left w:val="none" w:sz="0" w:space="0" w:color="auto"/>
        <w:bottom w:val="none" w:sz="0" w:space="0" w:color="auto"/>
        <w:right w:val="none" w:sz="0" w:space="0" w:color="auto"/>
      </w:divBdr>
    </w:div>
    <w:div w:id="429934167">
      <w:bodyDiv w:val="1"/>
      <w:marLeft w:val="0"/>
      <w:marRight w:val="0"/>
      <w:marTop w:val="0"/>
      <w:marBottom w:val="0"/>
      <w:divBdr>
        <w:top w:val="none" w:sz="0" w:space="0" w:color="auto"/>
        <w:left w:val="none" w:sz="0" w:space="0" w:color="auto"/>
        <w:bottom w:val="none" w:sz="0" w:space="0" w:color="auto"/>
        <w:right w:val="none" w:sz="0" w:space="0" w:color="auto"/>
      </w:divBdr>
    </w:div>
    <w:div w:id="430668318">
      <w:bodyDiv w:val="1"/>
      <w:marLeft w:val="0"/>
      <w:marRight w:val="0"/>
      <w:marTop w:val="0"/>
      <w:marBottom w:val="0"/>
      <w:divBdr>
        <w:top w:val="none" w:sz="0" w:space="0" w:color="auto"/>
        <w:left w:val="none" w:sz="0" w:space="0" w:color="auto"/>
        <w:bottom w:val="none" w:sz="0" w:space="0" w:color="auto"/>
        <w:right w:val="none" w:sz="0" w:space="0" w:color="auto"/>
      </w:divBdr>
    </w:div>
    <w:div w:id="444080911">
      <w:bodyDiv w:val="1"/>
      <w:marLeft w:val="0"/>
      <w:marRight w:val="0"/>
      <w:marTop w:val="0"/>
      <w:marBottom w:val="0"/>
      <w:divBdr>
        <w:top w:val="none" w:sz="0" w:space="0" w:color="auto"/>
        <w:left w:val="none" w:sz="0" w:space="0" w:color="auto"/>
        <w:bottom w:val="none" w:sz="0" w:space="0" w:color="auto"/>
        <w:right w:val="none" w:sz="0" w:space="0" w:color="auto"/>
      </w:divBdr>
    </w:div>
    <w:div w:id="451243828">
      <w:bodyDiv w:val="1"/>
      <w:marLeft w:val="0"/>
      <w:marRight w:val="0"/>
      <w:marTop w:val="0"/>
      <w:marBottom w:val="0"/>
      <w:divBdr>
        <w:top w:val="none" w:sz="0" w:space="0" w:color="auto"/>
        <w:left w:val="none" w:sz="0" w:space="0" w:color="auto"/>
        <w:bottom w:val="none" w:sz="0" w:space="0" w:color="auto"/>
        <w:right w:val="none" w:sz="0" w:space="0" w:color="auto"/>
      </w:divBdr>
    </w:div>
    <w:div w:id="455029753">
      <w:bodyDiv w:val="1"/>
      <w:marLeft w:val="0"/>
      <w:marRight w:val="0"/>
      <w:marTop w:val="0"/>
      <w:marBottom w:val="0"/>
      <w:divBdr>
        <w:top w:val="none" w:sz="0" w:space="0" w:color="auto"/>
        <w:left w:val="none" w:sz="0" w:space="0" w:color="auto"/>
        <w:bottom w:val="none" w:sz="0" w:space="0" w:color="auto"/>
        <w:right w:val="none" w:sz="0" w:space="0" w:color="auto"/>
      </w:divBdr>
    </w:div>
    <w:div w:id="467818830">
      <w:bodyDiv w:val="1"/>
      <w:marLeft w:val="0"/>
      <w:marRight w:val="0"/>
      <w:marTop w:val="0"/>
      <w:marBottom w:val="0"/>
      <w:divBdr>
        <w:top w:val="none" w:sz="0" w:space="0" w:color="auto"/>
        <w:left w:val="none" w:sz="0" w:space="0" w:color="auto"/>
        <w:bottom w:val="none" w:sz="0" w:space="0" w:color="auto"/>
        <w:right w:val="none" w:sz="0" w:space="0" w:color="auto"/>
      </w:divBdr>
    </w:div>
    <w:div w:id="468982122">
      <w:bodyDiv w:val="1"/>
      <w:marLeft w:val="0"/>
      <w:marRight w:val="0"/>
      <w:marTop w:val="0"/>
      <w:marBottom w:val="0"/>
      <w:divBdr>
        <w:top w:val="none" w:sz="0" w:space="0" w:color="auto"/>
        <w:left w:val="none" w:sz="0" w:space="0" w:color="auto"/>
        <w:bottom w:val="none" w:sz="0" w:space="0" w:color="auto"/>
        <w:right w:val="none" w:sz="0" w:space="0" w:color="auto"/>
      </w:divBdr>
    </w:div>
    <w:div w:id="469904574">
      <w:bodyDiv w:val="1"/>
      <w:marLeft w:val="0"/>
      <w:marRight w:val="0"/>
      <w:marTop w:val="0"/>
      <w:marBottom w:val="0"/>
      <w:divBdr>
        <w:top w:val="none" w:sz="0" w:space="0" w:color="auto"/>
        <w:left w:val="none" w:sz="0" w:space="0" w:color="auto"/>
        <w:bottom w:val="none" w:sz="0" w:space="0" w:color="auto"/>
        <w:right w:val="none" w:sz="0" w:space="0" w:color="auto"/>
      </w:divBdr>
    </w:div>
    <w:div w:id="496186507">
      <w:bodyDiv w:val="1"/>
      <w:marLeft w:val="0"/>
      <w:marRight w:val="0"/>
      <w:marTop w:val="0"/>
      <w:marBottom w:val="0"/>
      <w:divBdr>
        <w:top w:val="none" w:sz="0" w:space="0" w:color="auto"/>
        <w:left w:val="none" w:sz="0" w:space="0" w:color="auto"/>
        <w:bottom w:val="none" w:sz="0" w:space="0" w:color="auto"/>
        <w:right w:val="none" w:sz="0" w:space="0" w:color="auto"/>
      </w:divBdr>
    </w:div>
    <w:div w:id="505173586">
      <w:bodyDiv w:val="1"/>
      <w:marLeft w:val="0"/>
      <w:marRight w:val="0"/>
      <w:marTop w:val="0"/>
      <w:marBottom w:val="0"/>
      <w:divBdr>
        <w:top w:val="none" w:sz="0" w:space="0" w:color="auto"/>
        <w:left w:val="none" w:sz="0" w:space="0" w:color="auto"/>
        <w:bottom w:val="none" w:sz="0" w:space="0" w:color="auto"/>
        <w:right w:val="none" w:sz="0" w:space="0" w:color="auto"/>
      </w:divBdr>
    </w:div>
    <w:div w:id="512843732">
      <w:bodyDiv w:val="1"/>
      <w:marLeft w:val="0"/>
      <w:marRight w:val="0"/>
      <w:marTop w:val="0"/>
      <w:marBottom w:val="0"/>
      <w:divBdr>
        <w:top w:val="none" w:sz="0" w:space="0" w:color="auto"/>
        <w:left w:val="none" w:sz="0" w:space="0" w:color="auto"/>
        <w:bottom w:val="none" w:sz="0" w:space="0" w:color="auto"/>
        <w:right w:val="none" w:sz="0" w:space="0" w:color="auto"/>
      </w:divBdr>
      <w:divsChild>
        <w:div w:id="998383916">
          <w:marLeft w:val="0"/>
          <w:marRight w:val="0"/>
          <w:marTop w:val="0"/>
          <w:marBottom w:val="0"/>
          <w:divBdr>
            <w:top w:val="none" w:sz="0" w:space="0" w:color="auto"/>
            <w:left w:val="none" w:sz="0" w:space="0" w:color="auto"/>
            <w:bottom w:val="none" w:sz="0" w:space="0" w:color="auto"/>
            <w:right w:val="none" w:sz="0" w:space="0" w:color="auto"/>
          </w:divBdr>
          <w:divsChild>
            <w:div w:id="163516956">
              <w:marLeft w:val="0"/>
              <w:marRight w:val="0"/>
              <w:marTop w:val="0"/>
              <w:marBottom w:val="0"/>
              <w:divBdr>
                <w:top w:val="none" w:sz="0" w:space="0" w:color="auto"/>
                <w:left w:val="none" w:sz="0" w:space="0" w:color="auto"/>
                <w:bottom w:val="none" w:sz="0" w:space="0" w:color="auto"/>
                <w:right w:val="none" w:sz="0" w:space="0" w:color="auto"/>
              </w:divBdr>
              <w:divsChild>
                <w:div w:id="2006011129">
                  <w:marLeft w:val="0"/>
                  <w:marRight w:val="0"/>
                  <w:marTop w:val="0"/>
                  <w:marBottom w:val="0"/>
                  <w:divBdr>
                    <w:top w:val="none" w:sz="0" w:space="0" w:color="auto"/>
                    <w:left w:val="none" w:sz="0" w:space="0" w:color="auto"/>
                    <w:bottom w:val="none" w:sz="0" w:space="0" w:color="auto"/>
                    <w:right w:val="none" w:sz="0" w:space="0" w:color="auto"/>
                  </w:divBdr>
                  <w:divsChild>
                    <w:div w:id="427192798">
                      <w:marLeft w:val="0"/>
                      <w:marRight w:val="0"/>
                      <w:marTop w:val="0"/>
                      <w:marBottom w:val="0"/>
                      <w:divBdr>
                        <w:top w:val="none" w:sz="0" w:space="0" w:color="auto"/>
                        <w:left w:val="none" w:sz="0" w:space="0" w:color="auto"/>
                        <w:bottom w:val="none" w:sz="0" w:space="0" w:color="auto"/>
                        <w:right w:val="none" w:sz="0" w:space="0" w:color="auto"/>
                      </w:divBdr>
                      <w:divsChild>
                        <w:div w:id="1098677561">
                          <w:marLeft w:val="0"/>
                          <w:marRight w:val="0"/>
                          <w:marTop w:val="0"/>
                          <w:marBottom w:val="0"/>
                          <w:divBdr>
                            <w:top w:val="none" w:sz="0" w:space="0" w:color="auto"/>
                            <w:left w:val="none" w:sz="0" w:space="0" w:color="auto"/>
                            <w:bottom w:val="none" w:sz="0" w:space="0" w:color="auto"/>
                            <w:right w:val="none" w:sz="0" w:space="0" w:color="auto"/>
                          </w:divBdr>
                          <w:divsChild>
                            <w:div w:id="17947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916864">
      <w:bodyDiv w:val="1"/>
      <w:marLeft w:val="0"/>
      <w:marRight w:val="0"/>
      <w:marTop w:val="0"/>
      <w:marBottom w:val="0"/>
      <w:divBdr>
        <w:top w:val="none" w:sz="0" w:space="0" w:color="auto"/>
        <w:left w:val="none" w:sz="0" w:space="0" w:color="auto"/>
        <w:bottom w:val="none" w:sz="0" w:space="0" w:color="auto"/>
        <w:right w:val="none" w:sz="0" w:space="0" w:color="auto"/>
      </w:divBdr>
    </w:div>
    <w:div w:id="517155866">
      <w:bodyDiv w:val="1"/>
      <w:marLeft w:val="0"/>
      <w:marRight w:val="0"/>
      <w:marTop w:val="0"/>
      <w:marBottom w:val="0"/>
      <w:divBdr>
        <w:top w:val="none" w:sz="0" w:space="0" w:color="auto"/>
        <w:left w:val="none" w:sz="0" w:space="0" w:color="auto"/>
        <w:bottom w:val="none" w:sz="0" w:space="0" w:color="auto"/>
        <w:right w:val="none" w:sz="0" w:space="0" w:color="auto"/>
      </w:divBdr>
    </w:div>
    <w:div w:id="526873744">
      <w:bodyDiv w:val="1"/>
      <w:marLeft w:val="0"/>
      <w:marRight w:val="0"/>
      <w:marTop w:val="0"/>
      <w:marBottom w:val="0"/>
      <w:divBdr>
        <w:top w:val="none" w:sz="0" w:space="0" w:color="auto"/>
        <w:left w:val="none" w:sz="0" w:space="0" w:color="auto"/>
        <w:bottom w:val="none" w:sz="0" w:space="0" w:color="auto"/>
        <w:right w:val="none" w:sz="0" w:space="0" w:color="auto"/>
      </w:divBdr>
    </w:div>
    <w:div w:id="528640333">
      <w:bodyDiv w:val="1"/>
      <w:marLeft w:val="0"/>
      <w:marRight w:val="0"/>
      <w:marTop w:val="0"/>
      <w:marBottom w:val="0"/>
      <w:divBdr>
        <w:top w:val="none" w:sz="0" w:space="0" w:color="auto"/>
        <w:left w:val="none" w:sz="0" w:space="0" w:color="auto"/>
        <w:bottom w:val="none" w:sz="0" w:space="0" w:color="auto"/>
        <w:right w:val="none" w:sz="0" w:space="0" w:color="auto"/>
      </w:divBdr>
    </w:div>
    <w:div w:id="551776036">
      <w:bodyDiv w:val="1"/>
      <w:marLeft w:val="0"/>
      <w:marRight w:val="0"/>
      <w:marTop w:val="0"/>
      <w:marBottom w:val="0"/>
      <w:divBdr>
        <w:top w:val="none" w:sz="0" w:space="0" w:color="auto"/>
        <w:left w:val="none" w:sz="0" w:space="0" w:color="auto"/>
        <w:bottom w:val="none" w:sz="0" w:space="0" w:color="auto"/>
        <w:right w:val="none" w:sz="0" w:space="0" w:color="auto"/>
      </w:divBdr>
    </w:div>
    <w:div w:id="553854317">
      <w:bodyDiv w:val="1"/>
      <w:marLeft w:val="0"/>
      <w:marRight w:val="0"/>
      <w:marTop w:val="0"/>
      <w:marBottom w:val="0"/>
      <w:divBdr>
        <w:top w:val="none" w:sz="0" w:space="0" w:color="auto"/>
        <w:left w:val="none" w:sz="0" w:space="0" w:color="auto"/>
        <w:bottom w:val="none" w:sz="0" w:space="0" w:color="auto"/>
        <w:right w:val="none" w:sz="0" w:space="0" w:color="auto"/>
      </w:divBdr>
    </w:div>
    <w:div w:id="558902152">
      <w:bodyDiv w:val="1"/>
      <w:marLeft w:val="0"/>
      <w:marRight w:val="0"/>
      <w:marTop w:val="0"/>
      <w:marBottom w:val="0"/>
      <w:divBdr>
        <w:top w:val="none" w:sz="0" w:space="0" w:color="auto"/>
        <w:left w:val="none" w:sz="0" w:space="0" w:color="auto"/>
        <w:bottom w:val="none" w:sz="0" w:space="0" w:color="auto"/>
        <w:right w:val="none" w:sz="0" w:space="0" w:color="auto"/>
      </w:divBdr>
    </w:div>
    <w:div w:id="569078070">
      <w:bodyDiv w:val="1"/>
      <w:marLeft w:val="0"/>
      <w:marRight w:val="0"/>
      <w:marTop w:val="0"/>
      <w:marBottom w:val="0"/>
      <w:divBdr>
        <w:top w:val="none" w:sz="0" w:space="0" w:color="auto"/>
        <w:left w:val="none" w:sz="0" w:space="0" w:color="auto"/>
        <w:bottom w:val="none" w:sz="0" w:space="0" w:color="auto"/>
        <w:right w:val="none" w:sz="0" w:space="0" w:color="auto"/>
      </w:divBdr>
    </w:div>
    <w:div w:id="570969253">
      <w:bodyDiv w:val="1"/>
      <w:marLeft w:val="0"/>
      <w:marRight w:val="0"/>
      <w:marTop w:val="0"/>
      <w:marBottom w:val="0"/>
      <w:divBdr>
        <w:top w:val="none" w:sz="0" w:space="0" w:color="auto"/>
        <w:left w:val="none" w:sz="0" w:space="0" w:color="auto"/>
        <w:bottom w:val="none" w:sz="0" w:space="0" w:color="auto"/>
        <w:right w:val="none" w:sz="0" w:space="0" w:color="auto"/>
      </w:divBdr>
    </w:div>
    <w:div w:id="571888136">
      <w:bodyDiv w:val="1"/>
      <w:marLeft w:val="0"/>
      <w:marRight w:val="0"/>
      <w:marTop w:val="0"/>
      <w:marBottom w:val="0"/>
      <w:divBdr>
        <w:top w:val="none" w:sz="0" w:space="0" w:color="auto"/>
        <w:left w:val="none" w:sz="0" w:space="0" w:color="auto"/>
        <w:bottom w:val="none" w:sz="0" w:space="0" w:color="auto"/>
        <w:right w:val="none" w:sz="0" w:space="0" w:color="auto"/>
      </w:divBdr>
      <w:divsChild>
        <w:div w:id="732123379">
          <w:marLeft w:val="0"/>
          <w:marRight w:val="0"/>
          <w:marTop w:val="0"/>
          <w:marBottom w:val="0"/>
          <w:divBdr>
            <w:top w:val="none" w:sz="0" w:space="0" w:color="auto"/>
            <w:left w:val="none" w:sz="0" w:space="0" w:color="auto"/>
            <w:bottom w:val="none" w:sz="0" w:space="0" w:color="auto"/>
            <w:right w:val="none" w:sz="0" w:space="0" w:color="auto"/>
          </w:divBdr>
          <w:divsChild>
            <w:div w:id="307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0619">
      <w:bodyDiv w:val="1"/>
      <w:marLeft w:val="0"/>
      <w:marRight w:val="0"/>
      <w:marTop w:val="0"/>
      <w:marBottom w:val="0"/>
      <w:divBdr>
        <w:top w:val="none" w:sz="0" w:space="0" w:color="auto"/>
        <w:left w:val="none" w:sz="0" w:space="0" w:color="auto"/>
        <w:bottom w:val="none" w:sz="0" w:space="0" w:color="auto"/>
        <w:right w:val="none" w:sz="0" w:space="0" w:color="auto"/>
      </w:divBdr>
    </w:div>
    <w:div w:id="578714872">
      <w:bodyDiv w:val="1"/>
      <w:marLeft w:val="0"/>
      <w:marRight w:val="0"/>
      <w:marTop w:val="0"/>
      <w:marBottom w:val="0"/>
      <w:divBdr>
        <w:top w:val="none" w:sz="0" w:space="0" w:color="auto"/>
        <w:left w:val="none" w:sz="0" w:space="0" w:color="auto"/>
        <w:bottom w:val="none" w:sz="0" w:space="0" w:color="auto"/>
        <w:right w:val="none" w:sz="0" w:space="0" w:color="auto"/>
      </w:divBdr>
    </w:div>
    <w:div w:id="580214946">
      <w:bodyDiv w:val="1"/>
      <w:marLeft w:val="0"/>
      <w:marRight w:val="0"/>
      <w:marTop w:val="0"/>
      <w:marBottom w:val="0"/>
      <w:divBdr>
        <w:top w:val="none" w:sz="0" w:space="0" w:color="auto"/>
        <w:left w:val="none" w:sz="0" w:space="0" w:color="auto"/>
        <w:bottom w:val="none" w:sz="0" w:space="0" w:color="auto"/>
        <w:right w:val="none" w:sz="0" w:space="0" w:color="auto"/>
      </w:divBdr>
      <w:divsChild>
        <w:div w:id="598296064">
          <w:marLeft w:val="0"/>
          <w:marRight w:val="0"/>
          <w:marTop w:val="0"/>
          <w:marBottom w:val="0"/>
          <w:divBdr>
            <w:top w:val="none" w:sz="0" w:space="0" w:color="auto"/>
            <w:left w:val="none" w:sz="0" w:space="0" w:color="auto"/>
            <w:bottom w:val="none" w:sz="0" w:space="0" w:color="auto"/>
            <w:right w:val="none" w:sz="0" w:space="0" w:color="auto"/>
          </w:divBdr>
          <w:divsChild>
            <w:div w:id="1758556536">
              <w:marLeft w:val="0"/>
              <w:marRight w:val="0"/>
              <w:marTop w:val="0"/>
              <w:marBottom w:val="0"/>
              <w:divBdr>
                <w:top w:val="none" w:sz="0" w:space="0" w:color="auto"/>
                <w:left w:val="none" w:sz="0" w:space="0" w:color="auto"/>
                <w:bottom w:val="none" w:sz="0" w:space="0" w:color="auto"/>
                <w:right w:val="none" w:sz="0" w:space="0" w:color="auto"/>
              </w:divBdr>
              <w:divsChild>
                <w:div w:id="201214974">
                  <w:marLeft w:val="0"/>
                  <w:marRight w:val="0"/>
                  <w:marTop w:val="0"/>
                  <w:marBottom w:val="0"/>
                  <w:divBdr>
                    <w:top w:val="none" w:sz="0" w:space="0" w:color="auto"/>
                    <w:left w:val="none" w:sz="0" w:space="0" w:color="auto"/>
                    <w:bottom w:val="none" w:sz="0" w:space="0" w:color="auto"/>
                    <w:right w:val="none" w:sz="0" w:space="0" w:color="auto"/>
                  </w:divBdr>
                  <w:divsChild>
                    <w:div w:id="14190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225113">
          <w:marLeft w:val="0"/>
          <w:marRight w:val="0"/>
          <w:marTop w:val="0"/>
          <w:marBottom w:val="0"/>
          <w:divBdr>
            <w:top w:val="none" w:sz="0" w:space="0" w:color="auto"/>
            <w:left w:val="none" w:sz="0" w:space="0" w:color="auto"/>
            <w:bottom w:val="none" w:sz="0" w:space="0" w:color="auto"/>
            <w:right w:val="none" w:sz="0" w:space="0" w:color="auto"/>
          </w:divBdr>
          <w:divsChild>
            <w:div w:id="1927498193">
              <w:marLeft w:val="0"/>
              <w:marRight w:val="0"/>
              <w:marTop w:val="0"/>
              <w:marBottom w:val="0"/>
              <w:divBdr>
                <w:top w:val="none" w:sz="0" w:space="0" w:color="auto"/>
                <w:left w:val="none" w:sz="0" w:space="0" w:color="auto"/>
                <w:bottom w:val="none" w:sz="0" w:space="0" w:color="auto"/>
                <w:right w:val="none" w:sz="0" w:space="0" w:color="auto"/>
              </w:divBdr>
              <w:divsChild>
                <w:div w:id="903611615">
                  <w:marLeft w:val="0"/>
                  <w:marRight w:val="0"/>
                  <w:marTop w:val="0"/>
                  <w:marBottom w:val="0"/>
                  <w:divBdr>
                    <w:top w:val="none" w:sz="0" w:space="0" w:color="auto"/>
                    <w:left w:val="none" w:sz="0" w:space="0" w:color="auto"/>
                    <w:bottom w:val="none" w:sz="0" w:space="0" w:color="auto"/>
                    <w:right w:val="none" w:sz="0" w:space="0" w:color="auto"/>
                  </w:divBdr>
                  <w:divsChild>
                    <w:div w:id="309755110">
                      <w:marLeft w:val="0"/>
                      <w:marRight w:val="0"/>
                      <w:marTop w:val="0"/>
                      <w:marBottom w:val="0"/>
                      <w:divBdr>
                        <w:top w:val="none" w:sz="0" w:space="0" w:color="auto"/>
                        <w:left w:val="none" w:sz="0" w:space="0" w:color="auto"/>
                        <w:bottom w:val="none" w:sz="0" w:space="0" w:color="auto"/>
                        <w:right w:val="none" w:sz="0" w:space="0" w:color="auto"/>
                      </w:divBdr>
                      <w:divsChild>
                        <w:div w:id="2089033240">
                          <w:marLeft w:val="0"/>
                          <w:marRight w:val="0"/>
                          <w:marTop w:val="0"/>
                          <w:marBottom w:val="0"/>
                          <w:divBdr>
                            <w:top w:val="none" w:sz="0" w:space="0" w:color="auto"/>
                            <w:left w:val="none" w:sz="0" w:space="0" w:color="auto"/>
                            <w:bottom w:val="none" w:sz="0" w:space="0" w:color="auto"/>
                            <w:right w:val="none" w:sz="0" w:space="0" w:color="auto"/>
                          </w:divBdr>
                          <w:divsChild>
                            <w:div w:id="680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685976">
      <w:bodyDiv w:val="1"/>
      <w:marLeft w:val="0"/>
      <w:marRight w:val="0"/>
      <w:marTop w:val="0"/>
      <w:marBottom w:val="0"/>
      <w:divBdr>
        <w:top w:val="none" w:sz="0" w:space="0" w:color="auto"/>
        <w:left w:val="none" w:sz="0" w:space="0" w:color="auto"/>
        <w:bottom w:val="none" w:sz="0" w:space="0" w:color="auto"/>
        <w:right w:val="none" w:sz="0" w:space="0" w:color="auto"/>
      </w:divBdr>
    </w:div>
    <w:div w:id="608972885">
      <w:bodyDiv w:val="1"/>
      <w:marLeft w:val="0"/>
      <w:marRight w:val="0"/>
      <w:marTop w:val="0"/>
      <w:marBottom w:val="0"/>
      <w:divBdr>
        <w:top w:val="none" w:sz="0" w:space="0" w:color="auto"/>
        <w:left w:val="none" w:sz="0" w:space="0" w:color="auto"/>
        <w:bottom w:val="none" w:sz="0" w:space="0" w:color="auto"/>
        <w:right w:val="none" w:sz="0" w:space="0" w:color="auto"/>
      </w:divBdr>
      <w:divsChild>
        <w:div w:id="23211986">
          <w:marLeft w:val="0"/>
          <w:marRight w:val="0"/>
          <w:marTop w:val="0"/>
          <w:marBottom w:val="0"/>
          <w:divBdr>
            <w:top w:val="none" w:sz="0" w:space="0" w:color="auto"/>
            <w:left w:val="none" w:sz="0" w:space="0" w:color="auto"/>
            <w:bottom w:val="none" w:sz="0" w:space="0" w:color="auto"/>
            <w:right w:val="none" w:sz="0" w:space="0" w:color="auto"/>
          </w:divBdr>
          <w:divsChild>
            <w:div w:id="2033991774">
              <w:marLeft w:val="0"/>
              <w:marRight w:val="0"/>
              <w:marTop w:val="0"/>
              <w:marBottom w:val="0"/>
              <w:divBdr>
                <w:top w:val="none" w:sz="0" w:space="0" w:color="auto"/>
                <w:left w:val="none" w:sz="0" w:space="0" w:color="auto"/>
                <w:bottom w:val="none" w:sz="0" w:space="0" w:color="auto"/>
                <w:right w:val="none" w:sz="0" w:space="0" w:color="auto"/>
              </w:divBdr>
              <w:divsChild>
                <w:div w:id="485169961">
                  <w:marLeft w:val="0"/>
                  <w:marRight w:val="0"/>
                  <w:marTop w:val="0"/>
                  <w:marBottom w:val="0"/>
                  <w:divBdr>
                    <w:top w:val="none" w:sz="0" w:space="0" w:color="auto"/>
                    <w:left w:val="none" w:sz="0" w:space="0" w:color="auto"/>
                    <w:bottom w:val="none" w:sz="0" w:space="0" w:color="auto"/>
                    <w:right w:val="none" w:sz="0" w:space="0" w:color="auto"/>
                  </w:divBdr>
                  <w:divsChild>
                    <w:div w:id="1949652181">
                      <w:marLeft w:val="0"/>
                      <w:marRight w:val="0"/>
                      <w:marTop w:val="0"/>
                      <w:marBottom w:val="0"/>
                      <w:divBdr>
                        <w:top w:val="none" w:sz="0" w:space="0" w:color="auto"/>
                        <w:left w:val="none" w:sz="0" w:space="0" w:color="auto"/>
                        <w:bottom w:val="none" w:sz="0" w:space="0" w:color="auto"/>
                        <w:right w:val="none" w:sz="0" w:space="0" w:color="auto"/>
                      </w:divBdr>
                      <w:divsChild>
                        <w:div w:id="842359991">
                          <w:marLeft w:val="0"/>
                          <w:marRight w:val="0"/>
                          <w:marTop w:val="0"/>
                          <w:marBottom w:val="0"/>
                          <w:divBdr>
                            <w:top w:val="none" w:sz="0" w:space="0" w:color="auto"/>
                            <w:left w:val="none" w:sz="0" w:space="0" w:color="auto"/>
                            <w:bottom w:val="none" w:sz="0" w:space="0" w:color="auto"/>
                            <w:right w:val="none" w:sz="0" w:space="0" w:color="auto"/>
                          </w:divBdr>
                          <w:divsChild>
                            <w:div w:id="209659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594648">
      <w:bodyDiv w:val="1"/>
      <w:marLeft w:val="0"/>
      <w:marRight w:val="0"/>
      <w:marTop w:val="0"/>
      <w:marBottom w:val="0"/>
      <w:divBdr>
        <w:top w:val="none" w:sz="0" w:space="0" w:color="auto"/>
        <w:left w:val="none" w:sz="0" w:space="0" w:color="auto"/>
        <w:bottom w:val="none" w:sz="0" w:space="0" w:color="auto"/>
        <w:right w:val="none" w:sz="0" w:space="0" w:color="auto"/>
      </w:divBdr>
    </w:div>
    <w:div w:id="632642264">
      <w:bodyDiv w:val="1"/>
      <w:marLeft w:val="0"/>
      <w:marRight w:val="0"/>
      <w:marTop w:val="0"/>
      <w:marBottom w:val="0"/>
      <w:divBdr>
        <w:top w:val="none" w:sz="0" w:space="0" w:color="auto"/>
        <w:left w:val="none" w:sz="0" w:space="0" w:color="auto"/>
        <w:bottom w:val="none" w:sz="0" w:space="0" w:color="auto"/>
        <w:right w:val="none" w:sz="0" w:space="0" w:color="auto"/>
      </w:divBdr>
    </w:div>
    <w:div w:id="654145063">
      <w:bodyDiv w:val="1"/>
      <w:marLeft w:val="0"/>
      <w:marRight w:val="0"/>
      <w:marTop w:val="0"/>
      <w:marBottom w:val="0"/>
      <w:divBdr>
        <w:top w:val="none" w:sz="0" w:space="0" w:color="auto"/>
        <w:left w:val="none" w:sz="0" w:space="0" w:color="auto"/>
        <w:bottom w:val="none" w:sz="0" w:space="0" w:color="auto"/>
        <w:right w:val="none" w:sz="0" w:space="0" w:color="auto"/>
      </w:divBdr>
    </w:div>
    <w:div w:id="662315128">
      <w:bodyDiv w:val="1"/>
      <w:marLeft w:val="0"/>
      <w:marRight w:val="0"/>
      <w:marTop w:val="0"/>
      <w:marBottom w:val="0"/>
      <w:divBdr>
        <w:top w:val="none" w:sz="0" w:space="0" w:color="auto"/>
        <w:left w:val="none" w:sz="0" w:space="0" w:color="auto"/>
        <w:bottom w:val="none" w:sz="0" w:space="0" w:color="auto"/>
        <w:right w:val="none" w:sz="0" w:space="0" w:color="auto"/>
      </w:divBdr>
    </w:div>
    <w:div w:id="667907931">
      <w:bodyDiv w:val="1"/>
      <w:marLeft w:val="0"/>
      <w:marRight w:val="0"/>
      <w:marTop w:val="0"/>
      <w:marBottom w:val="0"/>
      <w:divBdr>
        <w:top w:val="none" w:sz="0" w:space="0" w:color="auto"/>
        <w:left w:val="none" w:sz="0" w:space="0" w:color="auto"/>
        <w:bottom w:val="none" w:sz="0" w:space="0" w:color="auto"/>
        <w:right w:val="none" w:sz="0" w:space="0" w:color="auto"/>
      </w:divBdr>
    </w:div>
    <w:div w:id="677149075">
      <w:bodyDiv w:val="1"/>
      <w:marLeft w:val="0"/>
      <w:marRight w:val="0"/>
      <w:marTop w:val="0"/>
      <w:marBottom w:val="0"/>
      <w:divBdr>
        <w:top w:val="none" w:sz="0" w:space="0" w:color="auto"/>
        <w:left w:val="none" w:sz="0" w:space="0" w:color="auto"/>
        <w:bottom w:val="none" w:sz="0" w:space="0" w:color="auto"/>
        <w:right w:val="none" w:sz="0" w:space="0" w:color="auto"/>
      </w:divBdr>
    </w:div>
    <w:div w:id="678852429">
      <w:bodyDiv w:val="1"/>
      <w:marLeft w:val="0"/>
      <w:marRight w:val="0"/>
      <w:marTop w:val="0"/>
      <w:marBottom w:val="0"/>
      <w:divBdr>
        <w:top w:val="none" w:sz="0" w:space="0" w:color="auto"/>
        <w:left w:val="none" w:sz="0" w:space="0" w:color="auto"/>
        <w:bottom w:val="none" w:sz="0" w:space="0" w:color="auto"/>
        <w:right w:val="none" w:sz="0" w:space="0" w:color="auto"/>
      </w:divBdr>
    </w:div>
    <w:div w:id="684408946">
      <w:bodyDiv w:val="1"/>
      <w:marLeft w:val="0"/>
      <w:marRight w:val="0"/>
      <w:marTop w:val="0"/>
      <w:marBottom w:val="0"/>
      <w:divBdr>
        <w:top w:val="none" w:sz="0" w:space="0" w:color="auto"/>
        <w:left w:val="none" w:sz="0" w:space="0" w:color="auto"/>
        <w:bottom w:val="none" w:sz="0" w:space="0" w:color="auto"/>
        <w:right w:val="none" w:sz="0" w:space="0" w:color="auto"/>
      </w:divBdr>
      <w:divsChild>
        <w:div w:id="459998156">
          <w:marLeft w:val="0"/>
          <w:marRight w:val="0"/>
          <w:marTop w:val="0"/>
          <w:marBottom w:val="0"/>
          <w:divBdr>
            <w:top w:val="none" w:sz="0" w:space="0" w:color="auto"/>
            <w:left w:val="none" w:sz="0" w:space="0" w:color="auto"/>
            <w:bottom w:val="none" w:sz="0" w:space="0" w:color="auto"/>
            <w:right w:val="none" w:sz="0" w:space="0" w:color="auto"/>
          </w:divBdr>
        </w:div>
      </w:divsChild>
    </w:div>
    <w:div w:id="686172310">
      <w:bodyDiv w:val="1"/>
      <w:marLeft w:val="0"/>
      <w:marRight w:val="0"/>
      <w:marTop w:val="0"/>
      <w:marBottom w:val="0"/>
      <w:divBdr>
        <w:top w:val="none" w:sz="0" w:space="0" w:color="auto"/>
        <w:left w:val="none" w:sz="0" w:space="0" w:color="auto"/>
        <w:bottom w:val="none" w:sz="0" w:space="0" w:color="auto"/>
        <w:right w:val="none" w:sz="0" w:space="0" w:color="auto"/>
      </w:divBdr>
    </w:div>
    <w:div w:id="686567486">
      <w:bodyDiv w:val="1"/>
      <w:marLeft w:val="0"/>
      <w:marRight w:val="0"/>
      <w:marTop w:val="0"/>
      <w:marBottom w:val="0"/>
      <w:divBdr>
        <w:top w:val="none" w:sz="0" w:space="0" w:color="auto"/>
        <w:left w:val="none" w:sz="0" w:space="0" w:color="auto"/>
        <w:bottom w:val="none" w:sz="0" w:space="0" w:color="auto"/>
        <w:right w:val="none" w:sz="0" w:space="0" w:color="auto"/>
      </w:divBdr>
    </w:div>
    <w:div w:id="691228223">
      <w:bodyDiv w:val="1"/>
      <w:marLeft w:val="0"/>
      <w:marRight w:val="0"/>
      <w:marTop w:val="0"/>
      <w:marBottom w:val="0"/>
      <w:divBdr>
        <w:top w:val="none" w:sz="0" w:space="0" w:color="auto"/>
        <w:left w:val="none" w:sz="0" w:space="0" w:color="auto"/>
        <w:bottom w:val="none" w:sz="0" w:space="0" w:color="auto"/>
        <w:right w:val="none" w:sz="0" w:space="0" w:color="auto"/>
      </w:divBdr>
    </w:div>
    <w:div w:id="698361072">
      <w:bodyDiv w:val="1"/>
      <w:marLeft w:val="0"/>
      <w:marRight w:val="0"/>
      <w:marTop w:val="0"/>
      <w:marBottom w:val="0"/>
      <w:divBdr>
        <w:top w:val="none" w:sz="0" w:space="0" w:color="auto"/>
        <w:left w:val="none" w:sz="0" w:space="0" w:color="auto"/>
        <w:bottom w:val="none" w:sz="0" w:space="0" w:color="auto"/>
        <w:right w:val="none" w:sz="0" w:space="0" w:color="auto"/>
      </w:divBdr>
    </w:div>
    <w:div w:id="700279067">
      <w:bodyDiv w:val="1"/>
      <w:marLeft w:val="0"/>
      <w:marRight w:val="0"/>
      <w:marTop w:val="0"/>
      <w:marBottom w:val="0"/>
      <w:divBdr>
        <w:top w:val="none" w:sz="0" w:space="0" w:color="auto"/>
        <w:left w:val="none" w:sz="0" w:space="0" w:color="auto"/>
        <w:bottom w:val="none" w:sz="0" w:space="0" w:color="auto"/>
        <w:right w:val="none" w:sz="0" w:space="0" w:color="auto"/>
      </w:divBdr>
    </w:div>
    <w:div w:id="700595472">
      <w:bodyDiv w:val="1"/>
      <w:marLeft w:val="0"/>
      <w:marRight w:val="0"/>
      <w:marTop w:val="0"/>
      <w:marBottom w:val="0"/>
      <w:divBdr>
        <w:top w:val="none" w:sz="0" w:space="0" w:color="auto"/>
        <w:left w:val="none" w:sz="0" w:space="0" w:color="auto"/>
        <w:bottom w:val="none" w:sz="0" w:space="0" w:color="auto"/>
        <w:right w:val="none" w:sz="0" w:space="0" w:color="auto"/>
      </w:divBdr>
    </w:div>
    <w:div w:id="704721609">
      <w:bodyDiv w:val="1"/>
      <w:marLeft w:val="0"/>
      <w:marRight w:val="0"/>
      <w:marTop w:val="0"/>
      <w:marBottom w:val="0"/>
      <w:divBdr>
        <w:top w:val="none" w:sz="0" w:space="0" w:color="auto"/>
        <w:left w:val="none" w:sz="0" w:space="0" w:color="auto"/>
        <w:bottom w:val="none" w:sz="0" w:space="0" w:color="auto"/>
        <w:right w:val="none" w:sz="0" w:space="0" w:color="auto"/>
      </w:divBdr>
    </w:div>
    <w:div w:id="729890339">
      <w:bodyDiv w:val="1"/>
      <w:marLeft w:val="0"/>
      <w:marRight w:val="0"/>
      <w:marTop w:val="0"/>
      <w:marBottom w:val="0"/>
      <w:divBdr>
        <w:top w:val="none" w:sz="0" w:space="0" w:color="auto"/>
        <w:left w:val="none" w:sz="0" w:space="0" w:color="auto"/>
        <w:bottom w:val="none" w:sz="0" w:space="0" w:color="auto"/>
        <w:right w:val="none" w:sz="0" w:space="0" w:color="auto"/>
      </w:divBdr>
    </w:div>
    <w:div w:id="752160901">
      <w:bodyDiv w:val="1"/>
      <w:marLeft w:val="0"/>
      <w:marRight w:val="0"/>
      <w:marTop w:val="0"/>
      <w:marBottom w:val="0"/>
      <w:divBdr>
        <w:top w:val="none" w:sz="0" w:space="0" w:color="auto"/>
        <w:left w:val="none" w:sz="0" w:space="0" w:color="auto"/>
        <w:bottom w:val="none" w:sz="0" w:space="0" w:color="auto"/>
        <w:right w:val="none" w:sz="0" w:space="0" w:color="auto"/>
      </w:divBdr>
    </w:div>
    <w:div w:id="759066007">
      <w:bodyDiv w:val="1"/>
      <w:marLeft w:val="0"/>
      <w:marRight w:val="0"/>
      <w:marTop w:val="0"/>
      <w:marBottom w:val="0"/>
      <w:divBdr>
        <w:top w:val="none" w:sz="0" w:space="0" w:color="auto"/>
        <w:left w:val="none" w:sz="0" w:space="0" w:color="auto"/>
        <w:bottom w:val="none" w:sz="0" w:space="0" w:color="auto"/>
        <w:right w:val="none" w:sz="0" w:space="0" w:color="auto"/>
      </w:divBdr>
    </w:div>
    <w:div w:id="774519808">
      <w:bodyDiv w:val="1"/>
      <w:marLeft w:val="0"/>
      <w:marRight w:val="0"/>
      <w:marTop w:val="0"/>
      <w:marBottom w:val="0"/>
      <w:divBdr>
        <w:top w:val="none" w:sz="0" w:space="0" w:color="auto"/>
        <w:left w:val="none" w:sz="0" w:space="0" w:color="auto"/>
        <w:bottom w:val="none" w:sz="0" w:space="0" w:color="auto"/>
        <w:right w:val="none" w:sz="0" w:space="0" w:color="auto"/>
      </w:divBdr>
    </w:div>
    <w:div w:id="792865899">
      <w:bodyDiv w:val="1"/>
      <w:marLeft w:val="0"/>
      <w:marRight w:val="0"/>
      <w:marTop w:val="0"/>
      <w:marBottom w:val="0"/>
      <w:divBdr>
        <w:top w:val="none" w:sz="0" w:space="0" w:color="auto"/>
        <w:left w:val="none" w:sz="0" w:space="0" w:color="auto"/>
        <w:bottom w:val="none" w:sz="0" w:space="0" w:color="auto"/>
        <w:right w:val="none" w:sz="0" w:space="0" w:color="auto"/>
      </w:divBdr>
    </w:div>
    <w:div w:id="804203334">
      <w:bodyDiv w:val="1"/>
      <w:marLeft w:val="0"/>
      <w:marRight w:val="0"/>
      <w:marTop w:val="0"/>
      <w:marBottom w:val="0"/>
      <w:divBdr>
        <w:top w:val="none" w:sz="0" w:space="0" w:color="auto"/>
        <w:left w:val="none" w:sz="0" w:space="0" w:color="auto"/>
        <w:bottom w:val="none" w:sz="0" w:space="0" w:color="auto"/>
        <w:right w:val="none" w:sz="0" w:space="0" w:color="auto"/>
      </w:divBdr>
    </w:div>
    <w:div w:id="841430278">
      <w:bodyDiv w:val="1"/>
      <w:marLeft w:val="0"/>
      <w:marRight w:val="0"/>
      <w:marTop w:val="0"/>
      <w:marBottom w:val="0"/>
      <w:divBdr>
        <w:top w:val="none" w:sz="0" w:space="0" w:color="auto"/>
        <w:left w:val="none" w:sz="0" w:space="0" w:color="auto"/>
        <w:bottom w:val="none" w:sz="0" w:space="0" w:color="auto"/>
        <w:right w:val="none" w:sz="0" w:space="0" w:color="auto"/>
      </w:divBdr>
    </w:div>
    <w:div w:id="845288936">
      <w:bodyDiv w:val="1"/>
      <w:marLeft w:val="0"/>
      <w:marRight w:val="0"/>
      <w:marTop w:val="0"/>
      <w:marBottom w:val="0"/>
      <w:divBdr>
        <w:top w:val="none" w:sz="0" w:space="0" w:color="auto"/>
        <w:left w:val="none" w:sz="0" w:space="0" w:color="auto"/>
        <w:bottom w:val="none" w:sz="0" w:space="0" w:color="auto"/>
        <w:right w:val="none" w:sz="0" w:space="0" w:color="auto"/>
      </w:divBdr>
    </w:div>
    <w:div w:id="849753642">
      <w:bodyDiv w:val="1"/>
      <w:marLeft w:val="0"/>
      <w:marRight w:val="0"/>
      <w:marTop w:val="0"/>
      <w:marBottom w:val="0"/>
      <w:divBdr>
        <w:top w:val="none" w:sz="0" w:space="0" w:color="auto"/>
        <w:left w:val="none" w:sz="0" w:space="0" w:color="auto"/>
        <w:bottom w:val="none" w:sz="0" w:space="0" w:color="auto"/>
        <w:right w:val="none" w:sz="0" w:space="0" w:color="auto"/>
      </w:divBdr>
    </w:div>
    <w:div w:id="855004591">
      <w:bodyDiv w:val="1"/>
      <w:marLeft w:val="0"/>
      <w:marRight w:val="0"/>
      <w:marTop w:val="0"/>
      <w:marBottom w:val="0"/>
      <w:divBdr>
        <w:top w:val="none" w:sz="0" w:space="0" w:color="auto"/>
        <w:left w:val="none" w:sz="0" w:space="0" w:color="auto"/>
        <w:bottom w:val="none" w:sz="0" w:space="0" w:color="auto"/>
        <w:right w:val="none" w:sz="0" w:space="0" w:color="auto"/>
      </w:divBdr>
    </w:div>
    <w:div w:id="858467600">
      <w:bodyDiv w:val="1"/>
      <w:marLeft w:val="0"/>
      <w:marRight w:val="0"/>
      <w:marTop w:val="0"/>
      <w:marBottom w:val="0"/>
      <w:divBdr>
        <w:top w:val="none" w:sz="0" w:space="0" w:color="auto"/>
        <w:left w:val="none" w:sz="0" w:space="0" w:color="auto"/>
        <w:bottom w:val="none" w:sz="0" w:space="0" w:color="auto"/>
        <w:right w:val="none" w:sz="0" w:space="0" w:color="auto"/>
      </w:divBdr>
    </w:div>
    <w:div w:id="863831242">
      <w:bodyDiv w:val="1"/>
      <w:marLeft w:val="0"/>
      <w:marRight w:val="0"/>
      <w:marTop w:val="0"/>
      <w:marBottom w:val="0"/>
      <w:divBdr>
        <w:top w:val="none" w:sz="0" w:space="0" w:color="auto"/>
        <w:left w:val="none" w:sz="0" w:space="0" w:color="auto"/>
        <w:bottom w:val="none" w:sz="0" w:space="0" w:color="auto"/>
        <w:right w:val="none" w:sz="0" w:space="0" w:color="auto"/>
      </w:divBdr>
    </w:div>
    <w:div w:id="864826681">
      <w:bodyDiv w:val="1"/>
      <w:marLeft w:val="0"/>
      <w:marRight w:val="0"/>
      <w:marTop w:val="0"/>
      <w:marBottom w:val="0"/>
      <w:divBdr>
        <w:top w:val="none" w:sz="0" w:space="0" w:color="auto"/>
        <w:left w:val="none" w:sz="0" w:space="0" w:color="auto"/>
        <w:bottom w:val="none" w:sz="0" w:space="0" w:color="auto"/>
        <w:right w:val="none" w:sz="0" w:space="0" w:color="auto"/>
      </w:divBdr>
    </w:div>
    <w:div w:id="873273901">
      <w:bodyDiv w:val="1"/>
      <w:marLeft w:val="0"/>
      <w:marRight w:val="0"/>
      <w:marTop w:val="0"/>
      <w:marBottom w:val="0"/>
      <w:divBdr>
        <w:top w:val="none" w:sz="0" w:space="0" w:color="auto"/>
        <w:left w:val="none" w:sz="0" w:space="0" w:color="auto"/>
        <w:bottom w:val="none" w:sz="0" w:space="0" w:color="auto"/>
        <w:right w:val="none" w:sz="0" w:space="0" w:color="auto"/>
      </w:divBdr>
      <w:divsChild>
        <w:div w:id="1237666179">
          <w:marLeft w:val="0"/>
          <w:marRight w:val="0"/>
          <w:marTop w:val="0"/>
          <w:marBottom w:val="0"/>
          <w:divBdr>
            <w:top w:val="none" w:sz="0" w:space="0" w:color="auto"/>
            <w:left w:val="none" w:sz="0" w:space="0" w:color="auto"/>
            <w:bottom w:val="none" w:sz="0" w:space="0" w:color="auto"/>
            <w:right w:val="none" w:sz="0" w:space="0" w:color="auto"/>
          </w:divBdr>
          <w:divsChild>
            <w:div w:id="1983609536">
              <w:marLeft w:val="0"/>
              <w:marRight w:val="0"/>
              <w:marTop w:val="0"/>
              <w:marBottom w:val="0"/>
              <w:divBdr>
                <w:top w:val="none" w:sz="0" w:space="0" w:color="auto"/>
                <w:left w:val="none" w:sz="0" w:space="0" w:color="auto"/>
                <w:bottom w:val="none" w:sz="0" w:space="0" w:color="auto"/>
                <w:right w:val="none" w:sz="0" w:space="0" w:color="auto"/>
              </w:divBdr>
              <w:divsChild>
                <w:div w:id="1971933279">
                  <w:marLeft w:val="0"/>
                  <w:marRight w:val="0"/>
                  <w:marTop w:val="0"/>
                  <w:marBottom w:val="0"/>
                  <w:divBdr>
                    <w:top w:val="none" w:sz="0" w:space="0" w:color="auto"/>
                    <w:left w:val="none" w:sz="0" w:space="0" w:color="auto"/>
                    <w:bottom w:val="none" w:sz="0" w:space="0" w:color="auto"/>
                    <w:right w:val="none" w:sz="0" w:space="0" w:color="auto"/>
                  </w:divBdr>
                  <w:divsChild>
                    <w:div w:id="1867865338">
                      <w:marLeft w:val="0"/>
                      <w:marRight w:val="0"/>
                      <w:marTop w:val="0"/>
                      <w:marBottom w:val="0"/>
                      <w:divBdr>
                        <w:top w:val="none" w:sz="0" w:space="0" w:color="auto"/>
                        <w:left w:val="none" w:sz="0" w:space="0" w:color="auto"/>
                        <w:bottom w:val="none" w:sz="0" w:space="0" w:color="auto"/>
                        <w:right w:val="none" w:sz="0" w:space="0" w:color="auto"/>
                      </w:divBdr>
                      <w:divsChild>
                        <w:div w:id="1819346577">
                          <w:marLeft w:val="0"/>
                          <w:marRight w:val="0"/>
                          <w:marTop w:val="0"/>
                          <w:marBottom w:val="0"/>
                          <w:divBdr>
                            <w:top w:val="none" w:sz="0" w:space="0" w:color="auto"/>
                            <w:left w:val="none" w:sz="0" w:space="0" w:color="auto"/>
                            <w:bottom w:val="none" w:sz="0" w:space="0" w:color="auto"/>
                            <w:right w:val="none" w:sz="0" w:space="0" w:color="auto"/>
                          </w:divBdr>
                          <w:divsChild>
                            <w:div w:id="135785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4006526">
      <w:bodyDiv w:val="1"/>
      <w:marLeft w:val="0"/>
      <w:marRight w:val="0"/>
      <w:marTop w:val="0"/>
      <w:marBottom w:val="0"/>
      <w:divBdr>
        <w:top w:val="none" w:sz="0" w:space="0" w:color="auto"/>
        <w:left w:val="none" w:sz="0" w:space="0" w:color="auto"/>
        <w:bottom w:val="none" w:sz="0" w:space="0" w:color="auto"/>
        <w:right w:val="none" w:sz="0" w:space="0" w:color="auto"/>
      </w:divBdr>
    </w:div>
    <w:div w:id="901408599">
      <w:bodyDiv w:val="1"/>
      <w:marLeft w:val="0"/>
      <w:marRight w:val="0"/>
      <w:marTop w:val="0"/>
      <w:marBottom w:val="0"/>
      <w:divBdr>
        <w:top w:val="none" w:sz="0" w:space="0" w:color="auto"/>
        <w:left w:val="none" w:sz="0" w:space="0" w:color="auto"/>
        <w:bottom w:val="none" w:sz="0" w:space="0" w:color="auto"/>
        <w:right w:val="none" w:sz="0" w:space="0" w:color="auto"/>
      </w:divBdr>
    </w:div>
    <w:div w:id="918517059">
      <w:bodyDiv w:val="1"/>
      <w:marLeft w:val="0"/>
      <w:marRight w:val="0"/>
      <w:marTop w:val="0"/>
      <w:marBottom w:val="0"/>
      <w:divBdr>
        <w:top w:val="none" w:sz="0" w:space="0" w:color="auto"/>
        <w:left w:val="none" w:sz="0" w:space="0" w:color="auto"/>
        <w:bottom w:val="none" w:sz="0" w:space="0" w:color="auto"/>
        <w:right w:val="none" w:sz="0" w:space="0" w:color="auto"/>
      </w:divBdr>
    </w:div>
    <w:div w:id="941913164">
      <w:bodyDiv w:val="1"/>
      <w:marLeft w:val="0"/>
      <w:marRight w:val="0"/>
      <w:marTop w:val="0"/>
      <w:marBottom w:val="0"/>
      <w:divBdr>
        <w:top w:val="none" w:sz="0" w:space="0" w:color="auto"/>
        <w:left w:val="none" w:sz="0" w:space="0" w:color="auto"/>
        <w:bottom w:val="none" w:sz="0" w:space="0" w:color="auto"/>
        <w:right w:val="none" w:sz="0" w:space="0" w:color="auto"/>
      </w:divBdr>
    </w:div>
    <w:div w:id="959334570">
      <w:bodyDiv w:val="1"/>
      <w:marLeft w:val="0"/>
      <w:marRight w:val="0"/>
      <w:marTop w:val="0"/>
      <w:marBottom w:val="0"/>
      <w:divBdr>
        <w:top w:val="none" w:sz="0" w:space="0" w:color="auto"/>
        <w:left w:val="none" w:sz="0" w:space="0" w:color="auto"/>
        <w:bottom w:val="none" w:sz="0" w:space="0" w:color="auto"/>
        <w:right w:val="none" w:sz="0" w:space="0" w:color="auto"/>
      </w:divBdr>
    </w:div>
    <w:div w:id="981155248">
      <w:bodyDiv w:val="1"/>
      <w:marLeft w:val="0"/>
      <w:marRight w:val="0"/>
      <w:marTop w:val="0"/>
      <w:marBottom w:val="0"/>
      <w:divBdr>
        <w:top w:val="none" w:sz="0" w:space="0" w:color="auto"/>
        <w:left w:val="none" w:sz="0" w:space="0" w:color="auto"/>
        <w:bottom w:val="none" w:sz="0" w:space="0" w:color="auto"/>
        <w:right w:val="none" w:sz="0" w:space="0" w:color="auto"/>
      </w:divBdr>
    </w:div>
    <w:div w:id="981890515">
      <w:bodyDiv w:val="1"/>
      <w:marLeft w:val="0"/>
      <w:marRight w:val="0"/>
      <w:marTop w:val="0"/>
      <w:marBottom w:val="0"/>
      <w:divBdr>
        <w:top w:val="none" w:sz="0" w:space="0" w:color="auto"/>
        <w:left w:val="none" w:sz="0" w:space="0" w:color="auto"/>
        <w:bottom w:val="none" w:sz="0" w:space="0" w:color="auto"/>
        <w:right w:val="none" w:sz="0" w:space="0" w:color="auto"/>
      </w:divBdr>
    </w:div>
    <w:div w:id="1005594257">
      <w:bodyDiv w:val="1"/>
      <w:marLeft w:val="0"/>
      <w:marRight w:val="0"/>
      <w:marTop w:val="0"/>
      <w:marBottom w:val="0"/>
      <w:divBdr>
        <w:top w:val="none" w:sz="0" w:space="0" w:color="auto"/>
        <w:left w:val="none" w:sz="0" w:space="0" w:color="auto"/>
        <w:bottom w:val="none" w:sz="0" w:space="0" w:color="auto"/>
        <w:right w:val="none" w:sz="0" w:space="0" w:color="auto"/>
      </w:divBdr>
    </w:div>
    <w:div w:id="1006059342">
      <w:bodyDiv w:val="1"/>
      <w:marLeft w:val="0"/>
      <w:marRight w:val="0"/>
      <w:marTop w:val="0"/>
      <w:marBottom w:val="0"/>
      <w:divBdr>
        <w:top w:val="none" w:sz="0" w:space="0" w:color="auto"/>
        <w:left w:val="none" w:sz="0" w:space="0" w:color="auto"/>
        <w:bottom w:val="none" w:sz="0" w:space="0" w:color="auto"/>
        <w:right w:val="none" w:sz="0" w:space="0" w:color="auto"/>
      </w:divBdr>
    </w:div>
    <w:div w:id="1011105203">
      <w:bodyDiv w:val="1"/>
      <w:marLeft w:val="0"/>
      <w:marRight w:val="0"/>
      <w:marTop w:val="0"/>
      <w:marBottom w:val="0"/>
      <w:divBdr>
        <w:top w:val="none" w:sz="0" w:space="0" w:color="auto"/>
        <w:left w:val="none" w:sz="0" w:space="0" w:color="auto"/>
        <w:bottom w:val="none" w:sz="0" w:space="0" w:color="auto"/>
        <w:right w:val="none" w:sz="0" w:space="0" w:color="auto"/>
      </w:divBdr>
    </w:div>
    <w:div w:id="1031539028">
      <w:bodyDiv w:val="1"/>
      <w:marLeft w:val="0"/>
      <w:marRight w:val="0"/>
      <w:marTop w:val="0"/>
      <w:marBottom w:val="0"/>
      <w:divBdr>
        <w:top w:val="none" w:sz="0" w:space="0" w:color="auto"/>
        <w:left w:val="none" w:sz="0" w:space="0" w:color="auto"/>
        <w:bottom w:val="none" w:sz="0" w:space="0" w:color="auto"/>
        <w:right w:val="none" w:sz="0" w:space="0" w:color="auto"/>
      </w:divBdr>
    </w:div>
    <w:div w:id="1035227712">
      <w:bodyDiv w:val="1"/>
      <w:marLeft w:val="0"/>
      <w:marRight w:val="0"/>
      <w:marTop w:val="0"/>
      <w:marBottom w:val="0"/>
      <w:divBdr>
        <w:top w:val="none" w:sz="0" w:space="0" w:color="auto"/>
        <w:left w:val="none" w:sz="0" w:space="0" w:color="auto"/>
        <w:bottom w:val="none" w:sz="0" w:space="0" w:color="auto"/>
        <w:right w:val="none" w:sz="0" w:space="0" w:color="auto"/>
      </w:divBdr>
    </w:div>
    <w:div w:id="1035815050">
      <w:bodyDiv w:val="1"/>
      <w:marLeft w:val="0"/>
      <w:marRight w:val="0"/>
      <w:marTop w:val="0"/>
      <w:marBottom w:val="0"/>
      <w:divBdr>
        <w:top w:val="none" w:sz="0" w:space="0" w:color="auto"/>
        <w:left w:val="none" w:sz="0" w:space="0" w:color="auto"/>
        <w:bottom w:val="none" w:sz="0" w:space="0" w:color="auto"/>
        <w:right w:val="none" w:sz="0" w:space="0" w:color="auto"/>
      </w:divBdr>
    </w:div>
    <w:div w:id="1043138826">
      <w:bodyDiv w:val="1"/>
      <w:marLeft w:val="0"/>
      <w:marRight w:val="0"/>
      <w:marTop w:val="0"/>
      <w:marBottom w:val="0"/>
      <w:divBdr>
        <w:top w:val="none" w:sz="0" w:space="0" w:color="auto"/>
        <w:left w:val="none" w:sz="0" w:space="0" w:color="auto"/>
        <w:bottom w:val="none" w:sz="0" w:space="0" w:color="auto"/>
        <w:right w:val="none" w:sz="0" w:space="0" w:color="auto"/>
      </w:divBdr>
    </w:div>
    <w:div w:id="1051802980">
      <w:bodyDiv w:val="1"/>
      <w:marLeft w:val="0"/>
      <w:marRight w:val="0"/>
      <w:marTop w:val="0"/>
      <w:marBottom w:val="0"/>
      <w:divBdr>
        <w:top w:val="none" w:sz="0" w:space="0" w:color="auto"/>
        <w:left w:val="none" w:sz="0" w:space="0" w:color="auto"/>
        <w:bottom w:val="none" w:sz="0" w:space="0" w:color="auto"/>
        <w:right w:val="none" w:sz="0" w:space="0" w:color="auto"/>
      </w:divBdr>
    </w:div>
    <w:div w:id="1059521147">
      <w:bodyDiv w:val="1"/>
      <w:marLeft w:val="0"/>
      <w:marRight w:val="0"/>
      <w:marTop w:val="0"/>
      <w:marBottom w:val="0"/>
      <w:divBdr>
        <w:top w:val="none" w:sz="0" w:space="0" w:color="auto"/>
        <w:left w:val="none" w:sz="0" w:space="0" w:color="auto"/>
        <w:bottom w:val="none" w:sz="0" w:space="0" w:color="auto"/>
        <w:right w:val="none" w:sz="0" w:space="0" w:color="auto"/>
      </w:divBdr>
    </w:div>
    <w:div w:id="1068958747">
      <w:bodyDiv w:val="1"/>
      <w:marLeft w:val="0"/>
      <w:marRight w:val="0"/>
      <w:marTop w:val="0"/>
      <w:marBottom w:val="0"/>
      <w:divBdr>
        <w:top w:val="none" w:sz="0" w:space="0" w:color="auto"/>
        <w:left w:val="none" w:sz="0" w:space="0" w:color="auto"/>
        <w:bottom w:val="none" w:sz="0" w:space="0" w:color="auto"/>
        <w:right w:val="none" w:sz="0" w:space="0" w:color="auto"/>
      </w:divBdr>
      <w:divsChild>
        <w:div w:id="2146968490">
          <w:marLeft w:val="0"/>
          <w:marRight w:val="0"/>
          <w:marTop w:val="0"/>
          <w:marBottom w:val="0"/>
          <w:divBdr>
            <w:top w:val="none" w:sz="0" w:space="0" w:color="auto"/>
            <w:left w:val="none" w:sz="0" w:space="0" w:color="auto"/>
            <w:bottom w:val="none" w:sz="0" w:space="0" w:color="auto"/>
            <w:right w:val="none" w:sz="0" w:space="0" w:color="auto"/>
          </w:divBdr>
          <w:divsChild>
            <w:div w:id="521556157">
              <w:marLeft w:val="0"/>
              <w:marRight w:val="0"/>
              <w:marTop w:val="0"/>
              <w:marBottom w:val="0"/>
              <w:divBdr>
                <w:top w:val="none" w:sz="0" w:space="0" w:color="auto"/>
                <w:left w:val="none" w:sz="0" w:space="0" w:color="auto"/>
                <w:bottom w:val="none" w:sz="0" w:space="0" w:color="auto"/>
                <w:right w:val="none" w:sz="0" w:space="0" w:color="auto"/>
              </w:divBdr>
              <w:divsChild>
                <w:div w:id="583799763">
                  <w:marLeft w:val="0"/>
                  <w:marRight w:val="0"/>
                  <w:marTop w:val="0"/>
                  <w:marBottom w:val="0"/>
                  <w:divBdr>
                    <w:top w:val="none" w:sz="0" w:space="0" w:color="auto"/>
                    <w:left w:val="none" w:sz="0" w:space="0" w:color="auto"/>
                    <w:bottom w:val="none" w:sz="0" w:space="0" w:color="auto"/>
                    <w:right w:val="none" w:sz="0" w:space="0" w:color="auto"/>
                  </w:divBdr>
                  <w:divsChild>
                    <w:div w:id="404231911">
                      <w:marLeft w:val="0"/>
                      <w:marRight w:val="0"/>
                      <w:marTop w:val="0"/>
                      <w:marBottom w:val="0"/>
                      <w:divBdr>
                        <w:top w:val="none" w:sz="0" w:space="0" w:color="auto"/>
                        <w:left w:val="none" w:sz="0" w:space="0" w:color="auto"/>
                        <w:bottom w:val="none" w:sz="0" w:space="0" w:color="auto"/>
                        <w:right w:val="none" w:sz="0" w:space="0" w:color="auto"/>
                      </w:divBdr>
                      <w:divsChild>
                        <w:div w:id="416828929">
                          <w:marLeft w:val="0"/>
                          <w:marRight w:val="0"/>
                          <w:marTop w:val="0"/>
                          <w:marBottom w:val="0"/>
                          <w:divBdr>
                            <w:top w:val="none" w:sz="0" w:space="0" w:color="auto"/>
                            <w:left w:val="none" w:sz="0" w:space="0" w:color="auto"/>
                            <w:bottom w:val="none" w:sz="0" w:space="0" w:color="auto"/>
                            <w:right w:val="none" w:sz="0" w:space="0" w:color="auto"/>
                          </w:divBdr>
                          <w:divsChild>
                            <w:div w:id="15491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704410">
      <w:bodyDiv w:val="1"/>
      <w:marLeft w:val="0"/>
      <w:marRight w:val="0"/>
      <w:marTop w:val="0"/>
      <w:marBottom w:val="0"/>
      <w:divBdr>
        <w:top w:val="none" w:sz="0" w:space="0" w:color="auto"/>
        <w:left w:val="none" w:sz="0" w:space="0" w:color="auto"/>
        <w:bottom w:val="none" w:sz="0" w:space="0" w:color="auto"/>
        <w:right w:val="none" w:sz="0" w:space="0" w:color="auto"/>
      </w:divBdr>
    </w:div>
    <w:div w:id="1089470838">
      <w:bodyDiv w:val="1"/>
      <w:marLeft w:val="0"/>
      <w:marRight w:val="0"/>
      <w:marTop w:val="0"/>
      <w:marBottom w:val="0"/>
      <w:divBdr>
        <w:top w:val="none" w:sz="0" w:space="0" w:color="auto"/>
        <w:left w:val="none" w:sz="0" w:space="0" w:color="auto"/>
        <w:bottom w:val="none" w:sz="0" w:space="0" w:color="auto"/>
        <w:right w:val="none" w:sz="0" w:space="0" w:color="auto"/>
      </w:divBdr>
    </w:div>
    <w:div w:id="1090734310">
      <w:bodyDiv w:val="1"/>
      <w:marLeft w:val="0"/>
      <w:marRight w:val="0"/>
      <w:marTop w:val="0"/>
      <w:marBottom w:val="0"/>
      <w:divBdr>
        <w:top w:val="none" w:sz="0" w:space="0" w:color="auto"/>
        <w:left w:val="none" w:sz="0" w:space="0" w:color="auto"/>
        <w:bottom w:val="none" w:sz="0" w:space="0" w:color="auto"/>
        <w:right w:val="none" w:sz="0" w:space="0" w:color="auto"/>
      </w:divBdr>
    </w:div>
    <w:div w:id="1098479187">
      <w:bodyDiv w:val="1"/>
      <w:marLeft w:val="0"/>
      <w:marRight w:val="0"/>
      <w:marTop w:val="0"/>
      <w:marBottom w:val="0"/>
      <w:divBdr>
        <w:top w:val="none" w:sz="0" w:space="0" w:color="auto"/>
        <w:left w:val="none" w:sz="0" w:space="0" w:color="auto"/>
        <w:bottom w:val="none" w:sz="0" w:space="0" w:color="auto"/>
        <w:right w:val="none" w:sz="0" w:space="0" w:color="auto"/>
      </w:divBdr>
    </w:div>
    <w:div w:id="1114859944">
      <w:bodyDiv w:val="1"/>
      <w:marLeft w:val="0"/>
      <w:marRight w:val="0"/>
      <w:marTop w:val="0"/>
      <w:marBottom w:val="0"/>
      <w:divBdr>
        <w:top w:val="none" w:sz="0" w:space="0" w:color="auto"/>
        <w:left w:val="none" w:sz="0" w:space="0" w:color="auto"/>
        <w:bottom w:val="none" w:sz="0" w:space="0" w:color="auto"/>
        <w:right w:val="none" w:sz="0" w:space="0" w:color="auto"/>
      </w:divBdr>
    </w:div>
    <w:div w:id="1123305436">
      <w:bodyDiv w:val="1"/>
      <w:marLeft w:val="0"/>
      <w:marRight w:val="0"/>
      <w:marTop w:val="0"/>
      <w:marBottom w:val="0"/>
      <w:divBdr>
        <w:top w:val="none" w:sz="0" w:space="0" w:color="auto"/>
        <w:left w:val="none" w:sz="0" w:space="0" w:color="auto"/>
        <w:bottom w:val="none" w:sz="0" w:space="0" w:color="auto"/>
        <w:right w:val="none" w:sz="0" w:space="0" w:color="auto"/>
      </w:divBdr>
    </w:div>
    <w:div w:id="1128089176">
      <w:bodyDiv w:val="1"/>
      <w:marLeft w:val="0"/>
      <w:marRight w:val="0"/>
      <w:marTop w:val="0"/>
      <w:marBottom w:val="0"/>
      <w:divBdr>
        <w:top w:val="none" w:sz="0" w:space="0" w:color="auto"/>
        <w:left w:val="none" w:sz="0" w:space="0" w:color="auto"/>
        <w:bottom w:val="none" w:sz="0" w:space="0" w:color="auto"/>
        <w:right w:val="none" w:sz="0" w:space="0" w:color="auto"/>
      </w:divBdr>
    </w:div>
    <w:div w:id="1131437764">
      <w:bodyDiv w:val="1"/>
      <w:marLeft w:val="0"/>
      <w:marRight w:val="0"/>
      <w:marTop w:val="0"/>
      <w:marBottom w:val="0"/>
      <w:divBdr>
        <w:top w:val="none" w:sz="0" w:space="0" w:color="auto"/>
        <w:left w:val="none" w:sz="0" w:space="0" w:color="auto"/>
        <w:bottom w:val="none" w:sz="0" w:space="0" w:color="auto"/>
        <w:right w:val="none" w:sz="0" w:space="0" w:color="auto"/>
      </w:divBdr>
    </w:div>
    <w:div w:id="1144742013">
      <w:bodyDiv w:val="1"/>
      <w:marLeft w:val="0"/>
      <w:marRight w:val="0"/>
      <w:marTop w:val="0"/>
      <w:marBottom w:val="0"/>
      <w:divBdr>
        <w:top w:val="none" w:sz="0" w:space="0" w:color="auto"/>
        <w:left w:val="none" w:sz="0" w:space="0" w:color="auto"/>
        <w:bottom w:val="none" w:sz="0" w:space="0" w:color="auto"/>
        <w:right w:val="none" w:sz="0" w:space="0" w:color="auto"/>
      </w:divBdr>
    </w:div>
    <w:div w:id="1145780580">
      <w:bodyDiv w:val="1"/>
      <w:marLeft w:val="0"/>
      <w:marRight w:val="0"/>
      <w:marTop w:val="0"/>
      <w:marBottom w:val="0"/>
      <w:divBdr>
        <w:top w:val="none" w:sz="0" w:space="0" w:color="auto"/>
        <w:left w:val="none" w:sz="0" w:space="0" w:color="auto"/>
        <w:bottom w:val="none" w:sz="0" w:space="0" w:color="auto"/>
        <w:right w:val="none" w:sz="0" w:space="0" w:color="auto"/>
      </w:divBdr>
    </w:div>
    <w:div w:id="1160392321">
      <w:bodyDiv w:val="1"/>
      <w:marLeft w:val="0"/>
      <w:marRight w:val="0"/>
      <w:marTop w:val="0"/>
      <w:marBottom w:val="0"/>
      <w:divBdr>
        <w:top w:val="none" w:sz="0" w:space="0" w:color="auto"/>
        <w:left w:val="none" w:sz="0" w:space="0" w:color="auto"/>
        <w:bottom w:val="none" w:sz="0" w:space="0" w:color="auto"/>
        <w:right w:val="none" w:sz="0" w:space="0" w:color="auto"/>
      </w:divBdr>
    </w:div>
    <w:div w:id="1184783259">
      <w:bodyDiv w:val="1"/>
      <w:marLeft w:val="0"/>
      <w:marRight w:val="0"/>
      <w:marTop w:val="0"/>
      <w:marBottom w:val="0"/>
      <w:divBdr>
        <w:top w:val="none" w:sz="0" w:space="0" w:color="auto"/>
        <w:left w:val="none" w:sz="0" w:space="0" w:color="auto"/>
        <w:bottom w:val="none" w:sz="0" w:space="0" w:color="auto"/>
        <w:right w:val="none" w:sz="0" w:space="0" w:color="auto"/>
      </w:divBdr>
    </w:div>
    <w:div w:id="1198272403">
      <w:bodyDiv w:val="1"/>
      <w:marLeft w:val="0"/>
      <w:marRight w:val="0"/>
      <w:marTop w:val="0"/>
      <w:marBottom w:val="0"/>
      <w:divBdr>
        <w:top w:val="none" w:sz="0" w:space="0" w:color="auto"/>
        <w:left w:val="none" w:sz="0" w:space="0" w:color="auto"/>
        <w:bottom w:val="none" w:sz="0" w:space="0" w:color="auto"/>
        <w:right w:val="none" w:sz="0" w:space="0" w:color="auto"/>
      </w:divBdr>
    </w:div>
    <w:div w:id="1198809273">
      <w:bodyDiv w:val="1"/>
      <w:marLeft w:val="0"/>
      <w:marRight w:val="0"/>
      <w:marTop w:val="0"/>
      <w:marBottom w:val="0"/>
      <w:divBdr>
        <w:top w:val="none" w:sz="0" w:space="0" w:color="auto"/>
        <w:left w:val="none" w:sz="0" w:space="0" w:color="auto"/>
        <w:bottom w:val="none" w:sz="0" w:space="0" w:color="auto"/>
        <w:right w:val="none" w:sz="0" w:space="0" w:color="auto"/>
      </w:divBdr>
    </w:div>
    <w:div w:id="1199392591">
      <w:bodyDiv w:val="1"/>
      <w:marLeft w:val="0"/>
      <w:marRight w:val="0"/>
      <w:marTop w:val="0"/>
      <w:marBottom w:val="0"/>
      <w:divBdr>
        <w:top w:val="none" w:sz="0" w:space="0" w:color="auto"/>
        <w:left w:val="none" w:sz="0" w:space="0" w:color="auto"/>
        <w:bottom w:val="none" w:sz="0" w:space="0" w:color="auto"/>
        <w:right w:val="none" w:sz="0" w:space="0" w:color="auto"/>
      </w:divBdr>
    </w:div>
    <w:div w:id="1207332032">
      <w:bodyDiv w:val="1"/>
      <w:marLeft w:val="0"/>
      <w:marRight w:val="0"/>
      <w:marTop w:val="0"/>
      <w:marBottom w:val="0"/>
      <w:divBdr>
        <w:top w:val="none" w:sz="0" w:space="0" w:color="auto"/>
        <w:left w:val="none" w:sz="0" w:space="0" w:color="auto"/>
        <w:bottom w:val="none" w:sz="0" w:space="0" w:color="auto"/>
        <w:right w:val="none" w:sz="0" w:space="0" w:color="auto"/>
      </w:divBdr>
    </w:div>
    <w:div w:id="1218399207">
      <w:bodyDiv w:val="1"/>
      <w:marLeft w:val="0"/>
      <w:marRight w:val="0"/>
      <w:marTop w:val="0"/>
      <w:marBottom w:val="0"/>
      <w:divBdr>
        <w:top w:val="none" w:sz="0" w:space="0" w:color="auto"/>
        <w:left w:val="none" w:sz="0" w:space="0" w:color="auto"/>
        <w:bottom w:val="none" w:sz="0" w:space="0" w:color="auto"/>
        <w:right w:val="none" w:sz="0" w:space="0" w:color="auto"/>
      </w:divBdr>
    </w:div>
    <w:div w:id="1219321711">
      <w:bodyDiv w:val="1"/>
      <w:marLeft w:val="0"/>
      <w:marRight w:val="0"/>
      <w:marTop w:val="0"/>
      <w:marBottom w:val="0"/>
      <w:divBdr>
        <w:top w:val="none" w:sz="0" w:space="0" w:color="auto"/>
        <w:left w:val="none" w:sz="0" w:space="0" w:color="auto"/>
        <w:bottom w:val="none" w:sz="0" w:space="0" w:color="auto"/>
        <w:right w:val="none" w:sz="0" w:space="0" w:color="auto"/>
      </w:divBdr>
    </w:div>
    <w:div w:id="1221138952">
      <w:bodyDiv w:val="1"/>
      <w:marLeft w:val="0"/>
      <w:marRight w:val="0"/>
      <w:marTop w:val="0"/>
      <w:marBottom w:val="0"/>
      <w:divBdr>
        <w:top w:val="none" w:sz="0" w:space="0" w:color="auto"/>
        <w:left w:val="none" w:sz="0" w:space="0" w:color="auto"/>
        <w:bottom w:val="none" w:sz="0" w:space="0" w:color="auto"/>
        <w:right w:val="none" w:sz="0" w:space="0" w:color="auto"/>
      </w:divBdr>
    </w:div>
    <w:div w:id="1231042769">
      <w:bodyDiv w:val="1"/>
      <w:marLeft w:val="0"/>
      <w:marRight w:val="0"/>
      <w:marTop w:val="0"/>
      <w:marBottom w:val="0"/>
      <w:divBdr>
        <w:top w:val="none" w:sz="0" w:space="0" w:color="auto"/>
        <w:left w:val="none" w:sz="0" w:space="0" w:color="auto"/>
        <w:bottom w:val="none" w:sz="0" w:space="0" w:color="auto"/>
        <w:right w:val="none" w:sz="0" w:space="0" w:color="auto"/>
      </w:divBdr>
    </w:div>
    <w:div w:id="1234008107">
      <w:bodyDiv w:val="1"/>
      <w:marLeft w:val="0"/>
      <w:marRight w:val="0"/>
      <w:marTop w:val="0"/>
      <w:marBottom w:val="0"/>
      <w:divBdr>
        <w:top w:val="none" w:sz="0" w:space="0" w:color="auto"/>
        <w:left w:val="none" w:sz="0" w:space="0" w:color="auto"/>
        <w:bottom w:val="none" w:sz="0" w:space="0" w:color="auto"/>
        <w:right w:val="none" w:sz="0" w:space="0" w:color="auto"/>
      </w:divBdr>
    </w:div>
    <w:div w:id="1236936647">
      <w:bodyDiv w:val="1"/>
      <w:marLeft w:val="0"/>
      <w:marRight w:val="0"/>
      <w:marTop w:val="0"/>
      <w:marBottom w:val="0"/>
      <w:divBdr>
        <w:top w:val="none" w:sz="0" w:space="0" w:color="auto"/>
        <w:left w:val="none" w:sz="0" w:space="0" w:color="auto"/>
        <w:bottom w:val="none" w:sz="0" w:space="0" w:color="auto"/>
        <w:right w:val="none" w:sz="0" w:space="0" w:color="auto"/>
      </w:divBdr>
    </w:div>
    <w:div w:id="1238980408">
      <w:bodyDiv w:val="1"/>
      <w:marLeft w:val="0"/>
      <w:marRight w:val="0"/>
      <w:marTop w:val="0"/>
      <w:marBottom w:val="0"/>
      <w:divBdr>
        <w:top w:val="none" w:sz="0" w:space="0" w:color="auto"/>
        <w:left w:val="none" w:sz="0" w:space="0" w:color="auto"/>
        <w:bottom w:val="none" w:sz="0" w:space="0" w:color="auto"/>
        <w:right w:val="none" w:sz="0" w:space="0" w:color="auto"/>
      </w:divBdr>
    </w:div>
    <w:div w:id="1242375971">
      <w:bodyDiv w:val="1"/>
      <w:marLeft w:val="0"/>
      <w:marRight w:val="0"/>
      <w:marTop w:val="0"/>
      <w:marBottom w:val="0"/>
      <w:divBdr>
        <w:top w:val="none" w:sz="0" w:space="0" w:color="auto"/>
        <w:left w:val="none" w:sz="0" w:space="0" w:color="auto"/>
        <w:bottom w:val="none" w:sz="0" w:space="0" w:color="auto"/>
        <w:right w:val="none" w:sz="0" w:space="0" w:color="auto"/>
      </w:divBdr>
    </w:div>
    <w:div w:id="1243178569">
      <w:bodyDiv w:val="1"/>
      <w:marLeft w:val="0"/>
      <w:marRight w:val="0"/>
      <w:marTop w:val="0"/>
      <w:marBottom w:val="0"/>
      <w:divBdr>
        <w:top w:val="none" w:sz="0" w:space="0" w:color="auto"/>
        <w:left w:val="none" w:sz="0" w:space="0" w:color="auto"/>
        <w:bottom w:val="none" w:sz="0" w:space="0" w:color="auto"/>
        <w:right w:val="none" w:sz="0" w:space="0" w:color="auto"/>
      </w:divBdr>
    </w:div>
    <w:div w:id="1251624693">
      <w:bodyDiv w:val="1"/>
      <w:marLeft w:val="0"/>
      <w:marRight w:val="0"/>
      <w:marTop w:val="0"/>
      <w:marBottom w:val="0"/>
      <w:divBdr>
        <w:top w:val="none" w:sz="0" w:space="0" w:color="auto"/>
        <w:left w:val="none" w:sz="0" w:space="0" w:color="auto"/>
        <w:bottom w:val="none" w:sz="0" w:space="0" w:color="auto"/>
        <w:right w:val="none" w:sz="0" w:space="0" w:color="auto"/>
      </w:divBdr>
    </w:div>
    <w:div w:id="1273633595">
      <w:bodyDiv w:val="1"/>
      <w:marLeft w:val="0"/>
      <w:marRight w:val="0"/>
      <w:marTop w:val="0"/>
      <w:marBottom w:val="0"/>
      <w:divBdr>
        <w:top w:val="none" w:sz="0" w:space="0" w:color="auto"/>
        <w:left w:val="none" w:sz="0" w:space="0" w:color="auto"/>
        <w:bottom w:val="none" w:sz="0" w:space="0" w:color="auto"/>
        <w:right w:val="none" w:sz="0" w:space="0" w:color="auto"/>
      </w:divBdr>
    </w:div>
    <w:div w:id="1273975926">
      <w:bodyDiv w:val="1"/>
      <w:marLeft w:val="0"/>
      <w:marRight w:val="0"/>
      <w:marTop w:val="0"/>
      <w:marBottom w:val="0"/>
      <w:divBdr>
        <w:top w:val="none" w:sz="0" w:space="0" w:color="auto"/>
        <w:left w:val="none" w:sz="0" w:space="0" w:color="auto"/>
        <w:bottom w:val="none" w:sz="0" w:space="0" w:color="auto"/>
        <w:right w:val="none" w:sz="0" w:space="0" w:color="auto"/>
      </w:divBdr>
    </w:div>
    <w:div w:id="1291133151">
      <w:bodyDiv w:val="1"/>
      <w:marLeft w:val="0"/>
      <w:marRight w:val="0"/>
      <w:marTop w:val="0"/>
      <w:marBottom w:val="0"/>
      <w:divBdr>
        <w:top w:val="none" w:sz="0" w:space="0" w:color="auto"/>
        <w:left w:val="none" w:sz="0" w:space="0" w:color="auto"/>
        <w:bottom w:val="none" w:sz="0" w:space="0" w:color="auto"/>
        <w:right w:val="none" w:sz="0" w:space="0" w:color="auto"/>
      </w:divBdr>
    </w:div>
    <w:div w:id="1292396624">
      <w:bodyDiv w:val="1"/>
      <w:marLeft w:val="0"/>
      <w:marRight w:val="0"/>
      <w:marTop w:val="0"/>
      <w:marBottom w:val="0"/>
      <w:divBdr>
        <w:top w:val="none" w:sz="0" w:space="0" w:color="auto"/>
        <w:left w:val="none" w:sz="0" w:space="0" w:color="auto"/>
        <w:bottom w:val="none" w:sz="0" w:space="0" w:color="auto"/>
        <w:right w:val="none" w:sz="0" w:space="0" w:color="auto"/>
      </w:divBdr>
    </w:div>
    <w:div w:id="1297368664">
      <w:bodyDiv w:val="1"/>
      <w:marLeft w:val="0"/>
      <w:marRight w:val="0"/>
      <w:marTop w:val="0"/>
      <w:marBottom w:val="0"/>
      <w:divBdr>
        <w:top w:val="none" w:sz="0" w:space="0" w:color="auto"/>
        <w:left w:val="none" w:sz="0" w:space="0" w:color="auto"/>
        <w:bottom w:val="none" w:sz="0" w:space="0" w:color="auto"/>
        <w:right w:val="none" w:sz="0" w:space="0" w:color="auto"/>
      </w:divBdr>
    </w:div>
    <w:div w:id="1300649049">
      <w:bodyDiv w:val="1"/>
      <w:marLeft w:val="0"/>
      <w:marRight w:val="0"/>
      <w:marTop w:val="0"/>
      <w:marBottom w:val="0"/>
      <w:divBdr>
        <w:top w:val="none" w:sz="0" w:space="0" w:color="auto"/>
        <w:left w:val="none" w:sz="0" w:space="0" w:color="auto"/>
        <w:bottom w:val="none" w:sz="0" w:space="0" w:color="auto"/>
        <w:right w:val="none" w:sz="0" w:space="0" w:color="auto"/>
      </w:divBdr>
    </w:div>
    <w:div w:id="1346402555">
      <w:bodyDiv w:val="1"/>
      <w:marLeft w:val="0"/>
      <w:marRight w:val="0"/>
      <w:marTop w:val="0"/>
      <w:marBottom w:val="0"/>
      <w:divBdr>
        <w:top w:val="none" w:sz="0" w:space="0" w:color="auto"/>
        <w:left w:val="none" w:sz="0" w:space="0" w:color="auto"/>
        <w:bottom w:val="none" w:sz="0" w:space="0" w:color="auto"/>
        <w:right w:val="none" w:sz="0" w:space="0" w:color="auto"/>
      </w:divBdr>
    </w:div>
    <w:div w:id="1353873399">
      <w:bodyDiv w:val="1"/>
      <w:marLeft w:val="0"/>
      <w:marRight w:val="0"/>
      <w:marTop w:val="0"/>
      <w:marBottom w:val="0"/>
      <w:divBdr>
        <w:top w:val="none" w:sz="0" w:space="0" w:color="auto"/>
        <w:left w:val="none" w:sz="0" w:space="0" w:color="auto"/>
        <w:bottom w:val="none" w:sz="0" w:space="0" w:color="auto"/>
        <w:right w:val="none" w:sz="0" w:space="0" w:color="auto"/>
      </w:divBdr>
    </w:div>
    <w:div w:id="1372611336">
      <w:bodyDiv w:val="1"/>
      <w:marLeft w:val="0"/>
      <w:marRight w:val="0"/>
      <w:marTop w:val="0"/>
      <w:marBottom w:val="0"/>
      <w:divBdr>
        <w:top w:val="none" w:sz="0" w:space="0" w:color="auto"/>
        <w:left w:val="none" w:sz="0" w:space="0" w:color="auto"/>
        <w:bottom w:val="none" w:sz="0" w:space="0" w:color="auto"/>
        <w:right w:val="none" w:sz="0" w:space="0" w:color="auto"/>
      </w:divBdr>
    </w:div>
    <w:div w:id="1375933141">
      <w:bodyDiv w:val="1"/>
      <w:marLeft w:val="0"/>
      <w:marRight w:val="0"/>
      <w:marTop w:val="0"/>
      <w:marBottom w:val="0"/>
      <w:divBdr>
        <w:top w:val="none" w:sz="0" w:space="0" w:color="auto"/>
        <w:left w:val="none" w:sz="0" w:space="0" w:color="auto"/>
        <w:bottom w:val="none" w:sz="0" w:space="0" w:color="auto"/>
        <w:right w:val="none" w:sz="0" w:space="0" w:color="auto"/>
      </w:divBdr>
    </w:div>
    <w:div w:id="1381368419">
      <w:bodyDiv w:val="1"/>
      <w:marLeft w:val="0"/>
      <w:marRight w:val="0"/>
      <w:marTop w:val="0"/>
      <w:marBottom w:val="0"/>
      <w:divBdr>
        <w:top w:val="none" w:sz="0" w:space="0" w:color="auto"/>
        <w:left w:val="none" w:sz="0" w:space="0" w:color="auto"/>
        <w:bottom w:val="none" w:sz="0" w:space="0" w:color="auto"/>
        <w:right w:val="none" w:sz="0" w:space="0" w:color="auto"/>
      </w:divBdr>
    </w:div>
    <w:div w:id="1390229903">
      <w:bodyDiv w:val="1"/>
      <w:marLeft w:val="0"/>
      <w:marRight w:val="0"/>
      <w:marTop w:val="0"/>
      <w:marBottom w:val="0"/>
      <w:divBdr>
        <w:top w:val="none" w:sz="0" w:space="0" w:color="auto"/>
        <w:left w:val="none" w:sz="0" w:space="0" w:color="auto"/>
        <w:bottom w:val="none" w:sz="0" w:space="0" w:color="auto"/>
        <w:right w:val="none" w:sz="0" w:space="0" w:color="auto"/>
      </w:divBdr>
    </w:div>
    <w:div w:id="1402481986">
      <w:bodyDiv w:val="1"/>
      <w:marLeft w:val="0"/>
      <w:marRight w:val="0"/>
      <w:marTop w:val="0"/>
      <w:marBottom w:val="0"/>
      <w:divBdr>
        <w:top w:val="none" w:sz="0" w:space="0" w:color="auto"/>
        <w:left w:val="none" w:sz="0" w:space="0" w:color="auto"/>
        <w:bottom w:val="none" w:sz="0" w:space="0" w:color="auto"/>
        <w:right w:val="none" w:sz="0" w:space="0" w:color="auto"/>
      </w:divBdr>
    </w:div>
    <w:div w:id="1439983814">
      <w:bodyDiv w:val="1"/>
      <w:marLeft w:val="0"/>
      <w:marRight w:val="0"/>
      <w:marTop w:val="0"/>
      <w:marBottom w:val="0"/>
      <w:divBdr>
        <w:top w:val="none" w:sz="0" w:space="0" w:color="auto"/>
        <w:left w:val="none" w:sz="0" w:space="0" w:color="auto"/>
        <w:bottom w:val="none" w:sz="0" w:space="0" w:color="auto"/>
        <w:right w:val="none" w:sz="0" w:space="0" w:color="auto"/>
      </w:divBdr>
    </w:div>
    <w:div w:id="1443069818">
      <w:bodyDiv w:val="1"/>
      <w:marLeft w:val="0"/>
      <w:marRight w:val="0"/>
      <w:marTop w:val="0"/>
      <w:marBottom w:val="0"/>
      <w:divBdr>
        <w:top w:val="none" w:sz="0" w:space="0" w:color="auto"/>
        <w:left w:val="none" w:sz="0" w:space="0" w:color="auto"/>
        <w:bottom w:val="none" w:sz="0" w:space="0" w:color="auto"/>
        <w:right w:val="none" w:sz="0" w:space="0" w:color="auto"/>
      </w:divBdr>
    </w:div>
    <w:div w:id="1454448125">
      <w:bodyDiv w:val="1"/>
      <w:marLeft w:val="0"/>
      <w:marRight w:val="0"/>
      <w:marTop w:val="0"/>
      <w:marBottom w:val="0"/>
      <w:divBdr>
        <w:top w:val="none" w:sz="0" w:space="0" w:color="auto"/>
        <w:left w:val="none" w:sz="0" w:space="0" w:color="auto"/>
        <w:bottom w:val="none" w:sz="0" w:space="0" w:color="auto"/>
        <w:right w:val="none" w:sz="0" w:space="0" w:color="auto"/>
      </w:divBdr>
    </w:div>
    <w:div w:id="1467505153">
      <w:bodyDiv w:val="1"/>
      <w:marLeft w:val="0"/>
      <w:marRight w:val="0"/>
      <w:marTop w:val="0"/>
      <w:marBottom w:val="0"/>
      <w:divBdr>
        <w:top w:val="none" w:sz="0" w:space="0" w:color="auto"/>
        <w:left w:val="none" w:sz="0" w:space="0" w:color="auto"/>
        <w:bottom w:val="none" w:sz="0" w:space="0" w:color="auto"/>
        <w:right w:val="none" w:sz="0" w:space="0" w:color="auto"/>
      </w:divBdr>
    </w:div>
    <w:div w:id="1475297920">
      <w:bodyDiv w:val="1"/>
      <w:marLeft w:val="0"/>
      <w:marRight w:val="0"/>
      <w:marTop w:val="0"/>
      <w:marBottom w:val="0"/>
      <w:divBdr>
        <w:top w:val="none" w:sz="0" w:space="0" w:color="auto"/>
        <w:left w:val="none" w:sz="0" w:space="0" w:color="auto"/>
        <w:bottom w:val="none" w:sz="0" w:space="0" w:color="auto"/>
        <w:right w:val="none" w:sz="0" w:space="0" w:color="auto"/>
      </w:divBdr>
    </w:div>
    <w:div w:id="1482966776">
      <w:bodyDiv w:val="1"/>
      <w:marLeft w:val="0"/>
      <w:marRight w:val="0"/>
      <w:marTop w:val="0"/>
      <w:marBottom w:val="0"/>
      <w:divBdr>
        <w:top w:val="none" w:sz="0" w:space="0" w:color="auto"/>
        <w:left w:val="none" w:sz="0" w:space="0" w:color="auto"/>
        <w:bottom w:val="none" w:sz="0" w:space="0" w:color="auto"/>
        <w:right w:val="none" w:sz="0" w:space="0" w:color="auto"/>
      </w:divBdr>
    </w:div>
    <w:div w:id="1492408167">
      <w:bodyDiv w:val="1"/>
      <w:marLeft w:val="0"/>
      <w:marRight w:val="0"/>
      <w:marTop w:val="0"/>
      <w:marBottom w:val="0"/>
      <w:divBdr>
        <w:top w:val="none" w:sz="0" w:space="0" w:color="auto"/>
        <w:left w:val="none" w:sz="0" w:space="0" w:color="auto"/>
        <w:bottom w:val="none" w:sz="0" w:space="0" w:color="auto"/>
        <w:right w:val="none" w:sz="0" w:space="0" w:color="auto"/>
      </w:divBdr>
    </w:div>
    <w:div w:id="1496145324">
      <w:bodyDiv w:val="1"/>
      <w:marLeft w:val="0"/>
      <w:marRight w:val="0"/>
      <w:marTop w:val="0"/>
      <w:marBottom w:val="0"/>
      <w:divBdr>
        <w:top w:val="none" w:sz="0" w:space="0" w:color="auto"/>
        <w:left w:val="none" w:sz="0" w:space="0" w:color="auto"/>
        <w:bottom w:val="none" w:sz="0" w:space="0" w:color="auto"/>
        <w:right w:val="none" w:sz="0" w:space="0" w:color="auto"/>
      </w:divBdr>
    </w:div>
    <w:div w:id="1514302076">
      <w:bodyDiv w:val="1"/>
      <w:marLeft w:val="0"/>
      <w:marRight w:val="0"/>
      <w:marTop w:val="0"/>
      <w:marBottom w:val="0"/>
      <w:divBdr>
        <w:top w:val="none" w:sz="0" w:space="0" w:color="auto"/>
        <w:left w:val="none" w:sz="0" w:space="0" w:color="auto"/>
        <w:bottom w:val="none" w:sz="0" w:space="0" w:color="auto"/>
        <w:right w:val="none" w:sz="0" w:space="0" w:color="auto"/>
      </w:divBdr>
    </w:div>
    <w:div w:id="1520729684">
      <w:bodyDiv w:val="1"/>
      <w:marLeft w:val="0"/>
      <w:marRight w:val="0"/>
      <w:marTop w:val="0"/>
      <w:marBottom w:val="0"/>
      <w:divBdr>
        <w:top w:val="none" w:sz="0" w:space="0" w:color="auto"/>
        <w:left w:val="none" w:sz="0" w:space="0" w:color="auto"/>
        <w:bottom w:val="none" w:sz="0" w:space="0" w:color="auto"/>
        <w:right w:val="none" w:sz="0" w:space="0" w:color="auto"/>
      </w:divBdr>
    </w:div>
    <w:div w:id="1522008861">
      <w:bodyDiv w:val="1"/>
      <w:marLeft w:val="0"/>
      <w:marRight w:val="0"/>
      <w:marTop w:val="0"/>
      <w:marBottom w:val="0"/>
      <w:divBdr>
        <w:top w:val="none" w:sz="0" w:space="0" w:color="auto"/>
        <w:left w:val="none" w:sz="0" w:space="0" w:color="auto"/>
        <w:bottom w:val="none" w:sz="0" w:space="0" w:color="auto"/>
        <w:right w:val="none" w:sz="0" w:space="0" w:color="auto"/>
      </w:divBdr>
    </w:div>
    <w:div w:id="1529367488">
      <w:bodyDiv w:val="1"/>
      <w:marLeft w:val="0"/>
      <w:marRight w:val="0"/>
      <w:marTop w:val="0"/>
      <w:marBottom w:val="0"/>
      <w:divBdr>
        <w:top w:val="none" w:sz="0" w:space="0" w:color="auto"/>
        <w:left w:val="none" w:sz="0" w:space="0" w:color="auto"/>
        <w:bottom w:val="none" w:sz="0" w:space="0" w:color="auto"/>
        <w:right w:val="none" w:sz="0" w:space="0" w:color="auto"/>
      </w:divBdr>
    </w:div>
    <w:div w:id="1551305252">
      <w:bodyDiv w:val="1"/>
      <w:marLeft w:val="0"/>
      <w:marRight w:val="0"/>
      <w:marTop w:val="0"/>
      <w:marBottom w:val="0"/>
      <w:divBdr>
        <w:top w:val="none" w:sz="0" w:space="0" w:color="auto"/>
        <w:left w:val="none" w:sz="0" w:space="0" w:color="auto"/>
        <w:bottom w:val="none" w:sz="0" w:space="0" w:color="auto"/>
        <w:right w:val="none" w:sz="0" w:space="0" w:color="auto"/>
      </w:divBdr>
    </w:div>
    <w:div w:id="1556239015">
      <w:bodyDiv w:val="1"/>
      <w:marLeft w:val="0"/>
      <w:marRight w:val="0"/>
      <w:marTop w:val="0"/>
      <w:marBottom w:val="0"/>
      <w:divBdr>
        <w:top w:val="none" w:sz="0" w:space="0" w:color="auto"/>
        <w:left w:val="none" w:sz="0" w:space="0" w:color="auto"/>
        <w:bottom w:val="none" w:sz="0" w:space="0" w:color="auto"/>
        <w:right w:val="none" w:sz="0" w:space="0" w:color="auto"/>
      </w:divBdr>
    </w:div>
    <w:div w:id="1559701838">
      <w:bodyDiv w:val="1"/>
      <w:marLeft w:val="0"/>
      <w:marRight w:val="0"/>
      <w:marTop w:val="0"/>
      <w:marBottom w:val="0"/>
      <w:divBdr>
        <w:top w:val="none" w:sz="0" w:space="0" w:color="auto"/>
        <w:left w:val="none" w:sz="0" w:space="0" w:color="auto"/>
        <w:bottom w:val="none" w:sz="0" w:space="0" w:color="auto"/>
        <w:right w:val="none" w:sz="0" w:space="0" w:color="auto"/>
      </w:divBdr>
    </w:div>
    <w:div w:id="1560626539">
      <w:bodyDiv w:val="1"/>
      <w:marLeft w:val="0"/>
      <w:marRight w:val="0"/>
      <w:marTop w:val="0"/>
      <w:marBottom w:val="0"/>
      <w:divBdr>
        <w:top w:val="none" w:sz="0" w:space="0" w:color="auto"/>
        <w:left w:val="none" w:sz="0" w:space="0" w:color="auto"/>
        <w:bottom w:val="none" w:sz="0" w:space="0" w:color="auto"/>
        <w:right w:val="none" w:sz="0" w:space="0" w:color="auto"/>
      </w:divBdr>
    </w:div>
    <w:div w:id="1590503423">
      <w:bodyDiv w:val="1"/>
      <w:marLeft w:val="0"/>
      <w:marRight w:val="0"/>
      <w:marTop w:val="0"/>
      <w:marBottom w:val="0"/>
      <w:divBdr>
        <w:top w:val="none" w:sz="0" w:space="0" w:color="auto"/>
        <w:left w:val="none" w:sz="0" w:space="0" w:color="auto"/>
        <w:bottom w:val="none" w:sz="0" w:space="0" w:color="auto"/>
        <w:right w:val="none" w:sz="0" w:space="0" w:color="auto"/>
      </w:divBdr>
    </w:div>
    <w:div w:id="1591431462">
      <w:bodyDiv w:val="1"/>
      <w:marLeft w:val="0"/>
      <w:marRight w:val="0"/>
      <w:marTop w:val="0"/>
      <w:marBottom w:val="0"/>
      <w:divBdr>
        <w:top w:val="none" w:sz="0" w:space="0" w:color="auto"/>
        <w:left w:val="none" w:sz="0" w:space="0" w:color="auto"/>
        <w:bottom w:val="none" w:sz="0" w:space="0" w:color="auto"/>
        <w:right w:val="none" w:sz="0" w:space="0" w:color="auto"/>
      </w:divBdr>
    </w:div>
    <w:div w:id="1599561701">
      <w:bodyDiv w:val="1"/>
      <w:marLeft w:val="0"/>
      <w:marRight w:val="0"/>
      <w:marTop w:val="0"/>
      <w:marBottom w:val="0"/>
      <w:divBdr>
        <w:top w:val="none" w:sz="0" w:space="0" w:color="auto"/>
        <w:left w:val="none" w:sz="0" w:space="0" w:color="auto"/>
        <w:bottom w:val="none" w:sz="0" w:space="0" w:color="auto"/>
        <w:right w:val="none" w:sz="0" w:space="0" w:color="auto"/>
      </w:divBdr>
    </w:div>
    <w:div w:id="1611164793">
      <w:bodyDiv w:val="1"/>
      <w:marLeft w:val="0"/>
      <w:marRight w:val="0"/>
      <w:marTop w:val="0"/>
      <w:marBottom w:val="0"/>
      <w:divBdr>
        <w:top w:val="none" w:sz="0" w:space="0" w:color="auto"/>
        <w:left w:val="none" w:sz="0" w:space="0" w:color="auto"/>
        <w:bottom w:val="none" w:sz="0" w:space="0" w:color="auto"/>
        <w:right w:val="none" w:sz="0" w:space="0" w:color="auto"/>
      </w:divBdr>
    </w:div>
    <w:div w:id="1629628574">
      <w:bodyDiv w:val="1"/>
      <w:marLeft w:val="0"/>
      <w:marRight w:val="0"/>
      <w:marTop w:val="0"/>
      <w:marBottom w:val="0"/>
      <w:divBdr>
        <w:top w:val="none" w:sz="0" w:space="0" w:color="auto"/>
        <w:left w:val="none" w:sz="0" w:space="0" w:color="auto"/>
        <w:bottom w:val="none" w:sz="0" w:space="0" w:color="auto"/>
        <w:right w:val="none" w:sz="0" w:space="0" w:color="auto"/>
      </w:divBdr>
    </w:div>
    <w:div w:id="1644191691">
      <w:bodyDiv w:val="1"/>
      <w:marLeft w:val="0"/>
      <w:marRight w:val="0"/>
      <w:marTop w:val="0"/>
      <w:marBottom w:val="0"/>
      <w:divBdr>
        <w:top w:val="none" w:sz="0" w:space="0" w:color="auto"/>
        <w:left w:val="none" w:sz="0" w:space="0" w:color="auto"/>
        <w:bottom w:val="none" w:sz="0" w:space="0" w:color="auto"/>
        <w:right w:val="none" w:sz="0" w:space="0" w:color="auto"/>
      </w:divBdr>
    </w:div>
    <w:div w:id="1645620832">
      <w:bodyDiv w:val="1"/>
      <w:marLeft w:val="0"/>
      <w:marRight w:val="0"/>
      <w:marTop w:val="0"/>
      <w:marBottom w:val="0"/>
      <w:divBdr>
        <w:top w:val="none" w:sz="0" w:space="0" w:color="auto"/>
        <w:left w:val="none" w:sz="0" w:space="0" w:color="auto"/>
        <w:bottom w:val="none" w:sz="0" w:space="0" w:color="auto"/>
        <w:right w:val="none" w:sz="0" w:space="0" w:color="auto"/>
      </w:divBdr>
    </w:div>
    <w:div w:id="1657294741">
      <w:bodyDiv w:val="1"/>
      <w:marLeft w:val="0"/>
      <w:marRight w:val="0"/>
      <w:marTop w:val="0"/>
      <w:marBottom w:val="0"/>
      <w:divBdr>
        <w:top w:val="none" w:sz="0" w:space="0" w:color="auto"/>
        <w:left w:val="none" w:sz="0" w:space="0" w:color="auto"/>
        <w:bottom w:val="none" w:sz="0" w:space="0" w:color="auto"/>
        <w:right w:val="none" w:sz="0" w:space="0" w:color="auto"/>
      </w:divBdr>
    </w:div>
    <w:div w:id="1667127626">
      <w:bodyDiv w:val="1"/>
      <w:marLeft w:val="0"/>
      <w:marRight w:val="0"/>
      <w:marTop w:val="0"/>
      <w:marBottom w:val="0"/>
      <w:divBdr>
        <w:top w:val="none" w:sz="0" w:space="0" w:color="auto"/>
        <w:left w:val="none" w:sz="0" w:space="0" w:color="auto"/>
        <w:bottom w:val="none" w:sz="0" w:space="0" w:color="auto"/>
        <w:right w:val="none" w:sz="0" w:space="0" w:color="auto"/>
      </w:divBdr>
    </w:div>
    <w:div w:id="1677729989">
      <w:bodyDiv w:val="1"/>
      <w:marLeft w:val="0"/>
      <w:marRight w:val="0"/>
      <w:marTop w:val="0"/>
      <w:marBottom w:val="0"/>
      <w:divBdr>
        <w:top w:val="none" w:sz="0" w:space="0" w:color="auto"/>
        <w:left w:val="none" w:sz="0" w:space="0" w:color="auto"/>
        <w:bottom w:val="none" w:sz="0" w:space="0" w:color="auto"/>
        <w:right w:val="none" w:sz="0" w:space="0" w:color="auto"/>
      </w:divBdr>
    </w:div>
    <w:div w:id="1687056066">
      <w:bodyDiv w:val="1"/>
      <w:marLeft w:val="0"/>
      <w:marRight w:val="0"/>
      <w:marTop w:val="0"/>
      <w:marBottom w:val="0"/>
      <w:divBdr>
        <w:top w:val="none" w:sz="0" w:space="0" w:color="auto"/>
        <w:left w:val="none" w:sz="0" w:space="0" w:color="auto"/>
        <w:bottom w:val="none" w:sz="0" w:space="0" w:color="auto"/>
        <w:right w:val="none" w:sz="0" w:space="0" w:color="auto"/>
      </w:divBdr>
    </w:div>
    <w:div w:id="1696737015">
      <w:bodyDiv w:val="1"/>
      <w:marLeft w:val="0"/>
      <w:marRight w:val="0"/>
      <w:marTop w:val="0"/>
      <w:marBottom w:val="0"/>
      <w:divBdr>
        <w:top w:val="none" w:sz="0" w:space="0" w:color="auto"/>
        <w:left w:val="none" w:sz="0" w:space="0" w:color="auto"/>
        <w:bottom w:val="none" w:sz="0" w:space="0" w:color="auto"/>
        <w:right w:val="none" w:sz="0" w:space="0" w:color="auto"/>
      </w:divBdr>
    </w:div>
    <w:div w:id="1714619409">
      <w:bodyDiv w:val="1"/>
      <w:marLeft w:val="0"/>
      <w:marRight w:val="0"/>
      <w:marTop w:val="0"/>
      <w:marBottom w:val="0"/>
      <w:divBdr>
        <w:top w:val="none" w:sz="0" w:space="0" w:color="auto"/>
        <w:left w:val="none" w:sz="0" w:space="0" w:color="auto"/>
        <w:bottom w:val="none" w:sz="0" w:space="0" w:color="auto"/>
        <w:right w:val="none" w:sz="0" w:space="0" w:color="auto"/>
      </w:divBdr>
    </w:div>
    <w:div w:id="1721435615">
      <w:bodyDiv w:val="1"/>
      <w:marLeft w:val="0"/>
      <w:marRight w:val="0"/>
      <w:marTop w:val="0"/>
      <w:marBottom w:val="0"/>
      <w:divBdr>
        <w:top w:val="none" w:sz="0" w:space="0" w:color="auto"/>
        <w:left w:val="none" w:sz="0" w:space="0" w:color="auto"/>
        <w:bottom w:val="none" w:sz="0" w:space="0" w:color="auto"/>
        <w:right w:val="none" w:sz="0" w:space="0" w:color="auto"/>
      </w:divBdr>
    </w:div>
    <w:div w:id="1736775754">
      <w:bodyDiv w:val="1"/>
      <w:marLeft w:val="0"/>
      <w:marRight w:val="0"/>
      <w:marTop w:val="0"/>
      <w:marBottom w:val="0"/>
      <w:divBdr>
        <w:top w:val="none" w:sz="0" w:space="0" w:color="auto"/>
        <w:left w:val="none" w:sz="0" w:space="0" w:color="auto"/>
        <w:bottom w:val="none" w:sz="0" w:space="0" w:color="auto"/>
        <w:right w:val="none" w:sz="0" w:space="0" w:color="auto"/>
      </w:divBdr>
    </w:div>
    <w:div w:id="1746146000">
      <w:bodyDiv w:val="1"/>
      <w:marLeft w:val="0"/>
      <w:marRight w:val="0"/>
      <w:marTop w:val="0"/>
      <w:marBottom w:val="0"/>
      <w:divBdr>
        <w:top w:val="none" w:sz="0" w:space="0" w:color="auto"/>
        <w:left w:val="none" w:sz="0" w:space="0" w:color="auto"/>
        <w:bottom w:val="none" w:sz="0" w:space="0" w:color="auto"/>
        <w:right w:val="none" w:sz="0" w:space="0" w:color="auto"/>
      </w:divBdr>
    </w:div>
    <w:div w:id="1757902545">
      <w:bodyDiv w:val="1"/>
      <w:marLeft w:val="0"/>
      <w:marRight w:val="0"/>
      <w:marTop w:val="0"/>
      <w:marBottom w:val="0"/>
      <w:divBdr>
        <w:top w:val="none" w:sz="0" w:space="0" w:color="auto"/>
        <w:left w:val="none" w:sz="0" w:space="0" w:color="auto"/>
        <w:bottom w:val="none" w:sz="0" w:space="0" w:color="auto"/>
        <w:right w:val="none" w:sz="0" w:space="0" w:color="auto"/>
      </w:divBdr>
    </w:div>
    <w:div w:id="1759132438">
      <w:bodyDiv w:val="1"/>
      <w:marLeft w:val="0"/>
      <w:marRight w:val="0"/>
      <w:marTop w:val="0"/>
      <w:marBottom w:val="0"/>
      <w:divBdr>
        <w:top w:val="none" w:sz="0" w:space="0" w:color="auto"/>
        <w:left w:val="none" w:sz="0" w:space="0" w:color="auto"/>
        <w:bottom w:val="none" w:sz="0" w:space="0" w:color="auto"/>
        <w:right w:val="none" w:sz="0" w:space="0" w:color="auto"/>
      </w:divBdr>
    </w:div>
    <w:div w:id="1763254015">
      <w:bodyDiv w:val="1"/>
      <w:marLeft w:val="0"/>
      <w:marRight w:val="0"/>
      <w:marTop w:val="0"/>
      <w:marBottom w:val="0"/>
      <w:divBdr>
        <w:top w:val="none" w:sz="0" w:space="0" w:color="auto"/>
        <w:left w:val="none" w:sz="0" w:space="0" w:color="auto"/>
        <w:bottom w:val="none" w:sz="0" w:space="0" w:color="auto"/>
        <w:right w:val="none" w:sz="0" w:space="0" w:color="auto"/>
      </w:divBdr>
    </w:div>
    <w:div w:id="1774131994">
      <w:bodyDiv w:val="1"/>
      <w:marLeft w:val="0"/>
      <w:marRight w:val="0"/>
      <w:marTop w:val="0"/>
      <w:marBottom w:val="0"/>
      <w:divBdr>
        <w:top w:val="none" w:sz="0" w:space="0" w:color="auto"/>
        <w:left w:val="none" w:sz="0" w:space="0" w:color="auto"/>
        <w:bottom w:val="none" w:sz="0" w:space="0" w:color="auto"/>
        <w:right w:val="none" w:sz="0" w:space="0" w:color="auto"/>
      </w:divBdr>
    </w:div>
    <w:div w:id="1775124515">
      <w:bodyDiv w:val="1"/>
      <w:marLeft w:val="0"/>
      <w:marRight w:val="0"/>
      <w:marTop w:val="0"/>
      <w:marBottom w:val="0"/>
      <w:divBdr>
        <w:top w:val="none" w:sz="0" w:space="0" w:color="auto"/>
        <w:left w:val="none" w:sz="0" w:space="0" w:color="auto"/>
        <w:bottom w:val="none" w:sz="0" w:space="0" w:color="auto"/>
        <w:right w:val="none" w:sz="0" w:space="0" w:color="auto"/>
      </w:divBdr>
    </w:div>
    <w:div w:id="1792746300">
      <w:bodyDiv w:val="1"/>
      <w:marLeft w:val="0"/>
      <w:marRight w:val="0"/>
      <w:marTop w:val="0"/>
      <w:marBottom w:val="0"/>
      <w:divBdr>
        <w:top w:val="none" w:sz="0" w:space="0" w:color="auto"/>
        <w:left w:val="none" w:sz="0" w:space="0" w:color="auto"/>
        <w:bottom w:val="none" w:sz="0" w:space="0" w:color="auto"/>
        <w:right w:val="none" w:sz="0" w:space="0" w:color="auto"/>
      </w:divBdr>
    </w:div>
    <w:div w:id="1792935925">
      <w:bodyDiv w:val="1"/>
      <w:marLeft w:val="0"/>
      <w:marRight w:val="0"/>
      <w:marTop w:val="0"/>
      <w:marBottom w:val="0"/>
      <w:divBdr>
        <w:top w:val="none" w:sz="0" w:space="0" w:color="auto"/>
        <w:left w:val="none" w:sz="0" w:space="0" w:color="auto"/>
        <w:bottom w:val="none" w:sz="0" w:space="0" w:color="auto"/>
        <w:right w:val="none" w:sz="0" w:space="0" w:color="auto"/>
      </w:divBdr>
    </w:div>
    <w:div w:id="1798982873">
      <w:bodyDiv w:val="1"/>
      <w:marLeft w:val="0"/>
      <w:marRight w:val="0"/>
      <w:marTop w:val="0"/>
      <w:marBottom w:val="0"/>
      <w:divBdr>
        <w:top w:val="none" w:sz="0" w:space="0" w:color="auto"/>
        <w:left w:val="none" w:sz="0" w:space="0" w:color="auto"/>
        <w:bottom w:val="none" w:sz="0" w:space="0" w:color="auto"/>
        <w:right w:val="none" w:sz="0" w:space="0" w:color="auto"/>
      </w:divBdr>
    </w:div>
    <w:div w:id="1804884521">
      <w:bodyDiv w:val="1"/>
      <w:marLeft w:val="0"/>
      <w:marRight w:val="0"/>
      <w:marTop w:val="0"/>
      <w:marBottom w:val="0"/>
      <w:divBdr>
        <w:top w:val="none" w:sz="0" w:space="0" w:color="auto"/>
        <w:left w:val="none" w:sz="0" w:space="0" w:color="auto"/>
        <w:bottom w:val="none" w:sz="0" w:space="0" w:color="auto"/>
        <w:right w:val="none" w:sz="0" w:space="0" w:color="auto"/>
      </w:divBdr>
    </w:div>
    <w:div w:id="1816796773">
      <w:bodyDiv w:val="1"/>
      <w:marLeft w:val="0"/>
      <w:marRight w:val="0"/>
      <w:marTop w:val="0"/>
      <w:marBottom w:val="0"/>
      <w:divBdr>
        <w:top w:val="none" w:sz="0" w:space="0" w:color="auto"/>
        <w:left w:val="none" w:sz="0" w:space="0" w:color="auto"/>
        <w:bottom w:val="none" w:sz="0" w:space="0" w:color="auto"/>
        <w:right w:val="none" w:sz="0" w:space="0" w:color="auto"/>
      </w:divBdr>
    </w:div>
    <w:div w:id="1821731698">
      <w:bodyDiv w:val="1"/>
      <w:marLeft w:val="0"/>
      <w:marRight w:val="0"/>
      <w:marTop w:val="0"/>
      <w:marBottom w:val="0"/>
      <w:divBdr>
        <w:top w:val="none" w:sz="0" w:space="0" w:color="auto"/>
        <w:left w:val="none" w:sz="0" w:space="0" w:color="auto"/>
        <w:bottom w:val="none" w:sz="0" w:space="0" w:color="auto"/>
        <w:right w:val="none" w:sz="0" w:space="0" w:color="auto"/>
      </w:divBdr>
    </w:div>
    <w:div w:id="1822504123">
      <w:bodyDiv w:val="1"/>
      <w:marLeft w:val="0"/>
      <w:marRight w:val="0"/>
      <w:marTop w:val="0"/>
      <w:marBottom w:val="0"/>
      <w:divBdr>
        <w:top w:val="none" w:sz="0" w:space="0" w:color="auto"/>
        <w:left w:val="none" w:sz="0" w:space="0" w:color="auto"/>
        <w:bottom w:val="none" w:sz="0" w:space="0" w:color="auto"/>
        <w:right w:val="none" w:sz="0" w:space="0" w:color="auto"/>
      </w:divBdr>
    </w:div>
    <w:div w:id="1825776307">
      <w:bodyDiv w:val="1"/>
      <w:marLeft w:val="0"/>
      <w:marRight w:val="0"/>
      <w:marTop w:val="0"/>
      <w:marBottom w:val="0"/>
      <w:divBdr>
        <w:top w:val="none" w:sz="0" w:space="0" w:color="auto"/>
        <w:left w:val="none" w:sz="0" w:space="0" w:color="auto"/>
        <w:bottom w:val="none" w:sz="0" w:space="0" w:color="auto"/>
        <w:right w:val="none" w:sz="0" w:space="0" w:color="auto"/>
      </w:divBdr>
    </w:div>
    <w:div w:id="1827434382">
      <w:bodyDiv w:val="1"/>
      <w:marLeft w:val="0"/>
      <w:marRight w:val="0"/>
      <w:marTop w:val="0"/>
      <w:marBottom w:val="0"/>
      <w:divBdr>
        <w:top w:val="none" w:sz="0" w:space="0" w:color="auto"/>
        <w:left w:val="none" w:sz="0" w:space="0" w:color="auto"/>
        <w:bottom w:val="none" w:sz="0" w:space="0" w:color="auto"/>
        <w:right w:val="none" w:sz="0" w:space="0" w:color="auto"/>
      </w:divBdr>
    </w:div>
    <w:div w:id="1834637529">
      <w:bodyDiv w:val="1"/>
      <w:marLeft w:val="0"/>
      <w:marRight w:val="0"/>
      <w:marTop w:val="0"/>
      <w:marBottom w:val="0"/>
      <w:divBdr>
        <w:top w:val="none" w:sz="0" w:space="0" w:color="auto"/>
        <w:left w:val="none" w:sz="0" w:space="0" w:color="auto"/>
        <w:bottom w:val="none" w:sz="0" w:space="0" w:color="auto"/>
        <w:right w:val="none" w:sz="0" w:space="0" w:color="auto"/>
      </w:divBdr>
    </w:div>
    <w:div w:id="1836412074">
      <w:bodyDiv w:val="1"/>
      <w:marLeft w:val="0"/>
      <w:marRight w:val="0"/>
      <w:marTop w:val="0"/>
      <w:marBottom w:val="0"/>
      <w:divBdr>
        <w:top w:val="none" w:sz="0" w:space="0" w:color="auto"/>
        <w:left w:val="none" w:sz="0" w:space="0" w:color="auto"/>
        <w:bottom w:val="none" w:sz="0" w:space="0" w:color="auto"/>
        <w:right w:val="none" w:sz="0" w:space="0" w:color="auto"/>
      </w:divBdr>
    </w:div>
    <w:div w:id="1837726057">
      <w:bodyDiv w:val="1"/>
      <w:marLeft w:val="0"/>
      <w:marRight w:val="0"/>
      <w:marTop w:val="0"/>
      <w:marBottom w:val="0"/>
      <w:divBdr>
        <w:top w:val="none" w:sz="0" w:space="0" w:color="auto"/>
        <w:left w:val="none" w:sz="0" w:space="0" w:color="auto"/>
        <w:bottom w:val="none" w:sz="0" w:space="0" w:color="auto"/>
        <w:right w:val="none" w:sz="0" w:space="0" w:color="auto"/>
      </w:divBdr>
    </w:div>
    <w:div w:id="1841388368">
      <w:bodyDiv w:val="1"/>
      <w:marLeft w:val="0"/>
      <w:marRight w:val="0"/>
      <w:marTop w:val="0"/>
      <w:marBottom w:val="0"/>
      <w:divBdr>
        <w:top w:val="none" w:sz="0" w:space="0" w:color="auto"/>
        <w:left w:val="none" w:sz="0" w:space="0" w:color="auto"/>
        <w:bottom w:val="none" w:sz="0" w:space="0" w:color="auto"/>
        <w:right w:val="none" w:sz="0" w:space="0" w:color="auto"/>
      </w:divBdr>
    </w:div>
    <w:div w:id="1845627105">
      <w:bodyDiv w:val="1"/>
      <w:marLeft w:val="0"/>
      <w:marRight w:val="0"/>
      <w:marTop w:val="0"/>
      <w:marBottom w:val="0"/>
      <w:divBdr>
        <w:top w:val="none" w:sz="0" w:space="0" w:color="auto"/>
        <w:left w:val="none" w:sz="0" w:space="0" w:color="auto"/>
        <w:bottom w:val="none" w:sz="0" w:space="0" w:color="auto"/>
        <w:right w:val="none" w:sz="0" w:space="0" w:color="auto"/>
      </w:divBdr>
    </w:div>
    <w:div w:id="1859854228">
      <w:bodyDiv w:val="1"/>
      <w:marLeft w:val="0"/>
      <w:marRight w:val="0"/>
      <w:marTop w:val="0"/>
      <w:marBottom w:val="0"/>
      <w:divBdr>
        <w:top w:val="none" w:sz="0" w:space="0" w:color="auto"/>
        <w:left w:val="none" w:sz="0" w:space="0" w:color="auto"/>
        <w:bottom w:val="none" w:sz="0" w:space="0" w:color="auto"/>
        <w:right w:val="none" w:sz="0" w:space="0" w:color="auto"/>
      </w:divBdr>
    </w:div>
    <w:div w:id="1860703515">
      <w:bodyDiv w:val="1"/>
      <w:marLeft w:val="0"/>
      <w:marRight w:val="0"/>
      <w:marTop w:val="0"/>
      <w:marBottom w:val="0"/>
      <w:divBdr>
        <w:top w:val="none" w:sz="0" w:space="0" w:color="auto"/>
        <w:left w:val="none" w:sz="0" w:space="0" w:color="auto"/>
        <w:bottom w:val="none" w:sz="0" w:space="0" w:color="auto"/>
        <w:right w:val="none" w:sz="0" w:space="0" w:color="auto"/>
      </w:divBdr>
    </w:div>
    <w:div w:id="1863080911">
      <w:bodyDiv w:val="1"/>
      <w:marLeft w:val="0"/>
      <w:marRight w:val="0"/>
      <w:marTop w:val="0"/>
      <w:marBottom w:val="0"/>
      <w:divBdr>
        <w:top w:val="none" w:sz="0" w:space="0" w:color="auto"/>
        <w:left w:val="none" w:sz="0" w:space="0" w:color="auto"/>
        <w:bottom w:val="none" w:sz="0" w:space="0" w:color="auto"/>
        <w:right w:val="none" w:sz="0" w:space="0" w:color="auto"/>
      </w:divBdr>
    </w:div>
    <w:div w:id="1863935095">
      <w:bodyDiv w:val="1"/>
      <w:marLeft w:val="0"/>
      <w:marRight w:val="0"/>
      <w:marTop w:val="0"/>
      <w:marBottom w:val="0"/>
      <w:divBdr>
        <w:top w:val="none" w:sz="0" w:space="0" w:color="auto"/>
        <w:left w:val="none" w:sz="0" w:space="0" w:color="auto"/>
        <w:bottom w:val="none" w:sz="0" w:space="0" w:color="auto"/>
        <w:right w:val="none" w:sz="0" w:space="0" w:color="auto"/>
      </w:divBdr>
    </w:div>
    <w:div w:id="1867208124">
      <w:bodyDiv w:val="1"/>
      <w:marLeft w:val="0"/>
      <w:marRight w:val="0"/>
      <w:marTop w:val="0"/>
      <w:marBottom w:val="0"/>
      <w:divBdr>
        <w:top w:val="none" w:sz="0" w:space="0" w:color="auto"/>
        <w:left w:val="none" w:sz="0" w:space="0" w:color="auto"/>
        <w:bottom w:val="none" w:sz="0" w:space="0" w:color="auto"/>
        <w:right w:val="none" w:sz="0" w:space="0" w:color="auto"/>
      </w:divBdr>
    </w:div>
    <w:div w:id="1868324644">
      <w:bodyDiv w:val="1"/>
      <w:marLeft w:val="0"/>
      <w:marRight w:val="0"/>
      <w:marTop w:val="0"/>
      <w:marBottom w:val="0"/>
      <w:divBdr>
        <w:top w:val="none" w:sz="0" w:space="0" w:color="auto"/>
        <w:left w:val="none" w:sz="0" w:space="0" w:color="auto"/>
        <w:bottom w:val="none" w:sz="0" w:space="0" w:color="auto"/>
        <w:right w:val="none" w:sz="0" w:space="0" w:color="auto"/>
      </w:divBdr>
    </w:div>
    <w:div w:id="1868761759">
      <w:bodyDiv w:val="1"/>
      <w:marLeft w:val="0"/>
      <w:marRight w:val="0"/>
      <w:marTop w:val="0"/>
      <w:marBottom w:val="0"/>
      <w:divBdr>
        <w:top w:val="none" w:sz="0" w:space="0" w:color="auto"/>
        <w:left w:val="none" w:sz="0" w:space="0" w:color="auto"/>
        <w:bottom w:val="none" w:sz="0" w:space="0" w:color="auto"/>
        <w:right w:val="none" w:sz="0" w:space="0" w:color="auto"/>
      </w:divBdr>
    </w:div>
    <w:div w:id="1881867397">
      <w:bodyDiv w:val="1"/>
      <w:marLeft w:val="0"/>
      <w:marRight w:val="0"/>
      <w:marTop w:val="0"/>
      <w:marBottom w:val="0"/>
      <w:divBdr>
        <w:top w:val="none" w:sz="0" w:space="0" w:color="auto"/>
        <w:left w:val="none" w:sz="0" w:space="0" w:color="auto"/>
        <w:bottom w:val="none" w:sz="0" w:space="0" w:color="auto"/>
        <w:right w:val="none" w:sz="0" w:space="0" w:color="auto"/>
      </w:divBdr>
    </w:div>
    <w:div w:id="1895507677">
      <w:bodyDiv w:val="1"/>
      <w:marLeft w:val="0"/>
      <w:marRight w:val="0"/>
      <w:marTop w:val="0"/>
      <w:marBottom w:val="0"/>
      <w:divBdr>
        <w:top w:val="none" w:sz="0" w:space="0" w:color="auto"/>
        <w:left w:val="none" w:sz="0" w:space="0" w:color="auto"/>
        <w:bottom w:val="none" w:sz="0" w:space="0" w:color="auto"/>
        <w:right w:val="none" w:sz="0" w:space="0" w:color="auto"/>
      </w:divBdr>
    </w:div>
    <w:div w:id="1904100140">
      <w:bodyDiv w:val="1"/>
      <w:marLeft w:val="0"/>
      <w:marRight w:val="0"/>
      <w:marTop w:val="0"/>
      <w:marBottom w:val="0"/>
      <w:divBdr>
        <w:top w:val="none" w:sz="0" w:space="0" w:color="auto"/>
        <w:left w:val="none" w:sz="0" w:space="0" w:color="auto"/>
        <w:bottom w:val="none" w:sz="0" w:space="0" w:color="auto"/>
        <w:right w:val="none" w:sz="0" w:space="0" w:color="auto"/>
      </w:divBdr>
    </w:div>
    <w:div w:id="1905795846">
      <w:bodyDiv w:val="1"/>
      <w:marLeft w:val="0"/>
      <w:marRight w:val="0"/>
      <w:marTop w:val="0"/>
      <w:marBottom w:val="0"/>
      <w:divBdr>
        <w:top w:val="none" w:sz="0" w:space="0" w:color="auto"/>
        <w:left w:val="none" w:sz="0" w:space="0" w:color="auto"/>
        <w:bottom w:val="none" w:sz="0" w:space="0" w:color="auto"/>
        <w:right w:val="none" w:sz="0" w:space="0" w:color="auto"/>
      </w:divBdr>
    </w:div>
    <w:div w:id="1924606362">
      <w:bodyDiv w:val="1"/>
      <w:marLeft w:val="0"/>
      <w:marRight w:val="0"/>
      <w:marTop w:val="0"/>
      <w:marBottom w:val="0"/>
      <w:divBdr>
        <w:top w:val="none" w:sz="0" w:space="0" w:color="auto"/>
        <w:left w:val="none" w:sz="0" w:space="0" w:color="auto"/>
        <w:bottom w:val="none" w:sz="0" w:space="0" w:color="auto"/>
        <w:right w:val="none" w:sz="0" w:space="0" w:color="auto"/>
      </w:divBdr>
    </w:div>
    <w:div w:id="1947229278">
      <w:bodyDiv w:val="1"/>
      <w:marLeft w:val="0"/>
      <w:marRight w:val="0"/>
      <w:marTop w:val="0"/>
      <w:marBottom w:val="0"/>
      <w:divBdr>
        <w:top w:val="none" w:sz="0" w:space="0" w:color="auto"/>
        <w:left w:val="none" w:sz="0" w:space="0" w:color="auto"/>
        <w:bottom w:val="none" w:sz="0" w:space="0" w:color="auto"/>
        <w:right w:val="none" w:sz="0" w:space="0" w:color="auto"/>
      </w:divBdr>
    </w:div>
    <w:div w:id="1948852502">
      <w:bodyDiv w:val="1"/>
      <w:marLeft w:val="0"/>
      <w:marRight w:val="0"/>
      <w:marTop w:val="0"/>
      <w:marBottom w:val="0"/>
      <w:divBdr>
        <w:top w:val="none" w:sz="0" w:space="0" w:color="auto"/>
        <w:left w:val="none" w:sz="0" w:space="0" w:color="auto"/>
        <w:bottom w:val="none" w:sz="0" w:space="0" w:color="auto"/>
        <w:right w:val="none" w:sz="0" w:space="0" w:color="auto"/>
      </w:divBdr>
    </w:div>
    <w:div w:id="1963219653">
      <w:bodyDiv w:val="1"/>
      <w:marLeft w:val="0"/>
      <w:marRight w:val="0"/>
      <w:marTop w:val="0"/>
      <w:marBottom w:val="0"/>
      <w:divBdr>
        <w:top w:val="none" w:sz="0" w:space="0" w:color="auto"/>
        <w:left w:val="none" w:sz="0" w:space="0" w:color="auto"/>
        <w:bottom w:val="none" w:sz="0" w:space="0" w:color="auto"/>
        <w:right w:val="none" w:sz="0" w:space="0" w:color="auto"/>
      </w:divBdr>
    </w:div>
    <w:div w:id="1968195907">
      <w:bodyDiv w:val="1"/>
      <w:marLeft w:val="0"/>
      <w:marRight w:val="0"/>
      <w:marTop w:val="0"/>
      <w:marBottom w:val="0"/>
      <w:divBdr>
        <w:top w:val="none" w:sz="0" w:space="0" w:color="auto"/>
        <w:left w:val="none" w:sz="0" w:space="0" w:color="auto"/>
        <w:bottom w:val="none" w:sz="0" w:space="0" w:color="auto"/>
        <w:right w:val="none" w:sz="0" w:space="0" w:color="auto"/>
      </w:divBdr>
    </w:div>
    <w:div w:id="1971544292">
      <w:bodyDiv w:val="1"/>
      <w:marLeft w:val="0"/>
      <w:marRight w:val="0"/>
      <w:marTop w:val="0"/>
      <w:marBottom w:val="0"/>
      <w:divBdr>
        <w:top w:val="none" w:sz="0" w:space="0" w:color="auto"/>
        <w:left w:val="none" w:sz="0" w:space="0" w:color="auto"/>
        <w:bottom w:val="none" w:sz="0" w:space="0" w:color="auto"/>
        <w:right w:val="none" w:sz="0" w:space="0" w:color="auto"/>
      </w:divBdr>
    </w:div>
    <w:div w:id="1980184696">
      <w:bodyDiv w:val="1"/>
      <w:marLeft w:val="0"/>
      <w:marRight w:val="0"/>
      <w:marTop w:val="0"/>
      <w:marBottom w:val="0"/>
      <w:divBdr>
        <w:top w:val="none" w:sz="0" w:space="0" w:color="auto"/>
        <w:left w:val="none" w:sz="0" w:space="0" w:color="auto"/>
        <w:bottom w:val="none" w:sz="0" w:space="0" w:color="auto"/>
        <w:right w:val="none" w:sz="0" w:space="0" w:color="auto"/>
      </w:divBdr>
    </w:div>
    <w:div w:id="1982735261">
      <w:bodyDiv w:val="1"/>
      <w:marLeft w:val="0"/>
      <w:marRight w:val="0"/>
      <w:marTop w:val="0"/>
      <w:marBottom w:val="0"/>
      <w:divBdr>
        <w:top w:val="none" w:sz="0" w:space="0" w:color="auto"/>
        <w:left w:val="none" w:sz="0" w:space="0" w:color="auto"/>
        <w:bottom w:val="none" w:sz="0" w:space="0" w:color="auto"/>
        <w:right w:val="none" w:sz="0" w:space="0" w:color="auto"/>
      </w:divBdr>
    </w:div>
    <w:div w:id="1998339071">
      <w:bodyDiv w:val="1"/>
      <w:marLeft w:val="0"/>
      <w:marRight w:val="0"/>
      <w:marTop w:val="0"/>
      <w:marBottom w:val="0"/>
      <w:divBdr>
        <w:top w:val="none" w:sz="0" w:space="0" w:color="auto"/>
        <w:left w:val="none" w:sz="0" w:space="0" w:color="auto"/>
        <w:bottom w:val="none" w:sz="0" w:space="0" w:color="auto"/>
        <w:right w:val="none" w:sz="0" w:space="0" w:color="auto"/>
      </w:divBdr>
    </w:div>
    <w:div w:id="2006004941">
      <w:bodyDiv w:val="1"/>
      <w:marLeft w:val="0"/>
      <w:marRight w:val="0"/>
      <w:marTop w:val="0"/>
      <w:marBottom w:val="0"/>
      <w:divBdr>
        <w:top w:val="none" w:sz="0" w:space="0" w:color="auto"/>
        <w:left w:val="none" w:sz="0" w:space="0" w:color="auto"/>
        <w:bottom w:val="none" w:sz="0" w:space="0" w:color="auto"/>
        <w:right w:val="none" w:sz="0" w:space="0" w:color="auto"/>
      </w:divBdr>
    </w:div>
    <w:div w:id="2018656270">
      <w:bodyDiv w:val="1"/>
      <w:marLeft w:val="0"/>
      <w:marRight w:val="0"/>
      <w:marTop w:val="0"/>
      <w:marBottom w:val="0"/>
      <w:divBdr>
        <w:top w:val="none" w:sz="0" w:space="0" w:color="auto"/>
        <w:left w:val="none" w:sz="0" w:space="0" w:color="auto"/>
        <w:bottom w:val="none" w:sz="0" w:space="0" w:color="auto"/>
        <w:right w:val="none" w:sz="0" w:space="0" w:color="auto"/>
      </w:divBdr>
    </w:div>
    <w:div w:id="2022734040">
      <w:bodyDiv w:val="1"/>
      <w:marLeft w:val="0"/>
      <w:marRight w:val="0"/>
      <w:marTop w:val="0"/>
      <w:marBottom w:val="0"/>
      <w:divBdr>
        <w:top w:val="none" w:sz="0" w:space="0" w:color="auto"/>
        <w:left w:val="none" w:sz="0" w:space="0" w:color="auto"/>
        <w:bottom w:val="none" w:sz="0" w:space="0" w:color="auto"/>
        <w:right w:val="none" w:sz="0" w:space="0" w:color="auto"/>
      </w:divBdr>
    </w:div>
    <w:div w:id="2039624863">
      <w:bodyDiv w:val="1"/>
      <w:marLeft w:val="0"/>
      <w:marRight w:val="0"/>
      <w:marTop w:val="0"/>
      <w:marBottom w:val="0"/>
      <w:divBdr>
        <w:top w:val="none" w:sz="0" w:space="0" w:color="auto"/>
        <w:left w:val="none" w:sz="0" w:space="0" w:color="auto"/>
        <w:bottom w:val="none" w:sz="0" w:space="0" w:color="auto"/>
        <w:right w:val="none" w:sz="0" w:space="0" w:color="auto"/>
      </w:divBdr>
    </w:div>
    <w:div w:id="2043509404">
      <w:bodyDiv w:val="1"/>
      <w:marLeft w:val="0"/>
      <w:marRight w:val="0"/>
      <w:marTop w:val="0"/>
      <w:marBottom w:val="0"/>
      <w:divBdr>
        <w:top w:val="none" w:sz="0" w:space="0" w:color="auto"/>
        <w:left w:val="none" w:sz="0" w:space="0" w:color="auto"/>
        <w:bottom w:val="none" w:sz="0" w:space="0" w:color="auto"/>
        <w:right w:val="none" w:sz="0" w:space="0" w:color="auto"/>
      </w:divBdr>
    </w:div>
    <w:div w:id="2055306349">
      <w:bodyDiv w:val="1"/>
      <w:marLeft w:val="0"/>
      <w:marRight w:val="0"/>
      <w:marTop w:val="0"/>
      <w:marBottom w:val="0"/>
      <w:divBdr>
        <w:top w:val="none" w:sz="0" w:space="0" w:color="auto"/>
        <w:left w:val="none" w:sz="0" w:space="0" w:color="auto"/>
        <w:bottom w:val="none" w:sz="0" w:space="0" w:color="auto"/>
        <w:right w:val="none" w:sz="0" w:space="0" w:color="auto"/>
      </w:divBdr>
    </w:div>
    <w:div w:id="2065131394">
      <w:bodyDiv w:val="1"/>
      <w:marLeft w:val="0"/>
      <w:marRight w:val="0"/>
      <w:marTop w:val="0"/>
      <w:marBottom w:val="0"/>
      <w:divBdr>
        <w:top w:val="none" w:sz="0" w:space="0" w:color="auto"/>
        <w:left w:val="none" w:sz="0" w:space="0" w:color="auto"/>
        <w:bottom w:val="none" w:sz="0" w:space="0" w:color="auto"/>
        <w:right w:val="none" w:sz="0" w:space="0" w:color="auto"/>
      </w:divBdr>
    </w:div>
    <w:div w:id="2066947499">
      <w:bodyDiv w:val="1"/>
      <w:marLeft w:val="0"/>
      <w:marRight w:val="0"/>
      <w:marTop w:val="0"/>
      <w:marBottom w:val="0"/>
      <w:divBdr>
        <w:top w:val="none" w:sz="0" w:space="0" w:color="auto"/>
        <w:left w:val="none" w:sz="0" w:space="0" w:color="auto"/>
        <w:bottom w:val="none" w:sz="0" w:space="0" w:color="auto"/>
        <w:right w:val="none" w:sz="0" w:space="0" w:color="auto"/>
      </w:divBdr>
    </w:div>
    <w:div w:id="2070806531">
      <w:bodyDiv w:val="1"/>
      <w:marLeft w:val="0"/>
      <w:marRight w:val="0"/>
      <w:marTop w:val="0"/>
      <w:marBottom w:val="0"/>
      <w:divBdr>
        <w:top w:val="none" w:sz="0" w:space="0" w:color="auto"/>
        <w:left w:val="none" w:sz="0" w:space="0" w:color="auto"/>
        <w:bottom w:val="none" w:sz="0" w:space="0" w:color="auto"/>
        <w:right w:val="none" w:sz="0" w:space="0" w:color="auto"/>
      </w:divBdr>
    </w:div>
    <w:div w:id="2081756765">
      <w:bodyDiv w:val="1"/>
      <w:marLeft w:val="0"/>
      <w:marRight w:val="0"/>
      <w:marTop w:val="0"/>
      <w:marBottom w:val="0"/>
      <w:divBdr>
        <w:top w:val="none" w:sz="0" w:space="0" w:color="auto"/>
        <w:left w:val="none" w:sz="0" w:space="0" w:color="auto"/>
        <w:bottom w:val="none" w:sz="0" w:space="0" w:color="auto"/>
        <w:right w:val="none" w:sz="0" w:space="0" w:color="auto"/>
      </w:divBdr>
    </w:div>
    <w:div w:id="2101247415">
      <w:bodyDiv w:val="1"/>
      <w:marLeft w:val="0"/>
      <w:marRight w:val="0"/>
      <w:marTop w:val="0"/>
      <w:marBottom w:val="0"/>
      <w:divBdr>
        <w:top w:val="none" w:sz="0" w:space="0" w:color="auto"/>
        <w:left w:val="none" w:sz="0" w:space="0" w:color="auto"/>
        <w:bottom w:val="none" w:sz="0" w:space="0" w:color="auto"/>
        <w:right w:val="none" w:sz="0" w:space="0" w:color="auto"/>
      </w:divBdr>
    </w:div>
    <w:div w:id="2101443543">
      <w:bodyDiv w:val="1"/>
      <w:marLeft w:val="0"/>
      <w:marRight w:val="0"/>
      <w:marTop w:val="0"/>
      <w:marBottom w:val="0"/>
      <w:divBdr>
        <w:top w:val="none" w:sz="0" w:space="0" w:color="auto"/>
        <w:left w:val="none" w:sz="0" w:space="0" w:color="auto"/>
        <w:bottom w:val="none" w:sz="0" w:space="0" w:color="auto"/>
        <w:right w:val="none" w:sz="0" w:space="0" w:color="auto"/>
      </w:divBdr>
    </w:div>
    <w:div w:id="2102985423">
      <w:bodyDiv w:val="1"/>
      <w:marLeft w:val="0"/>
      <w:marRight w:val="0"/>
      <w:marTop w:val="0"/>
      <w:marBottom w:val="0"/>
      <w:divBdr>
        <w:top w:val="none" w:sz="0" w:space="0" w:color="auto"/>
        <w:left w:val="none" w:sz="0" w:space="0" w:color="auto"/>
        <w:bottom w:val="none" w:sz="0" w:space="0" w:color="auto"/>
        <w:right w:val="none" w:sz="0" w:space="0" w:color="auto"/>
      </w:divBdr>
    </w:div>
    <w:div w:id="2105152575">
      <w:bodyDiv w:val="1"/>
      <w:marLeft w:val="0"/>
      <w:marRight w:val="0"/>
      <w:marTop w:val="0"/>
      <w:marBottom w:val="0"/>
      <w:divBdr>
        <w:top w:val="none" w:sz="0" w:space="0" w:color="auto"/>
        <w:left w:val="none" w:sz="0" w:space="0" w:color="auto"/>
        <w:bottom w:val="none" w:sz="0" w:space="0" w:color="auto"/>
        <w:right w:val="none" w:sz="0" w:space="0" w:color="auto"/>
      </w:divBdr>
    </w:div>
    <w:div w:id="2111118836">
      <w:bodyDiv w:val="1"/>
      <w:marLeft w:val="0"/>
      <w:marRight w:val="0"/>
      <w:marTop w:val="0"/>
      <w:marBottom w:val="0"/>
      <w:divBdr>
        <w:top w:val="none" w:sz="0" w:space="0" w:color="auto"/>
        <w:left w:val="none" w:sz="0" w:space="0" w:color="auto"/>
        <w:bottom w:val="none" w:sz="0" w:space="0" w:color="auto"/>
        <w:right w:val="none" w:sz="0" w:space="0" w:color="auto"/>
      </w:divBdr>
    </w:div>
    <w:div w:id="212607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PA" Version="1">
  <b:Source>
    <b:Tag>Fre95</b:Tag>
    <b:SourceType>ArticleInAPeriodical</b:SourceType>
    <b:Guid>{C8595689-7D95-41E8-8AB4-A207346C5D70}</b:Guid>
    <b:Author>
      <b:Author>
        <b:NameList>
          <b:Person>
            <b:Last>Mishkin</b:Last>
            <b:First>Frederic</b:First>
            <b:Middle>S.</b:Middle>
          </b:Person>
        </b:NameList>
      </b:Author>
    </b:Author>
    <b:Title>Symposium on the Monetary Transmission Mechanism</b:Title>
    <b:PeriodicalTitle>Journal of Economic Perspectives</b:PeriodicalTitle>
    <b:Pages>v. 9, n.4, p. 3-10, 1995</b:Pages>
    <b:RefOrder>1</b:RefOrder>
  </b:Source>
  <b:Source>
    <b:Tag>Ste81</b:Tag>
    <b:SourceType>ArticleInAPeriodical</b:SourceType>
    <b:Guid>{2EEE44DF-F4BA-4018-AAA2-560696E93D09}</b:Guid>
    <b:Author>
      <b:Author>
        <b:NameList>
          <b:Person>
            <b:Last>Nickell</b:Last>
            <b:First>Stephen</b:First>
          </b:Person>
        </b:NameList>
      </b:Author>
    </b:Author>
    <b:Title>Biases in Dynamic Models with Fixed Effects</b:Title>
    <b:PeriodicalTitle>Econometrica</b:PeriodicalTitle>
    <b:Pages>v. 49, n. 6, p. 1417-1426. 1981.</b:Pages>
    <b:RefOrder>2</b:RefOrder>
  </b:Source>
  <b:Source>
    <b:Tag>Res</b:Tag>
    <b:SourceType>InternetSite</b:SourceType>
    <b:Guid>{96E3F44A-2B11-4ED9-807D-FFDA479CD1BB}</b:Guid>
    <b:Title>Resolução CMN n. 3454 de maio/2007</b:Title>
    <b:Author>
      <b:Author>
        <b:NameList>
          <b:Person>
            <b:Last>CONSELHO MONETÁRIO NACIONAL</b:Last>
          </b:Person>
        </b:NameList>
      </b:Author>
    </b:Author>
    <b:RefOrder>3</b:RefOrder>
  </b:Source>
  <b:Source>
    <b:Tag>GUS07</b:Tag>
    <b:SourceType>ConferenceProceedings</b:SourceType>
    <b:Guid>{1D83646E-AA7A-46E1-A2B1-4F930C925D36}</b:Guid>
    <b:Title>A Interação entre a Dinâmica Macroeconômica e os Bancos: uma Perspectiva acerca do Risco de Crédito</b:Title>
    <b:Year>2007</b:Year>
    <b:Medium>Dissertação de Mestrado pela Universidade Federal Fluminense</b:Medium>
    <b:Author>
      <b:Author>
        <b:NameList>
          <b:Person>
            <b:Last>SOUZA</b:Last>
            <b:First>GUSTAVO</b:First>
            <b:Middle>JOSÉ DE GUIMARÃES E</b:Middle>
          </b:Person>
        </b:NameList>
      </b:Author>
    </b:Author>
    <b:ConferenceName>Dissertação de Mestrado pela Universidade Federal Fluminense. Disponível em.http://www.cpgeconomia.uff.br//novosite/arquivos/tese/2007-gustavo_guimaraes.pdf&gt;. Acesso em: 20/08/14</b:ConferenceName>
    <b:RefOrder>4</b:RefOrder>
  </b:Source>
  <b:Source>
    <b:Tag>1</b:Tag>
    <b:SourceType>JournalArticle</b:SourceType>
    <b:Guid>{A67729B7-06C2-43A6-AA1D-72D783478808}</b:Guid>
    <b:Title>The Federal Funds Rate and the Channels of Monetary Transmission</b:Title>
    <b:Year>1992</b:Year>
    <b:Volume>82</b:Volume>
    <b:Author>
      <b:Author>
        <b:NameList>
          <b:Person>
            <b:Last>Bernanke</b:Last>
            <b:First>Ben</b:First>
            <b:Middle>S.</b:Middle>
          </b:Person>
          <b:Person>
            <b:Last>Blinder</b:Last>
            <b:First>Alan</b:First>
            <b:Middle>S.</b:Middle>
          </b:Person>
        </b:NameList>
      </b:Author>
    </b:Author>
    <b:JournalName>The American Economic Review</b:JournalName>
    <b:Month>Setembro</b:Month>
    <b:Pages>901-921</b:Pages>
    <b:StandardNumber>4</b:StandardNumber>
    <b:RefOrder>5</b:RefOrder>
  </b:Source>
  <b:Source>
    <b:Tag>Ger11</b:Tag>
    <b:SourceType>JournalArticle</b:SourceType>
    <b:Guid>{C6A6176D-F8EE-4F07-A830-152DE3E379F2}</b:Guid>
    <b:Author>
      <b:Author>
        <b:NameList>
          <b:Person>
            <b:Last>Gertler</b:Last>
            <b:First>Mark</b:First>
          </b:Person>
          <b:Person>
            <b:Last>Karadi</b:Last>
            <b:First>Peter</b:First>
          </b:Person>
        </b:NameList>
      </b:Author>
    </b:Author>
    <b:Title>A model of unconventional monetary policy</b:Title>
    <b:JournalName>Journal of Monetary Economics</b:JournalName>
    <b:Year>2011</b:Year>
    <b:Pages>17–34</b:Pages>
    <b:Volume>58</b:Volume>
    <b:RefOrder>6</b:RefOrder>
  </b:Source>
  <b:Source>
    <b:Tag>Ben96</b:Tag>
    <b:SourceType>JournalArticle</b:SourceType>
    <b:Guid>{897F7347-014F-47CE-8EE4-592E1F318456}</b:Guid>
    <b:Author>
      <b:Author>
        <b:NameList>
          <b:Person>
            <b:Last>Bernanke</b:Last>
            <b:First>Ben</b:First>
          </b:Person>
          <b:Person>
            <b:Last>Gertler</b:Last>
            <b:First>Mark</b:First>
          </b:Person>
          <b:Person>
            <b:Last>Gilchrist</b:Last>
            <b:First>Simon</b:First>
          </b:Person>
        </b:NameList>
      </b:Author>
    </b:Author>
    <b:Title>The Financial Accelerator and the Flight to Quality</b:Title>
    <b:JournalName>The Review of Economics and Statistics</b:JournalName>
    <b:Year>1996</b:Year>
    <b:Pages>1-15</b:Pages>
    <b:Volume>78</b:Volume>
    <b:StandardNumber>1</b:StandardNumber>
    <b:LCID>pt-BR</b:LCID>
    <b:RefOrder>7</b:RefOrder>
  </b:Source>
  <b:Source>
    <b:Tag>Ber</b:Tag>
    <b:SourceType>BookSection</b:SourceType>
    <b:Guid>{9FD465D5-C86D-4997-9FF6-C39721A709E2}</b:Guid>
    <b:Author>
      <b:Author>
        <b:NameList>
          <b:Person>
            <b:Last>Bernanke</b:Last>
            <b:First>Ben</b:First>
          </b:Person>
          <b:Person>
            <b:Last>Gertler</b:Last>
            <b:First>Mark</b:First>
          </b:Person>
          <b:Person>
            <b:Last>Gilchrist</b:Last>
            <b:First>Simon</b:First>
          </b:Person>
        </b:NameList>
      </b:Author>
    </b:Author>
    <b:Title>The ﬁnancial accelerator in a quantitative business cycle framework</b:Title>
    <b:BookTitle>Taylor, J., Woodford, M. (Eds.)</b:BookTitle>
    <b:Year>Handbook of Macroeconomics</b:Year>
    <b:RefOrder>8</b:RefOrder>
  </b:Source>
  <b:Source>
    <b:Tag>Kiy97</b:Tag>
    <b:SourceType>JournalArticle</b:SourceType>
    <b:Guid>{509222F5-1A53-4CD6-88F1-F1BB35E6D657}</b:Guid>
    <b:Title>Credit cycles</b:Title>
    <b:Year>1997</b:Year>
    <b:Pages>211-248</b:Pages>
    <b:Volume>105</b:Volume>
    <b:Author>
      <b:Author>
        <b:NameList>
          <b:Person>
            <b:Last>Kiyotaki</b:Last>
            <b:First>N.</b:First>
          </b:Person>
          <b:Person>
            <b:Last>Moore</b:Last>
            <b:First>J.</b:First>
          </b:Person>
        </b:NameList>
      </b:Author>
    </b:Author>
    <b:JournalName>Journal of Political Economy</b:JournalName>
    <b:RefOrder>9</b:RefOrder>
  </b:Source>
  <b:Source>
    <b:Tag>Car97</b:Tag>
    <b:SourceType>JournalArticle</b:SourceType>
    <b:Guid>{E1212108-FE2F-4821-80B5-7C8B567F3527}</b:Guid>
    <b:Author>
      <b:Author>
        <b:NameList>
          <b:Person>
            <b:Last>Carlstrom</b:Last>
            <b:First>C.</b:First>
          </b:Person>
          <b:Person>
            <b:Last>Fuerst</b:Last>
            <b:First>T.</b:First>
          </b:Person>
        </b:NameList>
      </b:Author>
    </b:Author>
    <b:Title>Agency costs, Net Worth, and Business Fluctuations: a Computable General Equilibrium Analysis</b:Title>
    <b:JournalName>American Economic Review</b:JournalName>
    <b:Year>1997</b:Year>
    <b:Pages>893-910</b:Pages>
    <b:Volume>87</b:Volume>
    <b:RefOrder>10</b:RefOrder>
  </b:Source>
  <b:Source>
    <b:Tag>Chr08</b:Tag>
    <b:SourceType>JournalArticle</b:SourceType>
    <b:Guid>{399ADFA0-ACE4-4E60-B212-9FB4E5B2C42D}</b:Guid>
    <b:Author>
      <b:Author>
        <b:NameList>
          <b:Person>
            <b:Last>Christensen</b:Last>
            <b:First>I.</b:First>
          </b:Person>
          <b:Person>
            <b:Last>Dib</b:Last>
            <b:First>A.</b:First>
          </b:Person>
        </b:NameList>
      </b:Author>
    </b:Author>
    <b:Title>The Financial Accelerator in an Estimated New Keynesian model</b:Title>
    <b:JournalName> Review of Economic Dynamics</b:JournalName>
    <b:Year>2008</b:Year>
    <b:Pages>155-178</b:Pages>
    <b:Volume>11</b:Volume>
    <b:RefOrder>11</b:RefOrder>
  </b:Source>
  <b:Source>
    <b:Tag>DeG08</b:Tag>
    <b:SourceType>JournalArticle</b:SourceType>
    <b:Guid>{D3136F86-9764-41D1-8294-5EE87E07AD7A}</b:Guid>
    <b:Author>
      <b:Author>
        <b:NameList>
          <b:Person>
            <b:Last>De Graeve</b:Last>
            <b:First>F.,</b:First>
          </b:Person>
        </b:NameList>
      </b:Author>
    </b:Author>
    <b:Title>The External Finance Premium and the Macroeconomy: US Post-WWII Evidence</b:Title>
    <b:JournalName>Journal of Economic Dynamics and Control</b:JournalName>
    <b:Year>2008</b:Year>
    <b:Pages>3415-3440</b:Pages>
    <b:Volume>32</b:Volume>
    <b:RefOrder>12</b:RefOrder>
  </b:Source>
  <b:Source>
    <b:Tag>Ger10</b:Tag>
    <b:SourceType>JournalArticle</b:SourceType>
    <b:Guid>{69E531E6-0553-45BB-A245-87E658F736EF}</b:Guid>
    <b:Author>
      <b:Author>
        <b:NameList>
          <b:Person>
            <b:Last>Gerali</b:Last>
            <b:First>A.</b:First>
          </b:Person>
          <b:Person>
            <b:Last>Neri</b:Last>
            <b:First>S.</b:First>
          </b:Person>
          <b:Person>
            <b:Last>Sessa</b:Last>
            <b:First>L.</b:First>
          </b:Person>
          <b:Person>
            <b:Last>Signoretti</b:Last>
            <b:First>F.,</b:First>
            <b:Middle>M.</b:Middle>
          </b:Person>
        </b:NameList>
      </b:Author>
    </b:Author>
    <b:Title>Credit and Banking in a DSGE Model of the Euro Area</b:Title>
    <b:JournalName>Journal of Money</b:JournalName>
    <b:Year>2010</b:Year>
    <b:Pages>107-141</b:Pages>
    <b:Volume>42</b:Volume>
    <b:RefOrder>13</b:RefOrder>
  </b:Source>
  <b:Source>
    <b:Tag>Cúr10</b:Tag>
    <b:SourceType>JournalArticle</b:SourceType>
    <b:Guid>{F05B0638-4001-4CBA-9B8E-64D68DEE3EA9}</b:Guid>
    <b:Author>
      <b:Author>
        <b:NameList>
          <b:Person>
            <b:Last>Cúrdia</b:Last>
            <b:First>V.</b:First>
          </b:Person>
          <b:Person>
            <b:Last>Woodford.</b:Last>
            <b:First>M.</b:First>
          </b:Person>
        </b:NameList>
      </b:Author>
    </b:Author>
    <b:Title>Credit Spreads and Monetary Policy</b:Title>
    <b:JournalName>Journal of Money Credit and Banking</b:JournalName>
    <b:Year>2010</b:Year>
    <b:Pages>3-35</b:Pages>
    <b:Volume>42</b:Volume>
    <b:RefOrder>14</b:RefOrder>
  </b:Source>
  <b:Source>
    <b:Tag>Chr05</b:Tag>
    <b:SourceType>JournalArticle</b:SourceType>
    <b:Guid>{4278AD48-920C-40C7-8E5D-1E1BE67C2DB5}</b:Guid>
    <b:Author>
      <b:Author>
        <b:NameList>
          <b:Person>
            <b:Last>Christiano</b:Last>
            <b:First>L.</b:First>
          </b:Person>
          <b:Person>
            <b:Last>Eichenbaum</b:Last>
            <b:First>M.</b:First>
          </b:Person>
          <b:Person>
            <b:Last>Evans</b:Last>
            <b:First>C.</b:First>
          </b:Person>
        </b:NameList>
      </b:Author>
    </b:Author>
    <b:Title>Nominal Rigidities and the Dynamic Effects of a Shock to Monetary Policy</b:Title>
    <b:JournalName>Journal of Political Economy</b:JournalName>
    <b:Year>2005</b:Year>
    <b:Pages>1–45</b:Pages>
    <b:RefOrder>15</b:RefOrder>
  </b:Source>
  <b:Source>
    <b:Tag>Sme03</b:Tag>
    <b:SourceType>JournalArticle</b:SourceType>
    <b:Guid>{42D2C37A-8F57-41F3-AD72-9F19EB7ACDF6}</b:Guid>
    <b:Author>
      <b:Author>
        <b:NameList>
          <b:Person>
            <b:Last>Smets</b:Last>
            <b:First>F.</b:First>
          </b:Person>
          <b:Person>
            <b:Last>Wouters</b:Last>
            <b:First>R.</b:First>
          </b:Person>
        </b:NameList>
      </b:Author>
    </b:Author>
    <b:Title>An Estimated Dynamic Stochastic General Equilibrium Model of the Euro Area</b:Title>
    <b:JournalName>Journal of the European Economic Association</b:JournalName>
    <b:Year>2003</b:Year>
    <b:Pages>1123–1175</b:Pages>
    <b:RefOrder>16</b:RefOrder>
  </b:Source>
  <b:Source>
    <b:Tag>SIL06</b:Tag>
    <b:SourceType>ConferenceProceedings</b:SourceType>
    <b:Guid>{B92A8D41-E85A-439E-A8C3-FA4F49E1EDF7}</b:Guid>
    <b:Author>
      <b:Author>
        <b:NameList>
          <b:Person>
            <b:Last>SILVEIRA</b:Last>
            <b:First>M.</b:First>
            <b:Middle>A. C.</b:Middle>
          </b:Person>
        </b:NameList>
      </b:Author>
      <b:Editor>
        <b:NameList>
          <b:Person>
            <b:Last>Paper</b:Last>
            <b:First>Discussion</b:First>
          </b:Person>
        </b:NameList>
      </b:Editor>
    </b:Author>
    <b:Title>A Small Open Economy as a Limit Case of a Two-Country New Keynesian DSGE Model: A Bayesian Estimation with Brazilian Data</b:Title>
    <b:Year>2006</b:Year>
    <b:ConferenceName>Instituto de Pesquisa Econômica Aplicada - Discussion Paper no 1252</b:ConferenceName>
    <b:RefOrder>17</b:RefOrder>
  </b:Source>
  <b:Source>
    <b:Tag>VAL11</b:Tag>
    <b:SourceType>ConferenceProceedings</b:SourceType>
    <b:Guid>{D5EAA85D-4DB7-4F1D-B8EB-1E1C14C5E0D4}</b:Guid>
    <b:Author>
      <b:Author>
        <b:NameList>
          <b:Person>
            <b:Last>VALLI</b:Last>
            <b:First>M.</b:First>
          </b:Person>
          <b:Person>
            <b:Last>CARVALHO</b:Last>
            <b:First>F.</b:First>
          </b:Person>
        </b:NameList>
      </b:Author>
    </b:Author>
    <b:Title>Fiscal Policy in Brazil through the Lens of an Estimated DSGE model</b:Title>
    <b:Year>2011</b:Year>
    <b:ConferenceName>Banco Central do Brasil - Working Paper n. 240</b:ConferenceName>
    <b:RefOrder>18</b:RefOrder>
  </b:Source>
  <b:Source>
    <b:Tag>CAS11</b:Tag>
    <b:SourceType>ConferenceProceedings</b:SourceType>
    <b:Guid>{1C53ADA2-6222-4D55-85C4-2E719ABC3F13}</b:Guid>
    <b:Author>
      <b:Author>
        <b:NameList>
          <b:Person>
            <b:Last>CASTRO</b:Last>
            <b:First>M.</b:First>
            <b:Middle>R.</b:Middle>
          </b:Person>
          <b:Person>
            <b:Last>GOUVEA</b:Last>
            <b:First>S.</b:First>
            <b:Middle>N.</b:Middle>
          </b:Person>
          <b:Person>
            <b:Last>MINELLA</b:Last>
            <b:First>A.</b:First>
          </b:Person>
          <b:Person>
            <b:Last>SANTOS</b:Last>
            <b:First>R.</b:First>
            <b:Middle>C.</b:Middle>
          </b:Person>
          <b:Person>
            <b:Last>SOUZA-SOBRINHO</b:Last>
            <b:First>N.</b:First>
            <b:Middle>F.</b:Middle>
          </b:Person>
        </b:NameList>
      </b:Author>
    </b:Author>
    <b:Title>SAMBA: Stochastic Analytical Model with a Bayesian Approach</b:Title>
    <b:Year>2011</b:Year>
    <b:ConferenceName>Banco Central do Brasil - Working Paper Series n. 239</b:ConferenceName>
    <b:RefOrder>19</b:RefOrder>
  </b:Source>
  <b:Source>
    <b:Tag>Are13</b:Tag>
    <b:SourceType>ConferenceProceedings</b:SourceType>
    <b:Guid>{A183A11C-BD71-4966-9E68-7C78D6AB4A35}</b:Guid>
    <b:Author>
      <b:Author>
        <b:NameList>
          <b:Person>
            <b:Last>Areosa</b:Last>
            <b:First>Waldyr</b:First>
            <b:Middle>Dutra</b:Middle>
          </b:Person>
          <b:Person>
            <b:Last>Coelho</b:Last>
            <b:First>Christiano</b:First>
            <b:Middle>Arrigoni</b:Middle>
          </b:Person>
        </b:NameList>
      </b:Author>
    </b:Author>
    <b:Title>Utilizando um Modelo DSGE para Avaliar os Efeitos Macroeconômicos dos Recolhimentos Compulsórios no Brasil</b:Title>
    <b:Year>2013</b:Year>
    <b:ConferenceName>Banco Central do Brasil - Trabalhos para Discussão 303</b:ConferenceName>
    <b:RefOrder>20</b:RefOrder>
  </b:Source>
  <b:Source>
    <b:Tag>Sil13</b:Tag>
    <b:SourceType>JournalArticle</b:SourceType>
    <b:Guid>{0E6A74A0-C505-4025-9DCC-3CC50A23FE78}</b:Guid>
    <b:Author>
      <b:Author>
        <b:NameList>
          <b:Person>
            <b:Last>Silva</b:Last>
            <b:First>Marcos</b:First>
            <b:Middle>Soares da</b:Middle>
          </b:Person>
          <b:Person>
            <b:Last>Divino</b:Last>
            <b:First>Jose</b:First>
            <b:Middle>Angelo</b:Middle>
          </b:Person>
        </b:NameList>
      </b:Author>
    </b:Author>
    <b:Title>The role of banking regulation in an economy under credit risk and liquidity shock</b:Title>
    <b:Year>2013</b:Year>
    <b:JournalName>North  American  Journal of Economics and Finance</b:JournalName>
    <b:RefOrder>21</b:RefOrder>
  </b:Source>
  <b:Source>
    <b:Tag>VAL10</b:Tag>
    <b:SourceType>ConferenceProceedings</b:SourceType>
    <b:Guid>{6125A4D7-7B64-4F35-AC08-63ED24BAC304}</b:Guid>
    <b:Author>
      <b:Author>
        <b:NameList>
          <b:Person>
            <b:Last>VALLI</b:Last>
            <b:First>M.</b:First>
          </b:Person>
          <b:Person>
            <b:Last>CARVALHO</b:Last>
            <b:First>F.</b:First>
          </b:Person>
        </b:NameList>
      </b:Author>
    </b:Author>
    <b:Title>Fiscal and monetary policy interaction: a simulation  based analysis of a two-country New Keynesian DSGE model with heterogeneous households</b:Title>
    <b:Year>2010</b:Year>
    <b:ConferenceName>Banco Central do Brasil - Working Paper Series n. 204</b:ConferenceName>
    <b:RefOrder>22</b:RefOrder>
  </b:Source>
  <b:Source>
    <b:Tag>GAL05</b:Tag>
    <b:SourceType>JournalArticle</b:SourceType>
    <b:Guid>{DDE08749-498B-4E53-9F0D-59AF96479E81}</b:Guid>
    <b:Title>Monetary Policy and Exchange Rate Volatility in a Small Open Economy</b:Title>
    <b:Pages>707–734</b:Pages>
    <b:Year>2005</b:Year>
    <b:Volume>72</b:Volume>
    <b:Author>
      <b:Author>
        <b:NameList>
          <b:Person>
            <b:Last>GALÍ</b:Last>
            <b:First>JORDI</b:First>
          </b:Person>
          <b:Person>
            <b:Last>MONACELLI</b:Last>
            <b:First>TOMMASO</b:First>
          </b:Person>
        </b:NameList>
      </b:Author>
    </b:Author>
    <b:PeriodicalTitle>Review of Economic Studies </b:PeriodicalTitle>
    <b:RefOrder>23</b:RefOrder>
  </b:Source>
  <b:Source>
    <b:Tag>CAL83</b:Tag>
    <b:SourceType>JournalArticle</b:SourceType>
    <b:Guid>{3474F797-0772-48FA-9F91-584C60FC9909}</b:Guid>
    <b:Author>
      <b:Author>
        <b:NameList>
          <b:Person>
            <b:Last>CALVO</b:Last>
            <b:First>G.</b:First>
            <b:Middle>A.</b:Middle>
          </b:Person>
        </b:NameList>
      </b:Author>
    </b:Author>
    <b:Title>Staggered Prices in a Utility-Maximizing Framework</b:Title>
    <b:JournalName>ournal of Monetary Economics</b:JournalName>
    <b:Year>1983</b:Year>
    <b:Pages>383-398</b:Pages>
    <b:Volume>12</b:Volume>
    <b:RefOrder>24</b:RefOrder>
  </b:Source>
  <b:Source>
    <b:Tag>Mon10</b:Tag>
    <b:SourceType>ConferenceProceedings</b:SourceType>
    <b:Guid>{6AC1DDEE-A59F-416F-958D-FB7817DEBBBB}</b:Guid>
    <b:Author>
      <b:Author>
        <b:NameList>
          <b:Person>
            <b:Last>Montoro</b:Last>
            <b:First>C.</b:First>
          </b:Person>
          <b:Person>
            <b:Last>Tovar</b:Last>
            <b:First>C.</b:First>
          </b:Person>
        </b:NameList>
      </b:Author>
    </b:Author>
    <b:Title>Macroprudential tools: Assessing the implications of reserve requirements in a dsge model</b:Title>
    <b:Year>2010</b:Year>
    <b:ConferenceName>Working paper, BIS</b:ConferenceName>
    <b:RefOrder>25</b:RefOrder>
  </b:Source>
  <b:Source>
    <b:Tag>Wal09</b:Tag>
    <b:SourceType>ConferenceProceedings</b:SourceType>
    <b:Guid>{6D61F950-3E2E-482F-948C-A340A2393038}</b:Guid>
    <b:Author>
      <b:Author>
        <b:NameList>
          <b:Person>
            <b:Last>Walque</b:Last>
            <b:First>Gregory</b:First>
            <b:Middle>de</b:Middle>
          </b:Person>
          <b:Person>
            <b:Last>Pierrard</b:Last>
            <b:First>Olivier</b:First>
          </b:Person>
          <b:Person>
            <b:Last>Rouabah</b:Last>
            <b:First>Abdelaziz</b:First>
          </b:Person>
        </b:NameList>
      </b:Author>
    </b:Author>
    <b:Title>Financial (in)stability, supervision and liquidity injections: a dynamic general equilibrium approach</b:Title>
    <b:Year>2009</b:Year>
    <b:ConferenceName>Institut de RecherchesÉconomiques et Sociales de l’Universitécatholique de Louvain - Discussion Paper</b:ConferenceName>
    <b:RefOrder>26</b:RefOrder>
  </b:Source>
  <b:Source>
    <b:Tag>Div15</b:Tag>
    <b:SourceType>JournalArticle</b:SourceType>
    <b:Guid>{E70AEE2B-20F8-4E08-8A2F-19C14C010D91}</b:Guid>
    <b:Author>
      <b:Author>
        <b:NameList>
          <b:Person>
            <b:Last>Kornelius</b:Last>
            <b:First>Alexandre</b:First>
          </b:Person>
          <b:Person>
            <b:Last>Divino</b:Last>
            <b:First>José</b:First>
            <b:Middle>Angelo</b:Middle>
          </b:Person>
        </b:NameList>
      </b:Author>
    </b:Author>
    <b:Title>Política Monetária e Compulsório em um Modelo DSGE com Fricções Financeiras</b:Title>
    <b:Year>2015</b:Year>
    <b:JournalName>Economia Aplicada</b:JournalName>
    <b:Volume>20</b:Volume>
    <b:StandardNumber>4</b:StandardNumber>
    <b:RefOrder>27</b:RefOrder>
  </b:Source>
  <b:Source>
    <b:Tag>Ser11</b:Tag>
    <b:SourceType>JournalArticle</b:SourceType>
    <b:Guid>{3FAF9338-BB96-43B7-8DF5-8190E9869EE3}</b:Guid>
    <b:Title>Taxa de Juros e Default em Mercados de Empréstimos Colateralizados</b:Title>
    <b:Year>2011</b:Year>
    <b:Author>
      <b:Author>
        <b:NameList>
          <b:Person>
            <b:Last>Batista</b:Last>
            <b:First>Sergio</b:First>
            <b:Middle>Ricardo Faustino</b:Middle>
          </b:Person>
          <b:Person>
            <b:Last>Divino</b:Last>
            <b:First>José</b:First>
            <b:Middle>Angelo</b:Middle>
          </b:Person>
          <b:Person>
            <b:Last>Orrillo</b:Last>
            <b:First>Jaime</b:First>
          </b:Person>
        </b:NameList>
      </b:Author>
    </b:Author>
    <b:JournalName>Estudos Econômicos</b:JournalName>
    <b:Volume>41</b:Volume>
    <b:RefOrder>28</b:RefOrder>
  </b:Source>
  <b:Source>
    <b:Tag>Jai13</b:Tag>
    <b:SourceType>JournalArticle</b:SourceType>
    <b:Guid>{3C7D8F84-5E71-47AE-A715-96EE8B78B9B0}</b:Guid>
    <b:Author>
      <b:Author>
        <b:NameList>
          <b:Person>
            <b:Last>Carvalho</b:Last>
            <b:First>Jaimilton</b:First>
          </b:Person>
          <b:Person>
            <b:Last>Divino</b:Last>
            <b:First>Jose</b:First>
            <b:Middle>Angelo</b:Middle>
          </b:Person>
          <b:Person>
            <b:Last>Orrillo</b:Last>
            <b:First>Jaime</b:First>
          </b:Person>
        </b:NameList>
      </b:Author>
    </b:Author>
    <b:Title>Default and bankruptcy in an entrepreneurial economy with incomplete markets</b:Title>
    <b:JournalName>Journ al of Banking &amp; Finance </b:JournalName>
    <b:Year>2013</b:Year>
    <b:Pages>2162–2172</b:Pages>
    <b:Volume>37</b:Volume>
    <b:RefOrder>29</b:RefOrder>
  </b:Source>
  <b:Source>
    <b:Tag>Xav08</b:Tag>
    <b:SourceType>Book</b:SourceType>
    <b:Guid>{1844EBDB-96CB-4233-BC9D-411781EED107}</b:Guid>
    <b:Title>Microeconomics of Banking</b:Title>
    <b:City>Cambridge, Massachusetts</b:City>
    <b:Year>2008</b:Year>
    <b:Author>
      <b:Author>
        <b:NameList>
          <b:Person>
            <b:Last>Freixas</b:Last>
            <b:First>Xavier</b:First>
          </b:Person>
          <b:Person>
            <b:Last>Rochet</b:Last>
            <b:First>Jean-Charles</b:First>
          </b:Person>
        </b:NameList>
      </b:Author>
      <b:Editor>
        <b:NameList>
          <b:Person>
            <b:Last>Technology</b:Last>
            <b:First>Massachusetts</b:First>
            <b:Middle>Institute of</b:Middle>
          </b:Person>
        </b:NameList>
      </b:Editor>
    </b:Author>
    <b:Publisher>The MIT Press</b:Publisher>
    <b:Edition>Segunda Edição</b:Edition>
    <b:RefOrder>30</b:RefOrder>
  </b:Source>
  <b:Source>
    <b:Tag>Ara07</b:Tag>
    <b:SourceType>JournalArticle</b:SourceType>
    <b:Guid>{6AE26357-02B3-48D7-8585-177F298C60C1}</b:Guid>
    <b:Author>
      <b:Author>
        <b:NameList>
          <b:Person>
            <b:Last>Araújo</b:Last>
            <b:First>Luiz</b:First>
            <b:Middle>Alberto D’Ávila de</b:Middle>
          </b:Person>
          <b:Person>
            <b:Last>Jorge Neto</b:Last>
            <b:First>Paulo</b:First>
            <b:Middle>de Melo</b:Middle>
          </b:Person>
        </b:NameList>
      </b:Author>
    </b:Author>
    <b:Title>Risco e Competição Bancária no Brasil</b:Title>
    <b:JournalName>Revista Brasileira de Economia</b:JournalName>
    <b:Year>2007</b:Year>
    <b:Pages>p. 175–200</b:Pages>
    <b:Volume>61</b:Volume>
    <b:Issue>2</b:Issue>
    <b:RefOrder>31</b:RefOrder>
  </b:Source>
  <b:Source>
    <b:Tag>Ben15</b:Tag>
    <b:SourceType>JournalArticle</b:SourceType>
    <b:Guid>{25C6A8AF-7858-4B4A-8DE3-F834ABF680E6}</b:Guid>
    <b:Title>The impact of market power at bank level in risk-taking: The Brazilian case</b:Title>
    <b:Pages>154–165</b:Pages>
    <b:Year>2015</b:Year>
    <b:Author>
      <b:Author>
        <b:NameList>
          <b:Person>
            <b:Last>Tabak</b:Last>
            <b:First>Benjamin</b:First>
            <b:Middle>M.</b:Middle>
          </b:Person>
          <b:Person>
            <b:Last>Gomes</b:Last>
            <b:First>Guilherme</b:First>
            <b:Middle>M.R.</b:Middle>
          </b:Person>
          <b:Person>
            <b:Last>Medeiros Jr.</b:Last>
            <b:First>Maurício</b:First>
            <b:Middle>da Silva</b:Middle>
          </b:Person>
        </b:NameList>
      </b:Author>
    </b:Author>
    <b:JournalName>International Review of Financial Analysis</b:JournalName>
    <b:Volume>40</b:Volume>
    <b:RefOrder>32</b:RefOrder>
  </b:Source>
  <b:Source>
    <b:Tag>Kwa14</b:Tag>
    <b:SourceType>JournalArticle</b:SourceType>
    <b:Guid>{AA4A400C-8287-4430-88A7-71A021B93626}</b:Guid>
    <b:Title>Financial fragility, sovereign default risk and the limits to commercial bank bail-outs</b:Title>
    <b:JournalName>Journal of Economic Dynamics &amp; Control</b:JournalName>
    <b:Year>2014</b:Year>
    <b:Pages>218–240</b:Pages>
    <b:Volume>43</b:Volume>
    <b:Author>
      <b:Author>
        <b:NameList>
          <b:Person>
            <b:Last>Kwaak</b:Last>
            <b:First>C.G.F.</b:First>
            <b:Middle>van der</b:Middle>
          </b:Person>
          <b:Person>
            <b:Last>Wijnbergen</b:Last>
            <b:First>S.J.G.</b:First>
            <b:Middle>van</b:Middle>
          </b:Person>
        </b:NameList>
      </b:Author>
    </b:Author>
    <b:RefOrder>33</b:RefOrder>
  </b:Source>
  <b:Source>
    <b:Tag>Tam13</b:Tag>
    <b:SourceType>Report</b:SourceType>
    <b:Guid>{FE365EA3-4A5A-4133-9671-882DCF421227}</b:Guid>
    <b:Title>A General Equilibrium Model with Banks and Default on Loans</b:Title>
    <b:Year>2013</b:Year>
    <b:Author>
      <b:Author>
        <b:NameList>
          <b:Person>
            <b:Last>Takamura</b:Last>
            <b:First>Tamon</b:First>
          </b:Person>
        </b:NameList>
      </b:Author>
    </b:Author>
    <b:Institution>Bank of Canada Working Paper 2013</b:Institution>
    <b:RefOrder>34</b:RefOrder>
  </b:Source>
  <b:Source>
    <b:Tag>Mic14</b:Tag>
    <b:SourceType>JournalArticle</b:SourceType>
    <b:Guid>{A1E330C6-20C0-4628-A3EA-D8A5E52B5844}</b:Guid>
    <b:Title>Bank capital and the macroeconomy: Policy considerations</b:Title>
    <b:Year>2014</b:Year>
    <b:Pages>175–198</b:Pages>
    <b:Author>
      <b:Author>
        <b:NameList>
          <b:Person>
            <b:Last>Kiley</b:Last>
            <b:First>Michael</b:First>
            <b:Middle>T.</b:Middle>
          </b:Person>
          <b:Person>
            <b:Last>Sim</b:Last>
            <b:First>Jae</b:First>
            <b:Middle>W.</b:Middle>
          </b:Person>
        </b:NameList>
      </b:Author>
    </b:Author>
    <b:JournalName>Journal of Economic Dynamics &amp; Control</b:JournalName>
    <b:Volume>43</b:Volume>
    <b:RefOrder>35</b:RefOrder>
  </b:Source>
  <b:Source>
    <b:Tag>Est07</b:Tag>
    <b:SourceType>JournalArticle</b:SourceType>
    <b:Guid>{CCDBB94F-0A70-47B9-B5A2-FB4644BC3D09}</b:Guid>
    <b:Author>
      <b:Author>
        <b:NameList>
          <b:Person>
            <b:Last>Faia</b:Last>
            <b:First>Ester</b:First>
          </b:Person>
          <b:Person>
            <b:Last>Monacelli</b:Last>
            <b:First>Tommaso</b:First>
          </b:Person>
        </b:NameList>
      </b:Author>
    </b:Author>
    <b:Title>Optimal interest rate rules, asset prices, and credit frictions</b:Title>
    <b:JournalName>Journal of Economic Dynamics &amp; Contro</b:JournalName>
    <b:Year>2007</b:Year>
    <b:Pages>3228–325</b:Pages>
    <b:RefOrder>36</b:RefOrder>
  </b:Source>
  <b:Source>
    <b:Tag>Jaq13</b:Tag>
    <b:SourceType>ConferenceProceedings</b:SourceType>
    <b:Guid>{8824894E-BADF-4941-853E-A9B6E0F91CCE}</b:Guid>
    <b:Title>Credit Default and Business Cycles: an investigation of this relationship in the Brazilian corporate credit market</b:Title>
    <b:Year>2013</b:Year>
    <b:Author>
      <b:Author>
        <b:NameList>
          <b:Person>
            <b:Last>Marins</b:Last>
            <b:First>Jaqueline</b:First>
            <b:Middle>Terra Moura</b:Middle>
          </b:Person>
          <b:Person>
            <b:Last>Neves</b:Last>
            <b:First>Myrian</b:First>
            <b:Middle>Beatriz Eiras das</b:Middle>
          </b:Person>
        </b:NameList>
      </b:Author>
    </b:Author>
    <b:ConferenceName>Banco Central do Brasil Working Paper n. 304</b:ConferenceName>
    <b:RefOrder>37</b:RefOrder>
  </b:Source>
</b:Sources>
</file>

<file path=customXml/itemProps1.xml><?xml version="1.0" encoding="utf-8"?>
<ds:datastoreItem xmlns:ds="http://schemas.openxmlformats.org/officeDocument/2006/customXml" ds:itemID="{9DAF0B7D-2603-4522-A003-C9D275A24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8977</Words>
  <Characters>48477</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2018-05-02T19:33:00Z</dcterms:created>
  <dcterms:modified xsi:type="dcterms:W3CDTF">2018-07-21T20:59:00Z</dcterms:modified>
</cp:coreProperties>
</file>